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82922" w14:textId="77777777" w:rsidR="0047282C" w:rsidRPr="008E60B5" w:rsidRDefault="0047282C" w:rsidP="0047282C">
      <w:pPr>
        <w:spacing w:line="240" w:lineRule="auto"/>
        <w:rPr>
          <w:sz w:val="2"/>
        </w:rPr>
        <w:sectPr w:rsidR="0047282C" w:rsidRPr="008E60B5" w:rsidSect="00CA0011">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sidRPr="008E60B5">
        <w:rPr>
          <w:rStyle w:val="CommentReference"/>
        </w:rPr>
        <w:commentReference w:id="0"/>
      </w:r>
    </w:p>
    <w:p w14:paraId="38992E56" w14:textId="06F7EE8A" w:rsidR="00002E6B" w:rsidRPr="008E60B5" w:rsidRDefault="00CA0011" w:rsidP="00002E6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E60B5">
        <w:rPr>
          <w:lang w:val="fr-FR"/>
        </w:rPr>
        <w:t>Comité pour l</w:t>
      </w:r>
      <w:r w:rsidR="008E60B5" w:rsidRPr="008E60B5">
        <w:rPr>
          <w:lang w:val="fr-FR"/>
        </w:rPr>
        <w:t>’</w:t>
      </w:r>
      <w:r w:rsidRPr="008E60B5">
        <w:rPr>
          <w:lang w:val="fr-FR"/>
        </w:rPr>
        <w:t>élimination de la discrimination</w:t>
      </w:r>
    </w:p>
    <w:p w14:paraId="042C54AF" w14:textId="7DA04925" w:rsidR="00CA0011" w:rsidRPr="008E60B5" w:rsidRDefault="00CA0011" w:rsidP="00002E6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E60B5">
        <w:rPr>
          <w:lang w:val="fr-FR"/>
        </w:rPr>
        <w:t>à l</w:t>
      </w:r>
      <w:r w:rsidR="008E60B5" w:rsidRPr="008E60B5">
        <w:rPr>
          <w:lang w:val="fr-FR"/>
        </w:rPr>
        <w:t>’</w:t>
      </w:r>
      <w:r w:rsidRPr="008E60B5">
        <w:rPr>
          <w:lang w:val="fr-FR"/>
        </w:rPr>
        <w:t>égard des femmes</w:t>
      </w:r>
    </w:p>
    <w:p w14:paraId="0BD2AF1F" w14:textId="5296718E" w:rsidR="00002E6B" w:rsidRPr="008E60B5" w:rsidRDefault="00002E6B" w:rsidP="00002E6B">
      <w:pPr>
        <w:spacing w:line="120" w:lineRule="exact"/>
        <w:rPr>
          <w:sz w:val="10"/>
          <w:lang w:val="fr-FR"/>
        </w:rPr>
      </w:pPr>
    </w:p>
    <w:p w14:paraId="708F4294" w14:textId="42FA1A7B" w:rsidR="00002E6B" w:rsidRPr="008E60B5" w:rsidRDefault="00002E6B" w:rsidP="00002E6B">
      <w:pPr>
        <w:spacing w:line="120" w:lineRule="exact"/>
        <w:rPr>
          <w:sz w:val="10"/>
          <w:lang w:val="fr-FR"/>
        </w:rPr>
      </w:pPr>
    </w:p>
    <w:p w14:paraId="0FD6BE1F" w14:textId="3C487225" w:rsidR="00002E6B" w:rsidRPr="008E60B5" w:rsidRDefault="00002E6B" w:rsidP="00002E6B">
      <w:pPr>
        <w:spacing w:line="120" w:lineRule="exact"/>
        <w:rPr>
          <w:sz w:val="10"/>
          <w:lang w:val="fr-FR"/>
        </w:rPr>
      </w:pPr>
    </w:p>
    <w:p w14:paraId="33B96C08" w14:textId="21C0D600" w:rsidR="00CA0011" w:rsidRPr="008E60B5" w:rsidRDefault="00002E6B" w:rsidP="00002E6B">
      <w:pPr>
        <w:pStyle w:val="TitleHCH"/>
        <w:rPr>
          <w:lang w:val="fr-FR"/>
        </w:rPr>
      </w:pPr>
      <w:r w:rsidRPr="008E60B5">
        <w:rPr>
          <w:lang w:val="fr-FR"/>
        </w:rPr>
        <w:tab/>
      </w:r>
      <w:r w:rsidRPr="008E60B5">
        <w:rPr>
          <w:lang w:val="fr-FR"/>
        </w:rPr>
        <w:tab/>
      </w:r>
      <w:r w:rsidR="00CA0011" w:rsidRPr="008E60B5">
        <w:rPr>
          <w:lang w:val="fr-FR"/>
        </w:rPr>
        <w:t xml:space="preserve">Quatrième rapport périodique présenté par la Serbie </w:t>
      </w:r>
      <w:r w:rsidRPr="008E60B5">
        <w:rPr>
          <w:lang w:val="fr-FR"/>
        </w:rPr>
        <w:br/>
      </w:r>
      <w:r w:rsidR="00CA0011" w:rsidRPr="008E60B5">
        <w:rPr>
          <w:lang w:val="fr-FR"/>
        </w:rPr>
        <w:t>en application de l</w:t>
      </w:r>
      <w:r w:rsidR="008E60B5" w:rsidRPr="008E60B5">
        <w:rPr>
          <w:lang w:val="fr-FR"/>
        </w:rPr>
        <w:t>’</w:t>
      </w:r>
      <w:r w:rsidR="00CA0011" w:rsidRPr="008E60B5">
        <w:rPr>
          <w:lang w:val="fr-FR"/>
        </w:rPr>
        <w:t xml:space="preserve">article 18 de la Convention, attendu </w:t>
      </w:r>
      <w:r w:rsidRPr="008E60B5">
        <w:rPr>
          <w:lang w:val="fr-FR"/>
        </w:rPr>
        <w:br/>
      </w:r>
      <w:r w:rsidR="00CA0011" w:rsidRPr="008E60B5">
        <w:rPr>
          <w:lang w:val="fr-FR"/>
        </w:rPr>
        <w:t>en 2017</w:t>
      </w:r>
      <w:r w:rsidR="00CA0011" w:rsidRPr="008E60B5">
        <w:rPr>
          <w:b w:val="0"/>
          <w:vertAlign w:val="superscript"/>
          <w:lang w:val="fr-FR"/>
        </w:rPr>
        <w:footnoteReference w:customMarkFollows="1" w:id="1"/>
        <w:t>*</w:t>
      </w:r>
    </w:p>
    <w:p w14:paraId="4C5BB247" w14:textId="77777777" w:rsidR="00002E6B" w:rsidRPr="008E60B5" w:rsidRDefault="00002E6B" w:rsidP="00002E6B">
      <w:pPr>
        <w:pStyle w:val="SingleTxt"/>
        <w:spacing w:after="0" w:line="120" w:lineRule="exact"/>
        <w:rPr>
          <w:sz w:val="10"/>
          <w:lang w:val="fr-FR"/>
        </w:rPr>
      </w:pPr>
    </w:p>
    <w:p w14:paraId="182A3269" w14:textId="4FB776F7" w:rsidR="00CA0011" w:rsidRPr="008E60B5" w:rsidRDefault="00CA0011" w:rsidP="00002E6B">
      <w:pPr>
        <w:pStyle w:val="SingleTxt"/>
        <w:jc w:val="right"/>
        <w:rPr>
          <w:lang w:val="fr-FR"/>
        </w:rPr>
      </w:pPr>
      <w:r w:rsidRPr="008E60B5">
        <w:rPr>
          <w:lang w:val="fr-FR"/>
        </w:rPr>
        <w:t>[Date de réception</w:t>
      </w:r>
      <w:r w:rsidR="00002E6B" w:rsidRPr="008E60B5">
        <w:rPr>
          <w:lang w:val="fr-FR"/>
        </w:rPr>
        <w:t> :</w:t>
      </w:r>
      <w:r w:rsidRPr="008E60B5">
        <w:rPr>
          <w:lang w:val="fr-FR"/>
        </w:rPr>
        <w:t xml:space="preserve"> 18 octobre 2017]</w:t>
      </w:r>
    </w:p>
    <w:p w14:paraId="25DC9B6C" w14:textId="77777777" w:rsidR="00CA0011" w:rsidRPr="008E60B5" w:rsidRDefault="00CA0011" w:rsidP="00CA0011">
      <w:pPr>
        <w:pStyle w:val="SingleTxt"/>
        <w:rPr>
          <w:lang w:val="fr-FR"/>
        </w:rPr>
      </w:pPr>
      <w:r w:rsidRPr="008E60B5">
        <w:rPr>
          <w:lang w:val="fr-FR"/>
        </w:rPr>
        <w:br w:type="page"/>
      </w:r>
    </w:p>
    <w:p w14:paraId="1B433755" w14:textId="6AD2D841" w:rsidR="00CA0011" w:rsidRPr="008E60B5" w:rsidRDefault="00561689" w:rsidP="005616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lastRenderedPageBreak/>
        <w:tab/>
      </w:r>
      <w:r w:rsidRPr="008E60B5">
        <w:rPr>
          <w:lang w:val="fr-FR"/>
        </w:rPr>
        <w:tab/>
      </w:r>
      <w:r w:rsidR="00CA0011" w:rsidRPr="008E60B5">
        <w:rPr>
          <w:lang w:val="fr-FR"/>
        </w:rPr>
        <w:t>Abréviations</w:t>
      </w:r>
    </w:p>
    <w:p w14:paraId="35BF1ED0" w14:textId="5E304695" w:rsidR="00561689" w:rsidRPr="008E60B5" w:rsidRDefault="00561689" w:rsidP="00561689">
      <w:pPr>
        <w:pStyle w:val="SingleTxt"/>
        <w:spacing w:after="0" w:line="120" w:lineRule="exact"/>
        <w:rPr>
          <w:sz w:val="10"/>
          <w:lang w:val="fr-FR"/>
        </w:rPr>
      </w:pPr>
    </w:p>
    <w:p w14:paraId="7D10AE9F" w14:textId="041A40C6" w:rsidR="00561689" w:rsidRPr="008E60B5" w:rsidRDefault="00561689" w:rsidP="00561689">
      <w:pPr>
        <w:pStyle w:val="SingleTxt"/>
        <w:spacing w:after="0" w:line="120" w:lineRule="exact"/>
        <w:rPr>
          <w:sz w:val="10"/>
          <w:lang w:val="fr-FR"/>
        </w:rPr>
      </w:pPr>
    </w:p>
    <w:p w14:paraId="0720DA97" w14:textId="77777777" w:rsidR="00EF2DAB" w:rsidRPr="008E60B5" w:rsidRDefault="00EF2DAB" w:rsidP="00EF2DAB">
      <w:pPr>
        <w:pStyle w:val="SingleTxt"/>
        <w:jc w:val="left"/>
        <w:rPr>
          <w:lang w:val="fr-FR"/>
        </w:rPr>
      </w:pPr>
      <w:r w:rsidRPr="008E60B5">
        <w:rPr>
          <w:lang w:val="fr-FR"/>
        </w:rPr>
        <w:t>MINUK</w:t>
      </w:r>
      <w:r w:rsidRPr="008E60B5">
        <w:rPr>
          <w:lang w:val="fr-FR"/>
        </w:rPr>
        <w:tab/>
      </w:r>
      <w:r w:rsidRPr="008E60B5">
        <w:rPr>
          <w:lang w:val="fr-FR"/>
        </w:rPr>
        <w:tab/>
        <w:t>Mission d’administration intérimaire des Nations Unies au Kosovo</w:t>
      </w:r>
    </w:p>
    <w:p w14:paraId="7CAE7B16" w14:textId="7055544C" w:rsidR="00CA0011" w:rsidRDefault="00CA0011" w:rsidP="003C1C06">
      <w:pPr>
        <w:pStyle w:val="SingleTxt"/>
        <w:ind w:left="2693" w:hanging="1426"/>
        <w:jc w:val="left"/>
        <w:rPr>
          <w:lang w:val="fr-FR"/>
        </w:rPr>
      </w:pPr>
      <w:r w:rsidRPr="008E60B5">
        <w:rPr>
          <w:lang w:val="fr-FR"/>
        </w:rPr>
        <w:t>ONU Femmes</w:t>
      </w:r>
      <w:r w:rsidRPr="008E60B5">
        <w:rPr>
          <w:lang w:val="fr-FR"/>
        </w:rPr>
        <w:tab/>
        <w:t>Entité des Nations Unies pour l</w:t>
      </w:r>
      <w:r w:rsidR="008E60B5" w:rsidRPr="008E60B5">
        <w:rPr>
          <w:lang w:val="fr-FR"/>
        </w:rPr>
        <w:t>’</w:t>
      </w:r>
      <w:r w:rsidRPr="008E60B5">
        <w:rPr>
          <w:lang w:val="fr-FR"/>
        </w:rPr>
        <w:t>égalité des sexes et l</w:t>
      </w:r>
      <w:r w:rsidR="008E60B5" w:rsidRPr="008E60B5">
        <w:rPr>
          <w:lang w:val="fr-FR"/>
        </w:rPr>
        <w:t>’</w:t>
      </w:r>
      <w:r w:rsidRPr="008E60B5">
        <w:rPr>
          <w:lang w:val="fr-FR"/>
        </w:rPr>
        <w:t>autonomisation des femmes</w:t>
      </w:r>
    </w:p>
    <w:p w14:paraId="477B08CA" w14:textId="4CD93AF3" w:rsidR="00EF2DAB" w:rsidRPr="008E60B5" w:rsidRDefault="00EF2DAB" w:rsidP="00EF2DAB">
      <w:pPr>
        <w:pStyle w:val="SingleTxt"/>
        <w:jc w:val="left"/>
        <w:rPr>
          <w:lang w:val="fr-FR"/>
        </w:rPr>
      </w:pPr>
      <w:r w:rsidRPr="008E60B5">
        <w:rPr>
          <w:lang w:val="fr-FR"/>
        </w:rPr>
        <w:t>OSCE</w:t>
      </w:r>
      <w:r w:rsidRPr="008E60B5">
        <w:rPr>
          <w:lang w:val="fr-FR"/>
        </w:rPr>
        <w:tab/>
      </w:r>
      <w:r>
        <w:rPr>
          <w:lang w:val="fr-FR"/>
        </w:rPr>
        <w:tab/>
      </w:r>
      <w:r w:rsidRPr="008E60B5">
        <w:rPr>
          <w:lang w:val="fr-FR"/>
        </w:rPr>
        <w:t>Organisation pour la sécurité et la coopération en Europe</w:t>
      </w:r>
    </w:p>
    <w:p w14:paraId="4CB4F892" w14:textId="10863EEB" w:rsidR="00CA0011" w:rsidRPr="008E60B5" w:rsidRDefault="00CA0011" w:rsidP="003C1C06">
      <w:pPr>
        <w:pStyle w:val="SingleTxt"/>
        <w:jc w:val="left"/>
        <w:rPr>
          <w:lang w:val="fr-FR"/>
        </w:rPr>
      </w:pPr>
      <w:r w:rsidRPr="008E60B5">
        <w:rPr>
          <w:lang w:val="fr-FR"/>
        </w:rPr>
        <w:t>UNICEF</w:t>
      </w:r>
      <w:r w:rsidRPr="008E60B5">
        <w:rPr>
          <w:lang w:val="fr-FR"/>
        </w:rPr>
        <w:tab/>
      </w:r>
      <w:r w:rsidR="00561689" w:rsidRPr="008E60B5">
        <w:rPr>
          <w:lang w:val="fr-FR"/>
        </w:rPr>
        <w:tab/>
      </w:r>
      <w:r w:rsidRPr="008E60B5">
        <w:rPr>
          <w:lang w:val="fr-FR"/>
        </w:rPr>
        <w:t>Fonds des Nations Unies pour l</w:t>
      </w:r>
      <w:r w:rsidR="008E60B5" w:rsidRPr="008E60B5">
        <w:rPr>
          <w:lang w:val="fr-FR"/>
        </w:rPr>
        <w:t>’</w:t>
      </w:r>
      <w:r w:rsidRPr="008E60B5">
        <w:rPr>
          <w:lang w:val="fr-FR"/>
        </w:rPr>
        <w:t>enfance</w:t>
      </w:r>
    </w:p>
    <w:p w14:paraId="58690EAD" w14:textId="77777777" w:rsidR="00CA0011" w:rsidRPr="008E60B5" w:rsidRDefault="00CA0011" w:rsidP="00CA0011">
      <w:pPr>
        <w:pStyle w:val="SingleTxt"/>
        <w:rPr>
          <w:b/>
          <w:lang w:val="fr-FR"/>
        </w:rPr>
      </w:pPr>
      <w:r w:rsidRPr="008E60B5">
        <w:rPr>
          <w:lang w:val="fr-FR"/>
        </w:rPr>
        <w:br w:type="page"/>
      </w:r>
    </w:p>
    <w:p w14:paraId="5164F470" w14:textId="51CB7CA8" w:rsidR="00CA0011" w:rsidRPr="008E60B5" w:rsidRDefault="00CA0011" w:rsidP="005616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lastRenderedPageBreak/>
        <w:tab/>
      </w:r>
      <w:r w:rsidRPr="008E60B5">
        <w:rPr>
          <w:lang w:val="fr-FR"/>
        </w:rPr>
        <w:tab/>
        <w:t>Introduction</w:t>
      </w:r>
    </w:p>
    <w:p w14:paraId="067A22E9" w14:textId="3E137905" w:rsidR="00561689" w:rsidRPr="008E60B5" w:rsidRDefault="00561689" w:rsidP="00561689">
      <w:pPr>
        <w:pStyle w:val="SingleTxt"/>
        <w:spacing w:after="0" w:line="120" w:lineRule="exact"/>
        <w:rPr>
          <w:sz w:val="10"/>
          <w:lang w:val="fr-FR"/>
        </w:rPr>
      </w:pPr>
    </w:p>
    <w:p w14:paraId="0C167AA7" w14:textId="16634433" w:rsidR="00561689" w:rsidRPr="008E60B5" w:rsidRDefault="00561689" w:rsidP="00561689">
      <w:pPr>
        <w:pStyle w:val="SingleTxt"/>
        <w:spacing w:after="0" w:line="120" w:lineRule="exact"/>
        <w:rPr>
          <w:sz w:val="10"/>
          <w:lang w:val="fr-FR"/>
        </w:rPr>
      </w:pPr>
    </w:p>
    <w:p w14:paraId="2902549D" w14:textId="6CB540BE" w:rsidR="00CA0011" w:rsidRPr="008E60B5" w:rsidRDefault="00CA0011" w:rsidP="00A15EC1">
      <w:pPr>
        <w:pStyle w:val="SingleTxt"/>
        <w:numPr>
          <w:ilvl w:val="0"/>
          <w:numId w:val="6"/>
        </w:numPr>
        <w:tabs>
          <w:tab w:val="clear" w:pos="475"/>
          <w:tab w:val="num" w:pos="1742"/>
        </w:tabs>
        <w:spacing w:line="240" w:lineRule="exact"/>
        <w:ind w:left="1267"/>
        <w:rPr>
          <w:lang w:val="fr-FR"/>
        </w:rPr>
      </w:pPr>
      <w:r w:rsidRPr="008E60B5">
        <w:rPr>
          <w:lang w:val="fr-FR"/>
        </w:rPr>
        <w:t>Le quatrième rapport périodique sur l</w:t>
      </w:r>
      <w:r w:rsidR="008E60B5" w:rsidRPr="008E60B5">
        <w:rPr>
          <w:lang w:val="fr-FR"/>
        </w:rPr>
        <w:t>’</w:t>
      </w:r>
      <w:r w:rsidRPr="008E60B5">
        <w:rPr>
          <w:lang w:val="fr-FR"/>
        </w:rPr>
        <w:t>application de la Convention sur l</w:t>
      </w:r>
      <w:r w:rsidR="008E60B5" w:rsidRPr="008E60B5">
        <w:rPr>
          <w:lang w:val="fr-FR"/>
        </w:rPr>
        <w:t>’</w:t>
      </w:r>
      <w:r w:rsidRPr="008E60B5">
        <w:rPr>
          <w:lang w:val="fr-FR"/>
        </w:rPr>
        <w:t>élimination de toutes les formes de discrimination à l</w:t>
      </w:r>
      <w:r w:rsidR="008E60B5" w:rsidRPr="008E60B5">
        <w:rPr>
          <w:lang w:val="fr-FR"/>
        </w:rPr>
        <w:t>’</w:t>
      </w:r>
      <w:r w:rsidRPr="008E60B5">
        <w:rPr>
          <w:lang w:val="fr-FR"/>
        </w:rPr>
        <w:t>égard des femmes a été établi par le Bureau des droits de l</w:t>
      </w:r>
      <w:r w:rsidR="008E60B5" w:rsidRPr="008E60B5">
        <w:rPr>
          <w:lang w:val="fr-FR"/>
        </w:rPr>
        <w:t>’</w:t>
      </w:r>
      <w:r w:rsidRPr="008E60B5">
        <w:rPr>
          <w:lang w:val="fr-FR"/>
        </w:rPr>
        <w:t>homme et des minorités de la République de Serbie, en collaboration avec les autorités provinciales et nationales compétentes, ainsi que les organisations de la société civile concernées. La Serbie soumet le présent rapport en application de l</w:t>
      </w:r>
      <w:r w:rsidR="008E60B5" w:rsidRPr="008E60B5">
        <w:rPr>
          <w:lang w:val="fr-FR"/>
        </w:rPr>
        <w:t>’</w:t>
      </w:r>
      <w:r w:rsidRPr="008E60B5">
        <w:rPr>
          <w:lang w:val="fr-FR"/>
        </w:rPr>
        <w:t>article 18 de la Convention et des recommandations formulées dans les observations finales du Comité pour l</w:t>
      </w:r>
      <w:r w:rsidR="008E60B5" w:rsidRPr="008E60B5">
        <w:rPr>
          <w:lang w:val="fr-FR"/>
        </w:rPr>
        <w:t>’</w:t>
      </w:r>
      <w:r w:rsidRPr="008E60B5">
        <w:rPr>
          <w:lang w:val="fr-FR"/>
        </w:rPr>
        <w:t>élimination de la discrimination à l</w:t>
      </w:r>
      <w:r w:rsidR="008E60B5" w:rsidRPr="008E60B5">
        <w:rPr>
          <w:lang w:val="fr-FR"/>
        </w:rPr>
        <w:t>’</w:t>
      </w:r>
      <w:r w:rsidRPr="008E60B5">
        <w:rPr>
          <w:lang w:val="fr-FR"/>
        </w:rPr>
        <w:t>égard des femmes en ce qui concerne les deuxième et troisième rapports périodiques sur l</w:t>
      </w:r>
      <w:r w:rsidR="008E60B5" w:rsidRPr="008E60B5">
        <w:rPr>
          <w:lang w:val="fr-FR"/>
        </w:rPr>
        <w:t>’</w:t>
      </w:r>
      <w:r w:rsidRPr="008E60B5">
        <w:rPr>
          <w:lang w:val="fr-FR"/>
        </w:rPr>
        <w:t>application de la Convention (</w:t>
      </w:r>
      <w:hyperlink r:id="rId16" w:history="1">
        <w:r w:rsidRPr="008E60B5">
          <w:rPr>
            <w:rStyle w:val="Hyperlink"/>
            <w:color w:val="0000FF"/>
            <w:u w:val="none"/>
            <w:lang w:val="fr-FR"/>
          </w:rPr>
          <w:t>CEDAW/C/SRB/CO/2-3</w:t>
        </w:r>
      </w:hyperlink>
      <w:r w:rsidRPr="008E60B5">
        <w:rPr>
          <w:lang w:val="fr-FR"/>
        </w:rPr>
        <w:t>)</w:t>
      </w:r>
      <w:r w:rsidRPr="008E60B5">
        <w:rPr>
          <w:vertAlign w:val="superscript"/>
          <w:lang w:val="fr-FR"/>
        </w:rPr>
        <w:footnoteReference w:id="2"/>
      </w:r>
      <w:r w:rsidRPr="008E60B5">
        <w:rPr>
          <w:lang w:val="fr-FR"/>
        </w:rPr>
        <w:t>.</w:t>
      </w:r>
    </w:p>
    <w:p w14:paraId="7E03D9AB" w14:textId="0081A599" w:rsidR="00561689" w:rsidRPr="008E60B5" w:rsidRDefault="00CA0011" w:rsidP="00A15EC1">
      <w:pPr>
        <w:pStyle w:val="SingleTxt"/>
        <w:numPr>
          <w:ilvl w:val="0"/>
          <w:numId w:val="6"/>
        </w:numPr>
        <w:tabs>
          <w:tab w:val="clear" w:pos="475"/>
          <w:tab w:val="num" w:pos="1742"/>
        </w:tabs>
        <w:spacing w:line="240" w:lineRule="exact"/>
        <w:ind w:left="1267"/>
        <w:rPr>
          <w:lang w:val="fr-FR"/>
        </w:rPr>
      </w:pPr>
      <w:r w:rsidRPr="008E60B5">
        <w:rPr>
          <w:lang w:val="fr-FR"/>
        </w:rPr>
        <w:t xml:space="preserve">Bien que le territoire de la province autonome du Kosovo-Metohija fasse partie intégrante de la Serbie, comme cela a été confirmé, entre autres, par la résolution </w:t>
      </w:r>
      <w:hyperlink r:id="rId17" w:history="1">
        <w:r w:rsidRPr="008E60B5">
          <w:rPr>
            <w:rStyle w:val="Hyperlink"/>
            <w:color w:val="0000FF"/>
            <w:u w:val="none"/>
            <w:lang w:val="fr-FR"/>
          </w:rPr>
          <w:t>1244 (1999)</w:t>
        </w:r>
      </w:hyperlink>
      <w:r w:rsidRPr="008E60B5">
        <w:rPr>
          <w:lang w:val="fr-FR"/>
        </w:rPr>
        <w:t xml:space="preserve"> du Conseil de sécurité, les autorités serbes compétentes ne sont pas en mesure de faire appliquer la Convention dans cette partie du pays. En vertu de ladite résolution, l</w:t>
      </w:r>
      <w:r w:rsidR="008E60B5" w:rsidRPr="008E60B5">
        <w:rPr>
          <w:lang w:val="fr-FR"/>
        </w:rPr>
        <w:t>’</w:t>
      </w:r>
      <w:r w:rsidRPr="008E60B5">
        <w:rPr>
          <w:lang w:val="fr-FR"/>
        </w:rPr>
        <w:t>administration de la province a été déléguée à la Mission d</w:t>
      </w:r>
      <w:r w:rsidR="008E60B5" w:rsidRPr="008E60B5">
        <w:rPr>
          <w:lang w:val="fr-FR"/>
        </w:rPr>
        <w:t>’</w:t>
      </w:r>
      <w:r w:rsidRPr="008E60B5">
        <w:rPr>
          <w:lang w:val="fr-FR"/>
        </w:rPr>
        <w:t>administration intérimaire des Nations Unies au Kosovo (MINUK)</w:t>
      </w:r>
      <w:r w:rsidR="00002E6B" w:rsidRPr="008E60B5">
        <w:rPr>
          <w:lang w:val="fr-FR"/>
        </w:rPr>
        <w:t> ;</w:t>
      </w:r>
      <w:r w:rsidRPr="008E60B5">
        <w:rPr>
          <w:lang w:val="fr-FR"/>
        </w:rPr>
        <w:t xml:space="preserve"> on trouvera donc dans le rapport les renseignements dont dispose le Bureau du Gouvernement serbe chargé du Kosovo-Metohija.</w:t>
      </w:r>
    </w:p>
    <w:p w14:paraId="50982705" w14:textId="21198BE6" w:rsidR="00561689" w:rsidRPr="008E60B5" w:rsidRDefault="00561689" w:rsidP="00F90894">
      <w:pPr>
        <w:pStyle w:val="SingleTxt"/>
        <w:spacing w:after="0" w:line="120" w:lineRule="exact"/>
        <w:rPr>
          <w:sz w:val="10"/>
          <w:lang w:val="fr-FR"/>
        </w:rPr>
      </w:pPr>
    </w:p>
    <w:p w14:paraId="741E5B50" w14:textId="21D9B648" w:rsidR="00CA0011" w:rsidRPr="008E60B5" w:rsidRDefault="00CA0011" w:rsidP="00561689">
      <w:pPr>
        <w:pStyle w:val="H56"/>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i/>
          <w:iCs/>
          <w:lang w:val="fr-FR"/>
        </w:rPr>
      </w:pPr>
      <w:r w:rsidRPr="008E60B5">
        <w:rPr>
          <w:lang w:val="fr-FR"/>
        </w:rPr>
        <w:tab/>
      </w:r>
      <w:r w:rsidRPr="008E60B5">
        <w:rPr>
          <w:lang w:val="fr-FR"/>
        </w:rPr>
        <w:tab/>
      </w:r>
      <w:r w:rsidRPr="008E60B5">
        <w:rPr>
          <w:i/>
          <w:iCs/>
        </w:rPr>
        <w:t>Recommandation formulée au paragraphe 7</w:t>
      </w:r>
    </w:p>
    <w:p w14:paraId="5C1DC508" w14:textId="77777777" w:rsidR="00561689" w:rsidRPr="008E60B5" w:rsidRDefault="00561689" w:rsidP="00561689">
      <w:pPr>
        <w:pStyle w:val="SingleTxt"/>
        <w:spacing w:after="0" w:line="120" w:lineRule="exact"/>
        <w:rPr>
          <w:b/>
          <w:sz w:val="10"/>
          <w:lang w:val="fr-FR"/>
        </w:rPr>
      </w:pPr>
    </w:p>
    <w:p w14:paraId="4BA1FA5B" w14:textId="5551F12D" w:rsidR="00CA0011" w:rsidRPr="008E60B5" w:rsidRDefault="00561689" w:rsidP="005616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r>
      <w:r w:rsidR="00CA0011" w:rsidRPr="008E60B5">
        <w:rPr>
          <w:lang w:val="fr-FR"/>
        </w:rPr>
        <w:t>Assemblée nationale</w:t>
      </w:r>
    </w:p>
    <w:p w14:paraId="439E33DF" w14:textId="259EA5AA" w:rsidR="00561689" w:rsidRPr="008E60B5" w:rsidRDefault="00561689" w:rsidP="00561689">
      <w:pPr>
        <w:pStyle w:val="SingleTxt"/>
        <w:spacing w:after="0" w:line="120" w:lineRule="exact"/>
        <w:rPr>
          <w:sz w:val="10"/>
          <w:lang w:val="fr-FR"/>
        </w:rPr>
      </w:pPr>
    </w:p>
    <w:p w14:paraId="200E5D49" w14:textId="1B72522B" w:rsidR="00CA0011" w:rsidRPr="008E60B5" w:rsidRDefault="00CA0011" w:rsidP="00A15EC1">
      <w:pPr>
        <w:pStyle w:val="SingleTxt"/>
        <w:numPr>
          <w:ilvl w:val="0"/>
          <w:numId w:val="7"/>
        </w:numPr>
        <w:tabs>
          <w:tab w:val="clear" w:pos="475"/>
          <w:tab w:val="num" w:pos="1742"/>
        </w:tabs>
        <w:spacing w:line="240" w:lineRule="exact"/>
        <w:ind w:left="1267"/>
        <w:rPr>
          <w:b/>
          <w:lang w:val="fr-FR"/>
        </w:rPr>
      </w:pPr>
      <w:r w:rsidRPr="008E60B5">
        <w:rPr>
          <w:lang w:val="fr-FR"/>
        </w:rPr>
        <w:t>Dans l</w:t>
      </w:r>
      <w:r w:rsidR="008E60B5" w:rsidRPr="008E60B5">
        <w:rPr>
          <w:lang w:val="fr-FR"/>
        </w:rPr>
        <w:t>’</w:t>
      </w:r>
      <w:r w:rsidRPr="008E60B5">
        <w:rPr>
          <w:lang w:val="fr-FR"/>
        </w:rPr>
        <w:t>exercice de ses fonctions législatives et de ses activités de contrôle, l</w:t>
      </w:r>
      <w:r w:rsidR="008E60B5" w:rsidRPr="008E60B5">
        <w:rPr>
          <w:lang w:val="fr-FR"/>
        </w:rPr>
        <w:t>’</w:t>
      </w:r>
      <w:r w:rsidRPr="008E60B5">
        <w:rPr>
          <w:lang w:val="fr-FR"/>
        </w:rPr>
        <w:t>Assemblée nationale prend les mesures nécessaires pour appliquer les recommandations du Comité pour l</w:t>
      </w:r>
      <w:r w:rsidR="008E60B5" w:rsidRPr="008E60B5">
        <w:rPr>
          <w:lang w:val="fr-FR"/>
        </w:rPr>
        <w:t>’</w:t>
      </w:r>
      <w:r w:rsidRPr="008E60B5">
        <w:rPr>
          <w:lang w:val="fr-FR"/>
        </w:rPr>
        <w:t>élimination de la discrimination à l</w:t>
      </w:r>
      <w:r w:rsidR="008E60B5" w:rsidRPr="008E60B5">
        <w:rPr>
          <w:lang w:val="fr-FR"/>
        </w:rPr>
        <w:t>’</w:t>
      </w:r>
      <w:r w:rsidRPr="008E60B5">
        <w:rPr>
          <w:lang w:val="fr-FR"/>
        </w:rPr>
        <w:t>égard des femmes. Après l</w:t>
      </w:r>
      <w:r w:rsidR="008E60B5" w:rsidRPr="008E60B5">
        <w:rPr>
          <w:lang w:val="fr-FR"/>
        </w:rPr>
        <w:t>’</w:t>
      </w:r>
      <w:r w:rsidRPr="008E60B5">
        <w:rPr>
          <w:lang w:val="fr-FR"/>
        </w:rPr>
        <w:t>adoption des observations finales, en juillet 2013, et la ratification par la Serbie de la Convention du Conseil de l</w:t>
      </w:r>
      <w:r w:rsidR="008E60B5" w:rsidRPr="008E60B5">
        <w:rPr>
          <w:lang w:val="fr-FR"/>
        </w:rPr>
        <w:t>’</w:t>
      </w:r>
      <w:r w:rsidRPr="008E60B5">
        <w:rPr>
          <w:lang w:val="fr-FR"/>
        </w:rPr>
        <w:t>Europe sur la prévention et la lutte contre la violence à l</w:t>
      </w:r>
      <w:r w:rsidR="008E60B5" w:rsidRPr="008E60B5">
        <w:rPr>
          <w:lang w:val="fr-FR"/>
        </w:rPr>
        <w:t>’</w:t>
      </w:r>
      <w:r w:rsidRPr="008E60B5">
        <w:rPr>
          <w:lang w:val="fr-FR"/>
        </w:rPr>
        <w:t>égard des femmes et la violence domestique (Convention d</w:t>
      </w:r>
      <w:r w:rsidR="008E60B5" w:rsidRPr="008E60B5">
        <w:rPr>
          <w:lang w:val="fr-FR"/>
        </w:rPr>
        <w:t>’</w:t>
      </w:r>
      <w:r w:rsidRPr="008E60B5">
        <w:rPr>
          <w:lang w:val="fr-FR"/>
        </w:rPr>
        <w:t>Istanbul) en novembre de la même année, l</w:t>
      </w:r>
      <w:r w:rsidR="008E60B5" w:rsidRPr="008E60B5">
        <w:rPr>
          <w:lang w:val="fr-FR"/>
        </w:rPr>
        <w:t>’</w:t>
      </w:r>
      <w:r w:rsidRPr="008E60B5">
        <w:rPr>
          <w:lang w:val="fr-FR"/>
        </w:rPr>
        <w:t>Assemblée nationale a tenu le 3</w:t>
      </w:r>
      <w:r w:rsidR="00561689" w:rsidRPr="008E60B5">
        <w:rPr>
          <w:lang w:val="fr-FR"/>
        </w:rPr>
        <w:t> </w:t>
      </w:r>
      <w:r w:rsidRPr="008E60B5">
        <w:rPr>
          <w:lang w:val="fr-FR"/>
        </w:rPr>
        <w:t>décembre 2013 une audience publique au sujet de la mise en œuvre, au niveau national, des recommandations du Comité et des dispositions de la Convention du Comité ad hoc du Conseil de l</w:t>
      </w:r>
      <w:r w:rsidR="008E60B5" w:rsidRPr="008E60B5">
        <w:rPr>
          <w:lang w:val="fr-FR"/>
        </w:rPr>
        <w:t>’</w:t>
      </w:r>
      <w:r w:rsidRPr="008E60B5">
        <w:rPr>
          <w:lang w:val="fr-FR"/>
        </w:rPr>
        <w:t>Europe sur la prévention et la lutte contre la violence à l</w:t>
      </w:r>
      <w:r w:rsidR="008E60B5" w:rsidRPr="008E60B5">
        <w:rPr>
          <w:lang w:val="fr-FR"/>
        </w:rPr>
        <w:t>’</w:t>
      </w:r>
      <w:r w:rsidRPr="008E60B5">
        <w:rPr>
          <w:lang w:val="fr-FR"/>
        </w:rPr>
        <w:t>égard des femmes et la violence domestique. Le Président de la Commission parlementaire des droits de l</w:t>
      </w:r>
      <w:r w:rsidR="008E60B5" w:rsidRPr="008E60B5">
        <w:rPr>
          <w:lang w:val="fr-FR"/>
        </w:rPr>
        <w:t>’</w:t>
      </w:r>
      <w:r w:rsidRPr="008E60B5">
        <w:rPr>
          <w:lang w:val="fr-FR"/>
        </w:rPr>
        <w:t>homme et des minorités et de l</w:t>
      </w:r>
      <w:r w:rsidR="008E60B5" w:rsidRPr="008E60B5">
        <w:rPr>
          <w:lang w:val="fr-FR"/>
        </w:rPr>
        <w:t>’</w:t>
      </w:r>
      <w:r w:rsidRPr="008E60B5">
        <w:rPr>
          <w:lang w:val="fr-FR"/>
        </w:rPr>
        <w:t>égalité des sexes assiste aux sessions du Conseil du Gouvernement</w:t>
      </w:r>
      <w:r w:rsidR="00002E6B" w:rsidRPr="008E60B5">
        <w:rPr>
          <w:lang w:val="fr-FR"/>
        </w:rPr>
        <w:t xml:space="preserve"> </w:t>
      </w:r>
      <w:r w:rsidRPr="008E60B5">
        <w:rPr>
          <w:lang w:val="fr-FR"/>
        </w:rPr>
        <w:t>chargé de suivre la mise en œuvre des recommandations formulées dans le cadre des mécanismes des Nations Unies relatifs aux droits de l</w:t>
      </w:r>
      <w:r w:rsidR="008E60B5" w:rsidRPr="008E60B5">
        <w:rPr>
          <w:lang w:val="fr-FR"/>
        </w:rPr>
        <w:t>’</w:t>
      </w:r>
      <w:r w:rsidRPr="008E60B5">
        <w:rPr>
          <w:lang w:val="fr-FR"/>
        </w:rPr>
        <w:t>homme. Groupe informel auquel tous les membres féminins du Parlement serbe participent à titre volontaire, quelle que soit leur affiliation politique, le réseau des femmes parlementaires supervise l</w:t>
      </w:r>
      <w:r w:rsidR="008E60B5" w:rsidRPr="008E60B5">
        <w:rPr>
          <w:lang w:val="fr-FR"/>
        </w:rPr>
        <w:t>’</w:t>
      </w:r>
      <w:r w:rsidRPr="008E60B5">
        <w:rPr>
          <w:lang w:val="fr-FR"/>
        </w:rPr>
        <w:t>application des dispositions juridiques existantes dans le domaine de la santé et de l</w:t>
      </w:r>
      <w:r w:rsidR="008E60B5" w:rsidRPr="008E60B5">
        <w:rPr>
          <w:lang w:val="fr-FR"/>
        </w:rPr>
        <w:t>’</w:t>
      </w:r>
      <w:r w:rsidRPr="008E60B5">
        <w:rPr>
          <w:lang w:val="fr-FR"/>
        </w:rPr>
        <w:t>éducation des femmes, de la lutte contre les violences faites aux femmes et de l</w:t>
      </w:r>
      <w:r w:rsidR="008E60B5" w:rsidRPr="008E60B5">
        <w:rPr>
          <w:lang w:val="fr-FR"/>
        </w:rPr>
        <w:t>’</w:t>
      </w:r>
      <w:r w:rsidRPr="008E60B5">
        <w:rPr>
          <w:lang w:val="fr-FR"/>
        </w:rPr>
        <w:t xml:space="preserve">autonomisation économique des femmes. </w:t>
      </w:r>
    </w:p>
    <w:p w14:paraId="5C81D8AD" w14:textId="77777777" w:rsidR="00561689" w:rsidRPr="008E60B5" w:rsidRDefault="00561689" w:rsidP="00561689">
      <w:pPr>
        <w:pStyle w:val="SingleTxt"/>
        <w:spacing w:after="0" w:line="120" w:lineRule="exact"/>
        <w:rPr>
          <w:i/>
          <w:sz w:val="10"/>
          <w:lang w:val="fr-FR"/>
        </w:rPr>
      </w:pPr>
    </w:p>
    <w:p w14:paraId="621D8665" w14:textId="3336E87D" w:rsidR="00CA0011" w:rsidRPr="008E60B5" w:rsidRDefault="00CA0011" w:rsidP="00F908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i/>
          <w:iCs/>
          <w:lang w:val="fr-FR"/>
        </w:rPr>
      </w:pPr>
      <w:r w:rsidRPr="008E60B5">
        <w:rPr>
          <w:lang w:val="fr-FR"/>
        </w:rPr>
        <w:tab/>
      </w:r>
      <w:r w:rsidRPr="008E60B5">
        <w:rPr>
          <w:lang w:val="fr-FR"/>
        </w:rPr>
        <w:tab/>
      </w:r>
      <w:r w:rsidRPr="008E60B5">
        <w:rPr>
          <w:b w:val="0"/>
          <w:bCs/>
          <w:i/>
          <w:iCs/>
          <w:lang w:val="fr-FR"/>
        </w:rPr>
        <w:t xml:space="preserve">Recommandation formulée au paragraphe 9 </w:t>
      </w:r>
    </w:p>
    <w:p w14:paraId="5BF226C8" w14:textId="77777777" w:rsidR="00561689" w:rsidRPr="008E60B5" w:rsidRDefault="00561689" w:rsidP="00F90894">
      <w:pPr>
        <w:pStyle w:val="SingleTxt"/>
        <w:keepNext/>
        <w:spacing w:after="0" w:line="120" w:lineRule="exact"/>
        <w:rPr>
          <w:b/>
          <w:sz w:val="10"/>
          <w:lang w:val="fr-FR"/>
        </w:rPr>
      </w:pPr>
    </w:p>
    <w:p w14:paraId="21B9B878" w14:textId="46A3233C" w:rsidR="00CA0011" w:rsidRPr="008E60B5" w:rsidRDefault="00CA0011" w:rsidP="00F908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Formation des juges, des procureurs et des avocats</w:t>
      </w:r>
    </w:p>
    <w:p w14:paraId="7B8B9EBE" w14:textId="759FEFA6" w:rsidR="00561689" w:rsidRPr="008E60B5" w:rsidRDefault="00561689" w:rsidP="00F90894">
      <w:pPr>
        <w:pStyle w:val="SingleTxt"/>
        <w:keepNext/>
        <w:spacing w:after="0" w:line="120" w:lineRule="exact"/>
        <w:rPr>
          <w:sz w:val="10"/>
          <w:lang w:val="fr-FR"/>
        </w:rPr>
      </w:pPr>
    </w:p>
    <w:p w14:paraId="6CE69D05" w14:textId="4C878FBE" w:rsidR="00CA0011" w:rsidRPr="008E60B5" w:rsidRDefault="00CA0011" w:rsidP="00F90894">
      <w:pPr>
        <w:pStyle w:val="SingleTxt"/>
        <w:keepNext/>
        <w:numPr>
          <w:ilvl w:val="0"/>
          <w:numId w:val="8"/>
        </w:numPr>
        <w:spacing w:line="240" w:lineRule="exact"/>
        <w:rPr>
          <w:lang w:val="fr-FR"/>
        </w:rPr>
      </w:pPr>
      <w:r w:rsidRPr="008E60B5">
        <w:rPr>
          <w:lang w:val="fr-FR"/>
        </w:rPr>
        <w:t>L</w:t>
      </w:r>
      <w:r w:rsidR="008E60B5" w:rsidRPr="008E60B5">
        <w:rPr>
          <w:lang w:val="fr-FR"/>
        </w:rPr>
        <w:t>’</w:t>
      </w:r>
      <w:r w:rsidRPr="008E60B5">
        <w:rPr>
          <w:lang w:val="fr-FR"/>
        </w:rPr>
        <w:t>École de la magistrature assure la formation des juges et des procureurs, et l</w:t>
      </w:r>
      <w:r w:rsidR="008E60B5" w:rsidRPr="008E60B5">
        <w:rPr>
          <w:lang w:val="fr-FR"/>
        </w:rPr>
        <w:t>’</w:t>
      </w:r>
      <w:r w:rsidRPr="008E60B5">
        <w:rPr>
          <w:lang w:val="fr-FR"/>
        </w:rPr>
        <w:t>École du barreau celle des avocats. L</w:t>
      </w:r>
      <w:r w:rsidR="008E60B5" w:rsidRPr="008E60B5">
        <w:rPr>
          <w:lang w:val="fr-FR"/>
        </w:rPr>
        <w:t>’</w:t>
      </w:r>
      <w:r w:rsidRPr="008E60B5">
        <w:rPr>
          <w:lang w:val="fr-FR"/>
        </w:rPr>
        <w:t xml:space="preserve">École de la magistrature fournit des </w:t>
      </w:r>
      <w:r w:rsidRPr="008E60B5">
        <w:rPr>
          <w:lang w:val="fr-FR"/>
        </w:rPr>
        <w:lastRenderedPageBreak/>
        <w:t>informations appropriées sur l</w:t>
      </w:r>
      <w:r w:rsidR="008E60B5" w:rsidRPr="008E60B5">
        <w:rPr>
          <w:lang w:val="fr-FR"/>
        </w:rPr>
        <w:t>’</w:t>
      </w:r>
      <w:r w:rsidRPr="008E60B5">
        <w:rPr>
          <w:lang w:val="fr-FR"/>
        </w:rPr>
        <w:t>exercice des droits de l</w:t>
      </w:r>
      <w:r w:rsidR="008E60B5" w:rsidRPr="008E60B5">
        <w:rPr>
          <w:lang w:val="fr-FR"/>
        </w:rPr>
        <w:t>’</w:t>
      </w:r>
      <w:r w:rsidRPr="008E60B5">
        <w:rPr>
          <w:lang w:val="fr-FR"/>
        </w:rPr>
        <w:t>homme et des minorités et l</w:t>
      </w:r>
      <w:r w:rsidR="008E60B5" w:rsidRPr="008E60B5">
        <w:rPr>
          <w:lang w:val="fr-FR"/>
        </w:rPr>
        <w:t>’</w:t>
      </w:r>
      <w:r w:rsidRPr="008E60B5">
        <w:rPr>
          <w:lang w:val="fr-FR"/>
        </w:rPr>
        <w:t>égalité des sexes, ainsi que sur l</w:t>
      </w:r>
      <w:r w:rsidR="008E60B5" w:rsidRPr="008E60B5">
        <w:rPr>
          <w:lang w:val="fr-FR"/>
        </w:rPr>
        <w:t>’</w:t>
      </w:r>
      <w:r w:rsidRPr="008E60B5">
        <w:rPr>
          <w:lang w:val="fr-FR"/>
        </w:rPr>
        <w:t>application concrète des principales conventions relatives aux droits de l</w:t>
      </w:r>
      <w:r w:rsidR="008E60B5" w:rsidRPr="008E60B5">
        <w:rPr>
          <w:lang w:val="fr-FR"/>
        </w:rPr>
        <w:t>’</w:t>
      </w:r>
      <w:r w:rsidRPr="008E60B5">
        <w:rPr>
          <w:lang w:val="fr-FR"/>
        </w:rPr>
        <w:t>homme, pendant les cours aussi bien de formation initiale que de formation continue. Elle a formé plus de 400 juges et procureurs à l</w:t>
      </w:r>
      <w:r w:rsidR="008E60B5" w:rsidRPr="008E60B5">
        <w:rPr>
          <w:lang w:val="fr-FR"/>
        </w:rPr>
        <w:t>’</w:t>
      </w:r>
      <w:r w:rsidRPr="008E60B5">
        <w:rPr>
          <w:lang w:val="fr-FR"/>
        </w:rPr>
        <w:t>application de la loi sur la prévention de la violence domestique, qui a pris effet le 1</w:t>
      </w:r>
      <w:r w:rsidRPr="008E60B5">
        <w:rPr>
          <w:vertAlign w:val="superscript"/>
          <w:lang w:val="fr-FR"/>
        </w:rPr>
        <w:t>er</w:t>
      </w:r>
      <w:r w:rsidRPr="008E60B5">
        <w:rPr>
          <w:lang w:val="fr-FR"/>
        </w:rPr>
        <w:t xml:space="preserve"> juin 2017. </w:t>
      </w:r>
    </w:p>
    <w:p w14:paraId="3693CD66" w14:textId="77777777" w:rsidR="00980CBA" w:rsidRPr="008E60B5" w:rsidRDefault="00980CBA" w:rsidP="00980CBA">
      <w:pPr>
        <w:pStyle w:val="SingleTxt"/>
        <w:spacing w:after="0" w:line="120" w:lineRule="exact"/>
        <w:rPr>
          <w:b/>
          <w:sz w:val="10"/>
          <w:lang w:val="fr-FR"/>
        </w:rPr>
      </w:pPr>
    </w:p>
    <w:p w14:paraId="17BAE39B" w14:textId="77777777" w:rsidR="00980CBA" w:rsidRPr="008E60B5" w:rsidRDefault="00980CBA" w:rsidP="00980CBA">
      <w:pPr>
        <w:pStyle w:val="SingleTxt"/>
        <w:spacing w:after="0" w:line="120" w:lineRule="exact"/>
        <w:rPr>
          <w:b/>
          <w:sz w:val="10"/>
          <w:lang w:val="fr-FR"/>
        </w:rPr>
      </w:pPr>
    </w:p>
    <w:p w14:paraId="6622C951" w14:textId="7358261C" w:rsidR="00CA0011" w:rsidRPr="008E60B5" w:rsidRDefault="00CA0011" w:rsidP="00980C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Article 2</w:t>
      </w:r>
    </w:p>
    <w:p w14:paraId="22F4A903" w14:textId="77777777" w:rsidR="00980CBA" w:rsidRPr="008E60B5" w:rsidRDefault="00980CBA" w:rsidP="00980CBA">
      <w:pPr>
        <w:pStyle w:val="SingleTxt"/>
        <w:spacing w:after="0" w:line="120" w:lineRule="exact"/>
        <w:rPr>
          <w:b/>
          <w:sz w:val="10"/>
          <w:lang w:val="fr-FR"/>
        </w:rPr>
      </w:pPr>
    </w:p>
    <w:p w14:paraId="10976F7B" w14:textId="77777777" w:rsidR="00980CBA" w:rsidRPr="008E60B5" w:rsidRDefault="00980CBA" w:rsidP="00980CBA">
      <w:pPr>
        <w:pStyle w:val="SingleTxt"/>
        <w:spacing w:after="0" w:line="120" w:lineRule="exact"/>
        <w:rPr>
          <w:b/>
          <w:sz w:val="10"/>
          <w:lang w:val="fr-FR"/>
        </w:rPr>
      </w:pPr>
    </w:p>
    <w:p w14:paraId="5F92160B" w14:textId="441FBCB6" w:rsidR="00CA0011" w:rsidRPr="008E60B5" w:rsidRDefault="00CA0011" w:rsidP="00980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Mesures législatives</w:t>
      </w:r>
    </w:p>
    <w:p w14:paraId="5410CF07" w14:textId="77777777" w:rsidR="00980CBA" w:rsidRPr="008E60B5" w:rsidRDefault="00980CBA" w:rsidP="00980CBA">
      <w:pPr>
        <w:pStyle w:val="SingleTxt"/>
        <w:spacing w:after="0" w:line="120" w:lineRule="exact"/>
        <w:rPr>
          <w:i/>
          <w:sz w:val="10"/>
          <w:lang w:val="fr-FR"/>
        </w:rPr>
      </w:pPr>
    </w:p>
    <w:p w14:paraId="1881E259" w14:textId="77777777" w:rsidR="00980CBA" w:rsidRPr="008E60B5" w:rsidRDefault="00980CBA" w:rsidP="00980CBA">
      <w:pPr>
        <w:pStyle w:val="SingleTxt"/>
        <w:spacing w:after="0" w:line="120" w:lineRule="exact"/>
        <w:rPr>
          <w:i/>
          <w:sz w:val="10"/>
          <w:lang w:val="fr-FR"/>
        </w:rPr>
      </w:pPr>
    </w:p>
    <w:p w14:paraId="02649A3D" w14:textId="1A51279D" w:rsidR="00CA0011" w:rsidRPr="008E60B5" w:rsidRDefault="00F90894" w:rsidP="00F9089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r>
      <w:r w:rsidR="00CA0011" w:rsidRPr="008E60B5">
        <w:rPr>
          <w:lang w:val="fr-FR"/>
        </w:rPr>
        <w:t xml:space="preserve">Recommandation formulée au paragraphe 11 </w:t>
      </w:r>
    </w:p>
    <w:p w14:paraId="5A8FCEE4" w14:textId="77777777" w:rsidR="00980CBA" w:rsidRPr="008E60B5" w:rsidRDefault="00980CBA" w:rsidP="00980CBA">
      <w:pPr>
        <w:pStyle w:val="SingleTxt"/>
        <w:spacing w:after="0" w:line="120" w:lineRule="exact"/>
        <w:rPr>
          <w:b/>
          <w:sz w:val="10"/>
          <w:lang w:val="fr-FR"/>
        </w:rPr>
      </w:pPr>
    </w:p>
    <w:p w14:paraId="687DBB66" w14:textId="698B32B4" w:rsidR="00CA0011" w:rsidRPr="008E60B5" w:rsidRDefault="00CA0011" w:rsidP="00980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Cadres juridiques antidiscriminatoires</w:t>
      </w:r>
    </w:p>
    <w:p w14:paraId="1C251F66" w14:textId="4A2752B0" w:rsidR="00980CBA" w:rsidRPr="008E60B5" w:rsidRDefault="00980CBA" w:rsidP="00980CBA">
      <w:pPr>
        <w:pStyle w:val="SingleTxt"/>
        <w:spacing w:after="0" w:line="120" w:lineRule="exact"/>
        <w:rPr>
          <w:sz w:val="10"/>
          <w:lang w:val="fr-FR"/>
        </w:rPr>
      </w:pPr>
    </w:p>
    <w:p w14:paraId="3A8B1C76" w14:textId="0FEA210A" w:rsidR="00CA0011" w:rsidRPr="008E60B5" w:rsidRDefault="00CA0011" w:rsidP="00A15EC1">
      <w:pPr>
        <w:pStyle w:val="SingleTxt"/>
        <w:numPr>
          <w:ilvl w:val="0"/>
          <w:numId w:val="9"/>
        </w:numPr>
        <w:spacing w:line="240" w:lineRule="exact"/>
        <w:rPr>
          <w:bCs/>
          <w:lang w:val="fr-FR"/>
        </w:rPr>
      </w:pPr>
      <w:r w:rsidRPr="008E60B5">
        <w:rPr>
          <w:lang w:val="fr-FR"/>
        </w:rPr>
        <w:t>Le corpus de lois antidiscriminatoires a été enrichi en mars 2015 avec la promulgation de la loi sur la mobilité avec l</w:t>
      </w:r>
      <w:r w:rsidR="008E60B5" w:rsidRPr="008E60B5">
        <w:rPr>
          <w:lang w:val="fr-FR"/>
        </w:rPr>
        <w:t>’</w:t>
      </w:r>
      <w:r w:rsidRPr="008E60B5">
        <w:rPr>
          <w:lang w:val="fr-FR"/>
        </w:rPr>
        <w:t>assistance d</w:t>
      </w:r>
      <w:r w:rsidR="008E60B5" w:rsidRPr="008E60B5">
        <w:rPr>
          <w:lang w:val="fr-FR"/>
        </w:rPr>
        <w:t>’</w:t>
      </w:r>
      <w:r w:rsidRPr="008E60B5">
        <w:rPr>
          <w:lang w:val="fr-FR"/>
        </w:rPr>
        <w:t>un chien guide d</w:t>
      </w:r>
      <w:r w:rsidR="008E60B5" w:rsidRPr="008E60B5">
        <w:rPr>
          <w:lang w:val="fr-FR"/>
        </w:rPr>
        <w:t>’</w:t>
      </w:r>
      <w:r w:rsidRPr="008E60B5">
        <w:rPr>
          <w:lang w:val="fr-FR"/>
        </w:rPr>
        <w:t>aveugle. En octobre 2015, le Ministère de la santé a adopté un arrêté sur les conditions et les modalités détaillées relatives à l</w:t>
      </w:r>
      <w:r w:rsidR="008E60B5" w:rsidRPr="008E60B5">
        <w:rPr>
          <w:lang w:val="fr-FR"/>
        </w:rPr>
        <w:t>’</w:t>
      </w:r>
      <w:r w:rsidRPr="008E60B5">
        <w:rPr>
          <w:lang w:val="fr-FR"/>
        </w:rPr>
        <w:t>accès aux bâtiments publics de santé par les personnes se déplaçant avec l</w:t>
      </w:r>
      <w:r w:rsidR="008E60B5" w:rsidRPr="008E60B5">
        <w:rPr>
          <w:lang w:val="fr-FR"/>
        </w:rPr>
        <w:t>’</w:t>
      </w:r>
      <w:r w:rsidRPr="008E60B5">
        <w:rPr>
          <w:lang w:val="fr-FR"/>
        </w:rPr>
        <w:t>assistance d</w:t>
      </w:r>
      <w:r w:rsidR="008E60B5" w:rsidRPr="008E60B5">
        <w:rPr>
          <w:lang w:val="fr-FR"/>
        </w:rPr>
        <w:t>’</w:t>
      </w:r>
      <w:r w:rsidRPr="008E60B5">
        <w:rPr>
          <w:lang w:val="fr-FR"/>
        </w:rPr>
        <w:t>un chien guide d</w:t>
      </w:r>
      <w:r w:rsidR="008E60B5" w:rsidRPr="008E60B5">
        <w:rPr>
          <w:lang w:val="fr-FR"/>
        </w:rPr>
        <w:t>’</w:t>
      </w:r>
      <w:r w:rsidRPr="008E60B5">
        <w:rPr>
          <w:lang w:val="fr-FR"/>
        </w:rPr>
        <w:t>aveugle. De plus, la loi sur l</w:t>
      </w:r>
      <w:r w:rsidR="008E60B5" w:rsidRPr="008E60B5">
        <w:rPr>
          <w:lang w:val="fr-FR"/>
        </w:rPr>
        <w:t>’</w:t>
      </w:r>
      <w:r w:rsidRPr="008E60B5">
        <w:rPr>
          <w:lang w:val="fr-FR"/>
        </w:rPr>
        <w:t>utilisation de la langue des signes a été promulguée en avril 2015. La loi sur la prévention de la discrimination à l</w:t>
      </w:r>
      <w:r w:rsidR="008E60B5" w:rsidRPr="008E60B5">
        <w:rPr>
          <w:lang w:val="fr-FR"/>
        </w:rPr>
        <w:t>’</w:t>
      </w:r>
      <w:r w:rsidRPr="008E60B5">
        <w:rPr>
          <w:lang w:val="fr-FR"/>
        </w:rPr>
        <w:t>égard des personnes handicapées a été améliorée en février 2016, une disposition selon laquelle les personnes handicapées doivent pouvoir exercer leurs droits dans des conditions d</w:t>
      </w:r>
      <w:r w:rsidR="008E60B5" w:rsidRPr="008E60B5">
        <w:rPr>
          <w:lang w:val="fr-FR"/>
        </w:rPr>
        <w:t>’</w:t>
      </w:r>
      <w:r w:rsidRPr="008E60B5">
        <w:rPr>
          <w:lang w:val="fr-FR"/>
        </w:rPr>
        <w:t>égalité y ayant été ajoutée. Les autorités publiques ont le devoir de permettre aux personnes souffrant d</w:t>
      </w:r>
      <w:r w:rsidR="008E60B5" w:rsidRPr="008E60B5">
        <w:rPr>
          <w:lang w:val="fr-FR"/>
        </w:rPr>
        <w:t>’</w:t>
      </w:r>
      <w:r w:rsidRPr="008E60B5">
        <w:rPr>
          <w:lang w:val="fr-FR"/>
        </w:rPr>
        <w:t>un handicap corporel ou sensoriel permanent ou des effets d</w:t>
      </w:r>
      <w:r w:rsidR="008E60B5" w:rsidRPr="008E60B5">
        <w:rPr>
          <w:lang w:val="fr-FR"/>
        </w:rPr>
        <w:t>’</w:t>
      </w:r>
      <w:r w:rsidRPr="008E60B5">
        <w:rPr>
          <w:lang w:val="fr-FR"/>
        </w:rPr>
        <w:t>une maladie de signer des documents, le cas échéant, à l</w:t>
      </w:r>
      <w:r w:rsidR="008E60B5" w:rsidRPr="008E60B5">
        <w:rPr>
          <w:lang w:val="fr-FR"/>
        </w:rPr>
        <w:t>’</w:t>
      </w:r>
      <w:r w:rsidRPr="008E60B5">
        <w:rPr>
          <w:lang w:val="fr-FR"/>
        </w:rPr>
        <w:t>aide d</w:t>
      </w:r>
      <w:r w:rsidR="008E60B5" w:rsidRPr="008E60B5">
        <w:rPr>
          <w:lang w:val="fr-FR"/>
        </w:rPr>
        <w:t>’</w:t>
      </w:r>
      <w:r w:rsidRPr="008E60B5">
        <w:rPr>
          <w:lang w:val="fr-FR"/>
        </w:rPr>
        <w:t>un tampon sur lequel figurent des informations d</w:t>
      </w:r>
      <w:r w:rsidR="008E60B5" w:rsidRPr="008E60B5">
        <w:rPr>
          <w:lang w:val="fr-FR"/>
        </w:rPr>
        <w:t>’</w:t>
      </w:r>
      <w:r w:rsidRPr="008E60B5">
        <w:rPr>
          <w:lang w:val="fr-FR"/>
        </w:rPr>
        <w:t>identité personnelle ou une signature gravée (art</w:t>
      </w:r>
      <w:r w:rsidR="00E712C7">
        <w:rPr>
          <w:lang w:val="fr-FR"/>
        </w:rPr>
        <w:t>.</w:t>
      </w:r>
      <w:r w:rsidRPr="008E60B5">
        <w:rPr>
          <w:lang w:val="fr-FR"/>
        </w:rPr>
        <w:t xml:space="preserve"> 34a).</w:t>
      </w:r>
    </w:p>
    <w:p w14:paraId="05CFB4A3" w14:textId="1AFF4C86" w:rsidR="00CA0011" w:rsidRPr="008E60B5" w:rsidRDefault="00CA0011" w:rsidP="00A15EC1">
      <w:pPr>
        <w:pStyle w:val="SingleTxt"/>
        <w:numPr>
          <w:ilvl w:val="0"/>
          <w:numId w:val="9"/>
        </w:numPr>
        <w:spacing w:line="240" w:lineRule="exact"/>
        <w:rPr>
          <w:bCs/>
          <w:lang w:val="fr-FR"/>
        </w:rPr>
      </w:pPr>
      <w:r w:rsidRPr="008E60B5">
        <w:rPr>
          <w:lang w:val="fr-FR"/>
        </w:rPr>
        <w:t>La loi sur l</w:t>
      </w:r>
      <w:r w:rsidR="008E60B5" w:rsidRPr="008E60B5">
        <w:rPr>
          <w:lang w:val="fr-FR"/>
        </w:rPr>
        <w:t>’</w:t>
      </w:r>
      <w:r w:rsidRPr="008E60B5">
        <w:rPr>
          <w:lang w:val="fr-FR"/>
        </w:rPr>
        <w:t>information et les médias interdit les discours haineux. En vertu de la loi y relative, l</w:t>
      </w:r>
      <w:r w:rsidR="008E60B5" w:rsidRPr="008E60B5">
        <w:rPr>
          <w:lang w:val="fr-FR"/>
        </w:rPr>
        <w:t>’</w:t>
      </w:r>
      <w:r w:rsidRPr="008E60B5">
        <w:rPr>
          <w:lang w:val="fr-FR"/>
        </w:rPr>
        <w:t>organisme de contrôle des médias électroniques veille à ce que les fournisseurs de services médiatiques ne diffusent aucune information encourageant de manière ouverte ou dissimulée la discrimination, la haine ou la violence, pour quelque motif que ce soit. La loi sur les services de médias publics contient des dispositions de lutte contre la discrimination, qui s</w:t>
      </w:r>
      <w:r w:rsidR="008E60B5" w:rsidRPr="008E60B5">
        <w:rPr>
          <w:lang w:val="fr-FR"/>
        </w:rPr>
        <w:t>’</w:t>
      </w:r>
      <w:r w:rsidRPr="008E60B5">
        <w:rPr>
          <w:lang w:val="fr-FR"/>
        </w:rPr>
        <w:t>appliquent spécifiquement aux femmes.</w:t>
      </w:r>
    </w:p>
    <w:p w14:paraId="0C51758F" w14:textId="60D96C61" w:rsidR="00CA0011" w:rsidRPr="008E60B5" w:rsidRDefault="00CA0011" w:rsidP="00A15EC1">
      <w:pPr>
        <w:pStyle w:val="SingleTxt"/>
        <w:numPr>
          <w:ilvl w:val="0"/>
          <w:numId w:val="10"/>
        </w:numPr>
        <w:spacing w:line="240" w:lineRule="exact"/>
        <w:rPr>
          <w:lang w:val="fr-FR"/>
        </w:rPr>
      </w:pPr>
      <w:r w:rsidRPr="008E60B5">
        <w:rPr>
          <w:lang w:val="fr-FR"/>
        </w:rPr>
        <w:t>Le projet de loi sur l</w:t>
      </w:r>
      <w:r w:rsidR="008E60B5" w:rsidRPr="008E60B5">
        <w:rPr>
          <w:lang w:val="fr-FR"/>
        </w:rPr>
        <w:t>’</w:t>
      </w:r>
      <w:r w:rsidRPr="008E60B5">
        <w:rPr>
          <w:lang w:val="fr-FR"/>
        </w:rPr>
        <w:t>égalité des sexes, dont la rédaction a fait l</w:t>
      </w:r>
      <w:r w:rsidR="008E60B5" w:rsidRPr="008E60B5">
        <w:rPr>
          <w:lang w:val="fr-FR"/>
        </w:rPr>
        <w:t>’</w:t>
      </w:r>
      <w:r w:rsidRPr="008E60B5">
        <w:rPr>
          <w:lang w:val="fr-FR"/>
        </w:rPr>
        <w:t>objet de débats approfondis en 2016, interdit entre autres les discriminations multiples et prévoit une aide juridictionnelle gratuite.</w:t>
      </w:r>
    </w:p>
    <w:p w14:paraId="2C17A619" w14:textId="70DA4F5E" w:rsidR="00CA0011" w:rsidRPr="008E60B5" w:rsidRDefault="00CA0011" w:rsidP="00A15EC1">
      <w:pPr>
        <w:pStyle w:val="SingleTxt"/>
        <w:numPr>
          <w:ilvl w:val="0"/>
          <w:numId w:val="10"/>
        </w:numPr>
        <w:spacing w:line="240" w:lineRule="exact"/>
        <w:rPr>
          <w:lang w:val="fr-FR"/>
        </w:rPr>
      </w:pPr>
      <w:r w:rsidRPr="008E60B5">
        <w:rPr>
          <w:lang w:val="fr-FR"/>
        </w:rPr>
        <w:t>Le projet de loi portant modification de la loi sur l</w:t>
      </w:r>
      <w:r w:rsidR="008E60B5" w:rsidRPr="008E60B5">
        <w:rPr>
          <w:lang w:val="fr-FR"/>
        </w:rPr>
        <w:t>’</w:t>
      </w:r>
      <w:r w:rsidRPr="008E60B5">
        <w:rPr>
          <w:lang w:val="fr-FR"/>
        </w:rPr>
        <w:t>interdiction de la discrimination, élaboré en coopération avec la Commissaire à l</w:t>
      </w:r>
      <w:r w:rsidR="008E60B5" w:rsidRPr="008E60B5">
        <w:rPr>
          <w:lang w:val="fr-FR"/>
        </w:rPr>
        <w:t>’</w:t>
      </w:r>
      <w:r w:rsidRPr="008E60B5">
        <w:rPr>
          <w:lang w:val="fr-FR"/>
        </w:rPr>
        <w:t>égalité et la Commission européenne, est pleinement conforme aux directives de l</w:t>
      </w:r>
      <w:r w:rsidR="008E60B5" w:rsidRPr="008E60B5">
        <w:rPr>
          <w:lang w:val="fr-FR"/>
        </w:rPr>
        <w:t>’</w:t>
      </w:r>
      <w:r w:rsidRPr="008E60B5">
        <w:rPr>
          <w:lang w:val="fr-FR"/>
        </w:rPr>
        <w:t>Union européenne, y compris en ce qui concerne la définition de la discrimination indirecte. Il a été présenté à la Commission européenne, qui doit faire part de ses observations.</w:t>
      </w:r>
    </w:p>
    <w:p w14:paraId="1ECE1ADF" w14:textId="77777777" w:rsidR="00980CBA" w:rsidRPr="008E60B5" w:rsidRDefault="00980CBA" w:rsidP="00980CBA">
      <w:pPr>
        <w:pStyle w:val="SingleTxt"/>
        <w:spacing w:after="0" w:line="120" w:lineRule="exact"/>
        <w:rPr>
          <w:b/>
          <w:sz w:val="10"/>
          <w:lang w:val="fr-FR"/>
        </w:rPr>
      </w:pPr>
    </w:p>
    <w:p w14:paraId="224BDAEF" w14:textId="5E09DB64" w:rsidR="00CA0011" w:rsidRPr="008E60B5" w:rsidRDefault="00CA0011" w:rsidP="00980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Aide juridictionnelle gratuite</w:t>
      </w:r>
    </w:p>
    <w:p w14:paraId="3B32810B" w14:textId="16324E12" w:rsidR="00980CBA" w:rsidRPr="008E60B5" w:rsidRDefault="00980CBA" w:rsidP="00980CBA">
      <w:pPr>
        <w:pStyle w:val="SingleTxt"/>
        <w:spacing w:after="0" w:line="120" w:lineRule="exact"/>
        <w:rPr>
          <w:sz w:val="10"/>
          <w:lang w:val="fr-FR"/>
        </w:rPr>
      </w:pPr>
    </w:p>
    <w:p w14:paraId="531AD219" w14:textId="10D54290" w:rsidR="00CA0011" w:rsidRPr="008E60B5" w:rsidRDefault="00CA0011" w:rsidP="00A15EC1">
      <w:pPr>
        <w:pStyle w:val="SingleTxt"/>
        <w:numPr>
          <w:ilvl w:val="0"/>
          <w:numId w:val="11"/>
        </w:numPr>
        <w:spacing w:line="240" w:lineRule="exact"/>
        <w:rPr>
          <w:lang w:val="fr-FR"/>
        </w:rPr>
      </w:pPr>
      <w:r w:rsidRPr="008E60B5">
        <w:rPr>
          <w:lang w:val="fr-FR"/>
        </w:rPr>
        <w:t>Un groupe de travail composé de représentants du Ministère de la justice, du Ministère de l</w:t>
      </w:r>
      <w:r w:rsidR="008E60B5" w:rsidRPr="008E60B5">
        <w:rPr>
          <w:lang w:val="fr-FR"/>
        </w:rPr>
        <w:t>’</w:t>
      </w:r>
      <w:r w:rsidRPr="008E60B5">
        <w:rPr>
          <w:lang w:val="fr-FR"/>
        </w:rPr>
        <w:t>administration publique et des collectivités locales, de barreaux d</w:t>
      </w:r>
      <w:r w:rsidR="008E60B5" w:rsidRPr="008E60B5">
        <w:rPr>
          <w:lang w:val="fr-FR"/>
        </w:rPr>
        <w:t>’</w:t>
      </w:r>
      <w:r w:rsidRPr="008E60B5">
        <w:rPr>
          <w:lang w:val="fr-FR"/>
        </w:rPr>
        <w:t>avocats, d</w:t>
      </w:r>
      <w:r w:rsidR="008E60B5" w:rsidRPr="008E60B5">
        <w:rPr>
          <w:lang w:val="fr-FR"/>
        </w:rPr>
        <w:t>’</w:t>
      </w:r>
      <w:r w:rsidRPr="008E60B5">
        <w:rPr>
          <w:lang w:val="fr-FR"/>
        </w:rPr>
        <w:t>organisations de la société civile et de collectivités locales a travaillé sans relâche à l</w:t>
      </w:r>
      <w:r w:rsidR="008E60B5" w:rsidRPr="008E60B5">
        <w:rPr>
          <w:lang w:val="fr-FR"/>
        </w:rPr>
        <w:t>’</w:t>
      </w:r>
      <w:r w:rsidRPr="008E60B5">
        <w:rPr>
          <w:lang w:val="fr-FR"/>
        </w:rPr>
        <w:t>élaboration du projet de loi sur l</w:t>
      </w:r>
      <w:r w:rsidR="008E60B5" w:rsidRPr="008E60B5">
        <w:rPr>
          <w:lang w:val="fr-FR"/>
        </w:rPr>
        <w:t>’</w:t>
      </w:r>
      <w:r w:rsidRPr="008E60B5">
        <w:rPr>
          <w:lang w:val="fr-FR"/>
        </w:rPr>
        <w:t>aide juridictionnelle gratuite, qui est quasiment achevé. Une évaluation des incidences financières de la mise en place d</w:t>
      </w:r>
      <w:r w:rsidR="008E60B5" w:rsidRPr="008E60B5">
        <w:rPr>
          <w:lang w:val="fr-FR"/>
        </w:rPr>
        <w:t>’</w:t>
      </w:r>
      <w:r w:rsidRPr="008E60B5">
        <w:rPr>
          <w:lang w:val="fr-FR"/>
        </w:rPr>
        <w:t>un système d</w:t>
      </w:r>
      <w:r w:rsidR="008E60B5" w:rsidRPr="008E60B5">
        <w:rPr>
          <w:lang w:val="fr-FR"/>
        </w:rPr>
        <w:t>’</w:t>
      </w:r>
      <w:r w:rsidRPr="008E60B5">
        <w:rPr>
          <w:lang w:val="fr-FR"/>
        </w:rPr>
        <w:t>aide juridictionnelle gratuite a également été menée. L</w:t>
      </w:r>
      <w:r w:rsidR="008E60B5" w:rsidRPr="008E60B5">
        <w:rPr>
          <w:lang w:val="fr-FR"/>
        </w:rPr>
        <w:t>’</w:t>
      </w:r>
      <w:r w:rsidRPr="008E60B5">
        <w:rPr>
          <w:lang w:val="fr-FR"/>
        </w:rPr>
        <w:t>adoption de la loi a été retardée en raison de désaccords persistants entre les représentants de la société civile et des barreaux. Une table ronde tenue en janvier a été l</w:t>
      </w:r>
      <w:r w:rsidR="008E60B5" w:rsidRPr="008E60B5">
        <w:rPr>
          <w:lang w:val="fr-FR"/>
        </w:rPr>
        <w:t>’</w:t>
      </w:r>
      <w:r w:rsidRPr="008E60B5">
        <w:rPr>
          <w:lang w:val="fr-FR"/>
        </w:rPr>
        <w:t xml:space="preserve">occasion pour ces </w:t>
      </w:r>
      <w:r w:rsidRPr="008E60B5">
        <w:rPr>
          <w:lang w:val="fr-FR"/>
        </w:rPr>
        <w:lastRenderedPageBreak/>
        <w:t>parties de discuter de leurs divergences avec la participation d</w:t>
      </w:r>
      <w:r w:rsidR="008E60B5" w:rsidRPr="008E60B5">
        <w:rPr>
          <w:lang w:val="fr-FR"/>
        </w:rPr>
        <w:t>’</w:t>
      </w:r>
      <w:r w:rsidRPr="008E60B5">
        <w:rPr>
          <w:lang w:val="fr-FR"/>
        </w:rPr>
        <w:t>organisations internationales et de la délégation de l</w:t>
      </w:r>
      <w:r w:rsidR="008E60B5" w:rsidRPr="008E60B5">
        <w:rPr>
          <w:lang w:val="fr-FR"/>
        </w:rPr>
        <w:t>’</w:t>
      </w:r>
      <w:r w:rsidRPr="008E60B5">
        <w:rPr>
          <w:lang w:val="fr-FR"/>
        </w:rPr>
        <w:t>Union européenne en Serbie.</w:t>
      </w:r>
    </w:p>
    <w:p w14:paraId="46FAE9AA" w14:textId="4135D6FF" w:rsidR="00CA0011" w:rsidRPr="008E60B5" w:rsidRDefault="00CA0011" w:rsidP="00A15EC1">
      <w:pPr>
        <w:pStyle w:val="SingleTxt"/>
        <w:numPr>
          <w:ilvl w:val="0"/>
          <w:numId w:val="11"/>
        </w:numPr>
        <w:spacing w:line="240" w:lineRule="exact"/>
        <w:rPr>
          <w:lang w:val="fr-FR"/>
        </w:rPr>
      </w:pPr>
      <w:r w:rsidRPr="008E60B5">
        <w:rPr>
          <w:lang w:val="fr-FR"/>
        </w:rPr>
        <w:t>Pour améliorer l</w:t>
      </w:r>
      <w:r w:rsidR="008E60B5" w:rsidRPr="008E60B5">
        <w:rPr>
          <w:lang w:val="fr-FR"/>
        </w:rPr>
        <w:t>’</w:t>
      </w:r>
      <w:r w:rsidRPr="008E60B5">
        <w:rPr>
          <w:lang w:val="fr-FR"/>
        </w:rPr>
        <w:t>accès aux textes législatifs et réglementaires et à la jurisprudence, l</w:t>
      </w:r>
      <w:r w:rsidR="008E60B5" w:rsidRPr="008E60B5">
        <w:rPr>
          <w:lang w:val="fr-FR"/>
        </w:rPr>
        <w:t>’</w:t>
      </w:r>
      <w:r w:rsidRPr="008E60B5">
        <w:rPr>
          <w:lang w:val="fr-FR"/>
        </w:rPr>
        <w:t>entreprise publique Official Gazette met à disposition en ligne gratuitement les textes de synthèse non officiels des lois et règlements applicables au niveau national et la version PDF des journaux officiels contenant la</w:t>
      </w:r>
      <w:r w:rsidR="00002E6B" w:rsidRPr="008E60B5">
        <w:rPr>
          <w:lang w:val="fr-FR"/>
        </w:rPr>
        <w:t xml:space="preserve"> </w:t>
      </w:r>
      <w:r w:rsidRPr="008E60B5">
        <w:rPr>
          <w:lang w:val="fr-FR"/>
        </w:rPr>
        <w:t>version originale de ces instruments ainsi que toute modification ultérieure. Une base de données de jurisprudence peut également être consultée gratuitement.</w:t>
      </w:r>
    </w:p>
    <w:p w14:paraId="70B0184E" w14:textId="77777777" w:rsidR="00980CBA" w:rsidRPr="008E60B5" w:rsidRDefault="00980CBA" w:rsidP="00980CBA">
      <w:pPr>
        <w:pStyle w:val="SingleTxt"/>
        <w:spacing w:after="0" w:line="120" w:lineRule="exact"/>
        <w:rPr>
          <w:b/>
          <w:sz w:val="10"/>
          <w:lang w:val="fr-FR"/>
        </w:rPr>
      </w:pPr>
    </w:p>
    <w:p w14:paraId="22E2FDC5" w14:textId="7EE9EEEC" w:rsidR="00CA0011" w:rsidRPr="008E60B5" w:rsidRDefault="00CA0011" w:rsidP="00980C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Article 3</w:t>
      </w:r>
    </w:p>
    <w:p w14:paraId="6F7FD74E" w14:textId="48BDB218" w:rsidR="00980CBA" w:rsidRPr="008E60B5" w:rsidRDefault="00980CBA" w:rsidP="00980CBA">
      <w:pPr>
        <w:pStyle w:val="SingleTxt"/>
        <w:spacing w:after="0" w:line="120" w:lineRule="exact"/>
        <w:rPr>
          <w:sz w:val="10"/>
          <w:lang w:val="fr-FR"/>
        </w:rPr>
      </w:pPr>
    </w:p>
    <w:p w14:paraId="30661225" w14:textId="77A884AD" w:rsidR="00980CBA" w:rsidRPr="008E60B5" w:rsidRDefault="00980CBA" w:rsidP="00980CBA">
      <w:pPr>
        <w:pStyle w:val="SingleTxt"/>
        <w:spacing w:after="0" w:line="120" w:lineRule="exact"/>
        <w:rPr>
          <w:sz w:val="10"/>
          <w:lang w:val="fr-FR"/>
        </w:rPr>
      </w:pPr>
    </w:p>
    <w:p w14:paraId="792E2E54" w14:textId="6641599A" w:rsidR="00CA0011" w:rsidRPr="008E60B5" w:rsidRDefault="00CA0011" w:rsidP="00980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Mesures prises pour assurer le plein développement et le progrès des femmes</w:t>
      </w:r>
    </w:p>
    <w:p w14:paraId="741767DF" w14:textId="431666F8" w:rsidR="00980CBA" w:rsidRPr="008E60B5" w:rsidRDefault="00980CBA" w:rsidP="00980CBA">
      <w:pPr>
        <w:pStyle w:val="SingleTxt"/>
        <w:spacing w:after="0" w:line="120" w:lineRule="exact"/>
        <w:rPr>
          <w:sz w:val="10"/>
          <w:lang w:val="fr-FR"/>
        </w:rPr>
      </w:pPr>
    </w:p>
    <w:p w14:paraId="7BB43C75" w14:textId="07F766C5" w:rsidR="00CA0011" w:rsidRPr="008E60B5" w:rsidRDefault="00F90894" w:rsidP="00F9089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r>
      <w:r w:rsidR="00CA0011" w:rsidRPr="008E60B5">
        <w:rPr>
          <w:lang w:val="fr-FR"/>
        </w:rPr>
        <w:t xml:space="preserve">Recommandation formulée au paragraphe 13 </w:t>
      </w:r>
    </w:p>
    <w:p w14:paraId="32CCAFA0" w14:textId="03FB46E3" w:rsidR="0053586A" w:rsidRPr="008E60B5" w:rsidRDefault="0053586A" w:rsidP="0053586A">
      <w:pPr>
        <w:pStyle w:val="SingleTxt"/>
        <w:spacing w:after="0" w:line="120" w:lineRule="exact"/>
        <w:rPr>
          <w:i/>
          <w:sz w:val="10"/>
          <w:lang w:val="fr-FR"/>
        </w:rPr>
      </w:pPr>
    </w:p>
    <w:p w14:paraId="4C803CBB" w14:textId="2EECDD5F" w:rsidR="00CA0011" w:rsidRPr="008E60B5" w:rsidRDefault="00CA0011" w:rsidP="005358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Organes nationaux indépendants chargés des droits de l</w:t>
      </w:r>
      <w:r w:rsidR="008E60B5" w:rsidRPr="008E60B5">
        <w:rPr>
          <w:lang w:val="fr-FR"/>
        </w:rPr>
        <w:t>’</w:t>
      </w:r>
      <w:r w:rsidRPr="008E60B5">
        <w:rPr>
          <w:lang w:val="fr-FR"/>
        </w:rPr>
        <w:t>homme</w:t>
      </w:r>
    </w:p>
    <w:p w14:paraId="4300317C" w14:textId="62C5CD4D" w:rsidR="0053586A" w:rsidRPr="008E60B5" w:rsidRDefault="0053586A" w:rsidP="0053586A">
      <w:pPr>
        <w:pStyle w:val="SingleTxt"/>
        <w:spacing w:after="0" w:line="120" w:lineRule="exact"/>
        <w:rPr>
          <w:sz w:val="10"/>
          <w:lang w:val="fr-FR"/>
        </w:rPr>
      </w:pPr>
    </w:p>
    <w:p w14:paraId="6EA69EE2" w14:textId="1094B12F" w:rsidR="00CA0011" w:rsidRPr="008E60B5" w:rsidRDefault="00CA0011" w:rsidP="00A15EC1">
      <w:pPr>
        <w:pStyle w:val="SingleTxt"/>
        <w:numPr>
          <w:ilvl w:val="0"/>
          <w:numId w:val="12"/>
        </w:numPr>
        <w:spacing w:line="240" w:lineRule="exact"/>
        <w:rPr>
          <w:lang w:val="fr-FR"/>
        </w:rPr>
      </w:pPr>
      <w:r w:rsidRPr="008E60B5">
        <w:rPr>
          <w:lang w:val="fr-FR"/>
        </w:rPr>
        <w:t>Les budgets des organes indépendants chargés des droits de l</w:t>
      </w:r>
      <w:r w:rsidR="008E60B5" w:rsidRPr="008E60B5">
        <w:rPr>
          <w:lang w:val="fr-FR"/>
        </w:rPr>
        <w:t>’</w:t>
      </w:r>
      <w:r w:rsidRPr="008E60B5">
        <w:rPr>
          <w:lang w:val="fr-FR"/>
        </w:rPr>
        <w:t xml:space="preserve">homme ont augmenté chaque année au cours de la période écoulée. </w:t>
      </w:r>
    </w:p>
    <w:p w14:paraId="6B7E2B2E" w14:textId="637396F9" w:rsidR="0053586A" w:rsidRPr="008E60B5" w:rsidRDefault="0053586A" w:rsidP="0053586A">
      <w:pPr>
        <w:pStyle w:val="SingleTxt"/>
        <w:spacing w:after="0" w:line="120" w:lineRule="exact"/>
        <w:rPr>
          <w:sz w:val="10"/>
          <w:lang w:val="fr-FR"/>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53"/>
        <w:gridCol w:w="1080"/>
        <w:gridCol w:w="1080"/>
        <w:gridCol w:w="1080"/>
        <w:gridCol w:w="1080"/>
      </w:tblGrid>
      <w:tr w:rsidR="0053586A" w:rsidRPr="008E60B5" w14:paraId="46D942C1" w14:textId="77777777" w:rsidTr="00596BC8">
        <w:trPr>
          <w:tblHeader/>
        </w:trPr>
        <w:tc>
          <w:tcPr>
            <w:tcW w:w="3053" w:type="dxa"/>
            <w:tcBorders>
              <w:top w:val="single" w:sz="4" w:space="0" w:color="auto"/>
              <w:bottom w:val="single" w:sz="12" w:space="0" w:color="auto"/>
            </w:tcBorders>
            <w:shd w:val="clear" w:color="auto" w:fill="auto"/>
            <w:vAlign w:val="bottom"/>
          </w:tcPr>
          <w:p w14:paraId="092A32D9" w14:textId="413CCD97" w:rsidR="00CA0011" w:rsidRPr="008E60B5" w:rsidRDefault="00CA0011" w:rsidP="00F90894">
            <w:pPr>
              <w:suppressAutoHyphens/>
              <w:spacing w:before="81" w:after="81" w:line="160" w:lineRule="exact"/>
              <w:ind w:right="40"/>
              <w:rPr>
                <w:i/>
                <w:sz w:val="14"/>
              </w:rPr>
            </w:pPr>
            <w:r w:rsidRPr="008E60B5">
              <w:rPr>
                <w:i/>
                <w:sz w:val="14"/>
              </w:rPr>
              <w:t>Budget des organes indépendants</w:t>
            </w:r>
            <w:r w:rsidR="00F90894" w:rsidRPr="008E60B5">
              <w:rPr>
                <w:i/>
                <w:sz w:val="14"/>
              </w:rPr>
              <w:br/>
            </w:r>
            <w:r w:rsidRPr="008E60B5">
              <w:rPr>
                <w:i/>
                <w:sz w:val="14"/>
              </w:rPr>
              <w:t>en</w:t>
            </w:r>
            <w:r w:rsidR="00475DE4" w:rsidRPr="008E60B5">
              <w:rPr>
                <w:i/>
                <w:sz w:val="14"/>
              </w:rPr>
              <w:t> </w:t>
            </w:r>
            <w:r w:rsidRPr="008E60B5">
              <w:rPr>
                <w:i/>
                <w:sz w:val="14"/>
              </w:rPr>
              <w:t>dinars serbes</w:t>
            </w:r>
          </w:p>
        </w:tc>
        <w:tc>
          <w:tcPr>
            <w:tcW w:w="1080" w:type="dxa"/>
            <w:tcBorders>
              <w:top w:val="single" w:sz="4" w:space="0" w:color="auto"/>
              <w:bottom w:val="single" w:sz="12" w:space="0" w:color="auto"/>
            </w:tcBorders>
            <w:shd w:val="clear" w:color="auto" w:fill="auto"/>
            <w:vAlign w:val="bottom"/>
          </w:tcPr>
          <w:p w14:paraId="32ED744B" w14:textId="77777777" w:rsidR="00CA0011" w:rsidRPr="008E60B5" w:rsidRDefault="00CA0011" w:rsidP="0053586A">
            <w:pPr>
              <w:suppressAutoHyphens/>
              <w:spacing w:before="81" w:after="81" w:line="160" w:lineRule="exact"/>
              <w:jc w:val="right"/>
              <w:rPr>
                <w:i/>
                <w:sz w:val="14"/>
              </w:rPr>
            </w:pPr>
            <w:r w:rsidRPr="008E60B5">
              <w:rPr>
                <w:i/>
                <w:sz w:val="14"/>
              </w:rPr>
              <w:t>2014</w:t>
            </w:r>
          </w:p>
        </w:tc>
        <w:tc>
          <w:tcPr>
            <w:tcW w:w="1080" w:type="dxa"/>
            <w:tcBorders>
              <w:top w:val="single" w:sz="4" w:space="0" w:color="auto"/>
              <w:bottom w:val="single" w:sz="12" w:space="0" w:color="auto"/>
            </w:tcBorders>
            <w:shd w:val="clear" w:color="auto" w:fill="auto"/>
            <w:vAlign w:val="bottom"/>
          </w:tcPr>
          <w:p w14:paraId="5A932355" w14:textId="77777777" w:rsidR="00CA0011" w:rsidRPr="008E60B5" w:rsidRDefault="00CA0011" w:rsidP="0053586A">
            <w:pPr>
              <w:suppressAutoHyphens/>
              <w:spacing w:before="81" w:after="81" w:line="160" w:lineRule="exact"/>
              <w:jc w:val="right"/>
              <w:rPr>
                <w:i/>
                <w:sz w:val="14"/>
              </w:rPr>
            </w:pPr>
            <w:r w:rsidRPr="008E60B5">
              <w:rPr>
                <w:i/>
                <w:sz w:val="14"/>
              </w:rPr>
              <w:t>2015</w:t>
            </w:r>
          </w:p>
        </w:tc>
        <w:tc>
          <w:tcPr>
            <w:tcW w:w="1080" w:type="dxa"/>
            <w:tcBorders>
              <w:top w:val="single" w:sz="4" w:space="0" w:color="auto"/>
              <w:bottom w:val="single" w:sz="12" w:space="0" w:color="auto"/>
            </w:tcBorders>
            <w:shd w:val="clear" w:color="auto" w:fill="auto"/>
            <w:vAlign w:val="bottom"/>
          </w:tcPr>
          <w:p w14:paraId="59BF55A9" w14:textId="77777777" w:rsidR="00CA0011" w:rsidRPr="008E60B5" w:rsidRDefault="00CA0011" w:rsidP="0053586A">
            <w:pPr>
              <w:suppressAutoHyphens/>
              <w:spacing w:before="81" w:after="81" w:line="160" w:lineRule="exact"/>
              <w:jc w:val="right"/>
              <w:rPr>
                <w:i/>
                <w:sz w:val="14"/>
              </w:rPr>
            </w:pPr>
            <w:r w:rsidRPr="008E60B5">
              <w:rPr>
                <w:i/>
                <w:sz w:val="14"/>
              </w:rPr>
              <w:t>2016</w:t>
            </w:r>
          </w:p>
        </w:tc>
        <w:tc>
          <w:tcPr>
            <w:tcW w:w="1080" w:type="dxa"/>
            <w:tcBorders>
              <w:top w:val="single" w:sz="4" w:space="0" w:color="auto"/>
              <w:bottom w:val="single" w:sz="12" w:space="0" w:color="auto"/>
            </w:tcBorders>
            <w:shd w:val="clear" w:color="auto" w:fill="auto"/>
            <w:vAlign w:val="bottom"/>
          </w:tcPr>
          <w:p w14:paraId="1C460FCF" w14:textId="77777777" w:rsidR="00CA0011" w:rsidRPr="008E60B5" w:rsidRDefault="00CA0011" w:rsidP="0053586A">
            <w:pPr>
              <w:suppressAutoHyphens/>
              <w:spacing w:before="81" w:after="81" w:line="160" w:lineRule="exact"/>
              <w:jc w:val="right"/>
              <w:rPr>
                <w:i/>
                <w:sz w:val="14"/>
              </w:rPr>
            </w:pPr>
            <w:r w:rsidRPr="008E60B5">
              <w:rPr>
                <w:i/>
                <w:sz w:val="14"/>
              </w:rPr>
              <w:t>2017</w:t>
            </w:r>
          </w:p>
        </w:tc>
      </w:tr>
      <w:tr w:rsidR="0053586A" w:rsidRPr="008E60B5" w14:paraId="1D67CA12" w14:textId="77777777" w:rsidTr="00596BC8">
        <w:trPr>
          <w:trHeight w:hRule="exact" w:val="115"/>
          <w:tblHeader/>
        </w:trPr>
        <w:tc>
          <w:tcPr>
            <w:tcW w:w="3053" w:type="dxa"/>
            <w:tcBorders>
              <w:top w:val="single" w:sz="12" w:space="0" w:color="auto"/>
            </w:tcBorders>
            <w:shd w:val="clear" w:color="auto" w:fill="auto"/>
            <w:vAlign w:val="bottom"/>
          </w:tcPr>
          <w:p w14:paraId="22E2DE36" w14:textId="77777777" w:rsidR="0053586A" w:rsidRPr="008E60B5" w:rsidRDefault="0053586A" w:rsidP="00BA7EEE">
            <w:pPr>
              <w:suppressAutoHyphens/>
              <w:spacing w:before="40" w:after="40" w:line="210" w:lineRule="exact"/>
              <w:ind w:right="40"/>
              <w:rPr>
                <w:sz w:val="17"/>
              </w:rPr>
            </w:pPr>
          </w:p>
        </w:tc>
        <w:tc>
          <w:tcPr>
            <w:tcW w:w="1080" w:type="dxa"/>
            <w:tcBorders>
              <w:top w:val="single" w:sz="12" w:space="0" w:color="auto"/>
            </w:tcBorders>
            <w:shd w:val="clear" w:color="auto" w:fill="auto"/>
            <w:vAlign w:val="bottom"/>
          </w:tcPr>
          <w:p w14:paraId="74737762" w14:textId="77777777" w:rsidR="0053586A" w:rsidRPr="008E60B5" w:rsidRDefault="0053586A" w:rsidP="0053586A">
            <w:pPr>
              <w:suppressAutoHyphens/>
              <w:spacing w:before="40" w:after="40" w:line="210" w:lineRule="exact"/>
              <w:jc w:val="right"/>
              <w:rPr>
                <w:sz w:val="17"/>
              </w:rPr>
            </w:pPr>
          </w:p>
        </w:tc>
        <w:tc>
          <w:tcPr>
            <w:tcW w:w="1080" w:type="dxa"/>
            <w:tcBorders>
              <w:top w:val="single" w:sz="12" w:space="0" w:color="auto"/>
            </w:tcBorders>
            <w:shd w:val="clear" w:color="auto" w:fill="auto"/>
            <w:vAlign w:val="bottom"/>
          </w:tcPr>
          <w:p w14:paraId="0CB7EC88" w14:textId="77777777" w:rsidR="0053586A" w:rsidRPr="008E60B5" w:rsidRDefault="0053586A" w:rsidP="0053586A">
            <w:pPr>
              <w:suppressAutoHyphens/>
              <w:spacing w:before="40" w:after="40" w:line="210" w:lineRule="exact"/>
              <w:jc w:val="right"/>
              <w:rPr>
                <w:sz w:val="17"/>
              </w:rPr>
            </w:pPr>
          </w:p>
        </w:tc>
        <w:tc>
          <w:tcPr>
            <w:tcW w:w="1080" w:type="dxa"/>
            <w:tcBorders>
              <w:top w:val="single" w:sz="12" w:space="0" w:color="auto"/>
            </w:tcBorders>
            <w:shd w:val="clear" w:color="auto" w:fill="auto"/>
            <w:vAlign w:val="bottom"/>
          </w:tcPr>
          <w:p w14:paraId="06F9CFB0" w14:textId="77777777" w:rsidR="0053586A" w:rsidRPr="008E60B5" w:rsidRDefault="0053586A" w:rsidP="0053586A">
            <w:pPr>
              <w:suppressAutoHyphens/>
              <w:spacing w:before="40" w:after="40" w:line="210" w:lineRule="exact"/>
              <w:jc w:val="right"/>
              <w:rPr>
                <w:sz w:val="17"/>
              </w:rPr>
            </w:pPr>
          </w:p>
        </w:tc>
        <w:tc>
          <w:tcPr>
            <w:tcW w:w="1080" w:type="dxa"/>
            <w:tcBorders>
              <w:top w:val="single" w:sz="12" w:space="0" w:color="auto"/>
            </w:tcBorders>
            <w:shd w:val="clear" w:color="auto" w:fill="auto"/>
            <w:vAlign w:val="bottom"/>
          </w:tcPr>
          <w:p w14:paraId="38A141D8" w14:textId="77777777" w:rsidR="0053586A" w:rsidRPr="008E60B5" w:rsidRDefault="0053586A" w:rsidP="0053586A">
            <w:pPr>
              <w:suppressAutoHyphens/>
              <w:spacing w:before="40" w:after="40" w:line="210" w:lineRule="exact"/>
              <w:jc w:val="right"/>
              <w:rPr>
                <w:sz w:val="17"/>
              </w:rPr>
            </w:pPr>
          </w:p>
        </w:tc>
      </w:tr>
      <w:tr w:rsidR="0053586A" w:rsidRPr="008E60B5" w14:paraId="2C5FEB96" w14:textId="77777777" w:rsidTr="00596BC8">
        <w:tc>
          <w:tcPr>
            <w:tcW w:w="3053" w:type="dxa"/>
            <w:shd w:val="clear" w:color="auto" w:fill="auto"/>
            <w:vAlign w:val="bottom"/>
          </w:tcPr>
          <w:p w14:paraId="17E2B5B1" w14:textId="77777777" w:rsidR="00CA0011" w:rsidRPr="008E60B5" w:rsidRDefault="00CA0011" w:rsidP="00BA7EEE">
            <w:pPr>
              <w:tabs>
                <w:tab w:val="left" w:pos="288"/>
                <w:tab w:val="left" w:pos="576"/>
                <w:tab w:val="left" w:pos="864"/>
                <w:tab w:val="left" w:pos="1152"/>
              </w:tabs>
              <w:suppressAutoHyphens/>
              <w:spacing w:before="40" w:after="40" w:line="210" w:lineRule="exact"/>
              <w:ind w:right="40"/>
              <w:rPr>
                <w:sz w:val="17"/>
              </w:rPr>
            </w:pPr>
            <w:r w:rsidRPr="008E60B5">
              <w:rPr>
                <w:sz w:val="17"/>
              </w:rPr>
              <w:t>Bureau du Défenseur des citoyens</w:t>
            </w:r>
          </w:p>
        </w:tc>
        <w:tc>
          <w:tcPr>
            <w:tcW w:w="1080" w:type="dxa"/>
            <w:shd w:val="clear" w:color="auto" w:fill="auto"/>
            <w:vAlign w:val="bottom"/>
          </w:tcPr>
          <w:p w14:paraId="6F60F707" w14:textId="77777777" w:rsidR="00CA0011" w:rsidRPr="008E60B5" w:rsidRDefault="00CA0011" w:rsidP="0053586A">
            <w:pPr>
              <w:tabs>
                <w:tab w:val="left" w:pos="288"/>
                <w:tab w:val="left" w:pos="576"/>
                <w:tab w:val="left" w:pos="864"/>
                <w:tab w:val="left" w:pos="1152"/>
              </w:tabs>
              <w:suppressAutoHyphens/>
              <w:spacing w:before="40" w:after="40" w:line="210" w:lineRule="exact"/>
              <w:jc w:val="right"/>
              <w:rPr>
                <w:sz w:val="17"/>
              </w:rPr>
            </w:pPr>
            <w:r w:rsidRPr="008E60B5">
              <w:rPr>
                <w:sz w:val="17"/>
              </w:rPr>
              <w:t>176 676 000</w:t>
            </w:r>
          </w:p>
        </w:tc>
        <w:tc>
          <w:tcPr>
            <w:tcW w:w="1080" w:type="dxa"/>
            <w:shd w:val="clear" w:color="auto" w:fill="auto"/>
            <w:vAlign w:val="bottom"/>
          </w:tcPr>
          <w:p w14:paraId="75F1BC6E" w14:textId="77777777" w:rsidR="00CA0011" w:rsidRPr="008E60B5" w:rsidRDefault="00CA0011" w:rsidP="0053586A">
            <w:pPr>
              <w:tabs>
                <w:tab w:val="left" w:pos="288"/>
                <w:tab w:val="left" w:pos="576"/>
                <w:tab w:val="left" w:pos="864"/>
                <w:tab w:val="left" w:pos="1152"/>
              </w:tabs>
              <w:suppressAutoHyphens/>
              <w:spacing w:before="40" w:after="40" w:line="210" w:lineRule="exact"/>
              <w:jc w:val="right"/>
              <w:rPr>
                <w:sz w:val="17"/>
              </w:rPr>
            </w:pPr>
            <w:r w:rsidRPr="008E60B5">
              <w:rPr>
                <w:sz w:val="17"/>
              </w:rPr>
              <w:t>171 417 000</w:t>
            </w:r>
          </w:p>
        </w:tc>
        <w:tc>
          <w:tcPr>
            <w:tcW w:w="1080" w:type="dxa"/>
            <w:shd w:val="clear" w:color="auto" w:fill="auto"/>
            <w:vAlign w:val="bottom"/>
          </w:tcPr>
          <w:p w14:paraId="55D6AF96" w14:textId="77777777" w:rsidR="00CA0011" w:rsidRPr="008E60B5" w:rsidRDefault="00CA0011" w:rsidP="0053586A">
            <w:pPr>
              <w:tabs>
                <w:tab w:val="left" w:pos="288"/>
                <w:tab w:val="left" w:pos="576"/>
                <w:tab w:val="left" w:pos="864"/>
                <w:tab w:val="left" w:pos="1152"/>
              </w:tabs>
              <w:suppressAutoHyphens/>
              <w:spacing w:before="40" w:after="40" w:line="210" w:lineRule="exact"/>
              <w:jc w:val="right"/>
              <w:rPr>
                <w:sz w:val="17"/>
              </w:rPr>
            </w:pPr>
            <w:r w:rsidRPr="008E60B5">
              <w:rPr>
                <w:sz w:val="17"/>
              </w:rPr>
              <w:t>209 447 000</w:t>
            </w:r>
          </w:p>
        </w:tc>
        <w:tc>
          <w:tcPr>
            <w:tcW w:w="1080" w:type="dxa"/>
            <w:shd w:val="clear" w:color="auto" w:fill="auto"/>
            <w:vAlign w:val="bottom"/>
          </w:tcPr>
          <w:p w14:paraId="281AEF6D" w14:textId="77777777" w:rsidR="00CA0011" w:rsidRPr="008E60B5" w:rsidRDefault="00CA0011" w:rsidP="0053586A">
            <w:pPr>
              <w:tabs>
                <w:tab w:val="left" w:pos="288"/>
                <w:tab w:val="left" w:pos="576"/>
                <w:tab w:val="left" w:pos="864"/>
                <w:tab w:val="left" w:pos="1152"/>
              </w:tabs>
              <w:suppressAutoHyphens/>
              <w:spacing w:before="40" w:after="40" w:line="210" w:lineRule="exact"/>
              <w:jc w:val="right"/>
              <w:rPr>
                <w:sz w:val="17"/>
              </w:rPr>
            </w:pPr>
            <w:r w:rsidRPr="008E60B5">
              <w:rPr>
                <w:sz w:val="17"/>
              </w:rPr>
              <w:t>216 000 000</w:t>
            </w:r>
          </w:p>
        </w:tc>
      </w:tr>
      <w:tr w:rsidR="0053586A" w:rsidRPr="008E60B5" w14:paraId="63A55612" w14:textId="77777777" w:rsidTr="00596BC8">
        <w:tc>
          <w:tcPr>
            <w:tcW w:w="3053" w:type="dxa"/>
            <w:shd w:val="clear" w:color="auto" w:fill="auto"/>
            <w:vAlign w:val="bottom"/>
          </w:tcPr>
          <w:p w14:paraId="76DD9BCD" w14:textId="3C4F567A" w:rsidR="00CA0011" w:rsidRPr="008E60B5" w:rsidRDefault="00CA0011" w:rsidP="00BA7EEE">
            <w:pPr>
              <w:tabs>
                <w:tab w:val="left" w:pos="288"/>
                <w:tab w:val="left" w:pos="576"/>
                <w:tab w:val="left" w:pos="864"/>
                <w:tab w:val="left" w:pos="1152"/>
              </w:tabs>
              <w:suppressAutoHyphens/>
              <w:spacing w:before="40" w:after="40" w:line="210" w:lineRule="exact"/>
              <w:ind w:right="40"/>
              <w:rPr>
                <w:sz w:val="17"/>
              </w:rPr>
            </w:pPr>
            <w:r w:rsidRPr="008E60B5">
              <w:rPr>
                <w:sz w:val="17"/>
              </w:rPr>
              <w:t>Commissariat à l</w:t>
            </w:r>
            <w:r w:rsidR="008E60B5" w:rsidRPr="008E60B5">
              <w:rPr>
                <w:sz w:val="17"/>
              </w:rPr>
              <w:t>’</w:t>
            </w:r>
            <w:r w:rsidRPr="008E60B5">
              <w:rPr>
                <w:sz w:val="17"/>
              </w:rPr>
              <w:t>égalité</w:t>
            </w:r>
          </w:p>
        </w:tc>
        <w:tc>
          <w:tcPr>
            <w:tcW w:w="1080" w:type="dxa"/>
            <w:shd w:val="clear" w:color="auto" w:fill="auto"/>
            <w:vAlign w:val="bottom"/>
          </w:tcPr>
          <w:p w14:paraId="2EAEFE29" w14:textId="77777777" w:rsidR="00CA0011" w:rsidRPr="008E60B5" w:rsidRDefault="00CA0011" w:rsidP="0053586A">
            <w:pPr>
              <w:tabs>
                <w:tab w:val="left" w:pos="288"/>
                <w:tab w:val="left" w:pos="576"/>
                <w:tab w:val="left" w:pos="864"/>
                <w:tab w:val="left" w:pos="1152"/>
              </w:tabs>
              <w:suppressAutoHyphens/>
              <w:spacing w:before="40" w:after="40" w:line="210" w:lineRule="exact"/>
              <w:jc w:val="right"/>
              <w:rPr>
                <w:sz w:val="17"/>
              </w:rPr>
            </w:pPr>
            <w:r w:rsidRPr="008E60B5">
              <w:rPr>
                <w:sz w:val="17"/>
              </w:rPr>
              <w:t>68 955 000</w:t>
            </w:r>
          </w:p>
        </w:tc>
        <w:tc>
          <w:tcPr>
            <w:tcW w:w="1080" w:type="dxa"/>
            <w:shd w:val="clear" w:color="auto" w:fill="auto"/>
            <w:vAlign w:val="bottom"/>
          </w:tcPr>
          <w:p w14:paraId="0A5939F3" w14:textId="77777777" w:rsidR="00CA0011" w:rsidRPr="008E60B5" w:rsidRDefault="00CA0011" w:rsidP="0053586A">
            <w:pPr>
              <w:tabs>
                <w:tab w:val="left" w:pos="288"/>
                <w:tab w:val="left" w:pos="576"/>
                <w:tab w:val="left" w:pos="864"/>
                <w:tab w:val="left" w:pos="1152"/>
              </w:tabs>
              <w:suppressAutoHyphens/>
              <w:spacing w:before="40" w:after="40" w:line="210" w:lineRule="exact"/>
              <w:jc w:val="right"/>
              <w:rPr>
                <w:sz w:val="17"/>
              </w:rPr>
            </w:pPr>
            <w:r w:rsidRPr="008E60B5">
              <w:rPr>
                <w:sz w:val="17"/>
              </w:rPr>
              <w:t>72 634 000</w:t>
            </w:r>
          </w:p>
        </w:tc>
        <w:tc>
          <w:tcPr>
            <w:tcW w:w="1080" w:type="dxa"/>
            <w:shd w:val="clear" w:color="auto" w:fill="auto"/>
            <w:vAlign w:val="bottom"/>
          </w:tcPr>
          <w:p w14:paraId="1C10C498" w14:textId="77777777" w:rsidR="00CA0011" w:rsidRPr="008E60B5" w:rsidRDefault="00CA0011" w:rsidP="0053586A">
            <w:pPr>
              <w:tabs>
                <w:tab w:val="left" w:pos="288"/>
                <w:tab w:val="left" w:pos="576"/>
                <w:tab w:val="left" w:pos="864"/>
                <w:tab w:val="left" w:pos="1152"/>
              </w:tabs>
              <w:suppressAutoHyphens/>
              <w:spacing w:before="40" w:after="40" w:line="210" w:lineRule="exact"/>
              <w:jc w:val="right"/>
              <w:rPr>
                <w:sz w:val="17"/>
              </w:rPr>
            </w:pPr>
            <w:r w:rsidRPr="008E60B5">
              <w:rPr>
                <w:sz w:val="17"/>
              </w:rPr>
              <w:t>81 255 000</w:t>
            </w:r>
          </w:p>
        </w:tc>
        <w:tc>
          <w:tcPr>
            <w:tcW w:w="1080" w:type="dxa"/>
            <w:shd w:val="clear" w:color="auto" w:fill="auto"/>
            <w:vAlign w:val="bottom"/>
          </w:tcPr>
          <w:p w14:paraId="4A52C03A" w14:textId="77777777" w:rsidR="00CA0011" w:rsidRPr="008E60B5" w:rsidRDefault="00CA0011" w:rsidP="0053586A">
            <w:pPr>
              <w:tabs>
                <w:tab w:val="left" w:pos="288"/>
                <w:tab w:val="left" w:pos="576"/>
                <w:tab w:val="left" w:pos="864"/>
                <w:tab w:val="left" w:pos="1152"/>
              </w:tabs>
              <w:suppressAutoHyphens/>
              <w:spacing w:before="40" w:after="40" w:line="210" w:lineRule="exact"/>
              <w:jc w:val="right"/>
              <w:rPr>
                <w:sz w:val="17"/>
              </w:rPr>
            </w:pPr>
            <w:r w:rsidRPr="008E60B5">
              <w:rPr>
                <w:sz w:val="17"/>
              </w:rPr>
              <w:t>104 166 000</w:t>
            </w:r>
          </w:p>
        </w:tc>
      </w:tr>
      <w:tr w:rsidR="0053586A" w:rsidRPr="008E60B5" w14:paraId="6DF58E62" w14:textId="77777777" w:rsidTr="00596BC8">
        <w:tc>
          <w:tcPr>
            <w:tcW w:w="3053" w:type="dxa"/>
            <w:tcBorders>
              <w:bottom w:val="single" w:sz="12" w:space="0" w:color="auto"/>
            </w:tcBorders>
            <w:shd w:val="clear" w:color="auto" w:fill="auto"/>
            <w:vAlign w:val="bottom"/>
          </w:tcPr>
          <w:p w14:paraId="58E3EB0C" w14:textId="176D9AB5" w:rsidR="00CA0011" w:rsidRPr="008E60B5" w:rsidRDefault="00CA0011" w:rsidP="00BA7EEE">
            <w:pPr>
              <w:tabs>
                <w:tab w:val="left" w:pos="288"/>
                <w:tab w:val="left" w:pos="576"/>
                <w:tab w:val="left" w:pos="864"/>
                <w:tab w:val="left" w:pos="1152"/>
              </w:tabs>
              <w:suppressAutoHyphens/>
              <w:spacing w:before="40" w:after="40" w:line="210" w:lineRule="exact"/>
              <w:ind w:right="40"/>
              <w:rPr>
                <w:sz w:val="17"/>
              </w:rPr>
            </w:pPr>
            <w:r w:rsidRPr="008E60B5">
              <w:rPr>
                <w:sz w:val="17"/>
              </w:rPr>
              <w:t>Commissariat chargé de l</w:t>
            </w:r>
            <w:r w:rsidR="008E60B5" w:rsidRPr="008E60B5">
              <w:rPr>
                <w:sz w:val="17"/>
              </w:rPr>
              <w:t>’</w:t>
            </w:r>
            <w:r w:rsidRPr="008E60B5">
              <w:rPr>
                <w:sz w:val="17"/>
              </w:rPr>
              <w:t>information d</w:t>
            </w:r>
            <w:r w:rsidR="008E60B5" w:rsidRPr="008E60B5">
              <w:rPr>
                <w:sz w:val="17"/>
              </w:rPr>
              <w:t>’</w:t>
            </w:r>
            <w:r w:rsidR="00BA7EEE" w:rsidRPr="008E60B5">
              <w:rPr>
                <w:sz w:val="17"/>
              </w:rPr>
              <w:t>intérêt public et </w:t>
            </w:r>
            <w:r w:rsidRPr="008E60B5">
              <w:rPr>
                <w:sz w:val="17"/>
              </w:rPr>
              <w:t>de la protection des données personnelles</w:t>
            </w:r>
          </w:p>
        </w:tc>
        <w:tc>
          <w:tcPr>
            <w:tcW w:w="1080" w:type="dxa"/>
            <w:tcBorders>
              <w:bottom w:val="single" w:sz="12" w:space="0" w:color="auto"/>
            </w:tcBorders>
            <w:shd w:val="clear" w:color="auto" w:fill="auto"/>
            <w:vAlign w:val="bottom"/>
          </w:tcPr>
          <w:p w14:paraId="3ABD0486" w14:textId="77777777" w:rsidR="00CA0011" w:rsidRPr="008E60B5" w:rsidRDefault="00CA0011" w:rsidP="0053586A">
            <w:pPr>
              <w:tabs>
                <w:tab w:val="left" w:pos="288"/>
                <w:tab w:val="left" w:pos="576"/>
                <w:tab w:val="left" w:pos="864"/>
                <w:tab w:val="left" w:pos="1152"/>
              </w:tabs>
              <w:suppressAutoHyphens/>
              <w:spacing w:before="40" w:after="40" w:line="210" w:lineRule="exact"/>
              <w:jc w:val="right"/>
              <w:rPr>
                <w:sz w:val="17"/>
              </w:rPr>
            </w:pPr>
            <w:r w:rsidRPr="008E60B5">
              <w:rPr>
                <w:sz w:val="17"/>
              </w:rPr>
              <w:t>162 695 000</w:t>
            </w:r>
          </w:p>
        </w:tc>
        <w:tc>
          <w:tcPr>
            <w:tcW w:w="1080" w:type="dxa"/>
            <w:tcBorders>
              <w:bottom w:val="single" w:sz="12" w:space="0" w:color="auto"/>
            </w:tcBorders>
            <w:shd w:val="clear" w:color="auto" w:fill="auto"/>
            <w:vAlign w:val="bottom"/>
          </w:tcPr>
          <w:p w14:paraId="0063685E" w14:textId="77777777" w:rsidR="00CA0011" w:rsidRPr="008E60B5" w:rsidRDefault="00CA0011" w:rsidP="0053586A">
            <w:pPr>
              <w:tabs>
                <w:tab w:val="left" w:pos="288"/>
                <w:tab w:val="left" w:pos="576"/>
                <w:tab w:val="left" w:pos="864"/>
                <w:tab w:val="left" w:pos="1152"/>
              </w:tabs>
              <w:suppressAutoHyphens/>
              <w:spacing w:before="40" w:after="40" w:line="210" w:lineRule="exact"/>
              <w:jc w:val="right"/>
              <w:rPr>
                <w:sz w:val="17"/>
              </w:rPr>
            </w:pPr>
            <w:r w:rsidRPr="008E60B5">
              <w:rPr>
                <w:sz w:val="17"/>
              </w:rPr>
              <w:t>168 224 000</w:t>
            </w:r>
          </w:p>
        </w:tc>
        <w:tc>
          <w:tcPr>
            <w:tcW w:w="1080" w:type="dxa"/>
            <w:tcBorders>
              <w:bottom w:val="single" w:sz="12" w:space="0" w:color="auto"/>
            </w:tcBorders>
            <w:shd w:val="clear" w:color="auto" w:fill="auto"/>
            <w:vAlign w:val="bottom"/>
          </w:tcPr>
          <w:p w14:paraId="00A78FE8" w14:textId="77777777" w:rsidR="00CA0011" w:rsidRPr="008E60B5" w:rsidRDefault="00CA0011" w:rsidP="0053586A">
            <w:pPr>
              <w:tabs>
                <w:tab w:val="left" w:pos="288"/>
                <w:tab w:val="left" w:pos="576"/>
                <w:tab w:val="left" w:pos="864"/>
                <w:tab w:val="left" w:pos="1152"/>
              </w:tabs>
              <w:suppressAutoHyphens/>
              <w:spacing w:before="40" w:after="40" w:line="210" w:lineRule="exact"/>
              <w:jc w:val="right"/>
              <w:rPr>
                <w:sz w:val="17"/>
              </w:rPr>
            </w:pPr>
            <w:r w:rsidRPr="008E60B5">
              <w:rPr>
                <w:sz w:val="17"/>
              </w:rPr>
              <w:t>190 705 000</w:t>
            </w:r>
          </w:p>
        </w:tc>
        <w:tc>
          <w:tcPr>
            <w:tcW w:w="1080" w:type="dxa"/>
            <w:tcBorders>
              <w:bottom w:val="single" w:sz="12" w:space="0" w:color="auto"/>
            </w:tcBorders>
            <w:shd w:val="clear" w:color="auto" w:fill="auto"/>
            <w:vAlign w:val="bottom"/>
          </w:tcPr>
          <w:p w14:paraId="37485BC6" w14:textId="77777777" w:rsidR="00CA0011" w:rsidRPr="008E60B5" w:rsidRDefault="00CA0011" w:rsidP="0053586A">
            <w:pPr>
              <w:tabs>
                <w:tab w:val="left" w:pos="288"/>
                <w:tab w:val="left" w:pos="576"/>
                <w:tab w:val="left" w:pos="864"/>
                <w:tab w:val="left" w:pos="1152"/>
              </w:tabs>
              <w:suppressAutoHyphens/>
              <w:spacing w:before="40" w:after="40" w:line="210" w:lineRule="exact"/>
              <w:jc w:val="right"/>
              <w:rPr>
                <w:sz w:val="17"/>
              </w:rPr>
            </w:pPr>
            <w:r w:rsidRPr="008E60B5">
              <w:rPr>
                <w:sz w:val="17"/>
              </w:rPr>
              <w:t>203 000 000</w:t>
            </w:r>
          </w:p>
        </w:tc>
      </w:tr>
    </w:tbl>
    <w:p w14:paraId="379F44ED" w14:textId="54A7DFB0" w:rsidR="0053586A" w:rsidRPr="008E60B5" w:rsidRDefault="0053586A" w:rsidP="00F90894">
      <w:pPr>
        <w:pStyle w:val="SingleTxt"/>
        <w:spacing w:after="0" w:line="120" w:lineRule="exact"/>
        <w:rPr>
          <w:sz w:val="10"/>
          <w:lang w:val="fr-FR"/>
        </w:rPr>
      </w:pPr>
    </w:p>
    <w:p w14:paraId="473D47DE" w14:textId="14FADCD4" w:rsidR="00F90894" w:rsidRPr="008E60B5" w:rsidRDefault="00F90894" w:rsidP="00F90894">
      <w:pPr>
        <w:pStyle w:val="SingleTxt"/>
        <w:spacing w:after="0" w:line="120" w:lineRule="exact"/>
        <w:rPr>
          <w:sz w:val="10"/>
          <w:lang w:val="fr-FR"/>
        </w:rPr>
      </w:pPr>
    </w:p>
    <w:p w14:paraId="006447C2" w14:textId="2941CE59" w:rsidR="00CA0011" w:rsidRPr="008E60B5" w:rsidRDefault="00CA0011" w:rsidP="00A15EC1">
      <w:pPr>
        <w:pStyle w:val="SingleTxt"/>
        <w:numPr>
          <w:ilvl w:val="0"/>
          <w:numId w:val="12"/>
        </w:numPr>
        <w:spacing w:line="240" w:lineRule="exact"/>
        <w:rPr>
          <w:lang w:val="fr-FR"/>
        </w:rPr>
      </w:pPr>
      <w:r w:rsidRPr="008E60B5">
        <w:rPr>
          <w:lang w:val="fr-FR"/>
        </w:rPr>
        <w:t>Après avoir réélu le Défenseur des citoyens en août 2012, l</w:t>
      </w:r>
      <w:r w:rsidR="008E60B5" w:rsidRPr="008E60B5">
        <w:rPr>
          <w:lang w:val="fr-FR"/>
        </w:rPr>
        <w:t>’</w:t>
      </w:r>
      <w:r w:rsidRPr="008E60B5">
        <w:rPr>
          <w:lang w:val="fr-FR"/>
        </w:rPr>
        <w:t>Assemblée nationale a également élu en novembre 2013 une adjointe au Défenseur chargée des droits de l</w:t>
      </w:r>
      <w:r w:rsidR="008E60B5" w:rsidRPr="008E60B5">
        <w:rPr>
          <w:lang w:val="fr-FR"/>
        </w:rPr>
        <w:t>’</w:t>
      </w:r>
      <w:r w:rsidRPr="008E60B5">
        <w:rPr>
          <w:lang w:val="fr-FR"/>
        </w:rPr>
        <w:t>enfant et l</w:t>
      </w:r>
      <w:r w:rsidR="008E60B5" w:rsidRPr="008E60B5">
        <w:rPr>
          <w:lang w:val="fr-FR"/>
        </w:rPr>
        <w:t>’</w:t>
      </w:r>
      <w:r w:rsidRPr="008E60B5">
        <w:rPr>
          <w:lang w:val="fr-FR"/>
        </w:rPr>
        <w:t>égalité des sexes. En 2015, l</w:t>
      </w:r>
      <w:r w:rsidR="008E60B5" w:rsidRPr="008E60B5">
        <w:rPr>
          <w:lang w:val="fr-FR"/>
        </w:rPr>
        <w:t>’</w:t>
      </w:r>
      <w:r w:rsidRPr="008E60B5">
        <w:rPr>
          <w:lang w:val="fr-FR"/>
        </w:rPr>
        <w:t>Assemblée nationale a approuvé le règlement sur l</w:t>
      </w:r>
      <w:r w:rsidR="008E60B5" w:rsidRPr="008E60B5">
        <w:rPr>
          <w:lang w:val="fr-FR"/>
        </w:rPr>
        <w:t>’</w:t>
      </w:r>
      <w:r w:rsidRPr="008E60B5">
        <w:rPr>
          <w:lang w:val="fr-FR"/>
        </w:rPr>
        <w:t>organisation interne et le classement des emplois, ce qui a permis au secrétariat du Défenseur des citoyens de continuer d</w:t>
      </w:r>
      <w:r w:rsidR="008E60B5" w:rsidRPr="008E60B5">
        <w:rPr>
          <w:lang w:val="fr-FR"/>
        </w:rPr>
        <w:t>’</w:t>
      </w:r>
      <w:r w:rsidRPr="008E60B5">
        <w:rPr>
          <w:lang w:val="fr-FR"/>
        </w:rPr>
        <w:t>exercer ses fonctions de façon légale et en temps voulu. Depuis la démission du Défenseur des citoyens en février 2017, l</w:t>
      </w:r>
      <w:r w:rsidR="008E60B5" w:rsidRPr="008E60B5">
        <w:rPr>
          <w:lang w:val="fr-FR"/>
        </w:rPr>
        <w:t>’</w:t>
      </w:r>
      <w:r w:rsidRPr="008E60B5">
        <w:rPr>
          <w:lang w:val="fr-FR"/>
        </w:rPr>
        <w:t>adjointe assure la présidence de l</w:t>
      </w:r>
      <w:r w:rsidR="008E60B5" w:rsidRPr="008E60B5">
        <w:rPr>
          <w:lang w:val="fr-FR"/>
        </w:rPr>
        <w:t>’</w:t>
      </w:r>
      <w:r w:rsidRPr="008E60B5">
        <w:rPr>
          <w:lang w:val="fr-FR"/>
        </w:rPr>
        <w:t xml:space="preserve">organe par intérim. </w:t>
      </w:r>
    </w:p>
    <w:p w14:paraId="22217E39" w14:textId="45E1D047" w:rsidR="00CA0011" w:rsidRPr="008E60B5" w:rsidRDefault="00CA0011" w:rsidP="00A15EC1">
      <w:pPr>
        <w:pStyle w:val="SingleTxt"/>
        <w:numPr>
          <w:ilvl w:val="0"/>
          <w:numId w:val="12"/>
        </w:numPr>
        <w:spacing w:line="240" w:lineRule="exact"/>
        <w:rPr>
          <w:lang w:val="fr-FR"/>
        </w:rPr>
      </w:pPr>
      <w:r w:rsidRPr="008E60B5">
        <w:rPr>
          <w:lang w:val="fr-FR"/>
        </w:rPr>
        <w:t>Le 20 mars 2014, le Commissariat à l</w:t>
      </w:r>
      <w:r w:rsidR="008E60B5" w:rsidRPr="008E60B5">
        <w:rPr>
          <w:lang w:val="fr-FR"/>
        </w:rPr>
        <w:t>’</w:t>
      </w:r>
      <w:r w:rsidRPr="008E60B5">
        <w:rPr>
          <w:lang w:val="fr-FR"/>
        </w:rPr>
        <w:t>égalité a ouvert son premier bureau régional à Novi Pazar. L</w:t>
      </w:r>
      <w:r w:rsidR="008E60B5" w:rsidRPr="008E60B5">
        <w:rPr>
          <w:lang w:val="fr-FR"/>
        </w:rPr>
        <w:t>’</w:t>
      </w:r>
      <w:r w:rsidRPr="008E60B5">
        <w:rPr>
          <w:lang w:val="fr-FR"/>
        </w:rPr>
        <w:t>Assemblée nationale a élu une nouvelle Commissaire en mai 2015. Le bureau principal de l</w:t>
      </w:r>
      <w:r w:rsidR="008E60B5" w:rsidRPr="008E60B5">
        <w:rPr>
          <w:lang w:val="fr-FR"/>
        </w:rPr>
        <w:t>’</w:t>
      </w:r>
      <w:r w:rsidRPr="008E60B5">
        <w:rPr>
          <w:lang w:val="fr-FR"/>
        </w:rPr>
        <w:t>institution a déménagé dans un bâtiment plus spacieux à Belgrade en 2016. La Commissaire reçoit les citoyens les mardis et jeudis, au 22-26 Nemanjina, à Belgrade. Le personnel du Commissariat a reçu une formation visant à promouvoir l</w:t>
      </w:r>
      <w:r w:rsidR="008E60B5" w:rsidRPr="008E60B5">
        <w:rPr>
          <w:lang w:val="fr-FR"/>
        </w:rPr>
        <w:t>’</w:t>
      </w:r>
      <w:r w:rsidRPr="008E60B5">
        <w:rPr>
          <w:lang w:val="fr-FR"/>
        </w:rPr>
        <w:t>esprit d</w:t>
      </w:r>
      <w:r w:rsidR="008E60B5" w:rsidRPr="008E60B5">
        <w:rPr>
          <w:lang w:val="fr-FR"/>
        </w:rPr>
        <w:t>’</w:t>
      </w:r>
      <w:r w:rsidRPr="008E60B5">
        <w:rPr>
          <w:lang w:val="fr-FR"/>
        </w:rPr>
        <w:t>équipe et à améliorer les capacités de planification stratégique, tenu une table ronde sur les rapports anonymes et suivi un cours de langue anglaise. Un projet de jumelage européen élaboré dans le cadre de l</w:t>
      </w:r>
      <w:r w:rsidR="008E60B5" w:rsidRPr="008E60B5">
        <w:rPr>
          <w:lang w:val="fr-FR"/>
        </w:rPr>
        <w:t>’</w:t>
      </w:r>
      <w:r w:rsidRPr="008E60B5">
        <w:rPr>
          <w:lang w:val="fr-FR"/>
        </w:rPr>
        <w:t>instrument d</w:t>
      </w:r>
      <w:r w:rsidR="008E60B5" w:rsidRPr="008E60B5">
        <w:rPr>
          <w:lang w:val="fr-FR"/>
        </w:rPr>
        <w:t>’</w:t>
      </w:r>
      <w:r w:rsidRPr="008E60B5">
        <w:rPr>
          <w:lang w:val="fr-FR"/>
        </w:rPr>
        <w:t>aide de préadhésion en 2012 a été mis en place autour du soutien à la promotion des droits de l</w:t>
      </w:r>
      <w:r w:rsidR="008E60B5" w:rsidRPr="008E60B5">
        <w:rPr>
          <w:lang w:val="fr-FR"/>
        </w:rPr>
        <w:t>’</w:t>
      </w:r>
      <w:r w:rsidRPr="008E60B5">
        <w:rPr>
          <w:lang w:val="fr-FR"/>
        </w:rPr>
        <w:t>homme et de la tolérance zéro à l</w:t>
      </w:r>
      <w:r w:rsidR="008E60B5" w:rsidRPr="008E60B5">
        <w:rPr>
          <w:lang w:val="fr-FR"/>
        </w:rPr>
        <w:t>’</w:t>
      </w:r>
      <w:r w:rsidRPr="008E60B5">
        <w:rPr>
          <w:lang w:val="fr-FR"/>
        </w:rPr>
        <w:t>égard de la discrimination.</w:t>
      </w:r>
    </w:p>
    <w:p w14:paraId="79F412A4" w14:textId="41D94723" w:rsidR="00CA0011" w:rsidRPr="008E60B5" w:rsidRDefault="00CA0011" w:rsidP="00A15EC1">
      <w:pPr>
        <w:pStyle w:val="SingleTxt"/>
        <w:numPr>
          <w:ilvl w:val="0"/>
          <w:numId w:val="13"/>
        </w:numPr>
        <w:spacing w:line="240" w:lineRule="exact"/>
        <w:rPr>
          <w:lang w:val="fr-FR"/>
        </w:rPr>
      </w:pPr>
      <w:r w:rsidRPr="008E60B5">
        <w:rPr>
          <w:lang w:val="fr-FR"/>
        </w:rPr>
        <w:t>Dans leurs réponses aux communications écrites, les autorités publiques expliquent notamment aux citoyens qu</w:t>
      </w:r>
      <w:r w:rsidR="008E60B5" w:rsidRPr="008E60B5">
        <w:rPr>
          <w:lang w:val="fr-FR"/>
        </w:rPr>
        <w:t>’</w:t>
      </w:r>
      <w:r w:rsidRPr="008E60B5">
        <w:rPr>
          <w:lang w:val="fr-FR"/>
        </w:rPr>
        <w:t>ils peuvent soumettre leurs problèmes aux organes indépendants, s</w:t>
      </w:r>
      <w:r w:rsidR="008E60B5" w:rsidRPr="008E60B5">
        <w:rPr>
          <w:lang w:val="fr-FR"/>
        </w:rPr>
        <w:t>’</w:t>
      </w:r>
      <w:r w:rsidRPr="008E60B5">
        <w:rPr>
          <w:lang w:val="fr-FR"/>
        </w:rPr>
        <w:t>il y a lieu, et les informent de la procédure à suivre à cet égard.</w:t>
      </w:r>
    </w:p>
    <w:p w14:paraId="237C262D" w14:textId="2A7511DF" w:rsidR="00CA0011" w:rsidRPr="008E60B5" w:rsidRDefault="00CA0011" w:rsidP="00A15EC1">
      <w:pPr>
        <w:pStyle w:val="SingleTxt"/>
        <w:numPr>
          <w:ilvl w:val="0"/>
          <w:numId w:val="13"/>
        </w:numPr>
        <w:spacing w:line="240" w:lineRule="exact"/>
        <w:rPr>
          <w:lang w:val="fr-FR"/>
        </w:rPr>
      </w:pPr>
      <w:r w:rsidRPr="008E60B5">
        <w:rPr>
          <w:lang w:val="fr-FR"/>
        </w:rPr>
        <w:t>En 2016, dans le cadre du concours annuel sur l</w:t>
      </w:r>
      <w:r w:rsidR="008E60B5" w:rsidRPr="008E60B5">
        <w:rPr>
          <w:lang w:val="fr-FR"/>
        </w:rPr>
        <w:t>’</w:t>
      </w:r>
      <w:r w:rsidRPr="008E60B5">
        <w:rPr>
          <w:lang w:val="fr-FR"/>
        </w:rPr>
        <w:t>application des politiques antidiscriminatoires en Serbie, le Bureau des droits de l</w:t>
      </w:r>
      <w:r w:rsidR="008E60B5" w:rsidRPr="008E60B5">
        <w:rPr>
          <w:lang w:val="fr-FR"/>
        </w:rPr>
        <w:t>’</w:t>
      </w:r>
      <w:r w:rsidRPr="008E60B5">
        <w:rPr>
          <w:lang w:val="fr-FR"/>
        </w:rPr>
        <w:t>homme et des minorités a soutenu l</w:t>
      </w:r>
      <w:r w:rsidR="008E60B5" w:rsidRPr="008E60B5">
        <w:rPr>
          <w:lang w:val="fr-FR"/>
        </w:rPr>
        <w:t>’</w:t>
      </w:r>
      <w:r w:rsidRPr="008E60B5">
        <w:rPr>
          <w:lang w:val="fr-FR"/>
        </w:rPr>
        <w:t>association Amity et le projet For Zero Tolerance of Discrimination against the Elderly de lutte contre la discrimination à l</w:t>
      </w:r>
      <w:r w:rsidR="008E60B5" w:rsidRPr="008E60B5">
        <w:rPr>
          <w:lang w:val="fr-FR"/>
        </w:rPr>
        <w:t>’</w:t>
      </w:r>
      <w:r w:rsidRPr="008E60B5">
        <w:rPr>
          <w:lang w:val="fr-FR"/>
        </w:rPr>
        <w:t xml:space="preserve">égard des personnes âgées. Des débats </w:t>
      </w:r>
      <w:r w:rsidRPr="008E60B5">
        <w:rPr>
          <w:lang w:val="fr-FR"/>
        </w:rPr>
        <w:lastRenderedPageBreak/>
        <w:t>publics ont été organisés sur la question des comportements discriminatoires à l</w:t>
      </w:r>
      <w:r w:rsidR="008E60B5" w:rsidRPr="008E60B5">
        <w:rPr>
          <w:lang w:val="fr-FR"/>
        </w:rPr>
        <w:t>’</w:t>
      </w:r>
      <w:r w:rsidRPr="008E60B5">
        <w:rPr>
          <w:lang w:val="fr-FR"/>
        </w:rPr>
        <w:t>égard des personnes âgées et des moyens à donner à ces dernières pour leur permettre d</w:t>
      </w:r>
      <w:r w:rsidR="008E60B5" w:rsidRPr="008E60B5">
        <w:rPr>
          <w:lang w:val="fr-FR"/>
        </w:rPr>
        <w:t>’</w:t>
      </w:r>
      <w:r w:rsidRPr="008E60B5">
        <w:rPr>
          <w:lang w:val="fr-FR"/>
        </w:rPr>
        <w:t>y faire face.</w:t>
      </w:r>
      <w:r w:rsidR="00002E6B" w:rsidRPr="008E60B5">
        <w:rPr>
          <w:lang w:val="fr-FR"/>
        </w:rPr>
        <w:t xml:space="preserve"> </w:t>
      </w:r>
      <w:r w:rsidRPr="008E60B5">
        <w:rPr>
          <w:lang w:val="fr-FR"/>
        </w:rPr>
        <w:t xml:space="preserve">Deux cents personnes âgées, dont 149 femmes (originaires de 6 municipalités, dont 12 zones rurales des districts de Borski et de Moravicki) y ont appris à reconnaître les comportements discriminatoires, à prendre les devants et à se placer sous la protection des mécanismes de plainte existants. </w:t>
      </w:r>
    </w:p>
    <w:p w14:paraId="06ACCBF8" w14:textId="77777777" w:rsidR="0053586A" w:rsidRPr="008E60B5" w:rsidRDefault="0053586A" w:rsidP="0053586A">
      <w:pPr>
        <w:pStyle w:val="SingleTxt"/>
        <w:spacing w:after="0" w:line="120" w:lineRule="exact"/>
        <w:rPr>
          <w:i/>
          <w:sz w:val="10"/>
          <w:lang w:val="fr-FR"/>
        </w:rPr>
      </w:pPr>
    </w:p>
    <w:p w14:paraId="6CD144EB" w14:textId="662380C6" w:rsidR="00CA0011" w:rsidRPr="008E60B5" w:rsidRDefault="00F90894" w:rsidP="00F9089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r>
      <w:r w:rsidR="00CA0011" w:rsidRPr="008E60B5">
        <w:rPr>
          <w:lang w:val="fr-FR"/>
        </w:rPr>
        <w:t xml:space="preserve">Recommandation formulée au paragraphe 15 </w:t>
      </w:r>
    </w:p>
    <w:p w14:paraId="05890AF7" w14:textId="77777777" w:rsidR="0053586A" w:rsidRPr="008E60B5" w:rsidRDefault="0053586A" w:rsidP="0053586A">
      <w:pPr>
        <w:pStyle w:val="SingleTxt"/>
        <w:spacing w:after="0" w:line="120" w:lineRule="exact"/>
        <w:rPr>
          <w:b/>
          <w:sz w:val="10"/>
          <w:lang w:val="fr-FR"/>
        </w:rPr>
      </w:pPr>
    </w:p>
    <w:p w14:paraId="334DCA88" w14:textId="26459969" w:rsidR="00CA0011" w:rsidRPr="008E60B5" w:rsidRDefault="00CA0011" w:rsidP="005358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Mécanisme national visant à améliorer la condition de la femme</w:t>
      </w:r>
    </w:p>
    <w:p w14:paraId="571B140E" w14:textId="562542D5" w:rsidR="0053586A" w:rsidRPr="008E60B5" w:rsidRDefault="0053586A" w:rsidP="0053586A">
      <w:pPr>
        <w:pStyle w:val="SingleTxt"/>
        <w:spacing w:after="0" w:line="120" w:lineRule="exact"/>
        <w:rPr>
          <w:sz w:val="10"/>
          <w:lang w:val="fr-FR"/>
        </w:rPr>
      </w:pPr>
    </w:p>
    <w:p w14:paraId="4A5F9142" w14:textId="67839576" w:rsidR="00CA0011" w:rsidRPr="008E60B5" w:rsidRDefault="00CA0011" w:rsidP="00A15EC1">
      <w:pPr>
        <w:pStyle w:val="SingleTxt"/>
        <w:numPr>
          <w:ilvl w:val="0"/>
          <w:numId w:val="14"/>
        </w:numPr>
        <w:spacing w:line="240" w:lineRule="exact"/>
        <w:rPr>
          <w:lang w:val="fr-FR"/>
        </w:rPr>
      </w:pPr>
      <w:r w:rsidRPr="008E60B5">
        <w:rPr>
          <w:lang w:val="fr-FR"/>
        </w:rPr>
        <w:t>Un Organisme de coordination pour l</w:t>
      </w:r>
      <w:r w:rsidR="008E60B5" w:rsidRPr="008E60B5">
        <w:rPr>
          <w:lang w:val="fr-FR"/>
        </w:rPr>
        <w:t>’</w:t>
      </w:r>
      <w:r w:rsidRPr="008E60B5">
        <w:rPr>
          <w:lang w:val="fr-FR"/>
        </w:rPr>
        <w:t>égalité des sexes a été créé par décision du Gouvernement en 2014 au titre du projet de loi sur l</w:t>
      </w:r>
      <w:r w:rsidR="008E60B5" w:rsidRPr="008E60B5">
        <w:rPr>
          <w:lang w:val="fr-FR"/>
        </w:rPr>
        <w:t>’</w:t>
      </w:r>
      <w:r w:rsidRPr="008E60B5">
        <w:rPr>
          <w:lang w:val="fr-FR"/>
        </w:rPr>
        <w:t>égalité des sexes. Présidé par la Vice-Première Ministre, il a entrepris, lors de la période écoulée, un certain nombre d</w:t>
      </w:r>
      <w:r w:rsidR="008E60B5" w:rsidRPr="008E60B5">
        <w:rPr>
          <w:lang w:val="fr-FR"/>
        </w:rPr>
        <w:t>’</w:t>
      </w:r>
      <w:r w:rsidRPr="008E60B5">
        <w:rPr>
          <w:lang w:val="fr-FR"/>
        </w:rPr>
        <w:t>activités essentielles pour améliorer la condition de la femme et promouvoir l</w:t>
      </w:r>
      <w:r w:rsidR="008E60B5" w:rsidRPr="008E60B5">
        <w:rPr>
          <w:lang w:val="fr-FR"/>
        </w:rPr>
        <w:t>’</w:t>
      </w:r>
      <w:r w:rsidRPr="008E60B5">
        <w:rPr>
          <w:lang w:val="fr-FR"/>
        </w:rPr>
        <w:t>égalité des sexes. Le projet de loi sur l</w:t>
      </w:r>
      <w:r w:rsidR="008E60B5" w:rsidRPr="008E60B5">
        <w:rPr>
          <w:lang w:val="fr-FR"/>
        </w:rPr>
        <w:t>’</w:t>
      </w:r>
      <w:r w:rsidRPr="008E60B5">
        <w:rPr>
          <w:lang w:val="fr-FR"/>
        </w:rPr>
        <w:t>égalité des sexes prévoyait également la mise en place d</w:t>
      </w:r>
      <w:r w:rsidR="008E60B5" w:rsidRPr="008E60B5">
        <w:rPr>
          <w:lang w:val="fr-FR"/>
        </w:rPr>
        <w:t>’</w:t>
      </w:r>
      <w:r w:rsidRPr="008E60B5">
        <w:rPr>
          <w:lang w:val="fr-FR"/>
        </w:rPr>
        <w:t>un service pour les questions d</w:t>
      </w:r>
      <w:r w:rsidR="008E60B5" w:rsidRPr="008E60B5">
        <w:rPr>
          <w:lang w:val="fr-FR"/>
        </w:rPr>
        <w:t>’</w:t>
      </w:r>
      <w:r w:rsidRPr="008E60B5">
        <w:rPr>
          <w:lang w:val="fr-FR"/>
        </w:rPr>
        <w:t>égalité des sexes, la création de mécanismes de promotion de l</w:t>
      </w:r>
      <w:r w:rsidR="008E60B5" w:rsidRPr="008E60B5">
        <w:rPr>
          <w:lang w:val="fr-FR"/>
        </w:rPr>
        <w:t>’</w:t>
      </w:r>
      <w:r w:rsidRPr="008E60B5">
        <w:rPr>
          <w:lang w:val="fr-FR"/>
        </w:rPr>
        <w:t>égalité des sexes aux niveaux des provinces et des collectivités locales (y compris les municipalités), et l</w:t>
      </w:r>
      <w:r w:rsidR="008E60B5" w:rsidRPr="008E60B5">
        <w:rPr>
          <w:lang w:val="fr-FR"/>
        </w:rPr>
        <w:t>’</w:t>
      </w:r>
      <w:r w:rsidRPr="008E60B5">
        <w:rPr>
          <w:lang w:val="fr-FR"/>
        </w:rPr>
        <w:t>obligation, pour les pouvoirs publics et les employeurs, de désigner des coordonnateurs chargés de cette question. Il existe une volonté politique et un soutien clairs en faveur du fonctionnement efficace de ces organes et de leur regroupement au sein d</w:t>
      </w:r>
      <w:r w:rsidR="008E60B5" w:rsidRPr="008E60B5">
        <w:rPr>
          <w:lang w:val="fr-FR"/>
        </w:rPr>
        <w:t>’</w:t>
      </w:r>
      <w:r w:rsidRPr="008E60B5">
        <w:rPr>
          <w:lang w:val="fr-FR"/>
        </w:rPr>
        <w:t>un système fonctionnel</w:t>
      </w:r>
      <w:r w:rsidR="00002E6B" w:rsidRPr="008E60B5">
        <w:rPr>
          <w:lang w:val="fr-FR"/>
        </w:rPr>
        <w:t xml:space="preserve"> </w:t>
      </w:r>
      <w:r w:rsidRPr="008E60B5">
        <w:rPr>
          <w:lang w:val="fr-FR"/>
        </w:rPr>
        <w:t>avec des ramifications aussi bien horizontales que verticales pour une application coordonnée et efficace des politiques d</w:t>
      </w:r>
      <w:r w:rsidR="008E60B5" w:rsidRPr="008E60B5">
        <w:rPr>
          <w:lang w:val="fr-FR"/>
        </w:rPr>
        <w:t>’</w:t>
      </w:r>
      <w:r w:rsidRPr="008E60B5">
        <w:rPr>
          <w:lang w:val="fr-FR"/>
        </w:rPr>
        <w:t xml:space="preserve">égalité des chances. </w:t>
      </w:r>
    </w:p>
    <w:p w14:paraId="4F546040" w14:textId="7CFB045A" w:rsidR="00CA0011" w:rsidRPr="008E60B5" w:rsidRDefault="00CA0011" w:rsidP="00A15EC1">
      <w:pPr>
        <w:pStyle w:val="SingleTxt"/>
        <w:numPr>
          <w:ilvl w:val="0"/>
          <w:numId w:val="14"/>
        </w:numPr>
        <w:spacing w:line="240" w:lineRule="exact"/>
        <w:rPr>
          <w:lang w:val="fr-FR"/>
        </w:rPr>
      </w:pPr>
      <w:r w:rsidRPr="008E60B5">
        <w:rPr>
          <w:lang w:val="fr-FR"/>
        </w:rPr>
        <w:t>Depuis la fin de mai 2017, un Département chargé de la politique de lutte contre la discrimination et de l</w:t>
      </w:r>
      <w:r w:rsidR="008E60B5" w:rsidRPr="008E60B5">
        <w:rPr>
          <w:lang w:val="fr-FR"/>
        </w:rPr>
        <w:t>’</w:t>
      </w:r>
      <w:r w:rsidRPr="008E60B5">
        <w:rPr>
          <w:lang w:val="fr-FR"/>
        </w:rPr>
        <w:t>égalité des sexes a été créé au Ministère de l</w:t>
      </w:r>
      <w:r w:rsidR="008E60B5" w:rsidRPr="008E60B5">
        <w:rPr>
          <w:lang w:val="fr-FR"/>
        </w:rPr>
        <w:t>’</w:t>
      </w:r>
      <w:r w:rsidRPr="008E60B5">
        <w:rPr>
          <w:lang w:val="fr-FR"/>
        </w:rPr>
        <w:t>éducation, de la science et du développement technologique.</w:t>
      </w:r>
    </w:p>
    <w:p w14:paraId="72FD57D4" w14:textId="682DE40B" w:rsidR="00CA0011" w:rsidRPr="008E60B5" w:rsidRDefault="00CA0011" w:rsidP="00A15EC1">
      <w:pPr>
        <w:pStyle w:val="SingleTxt"/>
        <w:numPr>
          <w:ilvl w:val="0"/>
          <w:numId w:val="15"/>
        </w:numPr>
        <w:spacing w:line="240" w:lineRule="exact"/>
        <w:rPr>
          <w:bCs/>
          <w:lang w:val="fr-FR"/>
        </w:rPr>
      </w:pPr>
      <w:r w:rsidRPr="008E60B5">
        <w:rPr>
          <w:lang w:val="fr-FR"/>
        </w:rPr>
        <w:t>Il existe plus d</w:t>
      </w:r>
      <w:r w:rsidR="008E60B5" w:rsidRPr="008E60B5">
        <w:rPr>
          <w:lang w:val="fr-FR"/>
        </w:rPr>
        <w:t>’</w:t>
      </w:r>
      <w:r w:rsidRPr="008E60B5">
        <w:rPr>
          <w:lang w:val="fr-FR"/>
        </w:rPr>
        <w:t>une centaine d</w:t>
      </w:r>
      <w:r w:rsidR="008E60B5" w:rsidRPr="008E60B5">
        <w:rPr>
          <w:lang w:val="fr-FR"/>
        </w:rPr>
        <w:t>’</w:t>
      </w:r>
      <w:r w:rsidRPr="008E60B5">
        <w:rPr>
          <w:lang w:val="fr-FR"/>
        </w:rPr>
        <w:t>organes traitant des questions d</w:t>
      </w:r>
      <w:r w:rsidR="008E60B5" w:rsidRPr="008E60B5">
        <w:rPr>
          <w:lang w:val="fr-FR"/>
        </w:rPr>
        <w:t>’</w:t>
      </w:r>
      <w:r w:rsidRPr="008E60B5">
        <w:rPr>
          <w:lang w:val="fr-FR"/>
        </w:rPr>
        <w:t>égalité des sexes en Serbie. Certaines collectivités locales sont dotées à la fois d</w:t>
      </w:r>
      <w:r w:rsidR="008E60B5" w:rsidRPr="008E60B5">
        <w:rPr>
          <w:lang w:val="fr-FR"/>
        </w:rPr>
        <w:t>’</w:t>
      </w:r>
      <w:r w:rsidRPr="008E60B5">
        <w:rPr>
          <w:lang w:val="fr-FR"/>
        </w:rPr>
        <w:t>organes et de responsables chargés de l</w:t>
      </w:r>
      <w:r w:rsidR="008E60B5" w:rsidRPr="008E60B5">
        <w:rPr>
          <w:lang w:val="fr-FR"/>
        </w:rPr>
        <w:t>’</w:t>
      </w:r>
      <w:r w:rsidRPr="008E60B5">
        <w:rPr>
          <w:lang w:val="fr-FR"/>
        </w:rPr>
        <w:t xml:space="preserve">égalité des sexes. </w:t>
      </w:r>
    </w:p>
    <w:p w14:paraId="5E9253E0" w14:textId="77777777" w:rsidR="0053586A" w:rsidRPr="008E60B5" w:rsidRDefault="0053586A" w:rsidP="0053586A">
      <w:pPr>
        <w:pStyle w:val="SingleTxt"/>
        <w:spacing w:after="0" w:line="120" w:lineRule="exact"/>
        <w:rPr>
          <w:b/>
          <w:sz w:val="10"/>
          <w:lang w:val="fr-FR"/>
        </w:rPr>
      </w:pPr>
    </w:p>
    <w:p w14:paraId="7C1F6562" w14:textId="4E1BCC80" w:rsidR="00CA0011" w:rsidRPr="008E60B5" w:rsidRDefault="00CA0011" w:rsidP="005358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Coopération avec les organisations de la société civile</w:t>
      </w:r>
    </w:p>
    <w:p w14:paraId="1B812E15" w14:textId="1E64D61A" w:rsidR="0053586A" w:rsidRPr="008E60B5" w:rsidRDefault="0053586A" w:rsidP="0053586A">
      <w:pPr>
        <w:pStyle w:val="SingleTxt"/>
        <w:spacing w:after="0" w:line="120" w:lineRule="exact"/>
        <w:rPr>
          <w:sz w:val="10"/>
          <w:lang w:val="fr-FR"/>
        </w:rPr>
      </w:pPr>
    </w:p>
    <w:p w14:paraId="5B816D17" w14:textId="5FA77286" w:rsidR="00CA0011" w:rsidRPr="008E60B5" w:rsidRDefault="00CA0011" w:rsidP="00A15EC1">
      <w:pPr>
        <w:pStyle w:val="SingleTxt"/>
        <w:numPr>
          <w:ilvl w:val="0"/>
          <w:numId w:val="16"/>
        </w:numPr>
        <w:spacing w:line="240" w:lineRule="exact"/>
        <w:rPr>
          <w:lang w:val="fr-FR"/>
        </w:rPr>
      </w:pPr>
      <w:r w:rsidRPr="008E60B5">
        <w:rPr>
          <w:lang w:val="fr-FR"/>
        </w:rPr>
        <w:t>L</w:t>
      </w:r>
      <w:r w:rsidR="008E60B5" w:rsidRPr="008E60B5">
        <w:rPr>
          <w:lang w:val="fr-FR"/>
        </w:rPr>
        <w:t>’</w:t>
      </w:r>
      <w:r w:rsidRPr="008E60B5">
        <w:rPr>
          <w:lang w:val="fr-FR"/>
        </w:rPr>
        <w:t>Organisme de coordination pour l</w:t>
      </w:r>
      <w:r w:rsidR="008E60B5" w:rsidRPr="008E60B5">
        <w:rPr>
          <w:lang w:val="fr-FR"/>
        </w:rPr>
        <w:t>’</w:t>
      </w:r>
      <w:r w:rsidRPr="008E60B5">
        <w:rPr>
          <w:lang w:val="fr-FR"/>
        </w:rPr>
        <w:t>égalité des sexes coopère de façon tantôt formelle, tantôt informelle avec les associations et organisations de la société civile. L</w:t>
      </w:r>
      <w:r w:rsidR="008E60B5" w:rsidRPr="008E60B5">
        <w:rPr>
          <w:lang w:val="fr-FR"/>
        </w:rPr>
        <w:t>’</w:t>
      </w:r>
      <w:r w:rsidRPr="008E60B5">
        <w:rPr>
          <w:lang w:val="fr-FR"/>
        </w:rPr>
        <w:t>Association of Business Women et le Belgrade Fund for Political Excellence sont ainsi membres du groupe d</w:t>
      </w:r>
      <w:r w:rsidR="008E60B5" w:rsidRPr="008E60B5">
        <w:rPr>
          <w:lang w:val="fr-FR"/>
        </w:rPr>
        <w:t>’</w:t>
      </w:r>
      <w:r w:rsidRPr="008E60B5">
        <w:rPr>
          <w:lang w:val="fr-FR"/>
        </w:rPr>
        <w:t>experts qu</w:t>
      </w:r>
      <w:r w:rsidR="008E60B5" w:rsidRPr="008E60B5">
        <w:rPr>
          <w:lang w:val="fr-FR"/>
        </w:rPr>
        <w:t>’</w:t>
      </w:r>
      <w:r w:rsidRPr="008E60B5">
        <w:rPr>
          <w:lang w:val="fr-FR"/>
        </w:rPr>
        <w:t>a constitué cet organisme. La coopération avec les organisations de la société civile concernées (Autonomous Women</w:t>
      </w:r>
      <w:r w:rsidR="008E60B5" w:rsidRPr="008E60B5">
        <w:rPr>
          <w:lang w:val="fr-FR"/>
        </w:rPr>
        <w:t>’</w:t>
      </w:r>
      <w:r w:rsidRPr="008E60B5">
        <w:rPr>
          <w:lang w:val="fr-FR"/>
        </w:rPr>
        <w:t>s Centre ou encore Women</w:t>
      </w:r>
      <w:r w:rsidR="008E60B5" w:rsidRPr="008E60B5">
        <w:rPr>
          <w:lang w:val="fr-FR"/>
        </w:rPr>
        <w:t>’</w:t>
      </w:r>
      <w:r w:rsidRPr="008E60B5">
        <w:rPr>
          <w:lang w:val="fr-FR"/>
        </w:rPr>
        <w:t>s Platform for the Development of Serbia 2014-2020, par exemple) s</w:t>
      </w:r>
      <w:r w:rsidR="008E60B5" w:rsidRPr="008E60B5">
        <w:rPr>
          <w:lang w:val="fr-FR"/>
        </w:rPr>
        <w:t>’</w:t>
      </w:r>
      <w:r w:rsidRPr="008E60B5">
        <w:rPr>
          <w:lang w:val="fr-FR"/>
        </w:rPr>
        <w:t>est poursuivie et intensifiée durant l</w:t>
      </w:r>
      <w:r w:rsidR="008E60B5" w:rsidRPr="008E60B5">
        <w:rPr>
          <w:lang w:val="fr-FR"/>
        </w:rPr>
        <w:t>’</w:t>
      </w:r>
      <w:r w:rsidRPr="008E60B5">
        <w:rPr>
          <w:lang w:val="fr-FR"/>
        </w:rPr>
        <w:t>élaboration du projet de loi sur l</w:t>
      </w:r>
      <w:r w:rsidR="008E60B5" w:rsidRPr="008E60B5">
        <w:rPr>
          <w:lang w:val="fr-FR"/>
        </w:rPr>
        <w:t>’</w:t>
      </w:r>
      <w:r w:rsidRPr="008E60B5">
        <w:rPr>
          <w:lang w:val="fr-FR"/>
        </w:rPr>
        <w:t>égalité des sexes, avec l</w:t>
      </w:r>
      <w:r w:rsidR="008E60B5" w:rsidRPr="008E60B5">
        <w:rPr>
          <w:lang w:val="fr-FR"/>
        </w:rPr>
        <w:t>’</w:t>
      </w:r>
      <w:r w:rsidRPr="008E60B5">
        <w:rPr>
          <w:lang w:val="fr-FR"/>
        </w:rPr>
        <w:t>organisation d</w:t>
      </w:r>
      <w:r w:rsidR="008E60B5" w:rsidRPr="008E60B5">
        <w:rPr>
          <w:lang w:val="fr-FR"/>
        </w:rPr>
        <w:t>’</w:t>
      </w:r>
      <w:r w:rsidRPr="008E60B5">
        <w:rPr>
          <w:lang w:val="fr-FR"/>
        </w:rPr>
        <w:t>une série de réunions consultatives constructives. La coopération intervient également dans le cadre de la mise en œuvre de la stratégie nationale pour l</w:t>
      </w:r>
      <w:r w:rsidR="008E60B5" w:rsidRPr="008E60B5">
        <w:rPr>
          <w:lang w:val="fr-FR"/>
        </w:rPr>
        <w:t>’</w:t>
      </w:r>
      <w:r w:rsidRPr="008E60B5">
        <w:rPr>
          <w:lang w:val="fr-FR"/>
        </w:rPr>
        <w:t>égalité des sexes pour la période 2016-2020 et du plan d</w:t>
      </w:r>
      <w:r w:rsidR="008E60B5" w:rsidRPr="008E60B5">
        <w:rPr>
          <w:lang w:val="fr-FR"/>
        </w:rPr>
        <w:t>’</w:t>
      </w:r>
      <w:r w:rsidRPr="008E60B5">
        <w:rPr>
          <w:lang w:val="fr-FR"/>
        </w:rPr>
        <w:t xml:space="preserve">action correspondant, qui porte sur la période 2016-2018. </w:t>
      </w:r>
    </w:p>
    <w:p w14:paraId="0F42FB60" w14:textId="7FF413B0" w:rsidR="00CA0011" w:rsidRPr="008E60B5" w:rsidRDefault="00CA0011" w:rsidP="00A15EC1">
      <w:pPr>
        <w:pStyle w:val="SingleTxt"/>
        <w:numPr>
          <w:ilvl w:val="0"/>
          <w:numId w:val="16"/>
        </w:numPr>
        <w:spacing w:line="240" w:lineRule="exact"/>
        <w:rPr>
          <w:lang w:val="fr-FR"/>
        </w:rPr>
      </w:pPr>
      <w:r w:rsidRPr="008E60B5">
        <w:rPr>
          <w:lang w:val="fr-FR"/>
        </w:rPr>
        <w:t>Mécanisme institutionnel chargé d</w:t>
      </w:r>
      <w:r w:rsidR="008E60B5" w:rsidRPr="008E60B5">
        <w:rPr>
          <w:lang w:val="fr-FR"/>
        </w:rPr>
        <w:t>’</w:t>
      </w:r>
      <w:r w:rsidRPr="008E60B5">
        <w:rPr>
          <w:lang w:val="fr-FR"/>
        </w:rPr>
        <w:t>appuyer et de promouvoir le dialogue entre les autorités publiques et les organisations de la société civile, le Bureau de la coopération avec la société civile contribue à l</w:t>
      </w:r>
      <w:r w:rsidR="008E60B5" w:rsidRPr="008E60B5">
        <w:rPr>
          <w:lang w:val="fr-FR"/>
        </w:rPr>
        <w:t>’</w:t>
      </w:r>
      <w:r w:rsidRPr="008E60B5">
        <w:rPr>
          <w:lang w:val="fr-FR"/>
        </w:rPr>
        <w:t>élaboration de normes et de procédures visant à encadrer clairement la participation de la société civile à tous les niveaux de la prise de décisions.</w:t>
      </w:r>
    </w:p>
    <w:p w14:paraId="17B25A8F" w14:textId="62017F0E" w:rsidR="00CA0011" w:rsidRPr="008E60B5" w:rsidRDefault="00CA0011" w:rsidP="00A15EC1">
      <w:pPr>
        <w:pStyle w:val="SingleTxt"/>
        <w:numPr>
          <w:ilvl w:val="0"/>
          <w:numId w:val="16"/>
        </w:numPr>
        <w:spacing w:line="240" w:lineRule="exact"/>
        <w:rPr>
          <w:lang w:val="fr-FR"/>
        </w:rPr>
      </w:pPr>
      <w:r w:rsidRPr="008E60B5">
        <w:rPr>
          <w:lang w:val="fr-FR"/>
        </w:rPr>
        <w:t>Le Bureau des droits de l</w:t>
      </w:r>
      <w:r w:rsidR="008E60B5" w:rsidRPr="008E60B5">
        <w:rPr>
          <w:lang w:val="fr-FR"/>
        </w:rPr>
        <w:t>’</w:t>
      </w:r>
      <w:r w:rsidRPr="008E60B5">
        <w:rPr>
          <w:lang w:val="fr-FR"/>
        </w:rPr>
        <w:t>homme et des minorités continue de soutenir les organisations de la société civile participant au concours sur l</w:t>
      </w:r>
      <w:r w:rsidR="008E60B5" w:rsidRPr="008E60B5">
        <w:rPr>
          <w:lang w:val="fr-FR"/>
        </w:rPr>
        <w:t>’</w:t>
      </w:r>
      <w:r w:rsidRPr="008E60B5">
        <w:rPr>
          <w:lang w:val="fr-FR"/>
        </w:rPr>
        <w:t>application des politiques antidiscriminatoires en Serbie, qui se tient chaque année depuis 2013.</w:t>
      </w:r>
    </w:p>
    <w:p w14:paraId="3048DAC5" w14:textId="79A74DEE" w:rsidR="00CA0011" w:rsidRPr="008E60B5" w:rsidRDefault="00CA0011" w:rsidP="00A15EC1">
      <w:pPr>
        <w:pStyle w:val="SingleTxt"/>
        <w:numPr>
          <w:ilvl w:val="0"/>
          <w:numId w:val="17"/>
        </w:numPr>
        <w:spacing w:line="240" w:lineRule="exact"/>
        <w:rPr>
          <w:lang w:val="fr-FR"/>
        </w:rPr>
      </w:pPr>
      <w:r w:rsidRPr="008E60B5">
        <w:rPr>
          <w:lang w:val="fr-FR"/>
        </w:rPr>
        <w:lastRenderedPageBreak/>
        <w:t>À l</w:t>
      </w:r>
      <w:r w:rsidR="008E60B5" w:rsidRPr="008E60B5">
        <w:rPr>
          <w:lang w:val="fr-FR"/>
        </w:rPr>
        <w:t>’</w:t>
      </w:r>
      <w:r w:rsidRPr="008E60B5">
        <w:rPr>
          <w:lang w:val="fr-FR"/>
        </w:rPr>
        <w:t>issue du dialogue mené le 28 mai 2015 par le Conseil politique du Gouvernement chargé de la mise en œuvre du plan d</w:t>
      </w:r>
      <w:r w:rsidR="008E60B5" w:rsidRPr="008E60B5">
        <w:rPr>
          <w:lang w:val="fr-FR"/>
        </w:rPr>
        <w:t>’</w:t>
      </w:r>
      <w:r w:rsidRPr="008E60B5">
        <w:rPr>
          <w:lang w:val="fr-FR"/>
        </w:rPr>
        <w:t>action national relatif à l</w:t>
      </w:r>
      <w:r w:rsidR="008E60B5" w:rsidRPr="008E60B5">
        <w:rPr>
          <w:lang w:val="fr-FR"/>
        </w:rPr>
        <w:t>’</w:t>
      </w:r>
      <w:r w:rsidRPr="008E60B5">
        <w:rPr>
          <w:lang w:val="fr-FR"/>
        </w:rPr>
        <w:t xml:space="preserve">application de la résolution </w:t>
      </w:r>
      <w:hyperlink r:id="rId18" w:history="1">
        <w:r w:rsidRPr="008E60B5">
          <w:rPr>
            <w:rStyle w:val="Hyperlink"/>
            <w:color w:val="0000FF"/>
            <w:u w:val="none"/>
            <w:lang w:val="fr-FR"/>
          </w:rPr>
          <w:t>1325 (2000)</w:t>
        </w:r>
      </w:hyperlink>
      <w:r w:rsidRPr="008E60B5">
        <w:rPr>
          <w:lang w:val="fr-FR"/>
        </w:rPr>
        <w:t xml:space="preserve"> du Conseil de sécurité sur les femmes, la paix et la sécurité en Serbie pour la période 2010-2015 à l</w:t>
      </w:r>
      <w:r w:rsidR="008E60B5" w:rsidRPr="008E60B5">
        <w:rPr>
          <w:lang w:val="fr-FR"/>
        </w:rPr>
        <w:t>’</w:t>
      </w:r>
      <w:r w:rsidRPr="008E60B5">
        <w:rPr>
          <w:lang w:val="fr-FR"/>
        </w:rPr>
        <w:t>initiative du Ministère de la défense, avec l</w:t>
      </w:r>
      <w:r w:rsidR="008E60B5" w:rsidRPr="008E60B5">
        <w:rPr>
          <w:lang w:val="fr-FR"/>
        </w:rPr>
        <w:t>’</w:t>
      </w:r>
      <w:r w:rsidRPr="008E60B5">
        <w:rPr>
          <w:lang w:val="fr-FR"/>
        </w:rPr>
        <w:t>appui de la Mission de l</w:t>
      </w:r>
      <w:r w:rsidR="008E60B5" w:rsidRPr="008E60B5">
        <w:rPr>
          <w:lang w:val="fr-FR"/>
        </w:rPr>
        <w:t>’</w:t>
      </w:r>
      <w:r w:rsidRPr="008E60B5">
        <w:rPr>
          <w:lang w:val="fr-FR"/>
        </w:rPr>
        <w:t xml:space="preserve">Organisation pour la sécurité et la coopération en Europe (OSCE) en Serbie et la participation de toutes les parties prenantes, y compris des organisations de la société civile, il a été décidé de poursuivre la mise en œuvre de la résolution </w:t>
      </w:r>
      <w:hyperlink r:id="rId19" w:history="1">
        <w:r w:rsidRPr="008E60B5">
          <w:rPr>
            <w:rStyle w:val="Hyperlink"/>
            <w:color w:val="0000FF"/>
            <w:u w:val="none"/>
            <w:lang w:val="fr-FR"/>
          </w:rPr>
          <w:t>1325 (2000)</w:t>
        </w:r>
      </w:hyperlink>
      <w:r w:rsidRPr="008E60B5">
        <w:rPr>
          <w:lang w:val="fr-FR"/>
        </w:rPr>
        <w:t xml:space="preserve"> du Conseil de sécurité. De février à juin 2016, le Ministère de la défense, avec le soutien du Bureau de la coopération avec la société civile, a consulté par voie électronique le Groupe de travail sur la coopération avec les organisations de la société civile au sujet de la forme et du contenu du plan d</w:t>
      </w:r>
      <w:r w:rsidR="008E60B5" w:rsidRPr="008E60B5">
        <w:rPr>
          <w:lang w:val="fr-FR"/>
        </w:rPr>
        <w:t>’</w:t>
      </w:r>
      <w:r w:rsidRPr="008E60B5">
        <w:rPr>
          <w:lang w:val="fr-FR"/>
        </w:rPr>
        <w:t>action national. La teneur de ces consultations a été publiée sur les sites Web du Ministère de la défense et du Bureau de la coopération avec la société civile. Le Ministère de la défense, le Ministère de la jeunesse et des sports, le Bureau de la coopération avec la société civile, la Conférence permanente des villes et municipalités de Serbie et la Mission de l</w:t>
      </w:r>
      <w:r w:rsidR="008E60B5" w:rsidRPr="008E60B5">
        <w:rPr>
          <w:lang w:val="fr-FR"/>
        </w:rPr>
        <w:t>’</w:t>
      </w:r>
      <w:r w:rsidR="0053586A" w:rsidRPr="008E60B5">
        <w:rPr>
          <w:lang w:val="fr-FR"/>
        </w:rPr>
        <w:t>OSCE en Serbie ont tenu des </w:t>
      </w:r>
      <w:r w:rsidRPr="008E60B5">
        <w:rPr>
          <w:lang w:val="fr-FR"/>
        </w:rPr>
        <w:t>consultations publiques sur le projet de plan d</w:t>
      </w:r>
      <w:r w:rsidR="008E60B5" w:rsidRPr="008E60B5">
        <w:rPr>
          <w:lang w:val="fr-FR"/>
        </w:rPr>
        <w:t>’</w:t>
      </w:r>
      <w:r w:rsidRPr="008E60B5">
        <w:rPr>
          <w:lang w:val="fr-FR"/>
        </w:rPr>
        <w:t>action national pour la période 2017-2020 avec tous les acteurs locaux compétents, y compris des représentants des collectivités locales, du secteur de la sécurité, des milieux universitaires, des organisations de la société civile et des médias. Ces consultations ont eu lieu en mai et juin 2016 à Niš (21 participants, dont 8 représentants d</w:t>
      </w:r>
      <w:r w:rsidR="008E60B5" w:rsidRPr="008E60B5">
        <w:rPr>
          <w:lang w:val="fr-FR"/>
        </w:rPr>
        <w:t>’</w:t>
      </w:r>
      <w:r w:rsidRPr="008E60B5">
        <w:rPr>
          <w:lang w:val="fr-FR"/>
        </w:rPr>
        <w:t>organisations de la société civile), à Vranje (22 participants, dont 5 représentants d</w:t>
      </w:r>
      <w:r w:rsidR="008E60B5" w:rsidRPr="008E60B5">
        <w:rPr>
          <w:lang w:val="fr-FR"/>
        </w:rPr>
        <w:t>’</w:t>
      </w:r>
      <w:r w:rsidRPr="008E60B5">
        <w:rPr>
          <w:lang w:val="fr-FR"/>
        </w:rPr>
        <w:t>organisations de la société civile), à Novi Pazar (27 participants, dont 12 représentants d</w:t>
      </w:r>
      <w:r w:rsidR="008E60B5" w:rsidRPr="008E60B5">
        <w:rPr>
          <w:lang w:val="fr-FR"/>
        </w:rPr>
        <w:t>’</w:t>
      </w:r>
      <w:r w:rsidRPr="008E60B5">
        <w:rPr>
          <w:lang w:val="fr-FR"/>
        </w:rPr>
        <w:t>organisations de la société civile), à Kruševac (45 participants, dont 8 représentants d</w:t>
      </w:r>
      <w:r w:rsidR="008E60B5" w:rsidRPr="008E60B5">
        <w:rPr>
          <w:lang w:val="fr-FR"/>
        </w:rPr>
        <w:t>’</w:t>
      </w:r>
      <w:r w:rsidRPr="008E60B5">
        <w:rPr>
          <w:lang w:val="fr-FR"/>
        </w:rPr>
        <w:t>organisations de la société civile), à Novi Sad (76 participants, dont 14 représentants d</w:t>
      </w:r>
      <w:r w:rsidR="008E60B5" w:rsidRPr="008E60B5">
        <w:rPr>
          <w:lang w:val="fr-FR"/>
        </w:rPr>
        <w:t>’</w:t>
      </w:r>
      <w:r w:rsidRPr="008E60B5">
        <w:rPr>
          <w:lang w:val="fr-FR"/>
        </w:rPr>
        <w:t>organisations de la société civile) et à Belgrade (176 participants, dont 65 représentants d</w:t>
      </w:r>
      <w:r w:rsidR="008E60B5" w:rsidRPr="008E60B5">
        <w:rPr>
          <w:lang w:val="fr-FR"/>
        </w:rPr>
        <w:t>’</w:t>
      </w:r>
      <w:r w:rsidRPr="008E60B5">
        <w:rPr>
          <w:lang w:val="fr-FR"/>
        </w:rPr>
        <w:t xml:space="preserve">organisations de la société civile). </w:t>
      </w:r>
    </w:p>
    <w:p w14:paraId="341656BE" w14:textId="77777777" w:rsidR="0053586A" w:rsidRPr="008E60B5" w:rsidRDefault="0053586A" w:rsidP="0053586A">
      <w:pPr>
        <w:pStyle w:val="SingleTxt"/>
        <w:spacing w:after="0" w:line="120" w:lineRule="exact"/>
        <w:rPr>
          <w:i/>
          <w:sz w:val="10"/>
          <w:lang w:val="fr-FR"/>
        </w:rPr>
      </w:pPr>
    </w:p>
    <w:p w14:paraId="75FD8198" w14:textId="3191BE8A" w:rsidR="00CA0011" w:rsidRPr="008E60B5" w:rsidRDefault="00F90894" w:rsidP="00F9089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r>
      <w:r w:rsidR="00CA0011" w:rsidRPr="008E60B5">
        <w:rPr>
          <w:lang w:val="fr-FR"/>
        </w:rPr>
        <w:t xml:space="preserve">Recommandation formulée au paragraphe 17 </w:t>
      </w:r>
    </w:p>
    <w:p w14:paraId="3787A4C9" w14:textId="77777777" w:rsidR="0053586A" w:rsidRPr="008E60B5" w:rsidRDefault="0053586A" w:rsidP="0053586A">
      <w:pPr>
        <w:pStyle w:val="SingleTxt"/>
        <w:spacing w:after="0" w:line="120" w:lineRule="exact"/>
        <w:rPr>
          <w:b/>
          <w:sz w:val="10"/>
          <w:lang w:val="fr-FR"/>
        </w:rPr>
      </w:pPr>
    </w:p>
    <w:p w14:paraId="19618FBE" w14:textId="7D4525B5" w:rsidR="00CA0011" w:rsidRPr="008E60B5" w:rsidRDefault="00CA0011" w:rsidP="005358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Cadre stratégique</w:t>
      </w:r>
      <w:r w:rsidR="00002E6B" w:rsidRPr="008E60B5">
        <w:rPr>
          <w:lang w:val="fr-FR"/>
        </w:rPr>
        <w:t> :</w:t>
      </w:r>
      <w:r w:rsidRPr="008E60B5">
        <w:rPr>
          <w:lang w:val="fr-FR"/>
        </w:rPr>
        <w:t xml:space="preserve"> financement et mesures</w:t>
      </w:r>
    </w:p>
    <w:p w14:paraId="60C49A3F" w14:textId="031FDEB7" w:rsidR="0053586A" w:rsidRPr="008E60B5" w:rsidRDefault="0053586A" w:rsidP="0053586A">
      <w:pPr>
        <w:pStyle w:val="SingleTxt"/>
        <w:spacing w:after="0" w:line="120" w:lineRule="exact"/>
        <w:rPr>
          <w:sz w:val="10"/>
          <w:lang w:val="fr-FR"/>
        </w:rPr>
      </w:pPr>
    </w:p>
    <w:p w14:paraId="4ED438AD" w14:textId="67BAE23C" w:rsidR="00CA0011" w:rsidRPr="008E60B5" w:rsidRDefault="00CA0011" w:rsidP="00A15EC1">
      <w:pPr>
        <w:pStyle w:val="SingleTxt"/>
        <w:numPr>
          <w:ilvl w:val="0"/>
          <w:numId w:val="18"/>
        </w:numPr>
        <w:spacing w:line="240" w:lineRule="exact"/>
        <w:rPr>
          <w:lang w:val="fr-FR"/>
        </w:rPr>
      </w:pPr>
      <w:r w:rsidRPr="008E60B5">
        <w:rPr>
          <w:lang w:val="fr-FR"/>
        </w:rPr>
        <w:t>Conformément à la loi sur le système budgétaire, la Serbie a adopté en 2015 une budgétisation tenant compte de la problématique hommes-femmes et imposé que cette méthodologie soit appliquée à tous les postes budgétaires d</w:t>
      </w:r>
      <w:r w:rsidR="008E60B5" w:rsidRPr="008E60B5">
        <w:rPr>
          <w:lang w:val="fr-FR"/>
        </w:rPr>
        <w:t>’</w:t>
      </w:r>
      <w:r w:rsidRPr="008E60B5">
        <w:rPr>
          <w:lang w:val="fr-FR"/>
        </w:rPr>
        <w:t>ici à 2020. Conformément aux plans et instructions du Ministre des finances, du Secrétaire provincial des finances ou des collectivités locales compétentes, des fonds sont prévus au budget pour mettre en œuvre les mesures tenant compte du principe d</w:t>
      </w:r>
      <w:r w:rsidR="008E60B5" w:rsidRPr="008E60B5">
        <w:rPr>
          <w:lang w:val="fr-FR"/>
        </w:rPr>
        <w:t>’</w:t>
      </w:r>
      <w:r w:rsidRPr="008E60B5">
        <w:rPr>
          <w:lang w:val="fr-FR"/>
        </w:rPr>
        <w:t>égalité des sexes et mesurer, à l</w:t>
      </w:r>
      <w:r w:rsidR="008E60B5" w:rsidRPr="008E60B5">
        <w:rPr>
          <w:lang w:val="fr-FR"/>
        </w:rPr>
        <w:t>’</w:t>
      </w:r>
      <w:r w:rsidRPr="008E60B5">
        <w:rPr>
          <w:lang w:val="fr-FR"/>
        </w:rPr>
        <w:t>aide d</w:t>
      </w:r>
      <w:r w:rsidR="008E60B5" w:rsidRPr="008E60B5">
        <w:rPr>
          <w:lang w:val="fr-FR"/>
        </w:rPr>
        <w:t>’</w:t>
      </w:r>
      <w:r w:rsidRPr="008E60B5">
        <w:rPr>
          <w:lang w:val="fr-FR"/>
        </w:rPr>
        <w:t>indicateurs pertinents, les progrès accomplis vers la réalisation des objectifs fixés</w:t>
      </w:r>
      <w:r w:rsidRPr="008E60B5">
        <w:rPr>
          <w:vertAlign w:val="superscript"/>
          <w:lang w:val="fr-FR"/>
        </w:rPr>
        <w:footnoteReference w:id="3"/>
      </w:r>
      <w:r w:rsidRPr="008E60B5">
        <w:rPr>
          <w:lang w:val="fr-FR"/>
        </w:rPr>
        <w:t>.</w:t>
      </w:r>
    </w:p>
    <w:p w14:paraId="3E8F17B8" w14:textId="4167DF58" w:rsidR="00CA0011" w:rsidRPr="008E60B5" w:rsidRDefault="00CA0011" w:rsidP="00A15EC1">
      <w:pPr>
        <w:pStyle w:val="SingleTxt"/>
        <w:numPr>
          <w:ilvl w:val="0"/>
          <w:numId w:val="18"/>
        </w:numPr>
        <w:spacing w:line="240" w:lineRule="exact"/>
        <w:rPr>
          <w:lang w:val="fr-FR"/>
        </w:rPr>
      </w:pPr>
      <w:r w:rsidRPr="008E60B5">
        <w:rPr>
          <w:lang w:val="fr-FR"/>
        </w:rPr>
        <w:t>Des fonds suffisants sont prévus au budget</w:t>
      </w:r>
      <w:r w:rsidR="00002E6B" w:rsidRPr="008E60B5">
        <w:rPr>
          <w:lang w:val="fr-FR"/>
        </w:rPr>
        <w:t xml:space="preserve"> </w:t>
      </w:r>
      <w:r w:rsidRPr="008E60B5">
        <w:rPr>
          <w:lang w:val="fr-FR"/>
        </w:rPr>
        <w:t>pour appliquer la stratégie nationale pour l</w:t>
      </w:r>
      <w:r w:rsidR="008E60B5" w:rsidRPr="008E60B5">
        <w:rPr>
          <w:lang w:val="fr-FR"/>
        </w:rPr>
        <w:t>’</w:t>
      </w:r>
      <w:r w:rsidRPr="008E60B5">
        <w:rPr>
          <w:lang w:val="fr-FR"/>
        </w:rPr>
        <w:t>égalité des sexes pour la période 2016-2020 et le plan d</w:t>
      </w:r>
      <w:r w:rsidR="008E60B5" w:rsidRPr="008E60B5">
        <w:rPr>
          <w:lang w:val="fr-FR"/>
        </w:rPr>
        <w:t>’</w:t>
      </w:r>
      <w:r w:rsidRPr="008E60B5">
        <w:rPr>
          <w:lang w:val="fr-FR"/>
        </w:rPr>
        <w:t>action connexe pour 2016-2018. Les objectifs de cette stratégie sont les suivants</w:t>
      </w:r>
      <w:r w:rsidR="00002E6B" w:rsidRPr="008E60B5">
        <w:rPr>
          <w:lang w:val="fr-FR"/>
        </w:rPr>
        <w:t> :</w:t>
      </w:r>
      <w:r w:rsidRPr="008E60B5">
        <w:rPr>
          <w:lang w:val="fr-FR"/>
        </w:rPr>
        <w:t xml:space="preserve"> lutte contre les dynamiques sexistes et promotion d</w:t>
      </w:r>
      <w:r w:rsidR="008E60B5" w:rsidRPr="008E60B5">
        <w:rPr>
          <w:lang w:val="fr-FR"/>
        </w:rPr>
        <w:t>’</w:t>
      </w:r>
      <w:r w:rsidRPr="008E60B5">
        <w:rPr>
          <w:lang w:val="fr-FR"/>
        </w:rPr>
        <w:t>une culture de l</w:t>
      </w:r>
      <w:r w:rsidR="008E60B5" w:rsidRPr="008E60B5">
        <w:rPr>
          <w:lang w:val="fr-FR"/>
        </w:rPr>
        <w:t>’</w:t>
      </w:r>
      <w:r w:rsidRPr="008E60B5">
        <w:rPr>
          <w:lang w:val="fr-FR"/>
        </w:rPr>
        <w:t>égalité des sexes</w:t>
      </w:r>
      <w:r w:rsidR="00002E6B" w:rsidRPr="008E60B5">
        <w:rPr>
          <w:lang w:val="fr-FR"/>
        </w:rPr>
        <w:t> ;</w:t>
      </w:r>
      <w:r w:rsidRPr="008E60B5">
        <w:rPr>
          <w:lang w:val="fr-FR"/>
        </w:rPr>
        <w:t xml:space="preserve"> renforcement de l</w:t>
      </w:r>
      <w:r w:rsidR="008E60B5" w:rsidRPr="008E60B5">
        <w:rPr>
          <w:lang w:val="fr-FR"/>
        </w:rPr>
        <w:t>’</w:t>
      </w:r>
      <w:r w:rsidRPr="008E60B5">
        <w:rPr>
          <w:lang w:val="fr-FR"/>
        </w:rPr>
        <w:t xml:space="preserve">égalité entre hommes et femmes grâce </w:t>
      </w:r>
      <w:r w:rsidR="00E712C7">
        <w:rPr>
          <w:lang w:val="fr-FR"/>
        </w:rPr>
        <w:t xml:space="preserve">à </w:t>
      </w:r>
      <w:r w:rsidRPr="008E60B5">
        <w:rPr>
          <w:lang w:val="fr-FR"/>
        </w:rPr>
        <w:t>des mesures d</w:t>
      </w:r>
      <w:r w:rsidR="008E60B5" w:rsidRPr="008E60B5">
        <w:rPr>
          <w:lang w:val="fr-FR"/>
        </w:rPr>
        <w:t>’</w:t>
      </w:r>
      <w:r w:rsidRPr="008E60B5">
        <w:rPr>
          <w:lang w:val="fr-FR"/>
        </w:rPr>
        <w:t>égalité des chances</w:t>
      </w:r>
      <w:r w:rsidR="00002E6B" w:rsidRPr="008E60B5">
        <w:rPr>
          <w:lang w:val="fr-FR"/>
        </w:rPr>
        <w:t> ;</w:t>
      </w:r>
      <w:r w:rsidRPr="008E60B5">
        <w:rPr>
          <w:lang w:val="fr-FR"/>
        </w:rPr>
        <w:t xml:space="preserve"> prise en compte systématique de la problématique hommes-femmes lors de l</w:t>
      </w:r>
      <w:r w:rsidR="008E60B5" w:rsidRPr="008E60B5">
        <w:rPr>
          <w:lang w:val="fr-FR"/>
        </w:rPr>
        <w:t>’</w:t>
      </w:r>
      <w:r w:rsidRPr="008E60B5">
        <w:rPr>
          <w:lang w:val="fr-FR"/>
        </w:rPr>
        <w:t>adoption, de l</w:t>
      </w:r>
      <w:r w:rsidR="008E60B5" w:rsidRPr="008E60B5">
        <w:rPr>
          <w:lang w:val="fr-FR"/>
        </w:rPr>
        <w:t>’</w:t>
      </w:r>
      <w:r w:rsidRPr="008E60B5">
        <w:rPr>
          <w:lang w:val="fr-FR"/>
        </w:rPr>
        <w:t>application et du suivi des politiques publiques.</w:t>
      </w:r>
    </w:p>
    <w:p w14:paraId="128DC3A4" w14:textId="24024624" w:rsidR="00CA0011" w:rsidRPr="008E60B5" w:rsidRDefault="00CA0011" w:rsidP="00A15EC1">
      <w:pPr>
        <w:pStyle w:val="SingleTxt"/>
        <w:numPr>
          <w:ilvl w:val="0"/>
          <w:numId w:val="18"/>
        </w:numPr>
        <w:spacing w:line="240" w:lineRule="exact"/>
        <w:rPr>
          <w:lang w:val="fr-FR"/>
        </w:rPr>
      </w:pPr>
      <w:r w:rsidRPr="008E60B5">
        <w:rPr>
          <w:lang w:val="fr-FR"/>
        </w:rPr>
        <w:t>En coopération avec l</w:t>
      </w:r>
      <w:r w:rsidR="008E60B5" w:rsidRPr="008E60B5">
        <w:rPr>
          <w:lang w:val="fr-FR"/>
        </w:rPr>
        <w:t>’</w:t>
      </w:r>
      <w:r w:rsidRPr="008E60B5">
        <w:rPr>
          <w:lang w:val="fr-FR"/>
        </w:rPr>
        <w:t>Office pour l</w:t>
      </w:r>
      <w:r w:rsidR="008E60B5" w:rsidRPr="008E60B5">
        <w:rPr>
          <w:lang w:val="fr-FR"/>
        </w:rPr>
        <w:t>’</w:t>
      </w:r>
      <w:r w:rsidRPr="008E60B5">
        <w:rPr>
          <w:lang w:val="fr-FR"/>
        </w:rPr>
        <w:t>intégration européenne de la Serbie et ONU-Femmes, l</w:t>
      </w:r>
      <w:r w:rsidR="008E60B5" w:rsidRPr="008E60B5">
        <w:rPr>
          <w:lang w:val="fr-FR"/>
        </w:rPr>
        <w:t>’</w:t>
      </w:r>
      <w:r w:rsidRPr="008E60B5">
        <w:rPr>
          <w:lang w:val="fr-FR"/>
        </w:rPr>
        <w:t>Organisme de coordination pour l</w:t>
      </w:r>
      <w:r w:rsidR="008E60B5" w:rsidRPr="008E60B5">
        <w:rPr>
          <w:lang w:val="fr-FR"/>
        </w:rPr>
        <w:t>’</w:t>
      </w:r>
      <w:r w:rsidRPr="008E60B5">
        <w:rPr>
          <w:lang w:val="fr-FR"/>
        </w:rPr>
        <w:t>égalité des sexes a élaboré un plan d</w:t>
      </w:r>
      <w:r w:rsidR="008E60B5" w:rsidRPr="008E60B5">
        <w:rPr>
          <w:lang w:val="fr-FR"/>
        </w:rPr>
        <w:t>’</w:t>
      </w:r>
      <w:r w:rsidRPr="008E60B5">
        <w:rPr>
          <w:lang w:val="fr-FR"/>
        </w:rPr>
        <w:t>action dans le cadre du dispositif européen d</w:t>
      </w:r>
      <w:r w:rsidR="008E60B5" w:rsidRPr="008E60B5">
        <w:rPr>
          <w:lang w:val="fr-FR"/>
        </w:rPr>
        <w:t>’</w:t>
      </w:r>
      <w:r w:rsidRPr="008E60B5">
        <w:rPr>
          <w:lang w:val="fr-FR"/>
        </w:rPr>
        <w:t>intégration, dont la part du budget consacrée à l</w:t>
      </w:r>
      <w:r w:rsidR="008E60B5" w:rsidRPr="008E60B5">
        <w:rPr>
          <w:lang w:val="fr-FR"/>
        </w:rPr>
        <w:t>’</w:t>
      </w:r>
      <w:r w:rsidRPr="008E60B5">
        <w:rPr>
          <w:lang w:val="fr-FR"/>
        </w:rPr>
        <w:t xml:space="preserve">égalité des sexes était initialement de </w:t>
      </w:r>
      <w:r w:rsidR="00E712C7">
        <w:rPr>
          <w:lang w:val="fr-FR"/>
        </w:rPr>
        <w:t>2</w:t>
      </w:r>
      <w:r w:rsidRPr="008E60B5">
        <w:rPr>
          <w:lang w:val="fr-FR"/>
        </w:rPr>
        <w:t xml:space="preserve"> millions d</w:t>
      </w:r>
      <w:r w:rsidR="008E60B5" w:rsidRPr="008E60B5">
        <w:rPr>
          <w:lang w:val="fr-FR"/>
        </w:rPr>
        <w:t>’</w:t>
      </w:r>
      <w:r w:rsidRPr="008E60B5">
        <w:rPr>
          <w:lang w:val="fr-FR"/>
        </w:rPr>
        <w:t xml:space="preserve">euros. Les activités </w:t>
      </w:r>
      <w:r w:rsidRPr="008E60B5">
        <w:rPr>
          <w:lang w:val="fr-FR"/>
        </w:rPr>
        <w:lastRenderedPageBreak/>
        <w:t>prévues visent notamment à soutenir la mise en place des conditions administratives et techniques nécessaires à l</w:t>
      </w:r>
      <w:r w:rsidR="008E60B5" w:rsidRPr="008E60B5">
        <w:rPr>
          <w:lang w:val="fr-FR"/>
        </w:rPr>
        <w:t>’</w:t>
      </w:r>
      <w:r w:rsidRPr="008E60B5">
        <w:rPr>
          <w:lang w:val="fr-FR"/>
        </w:rPr>
        <w:t>application de la stratégie et du plan d</w:t>
      </w:r>
      <w:r w:rsidR="008E60B5" w:rsidRPr="008E60B5">
        <w:rPr>
          <w:lang w:val="fr-FR"/>
        </w:rPr>
        <w:t>’</w:t>
      </w:r>
      <w:r w:rsidRPr="008E60B5">
        <w:rPr>
          <w:lang w:val="fr-FR"/>
        </w:rPr>
        <w:t>action pour l</w:t>
      </w:r>
      <w:r w:rsidR="008E60B5" w:rsidRPr="008E60B5">
        <w:rPr>
          <w:lang w:val="fr-FR"/>
        </w:rPr>
        <w:t>’</w:t>
      </w:r>
      <w:r w:rsidRPr="008E60B5">
        <w:rPr>
          <w:lang w:val="fr-FR"/>
        </w:rPr>
        <w:t>égalité des sexes</w:t>
      </w:r>
      <w:r w:rsidR="00002E6B" w:rsidRPr="008E60B5">
        <w:rPr>
          <w:lang w:val="fr-FR"/>
        </w:rPr>
        <w:t> ;</w:t>
      </w:r>
      <w:r w:rsidRPr="008E60B5">
        <w:rPr>
          <w:lang w:val="fr-FR"/>
        </w:rPr>
        <w:t xml:space="preserve"> à promouvoir la prise en compte de la problématique hommes-femmes dans la planification stratégique et la programmation des fonds de l</w:t>
      </w:r>
      <w:r w:rsidR="008E60B5" w:rsidRPr="008E60B5">
        <w:rPr>
          <w:lang w:val="fr-FR"/>
        </w:rPr>
        <w:t>’</w:t>
      </w:r>
      <w:r w:rsidRPr="008E60B5">
        <w:rPr>
          <w:lang w:val="fr-FR"/>
        </w:rPr>
        <w:t>Union européenne et, par conséquent, dans la mise en œuvre et le suivi des programmes et projets financés par l</w:t>
      </w:r>
      <w:r w:rsidR="008E60B5" w:rsidRPr="008E60B5">
        <w:rPr>
          <w:lang w:val="fr-FR"/>
        </w:rPr>
        <w:t>’</w:t>
      </w:r>
      <w:r w:rsidRPr="008E60B5">
        <w:rPr>
          <w:lang w:val="fr-FR"/>
        </w:rPr>
        <w:t>Union européenne ainsi que dans l</w:t>
      </w:r>
      <w:r w:rsidR="008E60B5" w:rsidRPr="008E60B5">
        <w:rPr>
          <w:lang w:val="fr-FR"/>
        </w:rPr>
        <w:t>’</w:t>
      </w:r>
      <w:r w:rsidRPr="008E60B5">
        <w:rPr>
          <w:lang w:val="fr-FR"/>
        </w:rPr>
        <w:t>établissement de rapports à ce sujet</w:t>
      </w:r>
      <w:r w:rsidR="00002E6B" w:rsidRPr="008E60B5">
        <w:rPr>
          <w:lang w:val="fr-FR"/>
        </w:rPr>
        <w:t> ;</w:t>
      </w:r>
      <w:r w:rsidRPr="008E60B5">
        <w:rPr>
          <w:lang w:val="fr-FR"/>
        </w:rPr>
        <w:t xml:space="preserve"> à appuyer l</w:t>
      </w:r>
      <w:r w:rsidR="008E60B5" w:rsidRPr="008E60B5">
        <w:rPr>
          <w:lang w:val="fr-FR"/>
        </w:rPr>
        <w:t>’</w:t>
      </w:r>
      <w:r w:rsidRPr="008E60B5">
        <w:rPr>
          <w:lang w:val="fr-FR"/>
        </w:rPr>
        <w:t>autonomisation économique des femmes.</w:t>
      </w:r>
    </w:p>
    <w:p w14:paraId="63971D3A" w14:textId="22658A01" w:rsidR="00CA0011" w:rsidRPr="008E60B5" w:rsidRDefault="00CA0011" w:rsidP="00A15EC1">
      <w:pPr>
        <w:pStyle w:val="SingleTxt"/>
        <w:numPr>
          <w:ilvl w:val="0"/>
          <w:numId w:val="18"/>
        </w:numPr>
        <w:spacing w:line="240" w:lineRule="exact"/>
        <w:rPr>
          <w:lang w:val="fr-FR"/>
        </w:rPr>
      </w:pPr>
      <w:r w:rsidRPr="008E60B5">
        <w:rPr>
          <w:lang w:val="fr-FR"/>
        </w:rPr>
        <w:t>Le plan d</w:t>
      </w:r>
      <w:r w:rsidR="008E60B5" w:rsidRPr="008E60B5">
        <w:rPr>
          <w:lang w:val="fr-FR"/>
        </w:rPr>
        <w:t>’</w:t>
      </w:r>
      <w:r w:rsidRPr="008E60B5">
        <w:rPr>
          <w:lang w:val="fr-FR"/>
        </w:rPr>
        <w:t xml:space="preserve">action national relatifs à la mise en œuvre de la résolution </w:t>
      </w:r>
      <w:hyperlink r:id="rId20" w:history="1">
        <w:r w:rsidRPr="008E60B5">
          <w:rPr>
            <w:rStyle w:val="Hyperlink"/>
            <w:color w:val="0000FF"/>
            <w:u w:val="none"/>
            <w:lang w:val="fr-FR"/>
          </w:rPr>
          <w:t>1325 (2000)</w:t>
        </w:r>
      </w:hyperlink>
      <w:r w:rsidRPr="008E60B5">
        <w:rPr>
          <w:lang w:val="fr-FR"/>
        </w:rPr>
        <w:t xml:space="preserve"> du Conseil de sécurité sur les femmes, la paix et la sécurité en Serbie pour la période 2017-2020 a été adopté le 19 mai 2017. Ce deuxième plan d</w:t>
      </w:r>
      <w:r w:rsidR="008E60B5" w:rsidRPr="008E60B5">
        <w:rPr>
          <w:lang w:val="fr-FR"/>
        </w:rPr>
        <w:t>’</w:t>
      </w:r>
      <w:r w:rsidRPr="008E60B5">
        <w:rPr>
          <w:lang w:val="fr-FR"/>
        </w:rPr>
        <w:t>action inclut un plus grand nombre de parties prenantes et met l</w:t>
      </w:r>
      <w:r w:rsidR="008E60B5" w:rsidRPr="008E60B5">
        <w:rPr>
          <w:lang w:val="fr-FR"/>
        </w:rPr>
        <w:t>’</w:t>
      </w:r>
      <w:r w:rsidRPr="008E60B5">
        <w:rPr>
          <w:lang w:val="fr-FR"/>
        </w:rPr>
        <w:t>accent sur l</w:t>
      </w:r>
      <w:r w:rsidR="008E60B5" w:rsidRPr="008E60B5">
        <w:rPr>
          <w:lang w:val="fr-FR"/>
        </w:rPr>
        <w:t>’</w:t>
      </w:r>
      <w:r w:rsidRPr="008E60B5">
        <w:rPr>
          <w:lang w:val="fr-FR"/>
        </w:rPr>
        <w:t>organisation d</w:t>
      </w:r>
      <w:r w:rsidR="008E60B5" w:rsidRPr="008E60B5">
        <w:rPr>
          <w:lang w:val="fr-FR"/>
        </w:rPr>
        <w:t>’</w:t>
      </w:r>
      <w:r w:rsidRPr="008E60B5">
        <w:rPr>
          <w:lang w:val="fr-FR"/>
        </w:rPr>
        <w:t>activités au niveau local.</w:t>
      </w:r>
    </w:p>
    <w:p w14:paraId="3749322E" w14:textId="08835E33" w:rsidR="00CA0011" w:rsidRPr="008E60B5" w:rsidRDefault="00CA0011" w:rsidP="00A15EC1">
      <w:pPr>
        <w:pStyle w:val="SingleTxt"/>
        <w:numPr>
          <w:ilvl w:val="0"/>
          <w:numId w:val="18"/>
        </w:numPr>
        <w:spacing w:line="240" w:lineRule="exact"/>
        <w:rPr>
          <w:lang w:val="fr-FR"/>
        </w:rPr>
      </w:pPr>
      <w:r w:rsidRPr="008E60B5">
        <w:rPr>
          <w:lang w:val="fr-FR"/>
        </w:rPr>
        <w:t>Les Ministères de la défense, de l</w:t>
      </w:r>
      <w:r w:rsidR="008E60B5" w:rsidRPr="008E60B5">
        <w:rPr>
          <w:lang w:val="fr-FR"/>
        </w:rPr>
        <w:t>’</w:t>
      </w:r>
      <w:r w:rsidRPr="008E60B5">
        <w:rPr>
          <w:lang w:val="fr-FR"/>
        </w:rPr>
        <w:t>intérieur et de la culture et de l</w:t>
      </w:r>
      <w:r w:rsidR="008E60B5" w:rsidRPr="008E60B5">
        <w:rPr>
          <w:lang w:val="fr-FR"/>
        </w:rPr>
        <w:t>’</w:t>
      </w:r>
      <w:r w:rsidRPr="008E60B5">
        <w:rPr>
          <w:lang w:val="fr-FR"/>
        </w:rPr>
        <w:t>information ainsi que l</w:t>
      </w:r>
      <w:r w:rsidR="008E60B5" w:rsidRPr="008E60B5">
        <w:rPr>
          <w:lang w:val="fr-FR"/>
        </w:rPr>
        <w:t>’</w:t>
      </w:r>
      <w:r w:rsidRPr="008E60B5">
        <w:rPr>
          <w:lang w:val="fr-FR"/>
        </w:rPr>
        <w:t>Administration pour l</w:t>
      </w:r>
      <w:r w:rsidR="008E60B5" w:rsidRPr="008E60B5">
        <w:rPr>
          <w:lang w:val="fr-FR"/>
        </w:rPr>
        <w:t>’</w:t>
      </w:r>
      <w:r w:rsidRPr="008E60B5">
        <w:rPr>
          <w:lang w:val="fr-FR"/>
        </w:rPr>
        <w:t>exécution des sanctions pénales ont alloué à la mise en œuvre du plan d</w:t>
      </w:r>
      <w:r w:rsidR="008E60B5" w:rsidRPr="008E60B5">
        <w:rPr>
          <w:lang w:val="fr-FR"/>
        </w:rPr>
        <w:t>’</w:t>
      </w:r>
      <w:r w:rsidRPr="008E60B5">
        <w:rPr>
          <w:lang w:val="fr-FR"/>
        </w:rPr>
        <w:t>action national un budget annuel de 2 480 000 dinars serbes. L</w:t>
      </w:r>
      <w:r w:rsidR="008E60B5" w:rsidRPr="008E60B5">
        <w:rPr>
          <w:lang w:val="fr-FR"/>
        </w:rPr>
        <w:t>’</w:t>
      </w:r>
      <w:r w:rsidRPr="008E60B5">
        <w:rPr>
          <w:lang w:val="fr-FR"/>
        </w:rPr>
        <w:t>Organisme de coordination pour l</w:t>
      </w:r>
      <w:r w:rsidR="008E60B5" w:rsidRPr="008E60B5">
        <w:rPr>
          <w:lang w:val="fr-FR"/>
        </w:rPr>
        <w:t>’</w:t>
      </w:r>
      <w:r w:rsidRPr="008E60B5">
        <w:rPr>
          <w:lang w:val="fr-FR"/>
        </w:rPr>
        <w:t>égalité d</w:t>
      </w:r>
      <w:r w:rsidR="00F90894" w:rsidRPr="008E60B5">
        <w:rPr>
          <w:lang w:val="fr-FR"/>
        </w:rPr>
        <w:t>es sexes a par ailleurs levé 10 </w:t>
      </w:r>
      <w:r w:rsidRPr="008E60B5">
        <w:rPr>
          <w:lang w:val="fr-FR"/>
        </w:rPr>
        <w:t>000</w:t>
      </w:r>
      <w:r w:rsidR="00F90894" w:rsidRPr="008E60B5">
        <w:rPr>
          <w:lang w:val="fr-FR"/>
        </w:rPr>
        <w:t> </w:t>
      </w:r>
      <w:r w:rsidRPr="008E60B5">
        <w:rPr>
          <w:lang w:val="fr-FR"/>
        </w:rPr>
        <w:t>000 dinars serbes auprès de donateurs en 2017. Les autres parties prenantes planifieront et détermineront le montant des fonds à allouer au plan d</w:t>
      </w:r>
      <w:r w:rsidR="008E60B5" w:rsidRPr="008E60B5">
        <w:rPr>
          <w:lang w:val="fr-FR"/>
        </w:rPr>
        <w:t>’</w:t>
      </w:r>
      <w:r w:rsidRPr="008E60B5">
        <w:rPr>
          <w:lang w:val="fr-FR"/>
        </w:rPr>
        <w:t>action en fonction de leurs possibilités, dans les limites fixées par le Ministère des finances. En outre, les collectivités locales ont été invitées à affecter les fonds requis à la mise en œuvre des activités prévues pour l</w:t>
      </w:r>
      <w:r w:rsidR="008E60B5" w:rsidRPr="008E60B5">
        <w:rPr>
          <w:lang w:val="fr-FR"/>
        </w:rPr>
        <w:t>’</w:t>
      </w:r>
      <w:r w:rsidRPr="008E60B5">
        <w:rPr>
          <w:lang w:val="fr-FR"/>
        </w:rPr>
        <w:t>exercice suivant.</w:t>
      </w:r>
    </w:p>
    <w:p w14:paraId="0E16EF12" w14:textId="2E92CEA7" w:rsidR="00CA0011" w:rsidRPr="008E60B5" w:rsidRDefault="00CA0011" w:rsidP="00A15EC1">
      <w:pPr>
        <w:pStyle w:val="SingleTxt"/>
        <w:numPr>
          <w:ilvl w:val="0"/>
          <w:numId w:val="18"/>
        </w:numPr>
        <w:spacing w:line="240" w:lineRule="exact"/>
        <w:rPr>
          <w:lang w:val="fr-FR"/>
        </w:rPr>
      </w:pPr>
      <w:r w:rsidRPr="008E60B5">
        <w:rPr>
          <w:lang w:val="fr-FR"/>
        </w:rPr>
        <w:t>Le plan d</w:t>
      </w:r>
      <w:r w:rsidR="008E60B5" w:rsidRPr="008E60B5">
        <w:rPr>
          <w:lang w:val="fr-FR"/>
        </w:rPr>
        <w:t>’</w:t>
      </w:r>
      <w:r w:rsidRPr="008E60B5">
        <w:rPr>
          <w:lang w:val="fr-FR"/>
        </w:rPr>
        <w:t>action national comporte plusieurs volets, à savoir la prévention, la participation, la protection et la réinsertion, et vise à accroître le rôle joué par les femmes dans le maintien de la paix et de la sécurité au niveau local, en particulier grâce à la création de conseils pour la sécurité et pour l</w:t>
      </w:r>
      <w:r w:rsidR="008E60B5" w:rsidRPr="008E60B5">
        <w:rPr>
          <w:lang w:val="fr-FR"/>
        </w:rPr>
        <w:t>’</w:t>
      </w:r>
      <w:r w:rsidRPr="008E60B5">
        <w:rPr>
          <w:lang w:val="fr-FR"/>
        </w:rPr>
        <w:t xml:space="preserve">égalité des sexes. </w:t>
      </w:r>
    </w:p>
    <w:p w14:paraId="20DE4FA5" w14:textId="640CFBB7" w:rsidR="00CA0011" w:rsidRPr="008E60B5" w:rsidRDefault="00CA0011" w:rsidP="00A15EC1">
      <w:pPr>
        <w:pStyle w:val="SingleTxt"/>
        <w:numPr>
          <w:ilvl w:val="0"/>
          <w:numId w:val="18"/>
        </w:numPr>
        <w:spacing w:line="240" w:lineRule="exact"/>
        <w:rPr>
          <w:lang w:val="fr-FR"/>
        </w:rPr>
      </w:pPr>
      <w:r w:rsidRPr="008E60B5">
        <w:rPr>
          <w:lang w:val="fr-FR"/>
        </w:rPr>
        <w:t>Dans le nouveau plan d</w:t>
      </w:r>
      <w:r w:rsidR="008E60B5" w:rsidRPr="008E60B5">
        <w:rPr>
          <w:lang w:val="fr-FR"/>
        </w:rPr>
        <w:t>’</w:t>
      </w:r>
      <w:r w:rsidRPr="008E60B5">
        <w:rPr>
          <w:lang w:val="fr-FR"/>
        </w:rPr>
        <w:t>action national, on a mis en avant l</w:t>
      </w:r>
      <w:r w:rsidR="008E60B5" w:rsidRPr="008E60B5">
        <w:rPr>
          <w:lang w:val="fr-FR"/>
        </w:rPr>
        <w:t>’</w:t>
      </w:r>
      <w:r w:rsidRPr="008E60B5">
        <w:rPr>
          <w:lang w:val="fr-FR"/>
        </w:rPr>
        <w:t>importance des mesures préventives ainsi que des activités de protection et de réinsertion des femmes pour faire face aux problèmes, aux risques et aux menaces actuels en matière de sécurité, qui touchent particulièrement les femmes marginalisées et les femmes victimes de formes de discrimination multiple (à savoir les femmes handicapées, les femmes roms, les femmes de plus de 50 ans, les réfugiées et déplacées, les femmes rurales, les mères célibataires, les femmes appartenant à des minorités, les femmes victimes de violence, les femmes ayant une orientation sexuelle ou une identité de genre différente et les femmes issues de zones rurales sous-développées).</w:t>
      </w:r>
    </w:p>
    <w:p w14:paraId="2F3FB74A" w14:textId="6728759D" w:rsidR="00CA0011" w:rsidRPr="008E60B5" w:rsidRDefault="00CA0011" w:rsidP="00A15EC1">
      <w:pPr>
        <w:pStyle w:val="SingleTxt"/>
        <w:numPr>
          <w:ilvl w:val="0"/>
          <w:numId w:val="18"/>
        </w:numPr>
        <w:spacing w:line="240" w:lineRule="exact"/>
        <w:rPr>
          <w:lang w:val="fr-FR"/>
        </w:rPr>
      </w:pPr>
      <w:r w:rsidRPr="008E60B5">
        <w:rPr>
          <w:lang w:val="fr-FR"/>
        </w:rPr>
        <w:t>Le Gouvernement a adopté une stratégie nationale pour l</w:t>
      </w:r>
      <w:r w:rsidR="008E60B5" w:rsidRPr="008E60B5">
        <w:rPr>
          <w:lang w:val="fr-FR"/>
        </w:rPr>
        <w:t>’</w:t>
      </w:r>
      <w:r w:rsidRPr="008E60B5">
        <w:rPr>
          <w:lang w:val="fr-FR"/>
        </w:rPr>
        <w:t>inclusion sociale des hommes et des femmes roms en République de Serbie pour la période 2016-2025 puis, en juin 2017, un plan d</w:t>
      </w:r>
      <w:r w:rsidR="008E60B5" w:rsidRPr="008E60B5">
        <w:rPr>
          <w:lang w:val="fr-FR"/>
        </w:rPr>
        <w:t>’</w:t>
      </w:r>
      <w:r w:rsidRPr="008E60B5">
        <w:rPr>
          <w:lang w:val="fr-FR"/>
        </w:rPr>
        <w:t>action connexe. Des fonds seront prévus au budget du Gouvernement ainsi que des autorités des provinces autonomes et des collectivités locales pour mettre en œuvre la stratégie et le plan d</w:t>
      </w:r>
      <w:r w:rsidR="008E60B5" w:rsidRPr="008E60B5">
        <w:rPr>
          <w:lang w:val="fr-FR"/>
        </w:rPr>
        <w:t>’</w:t>
      </w:r>
      <w:r w:rsidRPr="008E60B5">
        <w:rPr>
          <w:lang w:val="fr-FR"/>
        </w:rPr>
        <w:t>action. La deuxième source de financement est apportée par l</w:t>
      </w:r>
      <w:r w:rsidR="008E60B5" w:rsidRPr="008E60B5">
        <w:rPr>
          <w:lang w:val="fr-FR"/>
        </w:rPr>
        <w:t>’</w:t>
      </w:r>
      <w:r w:rsidRPr="008E60B5">
        <w:rPr>
          <w:lang w:val="fr-FR"/>
        </w:rPr>
        <w:t>Union européenne, qui subventionne les projets menés dans le cadre de l</w:t>
      </w:r>
      <w:r w:rsidR="008E60B5" w:rsidRPr="008E60B5">
        <w:rPr>
          <w:lang w:val="fr-FR"/>
        </w:rPr>
        <w:t>’</w:t>
      </w:r>
      <w:r w:rsidRPr="008E60B5">
        <w:rPr>
          <w:lang w:val="fr-FR"/>
        </w:rPr>
        <w:t>instrument d</w:t>
      </w:r>
      <w:r w:rsidR="008E60B5" w:rsidRPr="008E60B5">
        <w:rPr>
          <w:lang w:val="fr-FR"/>
        </w:rPr>
        <w:t>’</w:t>
      </w:r>
      <w:r w:rsidRPr="008E60B5">
        <w:rPr>
          <w:lang w:val="fr-FR"/>
        </w:rPr>
        <w:t>aide de préadhésion, tandis que la troisième source provient des donateurs internationaux et des institutions financières, y compris la Banque mondiale et les Gouvernements suédois, allemand et suisse. Les modalités de financement de certaines activités seront déterminées au cours de la mise en œuvre.</w:t>
      </w:r>
    </w:p>
    <w:p w14:paraId="11C4272E" w14:textId="3A53F300" w:rsidR="00CA0011" w:rsidRPr="008E60B5" w:rsidRDefault="00CA0011" w:rsidP="0053586A">
      <w:pPr>
        <w:pStyle w:val="SingleTxt"/>
        <w:spacing w:after="0" w:line="120" w:lineRule="exact"/>
        <w:rPr>
          <w:sz w:val="10"/>
          <w:lang w:val="fr-FR"/>
        </w:rPr>
      </w:pPr>
    </w:p>
    <w:p w14:paraId="4E443EE0" w14:textId="093F7838" w:rsidR="00CA0011" w:rsidRPr="008E60B5" w:rsidRDefault="00CA0011" w:rsidP="005358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FR"/>
        </w:rPr>
      </w:pPr>
      <w:r w:rsidRPr="008E60B5">
        <w:rPr>
          <w:lang w:val="fr-FR"/>
        </w:rPr>
        <w:lastRenderedPageBreak/>
        <w:tab/>
      </w:r>
      <w:r w:rsidRPr="008E60B5">
        <w:rPr>
          <w:lang w:val="fr-FR"/>
        </w:rPr>
        <w:tab/>
        <w:t>Harmonisation des documents stratégiques et des plans d</w:t>
      </w:r>
      <w:r w:rsidR="008E60B5" w:rsidRPr="008E60B5">
        <w:rPr>
          <w:lang w:val="fr-FR"/>
        </w:rPr>
        <w:t>’</w:t>
      </w:r>
      <w:r w:rsidRPr="008E60B5">
        <w:rPr>
          <w:lang w:val="fr-FR"/>
        </w:rPr>
        <w:t>action</w:t>
      </w:r>
    </w:p>
    <w:p w14:paraId="3D531A5B" w14:textId="5A20E789" w:rsidR="0053586A" w:rsidRPr="008E60B5" w:rsidRDefault="0053586A" w:rsidP="0053586A">
      <w:pPr>
        <w:pStyle w:val="SingleTxt"/>
        <w:keepNext/>
        <w:keepLines/>
        <w:spacing w:after="0" w:line="120" w:lineRule="exact"/>
        <w:rPr>
          <w:sz w:val="10"/>
          <w:lang w:val="fr-FR"/>
        </w:rPr>
      </w:pPr>
    </w:p>
    <w:p w14:paraId="2B2CE813" w14:textId="708050D6" w:rsidR="00CA0011" w:rsidRPr="008E60B5" w:rsidRDefault="00CA0011" w:rsidP="00A15EC1">
      <w:pPr>
        <w:pStyle w:val="SingleTxt"/>
        <w:keepNext/>
        <w:keepLines/>
        <w:numPr>
          <w:ilvl w:val="0"/>
          <w:numId w:val="18"/>
        </w:numPr>
        <w:spacing w:line="240" w:lineRule="exact"/>
        <w:rPr>
          <w:lang w:val="fr-FR"/>
        </w:rPr>
      </w:pPr>
      <w:r w:rsidRPr="008E60B5">
        <w:rPr>
          <w:lang w:val="fr-FR"/>
        </w:rPr>
        <w:t>Créé en 2014, le Secrétariat de la République pour les politiques publiques est un service technique chargé d</w:t>
      </w:r>
      <w:r w:rsidR="008E60B5" w:rsidRPr="008E60B5">
        <w:rPr>
          <w:lang w:val="fr-FR"/>
        </w:rPr>
        <w:t>’</w:t>
      </w:r>
      <w:r w:rsidRPr="008E60B5">
        <w:rPr>
          <w:lang w:val="fr-FR"/>
        </w:rPr>
        <w:t>aider le Gouvernement dans l</w:t>
      </w:r>
      <w:r w:rsidR="008E60B5" w:rsidRPr="008E60B5">
        <w:rPr>
          <w:lang w:val="fr-FR"/>
        </w:rPr>
        <w:t>’</w:t>
      </w:r>
      <w:r w:rsidRPr="008E60B5">
        <w:rPr>
          <w:lang w:val="fr-FR"/>
        </w:rPr>
        <w:t>élaboration et</w:t>
      </w:r>
      <w:r w:rsidR="00002E6B" w:rsidRPr="008E60B5">
        <w:rPr>
          <w:lang w:val="fr-FR"/>
        </w:rPr>
        <w:t xml:space="preserve"> </w:t>
      </w:r>
      <w:r w:rsidRPr="008E60B5">
        <w:rPr>
          <w:lang w:val="fr-FR"/>
        </w:rPr>
        <w:t>l</w:t>
      </w:r>
      <w:r w:rsidR="008E60B5" w:rsidRPr="008E60B5">
        <w:rPr>
          <w:lang w:val="fr-FR"/>
        </w:rPr>
        <w:t>’</w:t>
      </w:r>
      <w:r w:rsidRPr="008E60B5">
        <w:rPr>
          <w:lang w:val="fr-FR"/>
        </w:rPr>
        <w:t>adoption de politiques et règlements afin d</w:t>
      </w:r>
      <w:r w:rsidR="008E60B5" w:rsidRPr="008E60B5">
        <w:rPr>
          <w:lang w:val="fr-FR"/>
        </w:rPr>
        <w:t>’</w:t>
      </w:r>
      <w:r w:rsidRPr="008E60B5">
        <w:rPr>
          <w:lang w:val="fr-FR"/>
        </w:rPr>
        <w:t>en garantir la qualité, l</w:t>
      </w:r>
      <w:r w:rsidR="008E60B5" w:rsidRPr="008E60B5">
        <w:rPr>
          <w:lang w:val="fr-FR"/>
        </w:rPr>
        <w:t>’</w:t>
      </w:r>
      <w:r w:rsidRPr="008E60B5">
        <w:rPr>
          <w:lang w:val="fr-FR"/>
        </w:rPr>
        <w:t>harmonisation et l</w:t>
      </w:r>
      <w:r w:rsidR="008E60B5" w:rsidRPr="008E60B5">
        <w:rPr>
          <w:lang w:val="fr-FR"/>
        </w:rPr>
        <w:t>’</w:t>
      </w:r>
      <w:r w:rsidRPr="008E60B5">
        <w:rPr>
          <w:lang w:val="fr-FR"/>
        </w:rPr>
        <w:t>application efficace.</w:t>
      </w:r>
    </w:p>
    <w:p w14:paraId="74CFEC6D" w14:textId="168E75F0" w:rsidR="00CA0011" w:rsidRPr="008E60B5" w:rsidRDefault="00CA0011" w:rsidP="00A15EC1">
      <w:pPr>
        <w:pStyle w:val="SingleTxt"/>
        <w:numPr>
          <w:ilvl w:val="0"/>
          <w:numId w:val="18"/>
        </w:numPr>
        <w:spacing w:line="240" w:lineRule="exact"/>
        <w:rPr>
          <w:b/>
          <w:lang w:val="fr-FR"/>
        </w:rPr>
      </w:pPr>
      <w:r w:rsidRPr="008E60B5">
        <w:rPr>
          <w:lang w:val="fr-FR"/>
        </w:rPr>
        <w:t>Des représentants du Ministère de l</w:t>
      </w:r>
      <w:r w:rsidR="008E60B5" w:rsidRPr="008E60B5">
        <w:rPr>
          <w:lang w:val="fr-FR"/>
        </w:rPr>
        <w:t>’</w:t>
      </w:r>
      <w:r w:rsidRPr="008E60B5">
        <w:rPr>
          <w:lang w:val="fr-FR"/>
        </w:rPr>
        <w:t>administration publique et des collectivités locales et du Secrétariat ont tenu une audience publique sur le projet de loi relatif au système de planification de la Serbie et deux mesures législatives subordonnées, à savoir un projet de règlement relatif à la méthode de gestion des politiques et de la règlementation, à l</w:t>
      </w:r>
      <w:r w:rsidR="008E60B5" w:rsidRPr="008E60B5">
        <w:rPr>
          <w:lang w:val="fr-FR"/>
        </w:rPr>
        <w:t>’</w:t>
      </w:r>
      <w:r w:rsidRPr="008E60B5">
        <w:rPr>
          <w:lang w:val="fr-FR"/>
        </w:rPr>
        <w:t>analyse de leurs effets et au contenu de certains documents spécifiques, et un projet de règlement relatif à la méthodologie d</w:t>
      </w:r>
      <w:r w:rsidR="008E60B5" w:rsidRPr="008E60B5">
        <w:rPr>
          <w:lang w:val="fr-FR"/>
        </w:rPr>
        <w:t>’</w:t>
      </w:r>
      <w:r w:rsidRPr="008E60B5">
        <w:rPr>
          <w:lang w:val="fr-FR"/>
        </w:rPr>
        <w:t>élaboration de plans à moyen terme. Ces instruments sont élaborés en conformité avec le budget en se fondant sur une connaissance suffisante des problèmes, une approche analytique, des objectifs clairs et précis, des résultats mesurables, l</w:t>
      </w:r>
      <w:r w:rsidR="008E60B5" w:rsidRPr="008E60B5">
        <w:rPr>
          <w:lang w:val="fr-FR"/>
        </w:rPr>
        <w:t>’</w:t>
      </w:r>
      <w:r w:rsidRPr="008E60B5">
        <w:rPr>
          <w:lang w:val="fr-FR"/>
        </w:rPr>
        <w:t>importance du caractère participatif et l</w:t>
      </w:r>
      <w:r w:rsidR="008E60B5" w:rsidRPr="008E60B5">
        <w:rPr>
          <w:lang w:val="fr-FR"/>
        </w:rPr>
        <w:t>’</w:t>
      </w:r>
      <w:r w:rsidRPr="008E60B5">
        <w:rPr>
          <w:lang w:val="fr-FR"/>
        </w:rPr>
        <w:t>interdépendance des plans et des règlements. Une consultation est en cours concernant ce projet de loi.</w:t>
      </w:r>
    </w:p>
    <w:p w14:paraId="67AE1565" w14:textId="587D7DA9" w:rsidR="00CA0011" w:rsidRPr="008E60B5" w:rsidRDefault="00CA0011" w:rsidP="00A15EC1">
      <w:pPr>
        <w:pStyle w:val="SingleTxt"/>
        <w:numPr>
          <w:ilvl w:val="0"/>
          <w:numId w:val="18"/>
        </w:numPr>
        <w:spacing w:line="240" w:lineRule="exact"/>
        <w:rPr>
          <w:b/>
          <w:lang w:val="fr-FR"/>
        </w:rPr>
      </w:pPr>
      <w:r w:rsidRPr="008E60B5">
        <w:rPr>
          <w:lang w:val="fr-FR"/>
        </w:rPr>
        <w:t>Comme suite à une proposition du Ministère de la défense, des dispositions spécifiques relatives à la question de la sécurité des femmes ont été intégrées à la Stratégie nationale pour l</w:t>
      </w:r>
      <w:r w:rsidR="008E60B5" w:rsidRPr="008E60B5">
        <w:rPr>
          <w:lang w:val="fr-FR"/>
        </w:rPr>
        <w:t>’</w:t>
      </w:r>
      <w:r w:rsidRPr="008E60B5">
        <w:rPr>
          <w:lang w:val="fr-FR"/>
        </w:rPr>
        <w:t>égalité des sexes pour la période 2016-2020 et au plan d</w:t>
      </w:r>
      <w:r w:rsidR="008E60B5" w:rsidRPr="008E60B5">
        <w:rPr>
          <w:lang w:val="fr-FR"/>
        </w:rPr>
        <w:t>’</w:t>
      </w:r>
      <w:r w:rsidRPr="008E60B5">
        <w:rPr>
          <w:lang w:val="fr-FR"/>
        </w:rPr>
        <w:t>action connexe pour la période 2016-2018.</w:t>
      </w:r>
    </w:p>
    <w:p w14:paraId="1C77B104" w14:textId="461C339B" w:rsidR="00CA0011" w:rsidRPr="008E60B5" w:rsidRDefault="00CA0011" w:rsidP="00A15EC1">
      <w:pPr>
        <w:pStyle w:val="SingleTxt"/>
        <w:numPr>
          <w:ilvl w:val="0"/>
          <w:numId w:val="18"/>
        </w:numPr>
        <w:spacing w:line="240" w:lineRule="exact"/>
        <w:rPr>
          <w:lang w:val="fr-FR"/>
        </w:rPr>
      </w:pPr>
      <w:r w:rsidRPr="008E60B5">
        <w:rPr>
          <w:lang w:val="fr-FR"/>
        </w:rPr>
        <w:t>En outre, lors de l</w:t>
      </w:r>
      <w:r w:rsidR="008E60B5" w:rsidRPr="008E60B5">
        <w:rPr>
          <w:lang w:val="fr-FR"/>
        </w:rPr>
        <w:t>’</w:t>
      </w:r>
      <w:r w:rsidRPr="008E60B5">
        <w:rPr>
          <w:lang w:val="fr-FR"/>
        </w:rPr>
        <w:t>élaboration du plan d</w:t>
      </w:r>
      <w:r w:rsidR="008E60B5" w:rsidRPr="008E60B5">
        <w:rPr>
          <w:lang w:val="fr-FR"/>
        </w:rPr>
        <w:t>’</w:t>
      </w:r>
      <w:r w:rsidRPr="008E60B5">
        <w:rPr>
          <w:lang w:val="fr-FR"/>
        </w:rPr>
        <w:t xml:space="preserve">action national relatif à la mise en œuvre de la résolution </w:t>
      </w:r>
      <w:hyperlink r:id="rId21" w:history="1">
        <w:r w:rsidRPr="008E60B5">
          <w:rPr>
            <w:rStyle w:val="Hyperlink"/>
            <w:color w:val="0000FF"/>
            <w:u w:val="none"/>
            <w:lang w:val="fr-FR"/>
          </w:rPr>
          <w:t>1325 (2000)</w:t>
        </w:r>
      </w:hyperlink>
      <w:r w:rsidRPr="008E60B5">
        <w:rPr>
          <w:lang w:val="fr-FR"/>
        </w:rPr>
        <w:t xml:space="preserve"> du Conseil de sécurité pour la période 2017</w:t>
      </w:r>
      <w:r w:rsidR="00E712C7">
        <w:rPr>
          <w:lang w:val="fr-FR"/>
        </w:rPr>
        <w:noBreakHyphen/>
      </w:r>
      <w:r w:rsidRPr="008E60B5">
        <w:rPr>
          <w:lang w:val="fr-FR"/>
        </w:rPr>
        <w:t>2020, tous les documents internationaux et nationaux pertinents ont été consultés, notamment</w:t>
      </w:r>
      <w:r w:rsidR="00002E6B" w:rsidRPr="008E60B5">
        <w:rPr>
          <w:lang w:val="fr-FR"/>
        </w:rPr>
        <w:t> :</w:t>
      </w:r>
      <w:r w:rsidRPr="008E60B5">
        <w:rPr>
          <w:lang w:val="fr-FR"/>
        </w:rPr>
        <w:t xml:space="preserve"> la Stratégie de prévention et de protection en matière de discrimination et le plan d</w:t>
      </w:r>
      <w:r w:rsidR="008E60B5" w:rsidRPr="008E60B5">
        <w:rPr>
          <w:lang w:val="fr-FR"/>
        </w:rPr>
        <w:t>’</w:t>
      </w:r>
      <w:r w:rsidRPr="008E60B5">
        <w:rPr>
          <w:lang w:val="fr-FR"/>
        </w:rPr>
        <w:t>action connexe</w:t>
      </w:r>
      <w:r w:rsidR="00002E6B" w:rsidRPr="008E60B5">
        <w:rPr>
          <w:lang w:val="fr-FR"/>
        </w:rPr>
        <w:t> ;</w:t>
      </w:r>
      <w:r w:rsidRPr="008E60B5">
        <w:rPr>
          <w:lang w:val="fr-FR"/>
        </w:rPr>
        <w:t xml:space="preserve"> la Stratégie nationale pour l</w:t>
      </w:r>
      <w:r w:rsidR="008E60B5" w:rsidRPr="008E60B5">
        <w:rPr>
          <w:lang w:val="fr-FR"/>
        </w:rPr>
        <w:t>’</w:t>
      </w:r>
      <w:r w:rsidRPr="008E60B5">
        <w:rPr>
          <w:lang w:val="fr-FR"/>
        </w:rPr>
        <w:t>égalité des sexes pour la période 2016-2020</w:t>
      </w:r>
      <w:r w:rsidR="00002E6B" w:rsidRPr="008E60B5">
        <w:rPr>
          <w:lang w:val="fr-FR"/>
        </w:rPr>
        <w:t> ;</w:t>
      </w:r>
      <w:r w:rsidRPr="008E60B5">
        <w:rPr>
          <w:lang w:val="fr-FR"/>
        </w:rPr>
        <w:t xml:space="preserve"> la Convention d</w:t>
      </w:r>
      <w:r w:rsidR="008E60B5" w:rsidRPr="008E60B5">
        <w:rPr>
          <w:lang w:val="fr-FR"/>
        </w:rPr>
        <w:t>’</w:t>
      </w:r>
      <w:r w:rsidRPr="008E60B5">
        <w:rPr>
          <w:lang w:val="fr-FR"/>
        </w:rPr>
        <w:t>Istanbul</w:t>
      </w:r>
      <w:r w:rsidR="00002E6B" w:rsidRPr="008E60B5">
        <w:rPr>
          <w:lang w:val="fr-FR"/>
        </w:rPr>
        <w:t> ;</w:t>
      </w:r>
      <w:r w:rsidRPr="008E60B5">
        <w:rPr>
          <w:lang w:val="fr-FR"/>
        </w:rPr>
        <w:t xml:space="preserve"> les observations finales du Comité concernant les deuxième et troisième rapports périodiques de la Serbie, soumis en un seul document (</w:t>
      </w:r>
      <w:hyperlink r:id="rId22" w:history="1">
        <w:r w:rsidRPr="008E60B5">
          <w:rPr>
            <w:rStyle w:val="Hyperlink"/>
            <w:color w:val="0000FF"/>
            <w:u w:val="none"/>
            <w:lang w:val="fr-FR"/>
          </w:rPr>
          <w:t>CEDAW/SRB/CO/2-3</w:t>
        </w:r>
      </w:hyperlink>
      <w:r w:rsidRPr="008E60B5">
        <w:rPr>
          <w:lang w:val="fr-FR"/>
        </w:rPr>
        <w:t xml:space="preserve">). </w:t>
      </w:r>
    </w:p>
    <w:p w14:paraId="51CD242A" w14:textId="77777777" w:rsidR="0053586A" w:rsidRPr="008E60B5" w:rsidRDefault="0053586A" w:rsidP="0053586A">
      <w:pPr>
        <w:pStyle w:val="SingleTxt"/>
        <w:spacing w:after="0" w:line="120" w:lineRule="exact"/>
        <w:rPr>
          <w:b/>
          <w:sz w:val="10"/>
          <w:lang w:val="fr-FR"/>
        </w:rPr>
      </w:pPr>
    </w:p>
    <w:p w14:paraId="36CE9A74" w14:textId="3BCDCCFF" w:rsidR="00CA0011" w:rsidRPr="008E60B5" w:rsidRDefault="00CA0011" w:rsidP="005358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Suivi de l</w:t>
      </w:r>
      <w:r w:rsidR="008E60B5" w:rsidRPr="008E60B5">
        <w:rPr>
          <w:lang w:val="fr-FR"/>
        </w:rPr>
        <w:t>’</w:t>
      </w:r>
      <w:r w:rsidRPr="008E60B5">
        <w:rPr>
          <w:lang w:val="fr-FR"/>
        </w:rPr>
        <w:t>application des documents stratégiques</w:t>
      </w:r>
    </w:p>
    <w:p w14:paraId="2B5A1096" w14:textId="192661DC" w:rsidR="0053586A" w:rsidRPr="008E60B5" w:rsidRDefault="0053586A" w:rsidP="0053586A">
      <w:pPr>
        <w:pStyle w:val="SingleTxt"/>
        <w:spacing w:after="0" w:line="120" w:lineRule="exact"/>
        <w:rPr>
          <w:sz w:val="10"/>
          <w:lang w:val="fr-FR"/>
        </w:rPr>
      </w:pPr>
    </w:p>
    <w:p w14:paraId="2F08303B" w14:textId="18D5CA6C" w:rsidR="00CA0011" w:rsidRDefault="00CA0011" w:rsidP="00A15EC1">
      <w:pPr>
        <w:pStyle w:val="SingleTxt"/>
        <w:numPr>
          <w:ilvl w:val="0"/>
          <w:numId w:val="19"/>
        </w:numPr>
        <w:spacing w:line="240" w:lineRule="exact"/>
        <w:rPr>
          <w:lang w:val="fr-FR"/>
        </w:rPr>
      </w:pPr>
      <w:r w:rsidRPr="008E60B5">
        <w:rPr>
          <w:lang w:val="fr-FR"/>
        </w:rPr>
        <w:t>À ce jour, le Conseil chargé du suivi de l</w:t>
      </w:r>
      <w:r w:rsidR="008E60B5" w:rsidRPr="008E60B5">
        <w:rPr>
          <w:lang w:val="fr-FR"/>
        </w:rPr>
        <w:t>’</w:t>
      </w:r>
      <w:r w:rsidRPr="008E60B5">
        <w:rPr>
          <w:lang w:val="fr-FR"/>
        </w:rPr>
        <w:t>exécution du plan d</w:t>
      </w:r>
      <w:r w:rsidR="008E60B5" w:rsidRPr="008E60B5">
        <w:rPr>
          <w:lang w:val="fr-FR"/>
        </w:rPr>
        <w:t>’</w:t>
      </w:r>
      <w:r w:rsidRPr="008E60B5">
        <w:rPr>
          <w:lang w:val="fr-FR"/>
        </w:rPr>
        <w:t>action relatif à la mise en œuvre de la Stratégie de prévention et de protection en matière de discrimination a établi trois rapports</w:t>
      </w:r>
      <w:r w:rsidR="00002E6B" w:rsidRPr="008E60B5">
        <w:rPr>
          <w:lang w:val="fr-FR"/>
        </w:rPr>
        <w:t> :</w:t>
      </w:r>
    </w:p>
    <w:p w14:paraId="5CC35438" w14:textId="544ADD71" w:rsidR="00690974" w:rsidRPr="003C1C06" w:rsidRDefault="00690974" w:rsidP="003C1C06">
      <w:pPr>
        <w:pStyle w:val="SingleTxt"/>
        <w:tabs>
          <w:tab w:val="clear" w:pos="1742"/>
        </w:tabs>
        <w:spacing w:after="0" w:line="120" w:lineRule="exact"/>
        <w:rPr>
          <w:sz w:val="10"/>
          <w:lang w:val="fr-FR"/>
        </w:rPr>
      </w:pPr>
    </w:p>
    <w:p w14:paraId="609C9015" w14:textId="2A7099A8" w:rsidR="00E712C7" w:rsidRDefault="00690974" w:rsidP="003C1C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712C7" w:rsidRPr="008E60B5">
        <w:t xml:space="preserve">Exécution du plan d’action relatif à la mise en œuvre de la Stratégie </w:t>
      </w:r>
      <w:r>
        <w:br/>
      </w:r>
      <w:r w:rsidR="00E712C7" w:rsidRPr="008E60B5">
        <w:t xml:space="preserve">de prévention et de protection en matière de discrimination </w:t>
      </w:r>
      <w:r>
        <w:br/>
      </w:r>
      <w:r w:rsidR="00E712C7" w:rsidRPr="003C1C06">
        <w:rPr>
          <w:b w:val="0"/>
          <w:bCs/>
          <w:sz w:val="14"/>
          <w:szCs w:val="14"/>
        </w:rPr>
        <w:t>(</w:t>
      </w:r>
      <w:r w:rsidRPr="003C1C06">
        <w:rPr>
          <w:b w:val="0"/>
          <w:bCs/>
          <w:sz w:val="14"/>
          <w:szCs w:val="14"/>
        </w:rPr>
        <w:t>E</w:t>
      </w:r>
      <w:r w:rsidR="00E712C7" w:rsidRPr="003C1C06">
        <w:rPr>
          <w:b w:val="0"/>
          <w:bCs/>
          <w:sz w:val="14"/>
          <w:szCs w:val="14"/>
        </w:rPr>
        <w:t>n pourcentage)</w:t>
      </w:r>
    </w:p>
    <w:p w14:paraId="0509B273" w14:textId="600FA0E5" w:rsidR="00F90894" w:rsidRPr="008E60B5" w:rsidRDefault="00F90894" w:rsidP="00F90894">
      <w:pPr>
        <w:pStyle w:val="SingleTxt"/>
        <w:tabs>
          <w:tab w:val="clear" w:pos="1742"/>
        </w:tabs>
        <w:spacing w:after="0" w:line="120" w:lineRule="exact"/>
        <w:rPr>
          <w:sz w:val="10"/>
          <w:lang w:val="fr-FR"/>
        </w:rPr>
      </w:pPr>
    </w:p>
    <w:tbl>
      <w:tblPr>
        <w:tblW w:w="0" w:type="auto"/>
        <w:tblInd w:w="1260" w:type="dxa"/>
        <w:tblLayout w:type="fixed"/>
        <w:tblCellMar>
          <w:left w:w="0" w:type="dxa"/>
          <w:right w:w="0" w:type="dxa"/>
        </w:tblCellMar>
        <w:tblLook w:val="04A0" w:firstRow="1" w:lastRow="0" w:firstColumn="1" w:lastColumn="0" w:noHBand="0" w:noVBand="1"/>
      </w:tblPr>
      <w:tblGrid>
        <w:gridCol w:w="1830"/>
        <w:gridCol w:w="1830"/>
        <w:gridCol w:w="1830"/>
        <w:gridCol w:w="1830"/>
      </w:tblGrid>
      <w:tr w:rsidR="00CA0011" w:rsidRPr="008E60B5" w14:paraId="32D95648" w14:textId="77777777" w:rsidTr="0047521D">
        <w:trPr>
          <w:cantSplit/>
          <w:tblHeader/>
        </w:trPr>
        <w:tc>
          <w:tcPr>
            <w:tcW w:w="1830" w:type="dxa"/>
            <w:tcBorders>
              <w:top w:val="single" w:sz="4" w:space="0" w:color="auto"/>
              <w:bottom w:val="single" w:sz="12" w:space="0" w:color="auto"/>
            </w:tcBorders>
            <w:shd w:val="clear" w:color="auto" w:fill="auto"/>
            <w:vAlign w:val="bottom"/>
          </w:tcPr>
          <w:p w14:paraId="32149F96" w14:textId="25F5BE13" w:rsidR="00CA0011" w:rsidRPr="008E60B5" w:rsidRDefault="00CA0011" w:rsidP="0047521D">
            <w:pPr>
              <w:suppressAutoHyphens/>
              <w:spacing w:before="81" w:after="81" w:line="160" w:lineRule="exact"/>
              <w:ind w:right="40"/>
              <w:rPr>
                <w:i/>
                <w:sz w:val="14"/>
              </w:rPr>
            </w:pPr>
            <w:r w:rsidRPr="008E60B5">
              <w:rPr>
                <w:i/>
                <w:sz w:val="14"/>
              </w:rPr>
              <w:t>Indicateurs</w:t>
            </w:r>
          </w:p>
        </w:tc>
        <w:tc>
          <w:tcPr>
            <w:tcW w:w="1830" w:type="dxa"/>
            <w:tcBorders>
              <w:top w:val="single" w:sz="4" w:space="0" w:color="auto"/>
              <w:bottom w:val="single" w:sz="12" w:space="0" w:color="auto"/>
            </w:tcBorders>
            <w:shd w:val="clear" w:color="auto" w:fill="auto"/>
            <w:vAlign w:val="bottom"/>
          </w:tcPr>
          <w:p w14:paraId="614E714F" w14:textId="26CE6F3B" w:rsidR="00CA0011" w:rsidRPr="008E60B5" w:rsidRDefault="00CA0011" w:rsidP="0047521D">
            <w:pPr>
              <w:suppressAutoHyphens/>
              <w:spacing w:before="81" w:after="81" w:line="160" w:lineRule="exact"/>
              <w:ind w:left="144" w:right="43"/>
              <w:jc w:val="right"/>
              <w:rPr>
                <w:i/>
                <w:sz w:val="14"/>
              </w:rPr>
            </w:pPr>
            <w:r w:rsidRPr="008E60B5">
              <w:rPr>
                <w:i/>
                <w:sz w:val="14"/>
              </w:rPr>
              <w:t>Premier rapport</w:t>
            </w:r>
            <w:r w:rsidR="00547FE9" w:rsidRPr="008E60B5">
              <w:rPr>
                <w:i/>
                <w:sz w:val="14"/>
              </w:rPr>
              <w:br/>
            </w:r>
            <w:r w:rsidRPr="008E60B5">
              <w:rPr>
                <w:i/>
                <w:sz w:val="14"/>
              </w:rPr>
              <w:t>Quatrième trimestre 2014 et premier trimestre 2015</w:t>
            </w:r>
          </w:p>
        </w:tc>
        <w:tc>
          <w:tcPr>
            <w:tcW w:w="1830" w:type="dxa"/>
            <w:tcBorders>
              <w:top w:val="single" w:sz="4" w:space="0" w:color="auto"/>
              <w:bottom w:val="single" w:sz="12" w:space="0" w:color="auto"/>
            </w:tcBorders>
            <w:shd w:val="clear" w:color="auto" w:fill="auto"/>
            <w:vAlign w:val="bottom"/>
          </w:tcPr>
          <w:p w14:paraId="3EBB4C18" w14:textId="3B9B8FCC" w:rsidR="00CA0011" w:rsidRPr="008E60B5" w:rsidRDefault="00CA0011" w:rsidP="0047521D">
            <w:pPr>
              <w:suppressAutoHyphens/>
              <w:spacing w:before="81" w:after="81" w:line="160" w:lineRule="exact"/>
              <w:ind w:left="144" w:right="43"/>
              <w:jc w:val="right"/>
              <w:rPr>
                <w:i/>
                <w:sz w:val="14"/>
              </w:rPr>
            </w:pPr>
            <w:r w:rsidRPr="008E60B5">
              <w:rPr>
                <w:i/>
                <w:sz w:val="14"/>
              </w:rPr>
              <w:t>Deuxième rapport</w:t>
            </w:r>
            <w:r w:rsidR="00547FE9" w:rsidRPr="008E60B5">
              <w:rPr>
                <w:i/>
                <w:sz w:val="14"/>
              </w:rPr>
              <w:br/>
            </w:r>
            <w:r w:rsidRPr="008E60B5">
              <w:rPr>
                <w:i/>
                <w:sz w:val="14"/>
              </w:rPr>
              <w:t>Deuxième, troisième et quatrième trimestres 2015</w:t>
            </w:r>
          </w:p>
        </w:tc>
        <w:tc>
          <w:tcPr>
            <w:tcW w:w="1830" w:type="dxa"/>
            <w:tcBorders>
              <w:top w:val="single" w:sz="4" w:space="0" w:color="auto"/>
              <w:bottom w:val="single" w:sz="12" w:space="0" w:color="auto"/>
            </w:tcBorders>
            <w:shd w:val="clear" w:color="auto" w:fill="auto"/>
            <w:vAlign w:val="bottom"/>
          </w:tcPr>
          <w:p w14:paraId="1E014C50" w14:textId="3AAF3E76" w:rsidR="00CA0011" w:rsidRPr="008E60B5" w:rsidRDefault="00CA0011" w:rsidP="0047521D">
            <w:pPr>
              <w:suppressAutoHyphens/>
              <w:spacing w:before="81" w:after="81" w:line="160" w:lineRule="exact"/>
              <w:ind w:left="144" w:right="43"/>
              <w:jc w:val="right"/>
              <w:rPr>
                <w:i/>
                <w:sz w:val="14"/>
              </w:rPr>
            </w:pPr>
            <w:r w:rsidRPr="008E60B5">
              <w:rPr>
                <w:i/>
                <w:sz w:val="14"/>
              </w:rPr>
              <w:t>Troisième rapport</w:t>
            </w:r>
            <w:r w:rsidR="00547FE9" w:rsidRPr="008E60B5">
              <w:rPr>
                <w:i/>
                <w:sz w:val="14"/>
              </w:rPr>
              <w:br/>
            </w:r>
            <w:r w:rsidRPr="008E60B5">
              <w:rPr>
                <w:i/>
                <w:sz w:val="14"/>
              </w:rPr>
              <w:t>Premier et deuxième trimestres 2016</w:t>
            </w:r>
          </w:p>
        </w:tc>
      </w:tr>
      <w:tr w:rsidR="00547FE9" w:rsidRPr="008E60B5" w14:paraId="5E12C455" w14:textId="77777777" w:rsidTr="0047521D">
        <w:trPr>
          <w:cantSplit/>
          <w:trHeight w:hRule="exact" w:val="115"/>
          <w:tblHeader/>
        </w:trPr>
        <w:tc>
          <w:tcPr>
            <w:tcW w:w="1830" w:type="dxa"/>
            <w:tcBorders>
              <w:top w:val="single" w:sz="12" w:space="0" w:color="auto"/>
            </w:tcBorders>
            <w:shd w:val="clear" w:color="auto" w:fill="auto"/>
            <w:vAlign w:val="bottom"/>
          </w:tcPr>
          <w:p w14:paraId="2686C1D3" w14:textId="77777777" w:rsidR="00547FE9" w:rsidRPr="008E60B5" w:rsidRDefault="00547FE9" w:rsidP="0047521D">
            <w:pPr>
              <w:suppressAutoHyphens/>
              <w:spacing w:before="40" w:after="40" w:line="210" w:lineRule="exact"/>
              <w:ind w:right="40"/>
              <w:rPr>
                <w:sz w:val="17"/>
              </w:rPr>
            </w:pPr>
          </w:p>
        </w:tc>
        <w:tc>
          <w:tcPr>
            <w:tcW w:w="1830" w:type="dxa"/>
            <w:tcBorders>
              <w:top w:val="single" w:sz="12" w:space="0" w:color="auto"/>
            </w:tcBorders>
            <w:shd w:val="clear" w:color="auto" w:fill="auto"/>
            <w:vAlign w:val="bottom"/>
          </w:tcPr>
          <w:p w14:paraId="1AC676EC" w14:textId="77777777" w:rsidR="00547FE9" w:rsidRPr="008E60B5" w:rsidRDefault="00547FE9" w:rsidP="0047521D">
            <w:pPr>
              <w:suppressAutoHyphens/>
              <w:spacing w:before="40" w:after="40" w:line="210" w:lineRule="exact"/>
              <w:ind w:left="144" w:right="43"/>
              <w:jc w:val="right"/>
              <w:rPr>
                <w:sz w:val="17"/>
              </w:rPr>
            </w:pPr>
          </w:p>
        </w:tc>
        <w:tc>
          <w:tcPr>
            <w:tcW w:w="1830" w:type="dxa"/>
            <w:tcBorders>
              <w:top w:val="single" w:sz="12" w:space="0" w:color="auto"/>
            </w:tcBorders>
            <w:shd w:val="clear" w:color="auto" w:fill="auto"/>
            <w:vAlign w:val="bottom"/>
          </w:tcPr>
          <w:p w14:paraId="4ACD0936" w14:textId="77777777" w:rsidR="00547FE9" w:rsidRPr="008E60B5" w:rsidRDefault="00547FE9" w:rsidP="0047521D">
            <w:pPr>
              <w:suppressAutoHyphens/>
              <w:spacing w:before="40" w:after="40" w:line="210" w:lineRule="exact"/>
              <w:ind w:left="144" w:right="43"/>
              <w:jc w:val="right"/>
              <w:rPr>
                <w:sz w:val="17"/>
              </w:rPr>
            </w:pPr>
          </w:p>
        </w:tc>
        <w:tc>
          <w:tcPr>
            <w:tcW w:w="1830" w:type="dxa"/>
            <w:tcBorders>
              <w:top w:val="single" w:sz="12" w:space="0" w:color="auto"/>
            </w:tcBorders>
            <w:shd w:val="clear" w:color="auto" w:fill="auto"/>
            <w:vAlign w:val="bottom"/>
          </w:tcPr>
          <w:p w14:paraId="36E72F6A" w14:textId="77777777" w:rsidR="00547FE9" w:rsidRPr="008E60B5" w:rsidRDefault="00547FE9" w:rsidP="0047521D">
            <w:pPr>
              <w:suppressAutoHyphens/>
              <w:spacing w:before="40" w:after="40" w:line="210" w:lineRule="exact"/>
              <w:ind w:left="144" w:right="43"/>
              <w:jc w:val="right"/>
              <w:rPr>
                <w:sz w:val="17"/>
              </w:rPr>
            </w:pPr>
          </w:p>
        </w:tc>
      </w:tr>
      <w:tr w:rsidR="00CA0011" w:rsidRPr="008E60B5" w14:paraId="587CE257" w14:textId="77777777" w:rsidTr="0047521D">
        <w:trPr>
          <w:cantSplit/>
        </w:trPr>
        <w:tc>
          <w:tcPr>
            <w:tcW w:w="1830" w:type="dxa"/>
            <w:shd w:val="clear" w:color="auto" w:fill="auto"/>
            <w:vAlign w:val="bottom"/>
          </w:tcPr>
          <w:p w14:paraId="56CFCAFE" w14:textId="77777777" w:rsidR="00CA0011" w:rsidRPr="008E60B5" w:rsidRDefault="00CA0011" w:rsidP="0047521D">
            <w:pPr>
              <w:tabs>
                <w:tab w:val="left" w:pos="288"/>
                <w:tab w:val="left" w:pos="576"/>
                <w:tab w:val="left" w:pos="864"/>
                <w:tab w:val="left" w:pos="1152"/>
              </w:tabs>
              <w:suppressAutoHyphens/>
              <w:spacing w:before="40" w:after="40" w:line="210" w:lineRule="exact"/>
              <w:ind w:right="40"/>
              <w:rPr>
                <w:sz w:val="17"/>
              </w:rPr>
            </w:pPr>
            <w:r w:rsidRPr="008E60B5">
              <w:rPr>
                <w:sz w:val="17"/>
              </w:rPr>
              <w:t>Objectif atteint</w:t>
            </w:r>
          </w:p>
        </w:tc>
        <w:tc>
          <w:tcPr>
            <w:tcW w:w="1830" w:type="dxa"/>
            <w:shd w:val="clear" w:color="auto" w:fill="auto"/>
            <w:vAlign w:val="bottom"/>
          </w:tcPr>
          <w:p w14:paraId="7CAB4D02" w14:textId="77777777" w:rsidR="00CA0011" w:rsidRPr="008E60B5" w:rsidRDefault="00CA0011" w:rsidP="0047521D">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47,82</w:t>
            </w:r>
          </w:p>
        </w:tc>
        <w:tc>
          <w:tcPr>
            <w:tcW w:w="1830" w:type="dxa"/>
            <w:shd w:val="clear" w:color="auto" w:fill="auto"/>
            <w:vAlign w:val="bottom"/>
          </w:tcPr>
          <w:p w14:paraId="52B644A7" w14:textId="2CDF2151" w:rsidR="00CA0011" w:rsidRPr="008E60B5" w:rsidRDefault="00CA0011" w:rsidP="0047521D">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46,3</w:t>
            </w:r>
          </w:p>
        </w:tc>
        <w:tc>
          <w:tcPr>
            <w:tcW w:w="1830" w:type="dxa"/>
            <w:shd w:val="clear" w:color="auto" w:fill="auto"/>
            <w:vAlign w:val="bottom"/>
          </w:tcPr>
          <w:p w14:paraId="3574AF7B" w14:textId="0FF5DEA3" w:rsidR="00CA0011" w:rsidRPr="008E60B5" w:rsidRDefault="00CA0011" w:rsidP="0047521D">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46,2</w:t>
            </w:r>
          </w:p>
        </w:tc>
      </w:tr>
      <w:tr w:rsidR="00CA0011" w:rsidRPr="008E60B5" w14:paraId="719760B1" w14:textId="77777777" w:rsidTr="0047521D">
        <w:trPr>
          <w:cantSplit/>
        </w:trPr>
        <w:tc>
          <w:tcPr>
            <w:tcW w:w="1830" w:type="dxa"/>
            <w:shd w:val="clear" w:color="auto" w:fill="auto"/>
            <w:vAlign w:val="bottom"/>
          </w:tcPr>
          <w:p w14:paraId="4A040995" w14:textId="77777777" w:rsidR="00CA0011" w:rsidRPr="008E60B5" w:rsidRDefault="00CA0011" w:rsidP="0047521D">
            <w:pPr>
              <w:tabs>
                <w:tab w:val="left" w:pos="288"/>
                <w:tab w:val="left" w:pos="576"/>
                <w:tab w:val="left" w:pos="864"/>
                <w:tab w:val="left" w:pos="1152"/>
              </w:tabs>
              <w:suppressAutoHyphens/>
              <w:spacing w:before="40" w:after="40" w:line="210" w:lineRule="exact"/>
              <w:ind w:right="40"/>
              <w:rPr>
                <w:sz w:val="17"/>
              </w:rPr>
            </w:pPr>
            <w:r w:rsidRPr="008E60B5">
              <w:rPr>
                <w:sz w:val="17"/>
              </w:rPr>
              <w:t>Objectif non atteint</w:t>
            </w:r>
          </w:p>
        </w:tc>
        <w:tc>
          <w:tcPr>
            <w:tcW w:w="1830" w:type="dxa"/>
            <w:shd w:val="clear" w:color="auto" w:fill="auto"/>
            <w:vAlign w:val="bottom"/>
          </w:tcPr>
          <w:p w14:paraId="17F07B23" w14:textId="77777777" w:rsidR="00CA0011" w:rsidRPr="008E60B5" w:rsidRDefault="00CA0011" w:rsidP="0047521D">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28,98</w:t>
            </w:r>
          </w:p>
        </w:tc>
        <w:tc>
          <w:tcPr>
            <w:tcW w:w="1830" w:type="dxa"/>
            <w:shd w:val="clear" w:color="auto" w:fill="auto"/>
            <w:vAlign w:val="bottom"/>
          </w:tcPr>
          <w:p w14:paraId="7FB0B7AA" w14:textId="4B4B5B96" w:rsidR="00CA0011" w:rsidRPr="008E60B5" w:rsidRDefault="00CA0011" w:rsidP="0047521D">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10,0</w:t>
            </w:r>
          </w:p>
        </w:tc>
        <w:tc>
          <w:tcPr>
            <w:tcW w:w="1830" w:type="dxa"/>
            <w:shd w:val="clear" w:color="auto" w:fill="auto"/>
            <w:vAlign w:val="bottom"/>
          </w:tcPr>
          <w:p w14:paraId="3982FFAD" w14:textId="322DABBB" w:rsidR="00CA0011" w:rsidRPr="008E60B5" w:rsidRDefault="00CA0011" w:rsidP="0047521D">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12,5</w:t>
            </w:r>
          </w:p>
        </w:tc>
      </w:tr>
      <w:tr w:rsidR="00CA0011" w:rsidRPr="008E60B5" w14:paraId="546F5093" w14:textId="77777777" w:rsidTr="0047521D">
        <w:trPr>
          <w:cantSplit/>
        </w:trPr>
        <w:tc>
          <w:tcPr>
            <w:tcW w:w="1830" w:type="dxa"/>
            <w:shd w:val="clear" w:color="auto" w:fill="auto"/>
            <w:vAlign w:val="bottom"/>
          </w:tcPr>
          <w:p w14:paraId="57656621" w14:textId="64B51DA2" w:rsidR="00CA0011" w:rsidRPr="008E60B5" w:rsidRDefault="00CA0011" w:rsidP="0047521D">
            <w:pPr>
              <w:tabs>
                <w:tab w:val="left" w:pos="288"/>
                <w:tab w:val="left" w:pos="576"/>
                <w:tab w:val="left" w:pos="864"/>
                <w:tab w:val="left" w:pos="1152"/>
              </w:tabs>
              <w:suppressAutoHyphens/>
              <w:spacing w:before="40" w:after="40" w:line="210" w:lineRule="exact"/>
              <w:ind w:right="40"/>
              <w:rPr>
                <w:sz w:val="17"/>
              </w:rPr>
            </w:pPr>
            <w:r w:rsidRPr="008E60B5">
              <w:rPr>
                <w:sz w:val="17"/>
              </w:rPr>
              <w:t>Objectif partiellement atteint</w:t>
            </w:r>
          </w:p>
        </w:tc>
        <w:tc>
          <w:tcPr>
            <w:tcW w:w="1830" w:type="dxa"/>
            <w:shd w:val="clear" w:color="auto" w:fill="auto"/>
            <w:vAlign w:val="bottom"/>
          </w:tcPr>
          <w:p w14:paraId="680BD554" w14:textId="77777777" w:rsidR="00CA0011" w:rsidRPr="008E60B5" w:rsidRDefault="00CA0011" w:rsidP="0047521D">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7,44</w:t>
            </w:r>
          </w:p>
        </w:tc>
        <w:tc>
          <w:tcPr>
            <w:tcW w:w="1830" w:type="dxa"/>
            <w:shd w:val="clear" w:color="auto" w:fill="auto"/>
            <w:vAlign w:val="bottom"/>
          </w:tcPr>
          <w:p w14:paraId="2903F373" w14:textId="0446CA1B" w:rsidR="00CA0011" w:rsidRPr="008E60B5" w:rsidRDefault="00CA0011" w:rsidP="0047521D">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21,8</w:t>
            </w:r>
          </w:p>
        </w:tc>
        <w:tc>
          <w:tcPr>
            <w:tcW w:w="1830" w:type="dxa"/>
            <w:shd w:val="clear" w:color="auto" w:fill="auto"/>
            <w:vAlign w:val="bottom"/>
          </w:tcPr>
          <w:p w14:paraId="179F46E4" w14:textId="23B92D64" w:rsidR="00CA0011" w:rsidRPr="008E60B5" w:rsidRDefault="00CA0011" w:rsidP="0047521D">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16,8</w:t>
            </w:r>
          </w:p>
        </w:tc>
      </w:tr>
      <w:tr w:rsidR="00CA0011" w:rsidRPr="008E60B5" w14:paraId="0E37C6E3" w14:textId="77777777" w:rsidTr="0047521D">
        <w:trPr>
          <w:cantSplit/>
        </w:trPr>
        <w:tc>
          <w:tcPr>
            <w:tcW w:w="1830" w:type="dxa"/>
            <w:tcBorders>
              <w:bottom w:val="single" w:sz="12" w:space="0" w:color="auto"/>
            </w:tcBorders>
            <w:shd w:val="clear" w:color="auto" w:fill="auto"/>
            <w:vAlign w:val="bottom"/>
          </w:tcPr>
          <w:p w14:paraId="4D72F6A3" w14:textId="77777777" w:rsidR="00CA0011" w:rsidRPr="008E60B5" w:rsidRDefault="00CA0011" w:rsidP="0047521D">
            <w:pPr>
              <w:tabs>
                <w:tab w:val="left" w:pos="288"/>
                <w:tab w:val="left" w:pos="576"/>
                <w:tab w:val="left" w:pos="864"/>
                <w:tab w:val="left" w:pos="1152"/>
              </w:tabs>
              <w:suppressAutoHyphens/>
              <w:spacing w:before="40" w:after="40" w:line="210" w:lineRule="exact"/>
              <w:ind w:right="40"/>
              <w:rPr>
                <w:sz w:val="17"/>
              </w:rPr>
            </w:pPr>
            <w:r w:rsidRPr="008E60B5">
              <w:rPr>
                <w:sz w:val="17"/>
              </w:rPr>
              <w:t>Aucune information disponible</w:t>
            </w:r>
          </w:p>
        </w:tc>
        <w:tc>
          <w:tcPr>
            <w:tcW w:w="1830" w:type="dxa"/>
            <w:tcBorders>
              <w:bottom w:val="single" w:sz="12" w:space="0" w:color="auto"/>
            </w:tcBorders>
            <w:shd w:val="clear" w:color="auto" w:fill="auto"/>
            <w:vAlign w:val="bottom"/>
          </w:tcPr>
          <w:p w14:paraId="4E6C9FE2" w14:textId="77777777" w:rsidR="00CA0011" w:rsidRPr="008E60B5" w:rsidRDefault="00CA0011" w:rsidP="0047521D">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14,49</w:t>
            </w:r>
          </w:p>
        </w:tc>
        <w:tc>
          <w:tcPr>
            <w:tcW w:w="1830" w:type="dxa"/>
            <w:tcBorders>
              <w:bottom w:val="single" w:sz="12" w:space="0" w:color="auto"/>
            </w:tcBorders>
            <w:shd w:val="clear" w:color="auto" w:fill="auto"/>
            <w:vAlign w:val="bottom"/>
          </w:tcPr>
          <w:p w14:paraId="383E84AF" w14:textId="709BF484" w:rsidR="00CA0011" w:rsidRPr="008E60B5" w:rsidRDefault="00CA0011" w:rsidP="0047521D">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21,86</w:t>
            </w:r>
          </w:p>
        </w:tc>
        <w:tc>
          <w:tcPr>
            <w:tcW w:w="1830" w:type="dxa"/>
            <w:tcBorders>
              <w:bottom w:val="single" w:sz="12" w:space="0" w:color="auto"/>
            </w:tcBorders>
            <w:shd w:val="clear" w:color="auto" w:fill="auto"/>
            <w:vAlign w:val="bottom"/>
          </w:tcPr>
          <w:p w14:paraId="5174F069" w14:textId="77777777" w:rsidR="00CA0011" w:rsidRPr="008E60B5" w:rsidRDefault="00CA0011" w:rsidP="0047521D">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24,5</w:t>
            </w:r>
          </w:p>
        </w:tc>
      </w:tr>
    </w:tbl>
    <w:p w14:paraId="27E4C184" w14:textId="57E133E5" w:rsidR="0053586A" w:rsidRPr="008E60B5" w:rsidRDefault="0053586A" w:rsidP="0053586A">
      <w:pPr>
        <w:pStyle w:val="SingleTxt"/>
        <w:spacing w:after="0" w:line="120" w:lineRule="exact"/>
        <w:rPr>
          <w:sz w:val="10"/>
          <w:lang w:val="fr-FR"/>
        </w:rPr>
      </w:pPr>
    </w:p>
    <w:p w14:paraId="7590AF8E" w14:textId="0B2CC54A" w:rsidR="0053586A" w:rsidRPr="008E60B5" w:rsidRDefault="0053586A" w:rsidP="0053586A">
      <w:pPr>
        <w:pStyle w:val="SingleTxt"/>
        <w:spacing w:after="0" w:line="120" w:lineRule="exact"/>
        <w:rPr>
          <w:sz w:val="10"/>
          <w:lang w:val="fr-FR"/>
        </w:rPr>
      </w:pPr>
    </w:p>
    <w:p w14:paraId="0CD5A4AC" w14:textId="04E6E525" w:rsidR="00CA0011" w:rsidRPr="008E60B5" w:rsidRDefault="00CA0011" w:rsidP="00A15EC1">
      <w:pPr>
        <w:pStyle w:val="SingleTxt"/>
        <w:numPr>
          <w:ilvl w:val="0"/>
          <w:numId w:val="19"/>
        </w:numPr>
        <w:spacing w:line="240" w:lineRule="exact"/>
        <w:rPr>
          <w:lang w:val="fr-FR"/>
        </w:rPr>
      </w:pPr>
      <w:r w:rsidRPr="008E60B5">
        <w:rPr>
          <w:lang w:val="fr-FR"/>
        </w:rPr>
        <w:t>Le quatrième rapport sur l</w:t>
      </w:r>
      <w:r w:rsidR="008E60B5" w:rsidRPr="008E60B5">
        <w:rPr>
          <w:lang w:val="fr-FR"/>
        </w:rPr>
        <w:t>’</w:t>
      </w:r>
      <w:r w:rsidRPr="008E60B5">
        <w:rPr>
          <w:lang w:val="fr-FR"/>
        </w:rPr>
        <w:t>exécution du plan d</w:t>
      </w:r>
      <w:r w:rsidR="008E60B5" w:rsidRPr="008E60B5">
        <w:rPr>
          <w:lang w:val="fr-FR"/>
        </w:rPr>
        <w:t>’</w:t>
      </w:r>
      <w:r w:rsidRPr="008E60B5">
        <w:rPr>
          <w:lang w:val="fr-FR"/>
        </w:rPr>
        <w:t>action est en cours d</w:t>
      </w:r>
      <w:r w:rsidR="008E60B5" w:rsidRPr="008E60B5">
        <w:rPr>
          <w:lang w:val="fr-FR"/>
        </w:rPr>
        <w:t>’</w:t>
      </w:r>
      <w:r w:rsidRPr="008E60B5">
        <w:rPr>
          <w:lang w:val="fr-FR"/>
        </w:rPr>
        <w:t>élaboration et portera sur les troisième et quatrième trimestres de 2016.</w:t>
      </w:r>
    </w:p>
    <w:p w14:paraId="7B1B026B" w14:textId="445248D1" w:rsidR="00CA0011" w:rsidRPr="008E60B5" w:rsidRDefault="00CA0011" w:rsidP="00A15EC1">
      <w:pPr>
        <w:pStyle w:val="SingleTxt"/>
        <w:numPr>
          <w:ilvl w:val="0"/>
          <w:numId w:val="19"/>
        </w:numPr>
        <w:spacing w:line="240" w:lineRule="exact"/>
        <w:rPr>
          <w:lang w:val="fr-FR"/>
        </w:rPr>
      </w:pPr>
      <w:r w:rsidRPr="008E60B5">
        <w:rPr>
          <w:lang w:val="fr-FR"/>
        </w:rPr>
        <w:lastRenderedPageBreak/>
        <w:t>Des séances de formation ont été offertes aux représentants des institutions nationales en charge de l</w:t>
      </w:r>
      <w:r w:rsidR="008E60B5" w:rsidRPr="008E60B5">
        <w:rPr>
          <w:lang w:val="fr-FR"/>
        </w:rPr>
        <w:t>’</w:t>
      </w:r>
      <w:r w:rsidRPr="008E60B5">
        <w:rPr>
          <w:lang w:val="fr-FR"/>
        </w:rPr>
        <w:t>exécution des activités prévues au titre du plan d</w:t>
      </w:r>
      <w:r w:rsidR="008E60B5" w:rsidRPr="008E60B5">
        <w:rPr>
          <w:lang w:val="fr-FR"/>
        </w:rPr>
        <w:t>’</w:t>
      </w:r>
      <w:r w:rsidRPr="008E60B5">
        <w:rPr>
          <w:lang w:val="fr-FR"/>
        </w:rPr>
        <w:t>action ainsi qu</w:t>
      </w:r>
      <w:r w:rsidR="008E60B5" w:rsidRPr="008E60B5">
        <w:rPr>
          <w:lang w:val="fr-FR"/>
        </w:rPr>
        <w:t>’</w:t>
      </w:r>
      <w:r w:rsidRPr="008E60B5">
        <w:rPr>
          <w:lang w:val="fr-FR"/>
        </w:rPr>
        <w:t>à des représentants d</w:t>
      </w:r>
      <w:r w:rsidR="008E60B5" w:rsidRPr="008E60B5">
        <w:rPr>
          <w:lang w:val="fr-FR"/>
        </w:rPr>
        <w:t>’</w:t>
      </w:r>
      <w:r w:rsidRPr="008E60B5">
        <w:rPr>
          <w:lang w:val="fr-FR"/>
        </w:rPr>
        <w:t>organisations de la société civile afin de renforcer leurs capacités de suivre plus efficacement l</w:t>
      </w:r>
      <w:r w:rsidR="008E60B5" w:rsidRPr="008E60B5">
        <w:rPr>
          <w:lang w:val="fr-FR"/>
        </w:rPr>
        <w:t>’</w:t>
      </w:r>
      <w:r w:rsidRPr="008E60B5">
        <w:rPr>
          <w:lang w:val="fr-FR"/>
        </w:rPr>
        <w:t>avancement de ces activités et des objectifs fixés grâce aux indicateurs.</w:t>
      </w:r>
    </w:p>
    <w:p w14:paraId="5638BBF4" w14:textId="5741DC2C" w:rsidR="00CA0011" w:rsidRPr="008E60B5" w:rsidRDefault="00CA0011" w:rsidP="00A15EC1">
      <w:pPr>
        <w:pStyle w:val="SingleTxt"/>
        <w:numPr>
          <w:ilvl w:val="0"/>
          <w:numId w:val="19"/>
        </w:numPr>
        <w:spacing w:line="240" w:lineRule="exact"/>
        <w:rPr>
          <w:lang w:val="fr-FR"/>
        </w:rPr>
      </w:pPr>
      <w:r w:rsidRPr="008E60B5">
        <w:rPr>
          <w:lang w:val="fr-FR"/>
        </w:rPr>
        <w:t>En collaboration avec ONU-Femmes, SeConS Development Initiative Group a procédé à l</w:t>
      </w:r>
      <w:r w:rsidR="008E60B5" w:rsidRPr="008E60B5">
        <w:rPr>
          <w:lang w:val="fr-FR"/>
        </w:rPr>
        <w:t>’</w:t>
      </w:r>
      <w:r w:rsidRPr="008E60B5">
        <w:rPr>
          <w:lang w:val="fr-FR"/>
        </w:rPr>
        <w:t>évaluation de la Stratégie nationale pour l</w:t>
      </w:r>
      <w:r w:rsidR="008E60B5" w:rsidRPr="008E60B5">
        <w:rPr>
          <w:lang w:val="fr-FR"/>
        </w:rPr>
        <w:t>’</w:t>
      </w:r>
      <w:r w:rsidRPr="008E60B5">
        <w:rPr>
          <w:lang w:val="fr-FR"/>
        </w:rPr>
        <w:t>amélioration de la condition de la femme et la promotion de l</w:t>
      </w:r>
      <w:r w:rsidR="008E60B5" w:rsidRPr="008E60B5">
        <w:rPr>
          <w:lang w:val="fr-FR"/>
        </w:rPr>
        <w:t>’</w:t>
      </w:r>
      <w:r w:rsidRPr="008E60B5">
        <w:rPr>
          <w:lang w:val="fr-FR"/>
        </w:rPr>
        <w:t>égalité des sexes pour la période 2010-2015 et du plan d</w:t>
      </w:r>
      <w:r w:rsidR="008E60B5" w:rsidRPr="008E60B5">
        <w:rPr>
          <w:lang w:val="fr-FR"/>
        </w:rPr>
        <w:t>’</w:t>
      </w:r>
      <w:r w:rsidRPr="008E60B5">
        <w:rPr>
          <w:lang w:val="fr-FR"/>
        </w:rPr>
        <w:t>action connexe.</w:t>
      </w:r>
    </w:p>
    <w:p w14:paraId="598F6DDC" w14:textId="5FD31A6E" w:rsidR="00CA0011" w:rsidRPr="008E60B5" w:rsidRDefault="00CA0011" w:rsidP="00A15EC1">
      <w:pPr>
        <w:pStyle w:val="SingleTxt"/>
        <w:numPr>
          <w:ilvl w:val="0"/>
          <w:numId w:val="19"/>
        </w:numPr>
        <w:spacing w:line="240" w:lineRule="exact"/>
        <w:rPr>
          <w:lang w:val="fr-FR"/>
        </w:rPr>
      </w:pPr>
      <w:r w:rsidRPr="008E60B5">
        <w:rPr>
          <w:lang w:val="fr-FR"/>
        </w:rPr>
        <w:t>En 2016, l</w:t>
      </w:r>
      <w:r w:rsidR="008E60B5" w:rsidRPr="008E60B5">
        <w:rPr>
          <w:lang w:val="fr-FR"/>
        </w:rPr>
        <w:t>’</w:t>
      </w:r>
      <w:r w:rsidRPr="008E60B5">
        <w:rPr>
          <w:lang w:val="fr-FR"/>
        </w:rPr>
        <w:t>Organisme de coordination pour l</w:t>
      </w:r>
      <w:r w:rsidR="008E60B5" w:rsidRPr="008E60B5">
        <w:rPr>
          <w:lang w:val="fr-FR"/>
        </w:rPr>
        <w:t>’</w:t>
      </w:r>
      <w:r w:rsidRPr="008E60B5">
        <w:rPr>
          <w:lang w:val="fr-FR"/>
        </w:rPr>
        <w:t>égalité des sexes a commencé l</w:t>
      </w:r>
      <w:r w:rsidR="008E60B5" w:rsidRPr="008E60B5">
        <w:rPr>
          <w:lang w:val="fr-FR"/>
        </w:rPr>
        <w:t>’</w:t>
      </w:r>
      <w:r w:rsidRPr="008E60B5">
        <w:rPr>
          <w:lang w:val="fr-FR"/>
        </w:rPr>
        <w:t>élaboration d</w:t>
      </w:r>
      <w:r w:rsidR="008E60B5" w:rsidRPr="008E60B5">
        <w:rPr>
          <w:lang w:val="fr-FR"/>
        </w:rPr>
        <w:t>’</w:t>
      </w:r>
      <w:r w:rsidRPr="008E60B5">
        <w:rPr>
          <w:lang w:val="fr-FR"/>
        </w:rPr>
        <w:t>un rapport d</w:t>
      </w:r>
      <w:r w:rsidR="008E60B5" w:rsidRPr="008E60B5">
        <w:rPr>
          <w:lang w:val="fr-FR"/>
        </w:rPr>
        <w:t>’</w:t>
      </w:r>
      <w:r w:rsidRPr="008E60B5">
        <w:rPr>
          <w:lang w:val="fr-FR"/>
        </w:rPr>
        <w:t>ensemble sur l</w:t>
      </w:r>
      <w:r w:rsidR="008E60B5" w:rsidRPr="008E60B5">
        <w:rPr>
          <w:lang w:val="fr-FR"/>
        </w:rPr>
        <w:t>’</w:t>
      </w:r>
      <w:r w:rsidRPr="008E60B5">
        <w:rPr>
          <w:lang w:val="fr-FR"/>
        </w:rPr>
        <w:t>exécution du plan d</w:t>
      </w:r>
      <w:r w:rsidR="008E60B5" w:rsidRPr="008E60B5">
        <w:rPr>
          <w:lang w:val="fr-FR"/>
        </w:rPr>
        <w:t>’</w:t>
      </w:r>
      <w:r w:rsidRPr="008E60B5">
        <w:rPr>
          <w:lang w:val="fr-FR"/>
        </w:rPr>
        <w:t>action national pour la période 2016-2018 relatif à la mise en œuvre de la Stratégie nationale pour l</w:t>
      </w:r>
      <w:r w:rsidR="008E60B5" w:rsidRPr="008E60B5">
        <w:rPr>
          <w:lang w:val="fr-FR"/>
        </w:rPr>
        <w:t>’</w:t>
      </w:r>
      <w:r w:rsidRPr="008E60B5">
        <w:rPr>
          <w:lang w:val="fr-FR"/>
        </w:rPr>
        <w:t>égalité des sexes pour la période 2016-2020.</w:t>
      </w:r>
    </w:p>
    <w:p w14:paraId="6E76722D" w14:textId="050A7890" w:rsidR="00CA0011" w:rsidRPr="008E60B5" w:rsidRDefault="00CA0011" w:rsidP="00A15EC1">
      <w:pPr>
        <w:pStyle w:val="SingleTxt"/>
        <w:numPr>
          <w:ilvl w:val="0"/>
          <w:numId w:val="19"/>
        </w:numPr>
        <w:spacing w:line="240" w:lineRule="exact"/>
        <w:rPr>
          <w:lang w:val="fr-FR"/>
        </w:rPr>
      </w:pPr>
      <w:r w:rsidRPr="008E60B5">
        <w:rPr>
          <w:lang w:val="fr-FR"/>
        </w:rPr>
        <w:t>En mars 2017, le Gouvernement a créé un Organe de coordination et de suivi de la mise en œuvre de la Stratégie nationale en faveur de l</w:t>
      </w:r>
      <w:r w:rsidR="008E60B5" w:rsidRPr="008E60B5">
        <w:rPr>
          <w:lang w:val="fr-FR"/>
        </w:rPr>
        <w:t>’</w:t>
      </w:r>
      <w:r w:rsidRPr="008E60B5">
        <w:rPr>
          <w:lang w:val="fr-FR"/>
        </w:rPr>
        <w:t>inclusion sociale des hommes et des femmes roms, qui est chargé d</w:t>
      </w:r>
      <w:r w:rsidR="008E60B5" w:rsidRPr="008E60B5">
        <w:rPr>
          <w:lang w:val="fr-FR"/>
        </w:rPr>
        <w:t>’</w:t>
      </w:r>
      <w:r w:rsidRPr="008E60B5">
        <w:rPr>
          <w:lang w:val="fr-FR"/>
        </w:rPr>
        <w:t>étudier tous les problèmes rencontrés dans ce domaine. L</w:t>
      </w:r>
      <w:r w:rsidR="008E60B5" w:rsidRPr="008E60B5">
        <w:rPr>
          <w:lang w:val="fr-FR"/>
        </w:rPr>
        <w:t>’</w:t>
      </w:r>
      <w:r w:rsidRPr="008E60B5">
        <w:rPr>
          <w:lang w:val="fr-FR"/>
        </w:rPr>
        <w:t>Organe de coordination et de suivi est présidé et géré par la Vice-Première Ministre et Ministre de la construction, des transports et des infrastructures. Il est habilité à coordonner les activités des autorités de l</w:t>
      </w:r>
      <w:r w:rsidR="008E60B5" w:rsidRPr="008E60B5">
        <w:rPr>
          <w:lang w:val="fr-FR"/>
        </w:rPr>
        <w:t>’</w:t>
      </w:r>
      <w:r w:rsidRPr="008E60B5">
        <w:rPr>
          <w:lang w:val="fr-FR"/>
        </w:rPr>
        <w:t>État, des collectivités locales et des entreprises publiques, entre autres, menées afin d</w:t>
      </w:r>
      <w:r w:rsidR="008E60B5" w:rsidRPr="008E60B5">
        <w:rPr>
          <w:lang w:val="fr-FR"/>
        </w:rPr>
        <w:t>’</w:t>
      </w:r>
      <w:r w:rsidRPr="008E60B5">
        <w:rPr>
          <w:lang w:val="fr-FR"/>
        </w:rPr>
        <w:t>améliorer la condition des Roms, tout particulièrement dans les domaines de l</w:t>
      </w:r>
      <w:r w:rsidR="008E60B5" w:rsidRPr="008E60B5">
        <w:rPr>
          <w:lang w:val="fr-FR"/>
        </w:rPr>
        <w:t>’</w:t>
      </w:r>
      <w:r w:rsidRPr="008E60B5">
        <w:rPr>
          <w:lang w:val="fr-FR"/>
        </w:rPr>
        <w:t>éducation, du logement, des soins de santé et de l</w:t>
      </w:r>
      <w:r w:rsidR="008E60B5" w:rsidRPr="008E60B5">
        <w:rPr>
          <w:lang w:val="fr-FR"/>
        </w:rPr>
        <w:t>’</w:t>
      </w:r>
      <w:r w:rsidRPr="008E60B5">
        <w:rPr>
          <w:lang w:val="fr-FR"/>
        </w:rPr>
        <w:t>emploi, et de les inclure pleinement à la vie sociale, économique, culturelle et politique. Outre ces fonctions de coordination, il a également pour mission de renforcer la coopération entre les différents départements, d</w:t>
      </w:r>
      <w:r w:rsidR="008E60B5" w:rsidRPr="008E60B5">
        <w:rPr>
          <w:lang w:val="fr-FR"/>
        </w:rPr>
        <w:t>’</w:t>
      </w:r>
      <w:r w:rsidRPr="008E60B5">
        <w:rPr>
          <w:lang w:val="fr-FR"/>
        </w:rPr>
        <w:t>étudier les situations d</w:t>
      </w:r>
      <w:r w:rsidR="008E60B5" w:rsidRPr="008E60B5">
        <w:rPr>
          <w:lang w:val="fr-FR"/>
        </w:rPr>
        <w:t>’</w:t>
      </w:r>
      <w:r w:rsidRPr="008E60B5">
        <w:rPr>
          <w:lang w:val="fr-FR"/>
        </w:rPr>
        <w:t>urgence risquant d</w:t>
      </w:r>
      <w:r w:rsidR="008E60B5" w:rsidRPr="008E60B5">
        <w:rPr>
          <w:lang w:val="fr-FR"/>
        </w:rPr>
        <w:t>’</w:t>
      </w:r>
      <w:r w:rsidRPr="008E60B5">
        <w:rPr>
          <w:lang w:val="fr-FR"/>
        </w:rPr>
        <w:t>accroître la vulnérabilité des hommes et des femmes roms et d</w:t>
      </w:r>
      <w:r w:rsidR="008E60B5" w:rsidRPr="008E60B5">
        <w:rPr>
          <w:lang w:val="fr-FR"/>
        </w:rPr>
        <w:t>’</w:t>
      </w:r>
      <w:r w:rsidRPr="008E60B5">
        <w:rPr>
          <w:lang w:val="fr-FR"/>
        </w:rPr>
        <w:t>émettre des recommandations afin d</w:t>
      </w:r>
      <w:r w:rsidR="008E60B5" w:rsidRPr="008E60B5">
        <w:rPr>
          <w:lang w:val="fr-FR"/>
        </w:rPr>
        <w:t>’</w:t>
      </w:r>
      <w:r w:rsidRPr="008E60B5">
        <w:rPr>
          <w:lang w:val="fr-FR"/>
        </w:rPr>
        <w:t>y faire face, et de proposer des moyens d</w:t>
      </w:r>
      <w:r w:rsidR="008E60B5" w:rsidRPr="008E60B5">
        <w:rPr>
          <w:lang w:val="fr-FR"/>
        </w:rPr>
        <w:t>’</w:t>
      </w:r>
      <w:r w:rsidRPr="008E60B5">
        <w:rPr>
          <w:lang w:val="fr-FR"/>
        </w:rPr>
        <w:t>appliquer les mesures prévues par la loi et les autres pour renforcer l</w:t>
      </w:r>
      <w:r w:rsidR="008E60B5" w:rsidRPr="008E60B5">
        <w:rPr>
          <w:lang w:val="fr-FR"/>
        </w:rPr>
        <w:t>’</w:t>
      </w:r>
      <w:r w:rsidRPr="008E60B5">
        <w:rPr>
          <w:lang w:val="fr-FR"/>
        </w:rPr>
        <w:t>inclusion sociale des personnes appartenant à la minorité rom et faire avancer le processus d</w:t>
      </w:r>
      <w:r w:rsidR="008E60B5" w:rsidRPr="008E60B5">
        <w:rPr>
          <w:lang w:val="fr-FR"/>
        </w:rPr>
        <w:t>’</w:t>
      </w:r>
      <w:r w:rsidRPr="008E60B5">
        <w:rPr>
          <w:lang w:val="fr-FR"/>
        </w:rPr>
        <w:t>intégration européenne.</w:t>
      </w:r>
    </w:p>
    <w:p w14:paraId="51071FB5" w14:textId="31818E93" w:rsidR="00CA0011" w:rsidRPr="008E60B5" w:rsidRDefault="00CA0011" w:rsidP="00A15EC1">
      <w:pPr>
        <w:pStyle w:val="SingleTxt"/>
        <w:numPr>
          <w:ilvl w:val="0"/>
          <w:numId w:val="19"/>
        </w:numPr>
        <w:spacing w:line="240" w:lineRule="exact"/>
        <w:rPr>
          <w:lang w:val="fr-FR"/>
        </w:rPr>
      </w:pPr>
      <w:r w:rsidRPr="008E60B5">
        <w:rPr>
          <w:lang w:val="fr-FR"/>
        </w:rPr>
        <w:t>Les rapports du Conseil politique chargé de la mise en œuvre du plan d</w:t>
      </w:r>
      <w:r w:rsidR="008E60B5" w:rsidRPr="008E60B5">
        <w:rPr>
          <w:lang w:val="fr-FR"/>
        </w:rPr>
        <w:t>’</w:t>
      </w:r>
      <w:r w:rsidRPr="008E60B5">
        <w:rPr>
          <w:lang w:val="fr-FR"/>
        </w:rPr>
        <w:t>action national pour la période 2010-2015, qui ont été soumis au Gouvernement pour adoption, sont publiés sur le site Web du Ministère de la défense sous l</w:t>
      </w:r>
      <w:r w:rsidR="008E60B5" w:rsidRPr="008E60B5">
        <w:rPr>
          <w:lang w:val="fr-FR"/>
        </w:rPr>
        <w:t>’</w:t>
      </w:r>
      <w:r w:rsidRPr="008E60B5">
        <w:rPr>
          <w:lang w:val="fr-FR"/>
        </w:rPr>
        <w:t>onglet « Documents », dans la rubrique « Action plans ». Ces rapports contiennent des informations détaillées sur les travaux des organes et mécanismes institutionnels créés pour procéder à l</w:t>
      </w:r>
      <w:r w:rsidR="008E60B5" w:rsidRPr="008E60B5">
        <w:rPr>
          <w:lang w:val="fr-FR"/>
        </w:rPr>
        <w:t>’</w:t>
      </w:r>
      <w:r w:rsidRPr="008E60B5">
        <w:rPr>
          <w:lang w:val="fr-FR"/>
        </w:rPr>
        <w:t>exécution du plan d</w:t>
      </w:r>
      <w:r w:rsidR="008E60B5" w:rsidRPr="008E60B5">
        <w:rPr>
          <w:lang w:val="fr-FR"/>
        </w:rPr>
        <w:t>’</w:t>
      </w:r>
      <w:r w:rsidRPr="008E60B5">
        <w:rPr>
          <w:lang w:val="fr-FR"/>
        </w:rPr>
        <w:t>action national et sur les résultats de la coopération entre les autorités publiques et les autres parties ayant contribué à l</w:t>
      </w:r>
      <w:r w:rsidR="008E60B5" w:rsidRPr="008E60B5">
        <w:rPr>
          <w:lang w:val="fr-FR"/>
        </w:rPr>
        <w:t>’</w:t>
      </w:r>
      <w:r w:rsidRPr="008E60B5">
        <w:rPr>
          <w:lang w:val="fr-FR"/>
        </w:rPr>
        <w:t>exécution du plan d</w:t>
      </w:r>
      <w:r w:rsidR="008E60B5" w:rsidRPr="008E60B5">
        <w:rPr>
          <w:lang w:val="fr-FR"/>
        </w:rPr>
        <w:t>’</w:t>
      </w:r>
      <w:r w:rsidRPr="008E60B5">
        <w:rPr>
          <w:lang w:val="fr-FR"/>
        </w:rPr>
        <w:t>action.</w:t>
      </w:r>
    </w:p>
    <w:p w14:paraId="19584A3C" w14:textId="7E69B242" w:rsidR="00CA0011" w:rsidRPr="008E60B5" w:rsidRDefault="00CA0011" w:rsidP="00A15EC1">
      <w:pPr>
        <w:pStyle w:val="SingleTxt"/>
        <w:numPr>
          <w:ilvl w:val="0"/>
          <w:numId w:val="19"/>
        </w:numPr>
        <w:spacing w:line="240" w:lineRule="exact"/>
        <w:rPr>
          <w:lang w:val="fr-FR"/>
        </w:rPr>
      </w:pPr>
      <w:r w:rsidRPr="008E60B5">
        <w:rPr>
          <w:lang w:val="fr-FR"/>
        </w:rPr>
        <w:t>L</w:t>
      </w:r>
      <w:r w:rsidR="008E60B5" w:rsidRPr="008E60B5">
        <w:rPr>
          <w:lang w:val="fr-FR"/>
        </w:rPr>
        <w:t>’</w:t>
      </w:r>
      <w:r w:rsidRPr="008E60B5">
        <w:rPr>
          <w:lang w:val="fr-FR"/>
        </w:rPr>
        <w:t>une des nouveautés du plan d</w:t>
      </w:r>
      <w:r w:rsidR="008E60B5" w:rsidRPr="008E60B5">
        <w:rPr>
          <w:lang w:val="fr-FR"/>
        </w:rPr>
        <w:t>’</w:t>
      </w:r>
      <w:r w:rsidRPr="008E60B5">
        <w:rPr>
          <w:lang w:val="fr-FR"/>
        </w:rPr>
        <w:t>action national pour la période 2017-2020 réside dans le fait que les indicateurs sont expliqués dans le corps du document. La création d</w:t>
      </w:r>
      <w:r w:rsidR="008E60B5" w:rsidRPr="008E60B5">
        <w:rPr>
          <w:lang w:val="fr-FR"/>
        </w:rPr>
        <w:t>’</w:t>
      </w:r>
      <w:r w:rsidRPr="008E60B5">
        <w:rPr>
          <w:lang w:val="fr-FR"/>
        </w:rPr>
        <w:t>un mécanisme de suivi, de supervision et d</w:t>
      </w:r>
      <w:r w:rsidR="008E60B5" w:rsidRPr="008E60B5">
        <w:rPr>
          <w:lang w:val="fr-FR"/>
        </w:rPr>
        <w:t>’</w:t>
      </w:r>
      <w:r w:rsidRPr="008E60B5">
        <w:rPr>
          <w:lang w:val="fr-FR"/>
        </w:rPr>
        <w:t>évaluation des activités mises en place ainsi que d</w:t>
      </w:r>
      <w:r w:rsidR="008E60B5" w:rsidRPr="008E60B5">
        <w:rPr>
          <w:lang w:val="fr-FR"/>
        </w:rPr>
        <w:t>’</w:t>
      </w:r>
      <w:r w:rsidRPr="008E60B5">
        <w:rPr>
          <w:lang w:val="fr-FR"/>
        </w:rPr>
        <w:t>élaboration de rapports est aussi prévue.</w:t>
      </w:r>
    </w:p>
    <w:p w14:paraId="6B248D5A" w14:textId="70A600D1" w:rsidR="00CA0011" w:rsidRPr="008E60B5" w:rsidRDefault="00CA0011" w:rsidP="00A15EC1">
      <w:pPr>
        <w:pStyle w:val="SingleTxt"/>
        <w:numPr>
          <w:ilvl w:val="0"/>
          <w:numId w:val="19"/>
        </w:numPr>
        <w:spacing w:line="240" w:lineRule="exact"/>
        <w:rPr>
          <w:lang w:val="fr-FR"/>
        </w:rPr>
      </w:pPr>
      <w:r w:rsidRPr="008E60B5">
        <w:rPr>
          <w:lang w:val="fr-FR"/>
        </w:rPr>
        <w:t>Le 25 novembre 2015, le Gouvernement de la province autonome de la Voïvodine a créé un comité d</w:t>
      </w:r>
      <w:r w:rsidR="008E60B5" w:rsidRPr="008E60B5">
        <w:rPr>
          <w:lang w:val="fr-FR"/>
        </w:rPr>
        <w:t>’</w:t>
      </w:r>
      <w:r w:rsidRPr="008E60B5">
        <w:rPr>
          <w:lang w:val="fr-FR"/>
        </w:rPr>
        <w:t xml:space="preserve">inspecteurs ayant pour mission de coordonner, suivre et évaluer les effets des mesures énoncées dans le Programme pour la protection des femmes contre la violence dans la famille et au sein du couple et les autres formes de violence sexiste dans la province autonome de la Voïvodine pour 2015-2020. </w:t>
      </w:r>
    </w:p>
    <w:p w14:paraId="5F4C878A" w14:textId="77777777" w:rsidR="00547FE9" w:rsidRPr="008E60B5" w:rsidRDefault="00547FE9" w:rsidP="00547FE9">
      <w:pPr>
        <w:pStyle w:val="SingleTxt"/>
        <w:spacing w:after="0" w:line="120" w:lineRule="exact"/>
        <w:rPr>
          <w:b/>
          <w:sz w:val="10"/>
          <w:lang w:val="fr-FR"/>
        </w:rPr>
      </w:pPr>
    </w:p>
    <w:p w14:paraId="166CCFD7" w14:textId="77777777" w:rsidR="00547FE9" w:rsidRPr="008E60B5" w:rsidRDefault="00547FE9" w:rsidP="00547FE9">
      <w:pPr>
        <w:pStyle w:val="SingleTxt"/>
        <w:spacing w:after="0" w:line="120" w:lineRule="exact"/>
        <w:rPr>
          <w:b/>
          <w:sz w:val="10"/>
          <w:lang w:val="fr-FR"/>
        </w:rPr>
      </w:pPr>
    </w:p>
    <w:p w14:paraId="1A6A4008" w14:textId="77777777" w:rsidR="0047521D" w:rsidRPr="008E60B5" w:rsidRDefault="0047521D">
      <w:pPr>
        <w:spacing w:after="200" w:line="276" w:lineRule="auto"/>
        <w:rPr>
          <w:b/>
          <w:sz w:val="24"/>
          <w:lang w:val="fr-FR"/>
        </w:rPr>
      </w:pPr>
      <w:r w:rsidRPr="008E60B5">
        <w:rPr>
          <w:lang w:val="fr-FR"/>
        </w:rPr>
        <w:br w:type="page"/>
      </w:r>
    </w:p>
    <w:p w14:paraId="744FA051" w14:textId="7527FEE3" w:rsidR="00CA0011" w:rsidRPr="008E60B5" w:rsidRDefault="00CA0011" w:rsidP="00547F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lastRenderedPageBreak/>
        <w:tab/>
      </w:r>
      <w:r w:rsidRPr="008E60B5">
        <w:rPr>
          <w:lang w:val="fr-FR"/>
        </w:rPr>
        <w:tab/>
        <w:t>Article 4</w:t>
      </w:r>
    </w:p>
    <w:p w14:paraId="3B3C9967" w14:textId="77777777" w:rsidR="00547FE9" w:rsidRPr="008E60B5" w:rsidRDefault="00547FE9" w:rsidP="00547FE9">
      <w:pPr>
        <w:pStyle w:val="SingleTxt"/>
        <w:spacing w:after="0" w:line="120" w:lineRule="exact"/>
        <w:rPr>
          <w:b/>
          <w:sz w:val="10"/>
          <w:lang w:val="fr-FR"/>
        </w:rPr>
      </w:pPr>
    </w:p>
    <w:p w14:paraId="4151641B" w14:textId="77777777" w:rsidR="00547FE9" w:rsidRPr="008E60B5" w:rsidRDefault="00547FE9" w:rsidP="00547FE9">
      <w:pPr>
        <w:pStyle w:val="SingleTxt"/>
        <w:spacing w:after="0" w:line="120" w:lineRule="exact"/>
        <w:rPr>
          <w:b/>
          <w:sz w:val="10"/>
          <w:lang w:val="fr-FR"/>
        </w:rPr>
      </w:pPr>
    </w:p>
    <w:p w14:paraId="2DC62F8C" w14:textId="623C6090" w:rsidR="00CA0011" w:rsidRPr="008E60B5" w:rsidRDefault="00CA0011" w:rsidP="00547F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Mesures temporaires spéciales</w:t>
      </w:r>
    </w:p>
    <w:p w14:paraId="554668A8" w14:textId="77777777" w:rsidR="00547FE9" w:rsidRPr="008E60B5" w:rsidRDefault="00547FE9" w:rsidP="00547FE9">
      <w:pPr>
        <w:pStyle w:val="SingleTxt"/>
        <w:spacing w:after="0" w:line="120" w:lineRule="exact"/>
        <w:rPr>
          <w:i/>
          <w:sz w:val="10"/>
          <w:lang w:val="fr-FR"/>
        </w:rPr>
      </w:pPr>
    </w:p>
    <w:p w14:paraId="271AEBE5" w14:textId="44453AA3" w:rsidR="00CA0011" w:rsidRPr="008E60B5" w:rsidRDefault="00F90894" w:rsidP="00F9089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r>
      <w:r w:rsidR="00CA0011" w:rsidRPr="008E60B5">
        <w:rPr>
          <w:lang w:val="fr-FR"/>
        </w:rPr>
        <w:t>Recommandation formulée au paragraphe 19</w:t>
      </w:r>
    </w:p>
    <w:p w14:paraId="75E0D651" w14:textId="77777777" w:rsidR="00547FE9" w:rsidRPr="008E60B5" w:rsidRDefault="00547FE9" w:rsidP="00547FE9">
      <w:pPr>
        <w:pStyle w:val="SingleTxt"/>
        <w:spacing w:after="0" w:line="120" w:lineRule="exact"/>
        <w:rPr>
          <w:b/>
          <w:sz w:val="10"/>
          <w:lang w:val="fr-FR"/>
        </w:rPr>
      </w:pPr>
    </w:p>
    <w:p w14:paraId="4ED88875" w14:textId="0BD08EA4" w:rsidR="00CA0011" w:rsidRPr="008E60B5" w:rsidRDefault="00CA0011" w:rsidP="00547F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Mesures dans le domaine de l</w:t>
      </w:r>
      <w:r w:rsidR="008E60B5" w:rsidRPr="008E60B5">
        <w:rPr>
          <w:lang w:val="fr-FR"/>
        </w:rPr>
        <w:t>’</w:t>
      </w:r>
      <w:r w:rsidRPr="008E60B5">
        <w:rPr>
          <w:lang w:val="fr-FR"/>
        </w:rPr>
        <w:t>éducation</w:t>
      </w:r>
    </w:p>
    <w:p w14:paraId="29559030" w14:textId="79542201" w:rsidR="00547FE9" w:rsidRPr="008E60B5" w:rsidRDefault="00547FE9" w:rsidP="00547FE9">
      <w:pPr>
        <w:pStyle w:val="SingleTxt"/>
        <w:spacing w:after="0" w:line="120" w:lineRule="exact"/>
        <w:rPr>
          <w:sz w:val="10"/>
          <w:lang w:val="fr-FR"/>
        </w:rPr>
      </w:pPr>
    </w:p>
    <w:p w14:paraId="63F7C94B" w14:textId="3F33D9B9" w:rsidR="00CA0011" w:rsidRPr="008E60B5" w:rsidRDefault="00CA0011" w:rsidP="00A15EC1">
      <w:pPr>
        <w:pStyle w:val="SingleTxt"/>
        <w:numPr>
          <w:ilvl w:val="0"/>
          <w:numId w:val="19"/>
        </w:numPr>
        <w:spacing w:line="240" w:lineRule="exact"/>
        <w:rPr>
          <w:b/>
          <w:lang w:val="fr-FR"/>
        </w:rPr>
      </w:pPr>
      <w:r w:rsidRPr="008E60B5">
        <w:rPr>
          <w:lang w:val="fr-FR"/>
        </w:rPr>
        <w:t>Le Ministère de l</w:t>
      </w:r>
      <w:r w:rsidR="008E60B5" w:rsidRPr="008E60B5">
        <w:rPr>
          <w:lang w:val="fr-FR"/>
        </w:rPr>
        <w:t>’</w:t>
      </w:r>
      <w:r w:rsidRPr="008E60B5">
        <w:rPr>
          <w:lang w:val="fr-FR"/>
        </w:rPr>
        <w:t>éducation, de la science et du développement technologique a pris des mesures spéciales dans le domaine de l</w:t>
      </w:r>
      <w:r w:rsidR="008E60B5" w:rsidRPr="008E60B5">
        <w:rPr>
          <w:lang w:val="fr-FR"/>
        </w:rPr>
        <w:t>’</w:t>
      </w:r>
      <w:r w:rsidRPr="008E60B5">
        <w:rPr>
          <w:lang w:val="fr-FR"/>
        </w:rPr>
        <w:t>éducation dans le cadre de l</w:t>
      </w:r>
      <w:r w:rsidR="008E60B5" w:rsidRPr="008E60B5">
        <w:rPr>
          <w:lang w:val="fr-FR"/>
        </w:rPr>
        <w:t>’</w:t>
      </w:r>
      <w:r w:rsidRPr="008E60B5">
        <w:rPr>
          <w:lang w:val="fr-FR"/>
        </w:rPr>
        <w:t xml:space="preserve">application de la loi sur les principes fondamentaux du système éducatif et des mesures législatives subordonnées. Ces mesures ciblent les groupes sociaux particulièrement vulnérables. </w:t>
      </w:r>
    </w:p>
    <w:p w14:paraId="33F22574" w14:textId="52451302" w:rsidR="00CA0011" w:rsidRPr="008E60B5" w:rsidRDefault="00CA0011" w:rsidP="00A15EC1">
      <w:pPr>
        <w:pStyle w:val="SingleTxt"/>
        <w:numPr>
          <w:ilvl w:val="0"/>
          <w:numId w:val="20"/>
        </w:numPr>
        <w:spacing w:line="240" w:lineRule="exact"/>
        <w:rPr>
          <w:lang w:val="fr-FR"/>
        </w:rPr>
      </w:pPr>
      <w:r w:rsidRPr="008E60B5">
        <w:rPr>
          <w:lang w:val="fr-FR"/>
        </w:rPr>
        <w:t>Les procédures d</w:t>
      </w:r>
      <w:r w:rsidR="008E60B5" w:rsidRPr="008E60B5">
        <w:rPr>
          <w:lang w:val="fr-FR"/>
        </w:rPr>
        <w:t>’</w:t>
      </w:r>
      <w:r w:rsidRPr="008E60B5">
        <w:rPr>
          <w:lang w:val="fr-FR"/>
        </w:rPr>
        <w:t>inscription à l</w:t>
      </w:r>
      <w:r w:rsidR="008E60B5" w:rsidRPr="008E60B5">
        <w:rPr>
          <w:lang w:val="fr-FR"/>
        </w:rPr>
        <w:t>’</w:t>
      </w:r>
      <w:r w:rsidRPr="008E60B5">
        <w:rPr>
          <w:lang w:val="fr-FR"/>
        </w:rPr>
        <w:t>école primaire sont simplifiées pour les élèves roms de façon à favoriser leur inclusion dans l</w:t>
      </w:r>
      <w:r w:rsidR="008E60B5" w:rsidRPr="008E60B5">
        <w:rPr>
          <w:lang w:val="fr-FR"/>
        </w:rPr>
        <w:t>’</w:t>
      </w:r>
      <w:r w:rsidRPr="008E60B5">
        <w:rPr>
          <w:lang w:val="fr-FR"/>
        </w:rPr>
        <w:t>enseignement primaire.</w:t>
      </w:r>
      <w:r w:rsidR="00475DE4" w:rsidRPr="008E60B5">
        <w:rPr>
          <w:lang w:val="fr-FR"/>
        </w:rPr>
        <w:t xml:space="preserve"> </w:t>
      </w:r>
      <w:r w:rsidRPr="008E60B5">
        <w:rPr>
          <w:lang w:val="fr-FR"/>
        </w:rPr>
        <w:t>Conformément à la loi sur les principes fondamentaux du système éducatif, les enfants appartenant à des groupes vulnérables peuvent être inscrits à l</w:t>
      </w:r>
      <w:r w:rsidR="008E60B5" w:rsidRPr="008E60B5">
        <w:rPr>
          <w:lang w:val="fr-FR"/>
        </w:rPr>
        <w:t>’</w:t>
      </w:r>
      <w:r w:rsidRPr="008E60B5">
        <w:rPr>
          <w:lang w:val="fr-FR"/>
        </w:rPr>
        <w:t>école sans que leurs parents aient à fournir de justificatif de résidence permanente, entre autres documents demandés. En raison leur situation particulière, les enfants issus de groupes vulnérables peuvent être inscrits à l</w:t>
      </w:r>
      <w:r w:rsidR="008E60B5" w:rsidRPr="008E60B5">
        <w:rPr>
          <w:lang w:val="fr-FR"/>
        </w:rPr>
        <w:t>’</w:t>
      </w:r>
      <w:r w:rsidRPr="008E60B5">
        <w:rPr>
          <w:lang w:val="fr-FR"/>
        </w:rPr>
        <w:t>école même après la période d</w:t>
      </w:r>
      <w:r w:rsidR="008E60B5" w:rsidRPr="008E60B5">
        <w:rPr>
          <w:lang w:val="fr-FR"/>
        </w:rPr>
        <w:t>’</w:t>
      </w:r>
      <w:r w:rsidRPr="008E60B5">
        <w:rPr>
          <w:lang w:val="fr-FR"/>
        </w:rPr>
        <w:t xml:space="preserve">inscription officielle. Si un enfant âgé de plus de </w:t>
      </w:r>
      <w:r w:rsidR="00690974">
        <w:rPr>
          <w:lang w:val="fr-FR"/>
        </w:rPr>
        <w:t>7</w:t>
      </w:r>
      <w:r w:rsidRPr="008E60B5">
        <w:rPr>
          <w:lang w:val="fr-FR"/>
        </w:rPr>
        <w:t xml:space="preserve"> ans et demi n</w:t>
      </w:r>
      <w:r w:rsidR="008E60B5" w:rsidRPr="008E60B5">
        <w:rPr>
          <w:lang w:val="fr-FR"/>
        </w:rPr>
        <w:t>’</w:t>
      </w:r>
      <w:r w:rsidRPr="008E60B5">
        <w:rPr>
          <w:lang w:val="fr-FR"/>
        </w:rPr>
        <w:t>est pas inscrit en première année en raison d</w:t>
      </w:r>
      <w:r w:rsidR="008E60B5" w:rsidRPr="008E60B5">
        <w:rPr>
          <w:lang w:val="fr-FR"/>
        </w:rPr>
        <w:t>’</w:t>
      </w:r>
      <w:r w:rsidRPr="008E60B5">
        <w:rPr>
          <w:lang w:val="fr-FR"/>
        </w:rPr>
        <w:t>une maladie ou autre, il peut être inscrit en première année ou dans un autre niveau après vérification de ses connaissances. Les enfants sont évalués après leur inscription et peuvent passer l</w:t>
      </w:r>
      <w:r w:rsidR="008E60B5" w:rsidRPr="008E60B5">
        <w:rPr>
          <w:lang w:val="fr-FR"/>
        </w:rPr>
        <w:t>’</w:t>
      </w:r>
      <w:r w:rsidRPr="008E60B5">
        <w:rPr>
          <w:lang w:val="fr-FR"/>
        </w:rPr>
        <w:t>examen dans leur langue maternelle. Bien que cette mesure n</w:t>
      </w:r>
      <w:r w:rsidR="008E60B5" w:rsidRPr="008E60B5">
        <w:rPr>
          <w:lang w:val="fr-FR"/>
        </w:rPr>
        <w:t>’</w:t>
      </w:r>
      <w:r w:rsidRPr="008E60B5">
        <w:rPr>
          <w:lang w:val="fr-FR"/>
        </w:rPr>
        <w:t>ait pas pour objectif spécifique de renforcer l</w:t>
      </w:r>
      <w:r w:rsidR="008E60B5" w:rsidRPr="008E60B5">
        <w:rPr>
          <w:lang w:val="fr-FR"/>
        </w:rPr>
        <w:t>’</w:t>
      </w:r>
      <w:r w:rsidRPr="008E60B5">
        <w:rPr>
          <w:lang w:val="fr-FR"/>
        </w:rPr>
        <w:t>égalité des sexes, elle contribue largement à une meilleure intégration des filles dans le système d</w:t>
      </w:r>
      <w:r w:rsidR="008E60B5" w:rsidRPr="008E60B5">
        <w:rPr>
          <w:lang w:val="fr-FR"/>
        </w:rPr>
        <w:t>’</w:t>
      </w:r>
      <w:r w:rsidRPr="008E60B5">
        <w:rPr>
          <w:lang w:val="fr-FR"/>
        </w:rPr>
        <w:t xml:space="preserve">enseignement primaire. </w:t>
      </w:r>
    </w:p>
    <w:p w14:paraId="6B93997F" w14:textId="3EF72432" w:rsidR="00CA0011" w:rsidRPr="008E60B5" w:rsidRDefault="00CA0011" w:rsidP="00A15EC1">
      <w:pPr>
        <w:pStyle w:val="SingleTxt"/>
        <w:numPr>
          <w:ilvl w:val="0"/>
          <w:numId w:val="20"/>
        </w:numPr>
        <w:spacing w:line="240" w:lineRule="exact"/>
        <w:rPr>
          <w:lang w:val="fr-FR"/>
        </w:rPr>
      </w:pPr>
      <w:r w:rsidRPr="008E60B5">
        <w:rPr>
          <w:lang w:val="fr-FR"/>
        </w:rPr>
        <w:t>Selon les chiffres de la cinquième enquête en grappes à indicateurs multiples (MIS</w:t>
      </w:r>
      <w:r w:rsidR="00065981">
        <w:rPr>
          <w:lang w:val="fr-FR"/>
        </w:rPr>
        <w:t>C</w:t>
      </w:r>
      <w:r w:rsidRPr="008E60B5">
        <w:rPr>
          <w:lang w:val="fr-FR"/>
        </w:rPr>
        <w:t>5), 89</w:t>
      </w:r>
      <w:r w:rsidR="00002E6B" w:rsidRPr="008E60B5">
        <w:rPr>
          <w:lang w:val="fr-FR"/>
        </w:rPr>
        <w:t> %</w:t>
      </w:r>
      <w:r w:rsidRPr="008E60B5">
        <w:rPr>
          <w:lang w:val="fr-FR"/>
        </w:rPr>
        <w:t xml:space="preserve"> des adolescents de la population totale suivent un enseignement secondaire, contre seulement 22</w:t>
      </w:r>
      <w:r w:rsidR="00002E6B" w:rsidRPr="008E60B5">
        <w:rPr>
          <w:lang w:val="fr-FR"/>
        </w:rPr>
        <w:t> %</w:t>
      </w:r>
      <w:r w:rsidRPr="008E60B5">
        <w:rPr>
          <w:lang w:val="fr-FR"/>
        </w:rPr>
        <w:t xml:space="preserve"> des adolescents et 15</w:t>
      </w:r>
      <w:r w:rsidR="00002E6B" w:rsidRPr="008E60B5">
        <w:rPr>
          <w:lang w:val="fr-FR"/>
        </w:rPr>
        <w:t> %</w:t>
      </w:r>
      <w:r w:rsidRPr="008E60B5">
        <w:rPr>
          <w:lang w:val="fr-FR"/>
        </w:rPr>
        <w:t xml:space="preserve"> des filles des campements roms. </w:t>
      </w:r>
    </w:p>
    <w:p w14:paraId="18748C7C" w14:textId="28888D5D" w:rsidR="00CA0011" w:rsidRPr="008E60B5" w:rsidRDefault="00CA0011" w:rsidP="00A15EC1">
      <w:pPr>
        <w:pStyle w:val="SingleTxt"/>
        <w:numPr>
          <w:ilvl w:val="0"/>
          <w:numId w:val="20"/>
        </w:numPr>
        <w:spacing w:line="240" w:lineRule="exact"/>
        <w:rPr>
          <w:lang w:val="fr-FR"/>
        </w:rPr>
      </w:pPr>
      <w:r w:rsidRPr="008E60B5">
        <w:rPr>
          <w:lang w:val="fr-FR"/>
        </w:rPr>
        <w:t>Des mesures d</w:t>
      </w:r>
      <w:r w:rsidR="008E60B5" w:rsidRPr="008E60B5">
        <w:rPr>
          <w:lang w:val="fr-FR"/>
        </w:rPr>
        <w:t>’</w:t>
      </w:r>
      <w:r w:rsidRPr="008E60B5">
        <w:rPr>
          <w:lang w:val="fr-FR"/>
        </w:rPr>
        <w:t>action positive en faveur de la scolarisation dans le secondaire sont prévues dans le cadre de la loi sur les principes fondamentaux du système éducatif, de la Stratégie pour le développement de l</w:t>
      </w:r>
      <w:r w:rsidR="008E60B5" w:rsidRPr="008E60B5">
        <w:rPr>
          <w:lang w:val="fr-FR"/>
        </w:rPr>
        <w:t>’</w:t>
      </w:r>
      <w:r w:rsidRPr="008E60B5">
        <w:rPr>
          <w:lang w:val="fr-FR"/>
        </w:rPr>
        <w:t>éducation en Serbie à l</w:t>
      </w:r>
      <w:r w:rsidR="008E60B5" w:rsidRPr="008E60B5">
        <w:rPr>
          <w:lang w:val="fr-FR"/>
        </w:rPr>
        <w:t>’</w:t>
      </w:r>
      <w:r w:rsidRPr="008E60B5">
        <w:rPr>
          <w:lang w:val="fr-FR"/>
        </w:rPr>
        <w:t>horizon 2020 et de la Stratégie pour l</w:t>
      </w:r>
      <w:r w:rsidR="008E60B5" w:rsidRPr="008E60B5">
        <w:rPr>
          <w:lang w:val="fr-FR"/>
        </w:rPr>
        <w:t>’</w:t>
      </w:r>
      <w:r w:rsidRPr="008E60B5">
        <w:rPr>
          <w:lang w:val="fr-FR"/>
        </w:rPr>
        <w:t>inclusion sociale des hommes et des femmes roms en République de Serbie pour la période 2016-2025. Depuis l</w:t>
      </w:r>
      <w:r w:rsidR="008E60B5" w:rsidRPr="008E60B5">
        <w:rPr>
          <w:lang w:val="fr-FR"/>
        </w:rPr>
        <w:t>’</w:t>
      </w:r>
      <w:r w:rsidRPr="008E60B5">
        <w:rPr>
          <w:lang w:val="fr-FR"/>
        </w:rPr>
        <w:t>application, au début de l</w:t>
      </w:r>
      <w:r w:rsidR="008E60B5" w:rsidRPr="008E60B5">
        <w:rPr>
          <w:lang w:val="fr-FR"/>
        </w:rPr>
        <w:t>’</w:t>
      </w:r>
      <w:r w:rsidRPr="008E60B5">
        <w:rPr>
          <w:lang w:val="fr-FR"/>
        </w:rPr>
        <w:t>année scolaire 2016/17, du règlement relatif aux critères et aux procédures d</w:t>
      </w:r>
      <w:r w:rsidR="008E60B5" w:rsidRPr="008E60B5">
        <w:rPr>
          <w:lang w:val="fr-FR"/>
        </w:rPr>
        <w:t>’</w:t>
      </w:r>
      <w:r w:rsidRPr="008E60B5">
        <w:rPr>
          <w:lang w:val="fr-FR"/>
        </w:rPr>
        <w:t>inscription des élèves issus de la minorité nationale rom dans les écoles secondaires au titre des conditions préférentielles établies en vue de parvenir à une réelle égalité, le nombre d</w:t>
      </w:r>
      <w:r w:rsidR="008E60B5" w:rsidRPr="008E60B5">
        <w:rPr>
          <w:lang w:val="fr-FR"/>
        </w:rPr>
        <w:t>’</w:t>
      </w:r>
      <w:r w:rsidRPr="008E60B5">
        <w:rPr>
          <w:lang w:val="fr-FR"/>
        </w:rPr>
        <w:t>élèves roms, y compris de filles, inscrits dans des établissements d</w:t>
      </w:r>
      <w:r w:rsidR="008E60B5" w:rsidRPr="008E60B5">
        <w:rPr>
          <w:lang w:val="fr-FR"/>
        </w:rPr>
        <w:t>’</w:t>
      </w:r>
      <w:r w:rsidRPr="008E60B5">
        <w:rPr>
          <w:lang w:val="fr-FR"/>
        </w:rPr>
        <w:t>enseignement secondaire a quadruplé par rapport à l</w:t>
      </w:r>
      <w:r w:rsidR="008E60B5" w:rsidRPr="008E60B5">
        <w:rPr>
          <w:lang w:val="fr-FR"/>
        </w:rPr>
        <w:t>’</w:t>
      </w:r>
      <w:r w:rsidRPr="008E60B5">
        <w:rPr>
          <w:lang w:val="fr-FR"/>
        </w:rPr>
        <w:t>année scolaire 2015/16.</w:t>
      </w:r>
    </w:p>
    <w:p w14:paraId="4A3E2186" w14:textId="643703A9" w:rsidR="00CA0011" w:rsidRPr="008E60B5" w:rsidRDefault="00CA0011" w:rsidP="00547FE9">
      <w:pPr>
        <w:pStyle w:val="SingleTxt"/>
        <w:spacing w:after="0" w:line="120" w:lineRule="exact"/>
        <w:rPr>
          <w:b/>
          <w:sz w:val="10"/>
          <w:lang w:val="fr-FR"/>
        </w:rPr>
      </w:pPr>
    </w:p>
    <w:p w14:paraId="4C98FF86" w14:textId="3BC6CBDC" w:rsidR="00CA0011" w:rsidRPr="008E60B5" w:rsidRDefault="00547FE9" w:rsidP="00547F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r>
      <w:r w:rsidR="00CA0011" w:rsidRPr="008E60B5">
        <w:rPr>
          <w:lang w:val="fr-FR"/>
        </w:rPr>
        <w:t>Nombre d</w:t>
      </w:r>
      <w:r w:rsidR="008E60B5" w:rsidRPr="008E60B5">
        <w:rPr>
          <w:lang w:val="fr-FR"/>
        </w:rPr>
        <w:t>’</w:t>
      </w:r>
      <w:r w:rsidR="00CA0011" w:rsidRPr="008E60B5">
        <w:rPr>
          <w:lang w:val="fr-FR"/>
        </w:rPr>
        <w:t>enfants roms inscrits dans le secondaire dans le cadre des mesures d</w:t>
      </w:r>
      <w:r w:rsidR="008E60B5" w:rsidRPr="008E60B5">
        <w:rPr>
          <w:lang w:val="fr-FR"/>
        </w:rPr>
        <w:t>’</w:t>
      </w:r>
      <w:r w:rsidR="00CA0011" w:rsidRPr="008E60B5">
        <w:rPr>
          <w:lang w:val="fr-FR"/>
        </w:rPr>
        <w:t>action positive</w:t>
      </w:r>
    </w:p>
    <w:p w14:paraId="68D2DF74" w14:textId="2EE75F59" w:rsidR="00547FE9" w:rsidRPr="008E60B5" w:rsidRDefault="00547FE9" w:rsidP="00F90894">
      <w:pPr>
        <w:pStyle w:val="SingleTxt"/>
        <w:spacing w:after="0" w:line="120" w:lineRule="exact"/>
        <w:rPr>
          <w:sz w:val="10"/>
          <w:lang w:val="fr-FR"/>
        </w:rPr>
      </w:pPr>
    </w:p>
    <w:p w14:paraId="7D41B4E4" w14:textId="77777777" w:rsidR="00F90894" w:rsidRPr="008E60B5" w:rsidRDefault="00F90894" w:rsidP="00547FE9">
      <w:pPr>
        <w:pStyle w:val="SingleTxt"/>
        <w:spacing w:after="0" w:line="120" w:lineRule="exact"/>
        <w:rPr>
          <w:sz w:val="10"/>
          <w:lang w:val="fr-FR"/>
        </w:rPr>
      </w:pPr>
    </w:p>
    <w:tbl>
      <w:tblPr>
        <w:tblW w:w="7370" w:type="dxa"/>
        <w:tblInd w:w="1267" w:type="dxa"/>
        <w:tblLayout w:type="fixed"/>
        <w:tblCellMar>
          <w:left w:w="0" w:type="dxa"/>
          <w:right w:w="0" w:type="dxa"/>
        </w:tblCellMar>
        <w:tblLook w:val="04A0" w:firstRow="1" w:lastRow="0" w:firstColumn="1" w:lastColumn="0" w:noHBand="0" w:noVBand="1"/>
      </w:tblPr>
      <w:tblGrid>
        <w:gridCol w:w="857"/>
        <w:gridCol w:w="819"/>
        <w:gridCol w:w="810"/>
        <w:gridCol w:w="818"/>
        <w:gridCol w:w="810"/>
        <w:gridCol w:w="818"/>
        <w:gridCol w:w="810"/>
        <w:gridCol w:w="818"/>
        <w:gridCol w:w="810"/>
      </w:tblGrid>
      <w:tr w:rsidR="00CA0011" w:rsidRPr="008E60B5" w14:paraId="1CDB817A" w14:textId="77777777" w:rsidTr="00547FE9">
        <w:trPr>
          <w:cantSplit/>
          <w:tblHeader/>
        </w:trPr>
        <w:tc>
          <w:tcPr>
            <w:tcW w:w="857" w:type="dxa"/>
            <w:tcBorders>
              <w:top w:val="single" w:sz="4" w:space="0" w:color="auto"/>
              <w:bottom w:val="single" w:sz="12" w:space="0" w:color="auto"/>
            </w:tcBorders>
            <w:shd w:val="clear" w:color="auto" w:fill="auto"/>
            <w:vAlign w:val="bottom"/>
          </w:tcPr>
          <w:p w14:paraId="248F9C76" w14:textId="77777777" w:rsidR="00CA0011" w:rsidRPr="008E60B5" w:rsidRDefault="00CA0011" w:rsidP="00547FE9">
            <w:pPr>
              <w:suppressAutoHyphens/>
              <w:spacing w:before="81" w:after="81" w:line="160" w:lineRule="exact"/>
              <w:ind w:right="40"/>
              <w:rPr>
                <w:i/>
                <w:sz w:val="14"/>
              </w:rPr>
            </w:pPr>
            <w:r w:rsidRPr="008E60B5">
              <w:rPr>
                <w:i/>
                <w:sz w:val="14"/>
              </w:rPr>
              <w:t>Année scolaire</w:t>
            </w:r>
          </w:p>
        </w:tc>
        <w:tc>
          <w:tcPr>
            <w:tcW w:w="1629" w:type="dxa"/>
            <w:gridSpan w:val="2"/>
            <w:tcBorders>
              <w:top w:val="single" w:sz="4" w:space="0" w:color="auto"/>
              <w:bottom w:val="single" w:sz="12" w:space="0" w:color="auto"/>
            </w:tcBorders>
            <w:shd w:val="clear" w:color="auto" w:fill="auto"/>
            <w:vAlign w:val="bottom"/>
          </w:tcPr>
          <w:p w14:paraId="34721A1C" w14:textId="77777777" w:rsidR="00CA0011" w:rsidRPr="008E60B5" w:rsidRDefault="00CA0011" w:rsidP="00475DE4">
            <w:pPr>
              <w:suppressAutoHyphens/>
              <w:spacing w:before="81" w:after="81" w:line="160" w:lineRule="exact"/>
              <w:ind w:left="144" w:right="43"/>
              <w:jc w:val="center"/>
              <w:rPr>
                <w:i/>
                <w:sz w:val="14"/>
              </w:rPr>
            </w:pPr>
            <w:r w:rsidRPr="008E60B5">
              <w:rPr>
                <w:i/>
                <w:sz w:val="14"/>
              </w:rPr>
              <w:t>2013/14</w:t>
            </w:r>
          </w:p>
        </w:tc>
        <w:tc>
          <w:tcPr>
            <w:tcW w:w="1628" w:type="dxa"/>
            <w:gridSpan w:val="2"/>
            <w:tcBorders>
              <w:top w:val="single" w:sz="4" w:space="0" w:color="auto"/>
              <w:bottom w:val="single" w:sz="12" w:space="0" w:color="auto"/>
            </w:tcBorders>
            <w:shd w:val="clear" w:color="auto" w:fill="auto"/>
            <w:vAlign w:val="bottom"/>
          </w:tcPr>
          <w:p w14:paraId="18606357" w14:textId="77777777" w:rsidR="00CA0011" w:rsidRPr="008E60B5" w:rsidRDefault="00CA0011" w:rsidP="00475DE4">
            <w:pPr>
              <w:suppressAutoHyphens/>
              <w:spacing w:before="81" w:after="81" w:line="160" w:lineRule="exact"/>
              <w:ind w:left="144" w:right="43"/>
              <w:jc w:val="center"/>
              <w:rPr>
                <w:i/>
                <w:sz w:val="14"/>
              </w:rPr>
            </w:pPr>
            <w:r w:rsidRPr="008E60B5">
              <w:rPr>
                <w:i/>
                <w:sz w:val="14"/>
              </w:rPr>
              <w:t>2014/15</w:t>
            </w:r>
          </w:p>
        </w:tc>
        <w:tc>
          <w:tcPr>
            <w:tcW w:w="1628" w:type="dxa"/>
            <w:gridSpan w:val="2"/>
            <w:tcBorders>
              <w:top w:val="single" w:sz="4" w:space="0" w:color="auto"/>
              <w:bottom w:val="single" w:sz="12" w:space="0" w:color="auto"/>
            </w:tcBorders>
            <w:shd w:val="clear" w:color="auto" w:fill="auto"/>
            <w:vAlign w:val="bottom"/>
          </w:tcPr>
          <w:p w14:paraId="44CFB8CD" w14:textId="77777777" w:rsidR="00CA0011" w:rsidRPr="008E60B5" w:rsidRDefault="00CA0011" w:rsidP="00475DE4">
            <w:pPr>
              <w:suppressAutoHyphens/>
              <w:spacing w:before="81" w:after="81" w:line="160" w:lineRule="exact"/>
              <w:ind w:left="144" w:right="43"/>
              <w:jc w:val="center"/>
              <w:rPr>
                <w:i/>
                <w:sz w:val="14"/>
              </w:rPr>
            </w:pPr>
            <w:r w:rsidRPr="008E60B5">
              <w:rPr>
                <w:i/>
                <w:sz w:val="14"/>
              </w:rPr>
              <w:t>2015/16</w:t>
            </w:r>
          </w:p>
        </w:tc>
        <w:tc>
          <w:tcPr>
            <w:tcW w:w="1628" w:type="dxa"/>
            <w:gridSpan w:val="2"/>
            <w:tcBorders>
              <w:top w:val="single" w:sz="4" w:space="0" w:color="auto"/>
              <w:bottom w:val="single" w:sz="12" w:space="0" w:color="auto"/>
            </w:tcBorders>
            <w:shd w:val="clear" w:color="auto" w:fill="auto"/>
            <w:vAlign w:val="bottom"/>
          </w:tcPr>
          <w:p w14:paraId="6FF17327" w14:textId="77777777" w:rsidR="00CA0011" w:rsidRPr="008E60B5" w:rsidRDefault="00CA0011" w:rsidP="00475DE4">
            <w:pPr>
              <w:suppressAutoHyphens/>
              <w:spacing w:before="81" w:after="81" w:line="160" w:lineRule="exact"/>
              <w:ind w:left="144" w:right="43"/>
              <w:jc w:val="center"/>
              <w:rPr>
                <w:i/>
                <w:sz w:val="14"/>
              </w:rPr>
            </w:pPr>
            <w:r w:rsidRPr="008E60B5">
              <w:rPr>
                <w:i/>
                <w:sz w:val="14"/>
              </w:rPr>
              <w:t>2016/17</w:t>
            </w:r>
          </w:p>
        </w:tc>
      </w:tr>
      <w:tr w:rsidR="00547FE9" w:rsidRPr="008E60B5" w14:paraId="3306CBD0" w14:textId="77777777" w:rsidTr="00547FE9">
        <w:trPr>
          <w:cantSplit/>
          <w:trHeight w:hRule="exact" w:val="115"/>
          <w:tblHeader/>
        </w:trPr>
        <w:tc>
          <w:tcPr>
            <w:tcW w:w="857" w:type="dxa"/>
            <w:tcBorders>
              <w:top w:val="single" w:sz="12" w:space="0" w:color="auto"/>
            </w:tcBorders>
            <w:shd w:val="clear" w:color="auto" w:fill="auto"/>
            <w:vAlign w:val="bottom"/>
          </w:tcPr>
          <w:p w14:paraId="60777960" w14:textId="77777777" w:rsidR="00547FE9" w:rsidRPr="008E60B5" w:rsidRDefault="00547FE9" w:rsidP="00547FE9">
            <w:pPr>
              <w:suppressAutoHyphens/>
              <w:spacing w:before="40" w:after="40" w:line="210" w:lineRule="exact"/>
              <w:ind w:right="40"/>
              <w:rPr>
                <w:sz w:val="17"/>
              </w:rPr>
            </w:pPr>
          </w:p>
        </w:tc>
        <w:tc>
          <w:tcPr>
            <w:tcW w:w="819" w:type="dxa"/>
            <w:tcBorders>
              <w:top w:val="single" w:sz="12" w:space="0" w:color="auto"/>
            </w:tcBorders>
            <w:shd w:val="clear" w:color="auto" w:fill="auto"/>
            <w:vAlign w:val="bottom"/>
          </w:tcPr>
          <w:p w14:paraId="62784305" w14:textId="77777777" w:rsidR="00547FE9" w:rsidRPr="008E60B5" w:rsidRDefault="00547FE9" w:rsidP="00547FE9">
            <w:pPr>
              <w:suppressAutoHyphens/>
              <w:spacing w:before="40" w:after="40" w:line="210" w:lineRule="exact"/>
              <w:ind w:left="144" w:right="43"/>
              <w:jc w:val="right"/>
              <w:rPr>
                <w:sz w:val="17"/>
              </w:rPr>
            </w:pPr>
          </w:p>
        </w:tc>
        <w:tc>
          <w:tcPr>
            <w:tcW w:w="810" w:type="dxa"/>
            <w:tcBorders>
              <w:top w:val="single" w:sz="12" w:space="0" w:color="auto"/>
            </w:tcBorders>
            <w:shd w:val="clear" w:color="auto" w:fill="auto"/>
            <w:vAlign w:val="bottom"/>
          </w:tcPr>
          <w:p w14:paraId="3AB00D47" w14:textId="77777777" w:rsidR="00547FE9" w:rsidRPr="008E60B5" w:rsidRDefault="00547FE9" w:rsidP="00547FE9">
            <w:pPr>
              <w:suppressAutoHyphens/>
              <w:spacing w:before="40" w:after="40" w:line="210" w:lineRule="exact"/>
              <w:ind w:left="144" w:right="43"/>
              <w:jc w:val="right"/>
              <w:rPr>
                <w:sz w:val="17"/>
              </w:rPr>
            </w:pPr>
          </w:p>
        </w:tc>
        <w:tc>
          <w:tcPr>
            <w:tcW w:w="818" w:type="dxa"/>
            <w:tcBorders>
              <w:top w:val="single" w:sz="12" w:space="0" w:color="auto"/>
            </w:tcBorders>
            <w:shd w:val="clear" w:color="auto" w:fill="auto"/>
            <w:vAlign w:val="bottom"/>
          </w:tcPr>
          <w:p w14:paraId="0EFA3D4E" w14:textId="77777777" w:rsidR="00547FE9" w:rsidRPr="008E60B5" w:rsidRDefault="00547FE9" w:rsidP="00547FE9">
            <w:pPr>
              <w:suppressAutoHyphens/>
              <w:spacing w:before="40" w:after="40" w:line="210" w:lineRule="exact"/>
              <w:ind w:left="144" w:right="43"/>
              <w:jc w:val="right"/>
              <w:rPr>
                <w:sz w:val="17"/>
              </w:rPr>
            </w:pPr>
          </w:p>
        </w:tc>
        <w:tc>
          <w:tcPr>
            <w:tcW w:w="810" w:type="dxa"/>
            <w:tcBorders>
              <w:top w:val="single" w:sz="12" w:space="0" w:color="auto"/>
            </w:tcBorders>
            <w:shd w:val="clear" w:color="auto" w:fill="auto"/>
            <w:vAlign w:val="bottom"/>
          </w:tcPr>
          <w:p w14:paraId="310E8B04" w14:textId="77777777" w:rsidR="00547FE9" w:rsidRPr="008E60B5" w:rsidRDefault="00547FE9" w:rsidP="00547FE9">
            <w:pPr>
              <w:suppressAutoHyphens/>
              <w:spacing w:before="40" w:after="40" w:line="210" w:lineRule="exact"/>
              <w:ind w:left="144" w:right="43"/>
              <w:jc w:val="right"/>
              <w:rPr>
                <w:sz w:val="17"/>
              </w:rPr>
            </w:pPr>
          </w:p>
        </w:tc>
        <w:tc>
          <w:tcPr>
            <w:tcW w:w="818" w:type="dxa"/>
            <w:tcBorders>
              <w:top w:val="single" w:sz="12" w:space="0" w:color="auto"/>
            </w:tcBorders>
            <w:shd w:val="clear" w:color="auto" w:fill="auto"/>
            <w:vAlign w:val="bottom"/>
          </w:tcPr>
          <w:p w14:paraId="15F7DC57" w14:textId="77777777" w:rsidR="00547FE9" w:rsidRPr="008E60B5" w:rsidRDefault="00547FE9" w:rsidP="00547FE9">
            <w:pPr>
              <w:suppressAutoHyphens/>
              <w:spacing w:before="40" w:after="40" w:line="210" w:lineRule="exact"/>
              <w:ind w:left="144" w:right="43"/>
              <w:jc w:val="right"/>
              <w:rPr>
                <w:sz w:val="17"/>
              </w:rPr>
            </w:pPr>
          </w:p>
        </w:tc>
        <w:tc>
          <w:tcPr>
            <w:tcW w:w="810" w:type="dxa"/>
            <w:tcBorders>
              <w:top w:val="single" w:sz="12" w:space="0" w:color="auto"/>
            </w:tcBorders>
            <w:shd w:val="clear" w:color="auto" w:fill="auto"/>
            <w:vAlign w:val="bottom"/>
          </w:tcPr>
          <w:p w14:paraId="60CCBECF" w14:textId="77777777" w:rsidR="00547FE9" w:rsidRPr="008E60B5" w:rsidRDefault="00547FE9" w:rsidP="00547FE9">
            <w:pPr>
              <w:suppressAutoHyphens/>
              <w:spacing w:before="40" w:after="40" w:line="210" w:lineRule="exact"/>
              <w:ind w:left="144" w:right="43"/>
              <w:jc w:val="right"/>
              <w:rPr>
                <w:sz w:val="17"/>
              </w:rPr>
            </w:pPr>
          </w:p>
        </w:tc>
        <w:tc>
          <w:tcPr>
            <w:tcW w:w="818" w:type="dxa"/>
            <w:tcBorders>
              <w:top w:val="single" w:sz="12" w:space="0" w:color="auto"/>
            </w:tcBorders>
            <w:shd w:val="clear" w:color="auto" w:fill="auto"/>
            <w:vAlign w:val="bottom"/>
          </w:tcPr>
          <w:p w14:paraId="29C0F6CC" w14:textId="77777777" w:rsidR="00547FE9" w:rsidRPr="008E60B5" w:rsidRDefault="00547FE9" w:rsidP="00547FE9">
            <w:pPr>
              <w:suppressAutoHyphens/>
              <w:spacing w:before="40" w:after="40" w:line="210" w:lineRule="exact"/>
              <w:ind w:left="144" w:right="43"/>
              <w:jc w:val="right"/>
              <w:rPr>
                <w:sz w:val="17"/>
              </w:rPr>
            </w:pPr>
          </w:p>
        </w:tc>
        <w:tc>
          <w:tcPr>
            <w:tcW w:w="810" w:type="dxa"/>
            <w:tcBorders>
              <w:top w:val="single" w:sz="12" w:space="0" w:color="auto"/>
            </w:tcBorders>
            <w:shd w:val="clear" w:color="auto" w:fill="auto"/>
            <w:vAlign w:val="bottom"/>
          </w:tcPr>
          <w:p w14:paraId="6AC8C3A7" w14:textId="77777777" w:rsidR="00547FE9" w:rsidRPr="008E60B5" w:rsidRDefault="00547FE9" w:rsidP="00547FE9">
            <w:pPr>
              <w:suppressAutoHyphens/>
              <w:spacing w:before="40" w:after="40" w:line="210" w:lineRule="exact"/>
              <w:ind w:left="144" w:right="43"/>
              <w:jc w:val="right"/>
              <w:rPr>
                <w:sz w:val="17"/>
              </w:rPr>
            </w:pPr>
          </w:p>
        </w:tc>
      </w:tr>
      <w:tr w:rsidR="00CA0011" w:rsidRPr="008E60B5" w14:paraId="21F7BCC2" w14:textId="77777777" w:rsidTr="00547FE9">
        <w:trPr>
          <w:cantSplit/>
        </w:trPr>
        <w:tc>
          <w:tcPr>
            <w:tcW w:w="857" w:type="dxa"/>
            <w:shd w:val="clear" w:color="auto" w:fill="auto"/>
            <w:vAlign w:val="bottom"/>
          </w:tcPr>
          <w:p w14:paraId="2C02E4C9" w14:textId="77777777" w:rsidR="00CA0011" w:rsidRPr="008E60B5" w:rsidRDefault="00CA0011" w:rsidP="00547FE9">
            <w:pPr>
              <w:tabs>
                <w:tab w:val="left" w:pos="288"/>
                <w:tab w:val="left" w:pos="576"/>
                <w:tab w:val="left" w:pos="864"/>
                <w:tab w:val="left" w:pos="1152"/>
              </w:tabs>
              <w:suppressAutoHyphens/>
              <w:spacing w:before="40" w:after="40" w:line="210" w:lineRule="exact"/>
              <w:ind w:right="40"/>
              <w:rPr>
                <w:sz w:val="17"/>
              </w:rPr>
            </w:pPr>
          </w:p>
        </w:tc>
        <w:tc>
          <w:tcPr>
            <w:tcW w:w="819" w:type="dxa"/>
            <w:shd w:val="clear" w:color="auto" w:fill="auto"/>
            <w:vAlign w:val="bottom"/>
          </w:tcPr>
          <w:p w14:paraId="060FC718" w14:textId="77777777" w:rsidR="00CA0011" w:rsidRPr="008E60B5" w:rsidRDefault="00CA0011" w:rsidP="002F030F">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Filles</w:t>
            </w:r>
          </w:p>
        </w:tc>
        <w:tc>
          <w:tcPr>
            <w:tcW w:w="810" w:type="dxa"/>
            <w:shd w:val="clear" w:color="auto" w:fill="auto"/>
            <w:vAlign w:val="bottom"/>
          </w:tcPr>
          <w:p w14:paraId="26558F8E" w14:textId="77777777" w:rsidR="00CA0011" w:rsidRPr="008E60B5" w:rsidRDefault="00CA0011" w:rsidP="002F030F">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Garçons</w:t>
            </w:r>
          </w:p>
        </w:tc>
        <w:tc>
          <w:tcPr>
            <w:tcW w:w="818" w:type="dxa"/>
            <w:shd w:val="clear" w:color="auto" w:fill="auto"/>
            <w:vAlign w:val="bottom"/>
          </w:tcPr>
          <w:p w14:paraId="3B70F807" w14:textId="77777777" w:rsidR="00CA0011" w:rsidRPr="008E60B5" w:rsidRDefault="00CA0011" w:rsidP="002F030F">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Filles</w:t>
            </w:r>
          </w:p>
        </w:tc>
        <w:tc>
          <w:tcPr>
            <w:tcW w:w="810" w:type="dxa"/>
            <w:shd w:val="clear" w:color="auto" w:fill="auto"/>
            <w:vAlign w:val="bottom"/>
          </w:tcPr>
          <w:p w14:paraId="77E7FC48" w14:textId="77777777" w:rsidR="00CA0011" w:rsidRPr="008E60B5" w:rsidRDefault="00CA0011" w:rsidP="002F030F">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Garçons</w:t>
            </w:r>
          </w:p>
        </w:tc>
        <w:tc>
          <w:tcPr>
            <w:tcW w:w="818" w:type="dxa"/>
            <w:shd w:val="clear" w:color="auto" w:fill="auto"/>
            <w:vAlign w:val="bottom"/>
          </w:tcPr>
          <w:p w14:paraId="19C64AE6" w14:textId="77777777" w:rsidR="00CA0011" w:rsidRPr="008E60B5" w:rsidRDefault="00CA0011" w:rsidP="002F030F">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Filles</w:t>
            </w:r>
          </w:p>
        </w:tc>
        <w:tc>
          <w:tcPr>
            <w:tcW w:w="810" w:type="dxa"/>
            <w:shd w:val="clear" w:color="auto" w:fill="auto"/>
            <w:vAlign w:val="bottom"/>
          </w:tcPr>
          <w:p w14:paraId="67340D07" w14:textId="77777777" w:rsidR="00CA0011" w:rsidRPr="008E60B5" w:rsidRDefault="00CA0011" w:rsidP="002F030F">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Garçons</w:t>
            </w:r>
          </w:p>
        </w:tc>
        <w:tc>
          <w:tcPr>
            <w:tcW w:w="818" w:type="dxa"/>
            <w:shd w:val="clear" w:color="auto" w:fill="auto"/>
            <w:vAlign w:val="bottom"/>
          </w:tcPr>
          <w:p w14:paraId="52E4BD94" w14:textId="77777777" w:rsidR="00CA0011" w:rsidRPr="008E60B5" w:rsidRDefault="00CA0011" w:rsidP="002F030F">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Filles</w:t>
            </w:r>
          </w:p>
        </w:tc>
        <w:tc>
          <w:tcPr>
            <w:tcW w:w="810" w:type="dxa"/>
            <w:shd w:val="clear" w:color="auto" w:fill="auto"/>
            <w:vAlign w:val="bottom"/>
          </w:tcPr>
          <w:p w14:paraId="2C49B028" w14:textId="77777777" w:rsidR="00CA0011" w:rsidRPr="008E60B5" w:rsidRDefault="00CA0011" w:rsidP="002F030F">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Garçons</w:t>
            </w:r>
          </w:p>
        </w:tc>
      </w:tr>
      <w:tr w:rsidR="00CA0011" w:rsidRPr="008E60B5" w14:paraId="654663E7" w14:textId="77777777" w:rsidTr="002F030F">
        <w:trPr>
          <w:cantSplit/>
        </w:trPr>
        <w:tc>
          <w:tcPr>
            <w:tcW w:w="857" w:type="dxa"/>
            <w:tcBorders>
              <w:bottom w:val="single" w:sz="4" w:space="0" w:color="auto"/>
            </w:tcBorders>
            <w:shd w:val="clear" w:color="auto" w:fill="auto"/>
            <w:vAlign w:val="bottom"/>
          </w:tcPr>
          <w:p w14:paraId="38112A3B" w14:textId="77777777" w:rsidR="00CA0011" w:rsidRPr="008E60B5" w:rsidRDefault="00CA0011" w:rsidP="002F030F">
            <w:pPr>
              <w:tabs>
                <w:tab w:val="left" w:pos="288"/>
                <w:tab w:val="left" w:pos="576"/>
                <w:tab w:val="left" w:pos="864"/>
                <w:tab w:val="left" w:pos="1152"/>
              </w:tabs>
              <w:suppressAutoHyphens/>
              <w:spacing w:before="40" w:after="81" w:line="210" w:lineRule="exact"/>
              <w:ind w:right="40"/>
              <w:rPr>
                <w:sz w:val="17"/>
              </w:rPr>
            </w:pPr>
          </w:p>
        </w:tc>
        <w:tc>
          <w:tcPr>
            <w:tcW w:w="819" w:type="dxa"/>
            <w:tcBorders>
              <w:bottom w:val="single" w:sz="4" w:space="0" w:color="auto"/>
            </w:tcBorders>
            <w:shd w:val="clear" w:color="auto" w:fill="auto"/>
            <w:vAlign w:val="bottom"/>
          </w:tcPr>
          <w:p w14:paraId="2FA6CE07" w14:textId="4CFB6CFB" w:rsidR="00CA0011" w:rsidRPr="008E60B5" w:rsidRDefault="00CA0011" w:rsidP="002F030F">
            <w:pPr>
              <w:tabs>
                <w:tab w:val="left" w:pos="288"/>
                <w:tab w:val="left" w:pos="576"/>
                <w:tab w:val="left" w:pos="864"/>
                <w:tab w:val="left" w:pos="1152"/>
              </w:tabs>
              <w:suppressAutoHyphens/>
              <w:spacing w:before="40" w:after="81" w:line="210" w:lineRule="exact"/>
              <w:ind w:right="40"/>
              <w:jc w:val="right"/>
              <w:rPr>
                <w:sz w:val="17"/>
              </w:rPr>
            </w:pPr>
            <w:r w:rsidRPr="008E60B5">
              <w:rPr>
                <w:sz w:val="17"/>
              </w:rPr>
              <w:t>187</w:t>
            </w:r>
            <w:r w:rsidR="002F030F" w:rsidRPr="008E60B5">
              <w:rPr>
                <w:sz w:val="17"/>
              </w:rPr>
              <w:br/>
            </w:r>
            <w:r w:rsidRPr="008E60B5">
              <w:rPr>
                <w:b/>
                <w:bCs/>
                <w:sz w:val="17"/>
              </w:rPr>
              <w:t>53</w:t>
            </w:r>
            <w:r w:rsidR="00002E6B" w:rsidRPr="008E60B5">
              <w:rPr>
                <w:b/>
                <w:bCs/>
                <w:sz w:val="17"/>
              </w:rPr>
              <w:t> %</w:t>
            </w:r>
          </w:p>
        </w:tc>
        <w:tc>
          <w:tcPr>
            <w:tcW w:w="810" w:type="dxa"/>
            <w:tcBorders>
              <w:bottom w:val="single" w:sz="4" w:space="0" w:color="auto"/>
            </w:tcBorders>
            <w:shd w:val="clear" w:color="auto" w:fill="auto"/>
            <w:vAlign w:val="bottom"/>
          </w:tcPr>
          <w:p w14:paraId="408DB675" w14:textId="0EC44B56" w:rsidR="00CA0011" w:rsidRPr="008E60B5" w:rsidRDefault="00CA0011" w:rsidP="002F030F">
            <w:pPr>
              <w:tabs>
                <w:tab w:val="left" w:pos="288"/>
                <w:tab w:val="left" w:pos="576"/>
                <w:tab w:val="left" w:pos="864"/>
                <w:tab w:val="left" w:pos="1152"/>
              </w:tabs>
              <w:suppressAutoHyphens/>
              <w:spacing w:before="40" w:after="81" w:line="210" w:lineRule="exact"/>
              <w:ind w:right="40"/>
              <w:jc w:val="right"/>
              <w:rPr>
                <w:sz w:val="17"/>
              </w:rPr>
            </w:pPr>
            <w:r w:rsidRPr="008E60B5">
              <w:rPr>
                <w:sz w:val="17"/>
              </w:rPr>
              <w:t>163</w:t>
            </w:r>
            <w:r w:rsidR="002F030F" w:rsidRPr="008E60B5">
              <w:rPr>
                <w:sz w:val="17"/>
              </w:rPr>
              <w:br/>
            </w:r>
            <w:r w:rsidRPr="008E60B5">
              <w:rPr>
                <w:sz w:val="17"/>
              </w:rPr>
              <w:t>47</w:t>
            </w:r>
            <w:r w:rsidR="00002E6B" w:rsidRPr="008E60B5">
              <w:rPr>
                <w:sz w:val="17"/>
              </w:rPr>
              <w:t> %</w:t>
            </w:r>
          </w:p>
        </w:tc>
        <w:tc>
          <w:tcPr>
            <w:tcW w:w="818" w:type="dxa"/>
            <w:tcBorders>
              <w:bottom w:val="single" w:sz="4" w:space="0" w:color="auto"/>
            </w:tcBorders>
            <w:shd w:val="clear" w:color="auto" w:fill="auto"/>
            <w:vAlign w:val="bottom"/>
          </w:tcPr>
          <w:p w14:paraId="0E1B3B1F" w14:textId="2957D6D1" w:rsidR="00CA0011" w:rsidRPr="008E60B5" w:rsidRDefault="00CA0011" w:rsidP="002F030F">
            <w:pPr>
              <w:tabs>
                <w:tab w:val="left" w:pos="288"/>
                <w:tab w:val="left" w:pos="576"/>
                <w:tab w:val="left" w:pos="864"/>
                <w:tab w:val="left" w:pos="1152"/>
              </w:tabs>
              <w:suppressAutoHyphens/>
              <w:spacing w:before="40" w:after="81" w:line="210" w:lineRule="exact"/>
              <w:ind w:right="40"/>
              <w:jc w:val="right"/>
              <w:rPr>
                <w:sz w:val="17"/>
              </w:rPr>
            </w:pPr>
            <w:r w:rsidRPr="008E60B5">
              <w:rPr>
                <w:sz w:val="17"/>
              </w:rPr>
              <w:t>195</w:t>
            </w:r>
            <w:r w:rsidR="002F030F" w:rsidRPr="008E60B5">
              <w:rPr>
                <w:sz w:val="17"/>
              </w:rPr>
              <w:br/>
            </w:r>
            <w:r w:rsidRPr="008E60B5">
              <w:rPr>
                <w:b/>
                <w:bCs/>
                <w:sz w:val="17"/>
              </w:rPr>
              <w:t>60</w:t>
            </w:r>
            <w:r w:rsidR="00002E6B" w:rsidRPr="008E60B5">
              <w:rPr>
                <w:b/>
                <w:bCs/>
                <w:sz w:val="17"/>
              </w:rPr>
              <w:t> %</w:t>
            </w:r>
          </w:p>
        </w:tc>
        <w:tc>
          <w:tcPr>
            <w:tcW w:w="810" w:type="dxa"/>
            <w:tcBorders>
              <w:bottom w:val="single" w:sz="4" w:space="0" w:color="auto"/>
            </w:tcBorders>
            <w:shd w:val="clear" w:color="auto" w:fill="auto"/>
            <w:vAlign w:val="bottom"/>
          </w:tcPr>
          <w:p w14:paraId="3753C560" w14:textId="0130E85B" w:rsidR="00CA0011" w:rsidRPr="008E60B5" w:rsidRDefault="00CA0011" w:rsidP="002F030F">
            <w:pPr>
              <w:tabs>
                <w:tab w:val="left" w:pos="288"/>
                <w:tab w:val="left" w:pos="576"/>
                <w:tab w:val="left" w:pos="864"/>
                <w:tab w:val="left" w:pos="1152"/>
              </w:tabs>
              <w:suppressAutoHyphens/>
              <w:spacing w:before="40" w:after="81" w:line="210" w:lineRule="exact"/>
              <w:ind w:right="40"/>
              <w:jc w:val="right"/>
              <w:rPr>
                <w:sz w:val="17"/>
              </w:rPr>
            </w:pPr>
            <w:r w:rsidRPr="008E60B5">
              <w:rPr>
                <w:sz w:val="17"/>
              </w:rPr>
              <w:t>127</w:t>
            </w:r>
            <w:r w:rsidR="002F030F" w:rsidRPr="008E60B5">
              <w:rPr>
                <w:sz w:val="17"/>
              </w:rPr>
              <w:br/>
            </w:r>
            <w:r w:rsidRPr="008E60B5">
              <w:rPr>
                <w:sz w:val="17"/>
              </w:rPr>
              <w:t>40</w:t>
            </w:r>
            <w:r w:rsidR="00002E6B" w:rsidRPr="008E60B5">
              <w:rPr>
                <w:sz w:val="17"/>
              </w:rPr>
              <w:t> %</w:t>
            </w:r>
          </w:p>
        </w:tc>
        <w:tc>
          <w:tcPr>
            <w:tcW w:w="818" w:type="dxa"/>
            <w:tcBorders>
              <w:bottom w:val="single" w:sz="4" w:space="0" w:color="auto"/>
            </w:tcBorders>
            <w:shd w:val="clear" w:color="auto" w:fill="auto"/>
            <w:vAlign w:val="bottom"/>
          </w:tcPr>
          <w:p w14:paraId="418AE9E8" w14:textId="7E8423C3" w:rsidR="00CA0011" w:rsidRPr="008E60B5" w:rsidRDefault="00CA0011" w:rsidP="002F030F">
            <w:pPr>
              <w:tabs>
                <w:tab w:val="left" w:pos="288"/>
                <w:tab w:val="left" w:pos="576"/>
                <w:tab w:val="left" w:pos="864"/>
                <w:tab w:val="left" w:pos="1152"/>
              </w:tabs>
              <w:suppressAutoHyphens/>
              <w:spacing w:before="40" w:after="81" w:line="210" w:lineRule="exact"/>
              <w:ind w:right="40"/>
              <w:jc w:val="right"/>
              <w:rPr>
                <w:sz w:val="17"/>
              </w:rPr>
            </w:pPr>
            <w:r w:rsidRPr="008E60B5">
              <w:rPr>
                <w:sz w:val="17"/>
              </w:rPr>
              <w:t>225</w:t>
            </w:r>
            <w:r w:rsidR="002F030F" w:rsidRPr="008E60B5">
              <w:rPr>
                <w:sz w:val="17"/>
              </w:rPr>
              <w:br/>
            </w:r>
            <w:r w:rsidRPr="008E60B5">
              <w:rPr>
                <w:b/>
                <w:bCs/>
                <w:sz w:val="17"/>
              </w:rPr>
              <w:t>54</w:t>
            </w:r>
            <w:r w:rsidR="00002E6B" w:rsidRPr="008E60B5">
              <w:rPr>
                <w:b/>
                <w:bCs/>
                <w:sz w:val="17"/>
              </w:rPr>
              <w:t> %</w:t>
            </w:r>
          </w:p>
        </w:tc>
        <w:tc>
          <w:tcPr>
            <w:tcW w:w="810" w:type="dxa"/>
            <w:tcBorders>
              <w:bottom w:val="single" w:sz="4" w:space="0" w:color="auto"/>
            </w:tcBorders>
            <w:shd w:val="clear" w:color="auto" w:fill="auto"/>
            <w:vAlign w:val="bottom"/>
          </w:tcPr>
          <w:p w14:paraId="6566CAC5" w14:textId="2FA79FA5" w:rsidR="00CA0011" w:rsidRPr="008E60B5" w:rsidRDefault="00CA0011" w:rsidP="002F030F">
            <w:pPr>
              <w:tabs>
                <w:tab w:val="left" w:pos="288"/>
                <w:tab w:val="left" w:pos="576"/>
                <w:tab w:val="left" w:pos="864"/>
                <w:tab w:val="left" w:pos="1152"/>
              </w:tabs>
              <w:suppressAutoHyphens/>
              <w:spacing w:before="40" w:after="81" w:line="210" w:lineRule="exact"/>
              <w:ind w:right="40"/>
              <w:jc w:val="right"/>
              <w:rPr>
                <w:sz w:val="17"/>
              </w:rPr>
            </w:pPr>
            <w:r w:rsidRPr="008E60B5">
              <w:rPr>
                <w:sz w:val="17"/>
              </w:rPr>
              <w:t>193</w:t>
            </w:r>
            <w:r w:rsidR="002F030F" w:rsidRPr="008E60B5">
              <w:rPr>
                <w:sz w:val="17"/>
              </w:rPr>
              <w:br/>
            </w:r>
            <w:r w:rsidRPr="008E60B5">
              <w:rPr>
                <w:sz w:val="17"/>
              </w:rPr>
              <w:t>46</w:t>
            </w:r>
            <w:r w:rsidR="00002E6B" w:rsidRPr="008E60B5">
              <w:rPr>
                <w:sz w:val="17"/>
              </w:rPr>
              <w:t> %</w:t>
            </w:r>
          </w:p>
        </w:tc>
        <w:tc>
          <w:tcPr>
            <w:tcW w:w="818" w:type="dxa"/>
            <w:tcBorders>
              <w:bottom w:val="single" w:sz="4" w:space="0" w:color="auto"/>
            </w:tcBorders>
            <w:shd w:val="clear" w:color="auto" w:fill="auto"/>
            <w:vAlign w:val="bottom"/>
          </w:tcPr>
          <w:p w14:paraId="7FDDE5FC" w14:textId="54C3AA68" w:rsidR="00CA0011" w:rsidRPr="008E60B5" w:rsidRDefault="00CA0011" w:rsidP="002F030F">
            <w:pPr>
              <w:tabs>
                <w:tab w:val="left" w:pos="288"/>
                <w:tab w:val="left" w:pos="576"/>
                <w:tab w:val="left" w:pos="864"/>
                <w:tab w:val="left" w:pos="1152"/>
              </w:tabs>
              <w:suppressAutoHyphens/>
              <w:spacing w:before="40" w:after="81" w:line="210" w:lineRule="exact"/>
              <w:ind w:right="40"/>
              <w:jc w:val="right"/>
              <w:rPr>
                <w:sz w:val="17"/>
              </w:rPr>
            </w:pPr>
            <w:r w:rsidRPr="008E60B5">
              <w:rPr>
                <w:sz w:val="17"/>
              </w:rPr>
              <w:t>792</w:t>
            </w:r>
            <w:r w:rsidR="002F030F" w:rsidRPr="008E60B5">
              <w:rPr>
                <w:sz w:val="17"/>
              </w:rPr>
              <w:br/>
            </w:r>
            <w:r w:rsidRPr="008E60B5">
              <w:rPr>
                <w:b/>
                <w:bCs/>
                <w:sz w:val="17"/>
              </w:rPr>
              <w:t>49</w:t>
            </w:r>
            <w:r w:rsidR="00002E6B" w:rsidRPr="008E60B5">
              <w:rPr>
                <w:b/>
                <w:bCs/>
                <w:sz w:val="17"/>
              </w:rPr>
              <w:t> %</w:t>
            </w:r>
          </w:p>
        </w:tc>
        <w:tc>
          <w:tcPr>
            <w:tcW w:w="810" w:type="dxa"/>
            <w:tcBorders>
              <w:bottom w:val="single" w:sz="4" w:space="0" w:color="auto"/>
            </w:tcBorders>
            <w:shd w:val="clear" w:color="auto" w:fill="auto"/>
            <w:vAlign w:val="bottom"/>
          </w:tcPr>
          <w:p w14:paraId="186E9492" w14:textId="08127742" w:rsidR="00CA0011" w:rsidRPr="008E60B5" w:rsidRDefault="00CA0011" w:rsidP="002F030F">
            <w:pPr>
              <w:tabs>
                <w:tab w:val="left" w:pos="288"/>
                <w:tab w:val="left" w:pos="576"/>
                <w:tab w:val="left" w:pos="864"/>
                <w:tab w:val="left" w:pos="1152"/>
              </w:tabs>
              <w:suppressAutoHyphens/>
              <w:spacing w:before="40" w:after="81" w:line="210" w:lineRule="exact"/>
              <w:ind w:right="40"/>
              <w:jc w:val="right"/>
              <w:rPr>
                <w:sz w:val="17"/>
              </w:rPr>
            </w:pPr>
            <w:r w:rsidRPr="008E60B5">
              <w:rPr>
                <w:sz w:val="17"/>
              </w:rPr>
              <w:t>840</w:t>
            </w:r>
            <w:r w:rsidR="002F030F" w:rsidRPr="008E60B5">
              <w:rPr>
                <w:sz w:val="17"/>
              </w:rPr>
              <w:br/>
            </w:r>
            <w:r w:rsidRPr="008E60B5">
              <w:rPr>
                <w:b/>
                <w:bCs/>
                <w:sz w:val="17"/>
              </w:rPr>
              <w:t>51</w:t>
            </w:r>
            <w:r w:rsidR="00002E6B" w:rsidRPr="008E60B5">
              <w:rPr>
                <w:b/>
                <w:bCs/>
                <w:sz w:val="17"/>
              </w:rPr>
              <w:t> %</w:t>
            </w:r>
          </w:p>
        </w:tc>
      </w:tr>
      <w:tr w:rsidR="00CA0011" w:rsidRPr="008E60B5" w14:paraId="7883049C" w14:textId="77777777" w:rsidTr="002F030F">
        <w:trPr>
          <w:cantSplit/>
        </w:trPr>
        <w:tc>
          <w:tcPr>
            <w:tcW w:w="857" w:type="dxa"/>
            <w:tcBorders>
              <w:top w:val="single" w:sz="4" w:space="0" w:color="auto"/>
              <w:bottom w:val="single" w:sz="12" w:space="0" w:color="auto"/>
            </w:tcBorders>
            <w:shd w:val="clear" w:color="auto" w:fill="auto"/>
            <w:vAlign w:val="bottom"/>
          </w:tcPr>
          <w:p w14:paraId="58737DF7" w14:textId="0F0A9C4B" w:rsidR="00CA0011" w:rsidRPr="008E60B5" w:rsidRDefault="002F030F" w:rsidP="002F030F">
            <w:pPr>
              <w:tabs>
                <w:tab w:val="left" w:pos="288"/>
                <w:tab w:val="left" w:pos="576"/>
                <w:tab w:val="left" w:pos="864"/>
                <w:tab w:val="left" w:pos="1152"/>
              </w:tabs>
              <w:suppressAutoHyphens/>
              <w:spacing w:before="81" w:after="81" w:line="210" w:lineRule="exact"/>
              <w:ind w:right="40"/>
              <w:rPr>
                <w:b/>
                <w:sz w:val="17"/>
              </w:rPr>
            </w:pPr>
            <w:r w:rsidRPr="008E60B5">
              <w:rPr>
                <w:b/>
                <w:sz w:val="17"/>
              </w:rPr>
              <w:tab/>
            </w:r>
            <w:r w:rsidR="00CA0011" w:rsidRPr="008E60B5">
              <w:rPr>
                <w:b/>
                <w:sz w:val="17"/>
              </w:rPr>
              <w:t>Total</w:t>
            </w:r>
          </w:p>
        </w:tc>
        <w:tc>
          <w:tcPr>
            <w:tcW w:w="1629" w:type="dxa"/>
            <w:gridSpan w:val="2"/>
            <w:tcBorders>
              <w:top w:val="single" w:sz="4" w:space="0" w:color="auto"/>
              <w:bottom w:val="single" w:sz="12" w:space="0" w:color="auto"/>
            </w:tcBorders>
            <w:shd w:val="clear" w:color="auto" w:fill="auto"/>
            <w:vAlign w:val="bottom"/>
          </w:tcPr>
          <w:p w14:paraId="61B45FE5" w14:textId="77777777" w:rsidR="00CA0011" w:rsidRPr="008E60B5" w:rsidRDefault="00CA0011" w:rsidP="002F030F">
            <w:pPr>
              <w:tabs>
                <w:tab w:val="left" w:pos="288"/>
                <w:tab w:val="left" w:pos="576"/>
                <w:tab w:val="left" w:pos="864"/>
                <w:tab w:val="left" w:pos="1152"/>
              </w:tabs>
              <w:suppressAutoHyphens/>
              <w:spacing w:before="81" w:after="81" w:line="210" w:lineRule="exact"/>
              <w:ind w:right="40"/>
              <w:jc w:val="center"/>
              <w:rPr>
                <w:b/>
                <w:bCs/>
                <w:sz w:val="17"/>
              </w:rPr>
            </w:pPr>
            <w:r w:rsidRPr="008E60B5">
              <w:rPr>
                <w:b/>
                <w:bCs/>
                <w:sz w:val="17"/>
              </w:rPr>
              <w:t>350</w:t>
            </w:r>
          </w:p>
        </w:tc>
        <w:tc>
          <w:tcPr>
            <w:tcW w:w="1628" w:type="dxa"/>
            <w:gridSpan w:val="2"/>
            <w:tcBorders>
              <w:top w:val="single" w:sz="4" w:space="0" w:color="auto"/>
              <w:bottom w:val="single" w:sz="12" w:space="0" w:color="auto"/>
            </w:tcBorders>
            <w:shd w:val="clear" w:color="auto" w:fill="auto"/>
            <w:vAlign w:val="bottom"/>
          </w:tcPr>
          <w:p w14:paraId="5FCFB4FF" w14:textId="77777777" w:rsidR="00CA0011" w:rsidRPr="008E60B5" w:rsidRDefault="00CA0011" w:rsidP="002F030F">
            <w:pPr>
              <w:tabs>
                <w:tab w:val="left" w:pos="288"/>
                <w:tab w:val="left" w:pos="576"/>
                <w:tab w:val="left" w:pos="864"/>
                <w:tab w:val="left" w:pos="1152"/>
              </w:tabs>
              <w:suppressAutoHyphens/>
              <w:spacing w:before="81" w:after="81" w:line="210" w:lineRule="exact"/>
              <w:ind w:right="40"/>
              <w:jc w:val="center"/>
              <w:rPr>
                <w:b/>
                <w:bCs/>
                <w:sz w:val="17"/>
              </w:rPr>
            </w:pPr>
            <w:r w:rsidRPr="008E60B5">
              <w:rPr>
                <w:b/>
                <w:bCs/>
                <w:sz w:val="17"/>
              </w:rPr>
              <w:t>322</w:t>
            </w:r>
          </w:p>
        </w:tc>
        <w:tc>
          <w:tcPr>
            <w:tcW w:w="1628" w:type="dxa"/>
            <w:gridSpan w:val="2"/>
            <w:tcBorders>
              <w:top w:val="single" w:sz="4" w:space="0" w:color="auto"/>
              <w:bottom w:val="single" w:sz="12" w:space="0" w:color="auto"/>
            </w:tcBorders>
            <w:shd w:val="clear" w:color="auto" w:fill="auto"/>
            <w:vAlign w:val="bottom"/>
          </w:tcPr>
          <w:p w14:paraId="3E5F8E8D" w14:textId="77777777" w:rsidR="00CA0011" w:rsidRPr="008E60B5" w:rsidRDefault="00CA0011" w:rsidP="002F030F">
            <w:pPr>
              <w:tabs>
                <w:tab w:val="left" w:pos="288"/>
                <w:tab w:val="left" w:pos="576"/>
                <w:tab w:val="left" w:pos="864"/>
                <w:tab w:val="left" w:pos="1152"/>
              </w:tabs>
              <w:suppressAutoHyphens/>
              <w:spacing w:before="81" w:after="81" w:line="210" w:lineRule="exact"/>
              <w:ind w:right="40"/>
              <w:jc w:val="center"/>
              <w:rPr>
                <w:b/>
                <w:bCs/>
                <w:sz w:val="17"/>
              </w:rPr>
            </w:pPr>
            <w:r w:rsidRPr="008E60B5">
              <w:rPr>
                <w:b/>
                <w:bCs/>
                <w:sz w:val="17"/>
              </w:rPr>
              <w:t>418</w:t>
            </w:r>
          </w:p>
        </w:tc>
        <w:tc>
          <w:tcPr>
            <w:tcW w:w="1628" w:type="dxa"/>
            <w:gridSpan w:val="2"/>
            <w:tcBorders>
              <w:top w:val="single" w:sz="4" w:space="0" w:color="auto"/>
              <w:bottom w:val="single" w:sz="12" w:space="0" w:color="auto"/>
            </w:tcBorders>
            <w:shd w:val="clear" w:color="auto" w:fill="auto"/>
            <w:vAlign w:val="bottom"/>
          </w:tcPr>
          <w:p w14:paraId="72EC90FC" w14:textId="0FA15CDC" w:rsidR="00CA0011" w:rsidRPr="008E60B5" w:rsidRDefault="00CA0011" w:rsidP="002F030F">
            <w:pPr>
              <w:tabs>
                <w:tab w:val="left" w:pos="288"/>
                <w:tab w:val="left" w:pos="576"/>
                <w:tab w:val="left" w:pos="864"/>
                <w:tab w:val="left" w:pos="1152"/>
              </w:tabs>
              <w:suppressAutoHyphens/>
              <w:spacing w:before="81" w:after="81" w:line="210" w:lineRule="exact"/>
              <w:ind w:right="40"/>
              <w:jc w:val="center"/>
              <w:rPr>
                <w:b/>
                <w:bCs/>
                <w:sz w:val="17"/>
              </w:rPr>
            </w:pPr>
            <w:r w:rsidRPr="008E60B5">
              <w:rPr>
                <w:b/>
                <w:bCs/>
                <w:sz w:val="17"/>
              </w:rPr>
              <w:t>1</w:t>
            </w:r>
            <w:r w:rsidR="00690974">
              <w:rPr>
                <w:b/>
                <w:bCs/>
                <w:sz w:val="17"/>
              </w:rPr>
              <w:t xml:space="preserve"> </w:t>
            </w:r>
            <w:r w:rsidRPr="008E60B5">
              <w:rPr>
                <w:b/>
                <w:bCs/>
                <w:sz w:val="17"/>
              </w:rPr>
              <w:t>632</w:t>
            </w:r>
          </w:p>
        </w:tc>
      </w:tr>
    </w:tbl>
    <w:p w14:paraId="18E3BBE3" w14:textId="77777777" w:rsidR="00547FE9" w:rsidRPr="008E60B5" w:rsidRDefault="00547FE9" w:rsidP="00547FE9">
      <w:pPr>
        <w:pStyle w:val="SingleTxt"/>
        <w:spacing w:after="0" w:line="120" w:lineRule="exact"/>
        <w:rPr>
          <w:sz w:val="10"/>
          <w:lang w:val="fr-FR"/>
        </w:rPr>
      </w:pPr>
    </w:p>
    <w:p w14:paraId="6D4C7B0A" w14:textId="77777777" w:rsidR="00547FE9" w:rsidRPr="008E60B5" w:rsidRDefault="00547FE9" w:rsidP="00547FE9">
      <w:pPr>
        <w:pStyle w:val="SingleTxt"/>
        <w:spacing w:after="0" w:line="120" w:lineRule="exact"/>
        <w:rPr>
          <w:sz w:val="10"/>
          <w:lang w:val="fr-FR"/>
        </w:rPr>
      </w:pPr>
    </w:p>
    <w:p w14:paraId="5554D89F" w14:textId="372865D3" w:rsidR="00CA0011" w:rsidRPr="008E60B5" w:rsidRDefault="00CA0011" w:rsidP="00A15EC1">
      <w:pPr>
        <w:pStyle w:val="SingleTxt"/>
        <w:numPr>
          <w:ilvl w:val="0"/>
          <w:numId w:val="20"/>
        </w:numPr>
        <w:spacing w:line="240" w:lineRule="exact"/>
        <w:rPr>
          <w:lang w:val="fr-FR"/>
        </w:rPr>
      </w:pPr>
      <w:r w:rsidRPr="008E60B5">
        <w:rPr>
          <w:lang w:val="fr-FR"/>
        </w:rPr>
        <w:lastRenderedPageBreak/>
        <w:t>Au cours de l</w:t>
      </w:r>
      <w:r w:rsidR="008E60B5" w:rsidRPr="008E60B5">
        <w:rPr>
          <w:lang w:val="fr-FR"/>
        </w:rPr>
        <w:t>’</w:t>
      </w:r>
      <w:r w:rsidRPr="008E60B5">
        <w:rPr>
          <w:lang w:val="fr-FR"/>
        </w:rPr>
        <w:t>année scolaire 2016/17, dans le cadre des mesures d</w:t>
      </w:r>
      <w:r w:rsidR="008E60B5" w:rsidRPr="008E60B5">
        <w:rPr>
          <w:lang w:val="fr-FR"/>
        </w:rPr>
        <w:t>’</w:t>
      </w:r>
      <w:r w:rsidRPr="008E60B5">
        <w:rPr>
          <w:lang w:val="fr-FR"/>
        </w:rPr>
        <w:t>action positive, 518 enfants atteints de troubles du développement ont été inscrits dans des établissements secondaires.</w:t>
      </w:r>
    </w:p>
    <w:p w14:paraId="330720A8" w14:textId="2A345E4B" w:rsidR="00CA0011" w:rsidRPr="008E60B5" w:rsidRDefault="00CA0011" w:rsidP="00A15EC1">
      <w:pPr>
        <w:pStyle w:val="SingleTxt"/>
        <w:numPr>
          <w:ilvl w:val="0"/>
          <w:numId w:val="20"/>
        </w:numPr>
        <w:spacing w:line="240" w:lineRule="exact"/>
        <w:rPr>
          <w:lang w:val="fr-FR"/>
        </w:rPr>
      </w:pPr>
      <w:r w:rsidRPr="008E60B5">
        <w:rPr>
          <w:lang w:val="fr-FR"/>
        </w:rPr>
        <w:t>Bien qu</w:t>
      </w:r>
      <w:r w:rsidR="008E60B5" w:rsidRPr="008E60B5">
        <w:rPr>
          <w:lang w:val="fr-FR"/>
        </w:rPr>
        <w:t>’</w:t>
      </w:r>
      <w:r w:rsidRPr="008E60B5">
        <w:rPr>
          <w:lang w:val="fr-FR"/>
        </w:rPr>
        <w:t>elle ne cible pas les filles en particulier, la mesure stratégique d</w:t>
      </w:r>
      <w:r w:rsidR="008E60B5" w:rsidRPr="008E60B5">
        <w:rPr>
          <w:lang w:val="fr-FR"/>
        </w:rPr>
        <w:t>’</w:t>
      </w:r>
      <w:r w:rsidRPr="008E60B5">
        <w:rPr>
          <w:lang w:val="fr-FR"/>
        </w:rPr>
        <w:t>attribution des bourses a aidé des filles et jeunes femmes roms à poursuivre leurs études dans le secondaire. Au total, 176 bourses financées au titre du budget national ont été accordées pour l</w:t>
      </w:r>
      <w:r w:rsidR="008E60B5" w:rsidRPr="008E60B5">
        <w:rPr>
          <w:lang w:val="fr-FR"/>
        </w:rPr>
        <w:t>’</w:t>
      </w:r>
      <w:r w:rsidRPr="008E60B5">
        <w:rPr>
          <w:lang w:val="fr-FR"/>
        </w:rPr>
        <w:t>année scolaire 2015/16 à des élèves roms dont les résultats scolaires étaient excellents. Parmi eux, il y avait 111 filles (soit 63</w:t>
      </w:r>
      <w:r w:rsidR="00002E6B" w:rsidRPr="008E60B5">
        <w:rPr>
          <w:lang w:val="fr-FR"/>
        </w:rPr>
        <w:t> %</w:t>
      </w:r>
      <w:r w:rsidRPr="008E60B5">
        <w:rPr>
          <w:lang w:val="fr-FR"/>
        </w:rPr>
        <w:t>) et 65 garçons (soit 37</w:t>
      </w:r>
      <w:r w:rsidR="00002E6B" w:rsidRPr="008E60B5">
        <w:rPr>
          <w:lang w:val="fr-FR"/>
        </w:rPr>
        <w:t> %</w:t>
      </w:r>
      <w:r w:rsidRPr="008E60B5">
        <w:rPr>
          <w:lang w:val="fr-FR"/>
        </w:rPr>
        <w:t>). Au cours de l</w:t>
      </w:r>
      <w:r w:rsidR="008E60B5" w:rsidRPr="008E60B5">
        <w:rPr>
          <w:lang w:val="fr-FR"/>
        </w:rPr>
        <w:t>’</w:t>
      </w:r>
      <w:r w:rsidRPr="008E60B5">
        <w:rPr>
          <w:lang w:val="fr-FR"/>
        </w:rPr>
        <w:t>année scolaire 2016/17, 132 très bons élèves roms ont reçu une bourse mensuelle. Dans le cadre du projet d</w:t>
      </w:r>
      <w:r w:rsidR="008E60B5" w:rsidRPr="008E60B5">
        <w:rPr>
          <w:lang w:val="fr-FR"/>
        </w:rPr>
        <w:t>’</w:t>
      </w:r>
      <w:r w:rsidRPr="008E60B5">
        <w:rPr>
          <w:lang w:val="fr-FR"/>
        </w:rPr>
        <w:t>assistance technique à l</w:t>
      </w:r>
      <w:r w:rsidR="008E60B5" w:rsidRPr="008E60B5">
        <w:rPr>
          <w:lang w:val="fr-FR"/>
        </w:rPr>
        <w:t>’</w:t>
      </w:r>
      <w:r w:rsidRPr="008E60B5">
        <w:rPr>
          <w:lang w:val="fr-FR"/>
        </w:rPr>
        <w:t>inclusion des Roms mené au titre de l</w:t>
      </w:r>
      <w:r w:rsidR="008E60B5" w:rsidRPr="008E60B5">
        <w:rPr>
          <w:lang w:val="fr-FR"/>
        </w:rPr>
        <w:t>’</w:t>
      </w:r>
      <w:r w:rsidRPr="008E60B5">
        <w:rPr>
          <w:lang w:val="fr-FR"/>
        </w:rPr>
        <w:t>instrument d</w:t>
      </w:r>
      <w:r w:rsidR="008E60B5" w:rsidRPr="008E60B5">
        <w:rPr>
          <w:lang w:val="fr-FR"/>
        </w:rPr>
        <w:t>’</w:t>
      </w:r>
      <w:r w:rsidRPr="008E60B5">
        <w:rPr>
          <w:lang w:val="fr-FR"/>
        </w:rPr>
        <w:t>aide de préadhésion de 2012, 1 020 bourses ont été accordées à des élèves roms dans les quatre niveaux de l</w:t>
      </w:r>
      <w:r w:rsidR="008E60B5" w:rsidRPr="008E60B5">
        <w:rPr>
          <w:lang w:val="fr-FR"/>
        </w:rPr>
        <w:t>’</w:t>
      </w:r>
      <w:r w:rsidRPr="008E60B5">
        <w:rPr>
          <w:lang w:val="fr-FR"/>
        </w:rPr>
        <w:t xml:space="preserve">enseignement secondaire avec des moyennes allant de 2,5 à 3,5. Ainsi, tous les élèves dont les résultats scolaires se sont améliorés ont pu conserver leurs bourses. </w:t>
      </w:r>
    </w:p>
    <w:p w14:paraId="337C9F27" w14:textId="4410FA10" w:rsidR="00CA0011" w:rsidRPr="008E60B5" w:rsidRDefault="00CA0011" w:rsidP="00A15EC1">
      <w:pPr>
        <w:pStyle w:val="SingleTxt"/>
        <w:numPr>
          <w:ilvl w:val="0"/>
          <w:numId w:val="20"/>
        </w:numPr>
        <w:spacing w:line="240" w:lineRule="exact"/>
        <w:rPr>
          <w:b/>
          <w:i/>
          <w:lang w:val="fr-FR"/>
        </w:rPr>
      </w:pPr>
      <w:r w:rsidRPr="008E60B5">
        <w:rPr>
          <w:lang w:val="fr-FR"/>
        </w:rPr>
        <w:t>Dans le cadre de l</w:t>
      </w:r>
      <w:r w:rsidR="008E60B5" w:rsidRPr="008E60B5">
        <w:rPr>
          <w:lang w:val="fr-FR"/>
        </w:rPr>
        <w:t>’</w:t>
      </w:r>
      <w:r w:rsidRPr="008E60B5">
        <w:rPr>
          <w:lang w:val="fr-FR"/>
        </w:rPr>
        <w:t>appui européen à l</w:t>
      </w:r>
      <w:r w:rsidR="008E60B5" w:rsidRPr="008E60B5">
        <w:rPr>
          <w:lang w:val="fr-FR"/>
        </w:rPr>
        <w:t>’</w:t>
      </w:r>
      <w:r w:rsidRPr="008E60B5">
        <w:rPr>
          <w:lang w:val="fr-FR"/>
        </w:rPr>
        <w:t>inclusion des Roms apporté au titre de l</w:t>
      </w:r>
      <w:r w:rsidR="008E60B5" w:rsidRPr="008E60B5">
        <w:rPr>
          <w:lang w:val="fr-FR"/>
        </w:rPr>
        <w:t>’</w:t>
      </w:r>
      <w:r w:rsidRPr="008E60B5">
        <w:rPr>
          <w:lang w:val="fr-FR"/>
        </w:rPr>
        <w:t>instrument d</w:t>
      </w:r>
      <w:r w:rsidR="008E60B5" w:rsidRPr="008E60B5">
        <w:rPr>
          <w:lang w:val="fr-FR"/>
        </w:rPr>
        <w:t>’</w:t>
      </w:r>
      <w:r w:rsidRPr="008E60B5">
        <w:rPr>
          <w:lang w:val="fr-FR"/>
        </w:rPr>
        <w:t>aide de préadhésion de 2012, 201 enseignants ou tuteurs ont été recrutés au cours de l</w:t>
      </w:r>
      <w:r w:rsidR="008E60B5" w:rsidRPr="008E60B5">
        <w:rPr>
          <w:lang w:val="fr-FR"/>
        </w:rPr>
        <w:t>’</w:t>
      </w:r>
      <w:r w:rsidRPr="008E60B5">
        <w:rPr>
          <w:lang w:val="fr-FR"/>
        </w:rPr>
        <w:t>année scolaire 2015/16 en vue de renforcer l</w:t>
      </w:r>
      <w:r w:rsidR="008E60B5" w:rsidRPr="008E60B5">
        <w:rPr>
          <w:lang w:val="fr-FR"/>
        </w:rPr>
        <w:t>’</w:t>
      </w:r>
      <w:r w:rsidRPr="008E60B5">
        <w:rPr>
          <w:lang w:val="fr-FR"/>
        </w:rPr>
        <w:t>inclusion, l</w:t>
      </w:r>
      <w:r w:rsidR="008E60B5" w:rsidRPr="008E60B5">
        <w:rPr>
          <w:lang w:val="fr-FR"/>
        </w:rPr>
        <w:t>’</w:t>
      </w:r>
      <w:r w:rsidRPr="008E60B5">
        <w:rPr>
          <w:lang w:val="fr-FR"/>
        </w:rPr>
        <w:t>apprentissage et la progression des élèves roms. Une attention particulière a été apportée aux jeunes femmes scolarisées dans le secondaire afin d</w:t>
      </w:r>
      <w:r w:rsidR="008E60B5" w:rsidRPr="008E60B5">
        <w:rPr>
          <w:lang w:val="fr-FR"/>
        </w:rPr>
        <w:t>’</w:t>
      </w:r>
      <w:r w:rsidRPr="008E60B5">
        <w:rPr>
          <w:lang w:val="fr-FR"/>
        </w:rPr>
        <w:t>éviter le décrochage.</w:t>
      </w:r>
    </w:p>
    <w:p w14:paraId="4EF27801" w14:textId="7961A873" w:rsidR="00CA0011" w:rsidRPr="008E60B5" w:rsidRDefault="00CA0011" w:rsidP="00A15EC1">
      <w:pPr>
        <w:pStyle w:val="SingleTxt"/>
        <w:numPr>
          <w:ilvl w:val="0"/>
          <w:numId w:val="20"/>
        </w:numPr>
        <w:spacing w:line="240" w:lineRule="exact"/>
        <w:rPr>
          <w:lang w:val="fr-FR"/>
        </w:rPr>
      </w:pPr>
      <w:r w:rsidRPr="008E60B5">
        <w:rPr>
          <w:lang w:val="fr-FR"/>
        </w:rPr>
        <w:t>Les mesures d</w:t>
      </w:r>
      <w:r w:rsidR="008E60B5" w:rsidRPr="008E60B5">
        <w:rPr>
          <w:lang w:val="fr-FR"/>
        </w:rPr>
        <w:t>’</w:t>
      </w:r>
      <w:r w:rsidRPr="008E60B5">
        <w:rPr>
          <w:lang w:val="fr-FR"/>
        </w:rPr>
        <w:t>action positive relatives à l</w:t>
      </w:r>
      <w:r w:rsidR="008E60B5" w:rsidRPr="008E60B5">
        <w:rPr>
          <w:lang w:val="fr-FR"/>
        </w:rPr>
        <w:t>’</w:t>
      </w:r>
      <w:r w:rsidRPr="008E60B5">
        <w:rPr>
          <w:lang w:val="fr-FR"/>
        </w:rPr>
        <w:t>inscription dans les établissements d</w:t>
      </w:r>
      <w:r w:rsidR="008E60B5" w:rsidRPr="008E60B5">
        <w:rPr>
          <w:lang w:val="fr-FR"/>
        </w:rPr>
        <w:t>’</w:t>
      </w:r>
      <w:r w:rsidRPr="008E60B5">
        <w:rPr>
          <w:lang w:val="fr-FR"/>
        </w:rPr>
        <w:t>enseignement supérieur sont énoncées dans la décision du Gouvernement sur le nombre d</w:t>
      </w:r>
      <w:r w:rsidR="008E60B5" w:rsidRPr="008E60B5">
        <w:rPr>
          <w:lang w:val="fr-FR"/>
        </w:rPr>
        <w:t>’</w:t>
      </w:r>
      <w:r w:rsidRPr="008E60B5">
        <w:rPr>
          <w:lang w:val="fr-FR"/>
        </w:rPr>
        <w:t>élèves à inscrire en première années dans les établissements financés par l</w:t>
      </w:r>
      <w:r w:rsidR="008E60B5" w:rsidRPr="008E60B5">
        <w:rPr>
          <w:lang w:val="fr-FR"/>
        </w:rPr>
        <w:t>’</w:t>
      </w:r>
      <w:r w:rsidRPr="008E60B5">
        <w:rPr>
          <w:lang w:val="fr-FR"/>
        </w:rPr>
        <w:t>État. Des quotas d</w:t>
      </w:r>
      <w:r w:rsidR="008E60B5" w:rsidRPr="008E60B5">
        <w:rPr>
          <w:lang w:val="fr-FR"/>
        </w:rPr>
        <w:t>’</w:t>
      </w:r>
      <w:r w:rsidRPr="008E60B5">
        <w:rPr>
          <w:lang w:val="fr-FR"/>
        </w:rPr>
        <w:t>inscription y sont fixés pour les étudiants handicapés, les Roms et les citoyens serbes ayant achevé leurs études secondaires à l</w:t>
      </w:r>
      <w:r w:rsidR="008E60B5" w:rsidRPr="008E60B5">
        <w:rPr>
          <w:lang w:val="fr-FR"/>
        </w:rPr>
        <w:t>’</w:t>
      </w:r>
      <w:r w:rsidRPr="008E60B5">
        <w:rPr>
          <w:lang w:val="fr-FR"/>
        </w:rPr>
        <w:t>étranger l</w:t>
      </w:r>
      <w:r w:rsidR="008E60B5" w:rsidRPr="008E60B5">
        <w:rPr>
          <w:lang w:val="fr-FR"/>
        </w:rPr>
        <w:t>’</w:t>
      </w:r>
      <w:r w:rsidRPr="008E60B5">
        <w:rPr>
          <w:lang w:val="fr-FR"/>
        </w:rPr>
        <w:t>année scolaire précédente. Un quota de 1</w:t>
      </w:r>
      <w:r w:rsidR="00002E6B" w:rsidRPr="008E60B5">
        <w:rPr>
          <w:lang w:val="fr-FR"/>
        </w:rPr>
        <w:t> %</w:t>
      </w:r>
      <w:r w:rsidRPr="008E60B5">
        <w:rPr>
          <w:lang w:val="fr-FR"/>
        </w:rPr>
        <w:t xml:space="preserve"> du nombre total d</w:t>
      </w:r>
      <w:r w:rsidR="008E60B5" w:rsidRPr="008E60B5">
        <w:rPr>
          <w:lang w:val="fr-FR"/>
        </w:rPr>
        <w:t>’</w:t>
      </w:r>
      <w:r w:rsidRPr="008E60B5">
        <w:rPr>
          <w:lang w:val="fr-FR"/>
        </w:rPr>
        <w:t>inscriptions dans les établissements universitaires a été fixé pour chacun de ces groupes. Si cette mesure ne vise pas spécifiquement les jeunes femmes, un grand nombre d</w:t>
      </w:r>
      <w:r w:rsidR="008E60B5" w:rsidRPr="008E60B5">
        <w:rPr>
          <w:lang w:val="fr-FR"/>
        </w:rPr>
        <w:t>’</w:t>
      </w:r>
      <w:r w:rsidRPr="008E60B5">
        <w:rPr>
          <w:lang w:val="fr-FR"/>
        </w:rPr>
        <w:t>entre elles, issues de ces groupes sociaux vulnérables, en ont bénéficié. Chaque année scolaire, le Ministère de l</w:t>
      </w:r>
      <w:r w:rsidR="008E60B5" w:rsidRPr="008E60B5">
        <w:rPr>
          <w:lang w:val="fr-FR"/>
        </w:rPr>
        <w:t>’</w:t>
      </w:r>
      <w:r w:rsidRPr="008E60B5">
        <w:rPr>
          <w:lang w:val="fr-FR"/>
        </w:rPr>
        <w:t>éducation, de la science et du développement technologique adopte des instructions techniques relatives à l</w:t>
      </w:r>
      <w:r w:rsidR="008E60B5" w:rsidRPr="008E60B5">
        <w:rPr>
          <w:lang w:val="fr-FR"/>
        </w:rPr>
        <w:t>’</w:t>
      </w:r>
      <w:r w:rsidRPr="008E60B5">
        <w:rPr>
          <w:lang w:val="fr-FR"/>
        </w:rPr>
        <w:t>inscription en première année dans les établissements d</w:t>
      </w:r>
      <w:r w:rsidR="008E60B5" w:rsidRPr="008E60B5">
        <w:rPr>
          <w:lang w:val="fr-FR"/>
        </w:rPr>
        <w:t>’</w:t>
      </w:r>
      <w:r w:rsidRPr="008E60B5">
        <w:rPr>
          <w:lang w:val="fr-FR"/>
        </w:rPr>
        <w:t>enseignement supérieur financés par la République de Serbie, selon lesquelles les étudiants inscrits au titre d</w:t>
      </w:r>
      <w:r w:rsidR="008E60B5" w:rsidRPr="008E60B5">
        <w:rPr>
          <w:lang w:val="fr-FR"/>
        </w:rPr>
        <w:t>’</w:t>
      </w:r>
      <w:r w:rsidRPr="008E60B5">
        <w:rPr>
          <w:lang w:val="fr-FR"/>
        </w:rPr>
        <w:t>une mesure d</w:t>
      </w:r>
      <w:r w:rsidR="008E60B5" w:rsidRPr="008E60B5">
        <w:rPr>
          <w:lang w:val="fr-FR"/>
        </w:rPr>
        <w:t>’</w:t>
      </w:r>
      <w:r w:rsidRPr="008E60B5">
        <w:rPr>
          <w:lang w:val="fr-FR"/>
        </w:rPr>
        <w:t>action positive ne doivent pas être évalués comme les autres lors du passage à l</w:t>
      </w:r>
      <w:r w:rsidR="008E60B5" w:rsidRPr="008E60B5">
        <w:rPr>
          <w:lang w:val="fr-FR"/>
        </w:rPr>
        <w:t>’</w:t>
      </w:r>
      <w:r w:rsidRPr="008E60B5">
        <w:rPr>
          <w:lang w:val="fr-FR"/>
        </w:rPr>
        <w:t>année supérieure</w:t>
      </w:r>
      <w:r w:rsidR="00002E6B" w:rsidRPr="008E60B5">
        <w:rPr>
          <w:lang w:val="fr-FR"/>
        </w:rPr>
        <w:t> :</w:t>
      </w:r>
      <w:r w:rsidRPr="008E60B5">
        <w:rPr>
          <w:lang w:val="fr-FR"/>
        </w:rPr>
        <w:t xml:space="preserve"> ils continuent de recevoir un financement de l</w:t>
      </w:r>
      <w:r w:rsidR="008E60B5" w:rsidRPr="008E60B5">
        <w:rPr>
          <w:lang w:val="fr-FR"/>
        </w:rPr>
        <w:t>’</w:t>
      </w:r>
      <w:r w:rsidRPr="008E60B5">
        <w:rPr>
          <w:lang w:val="fr-FR"/>
        </w:rPr>
        <w:t>État s</w:t>
      </w:r>
      <w:r w:rsidR="008E60B5" w:rsidRPr="008E60B5">
        <w:rPr>
          <w:lang w:val="fr-FR"/>
        </w:rPr>
        <w:t>’</w:t>
      </w:r>
      <w:r w:rsidRPr="008E60B5">
        <w:rPr>
          <w:lang w:val="fr-FR"/>
        </w:rPr>
        <w:t>ils cumulent 36 ECTS. Cette mesure s</w:t>
      </w:r>
      <w:r w:rsidR="008E60B5" w:rsidRPr="008E60B5">
        <w:rPr>
          <w:lang w:val="fr-FR"/>
        </w:rPr>
        <w:t>’</w:t>
      </w:r>
      <w:r w:rsidRPr="008E60B5">
        <w:rPr>
          <w:lang w:val="fr-FR"/>
        </w:rPr>
        <w:t>applique également aux étudiants qui s</w:t>
      </w:r>
      <w:r w:rsidR="008E60B5" w:rsidRPr="008E60B5">
        <w:rPr>
          <w:lang w:val="fr-FR"/>
        </w:rPr>
        <w:t>’</w:t>
      </w:r>
      <w:r w:rsidRPr="008E60B5">
        <w:rPr>
          <w:lang w:val="fr-FR"/>
        </w:rPr>
        <w:t>étaient inscrits lors d</w:t>
      </w:r>
      <w:r w:rsidR="008E60B5" w:rsidRPr="008E60B5">
        <w:rPr>
          <w:lang w:val="fr-FR"/>
        </w:rPr>
        <w:t>’</w:t>
      </w:r>
      <w:r w:rsidRPr="008E60B5">
        <w:rPr>
          <w:lang w:val="fr-FR"/>
        </w:rPr>
        <w:t>années précédentes au titre d</w:t>
      </w:r>
      <w:r w:rsidR="008E60B5" w:rsidRPr="008E60B5">
        <w:rPr>
          <w:lang w:val="fr-FR"/>
        </w:rPr>
        <w:t>’</w:t>
      </w:r>
      <w:r w:rsidRPr="008E60B5">
        <w:rPr>
          <w:lang w:val="fr-FR"/>
        </w:rPr>
        <w:t>une mesure d</w:t>
      </w:r>
      <w:r w:rsidR="008E60B5" w:rsidRPr="008E60B5">
        <w:rPr>
          <w:lang w:val="fr-FR"/>
        </w:rPr>
        <w:t>’</w:t>
      </w:r>
      <w:r w:rsidRPr="008E60B5">
        <w:rPr>
          <w:lang w:val="fr-FR"/>
        </w:rPr>
        <w:t>action positive et recevaient une bourse de l</w:t>
      </w:r>
      <w:r w:rsidR="008E60B5" w:rsidRPr="008E60B5">
        <w:rPr>
          <w:lang w:val="fr-FR"/>
        </w:rPr>
        <w:t>’</w:t>
      </w:r>
      <w:r w:rsidRPr="008E60B5">
        <w:rPr>
          <w:lang w:val="fr-FR"/>
        </w:rPr>
        <w:t>État au moment de l</w:t>
      </w:r>
      <w:r w:rsidR="008E60B5" w:rsidRPr="008E60B5">
        <w:rPr>
          <w:lang w:val="fr-FR"/>
        </w:rPr>
        <w:t>’</w:t>
      </w:r>
      <w:r w:rsidRPr="008E60B5">
        <w:rPr>
          <w:lang w:val="fr-FR"/>
        </w:rPr>
        <w:t>adoption des instructions. Ces instructions comprennent deux mesures d</w:t>
      </w:r>
      <w:r w:rsidR="008E60B5" w:rsidRPr="008E60B5">
        <w:rPr>
          <w:lang w:val="fr-FR"/>
        </w:rPr>
        <w:t>’</w:t>
      </w:r>
      <w:r w:rsidRPr="008E60B5">
        <w:rPr>
          <w:lang w:val="fr-FR"/>
        </w:rPr>
        <w:t>action positive relatives à l</w:t>
      </w:r>
      <w:r w:rsidR="008E60B5" w:rsidRPr="008E60B5">
        <w:rPr>
          <w:lang w:val="fr-FR"/>
        </w:rPr>
        <w:t>’</w:t>
      </w:r>
      <w:r w:rsidRPr="008E60B5">
        <w:rPr>
          <w:lang w:val="fr-FR"/>
        </w:rPr>
        <w:t>inscription</w:t>
      </w:r>
      <w:r w:rsidR="00002E6B" w:rsidRPr="008E60B5">
        <w:rPr>
          <w:lang w:val="fr-FR"/>
        </w:rPr>
        <w:t> :</w:t>
      </w:r>
      <w:r w:rsidRPr="008E60B5">
        <w:rPr>
          <w:lang w:val="fr-FR"/>
        </w:rPr>
        <w:t xml:space="preserve"> un programme pour la scolarisation des élèves handicapés et un autre en faveur de la scolarisation des membres de la minorité nationale rom.</w:t>
      </w:r>
    </w:p>
    <w:p w14:paraId="46F29A3A" w14:textId="096B9D90" w:rsidR="00CA0011" w:rsidRPr="008E60B5" w:rsidRDefault="00CA0011" w:rsidP="00235B0E">
      <w:pPr>
        <w:pStyle w:val="SingleTxt"/>
        <w:spacing w:after="0" w:line="120" w:lineRule="exact"/>
        <w:rPr>
          <w:sz w:val="10"/>
          <w:lang w:val="fr-FR"/>
        </w:rPr>
      </w:pPr>
    </w:p>
    <w:p w14:paraId="64137112" w14:textId="3A726CC0" w:rsidR="00CA0011" w:rsidRPr="008E60B5" w:rsidRDefault="00235B0E" w:rsidP="00235B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r>
      <w:r w:rsidR="00CA0011" w:rsidRPr="008E60B5">
        <w:rPr>
          <w:lang w:val="fr-FR"/>
        </w:rPr>
        <w:t>Nombre d</w:t>
      </w:r>
      <w:r w:rsidR="008E60B5" w:rsidRPr="008E60B5">
        <w:rPr>
          <w:lang w:val="fr-FR"/>
        </w:rPr>
        <w:t>’</w:t>
      </w:r>
      <w:r w:rsidR="00CA0011" w:rsidRPr="008E60B5">
        <w:rPr>
          <w:lang w:val="fr-FR"/>
        </w:rPr>
        <w:t>hommes et de femmes roms inscrits dans des établissements d</w:t>
      </w:r>
      <w:r w:rsidR="008E60B5" w:rsidRPr="008E60B5">
        <w:rPr>
          <w:lang w:val="fr-FR"/>
        </w:rPr>
        <w:t>’</w:t>
      </w:r>
      <w:r w:rsidR="00CA0011" w:rsidRPr="008E60B5">
        <w:rPr>
          <w:lang w:val="fr-FR"/>
        </w:rPr>
        <w:t>enseignement supérieur (Ministère de l</w:t>
      </w:r>
      <w:r w:rsidR="008E60B5" w:rsidRPr="008E60B5">
        <w:rPr>
          <w:lang w:val="fr-FR"/>
        </w:rPr>
        <w:t>’</w:t>
      </w:r>
      <w:r w:rsidR="00CA0011" w:rsidRPr="008E60B5">
        <w:rPr>
          <w:lang w:val="fr-FR"/>
        </w:rPr>
        <w:t xml:space="preserve">éducation, de la science </w:t>
      </w:r>
      <w:r w:rsidRPr="008E60B5">
        <w:rPr>
          <w:lang w:val="fr-FR"/>
        </w:rPr>
        <w:br/>
      </w:r>
      <w:r w:rsidR="00CA0011" w:rsidRPr="008E60B5">
        <w:rPr>
          <w:lang w:val="fr-FR"/>
        </w:rPr>
        <w:t>et du développement technologique)</w:t>
      </w:r>
    </w:p>
    <w:p w14:paraId="31FAAE96" w14:textId="5CC58DAE" w:rsidR="00235B0E" w:rsidRPr="008E60B5" w:rsidRDefault="00235B0E" w:rsidP="00F90894">
      <w:pPr>
        <w:pStyle w:val="SingleTxt"/>
        <w:spacing w:after="0" w:line="120" w:lineRule="exact"/>
        <w:rPr>
          <w:sz w:val="10"/>
          <w:lang w:val="fr-FR"/>
        </w:rPr>
      </w:pPr>
    </w:p>
    <w:p w14:paraId="21D939FC" w14:textId="77777777" w:rsidR="00F90894" w:rsidRPr="008E60B5" w:rsidRDefault="00F90894" w:rsidP="00235B0E">
      <w:pPr>
        <w:pStyle w:val="SingleTxt"/>
        <w:spacing w:after="0" w:line="120" w:lineRule="exact"/>
        <w:rPr>
          <w:sz w:val="10"/>
          <w:lang w:val="fr-FR"/>
        </w:rPr>
      </w:pP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1"/>
        <w:gridCol w:w="911"/>
        <w:gridCol w:w="86"/>
        <w:gridCol w:w="825"/>
        <w:gridCol w:w="912"/>
        <w:gridCol w:w="81"/>
        <w:gridCol w:w="830"/>
        <w:gridCol w:w="911"/>
        <w:gridCol w:w="77"/>
        <w:gridCol w:w="834"/>
        <w:gridCol w:w="912"/>
      </w:tblGrid>
      <w:tr w:rsidR="00F841A6" w:rsidRPr="008E60B5" w14:paraId="7D49B9BD" w14:textId="77777777" w:rsidTr="00455496">
        <w:trPr>
          <w:cantSplit/>
          <w:tblHeader/>
        </w:trPr>
        <w:tc>
          <w:tcPr>
            <w:tcW w:w="1822" w:type="dxa"/>
            <w:gridSpan w:val="2"/>
            <w:tcBorders>
              <w:top w:val="single" w:sz="4" w:space="0" w:color="auto"/>
              <w:bottom w:val="single" w:sz="4" w:space="0" w:color="auto"/>
            </w:tcBorders>
            <w:shd w:val="clear" w:color="auto" w:fill="auto"/>
            <w:vAlign w:val="bottom"/>
          </w:tcPr>
          <w:p w14:paraId="7E91210F" w14:textId="36122BB4" w:rsidR="00F841A6" w:rsidRPr="008E60B5" w:rsidRDefault="00F841A6" w:rsidP="00F841A6">
            <w:pPr>
              <w:pStyle w:val="SingleTxt"/>
              <w:tabs>
                <w:tab w:val="left" w:pos="288"/>
                <w:tab w:val="left" w:pos="576"/>
                <w:tab w:val="left" w:pos="864"/>
                <w:tab w:val="left" w:pos="1152"/>
              </w:tabs>
              <w:spacing w:before="81" w:after="81" w:line="160" w:lineRule="exact"/>
              <w:ind w:left="144" w:right="43"/>
              <w:jc w:val="center"/>
              <w:rPr>
                <w:i/>
                <w:sz w:val="14"/>
                <w:lang w:val="en-GB"/>
              </w:rPr>
            </w:pPr>
            <w:r w:rsidRPr="008E60B5">
              <w:rPr>
                <w:i/>
                <w:sz w:val="14"/>
                <w:lang w:val="fr-FR"/>
              </w:rPr>
              <w:t>2013/14</w:t>
            </w:r>
          </w:p>
        </w:tc>
        <w:tc>
          <w:tcPr>
            <w:tcW w:w="86" w:type="dxa"/>
            <w:tcBorders>
              <w:top w:val="single" w:sz="4" w:space="0" w:color="auto"/>
            </w:tcBorders>
            <w:shd w:val="clear" w:color="auto" w:fill="auto"/>
            <w:vAlign w:val="bottom"/>
          </w:tcPr>
          <w:p w14:paraId="265AC814" w14:textId="77777777" w:rsidR="00F841A6" w:rsidRPr="008E60B5" w:rsidRDefault="00F841A6" w:rsidP="00F841A6">
            <w:pPr>
              <w:pStyle w:val="SingleTxt"/>
              <w:tabs>
                <w:tab w:val="left" w:pos="288"/>
                <w:tab w:val="left" w:pos="576"/>
                <w:tab w:val="left" w:pos="864"/>
                <w:tab w:val="left" w:pos="1152"/>
              </w:tabs>
              <w:spacing w:before="81" w:after="81" w:line="160" w:lineRule="exact"/>
              <w:ind w:left="144" w:right="43"/>
              <w:jc w:val="right"/>
              <w:rPr>
                <w:i/>
                <w:sz w:val="14"/>
                <w:lang w:val="en-GB"/>
              </w:rPr>
            </w:pPr>
          </w:p>
        </w:tc>
        <w:tc>
          <w:tcPr>
            <w:tcW w:w="1737" w:type="dxa"/>
            <w:gridSpan w:val="2"/>
            <w:tcBorders>
              <w:top w:val="single" w:sz="4" w:space="0" w:color="auto"/>
              <w:bottom w:val="single" w:sz="4" w:space="0" w:color="auto"/>
            </w:tcBorders>
            <w:shd w:val="clear" w:color="auto" w:fill="auto"/>
            <w:vAlign w:val="bottom"/>
          </w:tcPr>
          <w:p w14:paraId="5406CAB2" w14:textId="722364AA" w:rsidR="00F841A6" w:rsidRPr="008E60B5" w:rsidRDefault="00F841A6" w:rsidP="00F841A6">
            <w:pPr>
              <w:pStyle w:val="SingleTxt"/>
              <w:tabs>
                <w:tab w:val="left" w:pos="288"/>
                <w:tab w:val="left" w:pos="576"/>
                <w:tab w:val="left" w:pos="864"/>
                <w:tab w:val="left" w:pos="1152"/>
              </w:tabs>
              <w:spacing w:before="81" w:after="81" w:line="160" w:lineRule="exact"/>
              <w:ind w:left="144" w:right="43"/>
              <w:jc w:val="center"/>
              <w:rPr>
                <w:i/>
                <w:sz w:val="14"/>
                <w:lang w:val="en-GB"/>
              </w:rPr>
            </w:pPr>
            <w:r w:rsidRPr="008E60B5">
              <w:rPr>
                <w:i/>
                <w:sz w:val="14"/>
                <w:lang w:val="fr-FR"/>
              </w:rPr>
              <w:t>2014/15</w:t>
            </w:r>
          </w:p>
        </w:tc>
        <w:tc>
          <w:tcPr>
            <w:tcW w:w="81" w:type="dxa"/>
            <w:tcBorders>
              <w:top w:val="single" w:sz="4" w:space="0" w:color="auto"/>
            </w:tcBorders>
            <w:shd w:val="clear" w:color="auto" w:fill="auto"/>
            <w:vAlign w:val="bottom"/>
          </w:tcPr>
          <w:p w14:paraId="6B1FFF70" w14:textId="77777777" w:rsidR="00F841A6" w:rsidRPr="008E60B5" w:rsidRDefault="00F841A6" w:rsidP="00F841A6">
            <w:pPr>
              <w:pStyle w:val="SingleTxt"/>
              <w:tabs>
                <w:tab w:val="left" w:pos="288"/>
                <w:tab w:val="left" w:pos="576"/>
                <w:tab w:val="left" w:pos="864"/>
                <w:tab w:val="left" w:pos="1152"/>
              </w:tabs>
              <w:spacing w:before="81" w:after="81" w:line="160" w:lineRule="exact"/>
              <w:ind w:left="144" w:right="43"/>
              <w:jc w:val="right"/>
              <w:rPr>
                <w:i/>
                <w:sz w:val="14"/>
                <w:lang w:val="en-GB"/>
              </w:rPr>
            </w:pPr>
          </w:p>
        </w:tc>
        <w:tc>
          <w:tcPr>
            <w:tcW w:w="1741" w:type="dxa"/>
            <w:gridSpan w:val="2"/>
            <w:tcBorders>
              <w:top w:val="single" w:sz="4" w:space="0" w:color="auto"/>
              <w:bottom w:val="single" w:sz="4" w:space="0" w:color="auto"/>
            </w:tcBorders>
            <w:shd w:val="clear" w:color="auto" w:fill="auto"/>
            <w:vAlign w:val="bottom"/>
          </w:tcPr>
          <w:p w14:paraId="08A590BD" w14:textId="52D9CA83" w:rsidR="00F841A6" w:rsidRPr="008E60B5" w:rsidRDefault="00F841A6" w:rsidP="00F841A6">
            <w:pPr>
              <w:pStyle w:val="SingleTxt"/>
              <w:tabs>
                <w:tab w:val="left" w:pos="288"/>
                <w:tab w:val="left" w:pos="576"/>
                <w:tab w:val="left" w:pos="864"/>
                <w:tab w:val="left" w:pos="1152"/>
              </w:tabs>
              <w:spacing w:before="81" w:after="81" w:line="160" w:lineRule="exact"/>
              <w:ind w:left="144" w:right="43"/>
              <w:jc w:val="center"/>
              <w:rPr>
                <w:i/>
                <w:sz w:val="14"/>
                <w:lang w:val="en-GB"/>
              </w:rPr>
            </w:pPr>
            <w:r w:rsidRPr="008E60B5">
              <w:rPr>
                <w:i/>
                <w:sz w:val="14"/>
                <w:lang w:val="fr-FR"/>
              </w:rPr>
              <w:t>2015/16</w:t>
            </w:r>
          </w:p>
        </w:tc>
        <w:tc>
          <w:tcPr>
            <w:tcW w:w="77" w:type="dxa"/>
            <w:tcBorders>
              <w:top w:val="single" w:sz="4" w:space="0" w:color="auto"/>
            </w:tcBorders>
            <w:shd w:val="clear" w:color="auto" w:fill="auto"/>
            <w:vAlign w:val="bottom"/>
          </w:tcPr>
          <w:p w14:paraId="230BFFEB" w14:textId="77777777" w:rsidR="00F841A6" w:rsidRPr="008E60B5" w:rsidRDefault="00F841A6" w:rsidP="00F841A6">
            <w:pPr>
              <w:pStyle w:val="SingleTxt"/>
              <w:tabs>
                <w:tab w:val="left" w:pos="288"/>
                <w:tab w:val="left" w:pos="576"/>
                <w:tab w:val="left" w:pos="864"/>
                <w:tab w:val="left" w:pos="1152"/>
              </w:tabs>
              <w:spacing w:before="81" w:after="81" w:line="160" w:lineRule="exact"/>
              <w:ind w:left="144" w:right="43"/>
              <w:jc w:val="right"/>
              <w:rPr>
                <w:i/>
                <w:sz w:val="14"/>
                <w:lang w:val="en-GB"/>
              </w:rPr>
            </w:pPr>
          </w:p>
        </w:tc>
        <w:tc>
          <w:tcPr>
            <w:tcW w:w="1746" w:type="dxa"/>
            <w:gridSpan w:val="2"/>
            <w:tcBorders>
              <w:top w:val="single" w:sz="4" w:space="0" w:color="auto"/>
              <w:bottom w:val="single" w:sz="4" w:space="0" w:color="auto"/>
            </w:tcBorders>
            <w:shd w:val="clear" w:color="auto" w:fill="auto"/>
            <w:vAlign w:val="bottom"/>
          </w:tcPr>
          <w:p w14:paraId="041A3AAD" w14:textId="083AEE11" w:rsidR="00F841A6" w:rsidRPr="008E60B5" w:rsidRDefault="00F841A6" w:rsidP="00F841A6">
            <w:pPr>
              <w:pStyle w:val="SingleTxt"/>
              <w:tabs>
                <w:tab w:val="left" w:pos="288"/>
                <w:tab w:val="left" w:pos="576"/>
                <w:tab w:val="left" w:pos="864"/>
                <w:tab w:val="left" w:pos="1152"/>
              </w:tabs>
              <w:spacing w:before="81" w:after="81" w:line="160" w:lineRule="exact"/>
              <w:ind w:left="144" w:right="43"/>
              <w:jc w:val="center"/>
              <w:rPr>
                <w:i/>
                <w:sz w:val="14"/>
                <w:lang w:val="fr-FR"/>
              </w:rPr>
            </w:pPr>
            <w:r w:rsidRPr="008E60B5">
              <w:rPr>
                <w:i/>
                <w:sz w:val="14"/>
                <w:lang w:val="fr-FR"/>
              </w:rPr>
              <w:t>2016/17</w:t>
            </w:r>
          </w:p>
        </w:tc>
      </w:tr>
      <w:tr w:rsidR="00CA0011" w:rsidRPr="008E60B5" w14:paraId="74DA1F69" w14:textId="77777777" w:rsidTr="00F841A6">
        <w:trPr>
          <w:cantSplit/>
          <w:tblHeader/>
        </w:trPr>
        <w:tc>
          <w:tcPr>
            <w:tcW w:w="911" w:type="dxa"/>
            <w:tcBorders>
              <w:top w:val="single" w:sz="4" w:space="0" w:color="auto"/>
              <w:bottom w:val="single" w:sz="12" w:space="0" w:color="auto"/>
            </w:tcBorders>
            <w:shd w:val="clear" w:color="auto" w:fill="auto"/>
            <w:vAlign w:val="bottom"/>
          </w:tcPr>
          <w:p w14:paraId="3E02C687" w14:textId="77777777" w:rsidR="00CA0011" w:rsidRPr="008E60B5" w:rsidRDefault="00CA0011" w:rsidP="00F841A6">
            <w:pPr>
              <w:pStyle w:val="SingleTxt"/>
              <w:tabs>
                <w:tab w:val="left" w:pos="288"/>
                <w:tab w:val="left" w:pos="576"/>
                <w:tab w:val="left" w:pos="864"/>
                <w:tab w:val="left" w:pos="1152"/>
              </w:tabs>
              <w:spacing w:before="81" w:after="81" w:line="160" w:lineRule="exact"/>
              <w:ind w:left="-109" w:right="40"/>
              <w:jc w:val="right"/>
              <w:rPr>
                <w:i/>
                <w:sz w:val="14"/>
                <w:lang w:val="en-GB"/>
              </w:rPr>
            </w:pPr>
            <w:r w:rsidRPr="008E60B5">
              <w:rPr>
                <w:i/>
                <w:sz w:val="14"/>
                <w:lang w:val="fr-FR"/>
              </w:rPr>
              <w:t>Femmes</w:t>
            </w:r>
          </w:p>
        </w:tc>
        <w:tc>
          <w:tcPr>
            <w:tcW w:w="911" w:type="dxa"/>
            <w:tcBorders>
              <w:top w:val="single" w:sz="4" w:space="0" w:color="auto"/>
              <w:bottom w:val="single" w:sz="12" w:space="0" w:color="auto"/>
            </w:tcBorders>
            <w:shd w:val="clear" w:color="auto" w:fill="auto"/>
            <w:vAlign w:val="bottom"/>
          </w:tcPr>
          <w:p w14:paraId="0B86F9D2" w14:textId="77777777" w:rsidR="00CA0011" w:rsidRPr="008E60B5" w:rsidRDefault="00CA0011" w:rsidP="00F841A6">
            <w:pPr>
              <w:pStyle w:val="SingleTxt"/>
              <w:tabs>
                <w:tab w:val="left" w:pos="288"/>
                <w:tab w:val="left" w:pos="576"/>
                <w:tab w:val="left" w:pos="864"/>
                <w:tab w:val="left" w:pos="1152"/>
              </w:tabs>
              <w:spacing w:before="81" w:after="81" w:line="160" w:lineRule="exact"/>
              <w:ind w:left="-109" w:right="40"/>
              <w:jc w:val="right"/>
              <w:rPr>
                <w:i/>
                <w:sz w:val="14"/>
                <w:lang w:val="en-GB"/>
              </w:rPr>
            </w:pPr>
            <w:r w:rsidRPr="008E60B5">
              <w:rPr>
                <w:i/>
                <w:sz w:val="14"/>
                <w:lang w:val="fr-FR"/>
              </w:rPr>
              <w:t>Hommes</w:t>
            </w:r>
          </w:p>
        </w:tc>
        <w:tc>
          <w:tcPr>
            <w:tcW w:w="911" w:type="dxa"/>
            <w:gridSpan w:val="2"/>
            <w:tcBorders>
              <w:bottom w:val="single" w:sz="12" w:space="0" w:color="auto"/>
            </w:tcBorders>
            <w:shd w:val="clear" w:color="auto" w:fill="auto"/>
            <w:vAlign w:val="bottom"/>
          </w:tcPr>
          <w:p w14:paraId="542A996C" w14:textId="77777777" w:rsidR="00CA0011" w:rsidRPr="008E60B5" w:rsidRDefault="00CA0011" w:rsidP="00F841A6">
            <w:pPr>
              <w:pStyle w:val="SingleTxt"/>
              <w:tabs>
                <w:tab w:val="left" w:pos="288"/>
                <w:tab w:val="left" w:pos="576"/>
                <w:tab w:val="left" w:pos="864"/>
                <w:tab w:val="left" w:pos="1152"/>
              </w:tabs>
              <w:spacing w:before="81" w:after="81" w:line="160" w:lineRule="exact"/>
              <w:ind w:left="-109" w:right="40"/>
              <w:jc w:val="right"/>
              <w:rPr>
                <w:i/>
                <w:sz w:val="14"/>
                <w:lang w:val="en-GB"/>
              </w:rPr>
            </w:pPr>
            <w:r w:rsidRPr="008E60B5">
              <w:rPr>
                <w:i/>
                <w:sz w:val="14"/>
                <w:lang w:val="fr-FR"/>
              </w:rPr>
              <w:t>Femmes</w:t>
            </w:r>
          </w:p>
        </w:tc>
        <w:tc>
          <w:tcPr>
            <w:tcW w:w="912" w:type="dxa"/>
            <w:tcBorders>
              <w:bottom w:val="single" w:sz="12" w:space="0" w:color="auto"/>
            </w:tcBorders>
            <w:shd w:val="clear" w:color="auto" w:fill="auto"/>
            <w:vAlign w:val="bottom"/>
          </w:tcPr>
          <w:p w14:paraId="014C9D8E" w14:textId="77777777" w:rsidR="00CA0011" w:rsidRPr="008E60B5" w:rsidRDefault="00CA0011" w:rsidP="00F841A6">
            <w:pPr>
              <w:pStyle w:val="SingleTxt"/>
              <w:tabs>
                <w:tab w:val="left" w:pos="288"/>
                <w:tab w:val="left" w:pos="576"/>
                <w:tab w:val="left" w:pos="864"/>
                <w:tab w:val="left" w:pos="1152"/>
              </w:tabs>
              <w:spacing w:before="81" w:after="81" w:line="160" w:lineRule="exact"/>
              <w:ind w:left="-109" w:right="40"/>
              <w:jc w:val="right"/>
              <w:rPr>
                <w:i/>
                <w:sz w:val="14"/>
                <w:lang w:val="en-GB"/>
              </w:rPr>
            </w:pPr>
            <w:r w:rsidRPr="008E60B5">
              <w:rPr>
                <w:i/>
                <w:sz w:val="14"/>
                <w:lang w:val="fr-FR"/>
              </w:rPr>
              <w:t>Hommes</w:t>
            </w:r>
          </w:p>
        </w:tc>
        <w:tc>
          <w:tcPr>
            <w:tcW w:w="911" w:type="dxa"/>
            <w:gridSpan w:val="2"/>
            <w:tcBorders>
              <w:bottom w:val="single" w:sz="12" w:space="0" w:color="auto"/>
            </w:tcBorders>
            <w:shd w:val="clear" w:color="auto" w:fill="auto"/>
            <w:vAlign w:val="bottom"/>
          </w:tcPr>
          <w:p w14:paraId="7344F17A" w14:textId="77777777" w:rsidR="00CA0011" w:rsidRPr="008E60B5" w:rsidRDefault="00CA0011" w:rsidP="00F841A6">
            <w:pPr>
              <w:pStyle w:val="SingleTxt"/>
              <w:tabs>
                <w:tab w:val="left" w:pos="288"/>
                <w:tab w:val="left" w:pos="576"/>
                <w:tab w:val="left" w:pos="864"/>
                <w:tab w:val="left" w:pos="1152"/>
              </w:tabs>
              <w:spacing w:before="81" w:after="81" w:line="160" w:lineRule="exact"/>
              <w:ind w:left="-109" w:right="40"/>
              <w:jc w:val="right"/>
              <w:rPr>
                <w:i/>
                <w:sz w:val="14"/>
                <w:lang w:val="en-GB"/>
              </w:rPr>
            </w:pPr>
            <w:r w:rsidRPr="008E60B5">
              <w:rPr>
                <w:i/>
                <w:sz w:val="14"/>
                <w:lang w:val="fr-FR"/>
              </w:rPr>
              <w:t>Femmes</w:t>
            </w:r>
          </w:p>
        </w:tc>
        <w:tc>
          <w:tcPr>
            <w:tcW w:w="911" w:type="dxa"/>
            <w:tcBorders>
              <w:bottom w:val="single" w:sz="12" w:space="0" w:color="auto"/>
            </w:tcBorders>
            <w:shd w:val="clear" w:color="auto" w:fill="auto"/>
            <w:vAlign w:val="bottom"/>
          </w:tcPr>
          <w:p w14:paraId="36F0CB8F" w14:textId="77777777" w:rsidR="00CA0011" w:rsidRPr="008E60B5" w:rsidRDefault="00CA0011" w:rsidP="00F841A6">
            <w:pPr>
              <w:pStyle w:val="SingleTxt"/>
              <w:tabs>
                <w:tab w:val="left" w:pos="288"/>
                <w:tab w:val="left" w:pos="576"/>
                <w:tab w:val="left" w:pos="864"/>
                <w:tab w:val="left" w:pos="1152"/>
              </w:tabs>
              <w:spacing w:before="81" w:after="81" w:line="160" w:lineRule="exact"/>
              <w:ind w:left="-109" w:right="40"/>
              <w:jc w:val="right"/>
              <w:rPr>
                <w:i/>
                <w:sz w:val="14"/>
                <w:lang w:val="en-GB"/>
              </w:rPr>
            </w:pPr>
            <w:r w:rsidRPr="008E60B5">
              <w:rPr>
                <w:i/>
                <w:sz w:val="14"/>
                <w:lang w:val="fr-FR"/>
              </w:rPr>
              <w:t>Hommes</w:t>
            </w:r>
          </w:p>
        </w:tc>
        <w:tc>
          <w:tcPr>
            <w:tcW w:w="911" w:type="dxa"/>
            <w:gridSpan w:val="2"/>
            <w:tcBorders>
              <w:bottom w:val="single" w:sz="12" w:space="0" w:color="auto"/>
            </w:tcBorders>
            <w:shd w:val="clear" w:color="auto" w:fill="auto"/>
            <w:vAlign w:val="bottom"/>
          </w:tcPr>
          <w:p w14:paraId="4EBE0417" w14:textId="77777777" w:rsidR="00CA0011" w:rsidRPr="008E60B5" w:rsidRDefault="00CA0011" w:rsidP="00F841A6">
            <w:pPr>
              <w:pStyle w:val="SingleTxt"/>
              <w:tabs>
                <w:tab w:val="left" w:pos="288"/>
                <w:tab w:val="left" w:pos="576"/>
                <w:tab w:val="left" w:pos="864"/>
                <w:tab w:val="left" w:pos="1152"/>
              </w:tabs>
              <w:spacing w:before="81" w:after="81" w:line="160" w:lineRule="exact"/>
              <w:ind w:left="-109" w:right="40"/>
              <w:jc w:val="right"/>
              <w:rPr>
                <w:i/>
                <w:sz w:val="14"/>
                <w:lang w:val="en-GB"/>
              </w:rPr>
            </w:pPr>
            <w:r w:rsidRPr="008E60B5">
              <w:rPr>
                <w:i/>
                <w:sz w:val="14"/>
                <w:lang w:val="fr-FR"/>
              </w:rPr>
              <w:t>Femmes</w:t>
            </w:r>
          </w:p>
        </w:tc>
        <w:tc>
          <w:tcPr>
            <w:tcW w:w="912" w:type="dxa"/>
            <w:tcBorders>
              <w:bottom w:val="single" w:sz="12" w:space="0" w:color="auto"/>
            </w:tcBorders>
            <w:shd w:val="clear" w:color="auto" w:fill="auto"/>
            <w:vAlign w:val="bottom"/>
          </w:tcPr>
          <w:p w14:paraId="6AAFC9B5" w14:textId="77777777" w:rsidR="00CA0011" w:rsidRPr="008E60B5" w:rsidRDefault="00CA0011" w:rsidP="00F841A6">
            <w:pPr>
              <w:pStyle w:val="SingleTxt"/>
              <w:tabs>
                <w:tab w:val="left" w:pos="288"/>
                <w:tab w:val="left" w:pos="576"/>
                <w:tab w:val="left" w:pos="864"/>
                <w:tab w:val="left" w:pos="1152"/>
              </w:tabs>
              <w:spacing w:before="81" w:after="81" w:line="160" w:lineRule="exact"/>
              <w:ind w:left="-109" w:right="40"/>
              <w:jc w:val="right"/>
              <w:rPr>
                <w:i/>
                <w:sz w:val="14"/>
                <w:lang w:val="fr-FR"/>
              </w:rPr>
            </w:pPr>
            <w:r w:rsidRPr="008E60B5">
              <w:rPr>
                <w:i/>
                <w:sz w:val="14"/>
                <w:lang w:val="fr-FR"/>
              </w:rPr>
              <w:t>Hommes</w:t>
            </w:r>
          </w:p>
        </w:tc>
      </w:tr>
      <w:tr w:rsidR="00F841A6" w:rsidRPr="008E60B5" w14:paraId="113BBEF3" w14:textId="77777777" w:rsidTr="00F841A6">
        <w:trPr>
          <w:cantSplit/>
          <w:trHeight w:hRule="exact" w:val="115"/>
          <w:tblHeader/>
        </w:trPr>
        <w:tc>
          <w:tcPr>
            <w:tcW w:w="911" w:type="dxa"/>
            <w:tcBorders>
              <w:top w:val="single" w:sz="12" w:space="0" w:color="auto"/>
            </w:tcBorders>
            <w:shd w:val="clear" w:color="auto" w:fill="auto"/>
            <w:vAlign w:val="bottom"/>
          </w:tcPr>
          <w:p w14:paraId="36FACAAF" w14:textId="77777777" w:rsidR="00F841A6" w:rsidRPr="008E60B5" w:rsidRDefault="00F841A6" w:rsidP="00F841A6">
            <w:pPr>
              <w:pStyle w:val="SingleTxt"/>
              <w:tabs>
                <w:tab w:val="left" w:pos="288"/>
                <w:tab w:val="left" w:pos="576"/>
                <w:tab w:val="left" w:pos="864"/>
                <w:tab w:val="left" w:pos="1152"/>
              </w:tabs>
              <w:spacing w:before="40" w:after="40" w:line="210" w:lineRule="exact"/>
              <w:ind w:left="-109" w:right="40"/>
              <w:jc w:val="right"/>
              <w:rPr>
                <w:sz w:val="17"/>
                <w:lang w:val="fr-FR"/>
              </w:rPr>
            </w:pPr>
          </w:p>
        </w:tc>
        <w:tc>
          <w:tcPr>
            <w:tcW w:w="911" w:type="dxa"/>
            <w:tcBorders>
              <w:top w:val="single" w:sz="12" w:space="0" w:color="auto"/>
            </w:tcBorders>
            <w:shd w:val="clear" w:color="auto" w:fill="auto"/>
            <w:vAlign w:val="bottom"/>
          </w:tcPr>
          <w:p w14:paraId="4E3E71AB" w14:textId="77777777" w:rsidR="00F841A6" w:rsidRPr="008E60B5" w:rsidRDefault="00F841A6" w:rsidP="00F841A6">
            <w:pPr>
              <w:pStyle w:val="SingleTxt"/>
              <w:tabs>
                <w:tab w:val="left" w:pos="288"/>
                <w:tab w:val="left" w:pos="576"/>
                <w:tab w:val="left" w:pos="864"/>
                <w:tab w:val="left" w:pos="1152"/>
              </w:tabs>
              <w:spacing w:before="40" w:after="40" w:line="210" w:lineRule="exact"/>
              <w:ind w:left="-109" w:right="40"/>
              <w:jc w:val="right"/>
              <w:rPr>
                <w:sz w:val="17"/>
                <w:lang w:val="fr-FR"/>
              </w:rPr>
            </w:pPr>
          </w:p>
        </w:tc>
        <w:tc>
          <w:tcPr>
            <w:tcW w:w="911" w:type="dxa"/>
            <w:gridSpan w:val="2"/>
            <w:tcBorders>
              <w:top w:val="single" w:sz="12" w:space="0" w:color="auto"/>
            </w:tcBorders>
            <w:shd w:val="clear" w:color="auto" w:fill="auto"/>
            <w:vAlign w:val="bottom"/>
          </w:tcPr>
          <w:p w14:paraId="4C9B7BA5" w14:textId="77777777" w:rsidR="00F841A6" w:rsidRPr="008E60B5" w:rsidRDefault="00F841A6" w:rsidP="00F841A6">
            <w:pPr>
              <w:pStyle w:val="SingleTxt"/>
              <w:tabs>
                <w:tab w:val="left" w:pos="288"/>
                <w:tab w:val="left" w:pos="576"/>
                <w:tab w:val="left" w:pos="864"/>
                <w:tab w:val="left" w:pos="1152"/>
              </w:tabs>
              <w:spacing w:before="40" w:after="40" w:line="210" w:lineRule="exact"/>
              <w:ind w:left="0" w:right="40"/>
              <w:jc w:val="right"/>
              <w:rPr>
                <w:sz w:val="17"/>
                <w:lang w:val="en-GB"/>
              </w:rPr>
            </w:pPr>
          </w:p>
        </w:tc>
        <w:tc>
          <w:tcPr>
            <w:tcW w:w="912" w:type="dxa"/>
            <w:tcBorders>
              <w:top w:val="single" w:sz="12" w:space="0" w:color="auto"/>
            </w:tcBorders>
            <w:shd w:val="clear" w:color="auto" w:fill="auto"/>
            <w:vAlign w:val="bottom"/>
          </w:tcPr>
          <w:p w14:paraId="03E35092" w14:textId="77777777" w:rsidR="00F841A6" w:rsidRPr="008E60B5" w:rsidRDefault="00F841A6" w:rsidP="00F841A6">
            <w:pPr>
              <w:pStyle w:val="SingleTxt"/>
              <w:tabs>
                <w:tab w:val="left" w:pos="288"/>
                <w:tab w:val="left" w:pos="576"/>
                <w:tab w:val="left" w:pos="864"/>
                <w:tab w:val="left" w:pos="1152"/>
              </w:tabs>
              <w:spacing w:before="40" w:after="40" w:line="210" w:lineRule="exact"/>
              <w:ind w:left="0" w:right="40"/>
              <w:jc w:val="right"/>
              <w:rPr>
                <w:sz w:val="17"/>
                <w:lang w:val="en-GB"/>
              </w:rPr>
            </w:pPr>
          </w:p>
        </w:tc>
        <w:tc>
          <w:tcPr>
            <w:tcW w:w="911" w:type="dxa"/>
            <w:gridSpan w:val="2"/>
            <w:tcBorders>
              <w:top w:val="single" w:sz="12" w:space="0" w:color="auto"/>
            </w:tcBorders>
            <w:shd w:val="clear" w:color="auto" w:fill="auto"/>
            <w:vAlign w:val="bottom"/>
          </w:tcPr>
          <w:p w14:paraId="4296AC88" w14:textId="77777777" w:rsidR="00F841A6" w:rsidRPr="008E60B5" w:rsidRDefault="00F841A6" w:rsidP="00F841A6">
            <w:pPr>
              <w:pStyle w:val="SingleTxt"/>
              <w:tabs>
                <w:tab w:val="left" w:pos="288"/>
                <w:tab w:val="left" w:pos="576"/>
                <w:tab w:val="left" w:pos="864"/>
                <w:tab w:val="left" w:pos="1152"/>
              </w:tabs>
              <w:spacing w:before="40" w:after="40" w:line="210" w:lineRule="exact"/>
              <w:ind w:left="-109" w:right="40"/>
              <w:jc w:val="right"/>
              <w:rPr>
                <w:sz w:val="17"/>
                <w:lang w:val="fr-FR"/>
              </w:rPr>
            </w:pPr>
          </w:p>
        </w:tc>
        <w:tc>
          <w:tcPr>
            <w:tcW w:w="911" w:type="dxa"/>
            <w:tcBorders>
              <w:top w:val="single" w:sz="12" w:space="0" w:color="auto"/>
            </w:tcBorders>
            <w:shd w:val="clear" w:color="auto" w:fill="auto"/>
            <w:vAlign w:val="bottom"/>
          </w:tcPr>
          <w:p w14:paraId="2965BFCA" w14:textId="77777777" w:rsidR="00F841A6" w:rsidRPr="008E60B5" w:rsidRDefault="00F841A6" w:rsidP="00F841A6">
            <w:pPr>
              <w:pStyle w:val="SingleTxt"/>
              <w:tabs>
                <w:tab w:val="left" w:pos="288"/>
                <w:tab w:val="left" w:pos="576"/>
                <w:tab w:val="left" w:pos="864"/>
                <w:tab w:val="left" w:pos="1152"/>
              </w:tabs>
              <w:spacing w:before="40" w:after="40" w:line="210" w:lineRule="exact"/>
              <w:ind w:left="-109" w:right="40"/>
              <w:jc w:val="right"/>
              <w:rPr>
                <w:sz w:val="17"/>
                <w:lang w:val="fr-FR"/>
              </w:rPr>
            </w:pPr>
          </w:p>
        </w:tc>
        <w:tc>
          <w:tcPr>
            <w:tcW w:w="911" w:type="dxa"/>
            <w:gridSpan w:val="2"/>
            <w:tcBorders>
              <w:top w:val="single" w:sz="12" w:space="0" w:color="auto"/>
            </w:tcBorders>
            <w:shd w:val="clear" w:color="auto" w:fill="auto"/>
            <w:vAlign w:val="bottom"/>
          </w:tcPr>
          <w:p w14:paraId="3F7B6ED1" w14:textId="77777777" w:rsidR="00F841A6" w:rsidRPr="008E60B5" w:rsidRDefault="00F841A6" w:rsidP="00F841A6">
            <w:pPr>
              <w:pStyle w:val="SingleTxt"/>
              <w:tabs>
                <w:tab w:val="left" w:pos="288"/>
                <w:tab w:val="left" w:pos="576"/>
                <w:tab w:val="left" w:pos="864"/>
                <w:tab w:val="left" w:pos="1152"/>
              </w:tabs>
              <w:spacing w:before="40" w:after="40" w:line="210" w:lineRule="exact"/>
              <w:ind w:left="-109" w:right="40"/>
              <w:jc w:val="right"/>
              <w:rPr>
                <w:sz w:val="17"/>
                <w:lang w:val="fr-FR"/>
              </w:rPr>
            </w:pPr>
          </w:p>
        </w:tc>
        <w:tc>
          <w:tcPr>
            <w:tcW w:w="912" w:type="dxa"/>
            <w:tcBorders>
              <w:top w:val="single" w:sz="12" w:space="0" w:color="auto"/>
            </w:tcBorders>
            <w:shd w:val="clear" w:color="auto" w:fill="auto"/>
            <w:vAlign w:val="bottom"/>
          </w:tcPr>
          <w:p w14:paraId="7D5717DF" w14:textId="77777777" w:rsidR="00F841A6" w:rsidRPr="008E60B5" w:rsidRDefault="00F841A6" w:rsidP="00F841A6">
            <w:pPr>
              <w:pStyle w:val="SingleTxt"/>
              <w:tabs>
                <w:tab w:val="left" w:pos="288"/>
                <w:tab w:val="left" w:pos="576"/>
                <w:tab w:val="left" w:pos="864"/>
                <w:tab w:val="left" w:pos="1152"/>
              </w:tabs>
              <w:spacing w:before="40" w:after="40" w:line="210" w:lineRule="exact"/>
              <w:ind w:left="-109" w:right="40"/>
              <w:jc w:val="right"/>
              <w:rPr>
                <w:sz w:val="17"/>
                <w:lang w:val="fr-FR"/>
              </w:rPr>
            </w:pPr>
          </w:p>
        </w:tc>
      </w:tr>
      <w:tr w:rsidR="00CA0011" w:rsidRPr="008E60B5" w14:paraId="3EB2CD7B" w14:textId="77777777" w:rsidTr="00F841A6">
        <w:trPr>
          <w:cantSplit/>
        </w:trPr>
        <w:tc>
          <w:tcPr>
            <w:tcW w:w="911" w:type="dxa"/>
            <w:tcBorders>
              <w:bottom w:val="single" w:sz="4" w:space="0" w:color="auto"/>
            </w:tcBorders>
            <w:shd w:val="clear" w:color="auto" w:fill="auto"/>
            <w:vAlign w:val="bottom"/>
          </w:tcPr>
          <w:p w14:paraId="6EF3E63E" w14:textId="77777777" w:rsidR="00CA0011" w:rsidRPr="008E60B5" w:rsidRDefault="00CA0011" w:rsidP="00F841A6">
            <w:pPr>
              <w:pStyle w:val="SingleTxt"/>
              <w:tabs>
                <w:tab w:val="left" w:pos="288"/>
                <w:tab w:val="left" w:pos="576"/>
                <w:tab w:val="left" w:pos="864"/>
                <w:tab w:val="left" w:pos="1152"/>
              </w:tabs>
              <w:spacing w:before="40" w:after="81" w:line="210" w:lineRule="exact"/>
              <w:ind w:left="-109" w:right="43"/>
              <w:jc w:val="right"/>
              <w:rPr>
                <w:sz w:val="17"/>
                <w:lang w:val="en-GB"/>
              </w:rPr>
            </w:pPr>
            <w:r w:rsidRPr="008E60B5">
              <w:rPr>
                <w:sz w:val="17"/>
                <w:lang w:val="fr-FR"/>
              </w:rPr>
              <w:t>46</w:t>
            </w:r>
          </w:p>
        </w:tc>
        <w:tc>
          <w:tcPr>
            <w:tcW w:w="911" w:type="dxa"/>
            <w:tcBorders>
              <w:bottom w:val="single" w:sz="4" w:space="0" w:color="auto"/>
            </w:tcBorders>
            <w:shd w:val="clear" w:color="auto" w:fill="auto"/>
            <w:vAlign w:val="bottom"/>
          </w:tcPr>
          <w:p w14:paraId="1DD4D655" w14:textId="77777777" w:rsidR="00CA0011" w:rsidRPr="008E60B5" w:rsidRDefault="00CA0011" w:rsidP="00F841A6">
            <w:pPr>
              <w:pStyle w:val="SingleTxt"/>
              <w:tabs>
                <w:tab w:val="left" w:pos="288"/>
                <w:tab w:val="left" w:pos="576"/>
                <w:tab w:val="left" w:pos="864"/>
                <w:tab w:val="left" w:pos="1152"/>
              </w:tabs>
              <w:spacing w:before="40" w:after="81" w:line="210" w:lineRule="exact"/>
              <w:ind w:left="-109" w:right="43"/>
              <w:jc w:val="right"/>
              <w:rPr>
                <w:sz w:val="17"/>
                <w:lang w:val="en-GB"/>
              </w:rPr>
            </w:pPr>
            <w:r w:rsidRPr="008E60B5">
              <w:rPr>
                <w:sz w:val="17"/>
                <w:lang w:val="fr-FR"/>
              </w:rPr>
              <w:t>36</w:t>
            </w:r>
          </w:p>
        </w:tc>
        <w:tc>
          <w:tcPr>
            <w:tcW w:w="911" w:type="dxa"/>
            <w:gridSpan w:val="2"/>
            <w:tcBorders>
              <w:bottom w:val="single" w:sz="4" w:space="0" w:color="auto"/>
            </w:tcBorders>
            <w:shd w:val="clear" w:color="auto" w:fill="auto"/>
            <w:vAlign w:val="bottom"/>
          </w:tcPr>
          <w:p w14:paraId="092F2D76" w14:textId="74480CFF" w:rsidR="00CA0011" w:rsidRPr="008E60B5" w:rsidRDefault="00CA0011" w:rsidP="00F841A6">
            <w:pPr>
              <w:pStyle w:val="SingleTxt"/>
              <w:tabs>
                <w:tab w:val="left" w:pos="288"/>
                <w:tab w:val="left" w:pos="576"/>
                <w:tab w:val="left" w:pos="864"/>
                <w:tab w:val="left" w:pos="1152"/>
              </w:tabs>
              <w:spacing w:before="40" w:after="81" w:line="210" w:lineRule="exact"/>
              <w:ind w:left="0" w:right="43"/>
              <w:jc w:val="right"/>
              <w:rPr>
                <w:sz w:val="17"/>
                <w:lang w:val="en-GB"/>
              </w:rPr>
            </w:pPr>
          </w:p>
        </w:tc>
        <w:tc>
          <w:tcPr>
            <w:tcW w:w="912" w:type="dxa"/>
            <w:tcBorders>
              <w:bottom w:val="single" w:sz="4" w:space="0" w:color="auto"/>
            </w:tcBorders>
            <w:shd w:val="clear" w:color="auto" w:fill="auto"/>
            <w:vAlign w:val="bottom"/>
          </w:tcPr>
          <w:p w14:paraId="71EFAC48" w14:textId="25922FFF" w:rsidR="00CA0011" w:rsidRPr="008E60B5" w:rsidRDefault="00CA0011" w:rsidP="00F841A6">
            <w:pPr>
              <w:pStyle w:val="SingleTxt"/>
              <w:tabs>
                <w:tab w:val="left" w:pos="288"/>
                <w:tab w:val="left" w:pos="576"/>
                <w:tab w:val="left" w:pos="864"/>
                <w:tab w:val="left" w:pos="1152"/>
              </w:tabs>
              <w:spacing w:before="40" w:after="81" w:line="210" w:lineRule="exact"/>
              <w:ind w:left="0" w:right="43"/>
              <w:jc w:val="right"/>
              <w:rPr>
                <w:sz w:val="17"/>
                <w:lang w:val="en-GB"/>
              </w:rPr>
            </w:pPr>
          </w:p>
        </w:tc>
        <w:tc>
          <w:tcPr>
            <w:tcW w:w="911" w:type="dxa"/>
            <w:gridSpan w:val="2"/>
            <w:tcBorders>
              <w:bottom w:val="single" w:sz="4" w:space="0" w:color="auto"/>
            </w:tcBorders>
            <w:shd w:val="clear" w:color="auto" w:fill="auto"/>
            <w:vAlign w:val="bottom"/>
          </w:tcPr>
          <w:p w14:paraId="12B12AA3" w14:textId="77777777" w:rsidR="00CA0011" w:rsidRPr="008E60B5" w:rsidRDefault="00CA0011" w:rsidP="00F841A6">
            <w:pPr>
              <w:pStyle w:val="SingleTxt"/>
              <w:tabs>
                <w:tab w:val="left" w:pos="288"/>
                <w:tab w:val="left" w:pos="576"/>
                <w:tab w:val="left" w:pos="864"/>
                <w:tab w:val="left" w:pos="1152"/>
              </w:tabs>
              <w:spacing w:before="40" w:after="81" w:line="210" w:lineRule="exact"/>
              <w:ind w:left="-109" w:right="43"/>
              <w:jc w:val="right"/>
              <w:rPr>
                <w:sz w:val="17"/>
                <w:lang w:val="fr-FR"/>
              </w:rPr>
            </w:pPr>
            <w:r w:rsidRPr="008E60B5">
              <w:rPr>
                <w:sz w:val="17"/>
                <w:lang w:val="fr-FR"/>
              </w:rPr>
              <w:t>53</w:t>
            </w:r>
          </w:p>
        </w:tc>
        <w:tc>
          <w:tcPr>
            <w:tcW w:w="911" w:type="dxa"/>
            <w:tcBorders>
              <w:bottom w:val="single" w:sz="4" w:space="0" w:color="auto"/>
            </w:tcBorders>
            <w:shd w:val="clear" w:color="auto" w:fill="auto"/>
            <w:vAlign w:val="bottom"/>
          </w:tcPr>
          <w:p w14:paraId="31BD7905" w14:textId="77777777" w:rsidR="00CA0011" w:rsidRPr="008E60B5" w:rsidRDefault="00CA0011" w:rsidP="00F841A6">
            <w:pPr>
              <w:pStyle w:val="SingleTxt"/>
              <w:tabs>
                <w:tab w:val="left" w:pos="288"/>
                <w:tab w:val="left" w:pos="576"/>
                <w:tab w:val="left" w:pos="864"/>
                <w:tab w:val="left" w:pos="1152"/>
              </w:tabs>
              <w:spacing w:before="40" w:after="81" w:line="210" w:lineRule="exact"/>
              <w:ind w:left="-109" w:right="43"/>
              <w:jc w:val="right"/>
              <w:rPr>
                <w:sz w:val="17"/>
                <w:lang w:val="fr-FR"/>
              </w:rPr>
            </w:pPr>
            <w:r w:rsidRPr="008E60B5">
              <w:rPr>
                <w:sz w:val="17"/>
                <w:lang w:val="fr-FR"/>
              </w:rPr>
              <w:t>43</w:t>
            </w:r>
          </w:p>
        </w:tc>
        <w:tc>
          <w:tcPr>
            <w:tcW w:w="911" w:type="dxa"/>
            <w:gridSpan w:val="2"/>
            <w:tcBorders>
              <w:bottom w:val="single" w:sz="4" w:space="0" w:color="auto"/>
            </w:tcBorders>
            <w:shd w:val="clear" w:color="auto" w:fill="auto"/>
            <w:vAlign w:val="bottom"/>
          </w:tcPr>
          <w:p w14:paraId="4CD88B6F" w14:textId="77777777" w:rsidR="00CA0011" w:rsidRPr="008E60B5" w:rsidRDefault="00CA0011" w:rsidP="00F841A6">
            <w:pPr>
              <w:pStyle w:val="SingleTxt"/>
              <w:tabs>
                <w:tab w:val="left" w:pos="288"/>
                <w:tab w:val="left" w:pos="576"/>
                <w:tab w:val="left" w:pos="864"/>
                <w:tab w:val="left" w:pos="1152"/>
              </w:tabs>
              <w:spacing w:before="40" w:after="81" w:line="210" w:lineRule="exact"/>
              <w:ind w:left="-109" w:right="43"/>
              <w:jc w:val="right"/>
              <w:rPr>
                <w:sz w:val="17"/>
                <w:lang w:val="fr-FR"/>
              </w:rPr>
            </w:pPr>
            <w:r w:rsidRPr="008E60B5">
              <w:rPr>
                <w:sz w:val="17"/>
                <w:lang w:val="fr-FR"/>
              </w:rPr>
              <w:t>91</w:t>
            </w:r>
          </w:p>
        </w:tc>
        <w:tc>
          <w:tcPr>
            <w:tcW w:w="912" w:type="dxa"/>
            <w:tcBorders>
              <w:bottom w:val="single" w:sz="4" w:space="0" w:color="auto"/>
            </w:tcBorders>
            <w:shd w:val="clear" w:color="auto" w:fill="auto"/>
            <w:vAlign w:val="bottom"/>
          </w:tcPr>
          <w:p w14:paraId="2A69FA44" w14:textId="77777777" w:rsidR="00CA0011" w:rsidRPr="008E60B5" w:rsidRDefault="00CA0011" w:rsidP="00F841A6">
            <w:pPr>
              <w:pStyle w:val="SingleTxt"/>
              <w:tabs>
                <w:tab w:val="left" w:pos="288"/>
                <w:tab w:val="left" w:pos="576"/>
                <w:tab w:val="left" w:pos="864"/>
                <w:tab w:val="left" w:pos="1152"/>
              </w:tabs>
              <w:spacing w:before="40" w:after="81" w:line="210" w:lineRule="exact"/>
              <w:ind w:left="-109" w:right="43"/>
              <w:jc w:val="right"/>
              <w:rPr>
                <w:sz w:val="17"/>
                <w:lang w:val="fr-FR"/>
              </w:rPr>
            </w:pPr>
            <w:r w:rsidRPr="008E60B5">
              <w:rPr>
                <w:sz w:val="17"/>
                <w:lang w:val="fr-FR"/>
              </w:rPr>
              <w:t>87</w:t>
            </w:r>
          </w:p>
        </w:tc>
      </w:tr>
      <w:tr w:rsidR="00CA0011" w:rsidRPr="008E60B5" w14:paraId="1C17ADA5" w14:textId="77777777" w:rsidTr="00F841A6">
        <w:trPr>
          <w:cantSplit/>
        </w:trPr>
        <w:tc>
          <w:tcPr>
            <w:tcW w:w="1822" w:type="dxa"/>
            <w:gridSpan w:val="2"/>
            <w:tcBorders>
              <w:top w:val="single" w:sz="4" w:space="0" w:color="auto"/>
              <w:bottom w:val="single" w:sz="12" w:space="0" w:color="auto"/>
            </w:tcBorders>
            <w:shd w:val="clear" w:color="auto" w:fill="auto"/>
            <w:vAlign w:val="bottom"/>
          </w:tcPr>
          <w:p w14:paraId="6C81CC29" w14:textId="77777777" w:rsidR="00CA0011" w:rsidRPr="008E60B5" w:rsidRDefault="00CA0011" w:rsidP="00F841A6">
            <w:pPr>
              <w:pStyle w:val="SingleTxt"/>
              <w:tabs>
                <w:tab w:val="left" w:pos="288"/>
                <w:tab w:val="left" w:pos="576"/>
                <w:tab w:val="left" w:pos="864"/>
                <w:tab w:val="left" w:pos="1152"/>
              </w:tabs>
              <w:spacing w:before="81" w:after="81" w:line="210" w:lineRule="exact"/>
              <w:ind w:left="-109" w:right="43"/>
              <w:jc w:val="center"/>
              <w:rPr>
                <w:b/>
                <w:sz w:val="17"/>
                <w:lang w:val="en-GB"/>
              </w:rPr>
            </w:pPr>
            <w:r w:rsidRPr="008E60B5">
              <w:rPr>
                <w:b/>
                <w:sz w:val="17"/>
                <w:lang w:val="fr-FR"/>
              </w:rPr>
              <w:t>82</w:t>
            </w:r>
          </w:p>
        </w:tc>
        <w:tc>
          <w:tcPr>
            <w:tcW w:w="1823" w:type="dxa"/>
            <w:gridSpan w:val="3"/>
            <w:tcBorders>
              <w:top w:val="single" w:sz="4" w:space="0" w:color="auto"/>
              <w:bottom w:val="single" w:sz="12" w:space="0" w:color="auto"/>
            </w:tcBorders>
            <w:shd w:val="clear" w:color="auto" w:fill="auto"/>
            <w:vAlign w:val="bottom"/>
          </w:tcPr>
          <w:p w14:paraId="4A8230FD" w14:textId="38263C98" w:rsidR="00CA0011" w:rsidRPr="008E60B5" w:rsidRDefault="00D40B2F" w:rsidP="00F841A6">
            <w:pPr>
              <w:pStyle w:val="SingleTxt"/>
              <w:tabs>
                <w:tab w:val="left" w:pos="288"/>
                <w:tab w:val="left" w:pos="576"/>
                <w:tab w:val="left" w:pos="864"/>
                <w:tab w:val="left" w:pos="1152"/>
              </w:tabs>
              <w:spacing w:before="81" w:after="81" w:line="210" w:lineRule="exact"/>
              <w:ind w:left="0" w:right="43"/>
              <w:jc w:val="center"/>
              <w:rPr>
                <w:b/>
                <w:sz w:val="17"/>
                <w:lang w:val="en-GB"/>
              </w:rPr>
            </w:pPr>
            <w:r w:rsidRPr="008E60B5">
              <w:rPr>
                <w:b/>
                <w:sz w:val="17"/>
                <w:lang w:val="fr-FR"/>
              </w:rPr>
              <w:t>–</w:t>
            </w:r>
          </w:p>
        </w:tc>
        <w:tc>
          <w:tcPr>
            <w:tcW w:w="1822" w:type="dxa"/>
            <w:gridSpan w:val="3"/>
            <w:tcBorders>
              <w:top w:val="single" w:sz="4" w:space="0" w:color="auto"/>
              <w:bottom w:val="single" w:sz="12" w:space="0" w:color="auto"/>
            </w:tcBorders>
            <w:shd w:val="clear" w:color="auto" w:fill="auto"/>
            <w:vAlign w:val="bottom"/>
          </w:tcPr>
          <w:p w14:paraId="7F9E298E" w14:textId="77777777" w:rsidR="00CA0011" w:rsidRPr="008E60B5" w:rsidRDefault="00CA0011" w:rsidP="00F841A6">
            <w:pPr>
              <w:pStyle w:val="SingleTxt"/>
              <w:tabs>
                <w:tab w:val="left" w:pos="288"/>
                <w:tab w:val="left" w:pos="576"/>
                <w:tab w:val="left" w:pos="864"/>
                <w:tab w:val="left" w:pos="1152"/>
              </w:tabs>
              <w:spacing w:before="81" w:after="81" w:line="210" w:lineRule="exact"/>
              <w:ind w:left="0" w:right="43"/>
              <w:jc w:val="center"/>
              <w:rPr>
                <w:b/>
                <w:sz w:val="17"/>
                <w:lang w:val="fr-FR"/>
              </w:rPr>
            </w:pPr>
            <w:r w:rsidRPr="008E60B5">
              <w:rPr>
                <w:b/>
                <w:sz w:val="17"/>
                <w:lang w:val="fr-FR"/>
              </w:rPr>
              <w:t>96</w:t>
            </w:r>
          </w:p>
        </w:tc>
        <w:tc>
          <w:tcPr>
            <w:tcW w:w="1823" w:type="dxa"/>
            <w:gridSpan w:val="3"/>
            <w:tcBorders>
              <w:top w:val="single" w:sz="4" w:space="0" w:color="auto"/>
              <w:bottom w:val="single" w:sz="12" w:space="0" w:color="auto"/>
            </w:tcBorders>
            <w:shd w:val="clear" w:color="auto" w:fill="auto"/>
            <w:vAlign w:val="bottom"/>
          </w:tcPr>
          <w:p w14:paraId="71AD3002" w14:textId="77777777" w:rsidR="00CA0011" w:rsidRPr="008E60B5" w:rsidRDefault="00CA0011" w:rsidP="00F841A6">
            <w:pPr>
              <w:pStyle w:val="SingleTxt"/>
              <w:tabs>
                <w:tab w:val="left" w:pos="288"/>
                <w:tab w:val="left" w:pos="576"/>
                <w:tab w:val="left" w:pos="864"/>
                <w:tab w:val="left" w:pos="1152"/>
              </w:tabs>
              <w:spacing w:before="81" w:after="81" w:line="210" w:lineRule="exact"/>
              <w:ind w:left="0" w:right="43"/>
              <w:jc w:val="center"/>
              <w:rPr>
                <w:b/>
                <w:sz w:val="17"/>
                <w:lang w:val="fr-FR"/>
              </w:rPr>
            </w:pPr>
            <w:r w:rsidRPr="008E60B5">
              <w:rPr>
                <w:b/>
                <w:sz w:val="17"/>
                <w:lang w:val="fr-FR"/>
              </w:rPr>
              <w:t>178</w:t>
            </w:r>
          </w:p>
        </w:tc>
      </w:tr>
    </w:tbl>
    <w:p w14:paraId="536D6297" w14:textId="6DBA1FA3" w:rsidR="00CA0011" w:rsidRPr="008E60B5" w:rsidRDefault="00CA0011" w:rsidP="00D40B2F">
      <w:pPr>
        <w:pStyle w:val="SingleTxt"/>
        <w:spacing w:after="0" w:line="120" w:lineRule="exact"/>
        <w:rPr>
          <w:sz w:val="10"/>
          <w:lang w:val="en-GB"/>
        </w:rPr>
      </w:pPr>
    </w:p>
    <w:p w14:paraId="185C9944" w14:textId="0C0F3DF3" w:rsidR="00D40B2F" w:rsidRPr="008E60B5" w:rsidRDefault="00D40B2F" w:rsidP="00D40B2F">
      <w:pPr>
        <w:pStyle w:val="SingleTxt"/>
        <w:spacing w:after="0" w:line="120" w:lineRule="exact"/>
        <w:rPr>
          <w:sz w:val="10"/>
          <w:lang w:val="en-GB"/>
        </w:rPr>
      </w:pPr>
    </w:p>
    <w:p w14:paraId="1BDE5CC7" w14:textId="1F59455D" w:rsidR="00CA0011" w:rsidRPr="008E60B5" w:rsidRDefault="00CA0011" w:rsidP="00A15EC1">
      <w:pPr>
        <w:pStyle w:val="SingleTxt"/>
        <w:numPr>
          <w:ilvl w:val="0"/>
          <w:numId w:val="21"/>
        </w:numPr>
        <w:spacing w:line="240" w:lineRule="exact"/>
        <w:rPr>
          <w:lang w:val="fr-FR"/>
        </w:rPr>
      </w:pPr>
      <w:r w:rsidRPr="008E60B5">
        <w:rPr>
          <w:lang w:val="fr-FR"/>
        </w:rPr>
        <w:lastRenderedPageBreak/>
        <w:t>Les logements réservés aux étudiants issus de groupes sociaux vulnérables (familles financièrement vulnérables, enfants sans protection parentale, familles monoparentales, minorité nationale rom, personnes handicapées, personnes souffrant de maladies chroniques, personnes dont les parents ont disparu ou ont été enlevés sur le territoire du Kosovo-Metohija ou d</w:t>
      </w:r>
      <w:r w:rsidR="008E60B5" w:rsidRPr="008E60B5">
        <w:rPr>
          <w:lang w:val="fr-FR"/>
        </w:rPr>
        <w:t>’</w:t>
      </w:r>
      <w:r w:rsidRPr="008E60B5">
        <w:rPr>
          <w:lang w:val="fr-FR"/>
        </w:rPr>
        <w:t>une république de l</w:t>
      </w:r>
      <w:r w:rsidR="008E60B5" w:rsidRPr="008E60B5">
        <w:rPr>
          <w:lang w:val="fr-FR"/>
        </w:rPr>
        <w:t>’</w:t>
      </w:r>
      <w:r w:rsidRPr="008E60B5">
        <w:rPr>
          <w:lang w:val="fr-FR"/>
        </w:rPr>
        <w:t>ex-Yougoslavie, réfugiés et déplacés, rapatriés dans le cadre d</w:t>
      </w:r>
      <w:r w:rsidR="008E60B5" w:rsidRPr="008E60B5">
        <w:rPr>
          <w:lang w:val="fr-FR"/>
        </w:rPr>
        <w:t>’</w:t>
      </w:r>
      <w:r w:rsidRPr="008E60B5">
        <w:rPr>
          <w:lang w:val="fr-FR"/>
        </w:rPr>
        <w:t>accords de réadmission, élèves et étudiants déportés, etc.) sont attribués selon des critères moins stricts, conformément à la loi sur le niveau de vie des élèves et des étudiants, dont l</w:t>
      </w:r>
      <w:r w:rsidR="008E60B5" w:rsidRPr="008E60B5">
        <w:rPr>
          <w:lang w:val="fr-FR"/>
        </w:rPr>
        <w:t>’</w:t>
      </w:r>
      <w:r w:rsidRPr="008E60B5">
        <w:rPr>
          <w:lang w:val="fr-FR"/>
        </w:rPr>
        <w:t>article 30 dispose que 10</w:t>
      </w:r>
      <w:r w:rsidR="00002E6B" w:rsidRPr="008E60B5">
        <w:rPr>
          <w:lang w:val="fr-FR"/>
        </w:rPr>
        <w:t> %</w:t>
      </w:r>
      <w:r w:rsidRPr="008E60B5">
        <w:rPr>
          <w:lang w:val="fr-FR"/>
        </w:rPr>
        <w:t xml:space="preserve"> de la capacité de ces logements doivent être réservés à des élèves appartenant à des groupes sociaux vulnérables. Bien que cette mesure ne vise pas spécifiquement à renforcer l</w:t>
      </w:r>
      <w:r w:rsidR="008E60B5" w:rsidRPr="008E60B5">
        <w:rPr>
          <w:lang w:val="fr-FR"/>
        </w:rPr>
        <w:t>’</w:t>
      </w:r>
      <w:r w:rsidRPr="008E60B5">
        <w:rPr>
          <w:lang w:val="fr-FR"/>
        </w:rPr>
        <w:t>égalité des sexes, elle facilite l</w:t>
      </w:r>
      <w:r w:rsidR="008E60B5" w:rsidRPr="008E60B5">
        <w:rPr>
          <w:lang w:val="fr-FR"/>
        </w:rPr>
        <w:t>’</w:t>
      </w:r>
      <w:r w:rsidRPr="008E60B5">
        <w:rPr>
          <w:lang w:val="fr-FR"/>
        </w:rPr>
        <w:t>accès des étudiantes issues de groupes socialement vulnérables à l</w:t>
      </w:r>
      <w:r w:rsidR="008E60B5" w:rsidRPr="008E60B5">
        <w:rPr>
          <w:lang w:val="fr-FR"/>
        </w:rPr>
        <w:t>’</w:t>
      </w:r>
      <w:r w:rsidRPr="008E60B5">
        <w:rPr>
          <w:lang w:val="fr-FR"/>
        </w:rPr>
        <w:t xml:space="preserve">enseignement supérieur. </w:t>
      </w:r>
    </w:p>
    <w:p w14:paraId="3C99FFEE" w14:textId="2226ECCC" w:rsidR="00CA0011" w:rsidRPr="008E60B5" w:rsidRDefault="00CA0011" w:rsidP="00A15EC1">
      <w:pPr>
        <w:pStyle w:val="SingleTxt"/>
        <w:numPr>
          <w:ilvl w:val="0"/>
          <w:numId w:val="21"/>
        </w:numPr>
        <w:spacing w:line="240" w:lineRule="exact"/>
        <w:rPr>
          <w:lang w:val="fr-FR"/>
        </w:rPr>
      </w:pPr>
      <w:r w:rsidRPr="008E60B5">
        <w:rPr>
          <w:lang w:val="fr-FR"/>
        </w:rPr>
        <w:t>Des assistants pédagogiques apportent une assistance et une aide supplémentaires aux enfants et aux élèves, le cas échéant, et aident les enseignants, éducateurs et auxiliaires pédagogiques à mieux travailler avec ceux qui ont besoin d</w:t>
      </w:r>
      <w:r w:rsidR="008E60B5" w:rsidRPr="008E60B5">
        <w:rPr>
          <w:lang w:val="fr-FR"/>
        </w:rPr>
        <w:t>’</w:t>
      </w:r>
      <w:r w:rsidRPr="008E60B5">
        <w:rPr>
          <w:lang w:val="fr-FR"/>
        </w:rPr>
        <w:t>un soutien solaire supplémentaire. Ils collaborent avec les parents ou les tuteurs et, par l</w:t>
      </w:r>
      <w:r w:rsidR="008E60B5" w:rsidRPr="008E60B5">
        <w:rPr>
          <w:lang w:val="fr-FR"/>
        </w:rPr>
        <w:t>’</w:t>
      </w:r>
      <w:r w:rsidRPr="008E60B5">
        <w:rPr>
          <w:lang w:val="fr-FR"/>
        </w:rPr>
        <w:t>intermédiaire des directeurs d</w:t>
      </w:r>
      <w:r w:rsidR="008E60B5" w:rsidRPr="008E60B5">
        <w:rPr>
          <w:lang w:val="fr-FR"/>
        </w:rPr>
        <w:t>’</w:t>
      </w:r>
      <w:r w:rsidRPr="008E60B5">
        <w:rPr>
          <w:lang w:val="fr-FR"/>
        </w:rPr>
        <w:t>écoles, coopèrent avec les institutions, les organisations et les associations compétentes ainsi que les collectivités locales. Cette démarche s</w:t>
      </w:r>
      <w:r w:rsidR="008E60B5" w:rsidRPr="008E60B5">
        <w:rPr>
          <w:lang w:val="fr-FR"/>
        </w:rPr>
        <w:t>’</w:t>
      </w:r>
      <w:r w:rsidRPr="008E60B5">
        <w:rPr>
          <w:lang w:val="fr-FR"/>
        </w:rPr>
        <w:t>inscrit dans le cadre d</w:t>
      </w:r>
      <w:r w:rsidR="008E60B5" w:rsidRPr="008E60B5">
        <w:rPr>
          <w:lang w:val="fr-FR"/>
        </w:rPr>
        <w:t>’</w:t>
      </w:r>
      <w:r w:rsidRPr="008E60B5">
        <w:rPr>
          <w:lang w:val="fr-FR"/>
        </w:rPr>
        <w:t>une mesure visant à favoriser l</w:t>
      </w:r>
      <w:r w:rsidR="008E60B5" w:rsidRPr="008E60B5">
        <w:rPr>
          <w:lang w:val="fr-FR"/>
        </w:rPr>
        <w:t>’</w:t>
      </w:r>
      <w:r w:rsidRPr="008E60B5">
        <w:rPr>
          <w:lang w:val="fr-FR"/>
        </w:rPr>
        <w:t>inclusion sociale des enfants roms dans le système éducatif. Ces assistants pédagogiques sont au nombre de 175, dont 58</w:t>
      </w:r>
      <w:r w:rsidR="00002E6B" w:rsidRPr="008E60B5">
        <w:rPr>
          <w:lang w:val="fr-FR"/>
        </w:rPr>
        <w:t> %</w:t>
      </w:r>
      <w:r w:rsidRPr="008E60B5">
        <w:rPr>
          <w:lang w:val="fr-FR"/>
        </w:rPr>
        <w:t xml:space="preserve"> de femmes et 42</w:t>
      </w:r>
      <w:r w:rsidR="00002E6B" w:rsidRPr="008E60B5">
        <w:rPr>
          <w:lang w:val="fr-FR"/>
        </w:rPr>
        <w:t> %</w:t>
      </w:r>
      <w:r w:rsidRPr="008E60B5">
        <w:rPr>
          <w:lang w:val="fr-FR"/>
        </w:rPr>
        <w:t xml:space="preserve"> d</w:t>
      </w:r>
      <w:r w:rsidR="008E60B5" w:rsidRPr="008E60B5">
        <w:rPr>
          <w:lang w:val="fr-FR"/>
        </w:rPr>
        <w:t>’</w:t>
      </w:r>
      <w:r w:rsidRPr="008E60B5">
        <w:rPr>
          <w:lang w:val="fr-FR"/>
        </w:rPr>
        <w:t>hommes. Presque tous sont d</w:t>
      </w:r>
      <w:r w:rsidR="008E60B5" w:rsidRPr="008E60B5">
        <w:rPr>
          <w:lang w:val="fr-FR"/>
        </w:rPr>
        <w:t>’</w:t>
      </w:r>
      <w:r w:rsidRPr="008E60B5">
        <w:rPr>
          <w:lang w:val="fr-FR"/>
        </w:rPr>
        <w:t>origine rom et parlent le romani. Ces assistants ont le statut de collaborateurs extérieurs à l</w:t>
      </w:r>
      <w:r w:rsidR="008E60B5" w:rsidRPr="008E60B5">
        <w:rPr>
          <w:lang w:val="fr-FR"/>
        </w:rPr>
        <w:t>’</w:t>
      </w:r>
      <w:r w:rsidRPr="008E60B5">
        <w:rPr>
          <w:lang w:val="fr-FR"/>
        </w:rPr>
        <w:t>établissement. Une étude réalisée par l</w:t>
      </w:r>
      <w:r w:rsidR="008E60B5" w:rsidRPr="008E60B5">
        <w:rPr>
          <w:lang w:val="fr-FR"/>
        </w:rPr>
        <w:t>’</w:t>
      </w:r>
      <w:r w:rsidRPr="008E60B5">
        <w:rPr>
          <w:lang w:val="fr-FR"/>
        </w:rPr>
        <w:t>Institut pour la qualité et l</w:t>
      </w:r>
      <w:r w:rsidR="008E60B5" w:rsidRPr="008E60B5">
        <w:rPr>
          <w:lang w:val="fr-FR"/>
        </w:rPr>
        <w:t>’</w:t>
      </w:r>
      <w:r w:rsidRPr="008E60B5">
        <w:rPr>
          <w:lang w:val="fr-FR"/>
        </w:rPr>
        <w:t>évaluation de l</w:t>
      </w:r>
      <w:r w:rsidR="008E60B5" w:rsidRPr="008E60B5">
        <w:rPr>
          <w:lang w:val="fr-FR"/>
        </w:rPr>
        <w:t>’</w:t>
      </w:r>
      <w:r w:rsidRPr="008E60B5">
        <w:rPr>
          <w:lang w:val="fr-FR"/>
        </w:rPr>
        <w:t>éducation a montré que les assistants pédagogiques contribuaient à améliorer les résultats des élèves roms, en particulier des filles, tant en termes de notes que de poursuite des études. Ils ont notamment aidé à réduire l</w:t>
      </w:r>
      <w:r w:rsidR="008E60B5" w:rsidRPr="008E60B5">
        <w:rPr>
          <w:lang w:val="fr-FR"/>
        </w:rPr>
        <w:t>’</w:t>
      </w:r>
      <w:r w:rsidRPr="008E60B5">
        <w:rPr>
          <w:lang w:val="fr-FR"/>
        </w:rPr>
        <w:t>absentéisme et l</w:t>
      </w:r>
      <w:r w:rsidR="008E60B5" w:rsidRPr="008E60B5">
        <w:rPr>
          <w:lang w:val="fr-FR"/>
        </w:rPr>
        <w:t>’</w:t>
      </w:r>
      <w:r w:rsidRPr="008E60B5">
        <w:rPr>
          <w:lang w:val="fr-FR"/>
        </w:rPr>
        <w:t>échec scolaire des filles roms.</w:t>
      </w:r>
    </w:p>
    <w:p w14:paraId="7AFC2BCB" w14:textId="7A781CD4" w:rsidR="00CA0011" w:rsidRPr="008E60B5" w:rsidRDefault="00CA0011" w:rsidP="00A15EC1">
      <w:pPr>
        <w:pStyle w:val="SingleTxt"/>
        <w:numPr>
          <w:ilvl w:val="0"/>
          <w:numId w:val="21"/>
        </w:numPr>
        <w:spacing w:line="240" w:lineRule="exact"/>
        <w:rPr>
          <w:lang w:val="fr-FR"/>
        </w:rPr>
      </w:pPr>
      <w:r w:rsidRPr="008E60B5">
        <w:rPr>
          <w:lang w:val="fr-FR"/>
        </w:rPr>
        <w:t>Des assistants spécialisés dans l</w:t>
      </w:r>
      <w:r w:rsidR="008E60B5" w:rsidRPr="008E60B5">
        <w:rPr>
          <w:lang w:val="fr-FR"/>
        </w:rPr>
        <w:t>’</w:t>
      </w:r>
      <w:r w:rsidRPr="008E60B5">
        <w:rPr>
          <w:lang w:val="fr-FR"/>
        </w:rPr>
        <w:t>éducation des adultes aident également ces derniers à intégrer le système éducatif et à surmonter les obstacles qu</w:t>
      </w:r>
      <w:r w:rsidR="008E60B5" w:rsidRPr="008E60B5">
        <w:rPr>
          <w:lang w:val="fr-FR"/>
        </w:rPr>
        <w:t>’</w:t>
      </w:r>
      <w:r w:rsidRPr="008E60B5">
        <w:rPr>
          <w:lang w:val="fr-FR"/>
        </w:rPr>
        <w:t>ils rencontrent dans leur cursus, cours particuliers et cours supplémentaires. Ils aident par ailleurs les professeurs et auxiliaires pédagogiques à enseigner les programmes et coopèrent avec les partenaires sociaux des collectivités locales afin que les adultes, en particulier ceux qui appartiennent à des groupes sociaux vulnérables, puissent effectivement jouir de leur droit de participer au processus éducatif et d</w:t>
      </w:r>
      <w:r w:rsidR="008E60B5" w:rsidRPr="008E60B5">
        <w:rPr>
          <w:lang w:val="fr-FR"/>
        </w:rPr>
        <w:t>’</w:t>
      </w:r>
      <w:r w:rsidRPr="008E60B5">
        <w:rPr>
          <w:lang w:val="fr-FR"/>
        </w:rPr>
        <w:t xml:space="preserve">avoir une éducation. </w:t>
      </w:r>
    </w:p>
    <w:p w14:paraId="3728FEE3" w14:textId="59BD2930" w:rsidR="00CA0011" w:rsidRPr="008E60B5" w:rsidRDefault="00CA0011" w:rsidP="00A15EC1">
      <w:pPr>
        <w:pStyle w:val="SingleTxt"/>
        <w:numPr>
          <w:ilvl w:val="0"/>
          <w:numId w:val="21"/>
        </w:numPr>
        <w:spacing w:line="240" w:lineRule="exact"/>
        <w:rPr>
          <w:i/>
          <w:lang w:val="fr-FR"/>
        </w:rPr>
      </w:pPr>
      <w:r w:rsidRPr="008E60B5">
        <w:rPr>
          <w:lang w:val="fr-FR"/>
        </w:rPr>
        <w:t>L</w:t>
      </w:r>
      <w:r w:rsidR="008E60B5" w:rsidRPr="008E60B5">
        <w:rPr>
          <w:lang w:val="fr-FR"/>
        </w:rPr>
        <w:t>’</w:t>
      </w:r>
      <w:r w:rsidRPr="008E60B5">
        <w:rPr>
          <w:lang w:val="fr-FR"/>
        </w:rPr>
        <w:t>adoption du règlement relatif aux critères spécifiques pour l</w:t>
      </w:r>
      <w:r w:rsidR="008E60B5" w:rsidRPr="008E60B5">
        <w:rPr>
          <w:lang w:val="fr-FR"/>
        </w:rPr>
        <w:t>’</w:t>
      </w:r>
      <w:r w:rsidRPr="008E60B5">
        <w:rPr>
          <w:lang w:val="fr-FR"/>
        </w:rPr>
        <w:t>identification des formes de discrimination infligées par les employés, les enfants, les élèves ou des tiers dans des établissements d</w:t>
      </w:r>
      <w:r w:rsidR="008E60B5" w:rsidRPr="008E60B5">
        <w:rPr>
          <w:lang w:val="fr-FR"/>
        </w:rPr>
        <w:t>’</w:t>
      </w:r>
      <w:r w:rsidRPr="008E60B5">
        <w:rPr>
          <w:lang w:val="fr-FR"/>
        </w:rPr>
        <w:t>enseignement a renforcé le cadre normatif de lutte contre la discrimination. L</w:t>
      </w:r>
      <w:r w:rsidR="008E60B5" w:rsidRPr="008E60B5">
        <w:rPr>
          <w:lang w:val="fr-FR"/>
        </w:rPr>
        <w:t>’</w:t>
      </w:r>
      <w:r w:rsidRPr="008E60B5">
        <w:rPr>
          <w:lang w:val="fr-FR"/>
        </w:rPr>
        <w:t>identité de genre et l</w:t>
      </w:r>
      <w:r w:rsidR="008E60B5" w:rsidRPr="008E60B5">
        <w:rPr>
          <w:lang w:val="fr-FR"/>
        </w:rPr>
        <w:t>’</w:t>
      </w:r>
      <w:r w:rsidRPr="008E60B5">
        <w:rPr>
          <w:lang w:val="fr-FR"/>
        </w:rPr>
        <w:t>orientation sexuelle, entre autres choses, figurent parmi les motifs de discrimination (art</w:t>
      </w:r>
      <w:r w:rsidR="00F841A6" w:rsidRPr="008E60B5">
        <w:rPr>
          <w:lang w:val="fr-FR"/>
        </w:rPr>
        <w:t>. </w:t>
      </w:r>
      <w:r w:rsidRPr="008E60B5">
        <w:rPr>
          <w:lang w:val="fr-FR"/>
        </w:rPr>
        <w:t>2). Une définition de la discrimination dans l</w:t>
      </w:r>
      <w:r w:rsidR="008E60B5" w:rsidRPr="008E60B5">
        <w:rPr>
          <w:lang w:val="fr-FR"/>
        </w:rPr>
        <w:t>’</w:t>
      </w:r>
      <w:r w:rsidRPr="008E60B5">
        <w:rPr>
          <w:lang w:val="fr-FR"/>
        </w:rPr>
        <w:t>exercice du droit à l</w:t>
      </w:r>
      <w:r w:rsidR="008E60B5" w:rsidRPr="008E60B5">
        <w:rPr>
          <w:lang w:val="fr-FR"/>
        </w:rPr>
        <w:t>’</w:t>
      </w:r>
      <w:r w:rsidRPr="008E60B5">
        <w:rPr>
          <w:lang w:val="fr-FR"/>
        </w:rPr>
        <w:t>enseignement préscolaire, primaire et secondai</w:t>
      </w:r>
      <w:r w:rsidR="00F841A6" w:rsidRPr="008E60B5">
        <w:rPr>
          <w:lang w:val="fr-FR"/>
        </w:rPr>
        <w:t>re y est également énoncée (art. </w:t>
      </w:r>
      <w:r w:rsidRPr="008E60B5">
        <w:rPr>
          <w:lang w:val="fr-FR"/>
        </w:rPr>
        <w:t xml:space="preserve">14). </w:t>
      </w:r>
    </w:p>
    <w:p w14:paraId="567B2CEA" w14:textId="77777777" w:rsidR="00D40B2F" w:rsidRPr="008E60B5" w:rsidRDefault="00D40B2F" w:rsidP="00D40B2F">
      <w:pPr>
        <w:pStyle w:val="SingleTxt"/>
        <w:spacing w:after="0" w:line="120" w:lineRule="exact"/>
        <w:rPr>
          <w:b/>
          <w:sz w:val="10"/>
          <w:lang w:val="fr-FR"/>
        </w:rPr>
      </w:pPr>
    </w:p>
    <w:p w14:paraId="3AC712EC" w14:textId="1FBD1A9B" w:rsidR="00CA0011" w:rsidRPr="008E60B5" w:rsidRDefault="00CA0011" w:rsidP="00D40B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Mesures dans le domaine de l</w:t>
      </w:r>
      <w:r w:rsidR="008E60B5" w:rsidRPr="008E60B5">
        <w:rPr>
          <w:lang w:val="fr-FR"/>
        </w:rPr>
        <w:t>’</w:t>
      </w:r>
      <w:r w:rsidRPr="008E60B5">
        <w:rPr>
          <w:lang w:val="fr-FR"/>
        </w:rPr>
        <w:t>emploi</w:t>
      </w:r>
    </w:p>
    <w:p w14:paraId="510729E0" w14:textId="26366C2A" w:rsidR="00D40B2F" w:rsidRPr="008E60B5" w:rsidRDefault="00D40B2F" w:rsidP="00D40B2F">
      <w:pPr>
        <w:pStyle w:val="SingleTxt"/>
        <w:spacing w:after="0" w:line="120" w:lineRule="exact"/>
        <w:rPr>
          <w:sz w:val="10"/>
          <w:lang w:val="fr-FR"/>
        </w:rPr>
      </w:pPr>
    </w:p>
    <w:p w14:paraId="022DB404" w14:textId="314389C6" w:rsidR="00CA0011" w:rsidRPr="008E60B5" w:rsidRDefault="00CA0011" w:rsidP="00A15EC1">
      <w:pPr>
        <w:pStyle w:val="SingleTxt"/>
        <w:numPr>
          <w:ilvl w:val="0"/>
          <w:numId w:val="22"/>
        </w:numPr>
        <w:spacing w:line="240" w:lineRule="exact"/>
        <w:rPr>
          <w:lang w:val="fr-FR"/>
        </w:rPr>
      </w:pPr>
      <w:r w:rsidRPr="008E60B5">
        <w:rPr>
          <w:lang w:val="fr-FR"/>
        </w:rPr>
        <w:t>Les ressources budgétaires de la République de Serbie allouées aux mesures en faveur de l</w:t>
      </w:r>
      <w:r w:rsidR="008E60B5" w:rsidRPr="008E60B5">
        <w:rPr>
          <w:lang w:val="fr-FR"/>
        </w:rPr>
        <w:t>’</w:t>
      </w:r>
      <w:r w:rsidRPr="008E60B5">
        <w:rPr>
          <w:lang w:val="fr-FR"/>
        </w:rPr>
        <w:t>emploi s</w:t>
      </w:r>
      <w:r w:rsidR="008E60B5" w:rsidRPr="008E60B5">
        <w:rPr>
          <w:lang w:val="fr-FR"/>
        </w:rPr>
        <w:t>’</w:t>
      </w:r>
      <w:r w:rsidRPr="008E60B5">
        <w:rPr>
          <w:lang w:val="fr-FR"/>
        </w:rPr>
        <w:t>élevaient à 1 180 000 000 d</w:t>
      </w:r>
      <w:r w:rsidR="00F841A6" w:rsidRPr="008E60B5">
        <w:rPr>
          <w:lang w:val="fr-FR"/>
        </w:rPr>
        <w:t>inars de Serbie, contre 600 000 </w:t>
      </w:r>
      <w:r w:rsidRPr="008E60B5">
        <w:rPr>
          <w:lang w:val="fr-FR"/>
        </w:rPr>
        <w:t>000 en 2014, 2 800 000 000 en 2015 et 2 800 000 000 en 2016. En 2017, le Service national pour l</w:t>
      </w:r>
      <w:r w:rsidR="008E60B5" w:rsidRPr="008E60B5">
        <w:rPr>
          <w:lang w:val="fr-FR"/>
        </w:rPr>
        <w:t>’</w:t>
      </w:r>
      <w:r w:rsidRPr="008E60B5">
        <w:rPr>
          <w:lang w:val="fr-FR"/>
        </w:rPr>
        <w:t>emploi a alloué 2 800 000 000 dinars de ses fonds propres à ce type de mesures.</w:t>
      </w:r>
    </w:p>
    <w:p w14:paraId="2E5FAD7C" w14:textId="4CB0787A" w:rsidR="00CA0011" w:rsidRPr="008E60B5" w:rsidRDefault="00CA0011" w:rsidP="00A15EC1">
      <w:pPr>
        <w:pStyle w:val="SingleTxt"/>
        <w:numPr>
          <w:ilvl w:val="0"/>
          <w:numId w:val="22"/>
        </w:numPr>
        <w:spacing w:line="240" w:lineRule="exact"/>
        <w:rPr>
          <w:lang w:val="fr-FR"/>
        </w:rPr>
      </w:pPr>
      <w:r w:rsidRPr="008E60B5">
        <w:rPr>
          <w:lang w:val="fr-FR"/>
        </w:rPr>
        <w:t>Le plan d</w:t>
      </w:r>
      <w:r w:rsidR="008E60B5" w:rsidRPr="008E60B5">
        <w:rPr>
          <w:lang w:val="fr-FR"/>
        </w:rPr>
        <w:t>’</w:t>
      </w:r>
      <w:r w:rsidRPr="008E60B5">
        <w:rPr>
          <w:lang w:val="fr-FR"/>
        </w:rPr>
        <w:t>action national pour l</w:t>
      </w:r>
      <w:r w:rsidR="008E60B5" w:rsidRPr="008E60B5">
        <w:rPr>
          <w:lang w:val="fr-FR"/>
        </w:rPr>
        <w:t>’</w:t>
      </w:r>
      <w:r w:rsidRPr="008E60B5">
        <w:rPr>
          <w:lang w:val="fr-FR"/>
        </w:rPr>
        <w:t>emploi est le principal instrument de la politique en faveur de l</w:t>
      </w:r>
      <w:r w:rsidR="008E60B5" w:rsidRPr="008E60B5">
        <w:rPr>
          <w:lang w:val="fr-FR"/>
        </w:rPr>
        <w:t>’</w:t>
      </w:r>
      <w:r w:rsidRPr="008E60B5">
        <w:rPr>
          <w:lang w:val="fr-FR"/>
        </w:rPr>
        <w:t>emploi. Il s</w:t>
      </w:r>
      <w:r w:rsidR="008E60B5" w:rsidRPr="008E60B5">
        <w:rPr>
          <w:lang w:val="fr-FR"/>
        </w:rPr>
        <w:t>’</w:t>
      </w:r>
      <w:r w:rsidRPr="008E60B5">
        <w:rPr>
          <w:lang w:val="fr-FR"/>
        </w:rPr>
        <w:t>agit d</w:t>
      </w:r>
      <w:r w:rsidR="008E60B5" w:rsidRPr="008E60B5">
        <w:rPr>
          <w:lang w:val="fr-FR"/>
        </w:rPr>
        <w:t>’</w:t>
      </w:r>
      <w:r w:rsidRPr="008E60B5">
        <w:rPr>
          <w:lang w:val="fr-FR"/>
        </w:rPr>
        <w:t>un plan annuel qui reprend les objectifs énoncés dans la stratégie nationale pour l</w:t>
      </w:r>
      <w:r w:rsidR="008E60B5" w:rsidRPr="008E60B5">
        <w:rPr>
          <w:lang w:val="fr-FR"/>
        </w:rPr>
        <w:t>’</w:t>
      </w:r>
      <w:r w:rsidRPr="008E60B5">
        <w:rPr>
          <w:lang w:val="fr-FR"/>
        </w:rPr>
        <w:t>emploi pour la période 2011</w:t>
      </w:r>
      <w:r w:rsidR="007308A6" w:rsidRPr="008E60B5">
        <w:rPr>
          <w:lang w:val="fr-FR"/>
        </w:rPr>
        <w:t>-</w:t>
      </w:r>
      <w:r w:rsidRPr="008E60B5">
        <w:rPr>
          <w:lang w:val="fr-FR"/>
        </w:rPr>
        <w:t xml:space="preserve">2020. Il </w:t>
      </w:r>
      <w:r w:rsidRPr="008E60B5">
        <w:rPr>
          <w:lang w:val="fr-FR"/>
        </w:rPr>
        <w:lastRenderedPageBreak/>
        <w:t>recense les catégories de personnes ayant des difficultés à trouver un emploi et auxquelles les mesures susmentionnées s</w:t>
      </w:r>
      <w:r w:rsidR="008E60B5" w:rsidRPr="008E60B5">
        <w:rPr>
          <w:lang w:val="fr-FR"/>
        </w:rPr>
        <w:t>’</w:t>
      </w:r>
      <w:r w:rsidRPr="008E60B5">
        <w:rPr>
          <w:lang w:val="fr-FR"/>
        </w:rPr>
        <w:t>appliqueront en priorité, et détermine les fonds nécessaires à la mise en oeuvre desdites mesures pour l</w:t>
      </w:r>
      <w:r w:rsidR="008E60B5" w:rsidRPr="008E60B5">
        <w:rPr>
          <w:lang w:val="fr-FR"/>
        </w:rPr>
        <w:t>’</w:t>
      </w:r>
      <w:r w:rsidRPr="008E60B5">
        <w:rPr>
          <w:lang w:val="fr-FR"/>
        </w:rPr>
        <w:t>année considérée.</w:t>
      </w:r>
    </w:p>
    <w:p w14:paraId="278F3216" w14:textId="1C9FDC8B" w:rsidR="00CA0011" w:rsidRPr="008E60B5" w:rsidRDefault="00CA0011" w:rsidP="00A15EC1">
      <w:pPr>
        <w:pStyle w:val="SingleTxt"/>
        <w:numPr>
          <w:ilvl w:val="0"/>
          <w:numId w:val="22"/>
        </w:numPr>
        <w:spacing w:line="240" w:lineRule="exact"/>
        <w:rPr>
          <w:bCs/>
          <w:lang w:val="fr-FR"/>
        </w:rPr>
      </w:pPr>
      <w:r w:rsidRPr="008E60B5">
        <w:rPr>
          <w:lang w:val="fr-FR"/>
        </w:rPr>
        <w:t>La part des femmes roms dans le nombre total de Roms concernés par les mesures en faveur de l</w:t>
      </w:r>
      <w:r w:rsidR="008E60B5" w:rsidRPr="008E60B5">
        <w:rPr>
          <w:lang w:val="fr-FR"/>
        </w:rPr>
        <w:t>’</w:t>
      </w:r>
      <w:r w:rsidRPr="008E60B5">
        <w:rPr>
          <w:lang w:val="fr-FR"/>
        </w:rPr>
        <w:t>emploi était de 45,90</w:t>
      </w:r>
      <w:r w:rsidR="00002E6B" w:rsidRPr="008E60B5">
        <w:rPr>
          <w:lang w:val="fr-FR"/>
        </w:rPr>
        <w:t xml:space="preserve"> % </w:t>
      </w:r>
      <w:r w:rsidRPr="008E60B5">
        <w:rPr>
          <w:lang w:val="fr-FR"/>
        </w:rPr>
        <w:t>entre le 1er juillet et le 31 décembre 2013, de 48,09</w:t>
      </w:r>
      <w:r w:rsidR="00002E6B" w:rsidRPr="008E60B5">
        <w:rPr>
          <w:lang w:val="fr-FR"/>
        </w:rPr>
        <w:t> %</w:t>
      </w:r>
      <w:r w:rsidRPr="008E60B5">
        <w:rPr>
          <w:lang w:val="fr-FR"/>
        </w:rPr>
        <w:t xml:space="preserve"> en 2014, de 44,31</w:t>
      </w:r>
      <w:r w:rsidR="00002E6B" w:rsidRPr="008E60B5">
        <w:rPr>
          <w:lang w:val="fr-FR"/>
        </w:rPr>
        <w:t> %</w:t>
      </w:r>
      <w:r w:rsidRPr="008E60B5">
        <w:rPr>
          <w:lang w:val="fr-FR"/>
        </w:rPr>
        <w:t xml:space="preserve"> en 2015 et 42,98</w:t>
      </w:r>
      <w:r w:rsidR="00002E6B" w:rsidRPr="008E60B5">
        <w:rPr>
          <w:lang w:val="fr-FR"/>
        </w:rPr>
        <w:t> %</w:t>
      </w:r>
      <w:r w:rsidRPr="008E60B5">
        <w:rPr>
          <w:lang w:val="fr-FR"/>
        </w:rPr>
        <w:t xml:space="preserve"> en 2016.</w:t>
      </w:r>
    </w:p>
    <w:p w14:paraId="3B813DC6" w14:textId="06FF0A4E" w:rsidR="00CA0011" w:rsidRPr="008E60B5" w:rsidRDefault="00CA0011" w:rsidP="00A15EC1">
      <w:pPr>
        <w:pStyle w:val="SingleTxt"/>
        <w:numPr>
          <w:ilvl w:val="0"/>
          <w:numId w:val="22"/>
        </w:numPr>
        <w:spacing w:line="240" w:lineRule="exact"/>
        <w:rPr>
          <w:lang w:val="fr-FR"/>
        </w:rPr>
      </w:pPr>
      <w:r w:rsidRPr="008E60B5">
        <w:rPr>
          <w:lang w:val="fr-FR"/>
        </w:rPr>
        <w:t>Outre la formation à la recherche active d</w:t>
      </w:r>
      <w:r w:rsidR="008E60B5" w:rsidRPr="008E60B5">
        <w:rPr>
          <w:lang w:val="fr-FR"/>
        </w:rPr>
        <w:t>’</w:t>
      </w:r>
      <w:r w:rsidRPr="008E60B5">
        <w:rPr>
          <w:lang w:val="fr-FR"/>
        </w:rPr>
        <w:t>emploi, un programme consacré à la motivation et à l</w:t>
      </w:r>
      <w:r w:rsidR="008E60B5" w:rsidRPr="008E60B5">
        <w:rPr>
          <w:lang w:val="fr-FR"/>
        </w:rPr>
        <w:t>’</w:t>
      </w:r>
      <w:r w:rsidRPr="008E60B5">
        <w:rPr>
          <w:lang w:val="fr-FR"/>
        </w:rPr>
        <w:t>application des compétences a été organisé en 2013 à l</w:t>
      </w:r>
      <w:r w:rsidR="008E60B5" w:rsidRPr="008E60B5">
        <w:rPr>
          <w:lang w:val="fr-FR"/>
        </w:rPr>
        <w:t>’</w:t>
      </w:r>
      <w:r w:rsidRPr="008E60B5">
        <w:rPr>
          <w:lang w:val="fr-FR"/>
        </w:rPr>
        <w:t>intention de 544 personnes, dont 246 femmes. Entre 2013 et 2016, un appel public à candidatures pour l</w:t>
      </w:r>
      <w:r w:rsidR="008E60B5" w:rsidRPr="008E60B5">
        <w:rPr>
          <w:lang w:val="fr-FR"/>
        </w:rPr>
        <w:t>’</w:t>
      </w:r>
      <w:r w:rsidRPr="008E60B5">
        <w:rPr>
          <w:lang w:val="fr-FR"/>
        </w:rPr>
        <w:t>attribution de subventions à l</w:t>
      </w:r>
      <w:r w:rsidR="008E60B5" w:rsidRPr="008E60B5">
        <w:rPr>
          <w:lang w:val="fr-FR"/>
        </w:rPr>
        <w:t>’</w:t>
      </w:r>
      <w:r w:rsidRPr="008E60B5">
        <w:rPr>
          <w:lang w:val="fr-FR"/>
        </w:rPr>
        <w:t>emploi indépendant a été lancé, permettant ainsi à 217 Roms (dont 87 femmes) de créer leur entreprise. En 2013 également, une autre campagne de subventions avait été menée à l</w:t>
      </w:r>
      <w:r w:rsidR="008E60B5" w:rsidRPr="008E60B5">
        <w:rPr>
          <w:lang w:val="fr-FR"/>
        </w:rPr>
        <w:t>’</w:t>
      </w:r>
      <w:r w:rsidRPr="008E60B5">
        <w:rPr>
          <w:lang w:val="fr-FR"/>
        </w:rPr>
        <w:t>intention des employeurs créant de nouveaux postes destinés aux Roms sans emploi.</w:t>
      </w:r>
    </w:p>
    <w:p w14:paraId="682BAF37" w14:textId="370D211A" w:rsidR="00CA0011" w:rsidRPr="008E60B5" w:rsidRDefault="00CA0011" w:rsidP="00A15EC1">
      <w:pPr>
        <w:pStyle w:val="SingleTxt"/>
        <w:numPr>
          <w:ilvl w:val="0"/>
          <w:numId w:val="22"/>
        </w:numPr>
        <w:spacing w:line="240" w:lineRule="exact"/>
        <w:rPr>
          <w:lang w:val="fr-FR"/>
        </w:rPr>
      </w:pPr>
      <w:r w:rsidRPr="008E60B5">
        <w:rPr>
          <w:lang w:val="fr-FR"/>
        </w:rPr>
        <w:t>En plus de bénéficier des mesures générales en faveur de l</w:t>
      </w:r>
      <w:r w:rsidR="008E60B5" w:rsidRPr="008E60B5">
        <w:rPr>
          <w:lang w:val="fr-FR"/>
        </w:rPr>
        <w:t>’</w:t>
      </w:r>
      <w:r w:rsidRPr="008E60B5">
        <w:rPr>
          <w:lang w:val="fr-FR"/>
        </w:rPr>
        <w:t>emploi, les personnes handicapées ont accès à d</w:t>
      </w:r>
      <w:r w:rsidR="008E60B5" w:rsidRPr="008E60B5">
        <w:rPr>
          <w:lang w:val="fr-FR"/>
        </w:rPr>
        <w:t>’</w:t>
      </w:r>
      <w:r w:rsidRPr="008E60B5">
        <w:rPr>
          <w:lang w:val="fr-FR"/>
        </w:rPr>
        <w:t>autres programmes spéciaux qui ont été mis en place au cours de la période considérée dans ce domaine. Le taux de réussite de ces mesures, qui comprenaient notamment des groupes de recherche d</w:t>
      </w:r>
      <w:r w:rsidR="008E60B5" w:rsidRPr="008E60B5">
        <w:rPr>
          <w:lang w:val="fr-FR"/>
        </w:rPr>
        <w:t>’</w:t>
      </w:r>
      <w:r w:rsidRPr="008E60B5">
        <w:rPr>
          <w:lang w:val="fr-FR"/>
        </w:rPr>
        <w:t>emploi, des ateliers de recherche active d</w:t>
      </w:r>
      <w:r w:rsidR="008E60B5" w:rsidRPr="008E60B5">
        <w:rPr>
          <w:lang w:val="fr-FR"/>
        </w:rPr>
        <w:t>’</w:t>
      </w:r>
      <w:r w:rsidRPr="008E60B5">
        <w:rPr>
          <w:lang w:val="fr-FR"/>
        </w:rPr>
        <w:t>emploi, des ateliers visant à renforcer la confiance en soi et des salons de l</w:t>
      </w:r>
      <w:r w:rsidR="008E60B5" w:rsidRPr="008E60B5">
        <w:rPr>
          <w:lang w:val="fr-FR"/>
        </w:rPr>
        <w:t>’</w:t>
      </w:r>
      <w:r w:rsidRPr="008E60B5">
        <w:rPr>
          <w:lang w:val="fr-FR"/>
        </w:rPr>
        <w:t>emploi, a été supérieur à 100</w:t>
      </w:r>
      <w:r w:rsidR="00002E6B" w:rsidRPr="008E60B5">
        <w:rPr>
          <w:lang w:val="fr-FR"/>
        </w:rPr>
        <w:t> %</w:t>
      </w:r>
      <w:r w:rsidRPr="008E60B5">
        <w:rPr>
          <w:lang w:val="fr-FR"/>
        </w:rPr>
        <w:t xml:space="preserve">. </w:t>
      </w:r>
    </w:p>
    <w:p w14:paraId="6EEDCC76" w14:textId="689B47A1" w:rsidR="00CA0011" w:rsidRPr="008E60B5" w:rsidRDefault="00CA0011" w:rsidP="00A15EC1">
      <w:pPr>
        <w:pStyle w:val="SingleTxt"/>
        <w:numPr>
          <w:ilvl w:val="0"/>
          <w:numId w:val="22"/>
        </w:numPr>
        <w:spacing w:line="240" w:lineRule="exact"/>
        <w:rPr>
          <w:lang w:val="fr-FR"/>
        </w:rPr>
      </w:pPr>
      <w:r w:rsidRPr="008E60B5">
        <w:rPr>
          <w:lang w:val="fr-FR"/>
        </w:rPr>
        <w:t>En 2016, à l</w:t>
      </w:r>
      <w:r w:rsidR="008E60B5" w:rsidRPr="008E60B5">
        <w:rPr>
          <w:lang w:val="fr-FR"/>
        </w:rPr>
        <w:t>’</w:t>
      </w:r>
      <w:r w:rsidRPr="008E60B5">
        <w:rPr>
          <w:lang w:val="fr-FR"/>
        </w:rPr>
        <w:t>issue d</w:t>
      </w:r>
      <w:r w:rsidR="008E60B5" w:rsidRPr="008E60B5">
        <w:rPr>
          <w:lang w:val="fr-FR"/>
        </w:rPr>
        <w:t>’</w:t>
      </w:r>
      <w:r w:rsidRPr="008E60B5">
        <w:rPr>
          <w:lang w:val="fr-FR"/>
        </w:rPr>
        <w:t>une analyse, le Service national pour l</w:t>
      </w:r>
      <w:r w:rsidR="008E60B5" w:rsidRPr="008E60B5">
        <w:rPr>
          <w:lang w:val="fr-FR"/>
        </w:rPr>
        <w:t>’</w:t>
      </w:r>
      <w:r w:rsidRPr="008E60B5">
        <w:rPr>
          <w:lang w:val="fr-FR"/>
        </w:rPr>
        <w:t>emploi a lancé une initiative visant à améliorer la procédure d</w:t>
      </w:r>
      <w:r w:rsidR="008E60B5" w:rsidRPr="008E60B5">
        <w:rPr>
          <w:lang w:val="fr-FR"/>
        </w:rPr>
        <w:t>’</w:t>
      </w:r>
      <w:r w:rsidRPr="008E60B5">
        <w:rPr>
          <w:lang w:val="fr-FR"/>
        </w:rPr>
        <w:t>évaluation des capacités. Des propositions concrètes ont été faites et seront étoffées au cours de la période suivante, en coopération avec la Caisse de retraite et d</w:t>
      </w:r>
      <w:r w:rsidR="008E60B5" w:rsidRPr="008E60B5">
        <w:rPr>
          <w:lang w:val="fr-FR"/>
        </w:rPr>
        <w:t>’</w:t>
      </w:r>
      <w:r w:rsidRPr="008E60B5">
        <w:rPr>
          <w:lang w:val="fr-FR"/>
        </w:rPr>
        <w:t>assurance invalidité de la République et le ministère compétent, pour surmonter les problèmes rencontrés dans la pratique et renforcer l</w:t>
      </w:r>
      <w:r w:rsidR="008E60B5" w:rsidRPr="008E60B5">
        <w:rPr>
          <w:lang w:val="fr-FR"/>
        </w:rPr>
        <w:t>’</w:t>
      </w:r>
      <w:r w:rsidRPr="008E60B5">
        <w:rPr>
          <w:lang w:val="fr-FR"/>
        </w:rPr>
        <w:t>évaluation par des experts.</w:t>
      </w:r>
    </w:p>
    <w:p w14:paraId="2E888492" w14:textId="77777777" w:rsidR="007308A6" w:rsidRPr="008E60B5" w:rsidRDefault="007308A6" w:rsidP="007308A6">
      <w:pPr>
        <w:pStyle w:val="SingleTxt"/>
        <w:spacing w:after="0" w:line="120" w:lineRule="exact"/>
        <w:rPr>
          <w:b/>
          <w:sz w:val="10"/>
          <w:lang w:val="fr-FR"/>
        </w:rPr>
      </w:pPr>
    </w:p>
    <w:p w14:paraId="33C9B1E5" w14:textId="74201791" w:rsidR="00CA0011" w:rsidRPr="008E60B5" w:rsidRDefault="007308A6" w:rsidP="007308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r>
      <w:r w:rsidR="00CA0011" w:rsidRPr="008E60B5">
        <w:rPr>
          <w:lang w:val="fr-FR"/>
        </w:rPr>
        <w:t>Données du Service national pour l</w:t>
      </w:r>
      <w:r w:rsidR="008E60B5" w:rsidRPr="008E60B5">
        <w:rPr>
          <w:lang w:val="fr-FR"/>
        </w:rPr>
        <w:t>’</w:t>
      </w:r>
      <w:r w:rsidR="00CA0011" w:rsidRPr="008E60B5">
        <w:rPr>
          <w:lang w:val="fr-FR"/>
        </w:rPr>
        <w:t xml:space="preserve">emploi sur les personnes bénéficiant </w:t>
      </w:r>
      <w:r w:rsidRPr="008E60B5">
        <w:rPr>
          <w:lang w:val="fr-FR"/>
        </w:rPr>
        <w:br/>
      </w:r>
      <w:r w:rsidR="00CA0011" w:rsidRPr="008E60B5">
        <w:rPr>
          <w:lang w:val="fr-FR"/>
        </w:rPr>
        <w:t>des mesures en faveur de l</w:t>
      </w:r>
      <w:r w:rsidR="008E60B5" w:rsidRPr="008E60B5">
        <w:rPr>
          <w:lang w:val="fr-FR"/>
        </w:rPr>
        <w:t>’</w:t>
      </w:r>
      <w:r w:rsidR="00CA0011" w:rsidRPr="008E60B5">
        <w:rPr>
          <w:lang w:val="fr-FR"/>
        </w:rPr>
        <w:t>emploi</w:t>
      </w:r>
    </w:p>
    <w:p w14:paraId="32133C7A" w14:textId="3EC0BC39" w:rsidR="007308A6" w:rsidRPr="00EE705F" w:rsidRDefault="007308A6" w:rsidP="00EE705F">
      <w:pPr>
        <w:pStyle w:val="SingleTxt"/>
        <w:spacing w:after="0" w:line="120" w:lineRule="exact"/>
        <w:rPr>
          <w:sz w:val="10"/>
          <w:lang w:val="fr-FR"/>
        </w:rPr>
      </w:pPr>
    </w:p>
    <w:p w14:paraId="03019B6C" w14:textId="77777777" w:rsidR="00EE705F" w:rsidRPr="008E60B5" w:rsidRDefault="00EE705F" w:rsidP="007308A6">
      <w:pPr>
        <w:pStyle w:val="SingleTxt"/>
        <w:spacing w:after="0" w:line="120" w:lineRule="exact"/>
        <w:rPr>
          <w:sz w:val="10"/>
          <w:lang w:val="fr-FR"/>
        </w:rPr>
      </w:pPr>
    </w:p>
    <w:tbl>
      <w:tblPr>
        <w:tblStyle w:val="TableGrid"/>
        <w:tblW w:w="738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10"/>
        <w:gridCol w:w="922"/>
        <w:gridCol w:w="922"/>
        <w:gridCol w:w="923"/>
        <w:gridCol w:w="922"/>
        <w:gridCol w:w="1000"/>
        <w:gridCol w:w="981"/>
      </w:tblGrid>
      <w:tr w:rsidR="00CA0011" w:rsidRPr="008E60B5" w14:paraId="51B768B6" w14:textId="77777777" w:rsidTr="00371911">
        <w:trPr>
          <w:cantSplit/>
          <w:trHeight w:val="134"/>
          <w:tblHeader/>
        </w:trPr>
        <w:tc>
          <w:tcPr>
            <w:tcW w:w="1710" w:type="dxa"/>
            <w:tcBorders>
              <w:top w:val="single" w:sz="4" w:space="0" w:color="auto"/>
            </w:tcBorders>
            <w:shd w:val="clear" w:color="auto" w:fill="auto"/>
            <w:vAlign w:val="bottom"/>
          </w:tcPr>
          <w:p w14:paraId="5BBA6EBD" w14:textId="77777777" w:rsidR="00CA0011" w:rsidRPr="008E60B5" w:rsidRDefault="00CA0011" w:rsidP="00D34708">
            <w:pPr>
              <w:pStyle w:val="SingleTxt"/>
              <w:spacing w:before="81" w:after="81" w:line="160" w:lineRule="exact"/>
              <w:ind w:left="0" w:right="40"/>
              <w:rPr>
                <w:i/>
                <w:sz w:val="14"/>
                <w:lang w:val="fr-FR"/>
              </w:rPr>
            </w:pPr>
          </w:p>
        </w:tc>
        <w:tc>
          <w:tcPr>
            <w:tcW w:w="5670" w:type="dxa"/>
            <w:gridSpan w:val="6"/>
            <w:tcBorders>
              <w:top w:val="single" w:sz="4" w:space="0" w:color="auto"/>
              <w:bottom w:val="single" w:sz="4" w:space="0" w:color="auto"/>
            </w:tcBorders>
            <w:shd w:val="clear" w:color="auto" w:fill="auto"/>
            <w:vAlign w:val="bottom"/>
          </w:tcPr>
          <w:p w14:paraId="1A372C9E" w14:textId="77777777" w:rsidR="00CA0011" w:rsidRPr="008E60B5" w:rsidRDefault="00CA0011" w:rsidP="00D34708">
            <w:pPr>
              <w:pStyle w:val="SingleTxt"/>
              <w:spacing w:before="81" w:after="81" w:line="160" w:lineRule="exact"/>
              <w:ind w:left="144" w:right="43"/>
              <w:jc w:val="center"/>
              <w:rPr>
                <w:i/>
                <w:sz w:val="14"/>
                <w:lang w:val="fr-FR"/>
              </w:rPr>
            </w:pPr>
            <w:r w:rsidRPr="008E60B5">
              <w:rPr>
                <w:i/>
                <w:sz w:val="14"/>
                <w:lang w:val="fr-FR"/>
              </w:rPr>
              <w:t>Personnes roms handicapées</w:t>
            </w:r>
          </w:p>
        </w:tc>
      </w:tr>
      <w:tr w:rsidR="00CA0011" w:rsidRPr="008E60B5" w14:paraId="7BEF015A" w14:textId="77777777" w:rsidTr="00371911">
        <w:trPr>
          <w:cantSplit/>
          <w:trHeight w:val="341"/>
          <w:tblHeader/>
        </w:trPr>
        <w:tc>
          <w:tcPr>
            <w:tcW w:w="1710" w:type="dxa"/>
            <w:tcBorders>
              <w:bottom w:val="single" w:sz="12" w:space="0" w:color="auto"/>
            </w:tcBorders>
            <w:shd w:val="clear" w:color="auto" w:fill="auto"/>
            <w:vAlign w:val="bottom"/>
          </w:tcPr>
          <w:p w14:paraId="0438FA9E" w14:textId="730080C3" w:rsidR="00CA0011" w:rsidRPr="008E60B5" w:rsidRDefault="00CA0011" w:rsidP="00371911">
            <w:pPr>
              <w:pStyle w:val="SingleTxt"/>
              <w:spacing w:before="81" w:after="81" w:line="160" w:lineRule="exact"/>
              <w:ind w:left="144" w:right="43"/>
              <w:jc w:val="center"/>
              <w:rPr>
                <w:i/>
                <w:sz w:val="14"/>
                <w:lang w:val="fr-FR"/>
              </w:rPr>
            </w:pPr>
          </w:p>
        </w:tc>
        <w:tc>
          <w:tcPr>
            <w:tcW w:w="922" w:type="dxa"/>
            <w:tcBorders>
              <w:top w:val="single" w:sz="4" w:space="0" w:color="auto"/>
              <w:bottom w:val="single" w:sz="12" w:space="0" w:color="auto"/>
            </w:tcBorders>
            <w:shd w:val="clear" w:color="auto" w:fill="auto"/>
            <w:vAlign w:val="bottom"/>
          </w:tcPr>
          <w:p w14:paraId="18F3337A" w14:textId="77777777" w:rsidR="00CA0011" w:rsidRPr="008E60B5" w:rsidRDefault="00CA0011" w:rsidP="00371911">
            <w:pPr>
              <w:pStyle w:val="SingleTxt"/>
              <w:spacing w:before="81" w:after="81" w:line="160" w:lineRule="exact"/>
              <w:ind w:left="144" w:right="43"/>
              <w:jc w:val="center"/>
              <w:rPr>
                <w:i/>
                <w:sz w:val="14"/>
                <w:lang w:val="fr-FR"/>
              </w:rPr>
            </w:pPr>
            <w:r w:rsidRPr="008E60B5">
              <w:rPr>
                <w:i/>
                <w:sz w:val="14"/>
                <w:lang w:val="fr-FR"/>
              </w:rPr>
              <w:t>Total</w:t>
            </w:r>
          </w:p>
        </w:tc>
        <w:tc>
          <w:tcPr>
            <w:tcW w:w="922" w:type="dxa"/>
            <w:tcBorders>
              <w:top w:val="single" w:sz="4" w:space="0" w:color="auto"/>
              <w:bottom w:val="single" w:sz="12" w:space="0" w:color="auto"/>
            </w:tcBorders>
            <w:shd w:val="clear" w:color="auto" w:fill="auto"/>
            <w:vAlign w:val="bottom"/>
          </w:tcPr>
          <w:p w14:paraId="450A8C03" w14:textId="77777777" w:rsidR="00CA0011" w:rsidRPr="008E60B5" w:rsidRDefault="00CA0011" w:rsidP="00371911">
            <w:pPr>
              <w:pStyle w:val="SingleTxt"/>
              <w:spacing w:before="81" w:after="81" w:line="160" w:lineRule="exact"/>
              <w:ind w:left="144" w:right="43"/>
              <w:jc w:val="center"/>
              <w:rPr>
                <w:i/>
                <w:sz w:val="14"/>
                <w:lang w:val="fr-FR"/>
              </w:rPr>
            </w:pPr>
            <w:r w:rsidRPr="008E60B5">
              <w:rPr>
                <w:i/>
                <w:sz w:val="14"/>
                <w:lang w:val="fr-FR"/>
              </w:rPr>
              <w:t>Femmes</w:t>
            </w:r>
          </w:p>
        </w:tc>
        <w:tc>
          <w:tcPr>
            <w:tcW w:w="923" w:type="dxa"/>
            <w:tcBorders>
              <w:top w:val="single" w:sz="4" w:space="0" w:color="auto"/>
              <w:bottom w:val="single" w:sz="12" w:space="0" w:color="auto"/>
            </w:tcBorders>
            <w:shd w:val="clear" w:color="auto" w:fill="auto"/>
            <w:vAlign w:val="bottom"/>
          </w:tcPr>
          <w:p w14:paraId="40AA2DE0" w14:textId="77777777" w:rsidR="00CA0011" w:rsidRPr="008E60B5" w:rsidRDefault="00CA0011" w:rsidP="00371911">
            <w:pPr>
              <w:pStyle w:val="SingleTxt"/>
              <w:spacing w:before="81" w:after="81" w:line="160" w:lineRule="exact"/>
              <w:ind w:left="144" w:right="43"/>
              <w:jc w:val="center"/>
              <w:rPr>
                <w:i/>
                <w:sz w:val="14"/>
                <w:lang w:val="fr-FR"/>
              </w:rPr>
            </w:pPr>
            <w:r w:rsidRPr="008E60B5">
              <w:rPr>
                <w:i/>
                <w:sz w:val="14"/>
                <w:lang w:val="fr-FR"/>
              </w:rPr>
              <w:t>Total</w:t>
            </w:r>
          </w:p>
        </w:tc>
        <w:tc>
          <w:tcPr>
            <w:tcW w:w="922" w:type="dxa"/>
            <w:tcBorders>
              <w:top w:val="single" w:sz="4" w:space="0" w:color="auto"/>
              <w:bottom w:val="single" w:sz="12" w:space="0" w:color="auto"/>
            </w:tcBorders>
            <w:shd w:val="clear" w:color="auto" w:fill="auto"/>
            <w:vAlign w:val="bottom"/>
          </w:tcPr>
          <w:p w14:paraId="5BAEBB99" w14:textId="77777777" w:rsidR="00CA0011" w:rsidRPr="008E60B5" w:rsidRDefault="00CA0011" w:rsidP="00371911">
            <w:pPr>
              <w:pStyle w:val="SingleTxt"/>
              <w:spacing w:before="81" w:after="81" w:line="160" w:lineRule="exact"/>
              <w:ind w:left="144" w:right="43"/>
              <w:jc w:val="center"/>
              <w:rPr>
                <w:i/>
                <w:sz w:val="14"/>
                <w:lang w:val="fr-FR"/>
              </w:rPr>
            </w:pPr>
            <w:r w:rsidRPr="008E60B5">
              <w:rPr>
                <w:i/>
                <w:sz w:val="14"/>
                <w:lang w:val="fr-FR"/>
              </w:rPr>
              <w:t>Femmes</w:t>
            </w:r>
          </w:p>
        </w:tc>
        <w:tc>
          <w:tcPr>
            <w:tcW w:w="1000" w:type="dxa"/>
            <w:tcBorders>
              <w:top w:val="single" w:sz="4" w:space="0" w:color="auto"/>
              <w:bottom w:val="single" w:sz="12" w:space="0" w:color="auto"/>
            </w:tcBorders>
            <w:shd w:val="clear" w:color="auto" w:fill="auto"/>
            <w:vAlign w:val="bottom"/>
          </w:tcPr>
          <w:p w14:paraId="595FB286" w14:textId="77777777" w:rsidR="00CA0011" w:rsidRPr="008E60B5" w:rsidRDefault="00CA0011" w:rsidP="00371911">
            <w:pPr>
              <w:pStyle w:val="SingleTxt"/>
              <w:spacing w:before="81" w:after="81" w:line="160" w:lineRule="exact"/>
              <w:ind w:left="144" w:right="43"/>
              <w:jc w:val="center"/>
              <w:rPr>
                <w:i/>
                <w:sz w:val="14"/>
                <w:lang w:val="fr-FR"/>
              </w:rPr>
            </w:pPr>
            <w:r w:rsidRPr="008E60B5">
              <w:rPr>
                <w:i/>
                <w:sz w:val="14"/>
                <w:lang w:val="fr-FR"/>
              </w:rPr>
              <w:t>Total</w:t>
            </w:r>
          </w:p>
        </w:tc>
        <w:tc>
          <w:tcPr>
            <w:tcW w:w="981" w:type="dxa"/>
            <w:tcBorders>
              <w:top w:val="single" w:sz="4" w:space="0" w:color="auto"/>
              <w:bottom w:val="single" w:sz="12" w:space="0" w:color="auto"/>
            </w:tcBorders>
            <w:shd w:val="clear" w:color="auto" w:fill="auto"/>
            <w:vAlign w:val="bottom"/>
          </w:tcPr>
          <w:p w14:paraId="4750A5A2" w14:textId="77777777" w:rsidR="00CA0011" w:rsidRPr="008E60B5" w:rsidRDefault="00CA0011" w:rsidP="00371911">
            <w:pPr>
              <w:pStyle w:val="SingleTxt"/>
              <w:spacing w:before="81" w:after="81" w:line="160" w:lineRule="exact"/>
              <w:ind w:left="144" w:right="43"/>
              <w:jc w:val="center"/>
              <w:rPr>
                <w:i/>
                <w:sz w:val="14"/>
                <w:lang w:val="fr-FR"/>
              </w:rPr>
            </w:pPr>
            <w:r w:rsidRPr="008E60B5">
              <w:rPr>
                <w:i/>
                <w:sz w:val="14"/>
                <w:lang w:val="fr-FR"/>
              </w:rPr>
              <w:t>Femmes</w:t>
            </w:r>
          </w:p>
        </w:tc>
      </w:tr>
      <w:tr w:rsidR="00D34708" w:rsidRPr="008E60B5" w14:paraId="3811D40C" w14:textId="77777777" w:rsidTr="00FC6C61">
        <w:trPr>
          <w:cantSplit/>
          <w:trHeight w:hRule="exact" w:val="115"/>
          <w:tblHeader/>
        </w:trPr>
        <w:tc>
          <w:tcPr>
            <w:tcW w:w="1710" w:type="dxa"/>
            <w:tcBorders>
              <w:top w:val="single" w:sz="12" w:space="0" w:color="auto"/>
            </w:tcBorders>
            <w:shd w:val="clear" w:color="auto" w:fill="auto"/>
            <w:vAlign w:val="bottom"/>
          </w:tcPr>
          <w:p w14:paraId="3F95338D" w14:textId="77777777" w:rsidR="00D34708" w:rsidRPr="008E60B5" w:rsidRDefault="00D34708" w:rsidP="00D34708">
            <w:pPr>
              <w:pStyle w:val="SingleTxt"/>
              <w:spacing w:before="40" w:after="40" w:line="210" w:lineRule="exact"/>
              <w:ind w:left="0" w:right="40"/>
              <w:rPr>
                <w:sz w:val="17"/>
                <w:lang w:val="fr-FR"/>
              </w:rPr>
            </w:pPr>
          </w:p>
        </w:tc>
        <w:tc>
          <w:tcPr>
            <w:tcW w:w="922" w:type="dxa"/>
            <w:tcBorders>
              <w:top w:val="single" w:sz="12" w:space="0" w:color="auto"/>
            </w:tcBorders>
            <w:shd w:val="clear" w:color="auto" w:fill="auto"/>
            <w:vAlign w:val="bottom"/>
          </w:tcPr>
          <w:p w14:paraId="59E782A9" w14:textId="77777777" w:rsidR="00D34708" w:rsidRPr="008E60B5" w:rsidRDefault="00D34708" w:rsidP="00D34708">
            <w:pPr>
              <w:pStyle w:val="SingleTxt"/>
              <w:spacing w:before="40" w:after="40" w:line="210" w:lineRule="exact"/>
              <w:ind w:left="0" w:right="40"/>
              <w:jc w:val="right"/>
              <w:rPr>
                <w:sz w:val="17"/>
                <w:lang w:val="fr-FR"/>
              </w:rPr>
            </w:pPr>
          </w:p>
        </w:tc>
        <w:tc>
          <w:tcPr>
            <w:tcW w:w="922" w:type="dxa"/>
            <w:tcBorders>
              <w:top w:val="single" w:sz="12" w:space="0" w:color="auto"/>
            </w:tcBorders>
            <w:shd w:val="clear" w:color="auto" w:fill="auto"/>
            <w:vAlign w:val="bottom"/>
          </w:tcPr>
          <w:p w14:paraId="218C7074" w14:textId="77777777" w:rsidR="00D34708" w:rsidRPr="008E60B5" w:rsidRDefault="00D34708" w:rsidP="00D34708">
            <w:pPr>
              <w:pStyle w:val="SingleTxt"/>
              <w:spacing w:before="40" w:after="40" w:line="210" w:lineRule="exact"/>
              <w:ind w:left="0" w:right="40"/>
              <w:jc w:val="right"/>
              <w:rPr>
                <w:sz w:val="17"/>
                <w:lang w:val="fr-FR"/>
              </w:rPr>
            </w:pPr>
          </w:p>
        </w:tc>
        <w:tc>
          <w:tcPr>
            <w:tcW w:w="923" w:type="dxa"/>
            <w:tcBorders>
              <w:top w:val="single" w:sz="12" w:space="0" w:color="auto"/>
            </w:tcBorders>
            <w:shd w:val="clear" w:color="auto" w:fill="auto"/>
            <w:vAlign w:val="bottom"/>
          </w:tcPr>
          <w:p w14:paraId="23C2CA90" w14:textId="77777777" w:rsidR="00D34708" w:rsidRPr="008E60B5" w:rsidRDefault="00D34708" w:rsidP="00D34708">
            <w:pPr>
              <w:pStyle w:val="SingleTxt"/>
              <w:spacing w:before="40" w:after="40" w:line="210" w:lineRule="exact"/>
              <w:ind w:left="144" w:right="43"/>
              <w:jc w:val="right"/>
              <w:rPr>
                <w:sz w:val="17"/>
                <w:lang w:val="fr-FR"/>
              </w:rPr>
            </w:pPr>
          </w:p>
        </w:tc>
        <w:tc>
          <w:tcPr>
            <w:tcW w:w="922" w:type="dxa"/>
            <w:tcBorders>
              <w:top w:val="single" w:sz="12" w:space="0" w:color="auto"/>
            </w:tcBorders>
            <w:shd w:val="clear" w:color="auto" w:fill="auto"/>
            <w:vAlign w:val="bottom"/>
          </w:tcPr>
          <w:p w14:paraId="02E1C78A" w14:textId="77777777" w:rsidR="00D34708" w:rsidRPr="008E60B5" w:rsidRDefault="00D34708" w:rsidP="00D34708">
            <w:pPr>
              <w:pStyle w:val="SingleTxt"/>
              <w:spacing w:before="40" w:after="40" w:line="210" w:lineRule="exact"/>
              <w:ind w:left="144" w:right="43"/>
              <w:jc w:val="right"/>
              <w:rPr>
                <w:sz w:val="17"/>
                <w:lang w:val="fr-FR"/>
              </w:rPr>
            </w:pPr>
          </w:p>
        </w:tc>
        <w:tc>
          <w:tcPr>
            <w:tcW w:w="1000" w:type="dxa"/>
            <w:tcBorders>
              <w:top w:val="single" w:sz="12" w:space="0" w:color="auto"/>
            </w:tcBorders>
            <w:shd w:val="clear" w:color="auto" w:fill="auto"/>
            <w:vAlign w:val="bottom"/>
          </w:tcPr>
          <w:p w14:paraId="2AB0A8B7" w14:textId="77777777" w:rsidR="00D34708" w:rsidRPr="008E60B5" w:rsidRDefault="00D34708" w:rsidP="00D34708">
            <w:pPr>
              <w:pStyle w:val="SingleTxt"/>
              <w:spacing w:before="40" w:after="40" w:line="210" w:lineRule="exact"/>
              <w:ind w:left="144" w:right="43"/>
              <w:jc w:val="right"/>
              <w:rPr>
                <w:sz w:val="17"/>
                <w:lang w:val="fr-FR"/>
              </w:rPr>
            </w:pPr>
          </w:p>
        </w:tc>
        <w:tc>
          <w:tcPr>
            <w:tcW w:w="981" w:type="dxa"/>
            <w:tcBorders>
              <w:top w:val="single" w:sz="12" w:space="0" w:color="auto"/>
            </w:tcBorders>
            <w:shd w:val="clear" w:color="auto" w:fill="auto"/>
            <w:vAlign w:val="bottom"/>
          </w:tcPr>
          <w:p w14:paraId="56453512" w14:textId="77777777" w:rsidR="00D34708" w:rsidRPr="008E60B5" w:rsidRDefault="00D34708" w:rsidP="00D34708">
            <w:pPr>
              <w:pStyle w:val="SingleTxt"/>
              <w:spacing w:before="40" w:after="40" w:line="210" w:lineRule="exact"/>
              <w:ind w:left="144" w:right="43"/>
              <w:jc w:val="right"/>
              <w:rPr>
                <w:sz w:val="17"/>
                <w:lang w:val="fr-FR"/>
              </w:rPr>
            </w:pPr>
          </w:p>
        </w:tc>
      </w:tr>
      <w:tr w:rsidR="00CA0011" w:rsidRPr="008E60B5" w14:paraId="6EEA53ED" w14:textId="77777777" w:rsidTr="00FC6C61">
        <w:trPr>
          <w:cantSplit/>
        </w:trPr>
        <w:tc>
          <w:tcPr>
            <w:tcW w:w="1710" w:type="dxa"/>
            <w:shd w:val="clear" w:color="auto" w:fill="auto"/>
            <w:vAlign w:val="bottom"/>
          </w:tcPr>
          <w:p w14:paraId="1B13E12B" w14:textId="77777777" w:rsidR="00CA0011" w:rsidRPr="008E60B5" w:rsidRDefault="00CA0011" w:rsidP="00D34708">
            <w:pPr>
              <w:pStyle w:val="SingleTxt"/>
              <w:tabs>
                <w:tab w:val="left" w:pos="288"/>
                <w:tab w:val="left" w:pos="576"/>
                <w:tab w:val="left" w:pos="864"/>
                <w:tab w:val="left" w:pos="1152"/>
              </w:tabs>
              <w:spacing w:before="40" w:after="40" w:line="210" w:lineRule="exact"/>
              <w:ind w:left="0" w:right="40"/>
              <w:rPr>
                <w:sz w:val="17"/>
                <w:lang w:val="en-GB"/>
              </w:rPr>
            </w:pPr>
            <w:r w:rsidRPr="008E60B5">
              <w:rPr>
                <w:sz w:val="17"/>
                <w:lang w:val="fr-FR"/>
              </w:rPr>
              <w:t>Juillet-décembre 2013</w:t>
            </w:r>
          </w:p>
        </w:tc>
        <w:tc>
          <w:tcPr>
            <w:tcW w:w="922" w:type="dxa"/>
            <w:shd w:val="clear" w:color="auto" w:fill="auto"/>
            <w:vAlign w:val="bottom"/>
          </w:tcPr>
          <w:p w14:paraId="64B1F1AE" w14:textId="77777777" w:rsidR="00CA0011" w:rsidRPr="008E60B5" w:rsidRDefault="00CA0011" w:rsidP="00D34708">
            <w:pPr>
              <w:pStyle w:val="SingleTxt"/>
              <w:tabs>
                <w:tab w:val="left" w:pos="288"/>
                <w:tab w:val="left" w:pos="576"/>
                <w:tab w:val="left" w:pos="864"/>
                <w:tab w:val="left" w:pos="1152"/>
              </w:tabs>
              <w:spacing w:before="40" w:after="40" w:line="210" w:lineRule="exact"/>
              <w:ind w:left="0" w:right="40"/>
              <w:jc w:val="right"/>
              <w:rPr>
                <w:sz w:val="17"/>
                <w:lang w:val="en-GB"/>
              </w:rPr>
            </w:pPr>
            <w:r w:rsidRPr="008E60B5">
              <w:rPr>
                <w:sz w:val="17"/>
                <w:lang w:val="fr-FR"/>
              </w:rPr>
              <w:t>44 268</w:t>
            </w:r>
          </w:p>
        </w:tc>
        <w:tc>
          <w:tcPr>
            <w:tcW w:w="922" w:type="dxa"/>
            <w:shd w:val="clear" w:color="auto" w:fill="auto"/>
            <w:vAlign w:val="bottom"/>
          </w:tcPr>
          <w:p w14:paraId="19918FDB" w14:textId="77777777" w:rsidR="00CA0011" w:rsidRPr="008E60B5" w:rsidRDefault="00CA0011" w:rsidP="00D34708">
            <w:pPr>
              <w:pStyle w:val="SingleTxt"/>
              <w:tabs>
                <w:tab w:val="left" w:pos="288"/>
                <w:tab w:val="left" w:pos="576"/>
                <w:tab w:val="left" w:pos="864"/>
                <w:tab w:val="left" w:pos="1152"/>
              </w:tabs>
              <w:spacing w:before="40" w:after="40" w:line="210" w:lineRule="exact"/>
              <w:ind w:left="0" w:right="40"/>
              <w:jc w:val="right"/>
              <w:rPr>
                <w:sz w:val="17"/>
                <w:lang w:val="en-GB"/>
              </w:rPr>
            </w:pPr>
            <w:r w:rsidRPr="008E60B5">
              <w:rPr>
                <w:sz w:val="17"/>
                <w:lang w:val="fr-FR"/>
              </w:rPr>
              <w:t>24 289</w:t>
            </w:r>
          </w:p>
        </w:tc>
        <w:tc>
          <w:tcPr>
            <w:tcW w:w="923" w:type="dxa"/>
            <w:shd w:val="clear" w:color="auto" w:fill="auto"/>
            <w:vAlign w:val="bottom"/>
          </w:tcPr>
          <w:p w14:paraId="004890C4" w14:textId="77777777" w:rsidR="00CA0011" w:rsidRPr="008E60B5" w:rsidRDefault="00CA0011" w:rsidP="00D34708">
            <w:pPr>
              <w:pStyle w:val="SingleTxt"/>
              <w:tabs>
                <w:tab w:val="left" w:pos="288"/>
                <w:tab w:val="left" w:pos="576"/>
                <w:tab w:val="left" w:pos="864"/>
                <w:tab w:val="left" w:pos="1152"/>
              </w:tabs>
              <w:spacing w:before="40" w:after="40" w:line="210" w:lineRule="exact"/>
              <w:ind w:left="0" w:right="40"/>
              <w:jc w:val="right"/>
              <w:rPr>
                <w:sz w:val="17"/>
                <w:lang w:val="en-GB"/>
              </w:rPr>
            </w:pPr>
            <w:r w:rsidRPr="008E60B5">
              <w:rPr>
                <w:sz w:val="17"/>
                <w:lang w:val="fr-FR"/>
              </w:rPr>
              <w:t>1 819</w:t>
            </w:r>
          </w:p>
        </w:tc>
        <w:tc>
          <w:tcPr>
            <w:tcW w:w="922" w:type="dxa"/>
            <w:shd w:val="clear" w:color="auto" w:fill="auto"/>
            <w:vAlign w:val="bottom"/>
          </w:tcPr>
          <w:p w14:paraId="7AE65843" w14:textId="77777777" w:rsidR="00CA0011" w:rsidRPr="008E60B5" w:rsidRDefault="00CA0011" w:rsidP="00D34708">
            <w:pPr>
              <w:pStyle w:val="SingleTxt"/>
              <w:tabs>
                <w:tab w:val="left" w:pos="288"/>
                <w:tab w:val="left" w:pos="576"/>
                <w:tab w:val="left" w:pos="864"/>
                <w:tab w:val="left" w:pos="1152"/>
              </w:tabs>
              <w:spacing w:before="40" w:after="40" w:line="210" w:lineRule="exact"/>
              <w:ind w:left="0" w:right="40"/>
              <w:jc w:val="right"/>
              <w:rPr>
                <w:sz w:val="17"/>
                <w:lang w:val="en-GB"/>
              </w:rPr>
            </w:pPr>
            <w:r w:rsidRPr="008E60B5">
              <w:rPr>
                <w:sz w:val="17"/>
                <w:lang w:val="fr-FR"/>
              </w:rPr>
              <w:t>835</w:t>
            </w:r>
          </w:p>
        </w:tc>
        <w:tc>
          <w:tcPr>
            <w:tcW w:w="1000" w:type="dxa"/>
            <w:shd w:val="clear" w:color="auto" w:fill="auto"/>
            <w:vAlign w:val="bottom"/>
          </w:tcPr>
          <w:p w14:paraId="71D4F0DC" w14:textId="77777777" w:rsidR="00CA0011" w:rsidRPr="008E60B5" w:rsidRDefault="00CA0011" w:rsidP="00D34708">
            <w:pPr>
              <w:pStyle w:val="SingleTxt"/>
              <w:tabs>
                <w:tab w:val="left" w:pos="288"/>
                <w:tab w:val="left" w:pos="576"/>
                <w:tab w:val="left" w:pos="864"/>
                <w:tab w:val="left" w:pos="1152"/>
              </w:tabs>
              <w:spacing w:before="40" w:after="40" w:line="210" w:lineRule="exact"/>
              <w:ind w:left="0" w:right="40"/>
              <w:jc w:val="right"/>
              <w:rPr>
                <w:sz w:val="17"/>
                <w:lang w:val="en-GB"/>
              </w:rPr>
            </w:pPr>
            <w:r w:rsidRPr="008E60B5">
              <w:rPr>
                <w:sz w:val="17"/>
                <w:lang w:val="fr-FR"/>
              </w:rPr>
              <w:t>2 966</w:t>
            </w:r>
          </w:p>
        </w:tc>
        <w:tc>
          <w:tcPr>
            <w:tcW w:w="981" w:type="dxa"/>
            <w:shd w:val="clear" w:color="auto" w:fill="auto"/>
            <w:vAlign w:val="bottom"/>
          </w:tcPr>
          <w:p w14:paraId="11290D27" w14:textId="77777777" w:rsidR="00CA0011" w:rsidRPr="008E60B5" w:rsidRDefault="00CA0011" w:rsidP="00D34708">
            <w:pPr>
              <w:pStyle w:val="SingleTxt"/>
              <w:tabs>
                <w:tab w:val="left" w:pos="288"/>
                <w:tab w:val="left" w:pos="576"/>
                <w:tab w:val="left" w:pos="864"/>
                <w:tab w:val="left" w:pos="1152"/>
              </w:tabs>
              <w:spacing w:before="40" w:after="40" w:line="210" w:lineRule="exact"/>
              <w:ind w:left="0" w:right="40"/>
              <w:jc w:val="right"/>
              <w:rPr>
                <w:sz w:val="17"/>
                <w:lang w:val="en-GB"/>
              </w:rPr>
            </w:pPr>
            <w:r w:rsidRPr="008E60B5">
              <w:rPr>
                <w:sz w:val="17"/>
                <w:lang w:val="fr-FR"/>
              </w:rPr>
              <w:t>1 213</w:t>
            </w:r>
          </w:p>
        </w:tc>
      </w:tr>
      <w:tr w:rsidR="00CA0011" w:rsidRPr="008E60B5" w14:paraId="036B815B" w14:textId="77777777" w:rsidTr="00FC6C61">
        <w:trPr>
          <w:cantSplit/>
        </w:trPr>
        <w:tc>
          <w:tcPr>
            <w:tcW w:w="1710" w:type="dxa"/>
            <w:shd w:val="clear" w:color="auto" w:fill="auto"/>
            <w:vAlign w:val="bottom"/>
          </w:tcPr>
          <w:p w14:paraId="2EA2A53B" w14:textId="77777777" w:rsidR="00CA0011" w:rsidRPr="008E60B5" w:rsidRDefault="00CA0011" w:rsidP="00371911">
            <w:pPr>
              <w:pStyle w:val="SingleTxt"/>
              <w:tabs>
                <w:tab w:val="left" w:pos="288"/>
                <w:tab w:val="left" w:pos="576"/>
                <w:tab w:val="left" w:pos="864"/>
                <w:tab w:val="left" w:pos="1152"/>
              </w:tabs>
              <w:spacing w:before="40" w:after="40" w:line="210" w:lineRule="exact"/>
              <w:ind w:left="0" w:right="40"/>
              <w:jc w:val="left"/>
              <w:rPr>
                <w:sz w:val="17"/>
                <w:lang w:val="fr-FR"/>
              </w:rPr>
            </w:pPr>
            <w:r w:rsidRPr="008E60B5">
              <w:rPr>
                <w:sz w:val="17"/>
                <w:lang w:val="fr-FR"/>
              </w:rPr>
              <w:t>2014</w:t>
            </w:r>
          </w:p>
        </w:tc>
        <w:tc>
          <w:tcPr>
            <w:tcW w:w="922" w:type="dxa"/>
            <w:shd w:val="clear" w:color="auto" w:fill="auto"/>
            <w:vAlign w:val="bottom"/>
          </w:tcPr>
          <w:p w14:paraId="30A9A545" w14:textId="77777777" w:rsidR="00CA0011" w:rsidRPr="008E60B5" w:rsidRDefault="00CA0011" w:rsidP="00371911">
            <w:pPr>
              <w:pStyle w:val="SingleTxt"/>
              <w:tabs>
                <w:tab w:val="left" w:pos="288"/>
                <w:tab w:val="left" w:pos="576"/>
                <w:tab w:val="left" w:pos="864"/>
                <w:tab w:val="left" w:pos="1152"/>
              </w:tabs>
              <w:spacing w:before="40" w:after="40" w:line="210" w:lineRule="exact"/>
              <w:ind w:left="0" w:right="40"/>
              <w:jc w:val="right"/>
              <w:rPr>
                <w:sz w:val="17"/>
                <w:lang w:val="fr-FR"/>
              </w:rPr>
            </w:pPr>
            <w:r w:rsidRPr="008E60B5">
              <w:rPr>
                <w:sz w:val="17"/>
                <w:lang w:val="fr-FR"/>
              </w:rPr>
              <w:t>108 664</w:t>
            </w:r>
          </w:p>
        </w:tc>
        <w:tc>
          <w:tcPr>
            <w:tcW w:w="922" w:type="dxa"/>
            <w:shd w:val="clear" w:color="auto" w:fill="auto"/>
            <w:vAlign w:val="bottom"/>
          </w:tcPr>
          <w:p w14:paraId="773623ED" w14:textId="77777777" w:rsidR="00CA0011" w:rsidRPr="008E60B5" w:rsidRDefault="00CA0011" w:rsidP="00371911">
            <w:pPr>
              <w:pStyle w:val="SingleTxt"/>
              <w:tabs>
                <w:tab w:val="left" w:pos="288"/>
                <w:tab w:val="left" w:pos="576"/>
                <w:tab w:val="left" w:pos="864"/>
                <w:tab w:val="left" w:pos="1152"/>
              </w:tabs>
              <w:spacing w:before="40" w:after="40" w:line="210" w:lineRule="exact"/>
              <w:ind w:left="0" w:right="40"/>
              <w:jc w:val="right"/>
              <w:rPr>
                <w:sz w:val="17"/>
                <w:lang w:val="fr-FR"/>
              </w:rPr>
            </w:pPr>
            <w:r w:rsidRPr="008E60B5">
              <w:rPr>
                <w:sz w:val="17"/>
                <w:lang w:val="fr-FR"/>
              </w:rPr>
              <w:t>58 417</w:t>
            </w:r>
          </w:p>
        </w:tc>
        <w:tc>
          <w:tcPr>
            <w:tcW w:w="923" w:type="dxa"/>
            <w:shd w:val="clear" w:color="auto" w:fill="auto"/>
            <w:vAlign w:val="bottom"/>
          </w:tcPr>
          <w:p w14:paraId="730D2F75" w14:textId="77777777" w:rsidR="00CA0011" w:rsidRPr="008E60B5" w:rsidRDefault="00CA0011" w:rsidP="00371911">
            <w:pPr>
              <w:pStyle w:val="SingleTxt"/>
              <w:tabs>
                <w:tab w:val="left" w:pos="288"/>
                <w:tab w:val="left" w:pos="576"/>
                <w:tab w:val="left" w:pos="864"/>
                <w:tab w:val="left" w:pos="1152"/>
              </w:tabs>
              <w:spacing w:before="40" w:after="40" w:line="210" w:lineRule="exact"/>
              <w:ind w:left="0" w:right="40"/>
              <w:jc w:val="right"/>
              <w:rPr>
                <w:sz w:val="17"/>
                <w:lang w:val="fr-FR"/>
              </w:rPr>
            </w:pPr>
            <w:r w:rsidRPr="008E60B5">
              <w:rPr>
                <w:sz w:val="17"/>
                <w:lang w:val="fr-FR"/>
              </w:rPr>
              <w:t>3 552</w:t>
            </w:r>
          </w:p>
        </w:tc>
        <w:tc>
          <w:tcPr>
            <w:tcW w:w="922" w:type="dxa"/>
            <w:shd w:val="clear" w:color="auto" w:fill="auto"/>
            <w:vAlign w:val="bottom"/>
          </w:tcPr>
          <w:p w14:paraId="5BE29F27" w14:textId="77777777" w:rsidR="00CA0011" w:rsidRPr="008E60B5" w:rsidRDefault="00CA0011" w:rsidP="00371911">
            <w:pPr>
              <w:pStyle w:val="SingleTxt"/>
              <w:tabs>
                <w:tab w:val="left" w:pos="288"/>
                <w:tab w:val="left" w:pos="576"/>
                <w:tab w:val="left" w:pos="864"/>
                <w:tab w:val="left" w:pos="1152"/>
              </w:tabs>
              <w:spacing w:before="40" w:after="40" w:line="210" w:lineRule="exact"/>
              <w:ind w:left="0" w:right="40"/>
              <w:jc w:val="right"/>
              <w:rPr>
                <w:sz w:val="17"/>
                <w:lang w:val="fr-FR"/>
              </w:rPr>
            </w:pPr>
            <w:r w:rsidRPr="008E60B5">
              <w:rPr>
                <w:sz w:val="17"/>
                <w:lang w:val="fr-FR"/>
              </w:rPr>
              <w:t>1 708</w:t>
            </w:r>
          </w:p>
        </w:tc>
        <w:tc>
          <w:tcPr>
            <w:tcW w:w="1000" w:type="dxa"/>
            <w:shd w:val="clear" w:color="auto" w:fill="auto"/>
            <w:vAlign w:val="bottom"/>
          </w:tcPr>
          <w:p w14:paraId="20007A8E" w14:textId="77777777" w:rsidR="00CA0011" w:rsidRPr="008E60B5" w:rsidRDefault="00CA0011" w:rsidP="00371911">
            <w:pPr>
              <w:pStyle w:val="SingleTxt"/>
              <w:tabs>
                <w:tab w:val="left" w:pos="288"/>
                <w:tab w:val="left" w:pos="576"/>
                <w:tab w:val="left" w:pos="864"/>
                <w:tab w:val="left" w:pos="1152"/>
              </w:tabs>
              <w:spacing w:before="40" w:after="40" w:line="210" w:lineRule="exact"/>
              <w:ind w:left="0" w:right="40"/>
              <w:jc w:val="right"/>
              <w:rPr>
                <w:sz w:val="17"/>
                <w:lang w:val="fr-FR"/>
              </w:rPr>
            </w:pPr>
            <w:r w:rsidRPr="008E60B5">
              <w:rPr>
                <w:sz w:val="17"/>
                <w:lang w:val="fr-FR"/>
              </w:rPr>
              <w:t>6 567</w:t>
            </w:r>
          </w:p>
        </w:tc>
        <w:tc>
          <w:tcPr>
            <w:tcW w:w="981" w:type="dxa"/>
            <w:shd w:val="clear" w:color="auto" w:fill="auto"/>
            <w:vAlign w:val="bottom"/>
          </w:tcPr>
          <w:p w14:paraId="4D6A55D4" w14:textId="77777777" w:rsidR="00CA0011" w:rsidRPr="008E60B5" w:rsidRDefault="00CA0011" w:rsidP="00371911">
            <w:pPr>
              <w:pStyle w:val="SingleTxt"/>
              <w:tabs>
                <w:tab w:val="left" w:pos="288"/>
                <w:tab w:val="left" w:pos="576"/>
                <w:tab w:val="left" w:pos="864"/>
                <w:tab w:val="left" w:pos="1152"/>
              </w:tabs>
              <w:spacing w:before="40" w:after="40" w:line="210" w:lineRule="exact"/>
              <w:ind w:left="0" w:right="40"/>
              <w:jc w:val="right"/>
              <w:rPr>
                <w:sz w:val="17"/>
                <w:lang w:val="fr-FR"/>
              </w:rPr>
            </w:pPr>
            <w:r w:rsidRPr="008E60B5">
              <w:rPr>
                <w:sz w:val="17"/>
                <w:lang w:val="fr-FR"/>
              </w:rPr>
              <w:t>2 652</w:t>
            </w:r>
          </w:p>
        </w:tc>
      </w:tr>
      <w:tr w:rsidR="00CA0011" w:rsidRPr="008E60B5" w14:paraId="27EBE91D" w14:textId="77777777" w:rsidTr="00FC6C61">
        <w:trPr>
          <w:cantSplit/>
        </w:trPr>
        <w:tc>
          <w:tcPr>
            <w:tcW w:w="1710" w:type="dxa"/>
            <w:shd w:val="clear" w:color="auto" w:fill="auto"/>
            <w:vAlign w:val="bottom"/>
          </w:tcPr>
          <w:p w14:paraId="4E4E43A5" w14:textId="77777777" w:rsidR="00CA0011" w:rsidRPr="008E60B5" w:rsidRDefault="00CA0011" w:rsidP="00D34708">
            <w:pPr>
              <w:pStyle w:val="SingleTxt"/>
              <w:tabs>
                <w:tab w:val="left" w:pos="288"/>
                <w:tab w:val="left" w:pos="576"/>
                <w:tab w:val="left" w:pos="864"/>
                <w:tab w:val="left" w:pos="1152"/>
              </w:tabs>
              <w:spacing w:before="40" w:after="40" w:line="210" w:lineRule="exact"/>
              <w:ind w:left="0" w:right="40"/>
              <w:rPr>
                <w:sz w:val="17"/>
                <w:lang w:val="en-GB"/>
              </w:rPr>
            </w:pPr>
            <w:r w:rsidRPr="008E60B5">
              <w:rPr>
                <w:sz w:val="17"/>
                <w:lang w:val="fr-FR"/>
              </w:rPr>
              <w:t>2015</w:t>
            </w:r>
          </w:p>
        </w:tc>
        <w:tc>
          <w:tcPr>
            <w:tcW w:w="922" w:type="dxa"/>
            <w:shd w:val="clear" w:color="auto" w:fill="auto"/>
            <w:vAlign w:val="bottom"/>
          </w:tcPr>
          <w:p w14:paraId="2B85E4A3" w14:textId="77777777" w:rsidR="00CA0011" w:rsidRPr="008E60B5" w:rsidRDefault="00CA0011" w:rsidP="00D34708">
            <w:pPr>
              <w:pStyle w:val="SingleTxt"/>
              <w:tabs>
                <w:tab w:val="left" w:pos="288"/>
                <w:tab w:val="left" w:pos="576"/>
                <w:tab w:val="left" w:pos="864"/>
                <w:tab w:val="left" w:pos="1152"/>
              </w:tabs>
              <w:spacing w:before="40" w:after="40" w:line="210" w:lineRule="exact"/>
              <w:ind w:left="0" w:right="40"/>
              <w:jc w:val="right"/>
              <w:rPr>
                <w:sz w:val="17"/>
                <w:lang w:val="en-GB"/>
              </w:rPr>
            </w:pPr>
            <w:r w:rsidRPr="008E60B5">
              <w:rPr>
                <w:sz w:val="17"/>
                <w:lang w:val="fr-FR"/>
              </w:rPr>
              <w:t>150 953</w:t>
            </w:r>
          </w:p>
        </w:tc>
        <w:tc>
          <w:tcPr>
            <w:tcW w:w="922" w:type="dxa"/>
            <w:shd w:val="clear" w:color="auto" w:fill="auto"/>
            <w:vAlign w:val="bottom"/>
          </w:tcPr>
          <w:p w14:paraId="4AA116EF" w14:textId="77777777" w:rsidR="00CA0011" w:rsidRPr="008E60B5" w:rsidRDefault="00CA0011" w:rsidP="00D34708">
            <w:pPr>
              <w:pStyle w:val="SingleTxt"/>
              <w:tabs>
                <w:tab w:val="left" w:pos="288"/>
                <w:tab w:val="left" w:pos="576"/>
                <w:tab w:val="left" w:pos="864"/>
                <w:tab w:val="left" w:pos="1152"/>
              </w:tabs>
              <w:spacing w:before="40" w:after="40" w:line="210" w:lineRule="exact"/>
              <w:ind w:left="0" w:right="40"/>
              <w:jc w:val="right"/>
              <w:rPr>
                <w:sz w:val="17"/>
                <w:lang w:val="en-GB"/>
              </w:rPr>
            </w:pPr>
            <w:r w:rsidRPr="008E60B5">
              <w:rPr>
                <w:sz w:val="17"/>
                <w:lang w:val="fr-FR"/>
              </w:rPr>
              <w:t>79 631</w:t>
            </w:r>
          </w:p>
        </w:tc>
        <w:tc>
          <w:tcPr>
            <w:tcW w:w="923" w:type="dxa"/>
            <w:shd w:val="clear" w:color="auto" w:fill="auto"/>
            <w:vAlign w:val="bottom"/>
          </w:tcPr>
          <w:p w14:paraId="20F9A0DF" w14:textId="77777777" w:rsidR="00CA0011" w:rsidRPr="008E60B5" w:rsidRDefault="00CA0011" w:rsidP="00D34708">
            <w:pPr>
              <w:pStyle w:val="SingleTxt"/>
              <w:tabs>
                <w:tab w:val="left" w:pos="288"/>
                <w:tab w:val="left" w:pos="576"/>
                <w:tab w:val="left" w:pos="864"/>
                <w:tab w:val="left" w:pos="1152"/>
              </w:tabs>
              <w:spacing w:before="40" w:after="40" w:line="210" w:lineRule="exact"/>
              <w:ind w:left="0" w:right="40"/>
              <w:jc w:val="right"/>
              <w:rPr>
                <w:sz w:val="17"/>
                <w:lang w:val="en-GB"/>
              </w:rPr>
            </w:pPr>
            <w:r w:rsidRPr="008E60B5">
              <w:rPr>
                <w:sz w:val="17"/>
                <w:lang w:val="fr-FR"/>
              </w:rPr>
              <w:t>4 241</w:t>
            </w:r>
          </w:p>
        </w:tc>
        <w:tc>
          <w:tcPr>
            <w:tcW w:w="922" w:type="dxa"/>
            <w:shd w:val="clear" w:color="auto" w:fill="auto"/>
            <w:vAlign w:val="bottom"/>
          </w:tcPr>
          <w:p w14:paraId="239D60E2" w14:textId="77777777" w:rsidR="00CA0011" w:rsidRPr="008E60B5" w:rsidRDefault="00CA0011" w:rsidP="00D34708">
            <w:pPr>
              <w:pStyle w:val="SingleTxt"/>
              <w:tabs>
                <w:tab w:val="left" w:pos="288"/>
                <w:tab w:val="left" w:pos="576"/>
                <w:tab w:val="left" w:pos="864"/>
                <w:tab w:val="left" w:pos="1152"/>
              </w:tabs>
              <w:spacing w:before="40" w:after="40" w:line="210" w:lineRule="exact"/>
              <w:ind w:left="0" w:right="40"/>
              <w:jc w:val="right"/>
              <w:rPr>
                <w:sz w:val="17"/>
                <w:lang w:val="en-GB"/>
              </w:rPr>
            </w:pPr>
            <w:r w:rsidRPr="008E60B5">
              <w:rPr>
                <w:sz w:val="17"/>
                <w:lang w:val="fr-FR"/>
              </w:rPr>
              <w:t>1 879</w:t>
            </w:r>
          </w:p>
        </w:tc>
        <w:tc>
          <w:tcPr>
            <w:tcW w:w="1000" w:type="dxa"/>
            <w:shd w:val="clear" w:color="auto" w:fill="auto"/>
            <w:vAlign w:val="bottom"/>
          </w:tcPr>
          <w:p w14:paraId="679A77B8" w14:textId="77777777" w:rsidR="00CA0011" w:rsidRPr="008E60B5" w:rsidRDefault="00CA0011" w:rsidP="00D34708">
            <w:pPr>
              <w:pStyle w:val="SingleTxt"/>
              <w:tabs>
                <w:tab w:val="left" w:pos="288"/>
                <w:tab w:val="left" w:pos="576"/>
                <w:tab w:val="left" w:pos="864"/>
                <w:tab w:val="left" w:pos="1152"/>
              </w:tabs>
              <w:spacing w:before="40" w:after="40" w:line="210" w:lineRule="exact"/>
              <w:ind w:left="0" w:right="40"/>
              <w:jc w:val="right"/>
              <w:rPr>
                <w:sz w:val="17"/>
                <w:lang w:val="en-GB"/>
              </w:rPr>
            </w:pPr>
            <w:r w:rsidRPr="008E60B5">
              <w:rPr>
                <w:sz w:val="17"/>
                <w:lang w:val="fr-FR"/>
              </w:rPr>
              <w:t>7 620</w:t>
            </w:r>
          </w:p>
        </w:tc>
        <w:tc>
          <w:tcPr>
            <w:tcW w:w="981" w:type="dxa"/>
            <w:shd w:val="clear" w:color="auto" w:fill="auto"/>
            <w:vAlign w:val="bottom"/>
          </w:tcPr>
          <w:p w14:paraId="2BEFC1D6" w14:textId="77777777" w:rsidR="00CA0011" w:rsidRPr="008E60B5" w:rsidRDefault="00CA0011" w:rsidP="00D34708">
            <w:pPr>
              <w:pStyle w:val="SingleTxt"/>
              <w:tabs>
                <w:tab w:val="left" w:pos="288"/>
                <w:tab w:val="left" w:pos="576"/>
                <w:tab w:val="left" w:pos="864"/>
                <w:tab w:val="left" w:pos="1152"/>
              </w:tabs>
              <w:spacing w:before="40" w:after="40" w:line="210" w:lineRule="exact"/>
              <w:ind w:left="0" w:right="40"/>
              <w:jc w:val="right"/>
              <w:rPr>
                <w:sz w:val="17"/>
                <w:lang w:val="en-GB"/>
              </w:rPr>
            </w:pPr>
            <w:r w:rsidRPr="008E60B5">
              <w:rPr>
                <w:sz w:val="17"/>
                <w:lang w:val="fr-FR"/>
              </w:rPr>
              <w:t>2 997</w:t>
            </w:r>
          </w:p>
        </w:tc>
      </w:tr>
      <w:tr w:rsidR="00CA0011" w:rsidRPr="008E60B5" w14:paraId="3F1DDF0B" w14:textId="77777777" w:rsidTr="00FC6C61">
        <w:trPr>
          <w:cantSplit/>
        </w:trPr>
        <w:tc>
          <w:tcPr>
            <w:tcW w:w="1710" w:type="dxa"/>
            <w:tcBorders>
              <w:bottom w:val="single" w:sz="12" w:space="0" w:color="auto"/>
            </w:tcBorders>
            <w:shd w:val="clear" w:color="auto" w:fill="auto"/>
            <w:vAlign w:val="bottom"/>
          </w:tcPr>
          <w:p w14:paraId="205AC41F" w14:textId="77777777" w:rsidR="00CA0011" w:rsidRPr="008E60B5" w:rsidRDefault="00CA0011" w:rsidP="00D34708">
            <w:pPr>
              <w:pStyle w:val="SingleTxt"/>
              <w:tabs>
                <w:tab w:val="left" w:pos="288"/>
                <w:tab w:val="left" w:pos="576"/>
                <w:tab w:val="left" w:pos="864"/>
                <w:tab w:val="left" w:pos="1152"/>
              </w:tabs>
              <w:spacing w:before="40" w:after="40" w:line="210" w:lineRule="exact"/>
              <w:ind w:left="0" w:right="40"/>
              <w:rPr>
                <w:sz w:val="17"/>
                <w:lang w:val="en-GB"/>
              </w:rPr>
            </w:pPr>
            <w:r w:rsidRPr="008E60B5">
              <w:rPr>
                <w:sz w:val="17"/>
                <w:lang w:val="fr-FR"/>
              </w:rPr>
              <w:t>2016</w:t>
            </w:r>
          </w:p>
        </w:tc>
        <w:tc>
          <w:tcPr>
            <w:tcW w:w="922" w:type="dxa"/>
            <w:tcBorders>
              <w:bottom w:val="single" w:sz="12" w:space="0" w:color="auto"/>
            </w:tcBorders>
            <w:shd w:val="clear" w:color="auto" w:fill="auto"/>
            <w:vAlign w:val="bottom"/>
          </w:tcPr>
          <w:p w14:paraId="552290C8" w14:textId="77777777" w:rsidR="00CA0011" w:rsidRPr="008E60B5" w:rsidRDefault="00CA0011" w:rsidP="00D34708">
            <w:pPr>
              <w:pStyle w:val="SingleTxt"/>
              <w:tabs>
                <w:tab w:val="left" w:pos="288"/>
                <w:tab w:val="left" w:pos="576"/>
                <w:tab w:val="left" w:pos="864"/>
                <w:tab w:val="left" w:pos="1152"/>
              </w:tabs>
              <w:spacing w:before="40" w:after="40" w:line="210" w:lineRule="exact"/>
              <w:ind w:left="0" w:right="40"/>
              <w:jc w:val="right"/>
              <w:rPr>
                <w:sz w:val="17"/>
                <w:lang w:val="en-GB"/>
              </w:rPr>
            </w:pPr>
            <w:r w:rsidRPr="008E60B5">
              <w:rPr>
                <w:sz w:val="17"/>
                <w:lang w:val="fr-FR"/>
              </w:rPr>
              <w:t>146 627</w:t>
            </w:r>
          </w:p>
        </w:tc>
        <w:tc>
          <w:tcPr>
            <w:tcW w:w="922" w:type="dxa"/>
            <w:tcBorders>
              <w:bottom w:val="single" w:sz="12" w:space="0" w:color="auto"/>
            </w:tcBorders>
            <w:shd w:val="clear" w:color="auto" w:fill="auto"/>
            <w:vAlign w:val="bottom"/>
          </w:tcPr>
          <w:p w14:paraId="2A19395A" w14:textId="77777777" w:rsidR="00CA0011" w:rsidRPr="008E60B5" w:rsidRDefault="00CA0011" w:rsidP="00D34708">
            <w:pPr>
              <w:pStyle w:val="SingleTxt"/>
              <w:tabs>
                <w:tab w:val="left" w:pos="288"/>
                <w:tab w:val="left" w:pos="576"/>
                <w:tab w:val="left" w:pos="864"/>
                <w:tab w:val="left" w:pos="1152"/>
              </w:tabs>
              <w:spacing w:before="40" w:after="40" w:line="210" w:lineRule="exact"/>
              <w:ind w:left="0" w:right="40"/>
              <w:jc w:val="right"/>
              <w:rPr>
                <w:sz w:val="17"/>
                <w:lang w:val="en-GB"/>
              </w:rPr>
            </w:pPr>
            <w:r w:rsidRPr="008E60B5">
              <w:rPr>
                <w:sz w:val="17"/>
                <w:lang w:val="fr-FR"/>
              </w:rPr>
              <w:t>77 637</w:t>
            </w:r>
          </w:p>
        </w:tc>
        <w:tc>
          <w:tcPr>
            <w:tcW w:w="923" w:type="dxa"/>
            <w:tcBorders>
              <w:bottom w:val="single" w:sz="12" w:space="0" w:color="auto"/>
            </w:tcBorders>
            <w:shd w:val="clear" w:color="auto" w:fill="auto"/>
            <w:vAlign w:val="bottom"/>
          </w:tcPr>
          <w:p w14:paraId="24B9EC5E" w14:textId="77777777" w:rsidR="00CA0011" w:rsidRPr="008E60B5" w:rsidRDefault="00CA0011" w:rsidP="00D34708">
            <w:pPr>
              <w:pStyle w:val="SingleTxt"/>
              <w:tabs>
                <w:tab w:val="left" w:pos="288"/>
                <w:tab w:val="left" w:pos="576"/>
                <w:tab w:val="left" w:pos="864"/>
                <w:tab w:val="left" w:pos="1152"/>
              </w:tabs>
              <w:spacing w:before="40" w:after="40" w:line="210" w:lineRule="exact"/>
              <w:ind w:left="0" w:right="40"/>
              <w:jc w:val="right"/>
              <w:rPr>
                <w:sz w:val="17"/>
                <w:lang w:val="en-GB"/>
              </w:rPr>
            </w:pPr>
            <w:r w:rsidRPr="008E60B5">
              <w:rPr>
                <w:sz w:val="17"/>
                <w:lang w:val="fr-FR"/>
              </w:rPr>
              <w:t>4 307</w:t>
            </w:r>
          </w:p>
        </w:tc>
        <w:tc>
          <w:tcPr>
            <w:tcW w:w="922" w:type="dxa"/>
            <w:tcBorders>
              <w:bottom w:val="single" w:sz="12" w:space="0" w:color="auto"/>
            </w:tcBorders>
            <w:shd w:val="clear" w:color="auto" w:fill="auto"/>
            <w:vAlign w:val="bottom"/>
          </w:tcPr>
          <w:p w14:paraId="0BAD8E3F" w14:textId="77777777" w:rsidR="00CA0011" w:rsidRPr="008E60B5" w:rsidRDefault="00CA0011" w:rsidP="00D34708">
            <w:pPr>
              <w:pStyle w:val="SingleTxt"/>
              <w:tabs>
                <w:tab w:val="left" w:pos="288"/>
                <w:tab w:val="left" w:pos="576"/>
                <w:tab w:val="left" w:pos="864"/>
                <w:tab w:val="left" w:pos="1152"/>
              </w:tabs>
              <w:spacing w:before="40" w:after="40" w:line="210" w:lineRule="exact"/>
              <w:ind w:left="0" w:right="40"/>
              <w:jc w:val="right"/>
              <w:rPr>
                <w:sz w:val="17"/>
                <w:lang w:val="en-GB"/>
              </w:rPr>
            </w:pPr>
            <w:r w:rsidRPr="008E60B5">
              <w:rPr>
                <w:sz w:val="17"/>
                <w:lang w:val="fr-FR"/>
              </w:rPr>
              <w:t>1 851</w:t>
            </w:r>
          </w:p>
        </w:tc>
        <w:tc>
          <w:tcPr>
            <w:tcW w:w="1000" w:type="dxa"/>
            <w:tcBorders>
              <w:bottom w:val="single" w:sz="12" w:space="0" w:color="auto"/>
            </w:tcBorders>
            <w:shd w:val="clear" w:color="auto" w:fill="auto"/>
            <w:vAlign w:val="bottom"/>
          </w:tcPr>
          <w:p w14:paraId="1C36ADED" w14:textId="77777777" w:rsidR="00CA0011" w:rsidRPr="008E60B5" w:rsidRDefault="00CA0011" w:rsidP="00D34708">
            <w:pPr>
              <w:pStyle w:val="SingleTxt"/>
              <w:tabs>
                <w:tab w:val="left" w:pos="288"/>
                <w:tab w:val="left" w:pos="576"/>
                <w:tab w:val="left" w:pos="864"/>
                <w:tab w:val="left" w:pos="1152"/>
              </w:tabs>
              <w:spacing w:before="40" w:after="40" w:line="210" w:lineRule="exact"/>
              <w:ind w:left="0" w:right="40"/>
              <w:jc w:val="right"/>
              <w:rPr>
                <w:sz w:val="17"/>
                <w:lang w:val="en-GB"/>
              </w:rPr>
            </w:pPr>
            <w:r w:rsidRPr="008E60B5">
              <w:rPr>
                <w:sz w:val="17"/>
                <w:lang w:val="fr-FR"/>
              </w:rPr>
              <w:t>8 219</w:t>
            </w:r>
          </w:p>
        </w:tc>
        <w:tc>
          <w:tcPr>
            <w:tcW w:w="981" w:type="dxa"/>
            <w:tcBorders>
              <w:bottom w:val="single" w:sz="12" w:space="0" w:color="auto"/>
            </w:tcBorders>
            <w:shd w:val="clear" w:color="auto" w:fill="auto"/>
            <w:vAlign w:val="bottom"/>
          </w:tcPr>
          <w:p w14:paraId="78BB28EC" w14:textId="77777777" w:rsidR="00CA0011" w:rsidRPr="008E60B5" w:rsidRDefault="00CA0011" w:rsidP="00D34708">
            <w:pPr>
              <w:pStyle w:val="SingleTxt"/>
              <w:tabs>
                <w:tab w:val="left" w:pos="288"/>
                <w:tab w:val="left" w:pos="576"/>
                <w:tab w:val="left" w:pos="864"/>
                <w:tab w:val="left" w:pos="1152"/>
              </w:tabs>
              <w:spacing w:before="40" w:after="40" w:line="210" w:lineRule="exact"/>
              <w:ind w:left="0" w:right="40"/>
              <w:jc w:val="right"/>
              <w:rPr>
                <w:sz w:val="17"/>
                <w:lang w:val="en-GB"/>
              </w:rPr>
            </w:pPr>
            <w:r w:rsidRPr="008E60B5">
              <w:rPr>
                <w:sz w:val="17"/>
                <w:lang w:val="fr-FR"/>
              </w:rPr>
              <w:t>3 490</w:t>
            </w:r>
          </w:p>
        </w:tc>
      </w:tr>
    </w:tbl>
    <w:p w14:paraId="70E2B5D0" w14:textId="77777777" w:rsidR="00D34708" w:rsidRPr="008E60B5" w:rsidRDefault="00D34708" w:rsidP="00D34708">
      <w:pPr>
        <w:pStyle w:val="SingleTxt"/>
        <w:spacing w:after="0" w:line="120" w:lineRule="exact"/>
        <w:rPr>
          <w:sz w:val="10"/>
          <w:lang w:val="fr-FR"/>
        </w:rPr>
      </w:pPr>
    </w:p>
    <w:p w14:paraId="73B49BAF" w14:textId="77777777" w:rsidR="00D34708" w:rsidRPr="008E60B5" w:rsidRDefault="00D34708" w:rsidP="00D34708">
      <w:pPr>
        <w:pStyle w:val="SingleTxt"/>
        <w:spacing w:after="0" w:line="120" w:lineRule="exact"/>
        <w:rPr>
          <w:sz w:val="10"/>
          <w:lang w:val="fr-FR"/>
        </w:rPr>
      </w:pPr>
    </w:p>
    <w:p w14:paraId="780285D4" w14:textId="57CBB9EC" w:rsidR="00CA0011" w:rsidRPr="008E60B5" w:rsidRDefault="00CA0011" w:rsidP="00A15EC1">
      <w:pPr>
        <w:pStyle w:val="SingleTxt"/>
        <w:numPr>
          <w:ilvl w:val="0"/>
          <w:numId w:val="22"/>
        </w:numPr>
        <w:spacing w:line="240" w:lineRule="exact"/>
        <w:rPr>
          <w:lang w:val="fr-FR"/>
        </w:rPr>
      </w:pPr>
      <w:r w:rsidRPr="008E60B5">
        <w:rPr>
          <w:lang w:val="fr-FR"/>
        </w:rPr>
        <w:t>Conformément au règlement relatif au contenu et aux modalités de présentation des programmes d</w:t>
      </w:r>
      <w:r w:rsidR="008E60B5" w:rsidRPr="008E60B5">
        <w:rPr>
          <w:lang w:val="fr-FR"/>
        </w:rPr>
        <w:t>’</w:t>
      </w:r>
      <w:r w:rsidRPr="008E60B5">
        <w:rPr>
          <w:lang w:val="fr-FR"/>
        </w:rPr>
        <w:t>élimination ou d</w:t>
      </w:r>
      <w:r w:rsidR="008E60B5" w:rsidRPr="008E60B5">
        <w:rPr>
          <w:lang w:val="fr-FR"/>
        </w:rPr>
        <w:t>’</w:t>
      </w:r>
      <w:r w:rsidRPr="008E60B5">
        <w:rPr>
          <w:lang w:val="fr-FR"/>
        </w:rPr>
        <w:t xml:space="preserve">atténuation du déséquilibre entre les sexes et des rapports annuels consacrés à leur mise en </w:t>
      </w:r>
      <w:r w:rsidR="00661D46">
        <w:rPr>
          <w:lang w:val="fr-FR"/>
        </w:rPr>
        <w:t>œ</w:t>
      </w:r>
      <w:r w:rsidRPr="008E60B5">
        <w:rPr>
          <w:lang w:val="fr-FR"/>
        </w:rPr>
        <w:t>uvre, le Ministère du travail a reçu 428</w:t>
      </w:r>
      <w:r w:rsidR="00A967DF" w:rsidRPr="008E60B5">
        <w:rPr>
          <w:lang w:val="fr-FR"/>
        </w:rPr>
        <w:t> </w:t>
      </w:r>
      <w:r w:rsidRPr="008E60B5">
        <w:rPr>
          <w:lang w:val="fr-FR"/>
        </w:rPr>
        <w:t>programmes et rapports de différents acteurs économiques en 2016 et en avait reçu 409 au 31 mars 2017. En 2015, les inspecteurs du travail ont procédé à 3</w:t>
      </w:r>
      <w:r w:rsidR="00A967DF" w:rsidRPr="008E60B5">
        <w:rPr>
          <w:lang w:val="fr-FR"/>
        </w:rPr>
        <w:t> </w:t>
      </w:r>
      <w:r w:rsidRPr="008E60B5">
        <w:rPr>
          <w:lang w:val="fr-FR"/>
        </w:rPr>
        <w:t>157 vérifications de la conformité à la loi sur l</w:t>
      </w:r>
      <w:r w:rsidR="008E60B5" w:rsidRPr="008E60B5">
        <w:rPr>
          <w:lang w:val="fr-FR"/>
        </w:rPr>
        <w:t>’</w:t>
      </w:r>
      <w:r w:rsidRPr="008E60B5">
        <w:rPr>
          <w:lang w:val="fr-FR"/>
        </w:rPr>
        <w:t>égalité des sexes et adopté deux décisions afin de remédier aux manquements constatés. Il a été exigé des employeurs en faute qu</w:t>
      </w:r>
      <w:r w:rsidR="008E60B5" w:rsidRPr="008E60B5">
        <w:rPr>
          <w:lang w:val="fr-FR"/>
        </w:rPr>
        <w:t>’</w:t>
      </w:r>
      <w:r w:rsidRPr="008E60B5">
        <w:rPr>
          <w:lang w:val="fr-FR"/>
        </w:rPr>
        <w:t>ils adoptent un ensemble de mesures afin de corriger le déséquilibre entre les sexes et qu</w:t>
      </w:r>
      <w:r w:rsidR="008E60B5" w:rsidRPr="008E60B5">
        <w:rPr>
          <w:lang w:val="fr-FR"/>
        </w:rPr>
        <w:t>’</w:t>
      </w:r>
      <w:r w:rsidRPr="008E60B5">
        <w:rPr>
          <w:lang w:val="fr-FR"/>
        </w:rPr>
        <w:t>ils consignent la répartition par sexe de leurs employés. En 2015, l</w:t>
      </w:r>
      <w:r w:rsidR="008E60B5" w:rsidRPr="008E60B5">
        <w:rPr>
          <w:lang w:val="fr-FR"/>
        </w:rPr>
        <w:t>’</w:t>
      </w:r>
      <w:r w:rsidRPr="008E60B5">
        <w:rPr>
          <w:lang w:val="fr-FR"/>
        </w:rPr>
        <w:t>Inspection du travail a reçu un signalement faisant état d</w:t>
      </w:r>
      <w:r w:rsidR="008E60B5" w:rsidRPr="008E60B5">
        <w:rPr>
          <w:lang w:val="fr-FR"/>
        </w:rPr>
        <w:t>’</w:t>
      </w:r>
      <w:r w:rsidRPr="008E60B5">
        <w:rPr>
          <w:lang w:val="fr-FR"/>
        </w:rPr>
        <w:t>une violation de la loi sur l</w:t>
      </w:r>
      <w:r w:rsidR="008E60B5" w:rsidRPr="008E60B5">
        <w:rPr>
          <w:lang w:val="fr-FR"/>
        </w:rPr>
        <w:t>’</w:t>
      </w:r>
      <w:r w:rsidRPr="008E60B5">
        <w:rPr>
          <w:lang w:val="fr-FR"/>
        </w:rPr>
        <w:t>égalité des sexes. En 2016, les inspecteurs du travail ont procédé à 1 632 vérifications et n</w:t>
      </w:r>
      <w:r w:rsidR="008E60B5" w:rsidRPr="008E60B5">
        <w:rPr>
          <w:lang w:val="fr-FR"/>
        </w:rPr>
        <w:t>’</w:t>
      </w:r>
      <w:r w:rsidRPr="008E60B5">
        <w:rPr>
          <w:lang w:val="fr-FR"/>
        </w:rPr>
        <w:t>ont relevé aucun manquement. Les employeurs à qui l</w:t>
      </w:r>
      <w:r w:rsidR="008E60B5" w:rsidRPr="008E60B5">
        <w:rPr>
          <w:lang w:val="fr-FR"/>
        </w:rPr>
        <w:t>’</w:t>
      </w:r>
      <w:r w:rsidRPr="008E60B5">
        <w:rPr>
          <w:lang w:val="fr-FR"/>
        </w:rPr>
        <w:t>obligation légale avait été imposée d</w:t>
      </w:r>
      <w:r w:rsidR="008E60B5" w:rsidRPr="008E60B5">
        <w:rPr>
          <w:lang w:val="fr-FR"/>
        </w:rPr>
        <w:t>’</w:t>
      </w:r>
      <w:r w:rsidRPr="008E60B5">
        <w:rPr>
          <w:lang w:val="fr-FR"/>
        </w:rPr>
        <w:t>adopter un ensemble de mesures pour remédier au déséquilibre entre les sexes et de consigner la répartition par sexe de leurs employés ont respecté cette obligation.</w:t>
      </w:r>
    </w:p>
    <w:p w14:paraId="13D5183E" w14:textId="146C773E" w:rsidR="00CA0011" w:rsidRPr="008E60B5" w:rsidRDefault="00CA0011" w:rsidP="00A967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lastRenderedPageBreak/>
        <w:tab/>
      </w:r>
      <w:r w:rsidRPr="008E60B5">
        <w:rPr>
          <w:lang w:val="fr-FR"/>
        </w:rPr>
        <w:tab/>
        <w:t>Mesures dans le domaine des soins de santé</w:t>
      </w:r>
    </w:p>
    <w:p w14:paraId="7DFC6193" w14:textId="77777777" w:rsidR="00A967DF" w:rsidRPr="008E60B5" w:rsidRDefault="00A967DF" w:rsidP="00A967DF">
      <w:pPr>
        <w:pStyle w:val="SingleTxt"/>
        <w:spacing w:after="0" w:line="120" w:lineRule="exact"/>
        <w:rPr>
          <w:sz w:val="10"/>
          <w:lang w:val="fr-FR"/>
        </w:rPr>
      </w:pPr>
    </w:p>
    <w:p w14:paraId="710FD0AC" w14:textId="1A5E5849" w:rsidR="00CA0011" w:rsidRPr="008E60B5" w:rsidRDefault="00CA0011" w:rsidP="00A15EC1">
      <w:pPr>
        <w:pStyle w:val="SingleTxt"/>
        <w:numPr>
          <w:ilvl w:val="0"/>
          <w:numId w:val="22"/>
        </w:numPr>
        <w:spacing w:line="240" w:lineRule="exact"/>
        <w:rPr>
          <w:lang w:val="fr-FR"/>
        </w:rPr>
      </w:pPr>
      <w:r w:rsidRPr="008E60B5">
        <w:rPr>
          <w:lang w:val="fr-FR"/>
        </w:rPr>
        <w:t>Plus de 90</w:t>
      </w:r>
      <w:r w:rsidR="00002E6B" w:rsidRPr="008E60B5">
        <w:rPr>
          <w:lang w:val="fr-FR"/>
        </w:rPr>
        <w:t> %</w:t>
      </w:r>
      <w:r w:rsidRPr="008E60B5">
        <w:rPr>
          <w:lang w:val="fr-FR"/>
        </w:rPr>
        <w:t xml:space="preserve"> des Roms, hommes comme femmes, bénéficient de l</w:t>
      </w:r>
      <w:r w:rsidR="008E60B5" w:rsidRPr="008E60B5">
        <w:rPr>
          <w:lang w:val="fr-FR"/>
        </w:rPr>
        <w:t>’</w:t>
      </w:r>
      <w:r w:rsidRPr="008E60B5">
        <w:rPr>
          <w:lang w:val="fr-FR"/>
        </w:rPr>
        <w:t>assurance maladie obligatoire à laquelle ils peuvent prétendre. Ce résultat peut être attribué aux mesures qui ont permis aux branches de la Caisse d</w:t>
      </w:r>
      <w:r w:rsidR="008E60B5" w:rsidRPr="008E60B5">
        <w:rPr>
          <w:lang w:val="fr-FR"/>
        </w:rPr>
        <w:t>’</w:t>
      </w:r>
      <w:r w:rsidRPr="008E60B5">
        <w:rPr>
          <w:lang w:val="fr-FR"/>
        </w:rPr>
        <w:t>assurance médicale obligatoire d</w:t>
      </w:r>
      <w:r w:rsidR="008E60B5" w:rsidRPr="008E60B5">
        <w:rPr>
          <w:lang w:val="fr-FR"/>
        </w:rPr>
        <w:t>’</w:t>
      </w:r>
      <w:r w:rsidRPr="008E60B5">
        <w:rPr>
          <w:lang w:val="fr-FR"/>
        </w:rPr>
        <w:t>accorder ce droit aux personnes d</w:t>
      </w:r>
      <w:r w:rsidR="008E60B5" w:rsidRPr="008E60B5">
        <w:rPr>
          <w:lang w:val="fr-FR"/>
        </w:rPr>
        <w:t>’</w:t>
      </w:r>
      <w:r w:rsidRPr="008E60B5">
        <w:rPr>
          <w:lang w:val="fr-FR"/>
        </w:rPr>
        <w:t>origine rom ne possédant pas de papiers d</w:t>
      </w:r>
      <w:r w:rsidR="008E60B5" w:rsidRPr="008E60B5">
        <w:rPr>
          <w:lang w:val="fr-FR"/>
        </w:rPr>
        <w:t>’</w:t>
      </w:r>
      <w:r w:rsidRPr="008E60B5">
        <w:rPr>
          <w:lang w:val="fr-FR"/>
        </w:rPr>
        <w:t>identité, sur la base d</w:t>
      </w:r>
      <w:r w:rsidR="008E60B5" w:rsidRPr="008E60B5">
        <w:rPr>
          <w:lang w:val="fr-FR"/>
        </w:rPr>
        <w:t>’</w:t>
      </w:r>
      <w:r w:rsidRPr="008E60B5">
        <w:rPr>
          <w:lang w:val="fr-FR"/>
        </w:rPr>
        <w:t xml:space="preserve">une déclaration signée par deux témoins. </w:t>
      </w:r>
    </w:p>
    <w:p w14:paraId="35749F0C" w14:textId="77777777" w:rsidR="00A967DF" w:rsidRPr="008E60B5" w:rsidRDefault="00A967DF" w:rsidP="00A967DF">
      <w:pPr>
        <w:pStyle w:val="SingleTxt"/>
        <w:spacing w:after="0" w:line="120" w:lineRule="exact"/>
        <w:rPr>
          <w:b/>
          <w:sz w:val="10"/>
          <w:lang w:val="fr-FR"/>
        </w:rPr>
      </w:pPr>
    </w:p>
    <w:p w14:paraId="06C541A3" w14:textId="559AEB62" w:rsidR="00CA0011" w:rsidRPr="008E60B5" w:rsidRDefault="00CA0011" w:rsidP="00A967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Mesures dans le domaine du logement</w:t>
      </w:r>
    </w:p>
    <w:p w14:paraId="3344E73E" w14:textId="751ABD9A" w:rsidR="00A967DF" w:rsidRPr="008E60B5" w:rsidRDefault="00A967DF" w:rsidP="00A967DF">
      <w:pPr>
        <w:pStyle w:val="SingleTxt"/>
        <w:spacing w:after="0" w:line="120" w:lineRule="exact"/>
        <w:rPr>
          <w:sz w:val="10"/>
          <w:lang w:val="fr-FR"/>
        </w:rPr>
      </w:pPr>
    </w:p>
    <w:p w14:paraId="5873B419" w14:textId="17D2E710" w:rsidR="00CA0011" w:rsidRPr="008E60B5" w:rsidRDefault="00CA0011" w:rsidP="00A15EC1">
      <w:pPr>
        <w:pStyle w:val="SingleTxt"/>
        <w:numPr>
          <w:ilvl w:val="0"/>
          <w:numId w:val="22"/>
        </w:numPr>
        <w:spacing w:line="240" w:lineRule="exact"/>
        <w:rPr>
          <w:lang w:val="fr-FR"/>
        </w:rPr>
      </w:pPr>
      <w:r w:rsidRPr="008E60B5">
        <w:rPr>
          <w:lang w:val="fr-FR"/>
        </w:rPr>
        <w:t>Afin d</w:t>
      </w:r>
      <w:r w:rsidR="008E60B5" w:rsidRPr="008E60B5">
        <w:rPr>
          <w:lang w:val="fr-FR"/>
        </w:rPr>
        <w:t>’</w:t>
      </w:r>
      <w:r w:rsidRPr="008E60B5">
        <w:rPr>
          <w:lang w:val="fr-FR"/>
        </w:rPr>
        <w:t>améliorer la situation des personnes issues de la minorité nationale rom en ce qui concerne le logement, un système national d</w:t>
      </w:r>
      <w:r w:rsidR="008E60B5" w:rsidRPr="008E60B5">
        <w:rPr>
          <w:lang w:val="fr-FR"/>
        </w:rPr>
        <w:t>’</w:t>
      </w:r>
      <w:r w:rsidRPr="008E60B5">
        <w:rPr>
          <w:lang w:val="fr-FR"/>
        </w:rPr>
        <w:t>informations géographiques a été élaboré avec l</w:t>
      </w:r>
      <w:r w:rsidR="008E60B5" w:rsidRPr="008E60B5">
        <w:rPr>
          <w:lang w:val="fr-FR"/>
        </w:rPr>
        <w:t>’</w:t>
      </w:r>
      <w:r w:rsidRPr="008E60B5">
        <w:rPr>
          <w:lang w:val="fr-FR"/>
        </w:rPr>
        <w:t>appui de la Mission de l</w:t>
      </w:r>
      <w:r w:rsidR="008E60B5" w:rsidRPr="008E60B5">
        <w:rPr>
          <w:lang w:val="fr-FR"/>
        </w:rPr>
        <w:t>’</w:t>
      </w:r>
      <w:r w:rsidRPr="008E60B5">
        <w:rPr>
          <w:lang w:val="fr-FR"/>
        </w:rPr>
        <w:t>OSCE en Serbie dans le cadre du projet « We are here together – European Support for Roma Inclusion », et une base de données répertoriant 583 campements roms n</w:t>
      </w:r>
      <w:r w:rsidR="008E60B5" w:rsidRPr="008E60B5">
        <w:rPr>
          <w:lang w:val="fr-FR"/>
        </w:rPr>
        <w:t>’</w:t>
      </w:r>
      <w:r w:rsidRPr="008E60B5">
        <w:rPr>
          <w:lang w:val="fr-FR"/>
        </w:rPr>
        <w:t>offrant pas des conditions de logement décentes en Serbie a été créée. Cette base de données devrait permettre au Ministère de l</w:t>
      </w:r>
      <w:r w:rsidR="008E60B5" w:rsidRPr="008E60B5">
        <w:rPr>
          <w:lang w:val="fr-FR"/>
        </w:rPr>
        <w:t>’</w:t>
      </w:r>
      <w:r w:rsidRPr="008E60B5">
        <w:rPr>
          <w:lang w:val="fr-FR"/>
        </w:rPr>
        <w:t>administration publique et des collectivités locales de suivre les principaux indicateurs de développement dans ces campements et de faciliter la collecte et l</w:t>
      </w:r>
      <w:r w:rsidR="008E60B5" w:rsidRPr="008E60B5">
        <w:rPr>
          <w:lang w:val="fr-FR"/>
        </w:rPr>
        <w:t>’</w:t>
      </w:r>
      <w:r w:rsidRPr="008E60B5">
        <w:rPr>
          <w:lang w:val="fr-FR"/>
        </w:rPr>
        <w:t>analyse des données relatives aux conditions de vie des gens qui y résident</w:t>
      </w:r>
      <w:r w:rsidR="00002E6B" w:rsidRPr="008E60B5">
        <w:rPr>
          <w:lang w:val="fr-FR"/>
        </w:rPr>
        <w:t xml:space="preserve"> </w:t>
      </w:r>
      <w:r w:rsidRPr="008E60B5">
        <w:rPr>
          <w:lang w:val="fr-FR"/>
        </w:rPr>
        <w:t>afin d</w:t>
      </w:r>
      <w:r w:rsidR="008E60B5" w:rsidRPr="008E60B5">
        <w:rPr>
          <w:lang w:val="fr-FR"/>
        </w:rPr>
        <w:t>’</w:t>
      </w:r>
      <w:r w:rsidRPr="008E60B5">
        <w:rPr>
          <w:lang w:val="fr-FR"/>
        </w:rPr>
        <w:t>améliorer les investissements en la matière et, ainsi, le niveau de vie de la communauté rom.</w:t>
      </w:r>
    </w:p>
    <w:p w14:paraId="02B96452" w14:textId="7BB51B6B" w:rsidR="0081185B" w:rsidRPr="008E60B5" w:rsidRDefault="00CA0011" w:rsidP="00A15EC1">
      <w:pPr>
        <w:pStyle w:val="SingleTxt"/>
        <w:numPr>
          <w:ilvl w:val="0"/>
          <w:numId w:val="23"/>
        </w:numPr>
        <w:spacing w:line="240" w:lineRule="exact"/>
        <w:rPr>
          <w:lang w:val="fr-FR"/>
        </w:rPr>
      </w:pPr>
      <w:r w:rsidRPr="008E60B5">
        <w:rPr>
          <w:lang w:val="fr-FR"/>
        </w:rPr>
        <w:t>Lors de la première phase du projet « Building a Home Together », qui a été financé par l</w:t>
      </w:r>
      <w:r w:rsidR="008E60B5" w:rsidRPr="008E60B5">
        <w:rPr>
          <w:lang w:val="fr-FR"/>
        </w:rPr>
        <w:t>’</w:t>
      </w:r>
      <w:r w:rsidRPr="008E60B5">
        <w:rPr>
          <w:lang w:val="fr-FR"/>
        </w:rPr>
        <w:t>Union européenne à hauteur de 3,6 millions d</w:t>
      </w:r>
      <w:r w:rsidR="008E60B5" w:rsidRPr="008E60B5">
        <w:rPr>
          <w:lang w:val="fr-FR"/>
        </w:rPr>
        <w:t>’</w:t>
      </w:r>
      <w:r w:rsidRPr="008E60B5">
        <w:rPr>
          <w:lang w:val="fr-FR"/>
        </w:rPr>
        <w:t>euros, trois immeubles de</w:t>
      </w:r>
      <w:r w:rsidR="00690974">
        <w:rPr>
          <w:lang w:val="fr-FR"/>
        </w:rPr>
        <w:t xml:space="preserve"> logeme</w:t>
      </w:r>
      <w:r w:rsidRPr="008E60B5">
        <w:rPr>
          <w:lang w:val="fr-FR"/>
        </w:rPr>
        <w:t xml:space="preserve">nts sociaux pouvant recevoir 59 familles ont été construits, des maisons ont été achetées en zone rurale pour 41 familles et </w:t>
      </w:r>
      <w:r w:rsidR="00690974">
        <w:rPr>
          <w:lang w:val="fr-FR"/>
        </w:rPr>
        <w:t>10</w:t>
      </w:r>
      <w:r w:rsidRPr="008E60B5">
        <w:rPr>
          <w:lang w:val="fr-FR"/>
        </w:rPr>
        <w:t xml:space="preserve"> familles ont reçu une aide pour reconstruire leur maison. La deuxième phase du projet a commencé en mars 2017 et durera deux ans. Elle consistera en la construction d</w:t>
      </w:r>
      <w:r w:rsidR="008E60B5" w:rsidRPr="008E60B5">
        <w:rPr>
          <w:lang w:val="fr-FR"/>
        </w:rPr>
        <w:t>’</w:t>
      </w:r>
      <w:r w:rsidR="0081185B" w:rsidRPr="008E60B5">
        <w:rPr>
          <w:lang w:val="fr-FR"/>
        </w:rPr>
        <w:t>un immeuble de 2</w:t>
      </w:r>
      <w:r w:rsidR="00690974">
        <w:rPr>
          <w:lang w:val="fr-FR"/>
        </w:rPr>
        <w:t>3</w:t>
      </w:r>
      <w:r w:rsidR="00A967DF" w:rsidRPr="008E60B5">
        <w:rPr>
          <w:lang w:val="fr-FR"/>
        </w:rPr>
        <w:t> </w:t>
      </w:r>
      <w:r w:rsidRPr="008E60B5">
        <w:rPr>
          <w:lang w:val="fr-FR"/>
        </w:rPr>
        <w:t>appartements. Par ailleurs, 27 familles recevront des fonds pour acheter et rénover des maisons en zone rurale. La ville de Belgrade fournira les terrains et les permis et autorisations nécessaires à la connectivité des infrastructures, ainsi qu</w:t>
      </w:r>
      <w:r w:rsidR="008E60B5" w:rsidRPr="008E60B5">
        <w:rPr>
          <w:lang w:val="fr-FR"/>
        </w:rPr>
        <w:t>’</w:t>
      </w:r>
      <w:r w:rsidRPr="008E60B5">
        <w:rPr>
          <w:lang w:val="fr-FR"/>
        </w:rPr>
        <w:t xml:space="preserve">aux opérations décidées par les bénéficiaires. </w:t>
      </w:r>
    </w:p>
    <w:p w14:paraId="61783E41" w14:textId="77777777" w:rsidR="00AC44CB" w:rsidRPr="008E60B5" w:rsidRDefault="00AC44CB" w:rsidP="00AC44CB">
      <w:pPr>
        <w:pStyle w:val="SingleTxt"/>
        <w:spacing w:after="0" w:line="120" w:lineRule="exact"/>
        <w:rPr>
          <w:b/>
          <w:sz w:val="10"/>
          <w:lang w:val="fr-FR"/>
        </w:rPr>
      </w:pPr>
    </w:p>
    <w:p w14:paraId="0D440FB7" w14:textId="77777777" w:rsidR="00AC44CB" w:rsidRPr="008E60B5" w:rsidRDefault="00AC44CB" w:rsidP="00AC44CB">
      <w:pPr>
        <w:pStyle w:val="SingleTxt"/>
        <w:spacing w:after="0" w:line="120" w:lineRule="exact"/>
        <w:rPr>
          <w:b/>
          <w:sz w:val="10"/>
          <w:lang w:val="fr-FR"/>
        </w:rPr>
      </w:pPr>
    </w:p>
    <w:p w14:paraId="149A37D8" w14:textId="6DFAA888" w:rsidR="00CA0011" w:rsidRPr="008E60B5" w:rsidRDefault="00CA0011" w:rsidP="00AC44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Article 5</w:t>
      </w:r>
    </w:p>
    <w:p w14:paraId="442048CA" w14:textId="154803A8" w:rsidR="00AC44CB" w:rsidRPr="008E60B5" w:rsidRDefault="00AC44CB" w:rsidP="0081185B">
      <w:pPr>
        <w:pStyle w:val="SingleTxt"/>
        <w:spacing w:after="0" w:line="120" w:lineRule="exact"/>
        <w:rPr>
          <w:sz w:val="10"/>
          <w:lang w:val="fr-FR"/>
        </w:rPr>
      </w:pPr>
    </w:p>
    <w:p w14:paraId="06C0FE1B" w14:textId="63868408" w:rsidR="0081185B" w:rsidRPr="008E60B5" w:rsidRDefault="0081185B" w:rsidP="0081185B">
      <w:pPr>
        <w:pStyle w:val="SingleTxt"/>
        <w:spacing w:after="0" w:line="120" w:lineRule="exact"/>
        <w:rPr>
          <w:sz w:val="10"/>
          <w:lang w:val="fr-FR"/>
        </w:rPr>
      </w:pPr>
    </w:p>
    <w:p w14:paraId="7B5D1E1A" w14:textId="77777777" w:rsidR="00CA0011" w:rsidRPr="008E60B5" w:rsidRDefault="00CA0011" w:rsidP="008118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Élimination des stéréotypes</w:t>
      </w:r>
    </w:p>
    <w:p w14:paraId="4C669BB4" w14:textId="77777777" w:rsidR="0081185B" w:rsidRPr="008E60B5" w:rsidRDefault="0081185B" w:rsidP="0081185B">
      <w:pPr>
        <w:pStyle w:val="SingleTxt"/>
        <w:spacing w:after="0" w:line="120" w:lineRule="exact"/>
        <w:rPr>
          <w:i/>
          <w:sz w:val="10"/>
          <w:lang w:val="fr-FR"/>
        </w:rPr>
      </w:pPr>
    </w:p>
    <w:p w14:paraId="3E58B3F9" w14:textId="0E54DFAF" w:rsidR="00CA0011" w:rsidRPr="008E60B5" w:rsidRDefault="00F841A6" w:rsidP="00F841A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r>
      <w:r w:rsidR="00CA0011" w:rsidRPr="008E60B5">
        <w:rPr>
          <w:lang w:val="fr-FR"/>
        </w:rPr>
        <w:t>Recommandation formulée au paragraphe 21</w:t>
      </w:r>
    </w:p>
    <w:p w14:paraId="43ABBF0E" w14:textId="199AD6F8" w:rsidR="0081185B" w:rsidRPr="008E60B5" w:rsidRDefault="0081185B" w:rsidP="0081185B">
      <w:pPr>
        <w:pStyle w:val="SingleTxt"/>
        <w:spacing w:after="0" w:line="120" w:lineRule="exact"/>
        <w:rPr>
          <w:i/>
          <w:sz w:val="10"/>
          <w:lang w:val="fr-FR"/>
        </w:rPr>
      </w:pPr>
    </w:p>
    <w:p w14:paraId="6BFD19EB" w14:textId="02E1A2FA" w:rsidR="00CA0011" w:rsidRPr="008E60B5" w:rsidRDefault="00CA0011" w:rsidP="00A15EC1">
      <w:pPr>
        <w:pStyle w:val="SingleTxt"/>
        <w:numPr>
          <w:ilvl w:val="0"/>
          <w:numId w:val="23"/>
        </w:numPr>
        <w:spacing w:line="240" w:lineRule="exact"/>
        <w:rPr>
          <w:lang w:val="fr-FR"/>
        </w:rPr>
      </w:pPr>
      <w:r w:rsidRPr="008E60B5">
        <w:rPr>
          <w:lang w:val="fr-FR"/>
        </w:rPr>
        <w:t>Au titre de ses activités ordinaires, l</w:t>
      </w:r>
      <w:r w:rsidR="008E60B5" w:rsidRPr="008E60B5">
        <w:rPr>
          <w:lang w:val="fr-FR"/>
        </w:rPr>
        <w:t>’</w:t>
      </w:r>
      <w:r w:rsidRPr="008E60B5">
        <w:rPr>
          <w:lang w:val="fr-FR"/>
        </w:rPr>
        <w:t>Organisme de coordination pour l</w:t>
      </w:r>
      <w:r w:rsidR="008E60B5" w:rsidRPr="008E60B5">
        <w:rPr>
          <w:lang w:val="fr-FR"/>
        </w:rPr>
        <w:t>’</w:t>
      </w:r>
      <w:r w:rsidRPr="008E60B5">
        <w:rPr>
          <w:lang w:val="fr-FR"/>
        </w:rPr>
        <w:t>égalité des sexes participe et apporte son soutien à des projets, campagnes et initiatives visant à renforcer l</w:t>
      </w:r>
      <w:r w:rsidR="008E60B5" w:rsidRPr="008E60B5">
        <w:rPr>
          <w:lang w:val="fr-FR"/>
        </w:rPr>
        <w:t>’</w:t>
      </w:r>
      <w:r w:rsidRPr="008E60B5">
        <w:rPr>
          <w:lang w:val="fr-FR"/>
        </w:rPr>
        <w:t>égalité des sexes et à éliminer les stéréotypes et préjugés sexistes en Serbie, comme une campagne de 16 journées de mobilisation contre les violences faites aux femmes, le projet SHEmpowerment (qui vise à appuyer l</w:t>
      </w:r>
      <w:r w:rsidR="008E60B5" w:rsidRPr="008E60B5">
        <w:rPr>
          <w:lang w:val="fr-FR"/>
        </w:rPr>
        <w:t>’</w:t>
      </w:r>
      <w:r w:rsidRPr="008E60B5">
        <w:rPr>
          <w:lang w:val="fr-FR"/>
        </w:rPr>
        <w:t>autonomisation économique des femmes victimes de violence), une série de conférences régionales sur les femmes chef</w:t>
      </w:r>
      <w:r w:rsidR="00690974">
        <w:rPr>
          <w:lang w:val="fr-FR"/>
        </w:rPr>
        <w:t>s</w:t>
      </w:r>
      <w:r w:rsidRPr="008E60B5">
        <w:rPr>
          <w:lang w:val="fr-FR"/>
        </w:rPr>
        <w:t xml:space="preserve"> d</w:t>
      </w:r>
      <w:r w:rsidR="008E60B5" w:rsidRPr="008E60B5">
        <w:rPr>
          <w:lang w:val="fr-FR"/>
        </w:rPr>
        <w:t>’</w:t>
      </w:r>
      <w:r w:rsidRPr="008E60B5">
        <w:rPr>
          <w:lang w:val="fr-FR"/>
        </w:rPr>
        <w:t>entreprise ou encore le prix annuel Success Flower organisé par l</w:t>
      </w:r>
      <w:r w:rsidR="008E60B5" w:rsidRPr="008E60B5">
        <w:rPr>
          <w:lang w:val="fr-FR"/>
        </w:rPr>
        <w:t>’</w:t>
      </w:r>
      <w:r w:rsidRPr="008E60B5">
        <w:rPr>
          <w:lang w:val="fr-FR"/>
        </w:rPr>
        <w:t>Association of Business Women. Un nouveau site Web a également été créé pour l</w:t>
      </w:r>
      <w:r w:rsidR="008E60B5" w:rsidRPr="008E60B5">
        <w:rPr>
          <w:lang w:val="fr-FR"/>
        </w:rPr>
        <w:t>’</w:t>
      </w:r>
      <w:r w:rsidRPr="008E60B5">
        <w:rPr>
          <w:lang w:val="fr-FR"/>
        </w:rPr>
        <w:t>Organisme avec l</w:t>
      </w:r>
      <w:r w:rsidR="008E60B5" w:rsidRPr="008E60B5">
        <w:rPr>
          <w:lang w:val="fr-FR"/>
        </w:rPr>
        <w:t>’</w:t>
      </w:r>
      <w:r w:rsidRPr="008E60B5">
        <w:rPr>
          <w:lang w:val="fr-FR"/>
        </w:rPr>
        <w:t>aide de la Mission de l</w:t>
      </w:r>
      <w:r w:rsidR="008E60B5" w:rsidRPr="008E60B5">
        <w:rPr>
          <w:lang w:val="fr-FR"/>
        </w:rPr>
        <w:t>’</w:t>
      </w:r>
      <w:r w:rsidRPr="008E60B5">
        <w:rPr>
          <w:lang w:val="fr-FR"/>
        </w:rPr>
        <w:t>OSCE en Serbie.</w:t>
      </w:r>
    </w:p>
    <w:p w14:paraId="67D82AA1" w14:textId="60256DE8" w:rsidR="00CA0011" w:rsidRPr="008E60B5" w:rsidRDefault="00CA0011" w:rsidP="00A15EC1">
      <w:pPr>
        <w:pStyle w:val="SingleTxt"/>
        <w:numPr>
          <w:ilvl w:val="0"/>
          <w:numId w:val="23"/>
        </w:numPr>
        <w:spacing w:line="240" w:lineRule="exact"/>
        <w:rPr>
          <w:lang w:val="fr-FR"/>
        </w:rPr>
      </w:pPr>
      <w:r w:rsidRPr="008E60B5">
        <w:rPr>
          <w:lang w:val="fr-FR"/>
        </w:rPr>
        <w:t>Le Ministère de la culture et de l</w:t>
      </w:r>
      <w:r w:rsidR="008E60B5" w:rsidRPr="008E60B5">
        <w:rPr>
          <w:lang w:val="fr-FR"/>
        </w:rPr>
        <w:t>’</w:t>
      </w:r>
      <w:r w:rsidRPr="008E60B5">
        <w:rPr>
          <w:lang w:val="fr-FR"/>
        </w:rPr>
        <w:t>information soutient la création de contenus médiatiques visant à protéger et à promouvoir les droits de l</w:t>
      </w:r>
      <w:r w:rsidR="008E60B5" w:rsidRPr="008E60B5">
        <w:rPr>
          <w:lang w:val="fr-FR"/>
        </w:rPr>
        <w:t>’</w:t>
      </w:r>
      <w:r w:rsidRPr="008E60B5">
        <w:rPr>
          <w:lang w:val="fr-FR"/>
        </w:rPr>
        <w:t>homme et la démocratie.</w:t>
      </w:r>
    </w:p>
    <w:p w14:paraId="6AE84FCE" w14:textId="5FEE3EC6" w:rsidR="00CA0011" w:rsidRPr="008E60B5" w:rsidRDefault="00CA0011" w:rsidP="00A15EC1">
      <w:pPr>
        <w:pStyle w:val="SingleTxt"/>
        <w:numPr>
          <w:ilvl w:val="0"/>
          <w:numId w:val="23"/>
        </w:numPr>
        <w:spacing w:line="240" w:lineRule="exact"/>
        <w:rPr>
          <w:lang w:val="fr-FR"/>
        </w:rPr>
      </w:pPr>
      <w:r w:rsidRPr="008E60B5">
        <w:rPr>
          <w:lang w:val="fr-FR"/>
        </w:rPr>
        <w:t>Conformément à la loi sur la culture, certains projets de création artistique menés dans divers domaines peuvent être sélectionnés à l</w:t>
      </w:r>
      <w:r w:rsidR="008E60B5" w:rsidRPr="008E60B5">
        <w:rPr>
          <w:lang w:val="fr-FR"/>
        </w:rPr>
        <w:t>’</w:t>
      </w:r>
      <w:r w:rsidRPr="008E60B5">
        <w:rPr>
          <w:lang w:val="fr-FR"/>
        </w:rPr>
        <w:t>issue d</w:t>
      </w:r>
      <w:r w:rsidR="008E60B5" w:rsidRPr="008E60B5">
        <w:rPr>
          <w:lang w:val="fr-FR"/>
        </w:rPr>
        <w:t>’</w:t>
      </w:r>
      <w:r w:rsidRPr="008E60B5">
        <w:rPr>
          <w:lang w:val="fr-FR"/>
        </w:rPr>
        <w:t>un concours annuel et recevoir un financement. Environ 2 000 000 dinars par an sont alloués aux projets qui visent explicitement à renforcer l</w:t>
      </w:r>
      <w:r w:rsidR="008E60B5" w:rsidRPr="008E60B5">
        <w:rPr>
          <w:lang w:val="fr-FR"/>
        </w:rPr>
        <w:t>’</w:t>
      </w:r>
      <w:r w:rsidRPr="008E60B5">
        <w:rPr>
          <w:lang w:val="fr-FR"/>
        </w:rPr>
        <w:t xml:space="preserve">égalité des sexes. Par ailleurs, des fonds sont également octroyés à des femmes auteurs et artistes, ce qui permet de soutenir </w:t>
      </w:r>
      <w:r w:rsidRPr="008E60B5">
        <w:rPr>
          <w:lang w:val="fr-FR"/>
        </w:rPr>
        <w:lastRenderedPageBreak/>
        <w:t>indirectement cette cause. Le montant exact de ces fonds est toutefois difficile à évaluer.</w:t>
      </w:r>
    </w:p>
    <w:p w14:paraId="6D4A928F" w14:textId="28CCCDCB" w:rsidR="00CA0011" w:rsidRPr="008E60B5" w:rsidRDefault="00CA0011" w:rsidP="00A15EC1">
      <w:pPr>
        <w:pStyle w:val="SingleTxt"/>
        <w:numPr>
          <w:ilvl w:val="0"/>
          <w:numId w:val="23"/>
        </w:numPr>
        <w:spacing w:line="240" w:lineRule="exact"/>
        <w:rPr>
          <w:lang w:val="fr-FR"/>
        </w:rPr>
      </w:pPr>
      <w:r w:rsidRPr="008E60B5">
        <w:rPr>
          <w:lang w:val="fr-FR"/>
        </w:rPr>
        <w:t>Dans le cadre du projet d</w:t>
      </w:r>
      <w:r w:rsidR="008E60B5" w:rsidRPr="008E60B5">
        <w:rPr>
          <w:lang w:val="fr-FR"/>
        </w:rPr>
        <w:t>’</w:t>
      </w:r>
      <w:r w:rsidRPr="008E60B5">
        <w:rPr>
          <w:lang w:val="fr-FR"/>
        </w:rPr>
        <w:t>aide de préadhésion « Strengthening Media Freedom », un rapport sur l</w:t>
      </w:r>
      <w:r w:rsidR="008E60B5" w:rsidRPr="008E60B5">
        <w:rPr>
          <w:lang w:val="fr-FR"/>
        </w:rPr>
        <w:t>’</w:t>
      </w:r>
      <w:r w:rsidRPr="008E60B5">
        <w:rPr>
          <w:lang w:val="fr-FR"/>
        </w:rPr>
        <w:t>évolution de la situation relative à l</w:t>
      </w:r>
      <w:r w:rsidR="008E60B5" w:rsidRPr="008E60B5">
        <w:rPr>
          <w:lang w:val="fr-FR"/>
        </w:rPr>
        <w:t>’</w:t>
      </w:r>
      <w:r w:rsidRPr="008E60B5">
        <w:rPr>
          <w:lang w:val="fr-FR"/>
        </w:rPr>
        <w:t>égalité des sexes et à la condition de la femme dans les médias a été établi et servira de document de référence pour le groupe de travail chargé d</w:t>
      </w:r>
      <w:r w:rsidR="008E60B5" w:rsidRPr="008E60B5">
        <w:rPr>
          <w:lang w:val="fr-FR"/>
        </w:rPr>
        <w:t>’</w:t>
      </w:r>
      <w:r w:rsidRPr="008E60B5">
        <w:rPr>
          <w:lang w:val="fr-FR"/>
        </w:rPr>
        <w:t>élaborer la future stratégie pour le développement du système d</w:t>
      </w:r>
      <w:r w:rsidR="008E60B5" w:rsidRPr="008E60B5">
        <w:rPr>
          <w:lang w:val="fr-FR"/>
        </w:rPr>
        <w:t>’</w:t>
      </w:r>
      <w:r w:rsidRPr="008E60B5">
        <w:rPr>
          <w:lang w:val="fr-FR"/>
        </w:rPr>
        <w:t>information publique.</w:t>
      </w:r>
    </w:p>
    <w:p w14:paraId="60E57A8C" w14:textId="3708DF23" w:rsidR="00CA0011" w:rsidRPr="008E60B5" w:rsidRDefault="00CA0011" w:rsidP="00A15EC1">
      <w:pPr>
        <w:pStyle w:val="SingleTxt"/>
        <w:numPr>
          <w:ilvl w:val="0"/>
          <w:numId w:val="23"/>
        </w:numPr>
        <w:spacing w:line="240" w:lineRule="exact"/>
        <w:rPr>
          <w:lang w:val="fr-FR"/>
        </w:rPr>
      </w:pPr>
      <w:r w:rsidRPr="008E60B5">
        <w:rPr>
          <w:lang w:val="fr-FR"/>
        </w:rPr>
        <w:t>Le Ministère de la culture et de l</w:t>
      </w:r>
      <w:r w:rsidR="008E60B5" w:rsidRPr="008E60B5">
        <w:rPr>
          <w:lang w:val="fr-FR"/>
        </w:rPr>
        <w:t>’</w:t>
      </w:r>
      <w:r w:rsidRPr="008E60B5">
        <w:rPr>
          <w:lang w:val="fr-FR"/>
        </w:rPr>
        <w:t>information organise chaque année des concours dans le cadre desquels il cofinance des projets visant à renforcer l</w:t>
      </w:r>
      <w:r w:rsidR="008E60B5" w:rsidRPr="008E60B5">
        <w:rPr>
          <w:lang w:val="fr-FR"/>
        </w:rPr>
        <w:t>’</w:t>
      </w:r>
      <w:r w:rsidRPr="008E60B5">
        <w:rPr>
          <w:lang w:val="fr-FR"/>
        </w:rPr>
        <w:t>exercice et la promotion du droit à une information impartiale. L</w:t>
      </w:r>
      <w:r w:rsidR="008E60B5" w:rsidRPr="008E60B5">
        <w:rPr>
          <w:lang w:val="fr-FR"/>
        </w:rPr>
        <w:t>’</w:t>
      </w:r>
      <w:r w:rsidRPr="008E60B5">
        <w:rPr>
          <w:lang w:val="fr-FR"/>
        </w:rPr>
        <w:t>un des aspects pris en compte lors de l</w:t>
      </w:r>
      <w:r w:rsidR="008E60B5" w:rsidRPr="008E60B5">
        <w:rPr>
          <w:lang w:val="fr-FR"/>
        </w:rPr>
        <w:t>’</w:t>
      </w:r>
      <w:r w:rsidRPr="008E60B5">
        <w:rPr>
          <w:lang w:val="fr-FR"/>
        </w:rPr>
        <w:t>attribution des fonds est la façon dont les projets contribuent à améliorer la qualité de l</w:t>
      </w:r>
      <w:r w:rsidR="008E60B5" w:rsidRPr="008E60B5">
        <w:rPr>
          <w:lang w:val="fr-FR"/>
        </w:rPr>
        <w:t>’</w:t>
      </w:r>
      <w:r w:rsidRPr="008E60B5">
        <w:rPr>
          <w:lang w:val="fr-FR"/>
        </w:rPr>
        <w:t>information et la situation de l</w:t>
      </w:r>
      <w:r w:rsidR="008E60B5" w:rsidRPr="008E60B5">
        <w:rPr>
          <w:lang w:val="fr-FR"/>
        </w:rPr>
        <w:t>’</w:t>
      </w:r>
      <w:r w:rsidRPr="008E60B5">
        <w:rPr>
          <w:lang w:val="fr-FR"/>
        </w:rPr>
        <w:t>ensemble des groupes de population ainsi qu</w:t>
      </w:r>
      <w:r w:rsidR="008E60B5" w:rsidRPr="008E60B5">
        <w:rPr>
          <w:lang w:val="fr-FR"/>
        </w:rPr>
        <w:t>’</w:t>
      </w:r>
      <w:r w:rsidRPr="008E60B5">
        <w:rPr>
          <w:lang w:val="fr-FR"/>
        </w:rPr>
        <w:t>à renforcer l</w:t>
      </w:r>
      <w:r w:rsidR="008E60B5" w:rsidRPr="008E60B5">
        <w:rPr>
          <w:lang w:val="fr-FR"/>
        </w:rPr>
        <w:t>’</w:t>
      </w:r>
      <w:r w:rsidRPr="008E60B5">
        <w:rPr>
          <w:lang w:val="fr-FR"/>
        </w:rPr>
        <w:t>égalité. C</w:t>
      </w:r>
      <w:r w:rsidR="008E60B5" w:rsidRPr="008E60B5">
        <w:rPr>
          <w:lang w:val="fr-FR"/>
        </w:rPr>
        <w:t>’</w:t>
      </w:r>
      <w:r w:rsidRPr="008E60B5">
        <w:rPr>
          <w:lang w:val="fr-FR"/>
        </w:rPr>
        <w:t>est pourquoi on a pu constater une augmentation du nombre et de la qualité des projets médiatiques ayant trait à l</w:t>
      </w:r>
      <w:r w:rsidR="008E60B5" w:rsidRPr="008E60B5">
        <w:rPr>
          <w:lang w:val="fr-FR"/>
        </w:rPr>
        <w:t>’</w:t>
      </w:r>
      <w:r w:rsidRPr="008E60B5">
        <w:rPr>
          <w:lang w:val="fr-FR"/>
        </w:rPr>
        <w:t>amélioration de la condition de la femme et à la lutte contre les stéréotypes sociaux. En outre, le Ministère contribue à l</w:t>
      </w:r>
      <w:r w:rsidR="008E60B5" w:rsidRPr="008E60B5">
        <w:rPr>
          <w:lang w:val="fr-FR"/>
        </w:rPr>
        <w:t>’</w:t>
      </w:r>
      <w:r w:rsidRPr="008E60B5">
        <w:rPr>
          <w:lang w:val="fr-FR"/>
        </w:rPr>
        <w:t>élimination des discriminations multiples à l</w:t>
      </w:r>
      <w:r w:rsidR="008E60B5" w:rsidRPr="008E60B5">
        <w:rPr>
          <w:lang w:val="fr-FR"/>
        </w:rPr>
        <w:t>’</w:t>
      </w:r>
      <w:r w:rsidRPr="008E60B5">
        <w:rPr>
          <w:lang w:val="fr-FR"/>
        </w:rPr>
        <w:t>égard des femmes en organisant des concours dans le cadre desquels il cofinance des projets et programmes visant à accroître l</w:t>
      </w:r>
      <w:r w:rsidR="008E60B5" w:rsidRPr="008E60B5">
        <w:rPr>
          <w:lang w:val="fr-FR"/>
        </w:rPr>
        <w:t>’</w:t>
      </w:r>
      <w:r w:rsidRPr="008E60B5">
        <w:rPr>
          <w:lang w:val="fr-FR"/>
        </w:rPr>
        <w:t>accessibilité de l</w:t>
      </w:r>
      <w:r w:rsidR="008E60B5" w:rsidRPr="008E60B5">
        <w:rPr>
          <w:lang w:val="fr-FR"/>
        </w:rPr>
        <w:t>’</w:t>
      </w:r>
      <w:r w:rsidRPr="008E60B5">
        <w:rPr>
          <w:lang w:val="fr-FR"/>
        </w:rPr>
        <w:t>information dans les langues des minorités nationales et pour les personnes handicapées.</w:t>
      </w:r>
    </w:p>
    <w:p w14:paraId="5E9B3DC6" w14:textId="436BED6E" w:rsidR="00CA0011" w:rsidRPr="008E60B5" w:rsidRDefault="00CA0011" w:rsidP="00A15EC1">
      <w:pPr>
        <w:pStyle w:val="SingleTxt"/>
        <w:numPr>
          <w:ilvl w:val="0"/>
          <w:numId w:val="23"/>
        </w:numPr>
        <w:spacing w:line="240" w:lineRule="exact"/>
        <w:rPr>
          <w:bCs/>
          <w:lang w:val="fr-FR"/>
        </w:rPr>
      </w:pPr>
      <w:r w:rsidRPr="008E60B5">
        <w:rPr>
          <w:lang w:val="fr-FR"/>
        </w:rPr>
        <w:t>On trouvera ci-après quelques exemples d</w:t>
      </w:r>
      <w:r w:rsidR="008E60B5" w:rsidRPr="008E60B5">
        <w:rPr>
          <w:lang w:val="fr-FR"/>
        </w:rPr>
        <w:t>’</w:t>
      </w:r>
      <w:r w:rsidRPr="008E60B5">
        <w:rPr>
          <w:lang w:val="fr-FR"/>
        </w:rPr>
        <w:t>initiatives bénéficiant du soutien financier du Ministère</w:t>
      </w:r>
      <w:r w:rsidR="00002E6B" w:rsidRPr="008E60B5">
        <w:rPr>
          <w:lang w:val="fr-FR"/>
        </w:rPr>
        <w:t> :</w:t>
      </w:r>
    </w:p>
    <w:p w14:paraId="049DCADF" w14:textId="41CB2D43" w:rsidR="00CA0011" w:rsidRPr="008E60B5" w:rsidRDefault="00CC60AD" w:rsidP="00CC60AD">
      <w:pPr>
        <w:pStyle w:val="SingleTxt"/>
        <w:tabs>
          <w:tab w:val="right" w:pos="1685"/>
        </w:tabs>
        <w:ind w:left="1742" w:hanging="475"/>
        <w:rPr>
          <w:lang w:val="fr-FR"/>
        </w:rPr>
      </w:pPr>
      <w:r w:rsidRPr="008E60B5">
        <w:rPr>
          <w:lang w:val="fr-FR"/>
        </w:rPr>
        <w:tab/>
      </w:r>
      <w:r w:rsidR="00CA0011" w:rsidRPr="008E60B5">
        <w:rPr>
          <w:lang w:val="fr-FR"/>
        </w:rPr>
        <w:t>•</w:t>
      </w:r>
      <w:r w:rsidR="00CA0011" w:rsidRPr="008E60B5">
        <w:rPr>
          <w:lang w:val="fr-FR"/>
        </w:rPr>
        <w:tab/>
        <w:t>La pièce « They suffered », montée par la troupe Belgrade Drama Theatre et tirée de faits réels. La pièce a été inspirée de déclarations faites par des femmes victimes de violence, principalement d</w:t>
      </w:r>
      <w:r w:rsidR="008E60B5" w:rsidRPr="008E60B5">
        <w:rPr>
          <w:lang w:val="fr-FR"/>
        </w:rPr>
        <w:t>’</w:t>
      </w:r>
      <w:r w:rsidR="00CA0011" w:rsidRPr="008E60B5">
        <w:rPr>
          <w:lang w:val="fr-FR"/>
        </w:rPr>
        <w:t>entretiens menés par le Comité Helsinki de Serbie avec des femmes qui avaient tué leurs agresseurs</w:t>
      </w:r>
      <w:r w:rsidR="00002E6B" w:rsidRPr="008E60B5">
        <w:rPr>
          <w:lang w:val="fr-FR"/>
        </w:rPr>
        <w:t> ;</w:t>
      </w:r>
    </w:p>
    <w:p w14:paraId="347C7CBE" w14:textId="183E1E4E" w:rsidR="00CA0011" w:rsidRPr="008E60B5" w:rsidRDefault="00CC60AD" w:rsidP="00CC60AD">
      <w:pPr>
        <w:pStyle w:val="SingleTxt"/>
        <w:tabs>
          <w:tab w:val="right" w:pos="1685"/>
        </w:tabs>
        <w:ind w:left="1742" w:hanging="475"/>
        <w:rPr>
          <w:lang w:val="fr-FR"/>
        </w:rPr>
      </w:pPr>
      <w:r w:rsidRPr="008E60B5">
        <w:rPr>
          <w:lang w:val="fr-FR"/>
        </w:rPr>
        <w:tab/>
      </w:r>
      <w:r w:rsidR="00CA0011" w:rsidRPr="008E60B5">
        <w:rPr>
          <w:lang w:val="fr-FR"/>
        </w:rPr>
        <w:t>•</w:t>
      </w:r>
      <w:r w:rsidR="00CA0011" w:rsidRPr="008E60B5">
        <w:rPr>
          <w:lang w:val="fr-FR"/>
        </w:rPr>
        <w:tab/>
        <w:t>Le film « Looking at Cobblestones » de l</w:t>
      </w:r>
      <w:r w:rsidR="008E60B5" w:rsidRPr="008E60B5">
        <w:rPr>
          <w:lang w:val="fr-FR"/>
        </w:rPr>
        <w:t>’</w:t>
      </w:r>
      <w:r w:rsidR="00CA0011" w:rsidRPr="008E60B5">
        <w:rPr>
          <w:lang w:val="fr-FR"/>
        </w:rPr>
        <w:t>initiative universitaire « Forum 10 » de Novi Pazzar, qui traite d</w:t>
      </w:r>
      <w:r w:rsidR="008E60B5" w:rsidRPr="008E60B5">
        <w:rPr>
          <w:lang w:val="fr-FR"/>
        </w:rPr>
        <w:t>’</w:t>
      </w:r>
      <w:r w:rsidR="00CA0011" w:rsidRPr="008E60B5">
        <w:rPr>
          <w:lang w:val="fr-FR"/>
        </w:rPr>
        <w:t>un épisode politique qui a eu lieu en 1951, époque à laquelle l</w:t>
      </w:r>
      <w:r w:rsidR="008E60B5" w:rsidRPr="008E60B5">
        <w:rPr>
          <w:lang w:val="fr-FR"/>
        </w:rPr>
        <w:t>’</w:t>
      </w:r>
      <w:r w:rsidR="00CA0011" w:rsidRPr="008E60B5">
        <w:rPr>
          <w:lang w:val="fr-FR"/>
        </w:rPr>
        <w:t>ancienne République populaire de Serbie avait adopté une loi interdisant le niqab et la burka. Cette œuvre traduit le besoin de réexaminer, de réévaluer et de compléter d</w:t>
      </w:r>
      <w:r w:rsidR="008E60B5" w:rsidRPr="008E60B5">
        <w:rPr>
          <w:lang w:val="fr-FR"/>
        </w:rPr>
        <w:t>’</w:t>
      </w:r>
      <w:r w:rsidR="00CA0011" w:rsidRPr="008E60B5">
        <w:rPr>
          <w:lang w:val="fr-FR"/>
        </w:rPr>
        <w:t>un point de vue féminin l</w:t>
      </w:r>
      <w:r w:rsidR="008E60B5" w:rsidRPr="008E60B5">
        <w:rPr>
          <w:lang w:val="fr-FR"/>
        </w:rPr>
        <w:t>’</w:t>
      </w:r>
      <w:r w:rsidR="00CA0011" w:rsidRPr="008E60B5">
        <w:rPr>
          <w:lang w:val="fr-FR"/>
        </w:rPr>
        <w:t>histoire du Sandzak, presque entièrement dominée par des hommes</w:t>
      </w:r>
      <w:r w:rsidR="00002E6B" w:rsidRPr="008E60B5">
        <w:rPr>
          <w:lang w:val="fr-FR"/>
        </w:rPr>
        <w:t> ;</w:t>
      </w:r>
    </w:p>
    <w:p w14:paraId="26CA538D" w14:textId="3FF6A0D2" w:rsidR="00CA0011" w:rsidRPr="008E60B5" w:rsidRDefault="00CC60AD" w:rsidP="00CC60AD">
      <w:pPr>
        <w:pStyle w:val="SingleTxt"/>
        <w:tabs>
          <w:tab w:val="right" w:pos="1685"/>
        </w:tabs>
        <w:ind w:left="1742" w:hanging="475"/>
        <w:rPr>
          <w:lang w:val="fr-FR"/>
        </w:rPr>
      </w:pPr>
      <w:r w:rsidRPr="008E60B5">
        <w:rPr>
          <w:lang w:val="fr-FR"/>
        </w:rPr>
        <w:tab/>
      </w:r>
      <w:r w:rsidR="00CA0011" w:rsidRPr="008E60B5">
        <w:rPr>
          <w:lang w:val="fr-FR"/>
        </w:rPr>
        <w:t>•</w:t>
      </w:r>
      <w:r w:rsidR="00CA0011" w:rsidRPr="008E60B5">
        <w:rPr>
          <w:lang w:val="fr-FR"/>
        </w:rPr>
        <w:tab/>
        <w:t>« R</w:t>
      </w:r>
      <w:r w:rsidR="00661D46" w:rsidRPr="008E60B5">
        <w:rPr>
          <w:lang w:val="fr-FR"/>
        </w:rPr>
        <w:t>oma</w:t>
      </w:r>
      <w:r w:rsidR="00CA0011" w:rsidRPr="008E60B5">
        <w:rPr>
          <w:lang w:val="fr-FR"/>
        </w:rPr>
        <w:t xml:space="preserve"> W</w:t>
      </w:r>
      <w:r w:rsidR="00661D46" w:rsidRPr="008E60B5">
        <w:rPr>
          <w:lang w:val="fr-FR"/>
        </w:rPr>
        <w:t>omen’s</w:t>
      </w:r>
      <w:r w:rsidR="00CA0011" w:rsidRPr="008E60B5">
        <w:rPr>
          <w:lang w:val="fr-FR"/>
        </w:rPr>
        <w:t xml:space="preserve"> S</w:t>
      </w:r>
      <w:r w:rsidR="00661D46" w:rsidRPr="008E60B5">
        <w:rPr>
          <w:lang w:val="fr-FR"/>
        </w:rPr>
        <w:t>tory</w:t>
      </w:r>
      <w:r w:rsidR="00002E6B" w:rsidRPr="008E60B5">
        <w:rPr>
          <w:lang w:val="fr-FR"/>
        </w:rPr>
        <w:t> :</w:t>
      </w:r>
      <w:r w:rsidR="00CA0011" w:rsidRPr="008E60B5">
        <w:rPr>
          <w:lang w:val="fr-FR"/>
        </w:rPr>
        <w:t xml:space="preserve"> Collecting Archive Material for the History of Roma Women in Serbia », initiative organisée par le centre pour les femmes roms BIBIJA, situé à Belgrade, dans le cadre de laquelle des histoires de femmes ayant été mariées enfants, souvent victimes de violence domestique, ont été compilées</w:t>
      </w:r>
      <w:r w:rsidR="00002E6B" w:rsidRPr="008E60B5">
        <w:rPr>
          <w:lang w:val="fr-FR"/>
        </w:rPr>
        <w:t> ;</w:t>
      </w:r>
    </w:p>
    <w:p w14:paraId="3AF4097C" w14:textId="6DE9C112" w:rsidR="00CA0011" w:rsidRPr="008E60B5" w:rsidRDefault="00CC60AD" w:rsidP="00CC60AD">
      <w:pPr>
        <w:pStyle w:val="SingleTxt"/>
        <w:tabs>
          <w:tab w:val="right" w:pos="1685"/>
        </w:tabs>
        <w:ind w:left="1742" w:hanging="475"/>
        <w:rPr>
          <w:lang w:val="fr-FR"/>
        </w:rPr>
      </w:pPr>
      <w:r w:rsidRPr="008E60B5">
        <w:rPr>
          <w:lang w:val="fr-FR"/>
        </w:rPr>
        <w:tab/>
      </w:r>
      <w:r w:rsidR="00CA0011" w:rsidRPr="008E60B5">
        <w:rPr>
          <w:lang w:val="fr-FR"/>
        </w:rPr>
        <w:t>•</w:t>
      </w:r>
      <w:r w:rsidR="00CA0011" w:rsidRPr="008E60B5">
        <w:rPr>
          <w:lang w:val="fr-FR"/>
        </w:rPr>
        <w:tab/>
        <w:t>Le projet « Women in Architecture », mis en œuvre par le Belgrade Centre for Architecture</w:t>
      </w:r>
      <w:r w:rsidR="00065981">
        <w:rPr>
          <w:lang w:val="fr-FR"/>
        </w:rPr>
        <w:t> ;</w:t>
      </w:r>
    </w:p>
    <w:p w14:paraId="3F1CBBE7" w14:textId="511AFD87" w:rsidR="00CA0011" w:rsidRPr="008E60B5" w:rsidRDefault="00CC60AD" w:rsidP="00CC60AD">
      <w:pPr>
        <w:pStyle w:val="SingleTxt"/>
        <w:tabs>
          <w:tab w:val="right" w:pos="1685"/>
        </w:tabs>
        <w:ind w:left="1742" w:hanging="475"/>
        <w:rPr>
          <w:lang w:val="fr-FR"/>
        </w:rPr>
      </w:pPr>
      <w:r w:rsidRPr="008E60B5">
        <w:rPr>
          <w:lang w:val="fr-FR"/>
        </w:rPr>
        <w:tab/>
      </w:r>
      <w:r w:rsidR="00CA0011" w:rsidRPr="008E60B5">
        <w:rPr>
          <w:lang w:val="fr-FR"/>
        </w:rPr>
        <w:t>•</w:t>
      </w:r>
      <w:r w:rsidR="00CA0011" w:rsidRPr="008E60B5">
        <w:rPr>
          <w:lang w:val="fr-FR"/>
        </w:rPr>
        <w:tab/>
        <w:t>Une initiative menée en 2015 par l</w:t>
      </w:r>
      <w:r w:rsidR="008E60B5" w:rsidRPr="008E60B5">
        <w:rPr>
          <w:lang w:val="fr-FR"/>
        </w:rPr>
        <w:t>’</w:t>
      </w:r>
      <w:r w:rsidR="00CA0011" w:rsidRPr="008E60B5">
        <w:rPr>
          <w:lang w:val="fr-FR"/>
        </w:rPr>
        <w:t>Institute for the Study of Cultural Development, qui</w:t>
      </w:r>
      <w:r w:rsidR="00002E6B" w:rsidRPr="008E60B5">
        <w:rPr>
          <w:lang w:val="fr-FR"/>
        </w:rPr>
        <w:t xml:space="preserve"> </w:t>
      </w:r>
      <w:r w:rsidR="00CA0011" w:rsidRPr="008E60B5">
        <w:rPr>
          <w:lang w:val="fr-FR"/>
        </w:rPr>
        <w:t>s</w:t>
      </w:r>
      <w:r w:rsidR="008E60B5" w:rsidRPr="008E60B5">
        <w:rPr>
          <w:lang w:val="fr-FR"/>
        </w:rPr>
        <w:t>’</w:t>
      </w:r>
      <w:r w:rsidR="00CA0011" w:rsidRPr="008E60B5">
        <w:rPr>
          <w:lang w:val="fr-FR"/>
        </w:rPr>
        <w:t>est intéressé à la répartition par sexe des employés des institutions culturelles publiques. Avec les établissements d</w:t>
      </w:r>
      <w:r w:rsidR="008E60B5" w:rsidRPr="008E60B5">
        <w:rPr>
          <w:lang w:val="fr-FR"/>
        </w:rPr>
        <w:t>’</w:t>
      </w:r>
      <w:r w:rsidR="00CA0011" w:rsidRPr="008E60B5">
        <w:rPr>
          <w:lang w:val="fr-FR"/>
        </w:rPr>
        <w:t>enseignement, les institutions culturelles constituent un domaine du marché du travail traditionnellement plus féminin. Les femmes représentent 57,2</w:t>
      </w:r>
      <w:r w:rsidR="00002E6B" w:rsidRPr="008E60B5">
        <w:rPr>
          <w:lang w:val="fr-FR"/>
        </w:rPr>
        <w:t> %</w:t>
      </w:r>
      <w:r w:rsidR="00CA0011" w:rsidRPr="008E60B5">
        <w:rPr>
          <w:lang w:val="fr-FR"/>
        </w:rPr>
        <w:t xml:space="preserve"> du nombre total d</w:t>
      </w:r>
      <w:r w:rsidR="008E60B5" w:rsidRPr="008E60B5">
        <w:rPr>
          <w:lang w:val="fr-FR"/>
        </w:rPr>
        <w:t>’</w:t>
      </w:r>
      <w:r w:rsidR="00CA0011" w:rsidRPr="008E60B5">
        <w:rPr>
          <w:lang w:val="fr-FR"/>
        </w:rPr>
        <w:t>employés dans le domaine de la culture. En ce qui concerne les instituts culturels nationaux, la proportion de femmes est la plus élevée dans les bibliothèques (65,7</w:t>
      </w:r>
      <w:r w:rsidR="00002E6B" w:rsidRPr="008E60B5">
        <w:rPr>
          <w:lang w:val="fr-FR"/>
        </w:rPr>
        <w:t> %</w:t>
      </w:r>
      <w:r w:rsidR="00CA0011" w:rsidRPr="008E60B5">
        <w:rPr>
          <w:lang w:val="fr-FR"/>
        </w:rPr>
        <w:t>) et la plus faible dans les théâtres (44,9</w:t>
      </w:r>
      <w:r w:rsidR="00002E6B" w:rsidRPr="008E60B5">
        <w:rPr>
          <w:lang w:val="fr-FR"/>
        </w:rPr>
        <w:t> %</w:t>
      </w:r>
      <w:r w:rsidR="00CA0011" w:rsidRPr="008E60B5">
        <w:rPr>
          <w:lang w:val="fr-FR"/>
        </w:rPr>
        <w:t>).</w:t>
      </w:r>
    </w:p>
    <w:p w14:paraId="4C616F4C" w14:textId="6BDC70F2" w:rsidR="00CA0011" w:rsidRPr="008E60B5" w:rsidRDefault="00CA0011" w:rsidP="00A15EC1">
      <w:pPr>
        <w:pStyle w:val="SingleTxt"/>
        <w:numPr>
          <w:ilvl w:val="0"/>
          <w:numId w:val="23"/>
        </w:numPr>
        <w:spacing w:line="240" w:lineRule="exact"/>
        <w:rPr>
          <w:lang w:val="fr-FR"/>
        </w:rPr>
      </w:pPr>
      <w:r w:rsidRPr="008E60B5">
        <w:rPr>
          <w:lang w:val="fr-FR"/>
        </w:rPr>
        <w:t>L</w:t>
      </w:r>
      <w:r w:rsidR="008E60B5" w:rsidRPr="008E60B5">
        <w:rPr>
          <w:lang w:val="fr-FR"/>
        </w:rPr>
        <w:t>’</w:t>
      </w:r>
      <w:r w:rsidRPr="008E60B5">
        <w:rPr>
          <w:bCs/>
          <w:lang w:val="fr-FR"/>
        </w:rPr>
        <w:t xml:space="preserve">Institute for the Study of Cultural Development </w:t>
      </w:r>
      <w:r w:rsidRPr="008E60B5">
        <w:rPr>
          <w:lang w:val="fr-FR"/>
        </w:rPr>
        <w:t>a mené, en novembre et décembre 2015, une étude sur les habitudes et besoins culturels des citoyens serbes et leur état d</w:t>
      </w:r>
      <w:r w:rsidR="008E60B5" w:rsidRPr="008E60B5">
        <w:rPr>
          <w:lang w:val="fr-FR"/>
        </w:rPr>
        <w:t>’</w:t>
      </w:r>
      <w:r w:rsidRPr="008E60B5">
        <w:rPr>
          <w:lang w:val="fr-FR"/>
        </w:rPr>
        <w:t>esprit à cet égard auprès d</w:t>
      </w:r>
      <w:r w:rsidR="008E60B5" w:rsidRPr="008E60B5">
        <w:rPr>
          <w:lang w:val="fr-FR"/>
        </w:rPr>
        <w:t>’</w:t>
      </w:r>
      <w:r w:rsidRPr="008E60B5">
        <w:rPr>
          <w:lang w:val="fr-FR"/>
        </w:rPr>
        <w:t>un échantillon national de 1 565 personnes, afin d</w:t>
      </w:r>
      <w:r w:rsidR="008E60B5" w:rsidRPr="008E60B5">
        <w:rPr>
          <w:lang w:val="fr-FR"/>
        </w:rPr>
        <w:t>’</w:t>
      </w:r>
      <w:r w:rsidRPr="008E60B5">
        <w:rPr>
          <w:lang w:val="fr-FR"/>
        </w:rPr>
        <w:t xml:space="preserve">évaluer la participation des citoyens serbes à la vie sociale. Le questionnaire utilisé </w:t>
      </w:r>
      <w:r w:rsidRPr="008E60B5">
        <w:rPr>
          <w:lang w:val="fr-FR"/>
        </w:rPr>
        <w:lastRenderedPageBreak/>
        <w:t>pour l</w:t>
      </w:r>
      <w:r w:rsidR="008E60B5" w:rsidRPr="008E60B5">
        <w:rPr>
          <w:lang w:val="fr-FR"/>
        </w:rPr>
        <w:t>’</w:t>
      </w:r>
      <w:r w:rsidRPr="008E60B5">
        <w:rPr>
          <w:lang w:val="fr-FR"/>
        </w:rPr>
        <w:t>enquête comprenait des questions relatives à l</w:t>
      </w:r>
      <w:r w:rsidR="008E60B5" w:rsidRPr="008E60B5">
        <w:rPr>
          <w:lang w:val="fr-FR"/>
        </w:rPr>
        <w:t>’</w:t>
      </w:r>
      <w:r w:rsidRPr="008E60B5">
        <w:rPr>
          <w:lang w:val="fr-FR"/>
        </w:rPr>
        <w:t>égalité des sexes dans divers domaines. Les résultats ont montré que les citoyens étaient en majorité favorables à l</w:t>
      </w:r>
      <w:r w:rsidR="008E60B5" w:rsidRPr="008E60B5">
        <w:rPr>
          <w:lang w:val="fr-FR"/>
        </w:rPr>
        <w:t>’</w:t>
      </w:r>
      <w:r w:rsidRPr="008E60B5">
        <w:rPr>
          <w:lang w:val="fr-FR"/>
        </w:rPr>
        <w:t>égalité des sexes, et qu</w:t>
      </w:r>
      <w:r w:rsidR="008E60B5" w:rsidRPr="008E60B5">
        <w:rPr>
          <w:lang w:val="fr-FR"/>
        </w:rPr>
        <w:t>’</w:t>
      </w:r>
      <w:r w:rsidRPr="008E60B5">
        <w:rPr>
          <w:lang w:val="fr-FR"/>
        </w:rPr>
        <w:t>ils estimaient que celle-ci était plus importante dans les domaines de l</w:t>
      </w:r>
      <w:r w:rsidR="008E60B5" w:rsidRPr="008E60B5">
        <w:rPr>
          <w:lang w:val="fr-FR"/>
        </w:rPr>
        <w:t>’</w:t>
      </w:r>
      <w:r w:rsidRPr="008E60B5">
        <w:rPr>
          <w:lang w:val="fr-FR"/>
        </w:rPr>
        <w:t>éducation et de l</w:t>
      </w:r>
      <w:r w:rsidR="008E60B5" w:rsidRPr="008E60B5">
        <w:rPr>
          <w:lang w:val="fr-FR"/>
        </w:rPr>
        <w:t>’</w:t>
      </w:r>
      <w:r w:rsidRPr="008E60B5">
        <w:rPr>
          <w:lang w:val="fr-FR"/>
        </w:rPr>
        <w:t>économie, tandis que la participation à la vie politique et à la prise de décisions se caractérise par un retard en la matière</w:t>
      </w:r>
      <w:r w:rsidRPr="008E60B5">
        <w:rPr>
          <w:vertAlign w:val="superscript"/>
          <w:lang w:val="fr-FR"/>
        </w:rPr>
        <w:footnoteReference w:id="4"/>
      </w:r>
      <w:r w:rsidRPr="008E60B5">
        <w:rPr>
          <w:lang w:val="fr-FR"/>
        </w:rPr>
        <w:t>.</w:t>
      </w:r>
    </w:p>
    <w:p w14:paraId="50F7A368" w14:textId="606C63EA" w:rsidR="00CA0011" w:rsidRPr="008E60B5" w:rsidRDefault="00CA0011" w:rsidP="00A15EC1">
      <w:pPr>
        <w:pStyle w:val="SingleTxt"/>
        <w:numPr>
          <w:ilvl w:val="0"/>
          <w:numId w:val="23"/>
        </w:numPr>
        <w:spacing w:line="240" w:lineRule="exact"/>
        <w:rPr>
          <w:lang w:val="fr-FR"/>
        </w:rPr>
      </w:pPr>
      <w:r w:rsidRPr="008E60B5">
        <w:rPr>
          <w:lang w:val="fr-FR"/>
        </w:rPr>
        <w:t>Le Secrétariat provincial à la politique sociale, la démographie et l</w:t>
      </w:r>
      <w:r w:rsidR="008E60B5" w:rsidRPr="008E60B5">
        <w:rPr>
          <w:lang w:val="fr-FR"/>
        </w:rPr>
        <w:t>’</w:t>
      </w:r>
      <w:r w:rsidRPr="008E60B5">
        <w:rPr>
          <w:lang w:val="fr-FR"/>
        </w:rPr>
        <w:t>égalité des sexes met en avant la participation des femmes à divers domaines dans sa publication annuelle intitulée « Women</w:t>
      </w:r>
      <w:r w:rsidR="008E60B5" w:rsidRPr="008E60B5">
        <w:rPr>
          <w:lang w:val="fr-FR"/>
        </w:rPr>
        <w:t>’</w:t>
      </w:r>
      <w:r w:rsidRPr="008E60B5">
        <w:rPr>
          <w:lang w:val="fr-FR"/>
        </w:rPr>
        <w:t>s Diary ». De 2013 à 2017, il y a traité des thèmes suivants</w:t>
      </w:r>
      <w:r w:rsidR="00002E6B" w:rsidRPr="008E60B5">
        <w:rPr>
          <w:lang w:val="fr-FR"/>
        </w:rPr>
        <w:t> :</w:t>
      </w:r>
      <w:r w:rsidRPr="008E60B5">
        <w:rPr>
          <w:lang w:val="fr-FR"/>
        </w:rPr>
        <w:t xml:space="preserve"> les femmes dans la production biologique (2014), le </w:t>
      </w:r>
      <w:r w:rsidR="00065981">
        <w:rPr>
          <w:lang w:val="fr-FR"/>
        </w:rPr>
        <w:t xml:space="preserve">dixième </w:t>
      </w:r>
      <w:r w:rsidRPr="008E60B5">
        <w:rPr>
          <w:lang w:val="fr-FR"/>
        </w:rPr>
        <w:t>anniversaire de l</w:t>
      </w:r>
      <w:r w:rsidR="008E60B5" w:rsidRPr="008E60B5">
        <w:rPr>
          <w:lang w:val="fr-FR"/>
        </w:rPr>
        <w:t>’</w:t>
      </w:r>
      <w:r w:rsidRPr="008E60B5">
        <w:rPr>
          <w:lang w:val="fr-FR"/>
        </w:rPr>
        <w:t>Institut provincial pour l</w:t>
      </w:r>
      <w:r w:rsidR="008E60B5" w:rsidRPr="008E60B5">
        <w:rPr>
          <w:lang w:val="fr-FR"/>
        </w:rPr>
        <w:t>’</w:t>
      </w:r>
      <w:r w:rsidRPr="008E60B5">
        <w:rPr>
          <w:lang w:val="fr-FR"/>
        </w:rPr>
        <w:t>égalité des sexes (2015), les femmes en maçonnerie et en architecture dans la Voïvodine (2016) et les femmes roms de la Voïvodine (2017).</w:t>
      </w:r>
    </w:p>
    <w:p w14:paraId="47449CBB" w14:textId="562DD5D9" w:rsidR="00CA0011" w:rsidRPr="008E60B5" w:rsidRDefault="00CA0011" w:rsidP="00A15EC1">
      <w:pPr>
        <w:pStyle w:val="SingleTxt"/>
        <w:numPr>
          <w:ilvl w:val="0"/>
          <w:numId w:val="23"/>
        </w:numPr>
        <w:spacing w:line="240" w:lineRule="exact"/>
        <w:rPr>
          <w:lang w:val="fr-FR"/>
        </w:rPr>
      </w:pPr>
      <w:r w:rsidRPr="008E60B5">
        <w:rPr>
          <w:lang w:val="fr-FR"/>
        </w:rPr>
        <w:t>La Chambre de l</w:t>
      </w:r>
      <w:r w:rsidR="008E60B5" w:rsidRPr="008E60B5">
        <w:rPr>
          <w:lang w:val="fr-FR"/>
        </w:rPr>
        <w:t>’</w:t>
      </w:r>
      <w:r w:rsidRPr="008E60B5">
        <w:rPr>
          <w:lang w:val="fr-FR"/>
        </w:rPr>
        <w:t>industrie et du commerce serbe a contribué, dans le cadre de ses conférences régionales, à renforcer la visibilité, l</w:t>
      </w:r>
      <w:r w:rsidR="008E60B5" w:rsidRPr="008E60B5">
        <w:rPr>
          <w:lang w:val="fr-FR"/>
        </w:rPr>
        <w:t>’</w:t>
      </w:r>
      <w:r w:rsidRPr="008E60B5">
        <w:rPr>
          <w:lang w:val="fr-FR"/>
        </w:rPr>
        <w:t>éducation et la constitution de réseaux de femmes chefs d</w:t>
      </w:r>
      <w:r w:rsidR="008E60B5" w:rsidRPr="008E60B5">
        <w:rPr>
          <w:lang w:val="fr-FR"/>
        </w:rPr>
        <w:t>’</w:t>
      </w:r>
      <w:r w:rsidRPr="008E60B5">
        <w:rPr>
          <w:lang w:val="fr-FR"/>
        </w:rPr>
        <w:t>entreprise, ainsi qu</w:t>
      </w:r>
      <w:r w:rsidR="008E60B5" w:rsidRPr="008E60B5">
        <w:rPr>
          <w:lang w:val="fr-FR"/>
        </w:rPr>
        <w:t>’</w:t>
      </w:r>
      <w:r w:rsidRPr="008E60B5">
        <w:rPr>
          <w:lang w:val="fr-FR"/>
        </w:rPr>
        <w:t>à éliminer des rôles stéréotypés. En 2015, elle a lancé diverses initiatives visant plusieurs ministères lors d</w:t>
      </w:r>
      <w:r w:rsidR="008E60B5" w:rsidRPr="008E60B5">
        <w:rPr>
          <w:lang w:val="fr-FR"/>
        </w:rPr>
        <w:t>’</w:t>
      </w:r>
      <w:r w:rsidRPr="008E60B5">
        <w:rPr>
          <w:lang w:val="fr-FR"/>
        </w:rPr>
        <w:t>une conférence régionale tenue à Čačak, à laquelle ont participé plus de 120 femmes chefs d</w:t>
      </w:r>
      <w:r w:rsidR="008E60B5" w:rsidRPr="008E60B5">
        <w:rPr>
          <w:lang w:val="fr-FR"/>
        </w:rPr>
        <w:t>’</w:t>
      </w:r>
      <w:r w:rsidRPr="008E60B5">
        <w:rPr>
          <w:lang w:val="fr-FR"/>
        </w:rPr>
        <w:t>entreprise venues de toute la Serbie et du Monténégro. Des conférences similaires ont été organisées en 2016 à Valjevo, Kruševac et Loznica dans le but de permettre aux femmes chefs d</w:t>
      </w:r>
      <w:r w:rsidR="008E60B5" w:rsidRPr="008E60B5">
        <w:rPr>
          <w:lang w:val="fr-FR"/>
        </w:rPr>
        <w:t>’</w:t>
      </w:r>
      <w:r w:rsidRPr="008E60B5">
        <w:rPr>
          <w:lang w:val="fr-FR"/>
        </w:rPr>
        <w:t>entreprise de discuter de leur expérience aux niveaux local et régional et de promouvoir une image positive des femmes et l</w:t>
      </w:r>
      <w:r w:rsidR="008E60B5" w:rsidRPr="008E60B5">
        <w:rPr>
          <w:lang w:val="fr-FR"/>
        </w:rPr>
        <w:t>’</w:t>
      </w:r>
      <w:r w:rsidRPr="008E60B5">
        <w:rPr>
          <w:lang w:val="fr-FR"/>
        </w:rPr>
        <w:t>égalité fondamentale des sexes.</w:t>
      </w:r>
    </w:p>
    <w:p w14:paraId="2E3D8482" w14:textId="22BEB08E" w:rsidR="00CA0011" w:rsidRPr="008E60B5" w:rsidRDefault="00CA0011" w:rsidP="00A15EC1">
      <w:pPr>
        <w:pStyle w:val="SingleTxt"/>
        <w:numPr>
          <w:ilvl w:val="0"/>
          <w:numId w:val="23"/>
        </w:numPr>
        <w:spacing w:line="240" w:lineRule="exact"/>
        <w:rPr>
          <w:lang w:val="fr-FR"/>
        </w:rPr>
      </w:pPr>
      <w:r w:rsidRPr="008E60B5">
        <w:rPr>
          <w:lang w:val="fr-FR"/>
        </w:rPr>
        <w:t>Des campagnes médiatiques sont régulièrement mises en place afin de sensibiliser le public aux spécificités des groupes sociaux vulnérables et de renforcer leur inclusion, conformément aux mesures prévues dans le plan d</w:t>
      </w:r>
      <w:r w:rsidR="008E60B5" w:rsidRPr="008E60B5">
        <w:rPr>
          <w:lang w:val="fr-FR"/>
        </w:rPr>
        <w:t>’</w:t>
      </w:r>
      <w:r w:rsidRPr="008E60B5">
        <w:rPr>
          <w:lang w:val="fr-FR"/>
        </w:rPr>
        <w:t>action relatif à la mise en œuvre de la Stratégie de prévention et de protection en matière de discrimination.</w:t>
      </w:r>
    </w:p>
    <w:p w14:paraId="09112926" w14:textId="5E162591" w:rsidR="00CA0011" w:rsidRPr="008E60B5" w:rsidRDefault="00CA0011" w:rsidP="00A15EC1">
      <w:pPr>
        <w:pStyle w:val="SingleTxt"/>
        <w:numPr>
          <w:ilvl w:val="0"/>
          <w:numId w:val="23"/>
        </w:numPr>
        <w:spacing w:line="240" w:lineRule="exact"/>
        <w:rPr>
          <w:lang w:val="fr-FR"/>
        </w:rPr>
      </w:pPr>
      <w:r w:rsidRPr="008E60B5">
        <w:rPr>
          <w:lang w:val="fr-FR"/>
        </w:rPr>
        <w:t>Au cours de la période écoulée, des membres de la police, des juges et plus de 1 000 employés des centres d</w:t>
      </w:r>
      <w:r w:rsidR="008E60B5" w:rsidRPr="008E60B5">
        <w:rPr>
          <w:lang w:val="fr-FR"/>
        </w:rPr>
        <w:t>’</w:t>
      </w:r>
      <w:r w:rsidRPr="008E60B5">
        <w:rPr>
          <w:lang w:val="fr-FR"/>
        </w:rPr>
        <w:t>action sociale ont été formés à la façon d</w:t>
      </w:r>
      <w:r w:rsidR="008E60B5" w:rsidRPr="008E60B5">
        <w:rPr>
          <w:lang w:val="fr-FR"/>
        </w:rPr>
        <w:t>’</w:t>
      </w:r>
      <w:r w:rsidRPr="008E60B5">
        <w:rPr>
          <w:lang w:val="fr-FR"/>
        </w:rPr>
        <w:t>interagir avec les lesbiennes, gays, bisexuels, transgenres et intersexués</w:t>
      </w:r>
      <w:r w:rsidRPr="008E60B5" w:rsidDel="007E480B">
        <w:rPr>
          <w:lang w:val="fr-FR"/>
        </w:rPr>
        <w:t xml:space="preserve"> </w:t>
      </w:r>
      <w:r w:rsidRPr="008E60B5">
        <w:rPr>
          <w:lang w:val="fr-FR"/>
        </w:rPr>
        <w:t>(LGBTI) et les membres de leur famille.</w:t>
      </w:r>
    </w:p>
    <w:p w14:paraId="726459F0" w14:textId="3941FD45" w:rsidR="00CA0011" w:rsidRPr="008E60B5" w:rsidRDefault="00CA0011" w:rsidP="00A15EC1">
      <w:pPr>
        <w:pStyle w:val="SingleTxt"/>
        <w:numPr>
          <w:ilvl w:val="0"/>
          <w:numId w:val="23"/>
        </w:numPr>
        <w:spacing w:line="240" w:lineRule="exact"/>
        <w:rPr>
          <w:bCs/>
          <w:lang w:val="fr-FR"/>
        </w:rPr>
      </w:pPr>
      <w:r w:rsidRPr="008E60B5">
        <w:rPr>
          <w:lang w:val="fr-FR"/>
        </w:rPr>
        <w:t>La Marche des fiertés et le premier rassemblement de personnes transgenres* ont eu lieu le 20 septembre 2015. La condition des transgenres* dans la société constituait l</w:t>
      </w:r>
      <w:r w:rsidR="008E60B5" w:rsidRPr="008E60B5">
        <w:rPr>
          <w:lang w:val="fr-FR"/>
        </w:rPr>
        <w:t>’</w:t>
      </w:r>
      <w:r w:rsidRPr="008E60B5">
        <w:rPr>
          <w:lang w:val="fr-FR"/>
        </w:rPr>
        <w:t>une des priorités de 2016</w:t>
      </w:r>
      <w:r w:rsidR="00002E6B" w:rsidRPr="008E60B5">
        <w:rPr>
          <w:lang w:val="fr-FR"/>
        </w:rPr>
        <w:t> ;</w:t>
      </w:r>
      <w:r w:rsidRPr="008E60B5">
        <w:rPr>
          <w:lang w:val="fr-FR"/>
        </w:rPr>
        <w:t xml:space="preserve"> la marche dans le centre-ville de Belgrade du 25 juin 2016 s</w:t>
      </w:r>
      <w:r w:rsidR="008E60B5" w:rsidRPr="008E60B5">
        <w:rPr>
          <w:lang w:val="fr-FR"/>
        </w:rPr>
        <w:t>’</w:t>
      </w:r>
      <w:r w:rsidRPr="008E60B5">
        <w:rPr>
          <w:lang w:val="fr-FR"/>
        </w:rPr>
        <w:t>est déroulée sans incident et avec un niveau minimum de sécurité. La troisième Marche des fiertés s</w:t>
      </w:r>
      <w:r w:rsidR="008E60B5" w:rsidRPr="008E60B5">
        <w:rPr>
          <w:lang w:val="fr-FR"/>
        </w:rPr>
        <w:t>’</w:t>
      </w:r>
      <w:r w:rsidRPr="008E60B5">
        <w:rPr>
          <w:lang w:val="fr-FR"/>
        </w:rPr>
        <w:t>est déroulée avec succès le 18 septembre 2016</w:t>
      </w:r>
      <w:r w:rsidR="00002E6B" w:rsidRPr="008E60B5">
        <w:rPr>
          <w:lang w:val="fr-FR"/>
        </w:rPr>
        <w:t> ;</w:t>
      </w:r>
      <w:r w:rsidRPr="008E60B5">
        <w:rPr>
          <w:lang w:val="fr-FR"/>
        </w:rPr>
        <w:t xml:space="preserve"> des représentants d</w:t>
      </w:r>
      <w:r w:rsidR="008E60B5" w:rsidRPr="008E60B5">
        <w:rPr>
          <w:lang w:val="fr-FR"/>
        </w:rPr>
        <w:t>’</w:t>
      </w:r>
      <w:r w:rsidRPr="008E60B5">
        <w:rPr>
          <w:lang w:val="fr-FR"/>
        </w:rPr>
        <w:t>organisations internationales et d</w:t>
      </w:r>
      <w:r w:rsidR="008E60B5" w:rsidRPr="008E60B5">
        <w:rPr>
          <w:lang w:val="fr-FR"/>
        </w:rPr>
        <w:t>’</w:t>
      </w:r>
      <w:r w:rsidRPr="008E60B5">
        <w:rPr>
          <w:lang w:val="fr-FR"/>
        </w:rPr>
        <w:t>institutions nationales y étaient présents. En 2017, la Journée internationale contre l</w:t>
      </w:r>
      <w:r w:rsidR="008E60B5" w:rsidRPr="008E60B5">
        <w:rPr>
          <w:lang w:val="fr-FR"/>
        </w:rPr>
        <w:t>’</w:t>
      </w:r>
      <w:r w:rsidRPr="008E60B5">
        <w:rPr>
          <w:lang w:val="fr-FR"/>
        </w:rPr>
        <w:t>homophobie, la transphobie et la biphobie a été célébrée non seulement à Belgrade, mais aussi à Niš, Novi Sad, Novi Pazar, Subotica, Pančevo et Kragujevac.</w:t>
      </w:r>
    </w:p>
    <w:p w14:paraId="0EDB42CD" w14:textId="4AF6F0D4" w:rsidR="00CA0011" w:rsidRPr="008E60B5" w:rsidRDefault="00CA0011" w:rsidP="00A15EC1">
      <w:pPr>
        <w:pStyle w:val="SingleTxt"/>
        <w:numPr>
          <w:ilvl w:val="0"/>
          <w:numId w:val="23"/>
        </w:numPr>
        <w:spacing w:line="240" w:lineRule="exact"/>
        <w:rPr>
          <w:lang w:val="fr-FR"/>
        </w:rPr>
      </w:pPr>
      <w:r w:rsidRPr="008E60B5">
        <w:rPr>
          <w:lang w:val="fr-FR"/>
        </w:rPr>
        <w:t>Dans le cadre du projet de promotion de la tolérance et de la compréhension envers les lesbiennes, gays, bisexuels et transg</w:t>
      </w:r>
      <w:r w:rsidR="00F841A6" w:rsidRPr="008E60B5">
        <w:rPr>
          <w:lang w:val="fr-FR"/>
        </w:rPr>
        <w:t>enres dans la société serbe, 11 </w:t>
      </w:r>
      <w:r w:rsidRPr="008E60B5">
        <w:rPr>
          <w:lang w:val="fr-FR"/>
        </w:rPr>
        <w:t>subventions ont été accordées à des organisations de la société civile. Des actions de sensibilisation aux problèmes que rencontre la communauté LGBTI ont été menées dans plusieurs collectivités locales, ainsi qu</w:t>
      </w:r>
      <w:r w:rsidR="008E60B5" w:rsidRPr="008E60B5">
        <w:rPr>
          <w:lang w:val="fr-FR"/>
        </w:rPr>
        <w:t>’</w:t>
      </w:r>
      <w:r w:rsidRPr="008E60B5">
        <w:rPr>
          <w:lang w:val="fr-FR"/>
        </w:rPr>
        <w:t>en ligne et sur les réseaux sociaux, mettant l</w:t>
      </w:r>
      <w:r w:rsidR="008E60B5" w:rsidRPr="008E60B5">
        <w:rPr>
          <w:lang w:val="fr-FR"/>
        </w:rPr>
        <w:t>’</w:t>
      </w:r>
      <w:r w:rsidRPr="008E60B5">
        <w:rPr>
          <w:lang w:val="fr-FR"/>
        </w:rPr>
        <w:t>accent sur le fait qu</w:t>
      </w:r>
      <w:r w:rsidR="008E60B5" w:rsidRPr="008E60B5">
        <w:rPr>
          <w:lang w:val="fr-FR"/>
        </w:rPr>
        <w:t>’</w:t>
      </w:r>
      <w:r w:rsidRPr="008E60B5">
        <w:rPr>
          <w:lang w:val="fr-FR"/>
        </w:rPr>
        <w:t>il importe de lui accorder plus de visibilité. Une campagne a été menée aux niveaux local et national</w:t>
      </w:r>
      <w:r w:rsidR="00065981">
        <w:rPr>
          <w:lang w:val="fr-FR"/>
        </w:rPr>
        <w:t>,</w:t>
      </w:r>
      <w:r w:rsidRPr="008E60B5">
        <w:rPr>
          <w:lang w:val="fr-FR"/>
        </w:rPr>
        <w:t xml:space="preserve"> et une formation avancée a été dispensée aux agents de police, aux employés des centres d</w:t>
      </w:r>
      <w:r w:rsidR="008E60B5" w:rsidRPr="008E60B5">
        <w:rPr>
          <w:lang w:val="fr-FR"/>
        </w:rPr>
        <w:t>’</w:t>
      </w:r>
      <w:r w:rsidRPr="008E60B5">
        <w:rPr>
          <w:lang w:val="fr-FR"/>
        </w:rPr>
        <w:t>action sociale et aux titulaires de mandats judiciaires.</w:t>
      </w:r>
    </w:p>
    <w:p w14:paraId="0C9E7AA2" w14:textId="339E242C" w:rsidR="00CA0011" w:rsidRPr="008E60B5" w:rsidRDefault="00CA0011" w:rsidP="00A15EC1">
      <w:pPr>
        <w:pStyle w:val="SingleTxt"/>
        <w:numPr>
          <w:ilvl w:val="0"/>
          <w:numId w:val="23"/>
        </w:numPr>
        <w:spacing w:line="240" w:lineRule="exact"/>
        <w:rPr>
          <w:lang w:val="fr-FR"/>
        </w:rPr>
      </w:pPr>
      <w:r w:rsidRPr="008E60B5">
        <w:rPr>
          <w:lang w:val="fr-FR"/>
        </w:rPr>
        <w:lastRenderedPageBreak/>
        <w:t>Le rapport descriptif sur l</w:t>
      </w:r>
      <w:r w:rsidR="008E60B5" w:rsidRPr="008E60B5">
        <w:rPr>
          <w:lang w:val="fr-FR"/>
        </w:rPr>
        <w:t>’</w:t>
      </w:r>
      <w:r w:rsidRPr="008E60B5">
        <w:rPr>
          <w:lang w:val="fr-FR"/>
        </w:rPr>
        <w:t>évolution du VIH/sida en Serbie et le rapport sur les actions mises en place en République de Serbie pour lutter contre l</w:t>
      </w:r>
      <w:r w:rsidR="008E60B5" w:rsidRPr="008E60B5">
        <w:rPr>
          <w:lang w:val="fr-FR"/>
        </w:rPr>
        <w:t>’</w:t>
      </w:r>
      <w:r w:rsidRPr="008E60B5">
        <w:rPr>
          <w:lang w:val="fr-FR"/>
        </w:rPr>
        <w:t>épidémie de VIH en 2015, qui comprend une analyse comparative portant sur la période 2011</w:t>
      </w:r>
      <w:r w:rsidR="00065981">
        <w:rPr>
          <w:lang w:val="fr-FR"/>
        </w:rPr>
        <w:noBreakHyphen/>
      </w:r>
      <w:r w:rsidRPr="008E60B5">
        <w:rPr>
          <w:lang w:val="fr-FR"/>
        </w:rPr>
        <w:t>2015, sont disponibles sur le site Web de l</w:t>
      </w:r>
      <w:r w:rsidR="008E60B5" w:rsidRPr="008E60B5">
        <w:rPr>
          <w:lang w:val="fr-FR"/>
        </w:rPr>
        <w:t>’</w:t>
      </w:r>
      <w:r w:rsidRPr="008E60B5">
        <w:rPr>
          <w:lang w:val="fr-FR"/>
        </w:rPr>
        <w:t>Institut de santé publique serbe.</w:t>
      </w:r>
    </w:p>
    <w:p w14:paraId="36D34942" w14:textId="34A6A78F" w:rsidR="00CA0011" w:rsidRPr="008E60B5" w:rsidRDefault="00CA0011" w:rsidP="00A15EC1">
      <w:pPr>
        <w:pStyle w:val="SingleTxt"/>
        <w:numPr>
          <w:ilvl w:val="0"/>
          <w:numId w:val="23"/>
        </w:numPr>
        <w:spacing w:line="240" w:lineRule="exact"/>
        <w:rPr>
          <w:lang w:val="fr-FR"/>
        </w:rPr>
      </w:pPr>
      <w:r w:rsidRPr="008E60B5">
        <w:rPr>
          <w:lang w:val="fr-FR"/>
        </w:rPr>
        <w:t>L</w:t>
      </w:r>
      <w:r w:rsidR="008E60B5" w:rsidRPr="008E60B5">
        <w:rPr>
          <w:lang w:val="fr-FR"/>
        </w:rPr>
        <w:t>’</w:t>
      </w:r>
      <w:r w:rsidRPr="008E60B5">
        <w:rPr>
          <w:lang w:val="fr-FR"/>
        </w:rPr>
        <w:t>association DUGA, en collaboration avec l</w:t>
      </w:r>
      <w:r w:rsidR="008E60B5" w:rsidRPr="008E60B5">
        <w:rPr>
          <w:lang w:val="fr-FR"/>
        </w:rPr>
        <w:t>’</w:t>
      </w:r>
      <w:r w:rsidRPr="008E60B5">
        <w:rPr>
          <w:lang w:val="fr-FR"/>
        </w:rPr>
        <w:t>Institut national de santé publique, a mené une action de conseil et de dépistage pendant la Fashion week intitulée « Testing is in</w:t>
      </w:r>
      <w:r w:rsidR="00002E6B" w:rsidRPr="008E60B5">
        <w:rPr>
          <w:lang w:val="fr-FR"/>
        </w:rPr>
        <w:t> :</w:t>
      </w:r>
      <w:r w:rsidRPr="008E60B5">
        <w:rPr>
          <w:lang w:val="fr-FR"/>
        </w:rPr>
        <w:t xml:space="preserve"> test for HIV</w:t>
      </w:r>
      <w:r w:rsidR="00065981">
        <w:rPr>
          <w:lang w:val="fr-FR"/>
        </w:rPr>
        <w:t> </w:t>
      </w:r>
      <w:r w:rsidRPr="008E60B5">
        <w:rPr>
          <w:lang w:val="fr-FR"/>
        </w:rPr>
        <w:t>!</w:t>
      </w:r>
      <w:r w:rsidR="00CC60AD" w:rsidRPr="008E60B5">
        <w:rPr>
          <w:lang w:val="fr-FR"/>
        </w:rPr>
        <w:t> </w:t>
      </w:r>
      <w:r w:rsidRPr="008E60B5">
        <w:rPr>
          <w:lang w:val="fr-FR"/>
        </w:rPr>
        <w:t>».</w:t>
      </w:r>
    </w:p>
    <w:p w14:paraId="62AE297D" w14:textId="2419887E" w:rsidR="00CA0011" w:rsidRPr="008E60B5" w:rsidRDefault="00CA0011" w:rsidP="00A15EC1">
      <w:pPr>
        <w:pStyle w:val="SingleTxt"/>
        <w:numPr>
          <w:ilvl w:val="0"/>
          <w:numId w:val="23"/>
        </w:numPr>
        <w:spacing w:line="240" w:lineRule="exact"/>
        <w:rPr>
          <w:lang w:val="fr-FR"/>
        </w:rPr>
      </w:pPr>
      <w:r w:rsidRPr="008E60B5">
        <w:rPr>
          <w:lang w:val="fr-FR"/>
        </w:rPr>
        <w:t>Le plan d</w:t>
      </w:r>
      <w:r w:rsidR="008E60B5" w:rsidRPr="008E60B5">
        <w:rPr>
          <w:lang w:val="fr-FR"/>
        </w:rPr>
        <w:t>’</w:t>
      </w:r>
      <w:r w:rsidRPr="008E60B5">
        <w:rPr>
          <w:lang w:val="fr-FR"/>
        </w:rPr>
        <w:t>action relatif à la mise en oeuvre de la stratégie de prévention et de protection en matière de discrimination à l</w:t>
      </w:r>
      <w:r w:rsidR="008E60B5" w:rsidRPr="008E60B5">
        <w:rPr>
          <w:lang w:val="fr-FR"/>
        </w:rPr>
        <w:t>’</w:t>
      </w:r>
      <w:r w:rsidRPr="008E60B5">
        <w:rPr>
          <w:lang w:val="fr-FR"/>
        </w:rPr>
        <w:t>horizon 2018 prévoit l</w:t>
      </w:r>
      <w:r w:rsidR="008E60B5" w:rsidRPr="008E60B5">
        <w:rPr>
          <w:lang w:val="fr-FR"/>
        </w:rPr>
        <w:t>’</w:t>
      </w:r>
      <w:r w:rsidRPr="008E60B5">
        <w:rPr>
          <w:lang w:val="fr-FR"/>
        </w:rPr>
        <w:t>élaboration d</w:t>
      </w:r>
      <w:r w:rsidR="008E60B5" w:rsidRPr="008E60B5">
        <w:rPr>
          <w:lang w:val="fr-FR"/>
        </w:rPr>
        <w:t>’</w:t>
      </w:r>
      <w:r w:rsidRPr="008E60B5">
        <w:rPr>
          <w:lang w:val="fr-FR"/>
        </w:rPr>
        <w:t>un projet de loi sur l</w:t>
      </w:r>
      <w:r w:rsidR="008E60B5" w:rsidRPr="008E60B5">
        <w:rPr>
          <w:lang w:val="fr-FR"/>
        </w:rPr>
        <w:t>’</w:t>
      </w:r>
      <w:r w:rsidRPr="008E60B5">
        <w:rPr>
          <w:lang w:val="fr-FR"/>
        </w:rPr>
        <w:t>identité de genre.</w:t>
      </w:r>
    </w:p>
    <w:p w14:paraId="280F7C2A" w14:textId="77777777" w:rsidR="00CC60AD" w:rsidRPr="008E60B5" w:rsidRDefault="00CC60AD" w:rsidP="00CC60AD">
      <w:pPr>
        <w:pStyle w:val="SingleTxt"/>
        <w:spacing w:after="0" w:line="120" w:lineRule="exact"/>
        <w:rPr>
          <w:b/>
          <w:sz w:val="10"/>
          <w:lang w:val="fr-FR"/>
        </w:rPr>
      </w:pPr>
    </w:p>
    <w:p w14:paraId="4E7A894F" w14:textId="50382560" w:rsidR="00CA0011" w:rsidRPr="008E60B5" w:rsidRDefault="00CA0011" w:rsidP="00CC60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Indice d</w:t>
      </w:r>
      <w:r w:rsidR="008E60B5" w:rsidRPr="008E60B5">
        <w:rPr>
          <w:lang w:val="fr-FR"/>
        </w:rPr>
        <w:t>’</w:t>
      </w:r>
      <w:r w:rsidRPr="008E60B5">
        <w:rPr>
          <w:lang w:val="fr-FR"/>
        </w:rPr>
        <w:t>égalité de genre et publication de données statistiques</w:t>
      </w:r>
    </w:p>
    <w:p w14:paraId="4A214AE8" w14:textId="401B9E02" w:rsidR="00CC60AD" w:rsidRPr="008E60B5" w:rsidRDefault="00CC60AD" w:rsidP="00CC60AD">
      <w:pPr>
        <w:pStyle w:val="SingleTxt"/>
        <w:spacing w:after="0" w:line="120" w:lineRule="exact"/>
        <w:rPr>
          <w:sz w:val="10"/>
          <w:lang w:val="fr-FR"/>
        </w:rPr>
      </w:pPr>
    </w:p>
    <w:p w14:paraId="4DF280ED" w14:textId="032C8539" w:rsidR="00CA0011" w:rsidRPr="008E60B5" w:rsidRDefault="00CA0011" w:rsidP="00A15EC1">
      <w:pPr>
        <w:pStyle w:val="SingleTxt"/>
        <w:numPr>
          <w:ilvl w:val="0"/>
          <w:numId w:val="23"/>
        </w:numPr>
        <w:spacing w:line="240" w:lineRule="exact"/>
        <w:rPr>
          <w:lang w:val="fr-FR"/>
        </w:rPr>
      </w:pPr>
      <w:r w:rsidRPr="008E60B5">
        <w:rPr>
          <w:lang w:val="fr-FR"/>
        </w:rPr>
        <w:t>Depuis février 2016, la Serbie applique l</w:t>
      </w:r>
      <w:r w:rsidR="008E60B5" w:rsidRPr="008E60B5">
        <w:rPr>
          <w:lang w:val="fr-FR"/>
        </w:rPr>
        <w:t>’</w:t>
      </w:r>
      <w:r w:rsidRPr="008E60B5">
        <w:rPr>
          <w:lang w:val="fr-FR"/>
        </w:rPr>
        <w:t>Indice d</w:t>
      </w:r>
      <w:r w:rsidR="008E60B5" w:rsidRPr="008E60B5">
        <w:rPr>
          <w:lang w:val="fr-FR"/>
        </w:rPr>
        <w:t>’</w:t>
      </w:r>
      <w:r w:rsidRPr="008E60B5">
        <w:rPr>
          <w:lang w:val="fr-FR"/>
        </w:rPr>
        <w:t>égalité de genre de l</w:t>
      </w:r>
      <w:r w:rsidR="008E60B5" w:rsidRPr="008E60B5">
        <w:rPr>
          <w:lang w:val="fr-FR"/>
        </w:rPr>
        <w:t>’</w:t>
      </w:r>
      <w:r w:rsidRPr="008E60B5">
        <w:rPr>
          <w:lang w:val="fr-FR"/>
        </w:rPr>
        <w:t>Union européenne à six domaines, à savoir le temps, l</w:t>
      </w:r>
      <w:r w:rsidR="008E60B5" w:rsidRPr="008E60B5">
        <w:rPr>
          <w:lang w:val="fr-FR"/>
        </w:rPr>
        <w:t>’</w:t>
      </w:r>
      <w:r w:rsidRPr="008E60B5">
        <w:rPr>
          <w:lang w:val="fr-FR"/>
        </w:rPr>
        <w:t>argent, le travail, la connaissance, le pouvoir et la santé, ainsi que dans deux domaines auxiliaires, à savoir les violences faites aux femmes et les inégalités croisées. En collaboration avec le Groupe de l</w:t>
      </w:r>
      <w:r w:rsidR="008E60B5" w:rsidRPr="008E60B5">
        <w:rPr>
          <w:lang w:val="fr-FR"/>
        </w:rPr>
        <w:t>’</w:t>
      </w:r>
      <w:r w:rsidRPr="008E60B5">
        <w:rPr>
          <w:lang w:val="fr-FR"/>
        </w:rPr>
        <w:t>inclusion sociale et de la réduction de la pauvreté et l</w:t>
      </w:r>
      <w:r w:rsidR="008E60B5" w:rsidRPr="008E60B5">
        <w:rPr>
          <w:lang w:val="fr-FR"/>
        </w:rPr>
        <w:t>’</w:t>
      </w:r>
      <w:r w:rsidRPr="008E60B5">
        <w:rPr>
          <w:lang w:val="fr-FR"/>
        </w:rPr>
        <w:t>Office de statistique serbe et avec le soutien de l</w:t>
      </w:r>
      <w:r w:rsidR="008E60B5" w:rsidRPr="008E60B5">
        <w:rPr>
          <w:lang w:val="fr-FR"/>
        </w:rPr>
        <w:t>’</w:t>
      </w:r>
      <w:r w:rsidRPr="008E60B5">
        <w:rPr>
          <w:lang w:val="fr-FR"/>
        </w:rPr>
        <w:t>Institut européen pour l</w:t>
      </w:r>
      <w:r w:rsidR="008E60B5" w:rsidRPr="008E60B5">
        <w:rPr>
          <w:lang w:val="fr-FR"/>
        </w:rPr>
        <w:t>’</w:t>
      </w:r>
      <w:r w:rsidRPr="008E60B5">
        <w:rPr>
          <w:lang w:val="fr-FR"/>
        </w:rPr>
        <w:t>égalité entre les hommes et les femmes, l</w:t>
      </w:r>
      <w:r w:rsidR="008E60B5" w:rsidRPr="008E60B5">
        <w:rPr>
          <w:lang w:val="fr-FR"/>
        </w:rPr>
        <w:t>’</w:t>
      </w:r>
      <w:r w:rsidRPr="008E60B5">
        <w:rPr>
          <w:lang w:val="fr-FR"/>
        </w:rPr>
        <w:t>Organisme de coordination pour l</w:t>
      </w:r>
      <w:r w:rsidR="008E60B5" w:rsidRPr="008E60B5">
        <w:rPr>
          <w:lang w:val="fr-FR"/>
        </w:rPr>
        <w:t>’</w:t>
      </w:r>
      <w:r w:rsidRPr="008E60B5">
        <w:rPr>
          <w:lang w:val="fr-FR"/>
        </w:rPr>
        <w:t>égalité des sexes a commencé à utiliser et calculer l</w:t>
      </w:r>
      <w:r w:rsidR="008E60B5" w:rsidRPr="008E60B5">
        <w:rPr>
          <w:lang w:val="fr-FR"/>
        </w:rPr>
        <w:t>’</w:t>
      </w:r>
      <w:r w:rsidRPr="008E60B5">
        <w:rPr>
          <w:lang w:val="fr-FR"/>
        </w:rPr>
        <w:t>Indice d</w:t>
      </w:r>
      <w:r w:rsidR="008E60B5" w:rsidRPr="008E60B5">
        <w:rPr>
          <w:lang w:val="fr-FR"/>
        </w:rPr>
        <w:t>’</w:t>
      </w:r>
      <w:r w:rsidRPr="008E60B5">
        <w:rPr>
          <w:lang w:val="fr-FR"/>
        </w:rPr>
        <w:t>égalité de genre de l</w:t>
      </w:r>
      <w:r w:rsidR="008E60B5" w:rsidRPr="008E60B5">
        <w:rPr>
          <w:lang w:val="fr-FR"/>
        </w:rPr>
        <w:t>’</w:t>
      </w:r>
      <w:r w:rsidRPr="008E60B5">
        <w:rPr>
          <w:lang w:val="fr-FR"/>
        </w:rPr>
        <w:t>Union européenne. L</w:t>
      </w:r>
      <w:r w:rsidR="008E60B5" w:rsidRPr="008E60B5">
        <w:rPr>
          <w:lang w:val="fr-FR"/>
        </w:rPr>
        <w:t>’</w:t>
      </w:r>
      <w:r w:rsidRPr="008E60B5">
        <w:rPr>
          <w:lang w:val="fr-FR"/>
        </w:rPr>
        <w:t>Office de statistique serbe et l</w:t>
      </w:r>
      <w:r w:rsidR="008E60B5" w:rsidRPr="008E60B5">
        <w:rPr>
          <w:lang w:val="fr-FR"/>
        </w:rPr>
        <w:t>’</w:t>
      </w:r>
      <w:r w:rsidRPr="008E60B5">
        <w:rPr>
          <w:lang w:val="fr-FR"/>
        </w:rPr>
        <w:t>Institut européen pour l</w:t>
      </w:r>
      <w:r w:rsidR="008E60B5" w:rsidRPr="008E60B5">
        <w:rPr>
          <w:lang w:val="fr-FR"/>
        </w:rPr>
        <w:t>’</w:t>
      </w:r>
      <w:r w:rsidRPr="008E60B5">
        <w:rPr>
          <w:lang w:val="fr-FR"/>
        </w:rPr>
        <w:t>égalité entre les hommes et les femmes avaient initialement calculé un indice de 40,60</w:t>
      </w:r>
      <w:r w:rsidR="00002E6B" w:rsidRPr="008E60B5">
        <w:rPr>
          <w:lang w:val="fr-FR"/>
        </w:rPr>
        <w:t> %</w:t>
      </w:r>
      <w:r w:rsidRPr="008E60B5">
        <w:rPr>
          <w:lang w:val="fr-FR"/>
        </w:rPr>
        <w:t xml:space="preserve"> pour la Serbie. Selon cet indicateur, l</w:t>
      </w:r>
      <w:r w:rsidR="008E60B5" w:rsidRPr="008E60B5">
        <w:rPr>
          <w:lang w:val="fr-FR"/>
        </w:rPr>
        <w:t>’</w:t>
      </w:r>
      <w:r w:rsidRPr="008E60B5">
        <w:rPr>
          <w:lang w:val="fr-FR"/>
        </w:rPr>
        <w:t>égalité des sexes est la mieux appliquée dans les postes de pouvoir au niveau national, les inégalités les plus fortes concernant le travail et l</w:t>
      </w:r>
      <w:r w:rsidR="008E60B5" w:rsidRPr="008E60B5">
        <w:rPr>
          <w:lang w:val="fr-FR"/>
        </w:rPr>
        <w:t>’</w:t>
      </w:r>
      <w:r w:rsidRPr="008E60B5">
        <w:rPr>
          <w:lang w:val="fr-FR"/>
        </w:rPr>
        <w:t>argent.</w:t>
      </w:r>
    </w:p>
    <w:p w14:paraId="758B6B8C" w14:textId="75DDD70C" w:rsidR="00CA0011" w:rsidRPr="008E60B5" w:rsidRDefault="00CA0011" w:rsidP="00A15EC1">
      <w:pPr>
        <w:pStyle w:val="SingleTxt"/>
        <w:numPr>
          <w:ilvl w:val="0"/>
          <w:numId w:val="23"/>
        </w:numPr>
        <w:spacing w:line="240" w:lineRule="exact"/>
        <w:rPr>
          <w:lang w:val="fr-FR"/>
        </w:rPr>
      </w:pPr>
      <w:r w:rsidRPr="008E60B5">
        <w:rPr>
          <w:lang w:val="fr-FR"/>
        </w:rPr>
        <w:t xml:space="preserve">Le cinquième numéro de la publication </w:t>
      </w:r>
      <w:r w:rsidRPr="003C1C06">
        <w:rPr>
          <w:i/>
          <w:iCs/>
          <w:lang w:val="fr-FR"/>
        </w:rPr>
        <w:t>Women and Men in the Republic of Serbia</w:t>
      </w:r>
      <w:r w:rsidRPr="008E60B5">
        <w:rPr>
          <w:lang w:val="fr-FR"/>
        </w:rPr>
        <w:t>» doit paraître en novembre 2017 et sera disponible en serbe et en anglais sur le site Web de l</w:t>
      </w:r>
      <w:r w:rsidR="008E60B5" w:rsidRPr="008E60B5">
        <w:rPr>
          <w:lang w:val="fr-FR"/>
        </w:rPr>
        <w:t>’</w:t>
      </w:r>
      <w:r w:rsidRPr="008E60B5">
        <w:rPr>
          <w:lang w:val="fr-FR"/>
        </w:rPr>
        <w:t>Office de statistique. Cette publication présente des données statistiques ventilées par sexe fournies, entre autres, par les institutions suivantes</w:t>
      </w:r>
      <w:r w:rsidR="00002E6B" w:rsidRPr="008E60B5">
        <w:rPr>
          <w:lang w:val="fr-FR"/>
        </w:rPr>
        <w:t> :</w:t>
      </w:r>
      <w:r w:rsidRPr="008E60B5">
        <w:rPr>
          <w:lang w:val="fr-FR"/>
        </w:rPr>
        <w:t xml:space="preserve"> Office de statistique, Institut de protection de la santé serbe, Ministère de la justice, Ministère de la défense, Ministère de l</w:t>
      </w:r>
      <w:r w:rsidR="008E60B5" w:rsidRPr="008E60B5">
        <w:rPr>
          <w:lang w:val="fr-FR"/>
        </w:rPr>
        <w:t>’</w:t>
      </w:r>
      <w:r w:rsidRPr="008E60B5">
        <w:rPr>
          <w:lang w:val="fr-FR"/>
        </w:rPr>
        <w:t>intérieur, Service national pour l</w:t>
      </w:r>
      <w:r w:rsidR="008E60B5" w:rsidRPr="008E60B5">
        <w:rPr>
          <w:lang w:val="fr-FR"/>
        </w:rPr>
        <w:t>’</w:t>
      </w:r>
      <w:r w:rsidRPr="008E60B5">
        <w:rPr>
          <w:lang w:val="fr-FR"/>
        </w:rPr>
        <w:t>emploi, Institut de protection sociale de la République, Caisse de retraite et d</w:t>
      </w:r>
      <w:r w:rsidR="008E60B5" w:rsidRPr="008E60B5">
        <w:rPr>
          <w:lang w:val="fr-FR"/>
        </w:rPr>
        <w:t>’</w:t>
      </w:r>
      <w:r w:rsidRPr="008E60B5">
        <w:rPr>
          <w:lang w:val="fr-FR"/>
        </w:rPr>
        <w:t>assurance invalidité de la République et Fonds des Nations Unies pour l</w:t>
      </w:r>
      <w:r w:rsidR="008E60B5" w:rsidRPr="008E60B5">
        <w:rPr>
          <w:lang w:val="fr-FR"/>
        </w:rPr>
        <w:t>’</w:t>
      </w:r>
      <w:r w:rsidRPr="008E60B5">
        <w:rPr>
          <w:lang w:val="fr-FR"/>
        </w:rPr>
        <w:t>enfance</w:t>
      </w:r>
      <w:r w:rsidRPr="008E60B5" w:rsidDel="009652CA">
        <w:rPr>
          <w:lang w:val="fr-FR"/>
        </w:rPr>
        <w:t xml:space="preserve"> </w:t>
      </w:r>
      <w:r w:rsidRPr="008E60B5">
        <w:rPr>
          <w:lang w:val="fr-FR"/>
        </w:rPr>
        <w:t>(UNICEF). Les données présentées concernent la population, les soins de santé, l</w:t>
      </w:r>
      <w:r w:rsidR="008E60B5" w:rsidRPr="008E60B5">
        <w:rPr>
          <w:lang w:val="fr-FR"/>
        </w:rPr>
        <w:t>’</w:t>
      </w:r>
      <w:r w:rsidRPr="008E60B5">
        <w:rPr>
          <w:lang w:val="fr-FR"/>
        </w:rPr>
        <w:t>éducation, la sécurité sociale, le système judiciaire, l</w:t>
      </w:r>
      <w:r w:rsidR="008E60B5" w:rsidRPr="008E60B5">
        <w:rPr>
          <w:lang w:val="fr-FR"/>
        </w:rPr>
        <w:t>’</w:t>
      </w:r>
      <w:r w:rsidRPr="008E60B5">
        <w:rPr>
          <w:lang w:val="fr-FR"/>
        </w:rPr>
        <w:t>emploi, les salaires et retraites, la gestion du temps et la prise de décisions.</w:t>
      </w:r>
    </w:p>
    <w:p w14:paraId="00747B8F" w14:textId="24E4F053" w:rsidR="00CA0011" w:rsidRPr="008E60B5" w:rsidRDefault="00CA0011" w:rsidP="00CC60AD">
      <w:pPr>
        <w:pStyle w:val="SingleTxt"/>
        <w:spacing w:after="0" w:line="120" w:lineRule="exact"/>
        <w:rPr>
          <w:sz w:val="10"/>
        </w:rPr>
      </w:pPr>
    </w:p>
    <w:p w14:paraId="0D4E9C27" w14:textId="77777777" w:rsidR="00CA0011" w:rsidRPr="008E60B5" w:rsidRDefault="00CA0011" w:rsidP="00CC60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Violences faites aux femmes</w:t>
      </w:r>
    </w:p>
    <w:p w14:paraId="21A61D7F" w14:textId="77777777" w:rsidR="00CC60AD" w:rsidRPr="008E60B5" w:rsidRDefault="00CC60AD" w:rsidP="00CC60AD">
      <w:pPr>
        <w:pStyle w:val="SingleTxt"/>
        <w:spacing w:after="0" w:line="120" w:lineRule="exact"/>
        <w:rPr>
          <w:i/>
          <w:sz w:val="10"/>
          <w:lang w:val="fr-FR"/>
        </w:rPr>
      </w:pPr>
    </w:p>
    <w:p w14:paraId="1BC94DFA" w14:textId="5FACB15D" w:rsidR="00CA0011" w:rsidRPr="008E60B5" w:rsidRDefault="00F841A6" w:rsidP="00F841A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r>
      <w:r w:rsidR="00CA0011" w:rsidRPr="008E60B5">
        <w:rPr>
          <w:lang w:val="fr-FR"/>
        </w:rPr>
        <w:t xml:space="preserve">Recommandation formulée au paragraphe 23 </w:t>
      </w:r>
    </w:p>
    <w:p w14:paraId="0611BEAB" w14:textId="77777777" w:rsidR="00CC60AD" w:rsidRPr="008E60B5" w:rsidRDefault="00CC60AD" w:rsidP="00CC60AD">
      <w:pPr>
        <w:pStyle w:val="SingleTxt"/>
        <w:spacing w:after="0" w:line="120" w:lineRule="exact"/>
        <w:rPr>
          <w:b/>
          <w:sz w:val="10"/>
          <w:lang w:val="fr-FR"/>
        </w:rPr>
      </w:pPr>
    </w:p>
    <w:p w14:paraId="14C12014" w14:textId="1E6D8ED2" w:rsidR="00CA0011" w:rsidRPr="008E60B5" w:rsidRDefault="00CA0011" w:rsidP="00CC60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Prévention de la violence et sensibilisation</w:t>
      </w:r>
    </w:p>
    <w:p w14:paraId="6C0CD58B" w14:textId="40FC9D01" w:rsidR="00CC60AD" w:rsidRPr="008E60B5" w:rsidRDefault="00CC60AD" w:rsidP="00CC60AD">
      <w:pPr>
        <w:pStyle w:val="SingleTxt"/>
        <w:spacing w:after="0" w:line="120" w:lineRule="exact"/>
        <w:rPr>
          <w:sz w:val="10"/>
          <w:lang w:val="fr-FR"/>
        </w:rPr>
      </w:pPr>
    </w:p>
    <w:p w14:paraId="4FF851D7" w14:textId="2B9C7CBB" w:rsidR="00CA0011" w:rsidRPr="008E60B5" w:rsidRDefault="00CA0011" w:rsidP="00A15EC1">
      <w:pPr>
        <w:pStyle w:val="SingleTxt"/>
        <w:numPr>
          <w:ilvl w:val="0"/>
          <w:numId w:val="23"/>
        </w:numPr>
        <w:spacing w:line="240" w:lineRule="exact"/>
        <w:rPr>
          <w:lang w:val="fr-FR"/>
        </w:rPr>
      </w:pPr>
      <w:r w:rsidRPr="008E60B5">
        <w:rPr>
          <w:lang w:val="fr-FR"/>
        </w:rPr>
        <w:t>En décembre 2013, le Ministère de l</w:t>
      </w:r>
      <w:r w:rsidR="008E60B5" w:rsidRPr="008E60B5">
        <w:rPr>
          <w:lang w:val="fr-FR"/>
        </w:rPr>
        <w:t>’</w:t>
      </w:r>
      <w:r w:rsidRPr="008E60B5">
        <w:rPr>
          <w:lang w:val="fr-FR"/>
        </w:rPr>
        <w:t>éducation, de la science et du développement technologique a mené une enquête sur la violence sexiste dans les établissements d</w:t>
      </w:r>
      <w:r w:rsidR="008E60B5" w:rsidRPr="008E60B5">
        <w:rPr>
          <w:lang w:val="fr-FR"/>
        </w:rPr>
        <w:t>’</w:t>
      </w:r>
      <w:r w:rsidRPr="008E60B5">
        <w:rPr>
          <w:lang w:val="fr-FR"/>
        </w:rPr>
        <w:t>enseignement primaire et secondaire serbes. Les résultats ont révélé qu</w:t>
      </w:r>
      <w:r w:rsidR="008E60B5" w:rsidRPr="008E60B5">
        <w:rPr>
          <w:lang w:val="fr-FR"/>
        </w:rPr>
        <w:t>’</w:t>
      </w:r>
      <w:r w:rsidRPr="008E60B5">
        <w:rPr>
          <w:lang w:val="fr-FR"/>
        </w:rPr>
        <w:t>au total, 69</w:t>
      </w:r>
      <w:r w:rsidR="00002E6B" w:rsidRPr="008E60B5">
        <w:rPr>
          <w:lang w:val="fr-FR"/>
        </w:rPr>
        <w:t> %</w:t>
      </w:r>
      <w:r w:rsidRPr="008E60B5">
        <w:rPr>
          <w:lang w:val="fr-FR"/>
        </w:rPr>
        <w:t xml:space="preserve"> des élèves du primaire et 74</w:t>
      </w:r>
      <w:r w:rsidR="00002E6B" w:rsidRPr="008E60B5">
        <w:rPr>
          <w:lang w:val="fr-FR"/>
        </w:rPr>
        <w:t> %</w:t>
      </w:r>
      <w:r w:rsidRPr="008E60B5">
        <w:rPr>
          <w:lang w:val="fr-FR"/>
        </w:rPr>
        <w:t xml:space="preserve"> de ceux du secondaire avaient subi au moins une forme de violence sexiste </w:t>
      </w:r>
      <w:r w:rsidRPr="008E60B5">
        <w:rPr>
          <w:bCs/>
          <w:iCs/>
          <w:lang w:val="fr-FR"/>
        </w:rPr>
        <w:t>au cours de leur vie</w:t>
      </w:r>
      <w:r w:rsidRPr="008E60B5">
        <w:rPr>
          <w:b/>
          <w:bCs/>
          <w:i/>
          <w:iCs/>
          <w:lang w:val="fr-FR"/>
        </w:rPr>
        <w:t>.</w:t>
      </w:r>
      <w:r w:rsidRPr="008E60B5">
        <w:rPr>
          <w:lang w:val="fr-FR"/>
        </w:rPr>
        <w:t xml:space="preserve"> Afin d</w:t>
      </w:r>
      <w:r w:rsidR="008E60B5" w:rsidRPr="008E60B5">
        <w:rPr>
          <w:lang w:val="fr-FR"/>
        </w:rPr>
        <w:t>’</w:t>
      </w:r>
      <w:r w:rsidRPr="008E60B5">
        <w:rPr>
          <w:lang w:val="fr-FR"/>
        </w:rPr>
        <w:t>évaluer la prévalence de la violence sexuelle, le Groupe de protection contre la violence et la discrimination a collaboré avec la société civile pour réaliser une étude nationale sur le problème que posent pour la société les atteintes sexuelles commises à l</w:t>
      </w:r>
      <w:r w:rsidR="008E60B5" w:rsidRPr="008E60B5">
        <w:rPr>
          <w:lang w:val="fr-FR"/>
        </w:rPr>
        <w:t>’</w:t>
      </w:r>
      <w:r w:rsidRPr="008E60B5">
        <w:rPr>
          <w:lang w:val="fr-FR"/>
        </w:rPr>
        <w:t>égard des enfants en Serbie.</w:t>
      </w:r>
    </w:p>
    <w:p w14:paraId="04689640" w14:textId="42F48F4F" w:rsidR="00CA0011" w:rsidRPr="008E60B5" w:rsidRDefault="00CA0011" w:rsidP="00A15EC1">
      <w:pPr>
        <w:pStyle w:val="SingleTxt"/>
        <w:numPr>
          <w:ilvl w:val="0"/>
          <w:numId w:val="23"/>
        </w:numPr>
        <w:spacing w:line="240" w:lineRule="exact"/>
        <w:rPr>
          <w:lang w:val="fr-FR"/>
        </w:rPr>
      </w:pPr>
      <w:r w:rsidRPr="008E60B5">
        <w:rPr>
          <w:lang w:val="fr-FR"/>
        </w:rPr>
        <w:t xml:space="preserve">Dans le cadre du programme de prévention de la violence en milieu scolaire, qui a été déployé dans 274 établissements (235 du primaire et 24 du secondaire), </w:t>
      </w:r>
      <w:r w:rsidRPr="008E60B5">
        <w:rPr>
          <w:lang w:val="fr-FR"/>
        </w:rPr>
        <w:lastRenderedPageBreak/>
        <w:t>17</w:t>
      </w:r>
      <w:r w:rsidR="00CC60AD" w:rsidRPr="008E60B5">
        <w:rPr>
          <w:lang w:val="fr-FR"/>
        </w:rPr>
        <w:t> </w:t>
      </w:r>
      <w:r w:rsidRPr="008E60B5">
        <w:rPr>
          <w:lang w:val="fr-FR"/>
        </w:rPr>
        <w:t xml:space="preserve">000 enseignants et 229 000 élèves ont suivi une formation sur la prévention de la violence. Un site </w:t>
      </w:r>
      <w:r w:rsidR="0026480C">
        <w:rPr>
          <w:lang w:val="fr-FR"/>
        </w:rPr>
        <w:t>W</w:t>
      </w:r>
      <w:r w:rsidRPr="008E60B5">
        <w:rPr>
          <w:lang w:val="fr-FR"/>
        </w:rPr>
        <w:t>eb (</w:t>
      </w:r>
      <w:hyperlink r:id="rId23" w:history="1">
        <w:r w:rsidRPr="008E60B5">
          <w:rPr>
            <w:rStyle w:val="Hyperlink"/>
            <w:u w:val="none"/>
            <w:lang w:val="fr-FR"/>
          </w:rPr>
          <w:t>www.sbn.rs</w:t>
        </w:r>
      </w:hyperlink>
      <w:r w:rsidRPr="008E60B5">
        <w:rPr>
          <w:lang w:val="fr-FR"/>
        </w:rPr>
        <w:t>) a été créé en vue de diffuser des informations sur les moyens de prévenir la violence. Soixante tuteurs chargés de la prévention de la violenc</w:t>
      </w:r>
      <w:r w:rsidRPr="008E60B5">
        <w:rPr>
          <w:iCs/>
          <w:lang w:val="fr-FR"/>
        </w:rPr>
        <w:t>e</w:t>
      </w:r>
      <w:r w:rsidRPr="008E60B5">
        <w:rPr>
          <w:i/>
          <w:iCs/>
          <w:lang w:val="fr-FR"/>
        </w:rPr>
        <w:t xml:space="preserve"> </w:t>
      </w:r>
      <w:r w:rsidRPr="008E60B5">
        <w:rPr>
          <w:lang w:val="fr-FR"/>
        </w:rPr>
        <w:t>ont suivi une formation visant à renforcer leurs capacités en matière de prévention de la violence dans l</w:t>
      </w:r>
      <w:r w:rsidR="008E60B5" w:rsidRPr="008E60B5">
        <w:rPr>
          <w:lang w:val="fr-FR"/>
        </w:rPr>
        <w:t>’</w:t>
      </w:r>
      <w:r w:rsidRPr="008E60B5">
        <w:rPr>
          <w:lang w:val="fr-FR"/>
        </w:rPr>
        <w:t>espace virtuel et de la violence sexiste, notamment de nature familiale et sexuelle</w:t>
      </w:r>
      <w:r w:rsidR="00002E6B" w:rsidRPr="008E60B5">
        <w:rPr>
          <w:lang w:val="fr-FR"/>
        </w:rPr>
        <w:t> ;</w:t>
      </w:r>
      <w:r w:rsidRPr="008E60B5">
        <w:rPr>
          <w:lang w:val="fr-FR"/>
        </w:rPr>
        <w:t xml:space="preserve"> une formation similaire a été dispensé</w:t>
      </w:r>
      <w:r w:rsidR="0026480C">
        <w:rPr>
          <w:lang w:val="fr-FR"/>
        </w:rPr>
        <w:t>e</w:t>
      </w:r>
      <w:r w:rsidRPr="008E60B5">
        <w:rPr>
          <w:lang w:val="fr-FR"/>
        </w:rPr>
        <w:t xml:space="preserve"> à 88 conseillers du service d</w:t>
      </w:r>
      <w:r w:rsidR="008E60B5" w:rsidRPr="008E60B5">
        <w:rPr>
          <w:lang w:val="fr-FR"/>
        </w:rPr>
        <w:t>’</w:t>
      </w:r>
      <w:r w:rsidRPr="008E60B5">
        <w:rPr>
          <w:lang w:val="fr-FR"/>
        </w:rPr>
        <w:t>assistance téléphonique lancé par le Ministère de l</w:t>
      </w:r>
      <w:r w:rsidR="008E60B5" w:rsidRPr="008E60B5">
        <w:rPr>
          <w:lang w:val="fr-FR"/>
        </w:rPr>
        <w:t>’</w:t>
      </w:r>
      <w:r w:rsidRPr="008E60B5">
        <w:rPr>
          <w:lang w:val="fr-FR"/>
        </w:rPr>
        <w:t>éducation, de la science et du développement technologique aux fins du signalement des cas de violence dans les établissements scolaires</w:t>
      </w:r>
      <w:r w:rsidRPr="008E60B5">
        <w:rPr>
          <w:vertAlign w:val="superscript"/>
          <w:lang w:val="fr-FR"/>
        </w:rPr>
        <w:footnoteReference w:id="5"/>
      </w:r>
      <w:r w:rsidRPr="008E60B5">
        <w:rPr>
          <w:lang w:val="fr-FR"/>
        </w:rPr>
        <w:t>. Un instrument d</w:t>
      </w:r>
      <w:r w:rsidR="008E60B5" w:rsidRPr="008E60B5">
        <w:rPr>
          <w:lang w:val="fr-FR"/>
        </w:rPr>
        <w:t>’</w:t>
      </w:r>
      <w:r w:rsidRPr="008E60B5">
        <w:rPr>
          <w:lang w:val="fr-FR"/>
        </w:rPr>
        <w:t>évaluation de la sécurité en milieu scolaire a été élaboré pour mesurer la violence sexiste et la violence dans l</w:t>
      </w:r>
      <w:r w:rsidR="008E60B5" w:rsidRPr="008E60B5">
        <w:rPr>
          <w:lang w:val="fr-FR"/>
        </w:rPr>
        <w:t>’</w:t>
      </w:r>
      <w:r w:rsidRPr="008E60B5">
        <w:rPr>
          <w:lang w:val="fr-FR"/>
        </w:rPr>
        <w:t>espace virtuel. Un manuel a par ailleurs été publié sur le même thème, dans le cadre de l</w:t>
      </w:r>
      <w:r w:rsidR="008E60B5" w:rsidRPr="008E60B5">
        <w:rPr>
          <w:lang w:val="fr-FR"/>
        </w:rPr>
        <w:t>’</w:t>
      </w:r>
      <w:r w:rsidRPr="008E60B5">
        <w:rPr>
          <w:lang w:val="fr-FR"/>
        </w:rPr>
        <w:t>évaluation du respect des normes de qualité par les établissements d</w:t>
      </w:r>
      <w:r w:rsidR="008E60B5" w:rsidRPr="008E60B5">
        <w:rPr>
          <w:lang w:val="fr-FR"/>
        </w:rPr>
        <w:t>’</w:t>
      </w:r>
      <w:r w:rsidRPr="008E60B5">
        <w:rPr>
          <w:lang w:val="fr-FR"/>
        </w:rPr>
        <w:t>enseignement et du renforcement des capacités des établissements scolaires et des conseillers d</w:t>
      </w:r>
      <w:r w:rsidR="008E60B5" w:rsidRPr="008E60B5">
        <w:rPr>
          <w:lang w:val="fr-FR"/>
        </w:rPr>
        <w:t>’</w:t>
      </w:r>
      <w:r w:rsidRPr="008E60B5">
        <w:rPr>
          <w:lang w:val="fr-FR"/>
        </w:rPr>
        <w:t>éducation s</w:t>
      </w:r>
      <w:r w:rsidR="008E60B5" w:rsidRPr="008E60B5">
        <w:rPr>
          <w:lang w:val="fr-FR"/>
        </w:rPr>
        <w:t>’</w:t>
      </w:r>
      <w:r w:rsidRPr="008E60B5">
        <w:rPr>
          <w:lang w:val="fr-FR"/>
        </w:rPr>
        <w:t>agissant de suivre l</w:t>
      </w:r>
      <w:r w:rsidR="008E60B5" w:rsidRPr="008E60B5">
        <w:rPr>
          <w:lang w:val="fr-FR"/>
        </w:rPr>
        <w:t>’</w:t>
      </w:r>
      <w:r w:rsidRPr="008E60B5">
        <w:rPr>
          <w:lang w:val="fr-FR"/>
        </w:rPr>
        <w:t xml:space="preserve">évolution des conditions de sécurité. </w:t>
      </w:r>
    </w:p>
    <w:p w14:paraId="3B58D35E" w14:textId="3DE0F90F" w:rsidR="00CA0011" w:rsidRPr="008E60B5" w:rsidRDefault="00CA0011" w:rsidP="00A15EC1">
      <w:pPr>
        <w:pStyle w:val="SingleTxt"/>
        <w:numPr>
          <w:ilvl w:val="0"/>
          <w:numId w:val="23"/>
        </w:numPr>
        <w:spacing w:line="240" w:lineRule="exact"/>
        <w:rPr>
          <w:lang w:val="fr-FR"/>
        </w:rPr>
      </w:pPr>
      <w:r w:rsidRPr="008E60B5">
        <w:rPr>
          <w:lang w:val="fr-FR"/>
        </w:rPr>
        <w:t>Dans le cadre des programmes de perfectionnement professionnel organisés à leur intention, les membres du personnel des établissements d</w:t>
      </w:r>
      <w:r w:rsidR="008E60B5" w:rsidRPr="008E60B5">
        <w:rPr>
          <w:lang w:val="fr-FR"/>
        </w:rPr>
        <w:t>’</w:t>
      </w:r>
      <w:r w:rsidRPr="008E60B5">
        <w:rPr>
          <w:lang w:val="fr-FR"/>
        </w:rPr>
        <w:t>enseignement</w:t>
      </w:r>
      <w:r w:rsidR="00002E6B" w:rsidRPr="008E60B5">
        <w:rPr>
          <w:lang w:val="fr-FR"/>
        </w:rPr>
        <w:t xml:space="preserve"> </w:t>
      </w:r>
      <w:r w:rsidRPr="008E60B5">
        <w:rPr>
          <w:lang w:val="fr-FR"/>
        </w:rPr>
        <w:t>acquièrent des connaissances et des compétences, y compris en matière d</w:t>
      </w:r>
      <w:r w:rsidR="008E60B5" w:rsidRPr="008E60B5">
        <w:rPr>
          <w:lang w:val="fr-FR"/>
        </w:rPr>
        <w:t>’</w:t>
      </w:r>
      <w:r w:rsidRPr="008E60B5">
        <w:rPr>
          <w:lang w:val="fr-FR"/>
        </w:rPr>
        <w:t>autonomisation, qui leur permettent de mieux travailler avec les élèves de sexe féminin ayant été victimes d</w:t>
      </w:r>
      <w:r w:rsidR="008E60B5" w:rsidRPr="008E60B5">
        <w:rPr>
          <w:lang w:val="fr-FR"/>
        </w:rPr>
        <w:t>’</w:t>
      </w:r>
      <w:r w:rsidRPr="008E60B5">
        <w:rPr>
          <w:lang w:val="fr-FR"/>
        </w:rPr>
        <w:t>intolérance, sous quelque forme que ce soit. Ces programmes sont accrédités par l</w:t>
      </w:r>
      <w:r w:rsidR="008E60B5" w:rsidRPr="008E60B5">
        <w:rPr>
          <w:lang w:val="fr-FR"/>
        </w:rPr>
        <w:t>’</w:t>
      </w:r>
      <w:r w:rsidRPr="008E60B5">
        <w:rPr>
          <w:lang w:val="fr-FR"/>
        </w:rPr>
        <w:t>Institut pour la promotion de l</w:t>
      </w:r>
      <w:r w:rsidR="008E60B5" w:rsidRPr="008E60B5">
        <w:rPr>
          <w:lang w:val="fr-FR"/>
        </w:rPr>
        <w:t>’</w:t>
      </w:r>
      <w:r w:rsidRPr="008E60B5">
        <w:rPr>
          <w:lang w:val="fr-FR"/>
        </w:rPr>
        <w:t>éducation.</w:t>
      </w:r>
    </w:p>
    <w:p w14:paraId="59B186E0" w14:textId="6E028327" w:rsidR="00CA0011" w:rsidRPr="008E60B5" w:rsidRDefault="00CA0011" w:rsidP="00A15EC1">
      <w:pPr>
        <w:pStyle w:val="SingleTxt"/>
        <w:numPr>
          <w:ilvl w:val="0"/>
          <w:numId w:val="23"/>
        </w:numPr>
        <w:spacing w:line="240" w:lineRule="exact"/>
        <w:rPr>
          <w:lang w:val="fr-FR"/>
        </w:rPr>
      </w:pPr>
      <w:r w:rsidRPr="008E60B5">
        <w:rPr>
          <w:lang w:val="fr-FR"/>
        </w:rPr>
        <w:t>En janvier 2016, la Direction de la police anticriminalité a créé un groupe de prévention et de répression de la violence familiale, qui suit, analyse et coordonne les cas de violence familiale dans l</w:t>
      </w:r>
      <w:r w:rsidR="008E60B5" w:rsidRPr="008E60B5">
        <w:rPr>
          <w:lang w:val="fr-FR"/>
        </w:rPr>
        <w:t>’</w:t>
      </w:r>
      <w:r w:rsidRPr="008E60B5">
        <w:rPr>
          <w:lang w:val="fr-FR"/>
        </w:rPr>
        <w:t>ensemble des 27 administrations de police. Le groupe a mené plusieurs activités, dont une initiative dans le cadre de laquelle les administrations de police ont mis en place des équipes locales composées de représentants de la police, du parquet, des centres d</w:t>
      </w:r>
      <w:r w:rsidR="008E60B5" w:rsidRPr="008E60B5">
        <w:rPr>
          <w:lang w:val="fr-FR"/>
        </w:rPr>
        <w:t>’</w:t>
      </w:r>
      <w:r w:rsidRPr="008E60B5">
        <w:rPr>
          <w:lang w:val="fr-FR"/>
        </w:rPr>
        <w:t>action sociale, d</w:t>
      </w:r>
      <w:r w:rsidR="008E60B5" w:rsidRPr="008E60B5">
        <w:rPr>
          <w:lang w:val="fr-FR"/>
        </w:rPr>
        <w:t>’</w:t>
      </w:r>
      <w:r w:rsidRPr="008E60B5">
        <w:rPr>
          <w:lang w:val="fr-FR"/>
        </w:rPr>
        <w:t>établissements de soins de santé et d</w:t>
      </w:r>
      <w:r w:rsidR="008E60B5" w:rsidRPr="008E60B5">
        <w:rPr>
          <w:lang w:val="fr-FR"/>
        </w:rPr>
        <w:t>’</w:t>
      </w:r>
      <w:r w:rsidRPr="008E60B5">
        <w:rPr>
          <w:lang w:val="fr-FR"/>
        </w:rPr>
        <w:t>organisations de la société civile, qui se réunissent au moins une fois par mois pour analyser et examiner les améliorations à apporter dans la gestion des affaires de violence familiale. Le groupe forme également les officiers de police qui interviennent en cas de violence familiale, conformément aux dispositions de la loi sur la prévention de ce type de violence.</w:t>
      </w:r>
    </w:p>
    <w:p w14:paraId="0A903564" w14:textId="5085E6DB" w:rsidR="00CA0011" w:rsidRPr="008E60B5" w:rsidRDefault="00CA0011" w:rsidP="00A15EC1">
      <w:pPr>
        <w:pStyle w:val="SingleTxt"/>
        <w:numPr>
          <w:ilvl w:val="0"/>
          <w:numId w:val="23"/>
        </w:numPr>
        <w:spacing w:line="240" w:lineRule="exact"/>
        <w:rPr>
          <w:b/>
          <w:lang w:val="fr-FR"/>
        </w:rPr>
      </w:pPr>
      <w:r w:rsidRPr="008E60B5">
        <w:rPr>
          <w:lang w:val="fr-FR"/>
        </w:rPr>
        <w:t>Pour sensibiliser les femmes au caractère criminel des actes de violence familiale et sexuelle, et les encourager ainsi à signaler ce type de violences, le Ministère de la justice a mené une campagne nationale d</w:t>
      </w:r>
      <w:r w:rsidR="008E60B5" w:rsidRPr="008E60B5">
        <w:rPr>
          <w:lang w:val="fr-FR"/>
        </w:rPr>
        <w:t>’</w:t>
      </w:r>
      <w:r w:rsidRPr="008E60B5">
        <w:rPr>
          <w:lang w:val="fr-FR"/>
        </w:rPr>
        <w:t>information en vue d</w:t>
      </w:r>
      <w:r w:rsidR="008E60B5" w:rsidRPr="008E60B5">
        <w:rPr>
          <w:lang w:val="fr-FR"/>
        </w:rPr>
        <w:t>’</w:t>
      </w:r>
      <w:r w:rsidRPr="008E60B5">
        <w:rPr>
          <w:lang w:val="fr-FR"/>
        </w:rPr>
        <w:t>enrayer la violence. L</w:t>
      </w:r>
      <w:r w:rsidR="008E60B5" w:rsidRPr="008E60B5">
        <w:rPr>
          <w:lang w:val="fr-FR"/>
        </w:rPr>
        <w:t>’</w:t>
      </w:r>
      <w:r w:rsidRPr="008E60B5">
        <w:rPr>
          <w:lang w:val="fr-FR"/>
        </w:rPr>
        <w:t>objectif de cette campagne menée sur Internet et dans les médias, y compris sociaux, est de sensibiliser toutes les parties à la violence familiale en diffusant des informations à l</w:t>
      </w:r>
      <w:r w:rsidR="008E60B5" w:rsidRPr="008E60B5">
        <w:rPr>
          <w:lang w:val="fr-FR"/>
        </w:rPr>
        <w:t>’</w:t>
      </w:r>
      <w:r w:rsidRPr="008E60B5">
        <w:rPr>
          <w:lang w:val="fr-FR"/>
        </w:rPr>
        <w:t>intention des différents groupes cibles et en expliquant les nouvelles mesures juridiques tant aux auteurs qu</w:t>
      </w:r>
      <w:r w:rsidR="008E60B5" w:rsidRPr="008E60B5">
        <w:rPr>
          <w:lang w:val="fr-FR"/>
        </w:rPr>
        <w:t>’</w:t>
      </w:r>
      <w:r w:rsidRPr="008E60B5">
        <w:rPr>
          <w:lang w:val="fr-FR"/>
        </w:rPr>
        <w:t>aux victimes, potentiels ou avérés, d</w:t>
      </w:r>
      <w:r w:rsidR="008E60B5" w:rsidRPr="008E60B5">
        <w:rPr>
          <w:lang w:val="fr-FR"/>
        </w:rPr>
        <w:t>’</w:t>
      </w:r>
      <w:r w:rsidRPr="008E60B5">
        <w:rPr>
          <w:lang w:val="fr-FR"/>
        </w:rPr>
        <w:t>actes de violence familiale ainsi qu</w:t>
      </w:r>
      <w:r w:rsidR="008E60B5" w:rsidRPr="008E60B5">
        <w:rPr>
          <w:lang w:val="fr-FR"/>
        </w:rPr>
        <w:t>’</w:t>
      </w:r>
      <w:r w:rsidRPr="008E60B5">
        <w:rPr>
          <w:lang w:val="fr-FR"/>
        </w:rPr>
        <w:t>à l</w:t>
      </w:r>
      <w:r w:rsidR="008E60B5" w:rsidRPr="008E60B5">
        <w:rPr>
          <w:lang w:val="fr-FR"/>
        </w:rPr>
        <w:t>’</w:t>
      </w:r>
      <w:r w:rsidRPr="008E60B5">
        <w:rPr>
          <w:lang w:val="fr-FR"/>
        </w:rPr>
        <w:t>ensemble de la population, de sorte que chacun soit capable de reconnaître ce type de violence et d</w:t>
      </w:r>
      <w:r w:rsidR="008E60B5" w:rsidRPr="008E60B5">
        <w:rPr>
          <w:lang w:val="fr-FR"/>
        </w:rPr>
        <w:t>’</w:t>
      </w:r>
      <w:r w:rsidRPr="008E60B5">
        <w:rPr>
          <w:lang w:val="fr-FR"/>
        </w:rPr>
        <w:t>agir de manière appropriée. En outre, l</w:t>
      </w:r>
      <w:r w:rsidR="008E60B5" w:rsidRPr="008E60B5">
        <w:rPr>
          <w:lang w:val="fr-FR"/>
        </w:rPr>
        <w:t>’</w:t>
      </w:r>
      <w:r w:rsidRPr="008E60B5">
        <w:rPr>
          <w:lang w:val="fr-FR"/>
        </w:rPr>
        <w:t>une des principales priorités de cette campagne consiste à mobiliser tous ceux qui pourraient être touchés directement ou indirectement par toute forme de violence familiale.</w:t>
      </w:r>
    </w:p>
    <w:p w14:paraId="595CF406" w14:textId="61F3DD57" w:rsidR="00CA0011" w:rsidRPr="008E60B5" w:rsidRDefault="00CA0011" w:rsidP="00A15EC1">
      <w:pPr>
        <w:pStyle w:val="SingleTxt"/>
        <w:numPr>
          <w:ilvl w:val="0"/>
          <w:numId w:val="23"/>
        </w:numPr>
        <w:spacing w:line="240" w:lineRule="exact"/>
        <w:rPr>
          <w:lang w:val="fr-FR"/>
        </w:rPr>
      </w:pPr>
      <w:r w:rsidRPr="008E60B5">
        <w:rPr>
          <w:lang w:val="fr-FR"/>
        </w:rPr>
        <w:t>Conformément aux engagements que le pays a pris au titre de la Convention d</w:t>
      </w:r>
      <w:r w:rsidR="008E60B5" w:rsidRPr="008E60B5">
        <w:rPr>
          <w:lang w:val="fr-FR"/>
        </w:rPr>
        <w:t>’</w:t>
      </w:r>
      <w:r w:rsidRPr="008E60B5">
        <w:rPr>
          <w:lang w:val="fr-FR"/>
        </w:rPr>
        <w:t>Istanbul et aux dispositions énoncées dans le plan d</w:t>
      </w:r>
      <w:r w:rsidR="008E60B5" w:rsidRPr="008E60B5">
        <w:rPr>
          <w:lang w:val="fr-FR"/>
        </w:rPr>
        <w:t>’</w:t>
      </w:r>
      <w:r w:rsidRPr="008E60B5">
        <w:rPr>
          <w:lang w:val="fr-FR"/>
        </w:rPr>
        <w:t>action relatif à la mise en œuvre de la stratégie de prévention et de protection en matière de discrimination, l</w:t>
      </w:r>
      <w:r w:rsidR="008E60B5" w:rsidRPr="008E60B5">
        <w:rPr>
          <w:lang w:val="fr-FR"/>
        </w:rPr>
        <w:t>’</w:t>
      </w:r>
      <w:r w:rsidRPr="008E60B5">
        <w:rPr>
          <w:lang w:val="fr-FR"/>
        </w:rPr>
        <w:t>Organisme de coordination pour l</w:t>
      </w:r>
      <w:r w:rsidR="008E60B5" w:rsidRPr="008E60B5">
        <w:rPr>
          <w:lang w:val="fr-FR"/>
        </w:rPr>
        <w:t>’</w:t>
      </w:r>
      <w:r w:rsidRPr="008E60B5">
        <w:rPr>
          <w:lang w:val="fr-FR"/>
        </w:rPr>
        <w:t>égalité des sexes</w:t>
      </w:r>
      <w:r w:rsidR="00002E6B" w:rsidRPr="008E60B5">
        <w:rPr>
          <w:lang w:val="fr-FR"/>
        </w:rPr>
        <w:t xml:space="preserve"> </w:t>
      </w:r>
      <w:r w:rsidRPr="008E60B5">
        <w:rPr>
          <w:lang w:val="fr-FR"/>
        </w:rPr>
        <w:t>a amorcé l</w:t>
      </w:r>
      <w:r w:rsidR="008E60B5" w:rsidRPr="008E60B5">
        <w:rPr>
          <w:lang w:val="fr-FR"/>
        </w:rPr>
        <w:t>’</w:t>
      </w:r>
      <w:r w:rsidRPr="008E60B5">
        <w:rPr>
          <w:lang w:val="fr-FR"/>
        </w:rPr>
        <w:t>adoption de la stratégie nationale de prévention et d</w:t>
      </w:r>
      <w:r w:rsidR="008E60B5" w:rsidRPr="008E60B5">
        <w:rPr>
          <w:lang w:val="fr-FR"/>
        </w:rPr>
        <w:t>’</w:t>
      </w:r>
      <w:r w:rsidRPr="008E60B5">
        <w:rPr>
          <w:lang w:val="fr-FR"/>
        </w:rPr>
        <w:t xml:space="preserve">élimination de la violence familiale et de la violence au sein du couple pour la période 2017-2020. Les fonds nécessaires à </w:t>
      </w:r>
      <w:r w:rsidRPr="008E60B5">
        <w:rPr>
          <w:lang w:val="fr-FR"/>
        </w:rPr>
        <w:lastRenderedPageBreak/>
        <w:t>l</w:t>
      </w:r>
      <w:r w:rsidR="008E60B5" w:rsidRPr="008E60B5">
        <w:rPr>
          <w:lang w:val="fr-FR"/>
        </w:rPr>
        <w:t>’</w:t>
      </w:r>
      <w:r w:rsidRPr="008E60B5">
        <w:rPr>
          <w:lang w:val="fr-FR"/>
        </w:rPr>
        <w:t>analyse de la stratégie précédente et à l</w:t>
      </w:r>
      <w:r w:rsidR="008E60B5" w:rsidRPr="008E60B5">
        <w:rPr>
          <w:lang w:val="fr-FR"/>
        </w:rPr>
        <w:t>’</w:t>
      </w:r>
      <w:r w:rsidRPr="008E60B5">
        <w:rPr>
          <w:lang w:val="fr-FR"/>
        </w:rPr>
        <w:t>élaboration de la nouvelle, ainsi qu</w:t>
      </w:r>
      <w:r w:rsidR="008E60B5" w:rsidRPr="008E60B5">
        <w:rPr>
          <w:lang w:val="fr-FR"/>
        </w:rPr>
        <w:t>’</w:t>
      </w:r>
      <w:r w:rsidRPr="008E60B5">
        <w:rPr>
          <w:lang w:val="fr-FR"/>
        </w:rPr>
        <w:t>à la mise en œuvre des nombreuses activités de sensibilisation, ont été alloués par l</w:t>
      </w:r>
      <w:r w:rsidR="008E60B5" w:rsidRPr="008E60B5">
        <w:rPr>
          <w:lang w:val="fr-FR"/>
        </w:rPr>
        <w:t>’</w:t>
      </w:r>
      <w:r w:rsidRPr="008E60B5">
        <w:rPr>
          <w:lang w:val="fr-FR"/>
        </w:rPr>
        <w:t>Agence suédoise de coopération internationale au développement dans le cadre de la seconde phase du projet d</w:t>
      </w:r>
      <w:r w:rsidR="008E60B5" w:rsidRPr="008E60B5">
        <w:rPr>
          <w:lang w:val="fr-FR"/>
        </w:rPr>
        <w:t>’</w:t>
      </w:r>
      <w:r w:rsidRPr="008E60B5">
        <w:rPr>
          <w:lang w:val="fr-FR"/>
        </w:rPr>
        <w:t>action intégrée de lutte contre la violence à l</w:t>
      </w:r>
      <w:r w:rsidR="008E60B5" w:rsidRPr="008E60B5">
        <w:rPr>
          <w:lang w:val="fr-FR"/>
        </w:rPr>
        <w:t>’</w:t>
      </w:r>
      <w:r w:rsidRPr="008E60B5">
        <w:rPr>
          <w:lang w:val="fr-FR"/>
        </w:rPr>
        <w:t>égard des femmes et des filles</w:t>
      </w:r>
      <w:r w:rsidRPr="008E60B5">
        <w:rPr>
          <w:i/>
          <w:vertAlign w:val="superscript"/>
          <w:lang w:val="fr-FR"/>
        </w:rPr>
        <w:footnoteReference w:id="6"/>
      </w:r>
      <w:r w:rsidRPr="008E60B5">
        <w:rPr>
          <w:lang w:val="fr-FR"/>
        </w:rPr>
        <w:t>. Le projet est exécuté en coopération avec tous les organismes des Nations Unies présents en Serbie et avec les ministères compétents. Sa mise en œuvre contribuera à faciliter l</w:t>
      </w:r>
      <w:r w:rsidR="008E60B5" w:rsidRPr="008E60B5">
        <w:rPr>
          <w:lang w:val="fr-FR"/>
        </w:rPr>
        <w:t>’</w:t>
      </w:r>
      <w:r w:rsidRPr="008E60B5">
        <w:rPr>
          <w:lang w:val="fr-FR"/>
        </w:rPr>
        <w:t>instauration d</w:t>
      </w:r>
      <w:r w:rsidR="008E60B5" w:rsidRPr="008E60B5">
        <w:rPr>
          <w:lang w:val="fr-FR"/>
        </w:rPr>
        <w:t>’</w:t>
      </w:r>
      <w:r w:rsidRPr="008E60B5">
        <w:rPr>
          <w:lang w:val="fr-FR"/>
        </w:rPr>
        <w:t>un climat social et institutionnel qui ne laisse aucune place à la violence. Ce projet vise à améliorer les cadres juridiques et politiques dans ce domaine, à renforcer les systèmes de prévention de la violence et les mécanismes de soutien aux victimes, ainsi qu</w:t>
      </w:r>
      <w:r w:rsidR="008E60B5" w:rsidRPr="008E60B5">
        <w:rPr>
          <w:lang w:val="fr-FR"/>
        </w:rPr>
        <w:t>’</w:t>
      </w:r>
      <w:r w:rsidRPr="008E60B5">
        <w:rPr>
          <w:lang w:val="fr-FR"/>
        </w:rPr>
        <w:t>à accroître l</w:t>
      </w:r>
      <w:r w:rsidR="008E60B5" w:rsidRPr="008E60B5">
        <w:rPr>
          <w:lang w:val="fr-FR"/>
        </w:rPr>
        <w:t>’</w:t>
      </w:r>
      <w:r w:rsidRPr="008E60B5">
        <w:rPr>
          <w:lang w:val="fr-FR"/>
        </w:rPr>
        <w:t xml:space="preserve">accès à une protection efficace contre la violence en mettant en place des services généraux et spécialisés viables. </w:t>
      </w:r>
    </w:p>
    <w:p w14:paraId="5E0A7AF2" w14:textId="6CC01E82" w:rsidR="00CA0011" w:rsidRPr="008E60B5" w:rsidRDefault="00CA0011" w:rsidP="00A15EC1">
      <w:pPr>
        <w:pStyle w:val="SingleTxt"/>
        <w:numPr>
          <w:ilvl w:val="0"/>
          <w:numId w:val="23"/>
        </w:numPr>
        <w:spacing w:line="240" w:lineRule="exact"/>
        <w:rPr>
          <w:lang w:val="fr-FR"/>
        </w:rPr>
      </w:pPr>
      <w:r w:rsidRPr="008E60B5">
        <w:rPr>
          <w:lang w:val="fr-FR"/>
        </w:rPr>
        <w:t>Dans le cadre de ce projet, le Ministère de la jeunesse et des sports coopérera avec le Fonds des Nations Unies pour la population</w:t>
      </w:r>
      <w:r w:rsidRPr="008E60B5" w:rsidDel="00935A1F">
        <w:rPr>
          <w:lang w:val="fr-FR"/>
        </w:rPr>
        <w:t xml:space="preserve"> </w:t>
      </w:r>
      <w:r w:rsidRPr="008E60B5">
        <w:rPr>
          <w:lang w:val="fr-FR"/>
        </w:rPr>
        <w:t xml:space="preserve">et le Centre for the Promotion of Healthy Lifestyles (Centre </w:t>
      </w:r>
      <w:r w:rsidRPr="008E60B5">
        <w:rPr>
          <w:lang w:val="en-GB"/>
        </w:rPr>
        <w:t>Е</w:t>
      </w:r>
      <w:r w:rsidRPr="008E60B5">
        <w:rPr>
          <w:lang w:val="fr-FR"/>
        </w:rPr>
        <w:t>8), basé à Belgrade en vue de mettre en œuvre la campagne « Be a man ». Par ailleurs, il mènera l</w:t>
      </w:r>
      <w:r w:rsidR="008E60B5" w:rsidRPr="008E60B5">
        <w:rPr>
          <w:lang w:val="fr-FR"/>
        </w:rPr>
        <w:t>’</w:t>
      </w:r>
      <w:r w:rsidRPr="008E60B5">
        <w:rPr>
          <w:lang w:val="fr-FR"/>
        </w:rPr>
        <w:t>Enquête internationale sur les hommes et l</w:t>
      </w:r>
      <w:r w:rsidR="008E60B5" w:rsidRPr="008E60B5">
        <w:rPr>
          <w:lang w:val="fr-FR"/>
        </w:rPr>
        <w:t>’</w:t>
      </w:r>
      <w:r w:rsidRPr="008E60B5">
        <w:rPr>
          <w:lang w:val="fr-FR"/>
        </w:rPr>
        <w:t>égalité des sexes dans les villes de Novi Sad, Niš, Kragujevac, Kruševac et Čačak, et mettra en lumière les résultats du projet.</w:t>
      </w:r>
    </w:p>
    <w:p w14:paraId="531B7DEA" w14:textId="2D023C58" w:rsidR="00CA0011" w:rsidRPr="008E60B5" w:rsidRDefault="00CA0011" w:rsidP="00A15EC1">
      <w:pPr>
        <w:pStyle w:val="SingleTxt"/>
        <w:numPr>
          <w:ilvl w:val="0"/>
          <w:numId w:val="23"/>
        </w:numPr>
        <w:spacing w:line="240" w:lineRule="exact"/>
        <w:rPr>
          <w:lang w:val="fr-FR"/>
        </w:rPr>
      </w:pPr>
      <w:r w:rsidRPr="008E60B5">
        <w:rPr>
          <w:lang w:val="fr-FR"/>
        </w:rPr>
        <w:t>L</w:t>
      </w:r>
      <w:r w:rsidR="008E60B5" w:rsidRPr="008E60B5">
        <w:rPr>
          <w:lang w:val="fr-FR"/>
        </w:rPr>
        <w:t>’</w:t>
      </w:r>
      <w:r w:rsidRPr="008E60B5">
        <w:rPr>
          <w:lang w:val="fr-FR"/>
        </w:rPr>
        <w:t>Institut de protection sociale de la République a accrédité un certain nombre de programmes de formation sur les questions de violence familiale conçus pour les professionnels des institutions de protection sociale, comme les centres d</w:t>
      </w:r>
      <w:r w:rsidR="008E60B5" w:rsidRPr="008E60B5">
        <w:rPr>
          <w:lang w:val="fr-FR"/>
        </w:rPr>
        <w:t>’</w:t>
      </w:r>
      <w:r w:rsidRPr="008E60B5">
        <w:rPr>
          <w:lang w:val="fr-FR"/>
        </w:rPr>
        <w:t>action sociale ou les structures d</w:t>
      </w:r>
      <w:r w:rsidR="008E60B5" w:rsidRPr="008E60B5">
        <w:rPr>
          <w:lang w:val="fr-FR"/>
        </w:rPr>
        <w:t>’</w:t>
      </w:r>
      <w:r w:rsidRPr="008E60B5">
        <w:rPr>
          <w:lang w:val="fr-FR"/>
        </w:rPr>
        <w:t>accueil. Dans le cadre de ces programmes, des séances de formation sont régulièrement proposées, notamment pour aider ces professionnels à appliquer les pratiques de lutte contre la discrimination, à travailler auprès des minorités sexuelles et des minorités de genre ainsi qu</w:t>
      </w:r>
      <w:r w:rsidR="008E60B5" w:rsidRPr="008E60B5">
        <w:rPr>
          <w:lang w:val="fr-FR"/>
        </w:rPr>
        <w:t>’</w:t>
      </w:r>
      <w:r w:rsidRPr="008E60B5">
        <w:rPr>
          <w:lang w:val="fr-FR"/>
        </w:rPr>
        <w:t>auprès des victimes de violence sexiste, à tenir des conférences de cas sur la protection contre la violence familiale, ou encore à travailler auprès de délinquants violents.</w:t>
      </w:r>
    </w:p>
    <w:p w14:paraId="60BA5857" w14:textId="1782ABEF" w:rsidR="00CA0011" w:rsidRPr="008E60B5" w:rsidRDefault="00CA0011" w:rsidP="00A15EC1">
      <w:pPr>
        <w:pStyle w:val="SingleTxt"/>
        <w:numPr>
          <w:ilvl w:val="0"/>
          <w:numId w:val="23"/>
        </w:numPr>
        <w:spacing w:line="240" w:lineRule="exact"/>
        <w:rPr>
          <w:b/>
          <w:i/>
          <w:lang w:val="fr-FR"/>
        </w:rPr>
      </w:pPr>
      <w:r w:rsidRPr="008E60B5">
        <w:rPr>
          <w:lang w:val="fr-FR"/>
        </w:rPr>
        <w:t>Depuis janvier 2016, en partenariat avec le Women</w:t>
      </w:r>
      <w:r w:rsidR="008E60B5" w:rsidRPr="008E60B5">
        <w:rPr>
          <w:lang w:val="fr-FR"/>
        </w:rPr>
        <w:t>’</w:t>
      </w:r>
      <w:r w:rsidRPr="008E60B5">
        <w:rPr>
          <w:lang w:val="fr-FR"/>
        </w:rPr>
        <w:t xml:space="preserve">s Support Centre, organisation basée à Kikinda, le Secrétariat provincial à la santé met en œuvre un projet de trois ans intitulé « Stop </w:t>
      </w:r>
      <w:r w:rsidR="0051295B" w:rsidRPr="008E60B5">
        <w:rPr>
          <w:lang w:val="fr-FR"/>
        </w:rPr>
        <w:t>–</w:t>
      </w:r>
      <w:r w:rsidRPr="008E60B5">
        <w:rPr>
          <w:lang w:val="fr-FR"/>
        </w:rPr>
        <w:t xml:space="preserve"> Protect </w:t>
      </w:r>
      <w:r w:rsidR="0051295B" w:rsidRPr="008E60B5">
        <w:rPr>
          <w:lang w:val="fr-FR"/>
        </w:rPr>
        <w:t>– Help </w:t>
      </w:r>
      <w:r w:rsidRPr="008E60B5">
        <w:rPr>
          <w:lang w:val="fr-FR"/>
        </w:rPr>
        <w:t>». Conçu à l</w:t>
      </w:r>
      <w:r w:rsidR="008E60B5" w:rsidRPr="008E60B5">
        <w:rPr>
          <w:lang w:val="fr-FR"/>
        </w:rPr>
        <w:t>’</w:t>
      </w:r>
      <w:r w:rsidRPr="008E60B5">
        <w:rPr>
          <w:lang w:val="fr-FR"/>
        </w:rPr>
        <w:t>intention des femmes qui sont ou pourraient être victimes de violence, des fonctionnaires de tous les départements et de tous les niveaux, des organisations de femmes et de l</w:t>
      </w:r>
      <w:r w:rsidR="008E60B5" w:rsidRPr="008E60B5">
        <w:rPr>
          <w:lang w:val="fr-FR"/>
        </w:rPr>
        <w:t>’</w:t>
      </w:r>
      <w:r w:rsidRPr="008E60B5">
        <w:rPr>
          <w:lang w:val="fr-FR"/>
        </w:rPr>
        <w:t>ensemble de la population de la province, ce projet est doté d</w:t>
      </w:r>
      <w:r w:rsidR="008E60B5" w:rsidRPr="008E60B5">
        <w:rPr>
          <w:lang w:val="fr-FR"/>
        </w:rPr>
        <w:t>’</w:t>
      </w:r>
      <w:r w:rsidRPr="008E60B5">
        <w:rPr>
          <w:lang w:val="fr-FR"/>
        </w:rPr>
        <w:t>un budget total de 610 937 dollars, dont 533 060 dollars octroyés par le Fonds d</w:t>
      </w:r>
      <w:r w:rsidR="008E60B5" w:rsidRPr="008E60B5">
        <w:rPr>
          <w:lang w:val="fr-FR"/>
        </w:rPr>
        <w:t>’</w:t>
      </w:r>
      <w:r w:rsidRPr="008E60B5">
        <w:rPr>
          <w:lang w:val="fr-FR"/>
        </w:rPr>
        <w:t>affectation spéciale des Nations Unies à l</w:t>
      </w:r>
      <w:r w:rsidR="008E60B5" w:rsidRPr="008E60B5">
        <w:rPr>
          <w:lang w:val="fr-FR"/>
        </w:rPr>
        <w:t>’</w:t>
      </w:r>
      <w:r w:rsidRPr="008E60B5">
        <w:rPr>
          <w:lang w:val="fr-FR"/>
        </w:rPr>
        <w:t>appui de la lutte contre la violence à l</w:t>
      </w:r>
      <w:r w:rsidR="008E60B5" w:rsidRPr="008E60B5">
        <w:rPr>
          <w:lang w:val="fr-FR"/>
        </w:rPr>
        <w:t>’</w:t>
      </w:r>
      <w:r w:rsidRPr="008E60B5">
        <w:rPr>
          <w:lang w:val="fr-FR"/>
        </w:rPr>
        <w:t>égard des femmes. Au cours de la première année d</w:t>
      </w:r>
      <w:r w:rsidR="008E60B5" w:rsidRPr="008E60B5">
        <w:rPr>
          <w:lang w:val="fr-FR"/>
        </w:rPr>
        <w:t>’</w:t>
      </w:r>
      <w:r w:rsidRPr="008E60B5">
        <w:rPr>
          <w:lang w:val="fr-FR"/>
        </w:rPr>
        <w:t>exécution du projet, des accords de coopération ont été signés entre le Secrétariat provincial à la santé et 66 établissements médicaux. En outre, les activités suivantes ont été menées</w:t>
      </w:r>
      <w:r w:rsidR="00002E6B" w:rsidRPr="008E60B5">
        <w:rPr>
          <w:lang w:val="fr-FR"/>
        </w:rPr>
        <w:t> :</w:t>
      </w:r>
      <w:r w:rsidRPr="008E60B5">
        <w:rPr>
          <w:lang w:val="fr-FR"/>
        </w:rPr>
        <w:t xml:space="preserve"> organisation d</w:t>
      </w:r>
      <w:r w:rsidR="008E60B5" w:rsidRPr="008E60B5">
        <w:rPr>
          <w:lang w:val="fr-FR"/>
        </w:rPr>
        <w:t>’</w:t>
      </w:r>
      <w:r w:rsidRPr="008E60B5">
        <w:rPr>
          <w:lang w:val="fr-FR"/>
        </w:rPr>
        <w:t>ateliers</w:t>
      </w:r>
      <w:r w:rsidR="00002E6B" w:rsidRPr="008E60B5">
        <w:rPr>
          <w:lang w:val="fr-FR"/>
        </w:rPr>
        <w:t xml:space="preserve"> </w:t>
      </w:r>
      <w:r w:rsidRPr="008E60B5">
        <w:rPr>
          <w:lang w:val="fr-FR"/>
        </w:rPr>
        <w:t>de formation de trois jours à l</w:t>
      </w:r>
      <w:r w:rsidR="008E60B5" w:rsidRPr="008E60B5">
        <w:rPr>
          <w:lang w:val="fr-FR"/>
        </w:rPr>
        <w:t>’</w:t>
      </w:r>
      <w:r w:rsidRPr="008E60B5">
        <w:rPr>
          <w:lang w:val="fr-FR"/>
        </w:rPr>
        <w:t>intention de 387 professionnels de la santé</w:t>
      </w:r>
      <w:r w:rsidR="00002E6B" w:rsidRPr="008E60B5">
        <w:rPr>
          <w:lang w:val="fr-FR"/>
        </w:rPr>
        <w:t> ;</w:t>
      </w:r>
      <w:r w:rsidRPr="008E60B5">
        <w:rPr>
          <w:lang w:val="fr-FR"/>
        </w:rPr>
        <w:t xml:space="preserve"> création de centres pilotes de soutien aux victimes de violence sexuelle à Zrenjanin et Novi Sad (on compte 7 centres au total, à savoir un par district)</w:t>
      </w:r>
      <w:r w:rsidR="00002E6B" w:rsidRPr="008E60B5">
        <w:rPr>
          <w:lang w:val="fr-FR"/>
        </w:rPr>
        <w:t> ;</w:t>
      </w:r>
      <w:r w:rsidRPr="008E60B5">
        <w:rPr>
          <w:lang w:val="fr-FR"/>
        </w:rPr>
        <w:t xml:space="preserve"> élaboration d</w:t>
      </w:r>
      <w:r w:rsidR="008E60B5" w:rsidRPr="008E60B5">
        <w:rPr>
          <w:lang w:val="fr-FR"/>
        </w:rPr>
        <w:t>’</w:t>
      </w:r>
      <w:r w:rsidRPr="008E60B5">
        <w:rPr>
          <w:lang w:val="fr-FR"/>
        </w:rPr>
        <w:t>un manuel visant à améliorer l</w:t>
      </w:r>
      <w:r w:rsidR="008E60B5" w:rsidRPr="008E60B5">
        <w:rPr>
          <w:lang w:val="fr-FR"/>
        </w:rPr>
        <w:t>’</w:t>
      </w:r>
      <w:r w:rsidRPr="008E60B5">
        <w:rPr>
          <w:lang w:val="fr-FR"/>
        </w:rPr>
        <w:t>intervention coordonnée des services compétents face aux cas de violence contre les femmes</w:t>
      </w:r>
      <w:r w:rsidR="00002E6B" w:rsidRPr="008E60B5">
        <w:rPr>
          <w:lang w:val="fr-FR"/>
        </w:rPr>
        <w:t> ;</w:t>
      </w:r>
      <w:r w:rsidRPr="008E60B5">
        <w:rPr>
          <w:lang w:val="fr-FR"/>
        </w:rPr>
        <w:t xml:space="preserve"> organisation de trois journées de formation à l</w:t>
      </w:r>
      <w:r w:rsidR="008E60B5" w:rsidRPr="008E60B5">
        <w:rPr>
          <w:lang w:val="fr-FR"/>
        </w:rPr>
        <w:t>’</w:t>
      </w:r>
      <w:r w:rsidRPr="008E60B5">
        <w:rPr>
          <w:lang w:val="fr-FR"/>
        </w:rPr>
        <w:t>intention de 155 professionnels</w:t>
      </w:r>
      <w:r w:rsidR="00002E6B" w:rsidRPr="008E60B5">
        <w:rPr>
          <w:lang w:val="fr-FR"/>
        </w:rPr>
        <w:t> ;</w:t>
      </w:r>
      <w:r w:rsidRPr="008E60B5">
        <w:rPr>
          <w:lang w:val="fr-FR"/>
        </w:rPr>
        <w:t xml:space="preserve"> lancement de nombreuses campagnes dans les médias</w:t>
      </w:r>
      <w:r w:rsidR="00002E6B" w:rsidRPr="008E60B5">
        <w:rPr>
          <w:lang w:val="fr-FR"/>
        </w:rPr>
        <w:t> ;</w:t>
      </w:r>
      <w:r w:rsidRPr="008E60B5">
        <w:rPr>
          <w:lang w:val="fr-FR"/>
        </w:rPr>
        <w:t xml:space="preserve"> création de plusieurs sites Web. Dans le cadre du suivi et de l</w:t>
      </w:r>
      <w:r w:rsidR="008E60B5" w:rsidRPr="008E60B5">
        <w:rPr>
          <w:lang w:val="fr-FR"/>
        </w:rPr>
        <w:t>’</w:t>
      </w:r>
      <w:r w:rsidRPr="008E60B5">
        <w:rPr>
          <w:lang w:val="fr-FR"/>
        </w:rPr>
        <w:t>évaluation du projet, l</w:t>
      </w:r>
      <w:r w:rsidR="008E60B5" w:rsidRPr="008E60B5">
        <w:rPr>
          <w:lang w:val="fr-FR"/>
        </w:rPr>
        <w:t>’</w:t>
      </w:r>
      <w:r w:rsidRPr="008E60B5">
        <w:rPr>
          <w:lang w:val="fr-FR"/>
        </w:rPr>
        <w:t>association SeConS a élaboré un rapport initial, dans lequel elle a présenté une vue d</w:t>
      </w:r>
      <w:r w:rsidR="008E60B5" w:rsidRPr="008E60B5">
        <w:rPr>
          <w:lang w:val="fr-FR"/>
        </w:rPr>
        <w:t>’</w:t>
      </w:r>
      <w:r w:rsidRPr="008E60B5">
        <w:rPr>
          <w:lang w:val="fr-FR"/>
        </w:rPr>
        <w:t>ensemble de la prévalence et des caractéristiques de la violence sexiste et familiale dans la province autonome de la Voïvodine et à l</w:t>
      </w:r>
      <w:r w:rsidR="008E60B5" w:rsidRPr="008E60B5">
        <w:rPr>
          <w:lang w:val="fr-FR"/>
        </w:rPr>
        <w:t>’</w:t>
      </w:r>
      <w:r w:rsidRPr="008E60B5">
        <w:rPr>
          <w:lang w:val="fr-FR"/>
        </w:rPr>
        <w:t>échelle nationale. Pour cela, elle s</w:t>
      </w:r>
      <w:r w:rsidR="008E60B5" w:rsidRPr="008E60B5">
        <w:rPr>
          <w:lang w:val="fr-FR"/>
        </w:rPr>
        <w:t>’</w:t>
      </w:r>
      <w:r w:rsidRPr="008E60B5">
        <w:rPr>
          <w:lang w:val="fr-FR"/>
        </w:rPr>
        <w:t>est appuyée sur les données obtenues auprès du système de sécurité sociale, de la police, du système de santé, de l</w:t>
      </w:r>
      <w:r w:rsidR="008E60B5" w:rsidRPr="008E60B5">
        <w:rPr>
          <w:lang w:val="fr-FR"/>
        </w:rPr>
        <w:t>’</w:t>
      </w:r>
      <w:r w:rsidRPr="008E60B5">
        <w:rPr>
          <w:lang w:val="fr-FR"/>
        </w:rPr>
        <w:t xml:space="preserve">appareil judiciaire et du secteur civil. Les données ainsi </w:t>
      </w:r>
      <w:r w:rsidRPr="008E60B5">
        <w:rPr>
          <w:lang w:val="fr-FR"/>
        </w:rPr>
        <w:lastRenderedPageBreak/>
        <w:t>obtenues ont ensuite été classées selon les types de violence et les relations entre l</w:t>
      </w:r>
      <w:r w:rsidR="008E60B5" w:rsidRPr="008E60B5">
        <w:rPr>
          <w:lang w:val="fr-FR"/>
        </w:rPr>
        <w:t>’</w:t>
      </w:r>
      <w:r w:rsidRPr="008E60B5">
        <w:rPr>
          <w:lang w:val="fr-FR"/>
        </w:rPr>
        <w:t xml:space="preserve">auteur et la victime. </w:t>
      </w:r>
    </w:p>
    <w:p w14:paraId="564F2F59" w14:textId="77777777" w:rsidR="0051295B" w:rsidRPr="008E60B5" w:rsidRDefault="0051295B" w:rsidP="0051295B">
      <w:pPr>
        <w:pStyle w:val="SingleTxt"/>
        <w:spacing w:after="0" w:line="120" w:lineRule="exact"/>
        <w:rPr>
          <w:b/>
          <w:sz w:val="10"/>
          <w:lang w:val="fr-FR"/>
        </w:rPr>
      </w:pPr>
    </w:p>
    <w:p w14:paraId="67DBF5BE" w14:textId="65C74305" w:rsidR="00CA0011" w:rsidRPr="008E60B5" w:rsidRDefault="00CA0011" w:rsidP="005129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Amélioration du cadre législatif</w:t>
      </w:r>
    </w:p>
    <w:p w14:paraId="2862F1B5" w14:textId="1273082F" w:rsidR="0051295B" w:rsidRPr="008E60B5" w:rsidRDefault="0051295B" w:rsidP="0051295B">
      <w:pPr>
        <w:pStyle w:val="SingleTxt"/>
        <w:spacing w:after="0" w:line="120" w:lineRule="exact"/>
        <w:rPr>
          <w:sz w:val="10"/>
          <w:lang w:val="fr-FR"/>
        </w:rPr>
      </w:pPr>
    </w:p>
    <w:p w14:paraId="7C6F68B0" w14:textId="4FD446F6" w:rsidR="00CA0011" w:rsidRPr="008E60B5" w:rsidRDefault="00CA0011" w:rsidP="00A15EC1">
      <w:pPr>
        <w:pStyle w:val="SingleTxt"/>
        <w:numPr>
          <w:ilvl w:val="0"/>
          <w:numId w:val="24"/>
        </w:numPr>
        <w:spacing w:line="240" w:lineRule="exact"/>
        <w:rPr>
          <w:lang w:val="fr-FR"/>
        </w:rPr>
      </w:pPr>
      <w:r w:rsidRPr="008E60B5">
        <w:rPr>
          <w:lang w:val="fr-FR"/>
        </w:rPr>
        <w:t>La Convention d</w:t>
      </w:r>
      <w:r w:rsidR="008E60B5" w:rsidRPr="008E60B5">
        <w:rPr>
          <w:lang w:val="fr-FR"/>
        </w:rPr>
        <w:t>’</w:t>
      </w:r>
      <w:r w:rsidRPr="008E60B5">
        <w:rPr>
          <w:lang w:val="fr-FR"/>
        </w:rPr>
        <w:t>Istanbul a été ratifiée en octobre 2013. En novembre 2015, le règlement relatif aux conditions et aux normes détaillées pour la mise en place de permanences téléphoniques à l</w:t>
      </w:r>
      <w:r w:rsidR="008E60B5" w:rsidRPr="008E60B5">
        <w:rPr>
          <w:lang w:val="fr-FR"/>
        </w:rPr>
        <w:t>’</w:t>
      </w:r>
      <w:r w:rsidRPr="008E60B5">
        <w:rPr>
          <w:lang w:val="fr-FR"/>
        </w:rPr>
        <w:t>intention des femmes victimes de violence a été adopté, conformément à l</w:t>
      </w:r>
      <w:r w:rsidR="008E60B5" w:rsidRPr="008E60B5">
        <w:rPr>
          <w:lang w:val="fr-FR"/>
        </w:rPr>
        <w:t>’</w:t>
      </w:r>
      <w:r w:rsidRPr="008E60B5">
        <w:rPr>
          <w:lang w:val="fr-FR"/>
        </w:rPr>
        <w:t>article 24 de la Convention. Afin de s</w:t>
      </w:r>
      <w:r w:rsidR="008E60B5" w:rsidRPr="008E60B5">
        <w:rPr>
          <w:lang w:val="fr-FR"/>
        </w:rPr>
        <w:t>’</w:t>
      </w:r>
      <w:r w:rsidRPr="008E60B5">
        <w:rPr>
          <w:lang w:val="fr-FR"/>
        </w:rPr>
        <w:t xml:space="preserve">aligner sur les dispositions de cette dernière, la Serbie a promulgué la loi portant modification du Code pénal et la loi sur la prévention de la violence familiale le 23 novembre 2016. </w:t>
      </w:r>
    </w:p>
    <w:p w14:paraId="59103301" w14:textId="0D3D068F" w:rsidR="00CA0011" w:rsidRPr="008E60B5" w:rsidRDefault="00CA0011" w:rsidP="00A15EC1">
      <w:pPr>
        <w:pStyle w:val="SingleTxt"/>
        <w:numPr>
          <w:ilvl w:val="0"/>
          <w:numId w:val="24"/>
        </w:numPr>
        <w:spacing w:line="240" w:lineRule="exact"/>
        <w:rPr>
          <w:lang w:val="fr-FR"/>
        </w:rPr>
      </w:pPr>
      <w:r w:rsidRPr="008E60B5">
        <w:rPr>
          <w:lang w:val="fr-FR"/>
        </w:rPr>
        <w:t>Les modifications les plus notables apportées au Code pénal concernent les atteintes à la liberté sexuelle et la criminalisation d</w:t>
      </w:r>
      <w:r w:rsidR="008E60B5" w:rsidRPr="008E60B5">
        <w:rPr>
          <w:lang w:val="fr-FR"/>
        </w:rPr>
        <w:t>’</w:t>
      </w:r>
      <w:r w:rsidRPr="008E60B5">
        <w:rPr>
          <w:lang w:val="fr-FR"/>
        </w:rPr>
        <w:t>autres infractions. Les peines encourues pour certaines atteintes à la liberté sexuelle ont été renforcées. Le viol et le fait d</w:t>
      </w:r>
      <w:r w:rsidR="008E60B5" w:rsidRPr="008E60B5">
        <w:rPr>
          <w:lang w:val="fr-FR"/>
        </w:rPr>
        <w:t>’</w:t>
      </w:r>
      <w:r w:rsidRPr="008E60B5">
        <w:rPr>
          <w:lang w:val="fr-FR"/>
        </w:rPr>
        <w:t>avoir des rapports sexuels avec un enfant (y compris, dans ce dernier cas, par abus de pouvoir) sont punis d</w:t>
      </w:r>
      <w:r w:rsidR="008E60B5" w:rsidRPr="008E60B5">
        <w:rPr>
          <w:lang w:val="fr-FR"/>
        </w:rPr>
        <w:t>’</w:t>
      </w:r>
      <w:r w:rsidRPr="008E60B5">
        <w:rPr>
          <w:lang w:val="fr-FR"/>
        </w:rPr>
        <w:t>une peine minimale de cinq années de prison sans possibilité de libération anticipée, ce qui fait de la législation pénale serbe l</w:t>
      </w:r>
      <w:r w:rsidR="008E60B5" w:rsidRPr="008E60B5">
        <w:rPr>
          <w:lang w:val="fr-FR"/>
        </w:rPr>
        <w:t>’</w:t>
      </w:r>
      <w:r w:rsidRPr="008E60B5">
        <w:rPr>
          <w:lang w:val="fr-FR"/>
        </w:rPr>
        <w:t>une des plus sévères d</w:t>
      </w:r>
      <w:r w:rsidR="008E60B5" w:rsidRPr="008E60B5">
        <w:rPr>
          <w:lang w:val="fr-FR"/>
        </w:rPr>
        <w:t>’</w:t>
      </w:r>
      <w:r w:rsidRPr="008E60B5">
        <w:rPr>
          <w:lang w:val="fr-FR"/>
        </w:rPr>
        <w:t>Europe. En outre, la peine de prison minimale encourue en cas de rapport sexuel avec une personne souffrant d</w:t>
      </w:r>
      <w:r w:rsidR="008E60B5" w:rsidRPr="008E60B5">
        <w:rPr>
          <w:lang w:val="fr-FR"/>
        </w:rPr>
        <w:t>’</w:t>
      </w:r>
      <w:r w:rsidRPr="008E60B5">
        <w:rPr>
          <w:lang w:val="fr-FR"/>
        </w:rPr>
        <w:t>une certaine forme d</w:t>
      </w:r>
      <w:r w:rsidR="008E60B5" w:rsidRPr="008E60B5">
        <w:rPr>
          <w:lang w:val="fr-FR"/>
        </w:rPr>
        <w:t>’</w:t>
      </w:r>
      <w:r w:rsidRPr="008E60B5">
        <w:rPr>
          <w:lang w:val="fr-FR"/>
        </w:rPr>
        <w:t>incapacité a été portée de deux à cinq ans, et la peine maximale à 12 ans, ce qui équivaut à celle imposée pour viol. De nouvelles infractions ont été introduites dans le Code pénal, notamment la mutilation génitale féminine, le harcèlement criminel, le harcèlement sexuel et le mariage forcé. En outre, la description de l</w:t>
      </w:r>
      <w:r w:rsidR="008E60B5" w:rsidRPr="008E60B5">
        <w:rPr>
          <w:lang w:val="fr-FR"/>
        </w:rPr>
        <w:t>’</w:t>
      </w:r>
      <w:r w:rsidRPr="008E60B5">
        <w:rPr>
          <w:lang w:val="fr-FR"/>
        </w:rPr>
        <w:t>infraction visée</w:t>
      </w:r>
      <w:r w:rsidR="00002E6B" w:rsidRPr="008E60B5">
        <w:rPr>
          <w:lang w:val="fr-FR"/>
        </w:rPr>
        <w:t xml:space="preserve"> </w:t>
      </w:r>
      <w:r w:rsidRPr="008E60B5">
        <w:rPr>
          <w:lang w:val="fr-FR"/>
        </w:rPr>
        <w:t>à l</w:t>
      </w:r>
      <w:r w:rsidR="008E60B5" w:rsidRPr="008E60B5">
        <w:rPr>
          <w:lang w:val="fr-FR"/>
        </w:rPr>
        <w:t>’</w:t>
      </w:r>
      <w:r w:rsidRPr="008E60B5">
        <w:rPr>
          <w:lang w:val="fr-FR"/>
        </w:rPr>
        <w:t>article 185 sur la diffusion, l</w:t>
      </w:r>
      <w:r w:rsidR="008E60B5" w:rsidRPr="008E60B5">
        <w:rPr>
          <w:lang w:val="fr-FR"/>
        </w:rPr>
        <w:t>’</w:t>
      </w:r>
      <w:r w:rsidRPr="008E60B5">
        <w:rPr>
          <w:lang w:val="fr-FR"/>
        </w:rPr>
        <w:t>achat et la possession de contenus à caractère pornographique et de pornographie infantile</w:t>
      </w:r>
      <w:r w:rsidR="00002E6B" w:rsidRPr="008E60B5">
        <w:rPr>
          <w:lang w:val="fr-FR"/>
        </w:rPr>
        <w:t xml:space="preserve"> </w:t>
      </w:r>
      <w:r w:rsidRPr="008E60B5">
        <w:rPr>
          <w:lang w:val="fr-FR"/>
        </w:rPr>
        <w:t>a été modifiée, de façon à l</w:t>
      </w:r>
      <w:r w:rsidR="008E60B5" w:rsidRPr="008E60B5">
        <w:rPr>
          <w:lang w:val="fr-FR"/>
        </w:rPr>
        <w:t>’</w:t>
      </w:r>
      <w:r w:rsidRPr="008E60B5">
        <w:rPr>
          <w:lang w:val="fr-FR"/>
        </w:rPr>
        <w:t>harmoniser avec celle inscrite dans la Convention du Conseil de l</w:t>
      </w:r>
      <w:r w:rsidR="008E60B5" w:rsidRPr="008E60B5">
        <w:rPr>
          <w:lang w:val="fr-FR"/>
        </w:rPr>
        <w:t>’</w:t>
      </w:r>
      <w:r w:rsidRPr="008E60B5">
        <w:rPr>
          <w:lang w:val="fr-FR"/>
        </w:rPr>
        <w:t xml:space="preserve">Europe sur la cybercriminalité, et à améliorer ainsi la protection pénale des filles et des garçons dans leurs activités sur Internet. </w:t>
      </w:r>
    </w:p>
    <w:p w14:paraId="5D818BFF" w14:textId="0F2C84EA" w:rsidR="00CA0011" w:rsidRPr="008E60B5" w:rsidRDefault="00CA0011" w:rsidP="00A15EC1">
      <w:pPr>
        <w:pStyle w:val="SingleTxt"/>
        <w:numPr>
          <w:ilvl w:val="0"/>
          <w:numId w:val="24"/>
        </w:numPr>
        <w:spacing w:line="240" w:lineRule="exact"/>
        <w:rPr>
          <w:lang w:val="fr-FR"/>
        </w:rPr>
      </w:pPr>
      <w:r w:rsidRPr="008E60B5">
        <w:rPr>
          <w:lang w:val="fr-FR"/>
        </w:rPr>
        <w:t>En outre, s</w:t>
      </w:r>
      <w:r w:rsidR="008E60B5" w:rsidRPr="008E60B5">
        <w:rPr>
          <w:lang w:val="fr-FR"/>
        </w:rPr>
        <w:t>’</w:t>
      </w:r>
      <w:r w:rsidRPr="008E60B5">
        <w:rPr>
          <w:lang w:val="fr-FR"/>
        </w:rPr>
        <w:t>agissant des cas de viol et de rapport sexuel avec une personne sans défense commis à l</w:t>
      </w:r>
      <w:r w:rsidR="008E60B5" w:rsidRPr="008E60B5">
        <w:rPr>
          <w:lang w:val="fr-FR"/>
        </w:rPr>
        <w:t>’</w:t>
      </w:r>
      <w:r w:rsidRPr="008E60B5">
        <w:rPr>
          <w:lang w:val="fr-FR"/>
        </w:rPr>
        <w:t>égard d</w:t>
      </w:r>
      <w:r w:rsidR="008E60B5" w:rsidRPr="008E60B5">
        <w:rPr>
          <w:lang w:val="fr-FR"/>
        </w:rPr>
        <w:t>’</w:t>
      </w:r>
      <w:r w:rsidRPr="008E60B5">
        <w:rPr>
          <w:lang w:val="fr-FR"/>
        </w:rPr>
        <w:t>un conjoint, ainsi que des actes sexuels interdits, les dispositions selon lesquelles il est possible d</w:t>
      </w:r>
      <w:r w:rsidR="008E60B5" w:rsidRPr="008E60B5">
        <w:rPr>
          <w:lang w:val="fr-FR"/>
        </w:rPr>
        <w:t>’</w:t>
      </w:r>
      <w:r w:rsidRPr="008E60B5">
        <w:rPr>
          <w:lang w:val="fr-FR"/>
        </w:rPr>
        <w:t>engager des poursuites pénales uniquement au moyen d</w:t>
      </w:r>
      <w:r w:rsidR="008E60B5" w:rsidRPr="008E60B5">
        <w:rPr>
          <w:lang w:val="fr-FR"/>
        </w:rPr>
        <w:t>’</w:t>
      </w:r>
      <w:r w:rsidRPr="008E60B5">
        <w:rPr>
          <w:lang w:val="fr-FR"/>
        </w:rPr>
        <w:t>une dénonciation ont été supprimées du Code pénal.</w:t>
      </w:r>
    </w:p>
    <w:p w14:paraId="4DE49F49" w14:textId="743E319F" w:rsidR="00CA0011" w:rsidRPr="008E60B5" w:rsidRDefault="00CA0011" w:rsidP="00A15EC1">
      <w:pPr>
        <w:pStyle w:val="SingleTxt"/>
        <w:numPr>
          <w:ilvl w:val="0"/>
          <w:numId w:val="25"/>
        </w:numPr>
        <w:spacing w:line="240" w:lineRule="exact"/>
        <w:rPr>
          <w:lang w:val="fr-FR"/>
        </w:rPr>
      </w:pPr>
      <w:r w:rsidRPr="008E60B5">
        <w:rPr>
          <w:lang w:val="fr-FR"/>
        </w:rPr>
        <w:t>La loi sur la prévention de la violence familiale a été promulguée, de manière à améliorer l</w:t>
      </w:r>
      <w:r w:rsidR="008E60B5" w:rsidRPr="008E60B5">
        <w:rPr>
          <w:lang w:val="fr-FR"/>
        </w:rPr>
        <w:t>’</w:t>
      </w:r>
      <w:r w:rsidRPr="008E60B5">
        <w:rPr>
          <w:lang w:val="fr-FR"/>
        </w:rPr>
        <w:t>organisation et le fonctionnement des autorités et des institutions de l</w:t>
      </w:r>
      <w:r w:rsidR="008E60B5" w:rsidRPr="008E60B5">
        <w:rPr>
          <w:lang w:val="fr-FR"/>
        </w:rPr>
        <w:t>’</w:t>
      </w:r>
      <w:r w:rsidRPr="008E60B5">
        <w:rPr>
          <w:lang w:val="fr-FR"/>
        </w:rPr>
        <w:t>État, pour mieux</w:t>
      </w:r>
      <w:r w:rsidR="00002E6B" w:rsidRPr="008E60B5">
        <w:rPr>
          <w:lang w:val="fr-FR"/>
        </w:rPr>
        <w:t xml:space="preserve"> </w:t>
      </w:r>
      <w:r w:rsidRPr="008E60B5">
        <w:rPr>
          <w:lang w:val="fr-FR"/>
        </w:rPr>
        <w:t>prévenir la violence familiale et assurer une protection et un soutien rapides et efficaces aux victimes. La loi prévoit une procédure pour la prévention de la violence familiale (notamment s</w:t>
      </w:r>
      <w:r w:rsidR="008E60B5" w:rsidRPr="008E60B5">
        <w:rPr>
          <w:lang w:val="fr-FR"/>
        </w:rPr>
        <w:t>’</w:t>
      </w:r>
      <w:r w:rsidRPr="008E60B5">
        <w:rPr>
          <w:lang w:val="fr-FR"/>
        </w:rPr>
        <w:t>agissant de la protection et de l</w:t>
      </w:r>
      <w:r w:rsidR="008E60B5" w:rsidRPr="008E60B5">
        <w:rPr>
          <w:lang w:val="fr-FR"/>
        </w:rPr>
        <w:t>’</w:t>
      </w:r>
      <w:r w:rsidRPr="008E60B5">
        <w:rPr>
          <w:lang w:val="fr-FR"/>
        </w:rPr>
        <w:t>appui fournis aux victimes) et un ensemble de mécanismes juridiques qui protègent véritablement et en temps voulu les victimes lorsqu</w:t>
      </w:r>
      <w:r w:rsidR="008E60B5" w:rsidRPr="008E60B5">
        <w:rPr>
          <w:lang w:val="fr-FR"/>
        </w:rPr>
        <w:t>’</w:t>
      </w:r>
      <w:r w:rsidRPr="008E60B5">
        <w:rPr>
          <w:lang w:val="fr-FR"/>
        </w:rPr>
        <w:t>il n</w:t>
      </w:r>
      <w:r w:rsidR="008E60B5" w:rsidRPr="008E60B5">
        <w:rPr>
          <w:lang w:val="fr-FR"/>
        </w:rPr>
        <w:t>’</w:t>
      </w:r>
      <w:r w:rsidRPr="008E60B5">
        <w:rPr>
          <w:lang w:val="fr-FR"/>
        </w:rPr>
        <w:t>existe pas de motifs permettant de placer l</w:t>
      </w:r>
      <w:r w:rsidR="008E60B5" w:rsidRPr="008E60B5">
        <w:rPr>
          <w:lang w:val="fr-FR"/>
        </w:rPr>
        <w:t>’</w:t>
      </w:r>
      <w:r w:rsidRPr="008E60B5">
        <w:rPr>
          <w:lang w:val="fr-FR"/>
        </w:rPr>
        <w:t>auteur de l</w:t>
      </w:r>
      <w:r w:rsidR="008E60B5" w:rsidRPr="008E60B5">
        <w:rPr>
          <w:lang w:val="fr-FR"/>
        </w:rPr>
        <w:t>’</w:t>
      </w:r>
      <w:r w:rsidRPr="008E60B5">
        <w:rPr>
          <w:lang w:val="fr-FR"/>
        </w:rPr>
        <w:t>infraction pénale en détention ou de prendre des mesures de protection au titre de la loi sur la famille. La loi est entrée en vigueur le 1</w:t>
      </w:r>
      <w:r w:rsidRPr="008E60B5">
        <w:rPr>
          <w:vertAlign w:val="superscript"/>
          <w:lang w:val="fr-FR"/>
        </w:rPr>
        <w:t>er</w:t>
      </w:r>
      <w:r w:rsidRPr="008E60B5">
        <w:rPr>
          <w:lang w:val="fr-FR"/>
        </w:rPr>
        <w:t xml:space="preserve"> juin 2017, en même temps que les amendements portant modification du Code pénal susmentionnés. L</w:t>
      </w:r>
      <w:r w:rsidR="008E60B5" w:rsidRPr="008E60B5">
        <w:rPr>
          <w:lang w:val="fr-FR"/>
        </w:rPr>
        <w:t>’</w:t>
      </w:r>
      <w:r w:rsidRPr="008E60B5">
        <w:rPr>
          <w:lang w:val="fr-FR"/>
        </w:rPr>
        <w:t>exécution en a été retardée pour être en</w:t>
      </w:r>
      <w:r w:rsidR="004D7ADD">
        <w:rPr>
          <w:lang w:val="fr-FR"/>
        </w:rPr>
        <w:t xml:space="preserve"> </w:t>
      </w:r>
      <w:r w:rsidRPr="008E60B5">
        <w:rPr>
          <w:lang w:val="fr-FR"/>
        </w:rPr>
        <w:t xml:space="preserve">mesure de dispenser la formation globale nécessaire à la mise en place de ce nouveau système de protection. </w:t>
      </w:r>
    </w:p>
    <w:p w14:paraId="56BF91B4" w14:textId="042CFED8" w:rsidR="00CA0011" w:rsidRPr="008E60B5" w:rsidRDefault="00CA0011" w:rsidP="00A15EC1">
      <w:pPr>
        <w:pStyle w:val="SingleTxt"/>
        <w:numPr>
          <w:ilvl w:val="0"/>
          <w:numId w:val="25"/>
        </w:numPr>
        <w:spacing w:line="240" w:lineRule="exact"/>
        <w:rPr>
          <w:lang w:val="fr-FR"/>
        </w:rPr>
      </w:pPr>
      <w:r w:rsidRPr="008E60B5">
        <w:rPr>
          <w:lang w:val="fr-FR"/>
        </w:rPr>
        <w:t>La loi prévoit une procédure particulière aux fins de la prévention de la violence familiale. Il s</w:t>
      </w:r>
      <w:r w:rsidR="008E60B5" w:rsidRPr="008E60B5">
        <w:rPr>
          <w:lang w:val="fr-FR"/>
        </w:rPr>
        <w:t>’</w:t>
      </w:r>
      <w:r w:rsidRPr="008E60B5">
        <w:rPr>
          <w:lang w:val="fr-FR"/>
        </w:rPr>
        <w:t>agit là d</w:t>
      </w:r>
      <w:r w:rsidR="008E60B5" w:rsidRPr="008E60B5">
        <w:rPr>
          <w:lang w:val="fr-FR"/>
        </w:rPr>
        <w:t>’</w:t>
      </w:r>
      <w:r w:rsidRPr="008E60B5">
        <w:rPr>
          <w:lang w:val="fr-FR"/>
        </w:rPr>
        <w:t>une des innovations les plus notables, qui permet d</w:t>
      </w:r>
      <w:r w:rsidR="008E60B5" w:rsidRPr="008E60B5">
        <w:rPr>
          <w:lang w:val="fr-FR"/>
        </w:rPr>
        <w:t>’</w:t>
      </w:r>
      <w:r w:rsidRPr="008E60B5">
        <w:rPr>
          <w:lang w:val="fr-FR"/>
        </w:rPr>
        <w:t>appliquer certaines des solutions cl</w:t>
      </w:r>
      <w:r w:rsidR="0026480C">
        <w:rPr>
          <w:lang w:val="fr-FR"/>
        </w:rPr>
        <w:t>ef</w:t>
      </w:r>
      <w:r w:rsidRPr="008E60B5">
        <w:rPr>
          <w:lang w:val="fr-FR"/>
        </w:rPr>
        <w:t>s contenues dans la Convention d</w:t>
      </w:r>
      <w:r w:rsidR="008E60B5" w:rsidRPr="008E60B5">
        <w:rPr>
          <w:lang w:val="fr-FR"/>
        </w:rPr>
        <w:t>’</w:t>
      </w:r>
      <w:r w:rsidRPr="008E60B5">
        <w:rPr>
          <w:lang w:val="fr-FR"/>
        </w:rPr>
        <w:t>Istanbul. Ainsi, toute personne a l</w:t>
      </w:r>
      <w:r w:rsidR="008E60B5" w:rsidRPr="008E60B5">
        <w:rPr>
          <w:lang w:val="fr-FR"/>
        </w:rPr>
        <w:t>’</w:t>
      </w:r>
      <w:r w:rsidRPr="008E60B5">
        <w:rPr>
          <w:lang w:val="fr-FR"/>
        </w:rPr>
        <w:t>obligation de signaler tout cas ou toute menace imminente de violence familiale à la police ou à un représentant du parquet. Cette obligation s</w:t>
      </w:r>
      <w:r w:rsidR="008E60B5" w:rsidRPr="008E60B5">
        <w:rPr>
          <w:lang w:val="fr-FR"/>
        </w:rPr>
        <w:t>’</w:t>
      </w:r>
      <w:r w:rsidRPr="008E60B5">
        <w:rPr>
          <w:lang w:val="fr-FR"/>
        </w:rPr>
        <w:t>applique également à tous les organes, organisations et institutions publics. Les obligations qui incombent aux autorités publiques compétentes et aux centres d</w:t>
      </w:r>
      <w:r w:rsidR="008E60B5" w:rsidRPr="008E60B5">
        <w:rPr>
          <w:lang w:val="fr-FR"/>
        </w:rPr>
        <w:t>’</w:t>
      </w:r>
      <w:r w:rsidRPr="008E60B5">
        <w:rPr>
          <w:lang w:val="fr-FR"/>
        </w:rPr>
        <w:t xml:space="preserve">action sociale ont été élargies, la reconnaissance de la violence familiale et des menaces de violence faisant désormais partie de leurs fonctions ordinaires. Pour chaque signalement, un officier </w:t>
      </w:r>
      <w:r w:rsidRPr="008E60B5">
        <w:rPr>
          <w:lang w:val="fr-FR"/>
        </w:rPr>
        <w:lastRenderedPageBreak/>
        <w:t>de police doit vérifier si les allégations sont vraies ou non. Si elles le sont, il en informe un agent ayant assisté à une formation sur la violence familiale et précise si les actes de violence sont susceptibles de se répéter de manière imminente. Aux fins de l</w:t>
      </w:r>
      <w:r w:rsidR="008E60B5" w:rsidRPr="008E60B5">
        <w:rPr>
          <w:lang w:val="fr-FR"/>
        </w:rPr>
        <w:t>’</w:t>
      </w:r>
      <w:r w:rsidRPr="008E60B5">
        <w:rPr>
          <w:lang w:val="fr-FR"/>
        </w:rPr>
        <w:t>application des mesures de prévention et de la collecte de preuves, l</w:t>
      </w:r>
      <w:r w:rsidR="008E60B5" w:rsidRPr="008E60B5">
        <w:rPr>
          <w:lang w:val="fr-FR"/>
        </w:rPr>
        <w:t>’</w:t>
      </w:r>
      <w:r w:rsidRPr="008E60B5">
        <w:rPr>
          <w:lang w:val="fr-FR"/>
        </w:rPr>
        <w:t>officier de police peut conduire toute personne soupçonnée d</w:t>
      </w:r>
      <w:r w:rsidR="008E60B5" w:rsidRPr="008E60B5">
        <w:rPr>
          <w:lang w:val="fr-FR"/>
        </w:rPr>
        <w:t>’</w:t>
      </w:r>
      <w:r w:rsidRPr="008E60B5">
        <w:rPr>
          <w:lang w:val="fr-FR"/>
        </w:rPr>
        <w:t>avoir commis un acte de violence au poste et la placer en garde à vue pour pouvoir engager des poursuites contre elle. La garde à vue ne peut excéder huit heures.</w:t>
      </w:r>
    </w:p>
    <w:p w14:paraId="0E458C99" w14:textId="20955E74" w:rsidR="00CA0011" w:rsidRPr="008E60B5" w:rsidRDefault="00CA0011" w:rsidP="00A15EC1">
      <w:pPr>
        <w:pStyle w:val="SingleTxt"/>
        <w:numPr>
          <w:ilvl w:val="0"/>
          <w:numId w:val="25"/>
        </w:numPr>
        <w:spacing w:line="240" w:lineRule="exact"/>
        <w:rPr>
          <w:b/>
          <w:i/>
          <w:lang w:val="fr-FR"/>
        </w:rPr>
      </w:pPr>
      <w:r w:rsidRPr="008E60B5">
        <w:rPr>
          <w:lang w:val="fr-FR"/>
        </w:rPr>
        <w:t>La procédure de prévention commence par une notification à l</w:t>
      </w:r>
      <w:r w:rsidR="008E60B5" w:rsidRPr="008E60B5">
        <w:rPr>
          <w:lang w:val="fr-FR"/>
        </w:rPr>
        <w:t>’</w:t>
      </w:r>
      <w:r w:rsidRPr="008E60B5">
        <w:rPr>
          <w:lang w:val="fr-FR"/>
        </w:rPr>
        <w:t>intention de l</w:t>
      </w:r>
      <w:r w:rsidR="008E60B5" w:rsidRPr="008E60B5">
        <w:rPr>
          <w:lang w:val="fr-FR"/>
        </w:rPr>
        <w:t>’</w:t>
      </w:r>
      <w:r w:rsidRPr="008E60B5">
        <w:rPr>
          <w:lang w:val="fr-FR"/>
        </w:rPr>
        <w:t>officier de police compétent. Un fonctionnaire de police ayant suivi une formation spécialisée dans le domaine de la violence familiale doit évaluer le risque de menace imminente dès réception de la notification. Il s</w:t>
      </w:r>
      <w:r w:rsidR="008E60B5" w:rsidRPr="008E60B5">
        <w:rPr>
          <w:lang w:val="fr-FR"/>
        </w:rPr>
        <w:t>’</w:t>
      </w:r>
      <w:r w:rsidRPr="008E60B5">
        <w:rPr>
          <w:lang w:val="fr-FR"/>
        </w:rPr>
        <w:t>agit tout particulièrement de déterminer si l</w:t>
      </w:r>
      <w:r w:rsidR="008E60B5" w:rsidRPr="008E60B5">
        <w:rPr>
          <w:lang w:val="fr-FR"/>
        </w:rPr>
        <w:t>’</w:t>
      </w:r>
      <w:r w:rsidRPr="008E60B5">
        <w:rPr>
          <w:lang w:val="fr-FR"/>
        </w:rPr>
        <w:t>acte de violence est susceptible de se reproduire dans un futur proche, en se posant les questions suivantes</w:t>
      </w:r>
      <w:r w:rsidR="00002E6B" w:rsidRPr="008E60B5">
        <w:rPr>
          <w:lang w:val="fr-FR"/>
        </w:rPr>
        <w:t> :</w:t>
      </w:r>
      <w:r w:rsidRPr="008E60B5">
        <w:rPr>
          <w:lang w:val="fr-FR"/>
        </w:rPr>
        <w:t xml:space="preserve"> l</w:t>
      </w:r>
      <w:r w:rsidR="008E60B5" w:rsidRPr="008E60B5">
        <w:rPr>
          <w:lang w:val="fr-FR"/>
        </w:rPr>
        <w:t>’</w:t>
      </w:r>
      <w:r w:rsidRPr="008E60B5">
        <w:rPr>
          <w:lang w:val="fr-FR"/>
        </w:rPr>
        <w:t>auteur présumé de l</w:t>
      </w:r>
      <w:r w:rsidR="008E60B5" w:rsidRPr="008E60B5">
        <w:rPr>
          <w:lang w:val="fr-FR"/>
        </w:rPr>
        <w:t>’</w:t>
      </w:r>
      <w:r w:rsidRPr="008E60B5">
        <w:rPr>
          <w:lang w:val="fr-FR"/>
        </w:rPr>
        <w:t>infraction a-t-il déjà commis des actes de violence familiale par le passé ou immédiatement avant l</w:t>
      </w:r>
      <w:r w:rsidR="008E60B5" w:rsidRPr="008E60B5">
        <w:rPr>
          <w:lang w:val="fr-FR"/>
        </w:rPr>
        <w:t>’</w:t>
      </w:r>
      <w:r w:rsidRPr="008E60B5">
        <w:rPr>
          <w:lang w:val="fr-FR"/>
        </w:rPr>
        <w:t>évaluation des risques ? Risque-t-il de récidiver ? A-t-il menacé de commettre un homicide ou de se suicider ? Possède-t-il des armes ? Souffre-t-il de troubles mentaux ou consomme-t-il des substances psychoactives ? Existe-t-il un litige au sujet de la garde d</w:t>
      </w:r>
      <w:r w:rsidR="008E60B5" w:rsidRPr="008E60B5">
        <w:rPr>
          <w:lang w:val="fr-FR"/>
        </w:rPr>
        <w:t>’</w:t>
      </w:r>
      <w:r w:rsidRPr="008E60B5">
        <w:rPr>
          <w:lang w:val="fr-FR"/>
        </w:rPr>
        <w:t>un enfant ou de l</w:t>
      </w:r>
      <w:r w:rsidR="008E60B5" w:rsidRPr="008E60B5">
        <w:rPr>
          <w:lang w:val="fr-FR"/>
        </w:rPr>
        <w:t>’</w:t>
      </w:r>
      <w:r w:rsidRPr="008E60B5">
        <w:rPr>
          <w:lang w:val="fr-FR"/>
        </w:rPr>
        <w:t>accord régissant les relations entre l</w:t>
      </w:r>
      <w:r w:rsidR="008E60B5" w:rsidRPr="008E60B5">
        <w:rPr>
          <w:lang w:val="fr-FR"/>
        </w:rPr>
        <w:t>’</w:t>
      </w:r>
      <w:r w:rsidRPr="008E60B5">
        <w:rPr>
          <w:lang w:val="fr-FR"/>
        </w:rPr>
        <w:t>enfant et le parent soupçonné d</w:t>
      </w:r>
      <w:r w:rsidR="008E60B5" w:rsidRPr="008E60B5">
        <w:rPr>
          <w:lang w:val="fr-FR"/>
        </w:rPr>
        <w:t>’</w:t>
      </w:r>
      <w:r w:rsidRPr="008E60B5">
        <w:rPr>
          <w:lang w:val="fr-FR"/>
        </w:rPr>
        <w:t>actes de violence ? L</w:t>
      </w:r>
      <w:r w:rsidR="008E60B5" w:rsidRPr="008E60B5">
        <w:rPr>
          <w:lang w:val="fr-FR"/>
        </w:rPr>
        <w:t>’</w:t>
      </w:r>
      <w:r w:rsidRPr="008E60B5">
        <w:rPr>
          <w:lang w:val="fr-FR"/>
        </w:rPr>
        <w:t>auteur présumé s</w:t>
      </w:r>
      <w:r w:rsidR="008E60B5" w:rsidRPr="008E60B5">
        <w:rPr>
          <w:lang w:val="fr-FR"/>
        </w:rPr>
        <w:t>’</w:t>
      </w:r>
      <w:r w:rsidRPr="008E60B5">
        <w:rPr>
          <w:lang w:val="fr-FR"/>
        </w:rPr>
        <w:t>est-il vu notifier une ordonnance de protection d</w:t>
      </w:r>
      <w:r w:rsidR="008E60B5" w:rsidRPr="008E60B5">
        <w:rPr>
          <w:lang w:val="fr-FR"/>
        </w:rPr>
        <w:t>’</w:t>
      </w:r>
      <w:r w:rsidRPr="008E60B5">
        <w:rPr>
          <w:lang w:val="fr-FR"/>
        </w:rPr>
        <w:t>urgence ou une ordonnance de protection contre la violence familiale, conformément à la loi sur la famille ? La victime se sent-elle menacée ou estime-t-elle que l</w:t>
      </w:r>
      <w:r w:rsidR="008E60B5" w:rsidRPr="008E60B5">
        <w:rPr>
          <w:lang w:val="fr-FR"/>
        </w:rPr>
        <w:t>’</w:t>
      </w:r>
      <w:r w:rsidRPr="008E60B5">
        <w:rPr>
          <w:lang w:val="fr-FR"/>
        </w:rPr>
        <w:t>auteur présumé pourrait commettre des actes de violence ? Si l</w:t>
      </w:r>
      <w:r w:rsidR="008E60B5" w:rsidRPr="008E60B5">
        <w:rPr>
          <w:lang w:val="fr-FR"/>
        </w:rPr>
        <w:t>’</w:t>
      </w:r>
      <w:r w:rsidRPr="008E60B5">
        <w:rPr>
          <w:lang w:val="fr-FR"/>
        </w:rPr>
        <w:t>officier de police compétent a des raisons de croire qu</w:t>
      </w:r>
      <w:r w:rsidR="008E60B5" w:rsidRPr="008E60B5">
        <w:rPr>
          <w:lang w:val="fr-FR"/>
        </w:rPr>
        <w:t>’</w:t>
      </w:r>
      <w:r w:rsidRPr="008E60B5">
        <w:rPr>
          <w:lang w:val="fr-FR"/>
        </w:rPr>
        <w:t>il existe une menace imminente de violence familiale, il doit, sans attendre, transmettre l</w:t>
      </w:r>
      <w:r w:rsidR="008E60B5" w:rsidRPr="008E60B5">
        <w:rPr>
          <w:lang w:val="fr-FR"/>
        </w:rPr>
        <w:t>’</w:t>
      </w:r>
      <w:r w:rsidRPr="008E60B5">
        <w:rPr>
          <w:lang w:val="fr-FR"/>
        </w:rPr>
        <w:t>évaluation des risques contenant les renseignements établis ou obtenus au procureur de première instance ayant compétence sur le territoire de la résidence permanente ou temporaire de la victime, ainsi qu</w:t>
      </w:r>
      <w:r w:rsidR="008E60B5" w:rsidRPr="008E60B5">
        <w:rPr>
          <w:lang w:val="fr-FR"/>
        </w:rPr>
        <w:t>’</w:t>
      </w:r>
      <w:r w:rsidRPr="008E60B5">
        <w:rPr>
          <w:lang w:val="fr-FR"/>
        </w:rPr>
        <w:t>au centre d</w:t>
      </w:r>
      <w:r w:rsidR="008E60B5" w:rsidRPr="008E60B5">
        <w:rPr>
          <w:lang w:val="fr-FR"/>
        </w:rPr>
        <w:t>’</w:t>
      </w:r>
      <w:r w:rsidRPr="008E60B5">
        <w:rPr>
          <w:lang w:val="fr-FR"/>
        </w:rPr>
        <w:t xml:space="preserve">action sociale et au groupe de coordination et de coopération concernés. </w:t>
      </w:r>
    </w:p>
    <w:p w14:paraId="6BB350B9" w14:textId="77777777" w:rsidR="0051295B" w:rsidRPr="008E60B5" w:rsidRDefault="0051295B" w:rsidP="0051295B">
      <w:pPr>
        <w:pStyle w:val="SingleTxt"/>
        <w:spacing w:after="0" w:line="120" w:lineRule="exact"/>
        <w:rPr>
          <w:b/>
          <w:sz w:val="10"/>
          <w:lang w:val="fr-FR"/>
        </w:rPr>
      </w:pPr>
    </w:p>
    <w:p w14:paraId="1D2F73C5" w14:textId="16193BC9" w:rsidR="00CA0011" w:rsidRPr="008E60B5" w:rsidRDefault="00CA0011" w:rsidP="005129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Enquêtes et poursuites relatives aux cas de violence</w:t>
      </w:r>
    </w:p>
    <w:p w14:paraId="6117568C" w14:textId="7A09AFD5" w:rsidR="00B234F4" w:rsidRPr="008E60B5" w:rsidRDefault="00B234F4" w:rsidP="00B234F4">
      <w:pPr>
        <w:pStyle w:val="SingleTxt"/>
        <w:spacing w:after="0" w:line="120" w:lineRule="exact"/>
        <w:rPr>
          <w:sz w:val="10"/>
          <w:lang w:val="fr-FR"/>
        </w:rPr>
      </w:pPr>
    </w:p>
    <w:p w14:paraId="40790A28" w14:textId="69D72E54" w:rsidR="00CA0011" w:rsidRPr="008E60B5" w:rsidRDefault="00B234F4" w:rsidP="00B234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r>
      <w:r w:rsidR="00CA0011" w:rsidRPr="008E60B5">
        <w:rPr>
          <w:lang w:val="fr-FR"/>
        </w:rPr>
        <w:t>Personnes majeures signalées, en fonction de l</w:t>
      </w:r>
      <w:r w:rsidR="008E60B5" w:rsidRPr="008E60B5">
        <w:rPr>
          <w:lang w:val="fr-FR"/>
        </w:rPr>
        <w:t>’</w:t>
      </w:r>
      <w:r w:rsidR="00CA0011" w:rsidRPr="008E60B5">
        <w:rPr>
          <w:lang w:val="fr-FR"/>
        </w:rPr>
        <w:t xml:space="preserve">infraction pénale, du sexe </w:t>
      </w:r>
      <w:r w:rsidR="0051295B" w:rsidRPr="008E60B5">
        <w:rPr>
          <w:lang w:val="fr-FR"/>
        </w:rPr>
        <w:br/>
      </w:r>
      <w:r w:rsidR="00CA0011" w:rsidRPr="008E60B5">
        <w:rPr>
          <w:lang w:val="fr-FR"/>
        </w:rPr>
        <w:t>et du type de décision, Bureau de statistique de la République de Serbie</w:t>
      </w:r>
    </w:p>
    <w:p w14:paraId="6A5E1497" w14:textId="65D0C502" w:rsidR="0051295B" w:rsidRPr="008E60B5" w:rsidRDefault="0051295B" w:rsidP="0051295B">
      <w:pPr>
        <w:pStyle w:val="SingleTxt"/>
        <w:spacing w:after="0" w:line="120" w:lineRule="exact"/>
        <w:jc w:val="left"/>
        <w:rPr>
          <w:b/>
          <w:bCs/>
          <w:sz w:val="10"/>
          <w:lang w:val="fr-FR"/>
        </w:rPr>
      </w:pPr>
    </w:p>
    <w:p w14:paraId="1522DB6C" w14:textId="77777777" w:rsidR="0051295B" w:rsidRPr="008E60B5" w:rsidRDefault="0051295B" w:rsidP="0051295B">
      <w:pPr>
        <w:pStyle w:val="SingleTxt"/>
        <w:spacing w:after="0" w:line="120" w:lineRule="exact"/>
        <w:jc w:val="left"/>
        <w:rPr>
          <w:b/>
          <w:bCs/>
          <w:sz w:val="10"/>
          <w:lang w:val="fr-FR"/>
        </w:rPr>
      </w:pPr>
    </w:p>
    <w:tbl>
      <w:tblPr>
        <w:tblW w:w="7322" w:type="dxa"/>
        <w:tblInd w:w="1260" w:type="dxa"/>
        <w:tblLayout w:type="fixed"/>
        <w:tblCellMar>
          <w:left w:w="0" w:type="dxa"/>
          <w:right w:w="0" w:type="dxa"/>
        </w:tblCellMar>
        <w:tblLook w:val="04A0" w:firstRow="1" w:lastRow="0" w:firstColumn="1" w:lastColumn="0" w:noHBand="0" w:noVBand="1"/>
      </w:tblPr>
      <w:tblGrid>
        <w:gridCol w:w="960"/>
        <w:gridCol w:w="960"/>
        <w:gridCol w:w="960"/>
        <w:gridCol w:w="960"/>
        <w:gridCol w:w="960"/>
        <w:gridCol w:w="960"/>
        <w:gridCol w:w="1562"/>
      </w:tblGrid>
      <w:tr w:rsidR="00CA0011" w:rsidRPr="008E60B5" w14:paraId="38DC4C7F" w14:textId="77777777" w:rsidTr="004E31A4">
        <w:trPr>
          <w:cantSplit/>
          <w:tblHeader/>
        </w:trPr>
        <w:tc>
          <w:tcPr>
            <w:tcW w:w="960" w:type="dxa"/>
            <w:tcBorders>
              <w:top w:val="single" w:sz="4" w:space="0" w:color="auto"/>
              <w:bottom w:val="single" w:sz="12" w:space="0" w:color="auto"/>
            </w:tcBorders>
            <w:shd w:val="clear" w:color="auto" w:fill="auto"/>
            <w:tcMar>
              <w:left w:w="57" w:type="dxa"/>
              <w:right w:w="57" w:type="dxa"/>
            </w:tcMar>
            <w:vAlign w:val="bottom"/>
          </w:tcPr>
          <w:p w14:paraId="7E878635" w14:textId="77777777" w:rsidR="00CA0011" w:rsidRPr="008E60B5" w:rsidRDefault="00CA0011" w:rsidP="004E31A4">
            <w:pPr>
              <w:pStyle w:val="SingleTxt"/>
              <w:spacing w:before="81" w:after="81" w:line="160" w:lineRule="exact"/>
              <w:ind w:left="-33" w:right="40"/>
              <w:jc w:val="left"/>
              <w:rPr>
                <w:i/>
                <w:sz w:val="14"/>
                <w:lang w:val="en-GB"/>
              </w:rPr>
            </w:pPr>
            <w:r w:rsidRPr="008E60B5">
              <w:rPr>
                <w:i/>
                <w:iCs/>
                <w:sz w:val="14"/>
                <w:lang w:val="fr-FR"/>
              </w:rPr>
              <w:t>Article 194</w:t>
            </w:r>
            <w:r w:rsidRPr="008E60B5">
              <w:rPr>
                <w:i/>
                <w:sz w:val="14"/>
                <w:lang w:val="fr-FR"/>
              </w:rPr>
              <w:t xml:space="preserve"> Violence familiale</w:t>
            </w:r>
          </w:p>
        </w:tc>
        <w:tc>
          <w:tcPr>
            <w:tcW w:w="960" w:type="dxa"/>
            <w:tcBorders>
              <w:top w:val="single" w:sz="4" w:space="0" w:color="auto"/>
              <w:bottom w:val="single" w:sz="12" w:space="0" w:color="auto"/>
            </w:tcBorders>
            <w:shd w:val="clear" w:color="auto" w:fill="auto"/>
            <w:tcMar>
              <w:left w:w="57" w:type="dxa"/>
              <w:right w:w="57" w:type="dxa"/>
            </w:tcMar>
            <w:vAlign w:val="bottom"/>
          </w:tcPr>
          <w:p w14:paraId="30348BC0" w14:textId="77777777" w:rsidR="00CA0011" w:rsidRPr="008E60B5" w:rsidRDefault="00CA0011" w:rsidP="004E31A4">
            <w:pPr>
              <w:pStyle w:val="SingleTxt"/>
              <w:spacing w:before="81" w:after="81" w:line="160" w:lineRule="exact"/>
              <w:ind w:left="0" w:right="0"/>
              <w:jc w:val="right"/>
              <w:rPr>
                <w:i/>
                <w:iCs/>
                <w:sz w:val="14"/>
                <w:lang w:val="fr-FR"/>
              </w:rPr>
            </w:pPr>
            <w:r w:rsidRPr="008E60B5">
              <w:rPr>
                <w:i/>
                <w:iCs/>
                <w:sz w:val="14"/>
                <w:lang w:val="fr-FR"/>
              </w:rPr>
              <w:t>Total</w:t>
            </w:r>
          </w:p>
        </w:tc>
        <w:tc>
          <w:tcPr>
            <w:tcW w:w="960" w:type="dxa"/>
            <w:tcBorders>
              <w:top w:val="single" w:sz="4" w:space="0" w:color="auto"/>
              <w:bottom w:val="single" w:sz="12" w:space="0" w:color="auto"/>
            </w:tcBorders>
            <w:shd w:val="clear" w:color="auto" w:fill="auto"/>
            <w:tcMar>
              <w:left w:w="57" w:type="dxa"/>
              <w:right w:w="57" w:type="dxa"/>
            </w:tcMar>
            <w:vAlign w:val="bottom"/>
          </w:tcPr>
          <w:p w14:paraId="6AE21F30" w14:textId="77777777" w:rsidR="00CA0011" w:rsidRPr="008E60B5" w:rsidRDefault="00CA0011" w:rsidP="004E31A4">
            <w:pPr>
              <w:pStyle w:val="SingleTxt"/>
              <w:spacing w:before="81" w:after="81" w:line="160" w:lineRule="exact"/>
              <w:ind w:left="0" w:right="0"/>
              <w:jc w:val="right"/>
              <w:rPr>
                <w:i/>
                <w:iCs/>
                <w:sz w:val="14"/>
                <w:lang w:val="fr-FR"/>
              </w:rPr>
            </w:pPr>
            <w:r w:rsidRPr="008E60B5">
              <w:rPr>
                <w:i/>
                <w:iCs/>
                <w:sz w:val="14"/>
                <w:lang w:val="fr-FR"/>
              </w:rPr>
              <w:t>Femmes</w:t>
            </w:r>
          </w:p>
        </w:tc>
        <w:tc>
          <w:tcPr>
            <w:tcW w:w="960" w:type="dxa"/>
            <w:tcBorders>
              <w:top w:val="single" w:sz="4" w:space="0" w:color="auto"/>
              <w:bottom w:val="single" w:sz="12" w:space="0" w:color="auto"/>
            </w:tcBorders>
            <w:shd w:val="clear" w:color="auto" w:fill="auto"/>
            <w:tcMar>
              <w:left w:w="57" w:type="dxa"/>
              <w:right w:w="57" w:type="dxa"/>
            </w:tcMar>
            <w:vAlign w:val="bottom"/>
          </w:tcPr>
          <w:p w14:paraId="7FD3577D" w14:textId="77777777" w:rsidR="00CA0011" w:rsidRPr="008E60B5" w:rsidRDefault="00CA0011" w:rsidP="004E31A4">
            <w:pPr>
              <w:pStyle w:val="SingleTxt"/>
              <w:spacing w:before="81" w:after="81" w:line="160" w:lineRule="exact"/>
              <w:ind w:left="0" w:right="0"/>
              <w:jc w:val="right"/>
              <w:rPr>
                <w:i/>
                <w:iCs/>
                <w:sz w:val="14"/>
                <w:lang w:val="fr-FR"/>
              </w:rPr>
            </w:pPr>
            <w:r w:rsidRPr="008E60B5">
              <w:rPr>
                <w:i/>
                <w:iCs/>
                <w:sz w:val="14"/>
                <w:lang w:val="fr-FR"/>
              </w:rPr>
              <w:t>Rejet du signalement</w:t>
            </w:r>
          </w:p>
        </w:tc>
        <w:tc>
          <w:tcPr>
            <w:tcW w:w="960" w:type="dxa"/>
            <w:tcBorders>
              <w:top w:val="single" w:sz="4" w:space="0" w:color="auto"/>
              <w:bottom w:val="single" w:sz="12" w:space="0" w:color="auto"/>
            </w:tcBorders>
            <w:shd w:val="clear" w:color="auto" w:fill="auto"/>
            <w:tcMar>
              <w:left w:w="57" w:type="dxa"/>
              <w:right w:w="57" w:type="dxa"/>
            </w:tcMar>
            <w:vAlign w:val="bottom"/>
          </w:tcPr>
          <w:p w14:paraId="69D05BB5" w14:textId="77777777" w:rsidR="00CA0011" w:rsidRPr="008E60B5" w:rsidRDefault="00CA0011" w:rsidP="004E31A4">
            <w:pPr>
              <w:pStyle w:val="SingleTxt"/>
              <w:spacing w:before="81" w:after="81" w:line="160" w:lineRule="exact"/>
              <w:ind w:left="0" w:right="0"/>
              <w:jc w:val="right"/>
              <w:rPr>
                <w:i/>
                <w:iCs/>
                <w:sz w:val="14"/>
                <w:lang w:val="fr-FR"/>
              </w:rPr>
            </w:pPr>
            <w:r w:rsidRPr="008E60B5">
              <w:rPr>
                <w:i/>
                <w:iCs/>
                <w:sz w:val="14"/>
                <w:lang w:val="fr-FR"/>
              </w:rPr>
              <w:t>Enquête suspendue</w:t>
            </w:r>
          </w:p>
        </w:tc>
        <w:tc>
          <w:tcPr>
            <w:tcW w:w="960" w:type="dxa"/>
            <w:tcBorders>
              <w:top w:val="single" w:sz="4" w:space="0" w:color="auto"/>
              <w:bottom w:val="single" w:sz="12" w:space="0" w:color="auto"/>
            </w:tcBorders>
            <w:shd w:val="clear" w:color="auto" w:fill="auto"/>
            <w:tcMar>
              <w:left w:w="57" w:type="dxa"/>
              <w:right w:w="57" w:type="dxa"/>
            </w:tcMar>
            <w:vAlign w:val="bottom"/>
          </w:tcPr>
          <w:p w14:paraId="795B0DFC" w14:textId="77777777" w:rsidR="00CA0011" w:rsidRPr="008E60B5" w:rsidRDefault="00CA0011" w:rsidP="004E31A4">
            <w:pPr>
              <w:pStyle w:val="SingleTxt"/>
              <w:spacing w:before="81" w:after="81" w:line="160" w:lineRule="exact"/>
              <w:ind w:left="0" w:right="0"/>
              <w:jc w:val="right"/>
              <w:rPr>
                <w:i/>
                <w:iCs/>
                <w:sz w:val="14"/>
                <w:lang w:val="fr-FR"/>
              </w:rPr>
            </w:pPr>
            <w:r w:rsidRPr="008E60B5">
              <w:rPr>
                <w:i/>
                <w:iCs/>
                <w:sz w:val="14"/>
                <w:lang w:val="fr-FR"/>
              </w:rPr>
              <w:t>Enquête close</w:t>
            </w:r>
          </w:p>
        </w:tc>
        <w:tc>
          <w:tcPr>
            <w:tcW w:w="1562" w:type="dxa"/>
            <w:tcBorders>
              <w:top w:val="single" w:sz="4" w:space="0" w:color="auto"/>
              <w:bottom w:val="single" w:sz="12" w:space="0" w:color="auto"/>
            </w:tcBorders>
            <w:shd w:val="clear" w:color="auto" w:fill="auto"/>
            <w:tcMar>
              <w:left w:w="57" w:type="dxa"/>
              <w:right w:w="57" w:type="dxa"/>
            </w:tcMar>
            <w:vAlign w:val="bottom"/>
          </w:tcPr>
          <w:p w14:paraId="35347795" w14:textId="2FA3A877" w:rsidR="00CA0011" w:rsidRPr="008E60B5" w:rsidRDefault="00CA0011" w:rsidP="004E31A4">
            <w:pPr>
              <w:pStyle w:val="SingleTxt"/>
              <w:spacing w:before="81" w:after="81" w:line="160" w:lineRule="exact"/>
              <w:ind w:left="0" w:right="0"/>
              <w:jc w:val="right"/>
              <w:rPr>
                <w:i/>
                <w:sz w:val="14"/>
                <w:lang w:val="fr-FR"/>
              </w:rPr>
            </w:pPr>
            <w:r w:rsidRPr="008E60B5">
              <w:rPr>
                <w:i/>
                <w:iCs/>
                <w:sz w:val="14"/>
                <w:lang w:val="fr-FR"/>
              </w:rPr>
              <w:t>Dépôt d</w:t>
            </w:r>
            <w:r w:rsidR="008E60B5" w:rsidRPr="008E60B5">
              <w:rPr>
                <w:i/>
                <w:iCs/>
                <w:sz w:val="14"/>
                <w:lang w:val="fr-FR"/>
              </w:rPr>
              <w:t>’</w:t>
            </w:r>
            <w:r w:rsidRPr="008E60B5">
              <w:rPr>
                <w:i/>
                <w:iCs/>
                <w:sz w:val="14"/>
                <w:lang w:val="fr-FR"/>
              </w:rPr>
              <w:t>accusations ou d</w:t>
            </w:r>
            <w:r w:rsidR="008E60B5" w:rsidRPr="008E60B5">
              <w:rPr>
                <w:i/>
                <w:iCs/>
                <w:sz w:val="14"/>
                <w:lang w:val="fr-FR"/>
              </w:rPr>
              <w:t>’</w:t>
            </w:r>
            <w:r w:rsidRPr="008E60B5">
              <w:rPr>
                <w:i/>
                <w:iCs/>
                <w:sz w:val="14"/>
                <w:lang w:val="fr-FR"/>
              </w:rPr>
              <w:t>une dénonciation au pénal</w:t>
            </w:r>
          </w:p>
        </w:tc>
      </w:tr>
      <w:tr w:rsidR="00FE19C1" w:rsidRPr="008E60B5" w14:paraId="539ED875" w14:textId="77777777" w:rsidTr="004E31A4">
        <w:trPr>
          <w:cantSplit/>
          <w:trHeight w:hRule="exact" w:val="115"/>
          <w:tblHeader/>
        </w:trPr>
        <w:tc>
          <w:tcPr>
            <w:tcW w:w="960" w:type="dxa"/>
            <w:tcBorders>
              <w:top w:val="single" w:sz="12" w:space="0" w:color="auto"/>
            </w:tcBorders>
            <w:shd w:val="clear" w:color="auto" w:fill="auto"/>
            <w:tcMar>
              <w:left w:w="57" w:type="dxa"/>
              <w:right w:w="57" w:type="dxa"/>
            </w:tcMar>
            <w:vAlign w:val="bottom"/>
          </w:tcPr>
          <w:p w14:paraId="79E45B9E" w14:textId="77777777" w:rsidR="00FE19C1" w:rsidRPr="008E60B5" w:rsidRDefault="00FE19C1" w:rsidP="00B234F4">
            <w:pPr>
              <w:pStyle w:val="SingleTxt"/>
              <w:spacing w:before="40" w:after="40" w:line="210" w:lineRule="exact"/>
              <w:ind w:left="-33" w:right="40"/>
              <w:rPr>
                <w:sz w:val="17"/>
                <w:lang w:val="fr-FR"/>
              </w:rPr>
            </w:pPr>
          </w:p>
        </w:tc>
        <w:tc>
          <w:tcPr>
            <w:tcW w:w="960" w:type="dxa"/>
            <w:tcBorders>
              <w:top w:val="single" w:sz="12" w:space="0" w:color="auto"/>
            </w:tcBorders>
            <w:shd w:val="clear" w:color="auto" w:fill="auto"/>
            <w:tcMar>
              <w:left w:w="57" w:type="dxa"/>
              <w:right w:w="57" w:type="dxa"/>
            </w:tcMar>
            <w:vAlign w:val="bottom"/>
          </w:tcPr>
          <w:p w14:paraId="489BC704" w14:textId="77777777" w:rsidR="00FE19C1" w:rsidRPr="008E60B5" w:rsidRDefault="00FE19C1" w:rsidP="00B234F4">
            <w:pPr>
              <w:pStyle w:val="SingleTxt"/>
              <w:spacing w:before="81" w:after="81" w:line="160" w:lineRule="exact"/>
              <w:ind w:left="0" w:right="0"/>
              <w:jc w:val="right"/>
              <w:rPr>
                <w:i/>
                <w:iCs/>
                <w:sz w:val="14"/>
                <w:lang w:val="fr-FR"/>
              </w:rPr>
            </w:pPr>
          </w:p>
        </w:tc>
        <w:tc>
          <w:tcPr>
            <w:tcW w:w="960" w:type="dxa"/>
            <w:tcBorders>
              <w:top w:val="single" w:sz="12" w:space="0" w:color="auto"/>
            </w:tcBorders>
            <w:shd w:val="clear" w:color="auto" w:fill="auto"/>
            <w:tcMar>
              <w:left w:w="57" w:type="dxa"/>
              <w:right w:w="57" w:type="dxa"/>
            </w:tcMar>
            <w:vAlign w:val="bottom"/>
          </w:tcPr>
          <w:p w14:paraId="1B2EBFCB" w14:textId="77777777" w:rsidR="00FE19C1" w:rsidRPr="008E60B5" w:rsidRDefault="00FE19C1" w:rsidP="00FE19C1">
            <w:pPr>
              <w:pStyle w:val="SingleTxt"/>
              <w:spacing w:before="40" w:after="40" w:line="210" w:lineRule="exact"/>
              <w:ind w:left="144" w:right="43"/>
              <w:jc w:val="right"/>
              <w:rPr>
                <w:sz w:val="17"/>
                <w:lang w:val="fr-FR"/>
              </w:rPr>
            </w:pPr>
          </w:p>
        </w:tc>
        <w:tc>
          <w:tcPr>
            <w:tcW w:w="960" w:type="dxa"/>
            <w:tcBorders>
              <w:top w:val="single" w:sz="12" w:space="0" w:color="auto"/>
            </w:tcBorders>
            <w:shd w:val="clear" w:color="auto" w:fill="auto"/>
            <w:tcMar>
              <w:left w:w="57" w:type="dxa"/>
              <w:right w:w="57" w:type="dxa"/>
            </w:tcMar>
            <w:vAlign w:val="bottom"/>
          </w:tcPr>
          <w:p w14:paraId="6B809254" w14:textId="77777777" w:rsidR="00FE19C1" w:rsidRPr="008E60B5" w:rsidRDefault="00FE19C1" w:rsidP="00FE19C1">
            <w:pPr>
              <w:pStyle w:val="SingleTxt"/>
              <w:spacing w:before="40" w:after="40" w:line="210" w:lineRule="exact"/>
              <w:ind w:left="144" w:right="43"/>
              <w:jc w:val="right"/>
              <w:rPr>
                <w:sz w:val="17"/>
                <w:lang w:val="fr-FR"/>
              </w:rPr>
            </w:pPr>
          </w:p>
        </w:tc>
        <w:tc>
          <w:tcPr>
            <w:tcW w:w="960" w:type="dxa"/>
            <w:tcBorders>
              <w:top w:val="single" w:sz="12" w:space="0" w:color="auto"/>
            </w:tcBorders>
            <w:shd w:val="clear" w:color="auto" w:fill="auto"/>
            <w:tcMar>
              <w:left w:w="57" w:type="dxa"/>
              <w:right w:w="57" w:type="dxa"/>
            </w:tcMar>
            <w:vAlign w:val="bottom"/>
          </w:tcPr>
          <w:p w14:paraId="3E7A9A93" w14:textId="77777777" w:rsidR="00FE19C1" w:rsidRPr="008E60B5" w:rsidRDefault="00FE19C1" w:rsidP="00FE19C1">
            <w:pPr>
              <w:pStyle w:val="SingleTxt"/>
              <w:spacing w:before="40" w:after="40" w:line="210" w:lineRule="exact"/>
              <w:ind w:left="144" w:right="43"/>
              <w:jc w:val="right"/>
              <w:rPr>
                <w:sz w:val="17"/>
                <w:lang w:val="fr-FR"/>
              </w:rPr>
            </w:pPr>
          </w:p>
        </w:tc>
        <w:tc>
          <w:tcPr>
            <w:tcW w:w="960" w:type="dxa"/>
            <w:tcBorders>
              <w:top w:val="single" w:sz="12" w:space="0" w:color="auto"/>
            </w:tcBorders>
            <w:shd w:val="clear" w:color="auto" w:fill="auto"/>
            <w:tcMar>
              <w:left w:w="57" w:type="dxa"/>
              <w:right w:w="57" w:type="dxa"/>
            </w:tcMar>
            <w:vAlign w:val="bottom"/>
          </w:tcPr>
          <w:p w14:paraId="0088CF33" w14:textId="77777777" w:rsidR="00FE19C1" w:rsidRPr="008E60B5" w:rsidRDefault="00FE19C1" w:rsidP="00FE19C1">
            <w:pPr>
              <w:pStyle w:val="SingleTxt"/>
              <w:spacing w:before="40" w:after="40" w:line="210" w:lineRule="exact"/>
              <w:ind w:left="144" w:right="43"/>
              <w:jc w:val="right"/>
              <w:rPr>
                <w:sz w:val="17"/>
                <w:lang w:val="fr-FR"/>
              </w:rPr>
            </w:pPr>
          </w:p>
        </w:tc>
        <w:tc>
          <w:tcPr>
            <w:tcW w:w="1562" w:type="dxa"/>
            <w:tcBorders>
              <w:top w:val="single" w:sz="12" w:space="0" w:color="auto"/>
            </w:tcBorders>
            <w:shd w:val="clear" w:color="auto" w:fill="auto"/>
            <w:tcMar>
              <w:left w:w="57" w:type="dxa"/>
              <w:right w:w="57" w:type="dxa"/>
            </w:tcMar>
            <w:vAlign w:val="bottom"/>
          </w:tcPr>
          <w:p w14:paraId="1B818A2E" w14:textId="77777777" w:rsidR="00FE19C1" w:rsidRPr="008E60B5" w:rsidRDefault="00FE19C1" w:rsidP="00FE19C1">
            <w:pPr>
              <w:pStyle w:val="SingleTxt"/>
              <w:spacing w:before="40" w:after="40" w:line="210" w:lineRule="exact"/>
              <w:ind w:left="144" w:right="43"/>
              <w:jc w:val="right"/>
              <w:rPr>
                <w:sz w:val="17"/>
                <w:lang w:val="fr-FR"/>
              </w:rPr>
            </w:pPr>
          </w:p>
        </w:tc>
      </w:tr>
      <w:tr w:rsidR="00CA0011" w:rsidRPr="008E60B5" w14:paraId="4DF33020" w14:textId="77777777" w:rsidTr="004E31A4">
        <w:trPr>
          <w:cantSplit/>
        </w:trPr>
        <w:tc>
          <w:tcPr>
            <w:tcW w:w="960" w:type="dxa"/>
            <w:shd w:val="clear" w:color="auto" w:fill="auto"/>
            <w:tcMar>
              <w:left w:w="57" w:type="dxa"/>
              <w:right w:w="57" w:type="dxa"/>
            </w:tcMar>
            <w:vAlign w:val="bottom"/>
          </w:tcPr>
          <w:p w14:paraId="766F74E8" w14:textId="77777777" w:rsidR="00CA0011" w:rsidRPr="008E60B5" w:rsidRDefault="00CA0011" w:rsidP="00B234F4">
            <w:pPr>
              <w:pStyle w:val="SingleTxt"/>
              <w:tabs>
                <w:tab w:val="left" w:pos="288"/>
                <w:tab w:val="left" w:pos="576"/>
                <w:tab w:val="left" w:pos="864"/>
                <w:tab w:val="left" w:pos="1152"/>
              </w:tabs>
              <w:spacing w:before="40" w:after="40" w:line="210" w:lineRule="exact"/>
              <w:ind w:left="-33" w:right="40"/>
              <w:rPr>
                <w:sz w:val="17"/>
                <w:lang w:val="en-GB"/>
              </w:rPr>
            </w:pPr>
            <w:r w:rsidRPr="008E60B5">
              <w:rPr>
                <w:sz w:val="17"/>
                <w:lang w:val="fr-FR"/>
              </w:rPr>
              <w:t>2013</w:t>
            </w:r>
          </w:p>
        </w:tc>
        <w:tc>
          <w:tcPr>
            <w:tcW w:w="960" w:type="dxa"/>
            <w:shd w:val="clear" w:color="auto" w:fill="auto"/>
            <w:tcMar>
              <w:left w:w="57" w:type="dxa"/>
              <w:right w:w="57" w:type="dxa"/>
            </w:tcMar>
            <w:vAlign w:val="bottom"/>
          </w:tcPr>
          <w:p w14:paraId="2CE4E124" w14:textId="63FB3539" w:rsidR="00CA0011" w:rsidRPr="008E60B5" w:rsidRDefault="00CA0011" w:rsidP="00B234F4">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3</w:t>
            </w:r>
            <w:r w:rsidR="0026480C">
              <w:rPr>
                <w:sz w:val="17"/>
                <w:lang w:val="fr-FR"/>
              </w:rPr>
              <w:t xml:space="preserve"> </w:t>
            </w:r>
            <w:r w:rsidRPr="008E60B5">
              <w:rPr>
                <w:sz w:val="17"/>
                <w:lang w:val="fr-FR"/>
              </w:rPr>
              <w:t>782</w:t>
            </w:r>
          </w:p>
        </w:tc>
        <w:tc>
          <w:tcPr>
            <w:tcW w:w="960" w:type="dxa"/>
            <w:shd w:val="clear" w:color="auto" w:fill="auto"/>
            <w:tcMar>
              <w:left w:w="57" w:type="dxa"/>
              <w:right w:w="57" w:type="dxa"/>
            </w:tcMar>
            <w:vAlign w:val="bottom"/>
          </w:tcPr>
          <w:p w14:paraId="639DFB77" w14:textId="77777777" w:rsidR="00CA0011" w:rsidRPr="008E60B5" w:rsidRDefault="00CA0011" w:rsidP="00FE19C1">
            <w:pPr>
              <w:pStyle w:val="SingleTxt"/>
              <w:tabs>
                <w:tab w:val="left" w:pos="288"/>
                <w:tab w:val="left" w:pos="576"/>
                <w:tab w:val="left" w:pos="864"/>
                <w:tab w:val="left" w:pos="1152"/>
              </w:tabs>
              <w:spacing w:before="40" w:after="40" w:line="210" w:lineRule="exact"/>
              <w:ind w:left="144" w:right="43"/>
              <w:jc w:val="right"/>
              <w:rPr>
                <w:sz w:val="17"/>
                <w:lang w:val="en-GB"/>
              </w:rPr>
            </w:pPr>
            <w:r w:rsidRPr="008E60B5">
              <w:rPr>
                <w:sz w:val="17"/>
                <w:lang w:val="fr-FR"/>
              </w:rPr>
              <w:t>361</w:t>
            </w:r>
          </w:p>
        </w:tc>
        <w:tc>
          <w:tcPr>
            <w:tcW w:w="960" w:type="dxa"/>
            <w:shd w:val="clear" w:color="auto" w:fill="auto"/>
            <w:tcMar>
              <w:left w:w="57" w:type="dxa"/>
              <w:right w:w="57" w:type="dxa"/>
            </w:tcMar>
            <w:vAlign w:val="bottom"/>
          </w:tcPr>
          <w:p w14:paraId="3EC4F8D2" w14:textId="6A96C079" w:rsidR="00CA0011" w:rsidRPr="008E60B5" w:rsidRDefault="00CA0011" w:rsidP="00FE19C1">
            <w:pPr>
              <w:pStyle w:val="SingleTxt"/>
              <w:tabs>
                <w:tab w:val="left" w:pos="288"/>
                <w:tab w:val="left" w:pos="576"/>
                <w:tab w:val="left" w:pos="864"/>
                <w:tab w:val="left" w:pos="1152"/>
              </w:tabs>
              <w:spacing w:before="40" w:after="40" w:line="210" w:lineRule="exact"/>
              <w:ind w:left="144" w:right="43"/>
              <w:jc w:val="right"/>
              <w:rPr>
                <w:sz w:val="17"/>
                <w:lang w:val="en-GB"/>
              </w:rPr>
            </w:pPr>
            <w:r w:rsidRPr="008E60B5">
              <w:rPr>
                <w:sz w:val="17"/>
                <w:lang w:val="fr-FR"/>
              </w:rPr>
              <w:t>1</w:t>
            </w:r>
            <w:r w:rsidR="0026480C">
              <w:rPr>
                <w:sz w:val="17"/>
                <w:lang w:val="fr-FR"/>
              </w:rPr>
              <w:t xml:space="preserve"> </w:t>
            </w:r>
            <w:r w:rsidRPr="008E60B5">
              <w:rPr>
                <w:sz w:val="17"/>
                <w:lang w:val="fr-FR"/>
              </w:rPr>
              <w:t>687</w:t>
            </w:r>
          </w:p>
        </w:tc>
        <w:tc>
          <w:tcPr>
            <w:tcW w:w="960" w:type="dxa"/>
            <w:shd w:val="clear" w:color="auto" w:fill="auto"/>
            <w:tcMar>
              <w:left w:w="57" w:type="dxa"/>
              <w:right w:w="57" w:type="dxa"/>
            </w:tcMar>
            <w:vAlign w:val="bottom"/>
          </w:tcPr>
          <w:p w14:paraId="258A5C0B" w14:textId="77777777" w:rsidR="00CA0011" w:rsidRPr="008E60B5" w:rsidRDefault="00CA0011" w:rsidP="00FE19C1">
            <w:pPr>
              <w:pStyle w:val="SingleTxt"/>
              <w:tabs>
                <w:tab w:val="left" w:pos="288"/>
                <w:tab w:val="left" w:pos="576"/>
                <w:tab w:val="left" w:pos="864"/>
                <w:tab w:val="left" w:pos="1152"/>
              </w:tabs>
              <w:spacing w:before="40" w:after="40" w:line="210" w:lineRule="exact"/>
              <w:ind w:left="144" w:right="43"/>
              <w:jc w:val="right"/>
              <w:rPr>
                <w:sz w:val="17"/>
                <w:lang w:val="en-GB"/>
              </w:rPr>
            </w:pPr>
            <w:r w:rsidRPr="008E60B5">
              <w:rPr>
                <w:sz w:val="17"/>
                <w:lang w:val="fr-FR"/>
              </w:rPr>
              <w:t>1</w:t>
            </w:r>
          </w:p>
        </w:tc>
        <w:tc>
          <w:tcPr>
            <w:tcW w:w="960" w:type="dxa"/>
            <w:shd w:val="clear" w:color="auto" w:fill="auto"/>
            <w:tcMar>
              <w:left w:w="57" w:type="dxa"/>
              <w:right w:w="57" w:type="dxa"/>
            </w:tcMar>
            <w:vAlign w:val="bottom"/>
          </w:tcPr>
          <w:p w14:paraId="47F9DDF9" w14:textId="77777777" w:rsidR="00CA0011" w:rsidRPr="008E60B5" w:rsidRDefault="00CA0011" w:rsidP="00FE19C1">
            <w:pPr>
              <w:pStyle w:val="SingleTxt"/>
              <w:tabs>
                <w:tab w:val="left" w:pos="288"/>
                <w:tab w:val="left" w:pos="576"/>
                <w:tab w:val="left" w:pos="864"/>
                <w:tab w:val="left" w:pos="1152"/>
              </w:tabs>
              <w:spacing w:before="40" w:after="40" w:line="210" w:lineRule="exact"/>
              <w:ind w:left="144" w:right="43"/>
              <w:jc w:val="right"/>
              <w:rPr>
                <w:sz w:val="17"/>
                <w:lang w:val="en-GB"/>
              </w:rPr>
            </w:pPr>
            <w:r w:rsidRPr="008E60B5">
              <w:rPr>
                <w:sz w:val="17"/>
                <w:lang w:val="fr-FR"/>
              </w:rPr>
              <w:t>68</w:t>
            </w:r>
          </w:p>
        </w:tc>
        <w:tc>
          <w:tcPr>
            <w:tcW w:w="1562" w:type="dxa"/>
            <w:shd w:val="clear" w:color="auto" w:fill="auto"/>
            <w:tcMar>
              <w:left w:w="57" w:type="dxa"/>
              <w:right w:w="57" w:type="dxa"/>
            </w:tcMar>
            <w:vAlign w:val="bottom"/>
          </w:tcPr>
          <w:p w14:paraId="57C57A57" w14:textId="4AAB97A6" w:rsidR="00CA0011" w:rsidRPr="008E60B5" w:rsidRDefault="00CA0011" w:rsidP="00FE19C1">
            <w:pPr>
              <w:pStyle w:val="SingleTxt"/>
              <w:tabs>
                <w:tab w:val="left" w:pos="288"/>
                <w:tab w:val="left" w:pos="576"/>
                <w:tab w:val="left" w:pos="864"/>
                <w:tab w:val="left" w:pos="1152"/>
              </w:tabs>
              <w:spacing w:before="40" w:after="40" w:line="210" w:lineRule="exact"/>
              <w:ind w:left="144" w:right="43"/>
              <w:jc w:val="right"/>
              <w:rPr>
                <w:sz w:val="17"/>
                <w:lang w:val="en-GB"/>
              </w:rPr>
            </w:pPr>
            <w:r w:rsidRPr="008E60B5">
              <w:rPr>
                <w:sz w:val="17"/>
                <w:lang w:val="fr-FR"/>
              </w:rPr>
              <w:t>2</w:t>
            </w:r>
            <w:r w:rsidR="0026480C">
              <w:rPr>
                <w:sz w:val="17"/>
                <w:lang w:val="fr-FR"/>
              </w:rPr>
              <w:t xml:space="preserve"> </w:t>
            </w:r>
            <w:r w:rsidRPr="008E60B5">
              <w:rPr>
                <w:sz w:val="17"/>
                <w:lang w:val="fr-FR"/>
              </w:rPr>
              <w:t>026</w:t>
            </w:r>
          </w:p>
        </w:tc>
      </w:tr>
      <w:tr w:rsidR="00CA0011" w:rsidRPr="008E60B5" w14:paraId="49F5D579" w14:textId="77777777" w:rsidTr="004E31A4">
        <w:trPr>
          <w:cantSplit/>
        </w:trPr>
        <w:tc>
          <w:tcPr>
            <w:tcW w:w="960" w:type="dxa"/>
            <w:shd w:val="clear" w:color="auto" w:fill="auto"/>
            <w:tcMar>
              <w:left w:w="57" w:type="dxa"/>
              <w:right w:w="57" w:type="dxa"/>
            </w:tcMar>
            <w:vAlign w:val="bottom"/>
          </w:tcPr>
          <w:p w14:paraId="058A1146" w14:textId="77777777" w:rsidR="00CA0011" w:rsidRPr="008E60B5" w:rsidRDefault="00CA0011" w:rsidP="00B234F4">
            <w:pPr>
              <w:pStyle w:val="SingleTxt"/>
              <w:tabs>
                <w:tab w:val="left" w:pos="288"/>
                <w:tab w:val="left" w:pos="576"/>
                <w:tab w:val="left" w:pos="864"/>
                <w:tab w:val="left" w:pos="1152"/>
              </w:tabs>
              <w:spacing w:before="40" w:after="40" w:line="210" w:lineRule="exact"/>
              <w:ind w:left="-33" w:right="40"/>
              <w:rPr>
                <w:sz w:val="17"/>
                <w:lang w:val="en-GB"/>
              </w:rPr>
            </w:pPr>
            <w:r w:rsidRPr="008E60B5">
              <w:rPr>
                <w:sz w:val="17"/>
                <w:lang w:val="fr-FR"/>
              </w:rPr>
              <w:t>2014</w:t>
            </w:r>
          </w:p>
        </w:tc>
        <w:tc>
          <w:tcPr>
            <w:tcW w:w="960" w:type="dxa"/>
            <w:shd w:val="clear" w:color="auto" w:fill="auto"/>
            <w:tcMar>
              <w:left w:w="57" w:type="dxa"/>
              <w:right w:w="57" w:type="dxa"/>
            </w:tcMar>
            <w:vAlign w:val="bottom"/>
          </w:tcPr>
          <w:p w14:paraId="1CC54F26" w14:textId="4E6D7AA5" w:rsidR="00CA0011" w:rsidRPr="008E60B5" w:rsidRDefault="00CA0011" w:rsidP="00B234F4">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3</w:t>
            </w:r>
            <w:r w:rsidR="0026480C">
              <w:rPr>
                <w:sz w:val="17"/>
                <w:lang w:val="fr-FR"/>
              </w:rPr>
              <w:t xml:space="preserve"> </w:t>
            </w:r>
            <w:r w:rsidRPr="008E60B5">
              <w:rPr>
                <w:sz w:val="17"/>
                <w:lang w:val="fr-FR"/>
              </w:rPr>
              <w:t>642</w:t>
            </w:r>
          </w:p>
        </w:tc>
        <w:tc>
          <w:tcPr>
            <w:tcW w:w="960" w:type="dxa"/>
            <w:shd w:val="clear" w:color="auto" w:fill="auto"/>
            <w:tcMar>
              <w:left w:w="57" w:type="dxa"/>
              <w:right w:w="57" w:type="dxa"/>
            </w:tcMar>
            <w:vAlign w:val="bottom"/>
          </w:tcPr>
          <w:p w14:paraId="587A186E" w14:textId="77777777" w:rsidR="00CA0011" w:rsidRPr="008E60B5" w:rsidRDefault="00CA0011" w:rsidP="00FE19C1">
            <w:pPr>
              <w:pStyle w:val="SingleTxt"/>
              <w:tabs>
                <w:tab w:val="left" w:pos="288"/>
                <w:tab w:val="left" w:pos="576"/>
                <w:tab w:val="left" w:pos="864"/>
                <w:tab w:val="left" w:pos="1152"/>
              </w:tabs>
              <w:spacing w:before="40" w:after="40" w:line="210" w:lineRule="exact"/>
              <w:ind w:left="144" w:right="43"/>
              <w:jc w:val="right"/>
              <w:rPr>
                <w:sz w:val="17"/>
                <w:lang w:val="en-GB"/>
              </w:rPr>
            </w:pPr>
            <w:r w:rsidRPr="008E60B5">
              <w:rPr>
                <w:sz w:val="17"/>
                <w:lang w:val="fr-FR"/>
              </w:rPr>
              <w:t>347</w:t>
            </w:r>
          </w:p>
        </w:tc>
        <w:tc>
          <w:tcPr>
            <w:tcW w:w="960" w:type="dxa"/>
            <w:shd w:val="clear" w:color="auto" w:fill="auto"/>
            <w:tcMar>
              <w:left w:w="57" w:type="dxa"/>
              <w:right w:w="57" w:type="dxa"/>
            </w:tcMar>
            <w:vAlign w:val="bottom"/>
          </w:tcPr>
          <w:p w14:paraId="5F081391" w14:textId="2030F508" w:rsidR="00CA0011" w:rsidRPr="008E60B5" w:rsidRDefault="00CA0011" w:rsidP="00FE19C1">
            <w:pPr>
              <w:pStyle w:val="SingleTxt"/>
              <w:tabs>
                <w:tab w:val="left" w:pos="288"/>
                <w:tab w:val="left" w:pos="576"/>
                <w:tab w:val="left" w:pos="864"/>
                <w:tab w:val="left" w:pos="1152"/>
              </w:tabs>
              <w:spacing w:before="40" w:after="40" w:line="210" w:lineRule="exact"/>
              <w:ind w:left="144" w:right="43"/>
              <w:jc w:val="right"/>
              <w:rPr>
                <w:sz w:val="17"/>
                <w:lang w:val="en-GB"/>
              </w:rPr>
            </w:pPr>
            <w:r w:rsidRPr="008E60B5">
              <w:rPr>
                <w:sz w:val="17"/>
                <w:lang w:val="fr-FR"/>
              </w:rPr>
              <w:t>2</w:t>
            </w:r>
            <w:r w:rsidR="0026480C">
              <w:rPr>
                <w:sz w:val="17"/>
                <w:lang w:val="fr-FR"/>
              </w:rPr>
              <w:t xml:space="preserve"> </w:t>
            </w:r>
            <w:r w:rsidRPr="008E60B5">
              <w:rPr>
                <w:sz w:val="17"/>
                <w:lang w:val="fr-FR"/>
              </w:rPr>
              <w:t>296</w:t>
            </w:r>
          </w:p>
        </w:tc>
        <w:tc>
          <w:tcPr>
            <w:tcW w:w="960" w:type="dxa"/>
            <w:shd w:val="clear" w:color="auto" w:fill="auto"/>
            <w:tcMar>
              <w:left w:w="57" w:type="dxa"/>
              <w:right w:w="57" w:type="dxa"/>
            </w:tcMar>
            <w:vAlign w:val="bottom"/>
          </w:tcPr>
          <w:p w14:paraId="53E3992F" w14:textId="77777777" w:rsidR="00CA0011" w:rsidRPr="008E60B5" w:rsidRDefault="00CA0011" w:rsidP="00FE19C1">
            <w:pPr>
              <w:pStyle w:val="SingleTxt"/>
              <w:tabs>
                <w:tab w:val="left" w:pos="288"/>
                <w:tab w:val="left" w:pos="576"/>
                <w:tab w:val="left" w:pos="864"/>
                <w:tab w:val="left" w:pos="1152"/>
              </w:tabs>
              <w:spacing w:before="40" w:after="40" w:line="210" w:lineRule="exact"/>
              <w:ind w:left="144" w:right="43"/>
              <w:jc w:val="right"/>
              <w:rPr>
                <w:sz w:val="17"/>
                <w:lang w:val="en-GB"/>
              </w:rPr>
            </w:pPr>
            <w:r w:rsidRPr="008E60B5">
              <w:rPr>
                <w:sz w:val="17"/>
                <w:lang w:val="fr-FR"/>
              </w:rPr>
              <w:t>0</w:t>
            </w:r>
          </w:p>
        </w:tc>
        <w:tc>
          <w:tcPr>
            <w:tcW w:w="960" w:type="dxa"/>
            <w:shd w:val="clear" w:color="auto" w:fill="auto"/>
            <w:tcMar>
              <w:left w:w="57" w:type="dxa"/>
              <w:right w:w="57" w:type="dxa"/>
            </w:tcMar>
            <w:vAlign w:val="bottom"/>
          </w:tcPr>
          <w:p w14:paraId="5D789569" w14:textId="77777777" w:rsidR="00CA0011" w:rsidRPr="008E60B5" w:rsidRDefault="00CA0011" w:rsidP="00FE19C1">
            <w:pPr>
              <w:pStyle w:val="SingleTxt"/>
              <w:tabs>
                <w:tab w:val="left" w:pos="288"/>
                <w:tab w:val="left" w:pos="576"/>
                <w:tab w:val="left" w:pos="864"/>
                <w:tab w:val="left" w:pos="1152"/>
              </w:tabs>
              <w:spacing w:before="40" w:after="40" w:line="210" w:lineRule="exact"/>
              <w:ind w:left="144" w:right="43"/>
              <w:jc w:val="right"/>
              <w:rPr>
                <w:sz w:val="17"/>
                <w:lang w:val="en-GB"/>
              </w:rPr>
            </w:pPr>
            <w:r w:rsidRPr="008E60B5">
              <w:rPr>
                <w:sz w:val="17"/>
                <w:lang w:val="fr-FR"/>
              </w:rPr>
              <w:t>37</w:t>
            </w:r>
          </w:p>
        </w:tc>
        <w:tc>
          <w:tcPr>
            <w:tcW w:w="1562" w:type="dxa"/>
            <w:shd w:val="clear" w:color="auto" w:fill="auto"/>
            <w:tcMar>
              <w:left w:w="57" w:type="dxa"/>
              <w:right w:w="57" w:type="dxa"/>
            </w:tcMar>
            <w:vAlign w:val="bottom"/>
          </w:tcPr>
          <w:p w14:paraId="7608C837" w14:textId="700CB8F0" w:rsidR="00CA0011" w:rsidRPr="008E60B5" w:rsidRDefault="00CA0011" w:rsidP="00FE19C1">
            <w:pPr>
              <w:pStyle w:val="SingleTxt"/>
              <w:tabs>
                <w:tab w:val="left" w:pos="288"/>
                <w:tab w:val="left" w:pos="576"/>
                <w:tab w:val="left" w:pos="864"/>
                <w:tab w:val="left" w:pos="1152"/>
              </w:tabs>
              <w:spacing w:before="40" w:after="40" w:line="210" w:lineRule="exact"/>
              <w:ind w:left="144" w:right="43"/>
              <w:jc w:val="right"/>
              <w:rPr>
                <w:sz w:val="17"/>
                <w:lang w:val="en-GB"/>
              </w:rPr>
            </w:pPr>
            <w:r w:rsidRPr="008E60B5">
              <w:rPr>
                <w:sz w:val="17"/>
                <w:lang w:val="fr-FR"/>
              </w:rPr>
              <w:t>1</w:t>
            </w:r>
            <w:r w:rsidR="0026480C">
              <w:rPr>
                <w:sz w:val="17"/>
                <w:lang w:val="fr-FR"/>
              </w:rPr>
              <w:t xml:space="preserve"> </w:t>
            </w:r>
            <w:r w:rsidRPr="008E60B5">
              <w:rPr>
                <w:sz w:val="17"/>
                <w:lang w:val="fr-FR"/>
              </w:rPr>
              <w:t>309</w:t>
            </w:r>
          </w:p>
        </w:tc>
      </w:tr>
      <w:tr w:rsidR="00CA0011" w:rsidRPr="008E60B5" w14:paraId="6FFE932C" w14:textId="77777777" w:rsidTr="004E31A4">
        <w:trPr>
          <w:cantSplit/>
        </w:trPr>
        <w:tc>
          <w:tcPr>
            <w:tcW w:w="960" w:type="dxa"/>
            <w:tcBorders>
              <w:bottom w:val="single" w:sz="12" w:space="0" w:color="auto"/>
            </w:tcBorders>
            <w:shd w:val="clear" w:color="auto" w:fill="auto"/>
            <w:tcMar>
              <w:left w:w="57" w:type="dxa"/>
              <w:right w:w="57" w:type="dxa"/>
            </w:tcMar>
            <w:vAlign w:val="bottom"/>
          </w:tcPr>
          <w:p w14:paraId="770B6795" w14:textId="77777777" w:rsidR="00CA0011" w:rsidRPr="008E60B5" w:rsidRDefault="00CA0011" w:rsidP="00B234F4">
            <w:pPr>
              <w:pStyle w:val="SingleTxt"/>
              <w:tabs>
                <w:tab w:val="left" w:pos="288"/>
                <w:tab w:val="left" w:pos="576"/>
                <w:tab w:val="left" w:pos="864"/>
                <w:tab w:val="left" w:pos="1152"/>
              </w:tabs>
              <w:spacing w:before="40" w:after="40" w:line="210" w:lineRule="exact"/>
              <w:ind w:left="-33" w:right="40"/>
              <w:rPr>
                <w:sz w:val="17"/>
                <w:lang w:val="en-GB"/>
              </w:rPr>
            </w:pPr>
            <w:r w:rsidRPr="008E60B5">
              <w:rPr>
                <w:sz w:val="17"/>
                <w:lang w:val="fr-FR"/>
              </w:rPr>
              <w:t>2015</w:t>
            </w:r>
          </w:p>
        </w:tc>
        <w:tc>
          <w:tcPr>
            <w:tcW w:w="960" w:type="dxa"/>
            <w:tcBorders>
              <w:bottom w:val="single" w:sz="12" w:space="0" w:color="auto"/>
            </w:tcBorders>
            <w:shd w:val="clear" w:color="auto" w:fill="auto"/>
            <w:tcMar>
              <w:left w:w="57" w:type="dxa"/>
              <w:right w:w="57" w:type="dxa"/>
            </w:tcMar>
            <w:vAlign w:val="bottom"/>
          </w:tcPr>
          <w:p w14:paraId="0B91BD29" w14:textId="528D71E5" w:rsidR="00CA0011" w:rsidRPr="008E60B5" w:rsidRDefault="00CA0011" w:rsidP="00B234F4">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5</w:t>
            </w:r>
            <w:r w:rsidR="0026480C">
              <w:rPr>
                <w:sz w:val="17"/>
                <w:lang w:val="fr-FR"/>
              </w:rPr>
              <w:t xml:space="preserve"> </w:t>
            </w:r>
            <w:r w:rsidRPr="008E60B5">
              <w:rPr>
                <w:sz w:val="17"/>
                <w:lang w:val="fr-FR"/>
              </w:rPr>
              <w:t>039</w:t>
            </w:r>
          </w:p>
        </w:tc>
        <w:tc>
          <w:tcPr>
            <w:tcW w:w="960" w:type="dxa"/>
            <w:tcBorders>
              <w:bottom w:val="single" w:sz="12" w:space="0" w:color="auto"/>
            </w:tcBorders>
            <w:shd w:val="clear" w:color="auto" w:fill="auto"/>
            <w:tcMar>
              <w:left w:w="57" w:type="dxa"/>
              <w:right w:w="57" w:type="dxa"/>
            </w:tcMar>
            <w:vAlign w:val="bottom"/>
          </w:tcPr>
          <w:p w14:paraId="71129573" w14:textId="77777777" w:rsidR="00CA0011" w:rsidRPr="008E60B5" w:rsidRDefault="00CA0011" w:rsidP="00FE19C1">
            <w:pPr>
              <w:pStyle w:val="SingleTxt"/>
              <w:tabs>
                <w:tab w:val="left" w:pos="288"/>
                <w:tab w:val="left" w:pos="576"/>
                <w:tab w:val="left" w:pos="864"/>
                <w:tab w:val="left" w:pos="1152"/>
              </w:tabs>
              <w:spacing w:before="40" w:after="40" w:line="210" w:lineRule="exact"/>
              <w:ind w:left="144" w:right="43"/>
              <w:jc w:val="right"/>
              <w:rPr>
                <w:sz w:val="17"/>
                <w:lang w:val="en-GB"/>
              </w:rPr>
            </w:pPr>
            <w:r w:rsidRPr="008E60B5">
              <w:rPr>
                <w:sz w:val="17"/>
                <w:lang w:val="fr-FR"/>
              </w:rPr>
              <w:t>478</w:t>
            </w:r>
          </w:p>
        </w:tc>
        <w:tc>
          <w:tcPr>
            <w:tcW w:w="960" w:type="dxa"/>
            <w:tcBorders>
              <w:bottom w:val="single" w:sz="12" w:space="0" w:color="auto"/>
            </w:tcBorders>
            <w:shd w:val="clear" w:color="auto" w:fill="auto"/>
            <w:tcMar>
              <w:left w:w="57" w:type="dxa"/>
              <w:right w:w="57" w:type="dxa"/>
            </w:tcMar>
            <w:vAlign w:val="bottom"/>
          </w:tcPr>
          <w:p w14:paraId="70FC4886" w14:textId="70CE1FC6" w:rsidR="00CA0011" w:rsidRPr="008E60B5" w:rsidRDefault="00CA0011" w:rsidP="00FE19C1">
            <w:pPr>
              <w:pStyle w:val="SingleTxt"/>
              <w:tabs>
                <w:tab w:val="left" w:pos="288"/>
                <w:tab w:val="left" w:pos="576"/>
                <w:tab w:val="left" w:pos="864"/>
                <w:tab w:val="left" w:pos="1152"/>
              </w:tabs>
              <w:spacing w:before="40" w:after="40" w:line="210" w:lineRule="exact"/>
              <w:ind w:left="144" w:right="43"/>
              <w:jc w:val="right"/>
              <w:rPr>
                <w:sz w:val="17"/>
                <w:lang w:val="en-GB"/>
              </w:rPr>
            </w:pPr>
            <w:r w:rsidRPr="008E60B5">
              <w:rPr>
                <w:sz w:val="17"/>
                <w:lang w:val="fr-FR"/>
              </w:rPr>
              <w:t>3</w:t>
            </w:r>
            <w:r w:rsidR="0026480C">
              <w:rPr>
                <w:sz w:val="17"/>
                <w:lang w:val="fr-FR"/>
              </w:rPr>
              <w:t xml:space="preserve"> </w:t>
            </w:r>
            <w:r w:rsidRPr="008E60B5">
              <w:rPr>
                <w:sz w:val="17"/>
                <w:lang w:val="fr-FR"/>
              </w:rPr>
              <w:t>147</w:t>
            </w:r>
          </w:p>
        </w:tc>
        <w:tc>
          <w:tcPr>
            <w:tcW w:w="960" w:type="dxa"/>
            <w:tcBorders>
              <w:bottom w:val="single" w:sz="12" w:space="0" w:color="auto"/>
            </w:tcBorders>
            <w:shd w:val="clear" w:color="auto" w:fill="auto"/>
            <w:tcMar>
              <w:left w:w="57" w:type="dxa"/>
              <w:right w:w="57" w:type="dxa"/>
            </w:tcMar>
            <w:vAlign w:val="bottom"/>
          </w:tcPr>
          <w:p w14:paraId="19771E50" w14:textId="77777777" w:rsidR="00CA0011" w:rsidRPr="008E60B5" w:rsidRDefault="00CA0011" w:rsidP="00FE19C1">
            <w:pPr>
              <w:pStyle w:val="SingleTxt"/>
              <w:tabs>
                <w:tab w:val="left" w:pos="288"/>
                <w:tab w:val="left" w:pos="576"/>
                <w:tab w:val="left" w:pos="864"/>
                <w:tab w:val="left" w:pos="1152"/>
              </w:tabs>
              <w:spacing w:before="40" w:after="40" w:line="210" w:lineRule="exact"/>
              <w:ind w:left="144" w:right="43"/>
              <w:jc w:val="right"/>
              <w:rPr>
                <w:sz w:val="17"/>
                <w:lang w:val="en-GB"/>
              </w:rPr>
            </w:pPr>
            <w:r w:rsidRPr="008E60B5">
              <w:rPr>
                <w:sz w:val="17"/>
                <w:lang w:val="fr-FR"/>
              </w:rPr>
              <w:t>3</w:t>
            </w:r>
          </w:p>
        </w:tc>
        <w:tc>
          <w:tcPr>
            <w:tcW w:w="960" w:type="dxa"/>
            <w:tcBorders>
              <w:bottom w:val="single" w:sz="12" w:space="0" w:color="auto"/>
            </w:tcBorders>
            <w:shd w:val="clear" w:color="auto" w:fill="auto"/>
            <w:tcMar>
              <w:left w:w="57" w:type="dxa"/>
              <w:right w:w="57" w:type="dxa"/>
            </w:tcMar>
            <w:vAlign w:val="bottom"/>
          </w:tcPr>
          <w:p w14:paraId="09D2B09E" w14:textId="77777777" w:rsidR="00CA0011" w:rsidRPr="008E60B5" w:rsidRDefault="00CA0011" w:rsidP="00FE19C1">
            <w:pPr>
              <w:pStyle w:val="SingleTxt"/>
              <w:tabs>
                <w:tab w:val="left" w:pos="288"/>
                <w:tab w:val="left" w:pos="576"/>
                <w:tab w:val="left" w:pos="864"/>
                <w:tab w:val="left" w:pos="1152"/>
              </w:tabs>
              <w:spacing w:before="40" w:after="40" w:line="210" w:lineRule="exact"/>
              <w:ind w:left="144" w:right="43"/>
              <w:jc w:val="right"/>
              <w:rPr>
                <w:sz w:val="17"/>
                <w:lang w:val="en-GB"/>
              </w:rPr>
            </w:pPr>
            <w:r w:rsidRPr="008E60B5">
              <w:rPr>
                <w:sz w:val="17"/>
                <w:lang w:val="fr-FR"/>
              </w:rPr>
              <w:t>52</w:t>
            </w:r>
          </w:p>
        </w:tc>
        <w:tc>
          <w:tcPr>
            <w:tcW w:w="1562" w:type="dxa"/>
            <w:tcBorders>
              <w:bottom w:val="single" w:sz="12" w:space="0" w:color="auto"/>
            </w:tcBorders>
            <w:shd w:val="clear" w:color="auto" w:fill="auto"/>
            <w:tcMar>
              <w:left w:w="57" w:type="dxa"/>
              <w:right w:w="57" w:type="dxa"/>
            </w:tcMar>
            <w:vAlign w:val="bottom"/>
          </w:tcPr>
          <w:p w14:paraId="72CE50CC" w14:textId="7C3CE189" w:rsidR="00CA0011" w:rsidRPr="008E60B5" w:rsidRDefault="00CA0011" w:rsidP="00FE19C1">
            <w:pPr>
              <w:pStyle w:val="SingleTxt"/>
              <w:tabs>
                <w:tab w:val="left" w:pos="288"/>
                <w:tab w:val="left" w:pos="576"/>
                <w:tab w:val="left" w:pos="864"/>
                <w:tab w:val="left" w:pos="1152"/>
              </w:tabs>
              <w:spacing w:before="40" w:after="40" w:line="210" w:lineRule="exact"/>
              <w:ind w:left="144" w:right="43"/>
              <w:jc w:val="right"/>
              <w:rPr>
                <w:sz w:val="17"/>
                <w:lang w:val="en-GB"/>
              </w:rPr>
            </w:pPr>
            <w:r w:rsidRPr="008E60B5">
              <w:rPr>
                <w:sz w:val="17"/>
                <w:lang w:val="fr-FR"/>
              </w:rPr>
              <w:t>1</w:t>
            </w:r>
            <w:r w:rsidR="0026480C">
              <w:rPr>
                <w:sz w:val="17"/>
                <w:lang w:val="fr-FR"/>
              </w:rPr>
              <w:t xml:space="preserve"> </w:t>
            </w:r>
            <w:r w:rsidRPr="008E60B5">
              <w:rPr>
                <w:sz w:val="17"/>
                <w:lang w:val="fr-FR"/>
              </w:rPr>
              <w:t>837</w:t>
            </w:r>
          </w:p>
        </w:tc>
      </w:tr>
    </w:tbl>
    <w:p w14:paraId="45B25150" w14:textId="77777777" w:rsidR="0051295B" w:rsidRPr="008E60B5" w:rsidRDefault="0051295B" w:rsidP="0051295B">
      <w:pPr>
        <w:pStyle w:val="SingleTxt"/>
        <w:spacing w:after="0" w:line="120" w:lineRule="exact"/>
        <w:rPr>
          <w:b/>
          <w:bCs/>
          <w:sz w:val="10"/>
          <w:lang w:val="fr-FR"/>
        </w:rPr>
      </w:pPr>
    </w:p>
    <w:p w14:paraId="41576617" w14:textId="77777777" w:rsidR="0051295B" w:rsidRPr="008E60B5" w:rsidRDefault="0051295B" w:rsidP="0051295B">
      <w:pPr>
        <w:pStyle w:val="SingleTxt"/>
        <w:spacing w:after="0" w:line="120" w:lineRule="exact"/>
        <w:rPr>
          <w:b/>
          <w:bCs/>
          <w:sz w:val="10"/>
          <w:lang w:val="fr-FR"/>
        </w:rPr>
      </w:pPr>
    </w:p>
    <w:p w14:paraId="146102F0" w14:textId="16347986" w:rsidR="00CA0011" w:rsidRPr="008E60B5" w:rsidRDefault="0051295B" w:rsidP="00F841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r>
      <w:r w:rsidR="00CA0011" w:rsidRPr="008E60B5">
        <w:rPr>
          <w:lang w:val="fr-FR"/>
        </w:rPr>
        <w:t>Personnes majeures accusées de l</w:t>
      </w:r>
      <w:r w:rsidR="008E60B5" w:rsidRPr="008E60B5">
        <w:rPr>
          <w:lang w:val="fr-FR"/>
        </w:rPr>
        <w:t>’</w:t>
      </w:r>
      <w:r w:rsidR="00CA0011" w:rsidRPr="008E60B5">
        <w:rPr>
          <w:lang w:val="fr-FR"/>
        </w:rPr>
        <w:t xml:space="preserve">infraction de violence familiale, par sexe </w:t>
      </w:r>
      <w:r w:rsidRPr="008E60B5">
        <w:rPr>
          <w:lang w:val="fr-FR"/>
        </w:rPr>
        <w:br/>
      </w:r>
      <w:r w:rsidR="00CA0011" w:rsidRPr="008E60B5">
        <w:rPr>
          <w:lang w:val="fr-FR"/>
        </w:rPr>
        <w:t>et par type de décision, Bureau de statistique de la République de Serbie</w:t>
      </w:r>
    </w:p>
    <w:p w14:paraId="2C71FBC9" w14:textId="31FE98BE" w:rsidR="0051295B" w:rsidRPr="008E60B5" w:rsidRDefault="0051295B" w:rsidP="00F841A6">
      <w:pPr>
        <w:pStyle w:val="SingleTxt"/>
        <w:keepNext/>
        <w:spacing w:after="0" w:line="120" w:lineRule="exact"/>
        <w:rPr>
          <w:sz w:val="10"/>
          <w:lang w:val="fr-FR"/>
        </w:rPr>
      </w:pPr>
    </w:p>
    <w:p w14:paraId="0F368492" w14:textId="37FFD8FA" w:rsidR="0051295B" w:rsidRPr="008E60B5" w:rsidRDefault="0051295B" w:rsidP="00F841A6">
      <w:pPr>
        <w:pStyle w:val="SingleTxt"/>
        <w:keepNext/>
        <w:spacing w:after="0" w:line="120" w:lineRule="exact"/>
        <w:rPr>
          <w:sz w:val="10"/>
          <w:lang w:val="fr-FR"/>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30"/>
        <w:gridCol w:w="1830"/>
        <w:gridCol w:w="1830"/>
        <w:gridCol w:w="1830"/>
      </w:tblGrid>
      <w:tr w:rsidR="0017655F" w:rsidRPr="008E60B5" w14:paraId="1110C5F7" w14:textId="77777777" w:rsidTr="00702409">
        <w:trPr>
          <w:cantSplit/>
          <w:tblHeader/>
        </w:trPr>
        <w:tc>
          <w:tcPr>
            <w:tcW w:w="1830" w:type="dxa"/>
            <w:vMerge w:val="restart"/>
            <w:tcBorders>
              <w:top w:val="single" w:sz="4" w:space="0" w:color="auto"/>
            </w:tcBorders>
            <w:shd w:val="clear" w:color="auto" w:fill="auto"/>
            <w:vAlign w:val="bottom"/>
          </w:tcPr>
          <w:p w14:paraId="3F39BCFA" w14:textId="0849FC24" w:rsidR="0017655F" w:rsidRPr="008E60B5" w:rsidRDefault="0017655F" w:rsidP="00F841A6">
            <w:pPr>
              <w:pStyle w:val="SingleTxt"/>
              <w:keepNext/>
              <w:spacing w:before="81" w:after="81" w:line="160" w:lineRule="exact"/>
              <w:ind w:left="38" w:right="40"/>
              <w:jc w:val="left"/>
              <w:rPr>
                <w:i/>
                <w:sz w:val="14"/>
                <w:lang w:val="fr-FR"/>
              </w:rPr>
            </w:pPr>
            <w:r w:rsidRPr="008E60B5">
              <w:rPr>
                <w:i/>
                <w:sz w:val="14"/>
                <w:lang w:val="fr-FR"/>
              </w:rPr>
              <w:t xml:space="preserve">Article 194 </w:t>
            </w:r>
            <w:r w:rsidRPr="008E60B5">
              <w:rPr>
                <w:i/>
                <w:sz w:val="14"/>
                <w:lang w:val="fr-FR"/>
              </w:rPr>
              <w:br/>
              <w:t>Violence familiale</w:t>
            </w:r>
          </w:p>
        </w:tc>
        <w:tc>
          <w:tcPr>
            <w:tcW w:w="3660" w:type="dxa"/>
            <w:gridSpan w:val="2"/>
            <w:tcBorders>
              <w:top w:val="single" w:sz="4" w:space="0" w:color="auto"/>
              <w:bottom w:val="single" w:sz="4" w:space="0" w:color="auto"/>
            </w:tcBorders>
            <w:shd w:val="clear" w:color="auto" w:fill="auto"/>
            <w:vAlign w:val="bottom"/>
          </w:tcPr>
          <w:p w14:paraId="79EFADC6" w14:textId="39E6F3BB" w:rsidR="0017655F" w:rsidRPr="008E60B5" w:rsidRDefault="0017655F" w:rsidP="00F841A6">
            <w:pPr>
              <w:pStyle w:val="SingleTxt"/>
              <w:keepNext/>
              <w:spacing w:before="81" w:after="81" w:line="160" w:lineRule="exact"/>
              <w:ind w:left="144" w:right="43"/>
              <w:jc w:val="center"/>
              <w:rPr>
                <w:i/>
                <w:sz w:val="14"/>
                <w:lang w:val="fr-FR"/>
              </w:rPr>
            </w:pPr>
            <w:r w:rsidRPr="008E60B5">
              <w:rPr>
                <w:i/>
                <w:sz w:val="14"/>
                <w:lang w:val="fr-FR"/>
              </w:rPr>
              <w:t>Total</w:t>
            </w:r>
          </w:p>
        </w:tc>
        <w:tc>
          <w:tcPr>
            <w:tcW w:w="1830" w:type="dxa"/>
            <w:vMerge w:val="restart"/>
            <w:tcBorders>
              <w:top w:val="single" w:sz="4" w:space="0" w:color="auto"/>
            </w:tcBorders>
            <w:shd w:val="clear" w:color="auto" w:fill="auto"/>
            <w:vAlign w:val="bottom"/>
          </w:tcPr>
          <w:p w14:paraId="7AEA7ED6" w14:textId="7EC7CB6B" w:rsidR="0017655F" w:rsidRPr="008E60B5" w:rsidRDefault="0017655F" w:rsidP="00F841A6">
            <w:pPr>
              <w:pStyle w:val="SingleTxt"/>
              <w:keepNext/>
              <w:spacing w:before="81" w:after="81" w:line="160" w:lineRule="exact"/>
              <w:ind w:left="144" w:right="43"/>
              <w:jc w:val="right"/>
              <w:rPr>
                <w:i/>
                <w:sz w:val="14"/>
                <w:lang w:val="fr-FR"/>
              </w:rPr>
            </w:pPr>
            <w:r w:rsidRPr="008E60B5">
              <w:rPr>
                <w:i/>
                <w:sz w:val="14"/>
                <w:lang w:val="fr-FR"/>
              </w:rPr>
              <w:t>Personnes reconnues coupables</w:t>
            </w:r>
          </w:p>
        </w:tc>
      </w:tr>
      <w:tr w:rsidR="0017655F" w:rsidRPr="008E60B5" w14:paraId="26E093F1" w14:textId="77777777" w:rsidTr="00702409">
        <w:trPr>
          <w:cantSplit/>
          <w:tblHeader/>
        </w:trPr>
        <w:tc>
          <w:tcPr>
            <w:tcW w:w="1830" w:type="dxa"/>
            <w:vMerge/>
            <w:tcBorders>
              <w:bottom w:val="single" w:sz="12" w:space="0" w:color="auto"/>
            </w:tcBorders>
            <w:shd w:val="clear" w:color="auto" w:fill="auto"/>
            <w:vAlign w:val="bottom"/>
          </w:tcPr>
          <w:p w14:paraId="1FC36DCB" w14:textId="3E2ABAB8" w:rsidR="0017655F" w:rsidRPr="008E60B5" w:rsidRDefault="0017655F" w:rsidP="00F841A6">
            <w:pPr>
              <w:pStyle w:val="SingleTxt"/>
              <w:keepNext/>
              <w:spacing w:before="81" w:after="81" w:line="160" w:lineRule="exact"/>
              <w:ind w:left="38" w:right="40"/>
              <w:jc w:val="left"/>
              <w:rPr>
                <w:i/>
                <w:sz w:val="14"/>
                <w:lang w:val="fr-FR"/>
              </w:rPr>
            </w:pPr>
          </w:p>
        </w:tc>
        <w:tc>
          <w:tcPr>
            <w:tcW w:w="1830" w:type="dxa"/>
            <w:tcBorders>
              <w:top w:val="single" w:sz="4" w:space="0" w:color="auto"/>
              <w:bottom w:val="single" w:sz="12" w:space="0" w:color="auto"/>
            </w:tcBorders>
            <w:shd w:val="clear" w:color="auto" w:fill="auto"/>
            <w:vAlign w:val="bottom"/>
          </w:tcPr>
          <w:p w14:paraId="2757CC9B" w14:textId="17F92A2C" w:rsidR="0017655F" w:rsidRPr="008E60B5" w:rsidRDefault="0017655F" w:rsidP="00F841A6">
            <w:pPr>
              <w:pStyle w:val="SingleTxt"/>
              <w:keepNext/>
              <w:spacing w:before="81" w:after="81" w:line="160" w:lineRule="exact"/>
              <w:ind w:left="144" w:right="43"/>
              <w:jc w:val="right"/>
              <w:rPr>
                <w:i/>
                <w:sz w:val="14"/>
                <w:lang w:val="fr-FR"/>
              </w:rPr>
            </w:pPr>
            <w:r w:rsidRPr="008E60B5">
              <w:rPr>
                <w:i/>
                <w:sz w:val="14"/>
                <w:lang w:val="fr-FR"/>
              </w:rPr>
              <w:t>Personnes accusées</w:t>
            </w:r>
          </w:p>
        </w:tc>
        <w:tc>
          <w:tcPr>
            <w:tcW w:w="1830" w:type="dxa"/>
            <w:tcBorders>
              <w:top w:val="single" w:sz="4" w:space="0" w:color="auto"/>
              <w:bottom w:val="single" w:sz="12" w:space="0" w:color="auto"/>
            </w:tcBorders>
            <w:shd w:val="clear" w:color="auto" w:fill="auto"/>
            <w:vAlign w:val="bottom"/>
          </w:tcPr>
          <w:p w14:paraId="6E511133" w14:textId="4CD399E6" w:rsidR="0017655F" w:rsidRPr="008E60B5" w:rsidRDefault="0017655F" w:rsidP="00F841A6">
            <w:pPr>
              <w:pStyle w:val="SingleTxt"/>
              <w:keepNext/>
              <w:spacing w:before="81" w:after="81" w:line="160" w:lineRule="exact"/>
              <w:ind w:left="144" w:right="43"/>
              <w:jc w:val="right"/>
              <w:rPr>
                <w:i/>
                <w:sz w:val="14"/>
                <w:lang w:val="fr-FR"/>
              </w:rPr>
            </w:pPr>
            <w:r w:rsidRPr="008E60B5">
              <w:rPr>
                <w:i/>
                <w:sz w:val="14"/>
                <w:lang w:val="fr-FR"/>
              </w:rPr>
              <w:t>Femmes</w:t>
            </w:r>
          </w:p>
        </w:tc>
        <w:tc>
          <w:tcPr>
            <w:tcW w:w="1830" w:type="dxa"/>
            <w:vMerge/>
            <w:tcBorders>
              <w:bottom w:val="single" w:sz="12" w:space="0" w:color="auto"/>
            </w:tcBorders>
            <w:shd w:val="clear" w:color="auto" w:fill="auto"/>
            <w:vAlign w:val="bottom"/>
          </w:tcPr>
          <w:p w14:paraId="370DC8E4" w14:textId="328A4D64" w:rsidR="0017655F" w:rsidRPr="008E60B5" w:rsidRDefault="0017655F" w:rsidP="00F841A6">
            <w:pPr>
              <w:pStyle w:val="SingleTxt"/>
              <w:keepNext/>
              <w:spacing w:before="81" w:after="81" w:line="160" w:lineRule="exact"/>
              <w:ind w:left="144" w:right="43"/>
              <w:jc w:val="right"/>
              <w:rPr>
                <w:i/>
                <w:sz w:val="14"/>
                <w:lang w:val="fr-FR"/>
              </w:rPr>
            </w:pPr>
          </w:p>
        </w:tc>
      </w:tr>
      <w:tr w:rsidR="0017655F" w:rsidRPr="008E60B5" w14:paraId="59A35EF5" w14:textId="77777777" w:rsidTr="00702409">
        <w:trPr>
          <w:cantSplit/>
          <w:trHeight w:hRule="exact" w:val="115"/>
          <w:tblHeader/>
        </w:trPr>
        <w:tc>
          <w:tcPr>
            <w:tcW w:w="1830" w:type="dxa"/>
            <w:tcBorders>
              <w:top w:val="single" w:sz="12" w:space="0" w:color="auto"/>
            </w:tcBorders>
            <w:shd w:val="clear" w:color="auto" w:fill="auto"/>
            <w:vAlign w:val="bottom"/>
          </w:tcPr>
          <w:p w14:paraId="3E75544D" w14:textId="77777777" w:rsidR="0017655F" w:rsidRPr="008E60B5" w:rsidRDefault="0017655F" w:rsidP="00F841A6">
            <w:pPr>
              <w:pStyle w:val="SingleTxt"/>
              <w:keepNext/>
              <w:spacing w:before="40" w:after="40" w:line="210" w:lineRule="exact"/>
              <w:ind w:left="38" w:right="40"/>
              <w:rPr>
                <w:sz w:val="17"/>
                <w:lang w:val="fr-FR"/>
              </w:rPr>
            </w:pPr>
          </w:p>
        </w:tc>
        <w:tc>
          <w:tcPr>
            <w:tcW w:w="1830" w:type="dxa"/>
            <w:tcBorders>
              <w:top w:val="single" w:sz="12" w:space="0" w:color="auto"/>
            </w:tcBorders>
            <w:shd w:val="clear" w:color="auto" w:fill="auto"/>
            <w:vAlign w:val="bottom"/>
          </w:tcPr>
          <w:p w14:paraId="362FD4B5" w14:textId="77777777" w:rsidR="0017655F" w:rsidRPr="008E60B5" w:rsidRDefault="0017655F" w:rsidP="00F841A6">
            <w:pPr>
              <w:pStyle w:val="SingleTxt"/>
              <w:keepNext/>
              <w:spacing w:before="40" w:after="40" w:line="210" w:lineRule="exact"/>
              <w:ind w:left="144" w:right="43"/>
              <w:jc w:val="right"/>
              <w:rPr>
                <w:sz w:val="17"/>
                <w:lang w:val="fr-FR"/>
              </w:rPr>
            </w:pPr>
          </w:p>
        </w:tc>
        <w:tc>
          <w:tcPr>
            <w:tcW w:w="1830" w:type="dxa"/>
            <w:tcBorders>
              <w:top w:val="single" w:sz="12" w:space="0" w:color="auto"/>
            </w:tcBorders>
            <w:shd w:val="clear" w:color="auto" w:fill="auto"/>
            <w:vAlign w:val="bottom"/>
          </w:tcPr>
          <w:p w14:paraId="63FFE936" w14:textId="77777777" w:rsidR="0017655F" w:rsidRPr="008E60B5" w:rsidRDefault="0017655F" w:rsidP="00F841A6">
            <w:pPr>
              <w:pStyle w:val="SingleTxt"/>
              <w:keepNext/>
              <w:spacing w:before="40" w:after="40" w:line="210" w:lineRule="exact"/>
              <w:ind w:left="144" w:right="43"/>
              <w:jc w:val="right"/>
              <w:rPr>
                <w:sz w:val="17"/>
                <w:lang w:val="fr-FR"/>
              </w:rPr>
            </w:pPr>
          </w:p>
        </w:tc>
        <w:tc>
          <w:tcPr>
            <w:tcW w:w="1830" w:type="dxa"/>
            <w:tcBorders>
              <w:top w:val="single" w:sz="12" w:space="0" w:color="auto"/>
            </w:tcBorders>
            <w:shd w:val="clear" w:color="auto" w:fill="auto"/>
            <w:vAlign w:val="bottom"/>
          </w:tcPr>
          <w:p w14:paraId="6BA2A511" w14:textId="77777777" w:rsidR="0017655F" w:rsidRPr="008E60B5" w:rsidRDefault="0017655F" w:rsidP="00F841A6">
            <w:pPr>
              <w:pStyle w:val="SingleTxt"/>
              <w:keepNext/>
              <w:spacing w:before="40" w:after="40" w:line="210" w:lineRule="exact"/>
              <w:ind w:left="144" w:right="43"/>
              <w:jc w:val="right"/>
              <w:rPr>
                <w:sz w:val="17"/>
                <w:lang w:val="fr-FR"/>
              </w:rPr>
            </w:pPr>
          </w:p>
        </w:tc>
      </w:tr>
      <w:tr w:rsidR="0017655F" w:rsidRPr="008E60B5" w14:paraId="6B9D7F16" w14:textId="77777777" w:rsidTr="00702409">
        <w:trPr>
          <w:cantSplit/>
        </w:trPr>
        <w:tc>
          <w:tcPr>
            <w:tcW w:w="1830" w:type="dxa"/>
            <w:shd w:val="clear" w:color="auto" w:fill="auto"/>
            <w:vAlign w:val="bottom"/>
          </w:tcPr>
          <w:p w14:paraId="6E570028" w14:textId="6238C5C0" w:rsidR="0017655F" w:rsidRPr="008E60B5" w:rsidRDefault="0017655F" w:rsidP="00F841A6">
            <w:pPr>
              <w:pStyle w:val="SingleTxt"/>
              <w:keepNext/>
              <w:tabs>
                <w:tab w:val="left" w:pos="288"/>
                <w:tab w:val="left" w:pos="576"/>
                <w:tab w:val="left" w:pos="864"/>
                <w:tab w:val="left" w:pos="1152"/>
              </w:tabs>
              <w:spacing w:before="40" w:after="40" w:line="210" w:lineRule="exact"/>
              <w:ind w:left="38" w:right="40"/>
              <w:rPr>
                <w:sz w:val="17"/>
                <w:lang w:val="fr-FR"/>
              </w:rPr>
            </w:pPr>
            <w:r w:rsidRPr="008E60B5">
              <w:rPr>
                <w:sz w:val="17"/>
                <w:lang w:val="en-GB"/>
              </w:rPr>
              <w:t>2013</w:t>
            </w:r>
          </w:p>
        </w:tc>
        <w:tc>
          <w:tcPr>
            <w:tcW w:w="1830" w:type="dxa"/>
            <w:shd w:val="clear" w:color="auto" w:fill="auto"/>
            <w:vAlign w:val="bottom"/>
          </w:tcPr>
          <w:p w14:paraId="1AADE70F" w14:textId="4E1B9C35" w:rsidR="0017655F" w:rsidRPr="008E60B5" w:rsidRDefault="0017655F" w:rsidP="00F841A6">
            <w:pPr>
              <w:pStyle w:val="SingleTxt"/>
              <w:keepNe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2</w:t>
            </w:r>
            <w:r w:rsidR="0026480C">
              <w:rPr>
                <w:sz w:val="17"/>
                <w:lang w:val="fr-FR"/>
              </w:rPr>
              <w:t xml:space="preserve"> </w:t>
            </w:r>
            <w:r w:rsidRPr="008E60B5">
              <w:rPr>
                <w:sz w:val="17"/>
                <w:lang w:val="fr-FR"/>
              </w:rPr>
              <w:t>024</w:t>
            </w:r>
          </w:p>
        </w:tc>
        <w:tc>
          <w:tcPr>
            <w:tcW w:w="1830" w:type="dxa"/>
            <w:shd w:val="clear" w:color="auto" w:fill="auto"/>
            <w:vAlign w:val="bottom"/>
          </w:tcPr>
          <w:p w14:paraId="1C85ECEA" w14:textId="77777777" w:rsidR="0017655F" w:rsidRPr="008E60B5" w:rsidRDefault="0017655F" w:rsidP="00F841A6">
            <w:pPr>
              <w:pStyle w:val="SingleTxt"/>
              <w:keepNe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137</w:t>
            </w:r>
          </w:p>
        </w:tc>
        <w:tc>
          <w:tcPr>
            <w:tcW w:w="1830" w:type="dxa"/>
            <w:shd w:val="clear" w:color="auto" w:fill="auto"/>
            <w:vAlign w:val="bottom"/>
          </w:tcPr>
          <w:p w14:paraId="58DE84E7" w14:textId="3826E72A" w:rsidR="0017655F" w:rsidRPr="008E60B5" w:rsidRDefault="0017655F" w:rsidP="00F841A6">
            <w:pPr>
              <w:pStyle w:val="SingleTxt"/>
              <w:keepNe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1</w:t>
            </w:r>
            <w:r w:rsidR="0026480C">
              <w:rPr>
                <w:sz w:val="17"/>
                <w:lang w:val="fr-FR"/>
              </w:rPr>
              <w:t xml:space="preserve"> </w:t>
            </w:r>
            <w:r w:rsidRPr="008E60B5">
              <w:rPr>
                <w:sz w:val="17"/>
                <w:lang w:val="fr-FR"/>
              </w:rPr>
              <w:t>532</w:t>
            </w:r>
          </w:p>
        </w:tc>
      </w:tr>
      <w:tr w:rsidR="0017655F" w:rsidRPr="008E60B5" w14:paraId="10269D79" w14:textId="77777777" w:rsidTr="00702409">
        <w:trPr>
          <w:cantSplit/>
        </w:trPr>
        <w:tc>
          <w:tcPr>
            <w:tcW w:w="1830" w:type="dxa"/>
            <w:shd w:val="clear" w:color="auto" w:fill="auto"/>
            <w:vAlign w:val="bottom"/>
          </w:tcPr>
          <w:p w14:paraId="142161C9" w14:textId="77777777" w:rsidR="0017655F" w:rsidRPr="008E60B5" w:rsidRDefault="0017655F" w:rsidP="00702409">
            <w:pPr>
              <w:pStyle w:val="SingleTxt"/>
              <w:tabs>
                <w:tab w:val="left" w:pos="288"/>
                <w:tab w:val="left" w:pos="576"/>
                <w:tab w:val="left" w:pos="864"/>
                <w:tab w:val="left" w:pos="1152"/>
              </w:tabs>
              <w:spacing w:before="40" w:after="40" w:line="210" w:lineRule="exact"/>
              <w:ind w:left="38" w:right="40"/>
              <w:rPr>
                <w:sz w:val="17"/>
                <w:lang w:val="fr-FR"/>
              </w:rPr>
            </w:pPr>
            <w:r w:rsidRPr="008E60B5">
              <w:rPr>
                <w:sz w:val="17"/>
                <w:lang w:val="en-GB"/>
              </w:rPr>
              <w:t>2014</w:t>
            </w:r>
          </w:p>
        </w:tc>
        <w:tc>
          <w:tcPr>
            <w:tcW w:w="1830" w:type="dxa"/>
            <w:shd w:val="clear" w:color="auto" w:fill="auto"/>
            <w:vAlign w:val="bottom"/>
          </w:tcPr>
          <w:p w14:paraId="5FB119FC" w14:textId="6BA2706B" w:rsidR="0017655F" w:rsidRPr="008E60B5" w:rsidRDefault="0017655F" w:rsidP="0017655F">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2</w:t>
            </w:r>
            <w:r w:rsidR="0026480C">
              <w:rPr>
                <w:sz w:val="17"/>
                <w:lang w:val="fr-FR"/>
              </w:rPr>
              <w:t xml:space="preserve"> </w:t>
            </w:r>
            <w:r w:rsidRPr="008E60B5">
              <w:rPr>
                <w:sz w:val="17"/>
                <w:lang w:val="fr-FR"/>
              </w:rPr>
              <w:t>015</w:t>
            </w:r>
          </w:p>
        </w:tc>
        <w:tc>
          <w:tcPr>
            <w:tcW w:w="1830" w:type="dxa"/>
            <w:shd w:val="clear" w:color="auto" w:fill="auto"/>
            <w:vAlign w:val="bottom"/>
          </w:tcPr>
          <w:p w14:paraId="283EBAB4" w14:textId="77777777" w:rsidR="0017655F" w:rsidRPr="008E60B5" w:rsidRDefault="0017655F" w:rsidP="0017655F">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158</w:t>
            </w:r>
          </w:p>
        </w:tc>
        <w:tc>
          <w:tcPr>
            <w:tcW w:w="1830" w:type="dxa"/>
            <w:shd w:val="clear" w:color="auto" w:fill="auto"/>
            <w:vAlign w:val="bottom"/>
          </w:tcPr>
          <w:p w14:paraId="098D6349" w14:textId="7A965D41" w:rsidR="0017655F" w:rsidRPr="008E60B5" w:rsidRDefault="0017655F" w:rsidP="0017655F">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1</w:t>
            </w:r>
            <w:r w:rsidR="0026480C">
              <w:rPr>
                <w:sz w:val="17"/>
                <w:lang w:val="fr-FR"/>
              </w:rPr>
              <w:t xml:space="preserve"> </w:t>
            </w:r>
            <w:r w:rsidRPr="008E60B5">
              <w:rPr>
                <w:sz w:val="17"/>
                <w:lang w:val="fr-FR"/>
              </w:rPr>
              <w:t>712</w:t>
            </w:r>
          </w:p>
        </w:tc>
      </w:tr>
      <w:tr w:rsidR="0017655F" w:rsidRPr="008E60B5" w14:paraId="186D56FF" w14:textId="77777777" w:rsidTr="00702409">
        <w:trPr>
          <w:cantSplit/>
        </w:trPr>
        <w:tc>
          <w:tcPr>
            <w:tcW w:w="1830" w:type="dxa"/>
            <w:tcBorders>
              <w:bottom w:val="single" w:sz="12" w:space="0" w:color="auto"/>
            </w:tcBorders>
            <w:shd w:val="clear" w:color="auto" w:fill="auto"/>
            <w:vAlign w:val="bottom"/>
          </w:tcPr>
          <w:p w14:paraId="3473D60B" w14:textId="77777777" w:rsidR="0017655F" w:rsidRPr="008E60B5" w:rsidRDefault="0017655F" w:rsidP="00702409">
            <w:pPr>
              <w:pStyle w:val="SingleTxt"/>
              <w:tabs>
                <w:tab w:val="left" w:pos="288"/>
                <w:tab w:val="left" w:pos="576"/>
                <w:tab w:val="left" w:pos="864"/>
                <w:tab w:val="left" w:pos="1152"/>
              </w:tabs>
              <w:spacing w:before="40" w:after="40" w:line="210" w:lineRule="exact"/>
              <w:ind w:left="38" w:right="40"/>
              <w:rPr>
                <w:sz w:val="17"/>
                <w:lang w:val="fr-FR"/>
              </w:rPr>
            </w:pPr>
            <w:r w:rsidRPr="008E60B5">
              <w:rPr>
                <w:sz w:val="17"/>
                <w:lang w:val="en-GB"/>
              </w:rPr>
              <w:t>2015</w:t>
            </w:r>
          </w:p>
        </w:tc>
        <w:tc>
          <w:tcPr>
            <w:tcW w:w="1830" w:type="dxa"/>
            <w:tcBorders>
              <w:bottom w:val="single" w:sz="12" w:space="0" w:color="auto"/>
            </w:tcBorders>
            <w:shd w:val="clear" w:color="auto" w:fill="auto"/>
            <w:vAlign w:val="bottom"/>
          </w:tcPr>
          <w:p w14:paraId="5AE7287B" w14:textId="18C52972" w:rsidR="0017655F" w:rsidRPr="008E60B5" w:rsidRDefault="0017655F" w:rsidP="0017655F">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2</w:t>
            </w:r>
            <w:r w:rsidR="0026480C">
              <w:rPr>
                <w:sz w:val="17"/>
                <w:lang w:val="fr-FR"/>
              </w:rPr>
              <w:t xml:space="preserve"> </w:t>
            </w:r>
            <w:r w:rsidRPr="008E60B5">
              <w:rPr>
                <w:sz w:val="17"/>
                <w:lang w:val="fr-FR"/>
              </w:rPr>
              <w:t>104</w:t>
            </w:r>
          </w:p>
        </w:tc>
        <w:tc>
          <w:tcPr>
            <w:tcW w:w="1830" w:type="dxa"/>
            <w:tcBorders>
              <w:bottom w:val="single" w:sz="12" w:space="0" w:color="auto"/>
            </w:tcBorders>
            <w:shd w:val="clear" w:color="auto" w:fill="auto"/>
            <w:vAlign w:val="bottom"/>
          </w:tcPr>
          <w:p w14:paraId="7108D145" w14:textId="77777777" w:rsidR="0017655F" w:rsidRPr="008E60B5" w:rsidRDefault="0017655F" w:rsidP="0017655F">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122</w:t>
            </w:r>
          </w:p>
        </w:tc>
        <w:tc>
          <w:tcPr>
            <w:tcW w:w="1830" w:type="dxa"/>
            <w:tcBorders>
              <w:bottom w:val="single" w:sz="12" w:space="0" w:color="auto"/>
            </w:tcBorders>
            <w:shd w:val="clear" w:color="auto" w:fill="auto"/>
            <w:vAlign w:val="bottom"/>
          </w:tcPr>
          <w:p w14:paraId="7A51350E" w14:textId="4463ED17" w:rsidR="0017655F" w:rsidRPr="008E60B5" w:rsidRDefault="0017655F" w:rsidP="0017655F">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1</w:t>
            </w:r>
            <w:r w:rsidR="0026480C">
              <w:rPr>
                <w:sz w:val="17"/>
                <w:lang w:val="fr-FR"/>
              </w:rPr>
              <w:t xml:space="preserve"> </w:t>
            </w:r>
            <w:r w:rsidRPr="008E60B5">
              <w:rPr>
                <w:sz w:val="17"/>
                <w:lang w:val="fr-FR"/>
              </w:rPr>
              <w:t>778</w:t>
            </w:r>
          </w:p>
        </w:tc>
      </w:tr>
    </w:tbl>
    <w:p w14:paraId="1DC01095" w14:textId="77777777" w:rsidR="00702409" w:rsidRPr="008E60B5" w:rsidRDefault="00702409" w:rsidP="00702409">
      <w:pPr>
        <w:pStyle w:val="SingleTxt"/>
        <w:spacing w:after="0" w:line="120" w:lineRule="exact"/>
        <w:rPr>
          <w:b/>
          <w:bCs/>
          <w:sz w:val="10"/>
          <w:lang w:val="fr-FR"/>
        </w:rPr>
      </w:pPr>
    </w:p>
    <w:p w14:paraId="0F40F452" w14:textId="77777777" w:rsidR="00702409" w:rsidRPr="008E60B5" w:rsidRDefault="00702409" w:rsidP="00702409">
      <w:pPr>
        <w:pStyle w:val="SingleTxt"/>
        <w:spacing w:after="0" w:line="120" w:lineRule="exact"/>
        <w:rPr>
          <w:b/>
          <w:bCs/>
          <w:sz w:val="10"/>
          <w:lang w:val="fr-FR"/>
        </w:rPr>
      </w:pPr>
    </w:p>
    <w:p w14:paraId="7989324B" w14:textId="77777777" w:rsidR="00702409" w:rsidRPr="008E60B5" w:rsidRDefault="00702409" w:rsidP="00702409">
      <w:pPr>
        <w:pStyle w:val="SingleTxt"/>
        <w:spacing w:after="0" w:line="120" w:lineRule="exact"/>
        <w:rPr>
          <w:b/>
          <w:bCs/>
          <w:sz w:val="10"/>
          <w:lang w:val="fr-FR"/>
        </w:rPr>
      </w:pPr>
    </w:p>
    <w:p w14:paraId="35AF2052" w14:textId="48B4A7E0" w:rsidR="00CA0011" w:rsidRPr="008E60B5" w:rsidRDefault="00702409" w:rsidP="007024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lastRenderedPageBreak/>
        <w:tab/>
      </w:r>
      <w:r w:rsidRPr="008E60B5">
        <w:rPr>
          <w:lang w:val="fr-FR"/>
        </w:rPr>
        <w:tab/>
      </w:r>
      <w:r w:rsidR="00CA0011" w:rsidRPr="008E60B5">
        <w:rPr>
          <w:lang w:val="fr-FR"/>
        </w:rPr>
        <w:t>Personnes majeures reconnues coupables, en fonction de l</w:t>
      </w:r>
      <w:r w:rsidR="008E60B5" w:rsidRPr="008E60B5">
        <w:rPr>
          <w:lang w:val="fr-FR"/>
        </w:rPr>
        <w:t>’</w:t>
      </w:r>
      <w:r w:rsidR="00CA0011" w:rsidRPr="008E60B5">
        <w:rPr>
          <w:lang w:val="fr-FR"/>
        </w:rPr>
        <w:t xml:space="preserve">infraction pénale, </w:t>
      </w:r>
      <w:r w:rsidRPr="008E60B5">
        <w:rPr>
          <w:lang w:val="fr-FR"/>
        </w:rPr>
        <w:br/>
      </w:r>
      <w:r w:rsidR="00CA0011" w:rsidRPr="008E60B5">
        <w:rPr>
          <w:lang w:val="fr-FR"/>
        </w:rPr>
        <w:t>du sexe et du type de décision, Bureau de statistique de la République de Serbie</w:t>
      </w:r>
    </w:p>
    <w:p w14:paraId="3241AF53" w14:textId="4362FB60" w:rsidR="00702409" w:rsidRPr="008E60B5" w:rsidRDefault="00702409" w:rsidP="00CC48E2">
      <w:pPr>
        <w:pStyle w:val="SingleTxt"/>
        <w:spacing w:after="0" w:line="120" w:lineRule="exact"/>
        <w:rPr>
          <w:sz w:val="10"/>
          <w:lang w:val="fr-FR"/>
        </w:rPr>
      </w:pPr>
    </w:p>
    <w:p w14:paraId="4752656C" w14:textId="0B27423B" w:rsidR="00CC48E2" w:rsidRPr="008E60B5" w:rsidRDefault="00CC48E2" w:rsidP="00CC48E2">
      <w:pPr>
        <w:pStyle w:val="SingleTxt"/>
        <w:spacing w:after="0" w:line="120" w:lineRule="exact"/>
        <w:rPr>
          <w:sz w:val="10"/>
          <w:lang w:val="fr-FR"/>
        </w:rPr>
      </w:pPr>
    </w:p>
    <w:tbl>
      <w:tblPr>
        <w:tblStyle w:val="TableGrid"/>
        <w:tblW w:w="7322"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70"/>
        <w:gridCol w:w="945"/>
        <w:gridCol w:w="945"/>
        <w:gridCol w:w="945"/>
        <w:gridCol w:w="945"/>
        <w:gridCol w:w="1170"/>
        <w:gridCol w:w="1202"/>
      </w:tblGrid>
      <w:tr w:rsidR="00CC48E2" w:rsidRPr="008E60B5" w14:paraId="23AD55DA" w14:textId="77777777" w:rsidTr="00F90894">
        <w:trPr>
          <w:cantSplit/>
          <w:tblHeader/>
        </w:trPr>
        <w:tc>
          <w:tcPr>
            <w:tcW w:w="1170" w:type="dxa"/>
            <w:vMerge w:val="restart"/>
            <w:tcBorders>
              <w:top w:val="single" w:sz="4" w:space="0" w:color="auto"/>
            </w:tcBorders>
            <w:shd w:val="clear" w:color="auto" w:fill="auto"/>
            <w:vAlign w:val="bottom"/>
          </w:tcPr>
          <w:p w14:paraId="69796BD3" w14:textId="3835906F" w:rsidR="00CC48E2" w:rsidRPr="008E60B5" w:rsidRDefault="00CC48E2" w:rsidP="00CC48E2">
            <w:pPr>
              <w:pStyle w:val="SingleTxt"/>
              <w:spacing w:before="81" w:after="81" w:line="160" w:lineRule="exact"/>
              <w:ind w:left="0" w:right="40"/>
              <w:jc w:val="left"/>
              <w:rPr>
                <w:i/>
                <w:sz w:val="14"/>
                <w:lang w:val="fr-FR"/>
              </w:rPr>
            </w:pPr>
            <w:r w:rsidRPr="008E60B5">
              <w:rPr>
                <w:i/>
                <w:sz w:val="14"/>
                <w:lang w:val="fr-FR"/>
              </w:rPr>
              <w:t xml:space="preserve">Article 194 </w:t>
            </w:r>
            <w:r w:rsidRPr="008E60B5">
              <w:rPr>
                <w:i/>
                <w:sz w:val="14"/>
                <w:lang w:val="fr-FR"/>
              </w:rPr>
              <w:br/>
              <w:t>Violence familiale</w:t>
            </w:r>
          </w:p>
        </w:tc>
        <w:tc>
          <w:tcPr>
            <w:tcW w:w="1890" w:type="dxa"/>
            <w:gridSpan w:val="2"/>
            <w:tcBorders>
              <w:top w:val="single" w:sz="4" w:space="0" w:color="auto"/>
              <w:bottom w:val="single" w:sz="4" w:space="0" w:color="auto"/>
            </w:tcBorders>
            <w:shd w:val="clear" w:color="auto" w:fill="auto"/>
            <w:vAlign w:val="bottom"/>
          </w:tcPr>
          <w:p w14:paraId="5E79824A" w14:textId="3461DCD9" w:rsidR="00CC48E2" w:rsidRPr="008E60B5" w:rsidRDefault="00CC48E2" w:rsidP="00CC48E2">
            <w:pPr>
              <w:pStyle w:val="SingleTxt"/>
              <w:spacing w:before="81" w:after="81" w:line="160" w:lineRule="exact"/>
              <w:ind w:left="144" w:right="43"/>
              <w:jc w:val="center"/>
              <w:rPr>
                <w:i/>
                <w:sz w:val="14"/>
                <w:lang w:val="fr-FR"/>
              </w:rPr>
            </w:pPr>
            <w:r w:rsidRPr="008E60B5">
              <w:rPr>
                <w:i/>
                <w:sz w:val="14"/>
                <w:lang w:val="fr-FR"/>
              </w:rPr>
              <w:t>Total</w:t>
            </w:r>
          </w:p>
        </w:tc>
        <w:tc>
          <w:tcPr>
            <w:tcW w:w="945" w:type="dxa"/>
            <w:vMerge w:val="restart"/>
            <w:tcBorders>
              <w:top w:val="single" w:sz="4" w:space="0" w:color="auto"/>
            </w:tcBorders>
            <w:shd w:val="clear" w:color="auto" w:fill="auto"/>
            <w:vAlign w:val="bottom"/>
          </w:tcPr>
          <w:p w14:paraId="76882686" w14:textId="79D335CE" w:rsidR="00CC48E2" w:rsidRPr="008E60B5" w:rsidRDefault="00CC48E2" w:rsidP="00CC48E2">
            <w:pPr>
              <w:pStyle w:val="SingleTxt"/>
              <w:spacing w:before="81" w:after="81" w:line="160" w:lineRule="exact"/>
              <w:ind w:left="144" w:right="43"/>
              <w:jc w:val="right"/>
              <w:rPr>
                <w:i/>
                <w:sz w:val="14"/>
                <w:lang w:val="fr-FR"/>
              </w:rPr>
            </w:pPr>
            <w:r w:rsidRPr="008E60B5">
              <w:rPr>
                <w:i/>
                <w:sz w:val="14"/>
                <w:lang w:val="fr-FR"/>
              </w:rPr>
              <w:t>Peine de prison</w:t>
            </w:r>
          </w:p>
        </w:tc>
        <w:tc>
          <w:tcPr>
            <w:tcW w:w="945" w:type="dxa"/>
            <w:vMerge w:val="restart"/>
            <w:tcBorders>
              <w:top w:val="single" w:sz="4" w:space="0" w:color="auto"/>
            </w:tcBorders>
            <w:shd w:val="clear" w:color="auto" w:fill="auto"/>
            <w:vAlign w:val="bottom"/>
          </w:tcPr>
          <w:p w14:paraId="603AD41F" w14:textId="38BAD8CB" w:rsidR="00CC48E2" w:rsidRPr="008E60B5" w:rsidRDefault="00CC48E2" w:rsidP="00CC48E2">
            <w:pPr>
              <w:pStyle w:val="SingleTxt"/>
              <w:spacing w:before="81" w:after="81" w:line="160" w:lineRule="exact"/>
              <w:ind w:left="144" w:right="43"/>
              <w:jc w:val="right"/>
              <w:rPr>
                <w:i/>
                <w:sz w:val="14"/>
                <w:lang w:val="fr-FR"/>
              </w:rPr>
            </w:pPr>
            <w:r w:rsidRPr="008E60B5">
              <w:rPr>
                <w:i/>
                <w:sz w:val="14"/>
                <w:lang w:val="fr-FR"/>
              </w:rPr>
              <w:t>Amende</w:t>
            </w:r>
          </w:p>
        </w:tc>
        <w:tc>
          <w:tcPr>
            <w:tcW w:w="1170" w:type="dxa"/>
            <w:vMerge w:val="restart"/>
            <w:tcBorders>
              <w:top w:val="single" w:sz="4" w:space="0" w:color="auto"/>
            </w:tcBorders>
            <w:shd w:val="clear" w:color="auto" w:fill="auto"/>
            <w:vAlign w:val="bottom"/>
          </w:tcPr>
          <w:p w14:paraId="4BE88366" w14:textId="619CD27F" w:rsidR="00CC48E2" w:rsidRPr="008E60B5" w:rsidRDefault="00CC48E2" w:rsidP="00CC48E2">
            <w:pPr>
              <w:pStyle w:val="SingleTxt"/>
              <w:spacing w:before="81" w:after="81" w:line="160" w:lineRule="exact"/>
              <w:ind w:left="144" w:right="43"/>
              <w:jc w:val="right"/>
              <w:rPr>
                <w:i/>
                <w:sz w:val="14"/>
                <w:lang w:val="fr-FR"/>
              </w:rPr>
            </w:pPr>
            <w:r w:rsidRPr="008E60B5">
              <w:rPr>
                <w:i/>
                <w:sz w:val="14"/>
                <w:lang w:val="fr-FR"/>
              </w:rPr>
              <w:t>Condamnation avec sursis</w:t>
            </w:r>
          </w:p>
        </w:tc>
        <w:tc>
          <w:tcPr>
            <w:tcW w:w="1202" w:type="dxa"/>
            <w:vMerge w:val="restart"/>
            <w:tcBorders>
              <w:top w:val="single" w:sz="4" w:space="0" w:color="auto"/>
            </w:tcBorders>
            <w:shd w:val="clear" w:color="auto" w:fill="auto"/>
            <w:vAlign w:val="bottom"/>
          </w:tcPr>
          <w:p w14:paraId="3205CD9A" w14:textId="4DF1BAF7" w:rsidR="00CC48E2" w:rsidRPr="008E60B5" w:rsidRDefault="00CC48E2" w:rsidP="00CC48E2">
            <w:pPr>
              <w:pStyle w:val="SingleTxt"/>
              <w:spacing w:before="81" w:after="81" w:line="160" w:lineRule="exact"/>
              <w:ind w:left="144" w:right="43"/>
              <w:jc w:val="right"/>
              <w:rPr>
                <w:i/>
                <w:sz w:val="14"/>
                <w:lang w:val="fr-FR"/>
              </w:rPr>
            </w:pPr>
            <w:r w:rsidRPr="008E60B5">
              <w:rPr>
                <w:i/>
                <w:sz w:val="14"/>
                <w:lang w:val="fr-FR"/>
              </w:rPr>
              <w:t>Autres condamnations</w:t>
            </w:r>
          </w:p>
        </w:tc>
      </w:tr>
      <w:tr w:rsidR="00CC48E2" w:rsidRPr="008E60B5" w14:paraId="4601A011" w14:textId="77777777" w:rsidTr="00CC48E2">
        <w:trPr>
          <w:cantSplit/>
          <w:tblHeader/>
        </w:trPr>
        <w:tc>
          <w:tcPr>
            <w:tcW w:w="1170" w:type="dxa"/>
            <w:vMerge/>
            <w:tcBorders>
              <w:bottom w:val="single" w:sz="12" w:space="0" w:color="auto"/>
            </w:tcBorders>
            <w:shd w:val="clear" w:color="auto" w:fill="auto"/>
            <w:vAlign w:val="bottom"/>
          </w:tcPr>
          <w:p w14:paraId="7E13C2E9" w14:textId="2F27E28E" w:rsidR="00CC48E2" w:rsidRPr="008E60B5" w:rsidRDefault="00CC48E2" w:rsidP="00CC48E2">
            <w:pPr>
              <w:pStyle w:val="SingleTxt"/>
              <w:spacing w:before="81" w:after="81" w:line="160" w:lineRule="exact"/>
              <w:ind w:left="0" w:right="40"/>
              <w:jc w:val="left"/>
              <w:rPr>
                <w:i/>
                <w:sz w:val="14"/>
                <w:lang w:val="fr-FR"/>
              </w:rPr>
            </w:pPr>
          </w:p>
        </w:tc>
        <w:tc>
          <w:tcPr>
            <w:tcW w:w="945" w:type="dxa"/>
            <w:tcBorders>
              <w:top w:val="single" w:sz="4" w:space="0" w:color="auto"/>
              <w:bottom w:val="single" w:sz="12" w:space="0" w:color="auto"/>
            </w:tcBorders>
            <w:shd w:val="clear" w:color="auto" w:fill="auto"/>
            <w:vAlign w:val="bottom"/>
          </w:tcPr>
          <w:p w14:paraId="57296DD4" w14:textId="4732449B" w:rsidR="00CC48E2" w:rsidRPr="008E60B5" w:rsidRDefault="00CC48E2" w:rsidP="00CC48E2">
            <w:pPr>
              <w:pStyle w:val="SingleTxt"/>
              <w:spacing w:before="81" w:after="81" w:line="160" w:lineRule="exact"/>
              <w:ind w:left="144" w:right="43"/>
              <w:jc w:val="right"/>
              <w:rPr>
                <w:i/>
                <w:sz w:val="14"/>
                <w:lang w:val="fr-FR"/>
              </w:rPr>
            </w:pPr>
            <w:r w:rsidRPr="008E60B5">
              <w:rPr>
                <w:i/>
                <w:sz w:val="14"/>
                <w:lang w:val="fr-FR"/>
              </w:rPr>
              <w:t>Total</w:t>
            </w:r>
          </w:p>
        </w:tc>
        <w:tc>
          <w:tcPr>
            <w:tcW w:w="945" w:type="dxa"/>
            <w:tcBorders>
              <w:top w:val="single" w:sz="4" w:space="0" w:color="auto"/>
              <w:bottom w:val="single" w:sz="12" w:space="0" w:color="auto"/>
            </w:tcBorders>
            <w:shd w:val="clear" w:color="auto" w:fill="auto"/>
            <w:vAlign w:val="bottom"/>
          </w:tcPr>
          <w:p w14:paraId="6B673F0C" w14:textId="6E7ED70E" w:rsidR="00CC48E2" w:rsidRPr="008E60B5" w:rsidRDefault="00CC48E2" w:rsidP="00CC48E2">
            <w:pPr>
              <w:pStyle w:val="SingleTxt"/>
              <w:spacing w:before="81" w:after="81" w:line="160" w:lineRule="exact"/>
              <w:ind w:left="144" w:right="43"/>
              <w:jc w:val="right"/>
              <w:rPr>
                <w:i/>
                <w:sz w:val="14"/>
                <w:lang w:val="fr-FR"/>
              </w:rPr>
            </w:pPr>
            <w:r w:rsidRPr="008E60B5">
              <w:rPr>
                <w:i/>
                <w:sz w:val="14"/>
                <w:lang w:val="fr-FR"/>
              </w:rPr>
              <w:t>Femmes</w:t>
            </w:r>
          </w:p>
        </w:tc>
        <w:tc>
          <w:tcPr>
            <w:tcW w:w="945" w:type="dxa"/>
            <w:vMerge/>
            <w:tcBorders>
              <w:bottom w:val="single" w:sz="12" w:space="0" w:color="auto"/>
            </w:tcBorders>
            <w:shd w:val="clear" w:color="auto" w:fill="auto"/>
            <w:vAlign w:val="bottom"/>
          </w:tcPr>
          <w:p w14:paraId="72EA91D0" w14:textId="54591DA5" w:rsidR="00CC48E2" w:rsidRPr="008E60B5" w:rsidRDefault="00CC48E2" w:rsidP="00CC48E2">
            <w:pPr>
              <w:pStyle w:val="SingleTxt"/>
              <w:spacing w:before="81" w:after="81" w:line="160" w:lineRule="exact"/>
              <w:ind w:left="144" w:right="43"/>
              <w:jc w:val="right"/>
              <w:rPr>
                <w:i/>
                <w:sz w:val="14"/>
                <w:lang w:val="fr-FR"/>
              </w:rPr>
            </w:pPr>
          </w:p>
        </w:tc>
        <w:tc>
          <w:tcPr>
            <w:tcW w:w="945" w:type="dxa"/>
            <w:vMerge/>
            <w:tcBorders>
              <w:bottom w:val="single" w:sz="12" w:space="0" w:color="auto"/>
            </w:tcBorders>
            <w:shd w:val="clear" w:color="auto" w:fill="auto"/>
            <w:vAlign w:val="bottom"/>
          </w:tcPr>
          <w:p w14:paraId="2BE8CC7A" w14:textId="2406ECE5" w:rsidR="00CC48E2" w:rsidRPr="008E60B5" w:rsidRDefault="00CC48E2" w:rsidP="00CC48E2">
            <w:pPr>
              <w:pStyle w:val="SingleTxt"/>
              <w:spacing w:before="81" w:after="81" w:line="160" w:lineRule="exact"/>
              <w:ind w:left="144" w:right="43"/>
              <w:jc w:val="right"/>
              <w:rPr>
                <w:i/>
                <w:sz w:val="14"/>
                <w:lang w:val="fr-FR"/>
              </w:rPr>
            </w:pPr>
          </w:p>
        </w:tc>
        <w:tc>
          <w:tcPr>
            <w:tcW w:w="1170" w:type="dxa"/>
            <w:vMerge/>
            <w:tcBorders>
              <w:bottom w:val="single" w:sz="12" w:space="0" w:color="auto"/>
            </w:tcBorders>
            <w:shd w:val="clear" w:color="auto" w:fill="auto"/>
            <w:vAlign w:val="bottom"/>
          </w:tcPr>
          <w:p w14:paraId="1CF93E29" w14:textId="768B85E6" w:rsidR="00CC48E2" w:rsidRPr="008E60B5" w:rsidRDefault="00CC48E2" w:rsidP="00CC48E2">
            <w:pPr>
              <w:pStyle w:val="SingleTxt"/>
              <w:spacing w:before="81" w:after="81" w:line="160" w:lineRule="exact"/>
              <w:ind w:left="144" w:right="43"/>
              <w:jc w:val="right"/>
              <w:rPr>
                <w:i/>
                <w:sz w:val="14"/>
                <w:lang w:val="fr-FR"/>
              </w:rPr>
            </w:pPr>
          </w:p>
        </w:tc>
        <w:tc>
          <w:tcPr>
            <w:tcW w:w="1202" w:type="dxa"/>
            <w:vMerge/>
            <w:tcBorders>
              <w:bottom w:val="single" w:sz="12" w:space="0" w:color="auto"/>
            </w:tcBorders>
            <w:shd w:val="clear" w:color="auto" w:fill="auto"/>
            <w:vAlign w:val="bottom"/>
          </w:tcPr>
          <w:p w14:paraId="20D27C92" w14:textId="4A3AD45C" w:rsidR="00CC48E2" w:rsidRPr="008E60B5" w:rsidRDefault="00CC48E2" w:rsidP="00CC48E2">
            <w:pPr>
              <w:pStyle w:val="SingleTxt"/>
              <w:spacing w:before="81" w:after="81" w:line="160" w:lineRule="exact"/>
              <w:ind w:left="144" w:right="43"/>
              <w:jc w:val="right"/>
              <w:rPr>
                <w:i/>
                <w:sz w:val="14"/>
                <w:lang w:val="fr-FR"/>
              </w:rPr>
            </w:pPr>
          </w:p>
        </w:tc>
      </w:tr>
      <w:tr w:rsidR="00CC48E2" w:rsidRPr="008E60B5" w14:paraId="7656BA87" w14:textId="77777777" w:rsidTr="00CC48E2">
        <w:trPr>
          <w:cantSplit/>
          <w:trHeight w:hRule="exact" w:val="115"/>
          <w:tblHeader/>
        </w:trPr>
        <w:tc>
          <w:tcPr>
            <w:tcW w:w="1170" w:type="dxa"/>
            <w:tcBorders>
              <w:top w:val="single" w:sz="12" w:space="0" w:color="auto"/>
            </w:tcBorders>
            <w:shd w:val="clear" w:color="auto" w:fill="auto"/>
            <w:vAlign w:val="bottom"/>
          </w:tcPr>
          <w:p w14:paraId="101133DE" w14:textId="77777777" w:rsidR="00CC48E2" w:rsidRPr="008E60B5" w:rsidRDefault="00CC48E2" w:rsidP="00CC48E2">
            <w:pPr>
              <w:pStyle w:val="SingleTxt"/>
              <w:spacing w:before="40" w:after="40" w:line="210" w:lineRule="exact"/>
              <w:ind w:left="0" w:right="40"/>
              <w:rPr>
                <w:sz w:val="17"/>
                <w:lang w:val="fr-FR"/>
              </w:rPr>
            </w:pPr>
          </w:p>
        </w:tc>
        <w:tc>
          <w:tcPr>
            <w:tcW w:w="945" w:type="dxa"/>
            <w:tcBorders>
              <w:top w:val="single" w:sz="12" w:space="0" w:color="auto"/>
            </w:tcBorders>
            <w:shd w:val="clear" w:color="auto" w:fill="auto"/>
            <w:vAlign w:val="bottom"/>
          </w:tcPr>
          <w:p w14:paraId="7EFF7DB2" w14:textId="77777777" w:rsidR="00CC48E2" w:rsidRPr="008E60B5" w:rsidRDefault="00CC48E2" w:rsidP="00CC48E2">
            <w:pPr>
              <w:pStyle w:val="SingleTxt"/>
              <w:spacing w:before="40" w:after="40" w:line="210" w:lineRule="exact"/>
              <w:ind w:left="144" w:right="43"/>
              <w:jc w:val="right"/>
              <w:rPr>
                <w:sz w:val="17"/>
                <w:lang w:val="fr-FR"/>
              </w:rPr>
            </w:pPr>
          </w:p>
        </w:tc>
        <w:tc>
          <w:tcPr>
            <w:tcW w:w="945" w:type="dxa"/>
            <w:tcBorders>
              <w:top w:val="single" w:sz="12" w:space="0" w:color="auto"/>
            </w:tcBorders>
            <w:shd w:val="clear" w:color="auto" w:fill="auto"/>
            <w:vAlign w:val="bottom"/>
          </w:tcPr>
          <w:p w14:paraId="2A8622C1" w14:textId="77777777" w:rsidR="00CC48E2" w:rsidRPr="008E60B5" w:rsidRDefault="00CC48E2" w:rsidP="00CC48E2">
            <w:pPr>
              <w:pStyle w:val="SingleTxt"/>
              <w:spacing w:before="40" w:after="40" w:line="210" w:lineRule="exact"/>
              <w:ind w:left="144" w:right="43"/>
              <w:jc w:val="right"/>
              <w:rPr>
                <w:sz w:val="17"/>
                <w:lang w:val="fr-FR"/>
              </w:rPr>
            </w:pPr>
          </w:p>
        </w:tc>
        <w:tc>
          <w:tcPr>
            <w:tcW w:w="945" w:type="dxa"/>
            <w:tcBorders>
              <w:top w:val="single" w:sz="12" w:space="0" w:color="auto"/>
            </w:tcBorders>
            <w:shd w:val="clear" w:color="auto" w:fill="auto"/>
            <w:vAlign w:val="bottom"/>
          </w:tcPr>
          <w:p w14:paraId="76F02126" w14:textId="77777777" w:rsidR="00CC48E2" w:rsidRPr="008E60B5" w:rsidRDefault="00CC48E2" w:rsidP="00CC48E2">
            <w:pPr>
              <w:pStyle w:val="SingleTxt"/>
              <w:spacing w:before="40" w:after="40" w:line="210" w:lineRule="exact"/>
              <w:ind w:left="144" w:right="43"/>
              <w:jc w:val="right"/>
              <w:rPr>
                <w:sz w:val="17"/>
                <w:lang w:val="fr-FR"/>
              </w:rPr>
            </w:pPr>
          </w:p>
        </w:tc>
        <w:tc>
          <w:tcPr>
            <w:tcW w:w="945" w:type="dxa"/>
            <w:tcBorders>
              <w:top w:val="single" w:sz="12" w:space="0" w:color="auto"/>
            </w:tcBorders>
            <w:shd w:val="clear" w:color="auto" w:fill="auto"/>
            <w:vAlign w:val="bottom"/>
          </w:tcPr>
          <w:p w14:paraId="7534A33E" w14:textId="77777777" w:rsidR="00CC48E2" w:rsidRPr="008E60B5" w:rsidRDefault="00CC48E2" w:rsidP="00CC48E2">
            <w:pPr>
              <w:pStyle w:val="SingleTxt"/>
              <w:spacing w:before="40" w:after="40" w:line="210" w:lineRule="exact"/>
              <w:ind w:left="144" w:right="43"/>
              <w:jc w:val="right"/>
              <w:rPr>
                <w:sz w:val="17"/>
                <w:lang w:val="fr-FR"/>
              </w:rPr>
            </w:pPr>
          </w:p>
        </w:tc>
        <w:tc>
          <w:tcPr>
            <w:tcW w:w="1170" w:type="dxa"/>
            <w:tcBorders>
              <w:top w:val="single" w:sz="12" w:space="0" w:color="auto"/>
            </w:tcBorders>
            <w:shd w:val="clear" w:color="auto" w:fill="auto"/>
            <w:vAlign w:val="bottom"/>
          </w:tcPr>
          <w:p w14:paraId="7F6765D9" w14:textId="77777777" w:rsidR="00CC48E2" w:rsidRPr="008E60B5" w:rsidRDefault="00CC48E2" w:rsidP="00CC48E2">
            <w:pPr>
              <w:pStyle w:val="SingleTxt"/>
              <w:spacing w:before="40" w:after="40" w:line="210" w:lineRule="exact"/>
              <w:ind w:left="144" w:right="43"/>
              <w:jc w:val="right"/>
              <w:rPr>
                <w:sz w:val="17"/>
                <w:lang w:val="fr-FR"/>
              </w:rPr>
            </w:pPr>
          </w:p>
        </w:tc>
        <w:tc>
          <w:tcPr>
            <w:tcW w:w="1202" w:type="dxa"/>
            <w:tcBorders>
              <w:top w:val="single" w:sz="12" w:space="0" w:color="auto"/>
            </w:tcBorders>
            <w:shd w:val="clear" w:color="auto" w:fill="auto"/>
            <w:vAlign w:val="bottom"/>
          </w:tcPr>
          <w:p w14:paraId="3CBB3E6D" w14:textId="77777777" w:rsidR="00CC48E2" w:rsidRPr="008E60B5" w:rsidRDefault="00CC48E2" w:rsidP="00CC48E2">
            <w:pPr>
              <w:pStyle w:val="SingleTxt"/>
              <w:spacing w:before="40" w:after="40" w:line="210" w:lineRule="exact"/>
              <w:ind w:left="144" w:right="43"/>
              <w:jc w:val="right"/>
              <w:rPr>
                <w:sz w:val="17"/>
                <w:lang w:val="fr-FR"/>
              </w:rPr>
            </w:pPr>
          </w:p>
        </w:tc>
      </w:tr>
      <w:tr w:rsidR="00CC48E2" w:rsidRPr="008E60B5" w14:paraId="11E4CDC7" w14:textId="77777777" w:rsidTr="00CC48E2">
        <w:trPr>
          <w:cantSplit/>
        </w:trPr>
        <w:tc>
          <w:tcPr>
            <w:tcW w:w="1170" w:type="dxa"/>
            <w:shd w:val="clear" w:color="auto" w:fill="auto"/>
            <w:vAlign w:val="bottom"/>
          </w:tcPr>
          <w:p w14:paraId="33A2FCE3" w14:textId="002D9ED5" w:rsidR="00CC48E2" w:rsidRPr="008E60B5" w:rsidRDefault="00CC48E2" w:rsidP="00CC48E2">
            <w:pPr>
              <w:pStyle w:val="SingleTxt"/>
              <w:tabs>
                <w:tab w:val="left" w:pos="288"/>
                <w:tab w:val="left" w:pos="576"/>
                <w:tab w:val="left" w:pos="864"/>
                <w:tab w:val="left" w:pos="1152"/>
              </w:tabs>
              <w:spacing w:before="40" w:after="40" w:line="210" w:lineRule="exact"/>
              <w:ind w:left="0" w:right="40"/>
              <w:rPr>
                <w:sz w:val="17"/>
                <w:lang w:val="fr-FR"/>
              </w:rPr>
            </w:pPr>
            <w:r w:rsidRPr="008E60B5">
              <w:rPr>
                <w:sz w:val="17"/>
                <w:lang w:val="fr-FR"/>
              </w:rPr>
              <w:t>2013</w:t>
            </w:r>
          </w:p>
        </w:tc>
        <w:tc>
          <w:tcPr>
            <w:tcW w:w="945" w:type="dxa"/>
            <w:shd w:val="clear" w:color="auto" w:fill="auto"/>
            <w:vAlign w:val="bottom"/>
          </w:tcPr>
          <w:p w14:paraId="0ECC6C55" w14:textId="5A57DFFA" w:rsidR="00CC48E2" w:rsidRPr="008E60B5" w:rsidRDefault="00CC48E2" w:rsidP="00CC48E2">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1</w:t>
            </w:r>
            <w:r w:rsidR="00335D87">
              <w:rPr>
                <w:sz w:val="17"/>
                <w:lang w:val="fr-FR"/>
              </w:rPr>
              <w:t xml:space="preserve"> </w:t>
            </w:r>
            <w:r w:rsidRPr="008E60B5">
              <w:rPr>
                <w:sz w:val="17"/>
                <w:lang w:val="fr-FR"/>
              </w:rPr>
              <w:t>532</w:t>
            </w:r>
          </w:p>
        </w:tc>
        <w:tc>
          <w:tcPr>
            <w:tcW w:w="945" w:type="dxa"/>
            <w:shd w:val="clear" w:color="auto" w:fill="auto"/>
            <w:vAlign w:val="bottom"/>
          </w:tcPr>
          <w:p w14:paraId="5364A084" w14:textId="77777777" w:rsidR="00CC48E2" w:rsidRPr="008E60B5" w:rsidRDefault="00CC48E2" w:rsidP="00CC48E2">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81</w:t>
            </w:r>
          </w:p>
        </w:tc>
        <w:tc>
          <w:tcPr>
            <w:tcW w:w="945" w:type="dxa"/>
            <w:shd w:val="clear" w:color="auto" w:fill="auto"/>
            <w:vAlign w:val="bottom"/>
          </w:tcPr>
          <w:p w14:paraId="566EC52A" w14:textId="77777777" w:rsidR="00CC48E2" w:rsidRPr="008E60B5" w:rsidRDefault="00CC48E2" w:rsidP="00CC48E2">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533</w:t>
            </w:r>
          </w:p>
        </w:tc>
        <w:tc>
          <w:tcPr>
            <w:tcW w:w="945" w:type="dxa"/>
            <w:shd w:val="clear" w:color="auto" w:fill="auto"/>
            <w:vAlign w:val="bottom"/>
          </w:tcPr>
          <w:p w14:paraId="728EB498" w14:textId="77777777" w:rsidR="00CC48E2" w:rsidRPr="008E60B5" w:rsidRDefault="00CC48E2" w:rsidP="00CC48E2">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8</w:t>
            </w:r>
          </w:p>
        </w:tc>
        <w:tc>
          <w:tcPr>
            <w:tcW w:w="1170" w:type="dxa"/>
            <w:shd w:val="clear" w:color="auto" w:fill="auto"/>
            <w:vAlign w:val="bottom"/>
          </w:tcPr>
          <w:p w14:paraId="67B33157" w14:textId="77777777" w:rsidR="00CC48E2" w:rsidRPr="008E60B5" w:rsidRDefault="00CC48E2" w:rsidP="00CC48E2">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977</w:t>
            </w:r>
          </w:p>
        </w:tc>
        <w:tc>
          <w:tcPr>
            <w:tcW w:w="1202" w:type="dxa"/>
            <w:shd w:val="clear" w:color="auto" w:fill="auto"/>
            <w:vAlign w:val="bottom"/>
          </w:tcPr>
          <w:p w14:paraId="6078B5D6" w14:textId="77777777" w:rsidR="00CC48E2" w:rsidRPr="008E60B5" w:rsidRDefault="00CC48E2" w:rsidP="00CC48E2">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14</w:t>
            </w:r>
          </w:p>
        </w:tc>
      </w:tr>
      <w:tr w:rsidR="00CC48E2" w:rsidRPr="008E60B5" w14:paraId="5407AE92" w14:textId="77777777" w:rsidTr="00CC48E2">
        <w:trPr>
          <w:cantSplit/>
        </w:trPr>
        <w:tc>
          <w:tcPr>
            <w:tcW w:w="1170" w:type="dxa"/>
            <w:shd w:val="clear" w:color="auto" w:fill="auto"/>
            <w:vAlign w:val="bottom"/>
          </w:tcPr>
          <w:p w14:paraId="11B70883" w14:textId="77777777" w:rsidR="00CC48E2" w:rsidRPr="008E60B5" w:rsidRDefault="00CC48E2" w:rsidP="00CC48E2">
            <w:pPr>
              <w:pStyle w:val="SingleTxt"/>
              <w:tabs>
                <w:tab w:val="left" w:pos="288"/>
                <w:tab w:val="left" w:pos="576"/>
                <w:tab w:val="left" w:pos="864"/>
                <w:tab w:val="left" w:pos="1152"/>
              </w:tabs>
              <w:spacing w:before="40" w:after="40" w:line="210" w:lineRule="exact"/>
              <w:ind w:left="0" w:right="40"/>
              <w:rPr>
                <w:sz w:val="17"/>
                <w:lang w:val="fr-FR"/>
              </w:rPr>
            </w:pPr>
            <w:r w:rsidRPr="008E60B5">
              <w:rPr>
                <w:sz w:val="17"/>
                <w:lang w:val="fr-FR"/>
              </w:rPr>
              <w:t>2014</w:t>
            </w:r>
          </w:p>
        </w:tc>
        <w:tc>
          <w:tcPr>
            <w:tcW w:w="945" w:type="dxa"/>
            <w:shd w:val="clear" w:color="auto" w:fill="auto"/>
            <w:vAlign w:val="bottom"/>
          </w:tcPr>
          <w:p w14:paraId="35CE4C6D" w14:textId="5F9D7763" w:rsidR="00CC48E2" w:rsidRPr="008E60B5" w:rsidRDefault="00CC48E2" w:rsidP="00CC48E2">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1</w:t>
            </w:r>
            <w:r w:rsidR="00335D87">
              <w:rPr>
                <w:sz w:val="17"/>
                <w:lang w:val="fr-FR"/>
              </w:rPr>
              <w:t xml:space="preserve"> </w:t>
            </w:r>
            <w:r w:rsidRPr="008E60B5">
              <w:rPr>
                <w:sz w:val="17"/>
                <w:lang w:val="fr-FR"/>
              </w:rPr>
              <w:t>712</w:t>
            </w:r>
          </w:p>
        </w:tc>
        <w:tc>
          <w:tcPr>
            <w:tcW w:w="945" w:type="dxa"/>
            <w:shd w:val="clear" w:color="auto" w:fill="auto"/>
            <w:vAlign w:val="bottom"/>
          </w:tcPr>
          <w:p w14:paraId="4656CC56" w14:textId="77777777" w:rsidR="00CC48E2" w:rsidRPr="008E60B5" w:rsidRDefault="00CC48E2" w:rsidP="00CC48E2">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98</w:t>
            </w:r>
          </w:p>
        </w:tc>
        <w:tc>
          <w:tcPr>
            <w:tcW w:w="945" w:type="dxa"/>
            <w:shd w:val="clear" w:color="auto" w:fill="auto"/>
            <w:vAlign w:val="bottom"/>
          </w:tcPr>
          <w:p w14:paraId="0AE9D7D0" w14:textId="77777777" w:rsidR="00CC48E2" w:rsidRPr="008E60B5" w:rsidRDefault="00CC48E2" w:rsidP="00CC48E2">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634</w:t>
            </w:r>
          </w:p>
        </w:tc>
        <w:tc>
          <w:tcPr>
            <w:tcW w:w="945" w:type="dxa"/>
            <w:shd w:val="clear" w:color="auto" w:fill="auto"/>
            <w:vAlign w:val="bottom"/>
          </w:tcPr>
          <w:p w14:paraId="4808EE80" w14:textId="77777777" w:rsidR="00CC48E2" w:rsidRPr="008E60B5" w:rsidRDefault="00CC48E2" w:rsidP="00CC48E2">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13</w:t>
            </w:r>
          </w:p>
        </w:tc>
        <w:tc>
          <w:tcPr>
            <w:tcW w:w="1170" w:type="dxa"/>
            <w:shd w:val="clear" w:color="auto" w:fill="auto"/>
            <w:vAlign w:val="bottom"/>
          </w:tcPr>
          <w:p w14:paraId="19B27739" w14:textId="55986928" w:rsidR="00CC48E2" w:rsidRPr="008E60B5" w:rsidRDefault="00CC48E2" w:rsidP="00CC48E2">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1</w:t>
            </w:r>
            <w:r w:rsidR="00335D87">
              <w:rPr>
                <w:sz w:val="17"/>
                <w:lang w:val="fr-FR"/>
              </w:rPr>
              <w:t xml:space="preserve"> </w:t>
            </w:r>
            <w:r w:rsidRPr="008E60B5">
              <w:rPr>
                <w:sz w:val="17"/>
                <w:lang w:val="fr-FR"/>
              </w:rPr>
              <w:t>041</w:t>
            </w:r>
          </w:p>
        </w:tc>
        <w:tc>
          <w:tcPr>
            <w:tcW w:w="1202" w:type="dxa"/>
            <w:shd w:val="clear" w:color="auto" w:fill="auto"/>
            <w:vAlign w:val="bottom"/>
          </w:tcPr>
          <w:p w14:paraId="6E948D90" w14:textId="77777777" w:rsidR="00CC48E2" w:rsidRPr="008E60B5" w:rsidRDefault="00CC48E2" w:rsidP="00CC48E2">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24</w:t>
            </w:r>
          </w:p>
        </w:tc>
      </w:tr>
      <w:tr w:rsidR="00CC48E2" w:rsidRPr="008E60B5" w14:paraId="137F03C9" w14:textId="77777777" w:rsidTr="00CC48E2">
        <w:trPr>
          <w:cantSplit/>
        </w:trPr>
        <w:tc>
          <w:tcPr>
            <w:tcW w:w="1170" w:type="dxa"/>
            <w:tcBorders>
              <w:bottom w:val="single" w:sz="12" w:space="0" w:color="auto"/>
            </w:tcBorders>
            <w:shd w:val="clear" w:color="auto" w:fill="auto"/>
            <w:vAlign w:val="bottom"/>
          </w:tcPr>
          <w:p w14:paraId="45C0E830" w14:textId="77777777" w:rsidR="00CC48E2" w:rsidRPr="008E60B5" w:rsidRDefault="00CC48E2" w:rsidP="00CC48E2">
            <w:pPr>
              <w:pStyle w:val="SingleTxt"/>
              <w:tabs>
                <w:tab w:val="left" w:pos="288"/>
                <w:tab w:val="left" w:pos="576"/>
                <w:tab w:val="left" w:pos="864"/>
                <w:tab w:val="left" w:pos="1152"/>
              </w:tabs>
              <w:spacing w:before="40" w:after="40" w:line="210" w:lineRule="exact"/>
              <w:ind w:left="0" w:right="40"/>
              <w:rPr>
                <w:sz w:val="17"/>
                <w:lang w:val="fr-FR"/>
              </w:rPr>
            </w:pPr>
            <w:r w:rsidRPr="008E60B5">
              <w:rPr>
                <w:sz w:val="17"/>
                <w:lang w:val="fr-FR"/>
              </w:rPr>
              <w:t>2015</w:t>
            </w:r>
          </w:p>
        </w:tc>
        <w:tc>
          <w:tcPr>
            <w:tcW w:w="945" w:type="dxa"/>
            <w:tcBorders>
              <w:bottom w:val="single" w:sz="12" w:space="0" w:color="auto"/>
            </w:tcBorders>
            <w:shd w:val="clear" w:color="auto" w:fill="auto"/>
            <w:vAlign w:val="bottom"/>
          </w:tcPr>
          <w:p w14:paraId="1498486A" w14:textId="71B8DCDF" w:rsidR="00CC48E2" w:rsidRPr="008E60B5" w:rsidRDefault="00CC48E2" w:rsidP="00CC48E2">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1</w:t>
            </w:r>
            <w:r w:rsidR="00335D87">
              <w:rPr>
                <w:sz w:val="17"/>
                <w:lang w:val="fr-FR"/>
              </w:rPr>
              <w:t xml:space="preserve"> </w:t>
            </w:r>
            <w:r w:rsidRPr="008E60B5">
              <w:rPr>
                <w:sz w:val="17"/>
                <w:lang w:val="fr-FR"/>
              </w:rPr>
              <w:t>778</w:t>
            </w:r>
          </w:p>
        </w:tc>
        <w:tc>
          <w:tcPr>
            <w:tcW w:w="945" w:type="dxa"/>
            <w:tcBorders>
              <w:bottom w:val="single" w:sz="12" w:space="0" w:color="auto"/>
            </w:tcBorders>
            <w:shd w:val="clear" w:color="auto" w:fill="auto"/>
            <w:vAlign w:val="bottom"/>
          </w:tcPr>
          <w:p w14:paraId="311ECF38" w14:textId="77777777" w:rsidR="00CC48E2" w:rsidRPr="008E60B5" w:rsidRDefault="00CC48E2" w:rsidP="00CC48E2">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81</w:t>
            </w:r>
          </w:p>
        </w:tc>
        <w:tc>
          <w:tcPr>
            <w:tcW w:w="945" w:type="dxa"/>
            <w:tcBorders>
              <w:bottom w:val="single" w:sz="12" w:space="0" w:color="auto"/>
            </w:tcBorders>
            <w:shd w:val="clear" w:color="auto" w:fill="auto"/>
            <w:vAlign w:val="bottom"/>
          </w:tcPr>
          <w:p w14:paraId="0600607A" w14:textId="77777777" w:rsidR="00CC48E2" w:rsidRPr="008E60B5" w:rsidRDefault="00CC48E2" w:rsidP="00CC48E2">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483</w:t>
            </w:r>
          </w:p>
        </w:tc>
        <w:tc>
          <w:tcPr>
            <w:tcW w:w="945" w:type="dxa"/>
            <w:tcBorders>
              <w:bottom w:val="single" w:sz="12" w:space="0" w:color="auto"/>
            </w:tcBorders>
            <w:shd w:val="clear" w:color="auto" w:fill="auto"/>
            <w:vAlign w:val="bottom"/>
          </w:tcPr>
          <w:p w14:paraId="5781E696" w14:textId="77777777" w:rsidR="00CC48E2" w:rsidRPr="008E60B5" w:rsidRDefault="00CC48E2" w:rsidP="00CC48E2">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8</w:t>
            </w:r>
          </w:p>
        </w:tc>
        <w:tc>
          <w:tcPr>
            <w:tcW w:w="1170" w:type="dxa"/>
            <w:tcBorders>
              <w:bottom w:val="single" w:sz="12" w:space="0" w:color="auto"/>
            </w:tcBorders>
            <w:shd w:val="clear" w:color="auto" w:fill="auto"/>
            <w:vAlign w:val="bottom"/>
          </w:tcPr>
          <w:p w14:paraId="2D77E029" w14:textId="2F1D1F6A" w:rsidR="00CC48E2" w:rsidRPr="008E60B5" w:rsidRDefault="00CC48E2" w:rsidP="00CC48E2">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1</w:t>
            </w:r>
            <w:r w:rsidR="00335D87">
              <w:rPr>
                <w:sz w:val="17"/>
                <w:lang w:val="fr-FR"/>
              </w:rPr>
              <w:t xml:space="preserve"> </w:t>
            </w:r>
            <w:r w:rsidRPr="008E60B5">
              <w:rPr>
                <w:sz w:val="17"/>
                <w:lang w:val="fr-FR"/>
              </w:rPr>
              <w:t>193</w:t>
            </w:r>
          </w:p>
        </w:tc>
        <w:tc>
          <w:tcPr>
            <w:tcW w:w="1202" w:type="dxa"/>
            <w:tcBorders>
              <w:bottom w:val="single" w:sz="12" w:space="0" w:color="auto"/>
            </w:tcBorders>
            <w:shd w:val="clear" w:color="auto" w:fill="auto"/>
            <w:vAlign w:val="bottom"/>
          </w:tcPr>
          <w:p w14:paraId="6ADF4C4D" w14:textId="77777777" w:rsidR="00CC48E2" w:rsidRPr="008E60B5" w:rsidRDefault="00CC48E2" w:rsidP="00CC48E2">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94</w:t>
            </w:r>
          </w:p>
        </w:tc>
      </w:tr>
    </w:tbl>
    <w:p w14:paraId="7D2B2337" w14:textId="77777777" w:rsidR="00CC48E2" w:rsidRPr="008E60B5" w:rsidRDefault="00CC48E2" w:rsidP="00CC48E2">
      <w:pPr>
        <w:pStyle w:val="SingleTxt"/>
        <w:spacing w:after="0" w:line="120" w:lineRule="exact"/>
        <w:rPr>
          <w:b/>
          <w:bCs/>
          <w:sz w:val="10"/>
          <w:lang w:val="fr-FR"/>
        </w:rPr>
      </w:pPr>
    </w:p>
    <w:p w14:paraId="0DCAECA3" w14:textId="77777777" w:rsidR="00CC48E2" w:rsidRPr="008E60B5" w:rsidRDefault="00CC48E2" w:rsidP="00CC48E2">
      <w:pPr>
        <w:pStyle w:val="SingleTxt"/>
        <w:spacing w:after="0" w:line="120" w:lineRule="exact"/>
        <w:rPr>
          <w:b/>
          <w:bCs/>
          <w:sz w:val="10"/>
          <w:lang w:val="fr-FR"/>
        </w:rPr>
      </w:pPr>
    </w:p>
    <w:p w14:paraId="690A4FBC" w14:textId="77777777" w:rsidR="00CC48E2" w:rsidRPr="008E60B5" w:rsidRDefault="00CC48E2" w:rsidP="00CC48E2">
      <w:pPr>
        <w:pStyle w:val="SingleTxt"/>
        <w:spacing w:after="0" w:line="120" w:lineRule="exact"/>
        <w:rPr>
          <w:b/>
          <w:bCs/>
          <w:sz w:val="10"/>
          <w:lang w:val="fr-FR"/>
        </w:rPr>
      </w:pPr>
    </w:p>
    <w:p w14:paraId="0AC0F962" w14:textId="44163172" w:rsidR="00CA0011" w:rsidRPr="008E60B5" w:rsidRDefault="00CC48E2" w:rsidP="00CC48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r>
      <w:r w:rsidR="00CA0011" w:rsidRPr="008E60B5">
        <w:rPr>
          <w:lang w:val="fr-FR"/>
        </w:rPr>
        <w:t>Personnes majeures reconnues coupables, en fonction de l</w:t>
      </w:r>
      <w:r w:rsidR="008E60B5" w:rsidRPr="008E60B5">
        <w:rPr>
          <w:lang w:val="fr-FR"/>
        </w:rPr>
        <w:t>’</w:t>
      </w:r>
      <w:r w:rsidR="00CA0011" w:rsidRPr="008E60B5">
        <w:rPr>
          <w:lang w:val="fr-FR"/>
        </w:rPr>
        <w:t xml:space="preserve">infraction pénale </w:t>
      </w:r>
      <w:r w:rsidR="00335D87">
        <w:rPr>
          <w:lang w:val="fr-FR"/>
        </w:rPr>
        <w:br/>
      </w:r>
      <w:r w:rsidR="00CA0011" w:rsidRPr="008E60B5">
        <w:rPr>
          <w:lang w:val="fr-FR"/>
        </w:rPr>
        <w:t xml:space="preserve">et des victimes </w:t>
      </w:r>
      <w:r w:rsidRPr="008E60B5">
        <w:rPr>
          <w:lang w:val="fr-FR"/>
        </w:rPr>
        <w:t>–</w:t>
      </w:r>
      <w:r w:rsidR="00CA0011" w:rsidRPr="008E60B5">
        <w:rPr>
          <w:lang w:val="fr-FR"/>
        </w:rPr>
        <w:t xml:space="preserve"> par sexe et âge, Bureau de statistique de la République de Serbie</w:t>
      </w:r>
    </w:p>
    <w:p w14:paraId="5C671EFE" w14:textId="512C3644" w:rsidR="00CC48E2" w:rsidRPr="008E60B5" w:rsidRDefault="00CC48E2" w:rsidP="00CC48E2">
      <w:pPr>
        <w:pStyle w:val="SingleTxt"/>
        <w:spacing w:after="0" w:line="120" w:lineRule="exact"/>
        <w:rPr>
          <w:sz w:val="10"/>
          <w:lang w:val="fr-FR"/>
        </w:rPr>
      </w:pPr>
    </w:p>
    <w:p w14:paraId="282AADE7" w14:textId="1A96D60C" w:rsidR="00CC48E2" w:rsidRPr="008E60B5" w:rsidRDefault="00CC48E2" w:rsidP="00CC48E2">
      <w:pPr>
        <w:pStyle w:val="SingleTxt"/>
        <w:spacing w:after="0" w:line="120" w:lineRule="exact"/>
        <w:rPr>
          <w:sz w:val="10"/>
          <w:lang w:val="fr-FR"/>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10"/>
        <w:gridCol w:w="1710"/>
        <w:gridCol w:w="800"/>
        <w:gridCol w:w="800"/>
        <w:gridCol w:w="800"/>
        <w:gridCol w:w="48"/>
        <w:gridCol w:w="752"/>
        <w:gridCol w:w="800"/>
        <w:gridCol w:w="800"/>
      </w:tblGrid>
      <w:tr w:rsidR="00883D51" w:rsidRPr="008E60B5" w14:paraId="5C7D9A6B" w14:textId="77777777" w:rsidTr="00883D51">
        <w:trPr>
          <w:cantSplit/>
          <w:tblHeader/>
        </w:trPr>
        <w:tc>
          <w:tcPr>
            <w:tcW w:w="810" w:type="dxa"/>
            <w:vMerge w:val="restart"/>
            <w:tcBorders>
              <w:top w:val="single" w:sz="4" w:space="0" w:color="auto"/>
            </w:tcBorders>
            <w:shd w:val="clear" w:color="auto" w:fill="auto"/>
            <w:vAlign w:val="bottom"/>
          </w:tcPr>
          <w:p w14:paraId="54987A74" w14:textId="397C72BC" w:rsidR="00883D51" w:rsidRPr="008E60B5" w:rsidRDefault="00883D51" w:rsidP="001D6A42">
            <w:pPr>
              <w:pStyle w:val="SingleTxt"/>
              <w:spacing w:before="81" w:after="81" w:line="160" w:lineRule="exact"/>
              <w:ind w:left="0" w:right="40"/>
              <w:jc w:val="left"/>
              <w:rPr>
                <w:i/>
                <w:sz w:val="14"/>
                <w:lang w:val="fr-FR"/>
              </w:rPr>
            </w:pPr>
            <w:r w:rsidRPr="008E60B5">
              <w:rPr>
                <w:i/>
                <w:sz w:val="14"/>
                <w:lang w:val="fr-FR"/>
              </w:rPr>
              <w:t>Article 194 Violence familiale</w:t>
            </w:r>
          </w:p>
        </w:tc>
        <w:tc>
          <w:tcPr>
            <w:tcW w:w="1710" w:type="dxa"/>
            <w:vMerge w:val="restart"/>
            <w:tcBorders>
              <w:top w:val="single" w:sz="4" w:space="0" w:color="auto"/>
            </w:tcBorders>
            <w:shd w:val="clear" w:color="auto" w:fill="auto"/>
            <w:vAlign w:val="bottom"/>
          </w:tcPr>
          <w:p w14:paraId="789E8D01" w14:textId="4D394EF4" w:rsidR="00883D51" w:rsidRPr="008E60B5" w:rsidRDefault="00883D51" w:rsidP="00883D51">
            <w:pPr>
              <w:pStyle w:val="SingleTxt"/>
              <w:spacing w:before="81" w:after="81" w:line="160" w:lineRule="exact"/>
              <w:ind w:left="0" w:right="0"/>
              <w:jc w:val="right"/>
              <w:rPr>
                <w:i/>
                <w:sz w:val="14"/>
                <w:lang w:val="fr-FR"/>
              </w:rPr>
            </w:pPr>
            <w:r w:rsidRPr="008E60B5">
              <w:rPr>
                <w:i/>
                <w:sz w:val="14"/>
                <w:lang w:val="fr-FR"/>
              </w:rPr>
              <w:t xml:space="preserve">Nombre total de personnes reconnues coupables </w:t>
            </w:r>
            <w:r w:rsidR="00335D87">
              <w:rPr>
                <w:i/>
                <w:sz w:val="14"/>
                <w:lang w:val="fr-FR"/>
              </w:rPr>
              <w:br/>
            </w:r>
            <w:r w:rsidRPr="008E60B5">
              <w:rPr>
                <w:i/>
                <w:sz w:val="14"/>
                <w:lang w:val="fr-FR"/>
              </w:rPr>
              <w:t xml:space="preserve">(sur la base des renseignements fournis </w:t>
            </w:r>
            <w:r w:rsidR="00335D87">
              <w:rPr>
                <w:i/>
                <w:sz w:val="14"/>
                <w:lang w:val="fr-FR"/>
              </w:rPr>
              <w:br/>
            </w:r>
            <w:r w:rsidRPr="008E60B5">
              <w:rPr>
                <w:i/>
                <w:sz w:val="14"/>
                <w:lang w:val="fr-FR"/>
              </w:rPr>
              <w:t>au sujet</w:t>
            </w:r>
            <w:r w:rsidR="00335D87">
              <w:rPr>
                <w:i/>
                <w:sz w:val="14"/>
                <w:lang w:val="fr-FR"/>
              </w:rPr>
              <w:t xml:space="preserve"> de </w:t>
            </w:r>
            <w:r w:rsidRPr="008E60B5">
              <w:rPr>
                <w:i/>
                <w:sz w:val="14"/>
                <w:lang w:val="fr-FR"/>
              </w:rPr>
              <w:t>la victime)</w:t>
            </w:r>
          </w:p>
        </w:tc>
        <w:tc>
          <w:tcPr>
            <w:tcW w:w="4800" w:type="dxa"/>
            <w:gridSpan w:val="7"/>
            <w:tcBorders>
              <w:top w:val="single" w:sz="4" w:space="0" w:color="auto"/>
              <w:bottom w:val="single" w:sz="4" w:space="0" w:color="auto"/>
            </w:tcBorders>
            <w:shd w:val="clear" w:color="auto" w:fill="auto"/>
            <w:vAlign w:val="bottom"/>
          </w:tcPr>
          <w:p w14:paraId="57F13B52" w14:textId="50D97880" w:rsidR="00883D51" w:rsidRPr="008E60B5" w:rsidRDefault="00883D51" w:rsidP="00883D51">
            <w:pPr>
              <w:pStyle w:val="SingleTxt"/>
              <w:spacing w:before="81" w:after="81" w:line="160" w:lineRule="exact"/>
              <w:ind w:left="144" w:right="43"/>
              <w:jc w:val="center"/>
              <w:rPr>
                <w:i/>
                <w:sz w:val="14"/>
                <w:lang w:val="fr-FR"/>
              </w:rPr>
            </w:pPr>
            <w:r w:rsidRPr="008E60B5">
              <w:rPr>
                <w:i/>
                <w:sz w:val="14"/>
                <w:lang w:val="fr-FR"/>
              </w:rPr>
              <w:t>Victimes d</w:t>
            </w:r>
            <w:r w:rsidR="008E60B5" w:rsidRPr="008E60B5">
              <w:rPr>
                <w:i/>
                <w:sz w:val="14"/>
                <w:lang w:val="fr-FR"/>
              </w:rPr>
              <w:t>’</w:t>
            </w:r>
            <w:r w:rsidRPr="008E60B5">
              <w:rPr>
                <w:i/>
                <w:sz w:val="14"/>
                <w:lang w:val="fr-FR"/>
              </w:rPr>
              <w:t>infractions</w:t>
            </w:r>
          </w:p>
        </w:tc>
      </w:tr>
      <w:tr w:rsidR="00883D51" w:rsidRPr="008E60B5" w14:paraId="58C92A75" w14:textId="77777777" w:rsidTr="00883D51">
        <w:trPr>
          <w:cantSplit/>
          <w:tblHeader/>
        </w:trPr>
        <w:tc>
          <w:tcPr>
            <w:tcW w:w="810" w:type="dxa"/>
            <w:vMerge/>
            <w:shd w:val="clear" w:color="auto" w:fill="auto"/>
            <w:vAlign w:val="bottom"/>
          </w:tcPr>
          <w:p w14:paraId="161E3F11" w14:textId="2FD5D5EB" w:rsidR="00883D51" w:rsidRPr="008E60B5" w:rsidRDefault="00883D51" w:rsidP="001D6A42">
            <w:pPr>
              <w:pStyle w:val="SingleTxt"/>
              <w:spacing w:before="81" w:after="81" w:line="160" w:lineRule="exact"/>
              <w:ind w:left="0" w:right="40"/>
              <w:jc w:val="left"/>
              <w:rPr>
                <w:i/>
                <w:sz w:val="14"/>
                <w:lang w:val="fr-FR"/>
              </w:rPr>
            </w:pPr>
          </w:p>
        </w:tc>
        <w:tc>
          <w:tcPr>
            <w:tcW w:w="1710" w:type="dxa"/>
            <w:vMerge/>
            <w:shd w:val="clear" w:color="auto" w:fill="auto"/>
            <w:vAlign w:val="bottom"/>
          </w:tcPr>
          <w:p w14:paraId="216629FF" w14:textId="6F281D58" w:rsidR="00883D51" w:rsidRPr="008E60B5" w:rsidRDefault="00883D51" w:rsidP="00883D51">
            <w:pPr>
              <w:pStyle w:val="SingleTxt"/>
              <w:spacing w:before="81" w:after="81" w:line="160" w:lineRule="exact"/>
              <w:ind w:left="0" w:right="0"/>
              <w:jc w:val="right"/>
              <w:rPr>
                <w:i/>
                <w:sz w:val="14"/>
                <w:lang w:val="fr-FR"/>
              </w:rPr>
            </w:pPr>
          </w:p>
        </w:tc>
        <w:tc>
          <w:tcPr>
            <w:tcW w:w="800" w:type="dxa"/>
            <w:vMerge w:val="restart"/>
            <w:tcBorders>
              <w:top w:val="single" w:sz="4" w:space="0" w:color="auto"/>
            </w:tcBorders>
            <w:shd w:val="clear" w:color="auto" w:fill="auto"/>
            <w:vAlign w:val="bottom"/>
          </w:tcPr>
          <w:p w14:paraId="6765E5AA" w14:textId="198B9B70" w:rsidR="00883D51" w:rsidRPr="008E60B5" w:rsidRDefault="00883D51" w:rsidP="00883D51">
            <w:pPr>
              <w:pStyle w:val="SingleTxt"/>
              <w:spacing w:before="81" w:after="81" w:line="160" w:lineRule="exact"/>
              <w:ind w:left="0" w:right="0"/>
              <w:jc w:val="right"/>
              <w:rPr>
                <w:i/>
                <w:sz w:val="14"/>
                <w:lang w:val="fr-FR"/>
              </w:rPr>
            </w:pPr>
            <w:r w:rsidRPr="008E60B5">
              <w:rPr>
                <w:i/>
                <w:sz w:val="14"/>
                <w:lang w:val="fr-FR"/>
              </w:rPr>
              <w:t>Total</w:t>
            </w:r>
          </w:p>
        </w:tc>
        <w:tc>
          <w:tcPr>
            <w:tcW w:w="1600" w:type="dxa"/>
            <w:gridSpan w:val="2"/>
            <w:tcBorders>
              <w:top w:val="single" w:sz="4" w:space="0" w:color="auto"/>
              <w:bottom w:val="single" w:sz="4" w:space="0" w:color="auto"/>
            </w:tcBorders>
            <w:shd w:val="clear" w:color="auto" w:fill="auto"/>
            <w:vAlign w:val="bottom"/>
          </w:tcPr>
          <w:p w14:paraId="6F1A14BB" w14:textId="7BED546E" w:rsidR="00883D51" w:rsidRPr="008E60B5" w:rsidRDefault="00883D51" w:rsidP="001D6A42">
            <w:pPr>
              <w:pStyle w:val="SingleTxt"/>
              <w:spacing w:before="81" w:after="81" w:line="160" w:lineRule="exact"/>
              <w:ind w:left="144" w:right="43"/>
              <w:jc w:val="center"/>
              <w:rPr>
                <w:i/>
                <w:sz w:val="14"/>
                <w:lang w:val="fr-FR"/>
              </w:rPr>
            </w:pPr>
            <w:r w:rsidRPr="008E60B5">
              <w:rPr>
                <w:i/>
                <w:sz w:val="14"/>
                <w:lang w:val="fr-FR"/>
              </w:rPr>
              <w:t>Sexe</w:t>
            </w:r>
          </w:p>
        </w:tc>
        <w:tc>
          <w:tcPr>
            <w:tcW w:w="48" w:type="dxa"/>
            <w:tcBorders>
              <w:top w:val="single" w:sz="4" w:space="0" w:color="auto"/>
            </w:tcBorders>
            <w:shd w:val="clear" w:color="auto" w:fill="auto"/>
            <w:vAlign w:val="bottom"/>
          </w:tcPr>
          <w:p w14:paraId="539D2EB9" w14:textId="5546C3E0" w:rsidR="00883D51" w:rsidRPr="008E60B5" w:rsidRDefault="00883D51" w:rsidP="00140E58">
            <w:pPr>
              <w:pStyle w:val="SingleTxt"/>
              <w:spacing w:before="81" w:after="81" w:line="160" w:lineRule="exact"/>
              <w:ind w:left="144" w:right="43"/>
              <w:jc w:val="right"/>
              <w:rPr>
                <w:i/>
                <w:sz w:val="14"/>
                <w:lang w:val="fr-FR"/>
              </w:rPr>
            </w:pPr>
          </w:p>
        </w:tc>
        <w:tc>
          <w:tcPr>
            <w:tcW w:w="2352" w:type="dxa"/>
            <w:gridSpan w:val="3"/>
            <w:tcBorders>
              <w:top w:val="single" w:sz="4" w:space="0" w:color="auto"/>
              <w:bottom w:val="single" w:sz="4" w:space="0" w:color="auto"/>
            </w:tcBorders>
            <w:shd w:val="clear" w:color="auto" w:fill="auto"/>
            <w:vAlign w:val="bottom"/>
          </w:tcPr>
          <w:p w14:paraId="1DAB8990" w14:textId="16D54271" w:rsidR="00883D51" w:rsidRPr="008E60B5" w:rsidRDefault="00883D51" w:rsidP="00883D51">
            <w:pPr>
              <w:pStyle w:val="SingleTxt"/>
              <w:spacing w:before="81" w:after="81" w:line="160" w:lineRule="exact"/>
              <w:ind w:left="144" w:right="43"/>
              <w:jc w:val="center"/>
              <w:rPr>
                <w:i/>
                <w:sz w:val="14"/>
                <w:lang w:val="fr-FR"/>
              </w:rPr>
            </w:pPr>
            <w:r w:rsidRPr="008E60B5">
              <w:rPr>
                <w:i/>
                <w:sz w:val="14"/>
                <w:lang w:val="fr-FR"/>
              </w:rPr>
              <w:t>Âge</w:t>
            </w:r>
          </w:p>
        </w:tc>
      </w:tr>
      <w:tr w:rsidR="00883D51" w:rsidRPr="008E60B5" w14:paraId="632E93AB" w14:textId="77777777" w:rsidTr="00883D51">
        <w:trPr>
          <w:cantSplit/>
          <w:tblHeader/>
        </w:trPr>
        <w:tc>
          <w:tcPr>
            <w:tcW w:w="810" w:type="dxa"/>
            <w:vMerge/>
            <w:tcBorders>
              <w:bottom w:val="single" w:sz="12" w:space="0" w:color="auto"/>
            </w:tcBorders>
            <w:shd w:val="clear" w:color="auto" w:fill="auto"/>
            <w:vAlign w:val="bottom"/>
          </w:tcPr>
          <w:p w14:paraId="12FD6DA7" w14:textId="7E72E73A" w:rsidR="00883D51" w:rsidRPr="008E60B5" w:rsidRDefault="00883D51" w:rsidP="001D6A42">
            <w:pPr>
              <w:pStyle w:val="SingleTxt"/>
              <w:spacing w:before="81" w:after="81" w:line="160" w:lineRule="exact"/>
              <w:ind w:left="0" w:right="40"/>
              <w:jc w:val="left"/>
              <w:rPr>
                <w:i/>
                <w:sz w:val="14"/>
                <w:lang w:val="fr-FR"/>
              </w:rPr>
            </w:pPr>
          </w:p>
        </w:tc>
        <w:tc>
          <w:tcPr>
            <w:tcW w:w="1710" w:type="dxa"/>
            <w:vMerge/>
            <w:tcBorders>
              <w:bottom w:val="single" w:sz="12" w:space="0" w:color="auto"/>
            </w:tcBorders>
            <w:shd w:val="clear" w:color="auto" w:fill="auto"/>
            <w:vAlign w:val="bottom"/>
          </w:tcPr>
          <w:p w14:paraId="1F64492E" w14:textId="1BB2A571" w:rsidR="00883D51" w:rsidRPr="008E60B5" w:rsidRDefault="00883D51" w:rsidP="00883D51">
            <w:pPr>
              <w:pStyle w:val="SingleTxt"/>
              <w:spacing w:before="81" w:after="81" w:line="160" w:lineRule="exact"/>
              <w:ind w:left="0" w:right="0"/>
              <w:jc w:val="right"/>
              <w:rPr>
                <w:i/>
                <w:sz w:val="14"/>
                <w:lang w:val="fr-FR"/>
              </w:rPr>
            </w:pPr>
          </w:p>
        </w:tc>
        <w:tc>
          <w:tcPr>
            <w:tcW w:w="800" w:type="dxa"/>
            <w:vMerge/>
            <w:tcBorders>
              <w:bottom w:val="single" w:sz="12" w:space="0" w:color="auto"/>
            </w:tcBorders>
            <w:shd w:val="clear" w:color="auto" w:fill="auto"/>
            <w:vAlign w:val="bottom"/>
          </w:tcPr>
          <w:p w14:paraId="65583550" w14:textId="55B19AC7" w:rsidR="00883D51" w:rsidRPr="008E60B5" w:rsidRDefault="00883D51" w:rsidP="00883D51">
            <w:pPr>
              <w:pStyle w:val="SingleTxt"/>
              <w:spacing w:before="81" w:after="81" w:line="160" w:lineRule="exact"/>
              <w:ind w:left="0" w:right="0"/>
              <w:jc w:val="right"/>
              <w:rPr>
                <w:i/>
                <w:sz w:val="14"/>
                <w:lang w:val="fr-FR"/>
              </w:rPr>
            </w:pPr>
          </w:p>
        </w:tc>
        <w:tc>
          <w:tcPr>
            <w:tcW w:w="800" w:type="dxa"/>
            <w:tcBorders>
              <w:bottom w:val="single" w:sz="12" w:space="0" w:color="auto"/>
            </w:tcBorders>
            <w:shd w:val="clear" w:color="auto" w:fill="auto"/>
            <w:vAlign w:val="bottom"/>
          </w:tcPr>
          <w:p w14:paraId="04022278" w14:textId="04641A08" w:rsidR="00883D51" w:rsidRPr="008E60B5" w:rsidRDefault="00883D51" w:rsidP="00883D51">
            <w:pPr>
              <w:pStyle w:val="SingleTxt"/>
              <w:spacing w:before="81" w:after="81" w:line="160" w:lineRule="exact"/>
              <w:ind w:left="0" w:right="0"/>
              <w:jc w:val="right"/>
              <w:rPr>
                <w:i/>
                <w:sz w:val="14"/>
                <w:lang w:val="fr-FR"/>
              </w:rPr>
            </w:pPr>
            <w:r w:rsidRPr="008E60B5">
              <w:rPr>
                <w:i/>
                <w:sz w:val="14"/>
                <w:lang w:val="fr-FR"/>
              </w:rPr>
              <w:t>Hommes</w:t>
            </w:r>
          </w:p>
        </w:tc>
        <w:tc>
          <w:tcPr>
            <w:tcW w:w="800" w:type="dxa"/>
            <w:tcBorders>
              <w:bottom w:val="single" w:sz="12" w:space="0" w:color="auto"/>
            </w:tcBorders>
            <w:shd w:val="clear" w:color="auto" w:fill="auto"/>
            <w:vAlign w:val="bottom"/>
          </w:tcPr>
          <w:p w14:paraId="60F1185A" w14:textId="0F4760ED" w:rsidR="00883D51" w:rsidRPr="008E60B5" w:rsidRDefault="00883D51" w:rsidP="00883D51">
            <w:pPr>
              <w:pStyle w:val="SingleTxt"/>
              <w:spacing w:before="81" w:after="81" w:line="160" w:lineRule="exact"/>
              <w:ind w:left="0" w:right="0"/>
              <w:jc w:val="right"/>
              <w:rPr>
                <w:i/>
                <w:sz w:val="14"/>
                <w:lang w:val="fr-FR"/>
              </w:rPr>
            </w:pPr>
            <w:r w:rsidRPr="008E60B5">
              <w:rPr>
                <w:i/>
                <w:sz w:val="14"/>
                <w:lang w:val="fr-FR"/>
              </w:rPr>
              <w:t>Femmes</w:t>
            </w:r>
          </w:p>
        </w:tc>
        <w:tc>
          <w:tcPr>
            <w:tcW w:w="800" w:type="dxa"/>
            <w:gridSpan w:val="2"/>
            <w:tcBorders>
              <w:bottom w:val="single" w:sz="12" w:space="0" w:color="auto"/>
            </w:tcBorders>
            <w:shd w:val="clear" w:color="auto" w:fill="auto"/>
            <w:vAlign w:val="bottom"/>
          </w:tcPr>
          <w:p w14:paraId="1C402ED5" w14:textId="6EB417B1" w:rsidR="00883D51" w:rsidRPr="008E60B5" w:rsidRDefault="00883D51" w:rsidP="00883D51">
            <w:pPr>
              <w:pStyle w:val="SingleTxt"/>
              <w:spacing w:before="81" w:after="81" w:line="160" w:lineRule="exact"/>
              <w:ind w:left="0" w:right="0"/>
              <w:jc w:val="right"/>
              <w:rPr>
                <w:i/>
                <w:sz w:val="14"/>
                <w:lang w:val="fr-FR"/>
              </w:rPr>
            </w:pPr>
            <w:r w:rsidRPr="008E60B5">
              <w:rPr>
                <w:i/>
                <w:sz w:val="14"/>
                <w:lang w:val="fr-FR"/>
              </w:rPr>
              <w:t>Moins de 14 ans</w:t>
            </w:r>
          </w:p>
        </w:tc>
        <w:tc>
          <w:tcPr>
            <w:tcW w:w="800" w:type="dxa"/>
            <w:tcBorders>
              <w:bottom w:val="single" w:sz="12" w:space="0" w:color="auto"/>
            </w:tcBorders>
            <w:shd w:val="clear" w:color="auto" w:fill="auto"/>
            <w:vAlign w:val="bottom"/>
          </w:tcPr>
          <w:p w14:paraId="655157B3" w14:textId="692CE1C7" w:rsidR="00883D51" w:rsidRPr="008E60B5" w:rsidRDefault="00883D51" w:rsidP="00883D51">
            <w:pPr>
              <w:pStyle w:val="SingleTxt"/>
              <w:spacing w:before="81" w:after="81" w:line="160" w:lineRule="exact"/>
              <w:ind w:left="0" w:right="0"/>
              <w:jc w:val="right"/>
              <w:rPr>
                <w:i/>
                <w:sz w:val="14"/>
                <w:lang w:val="fr-FR"/>
              </w:rPr>
            </w:pPr>
            <w:r w:rsidRPr="008E60B5">
              <w:rPr>
                <w:i/>
                <w:sz w:val="14"/>
                <w:lang w:val="fr-FR"/>
              </w:rPr>
              <w:t>De 14 à 18 ans</w:t>
            </w:r>
          </w:p>
        </w:tc>
        <w:tc>
          <w:tcPr>
            <w:tcW w:w="800" w:type="dxa"/>
            <w:tcBorders>
              <w:bottom w:val="single" w:sz="12" w:space="0" w:color="auto"/>
            </w:tcBorders>
            <w:shd w:val="clear" w:color="auto" w:fill="auto"/>
            <w:vAlign w:val="bottom"/>
          </w:tcPr>
          <w:p w14:paraId="7C9E6250" w14:textId="6B93F21F" w:rsidR="00883D51" w:rsidRPr="008E60B5" w:rsidRDefault="00883D51" w:rsidP="00883D51">
            <w:pPr>
              <w:pStyle w:val="SingleTxt"/>
              <w:spacing w:before="81" w:after="81" w:line="160" w:lineRule="exact"/>
              <w:ind w:left="0" w:right="0"/>
              <w:jc w:val="right"/>
              <w:rPr>
                <w:i/>
                <w:sz w:val="14"/>
                <w:lang w:val="fr-FR"/>
              </w:rPr>
            </w:pPr>
            <w:r w:rsidRPr="008E60B5">
              <w:rPr>
                <w:i/>
                <w:sz w:val="14"/>
                <w:lang w:val="fr-FR"/>
              </w:rPr>
              <w:t>18 ans ou plus</w:t>
            </w:r>
          </w:p>
        </w:tc>
      </w:tr>
      <w:tr w:rsidR="00140E58" w:rsidRPr="008E60B5" w14:paraId="6D8A3BFB" w14:textId="77777777" w:rsidTr="00883D51">
        <w:trPr>
          <w:cantSplit/>
          <w:trHeight w:hRule="exact" w:val="115"/>
          <w:tblHeader/>
        </w:trPr>
        <w:tc>
          <w:tcPr>
            <w:tcW w:w="810" w:type="dxa"/>
            <w:tcBorders>
              <w:top w:val="single" w:sz="12" w:space="0" w:color="auto"/>
            </w:tcBorders>
            <w:shd w:val="clear" w:color="auto" w:fill="auto"/>
            <w:vAlign w:val="bottom"/>
          </w:tcPr>
          <w:p w14:paraId="5BDEE868" w14:textId="77777777" w:rsidR="00140E58" w:rsidRPr="008E60B5" w:rsidRDefault="00140E58" w:rsidP="00140E58">
            <w:pPr>
              <w:pStyle w:val="SingleTxt"/>
              <w:spacing w:before="40" w:after="40" w:line="210" w:lineRule="exact"/>
              <w:ind w:left="0" w:right="40"/>
              <w:rPr>
                <w:sz w:val="17"/>
                <w:lang w:val="fr-FR"/>
              </w:rPr>
            </w:pPr>
          </w:p>
        </w:tc>
        <w:tc>
          <w:tcPr>
            <w:tcW w:w="1710" w:type="dxa"/>
            <w:tcBorders>
              <w:top w:val="single" w:sz="12" w:space="0" w:color="auto"/>
            </w:tcBorders>
            <w:shd w:val="clear" w:color="auto" w:fill="auto"/>
            <w:vAlign w:val="bottom"/>
          </w:tcPr>
          <w:p w14:paraId="1186D4B2" w14:textId="77777777" w:rsidR="00140E58" w:rsidRPr="008E60B5" w:rsidRDefault="00140E58" w:rsidP="00140E58">
            <w:pPr>
              <w:pStyle w:val="SingleTxt"/>
              <w:spacing w:before="40" w:after="40" w:line="210" w:lineRule="exact"/>
              <w:ind w:left="144" w:right="43"/>
              <w:jc w:val="right"/>
              <w:rPr>
                <w:sz w:val="17"/>
                <w:lang w:val="fr-FR"/>
              </w:rPr>
            </w:pPr>
          </w:p>
        </w:tc>
        <w:tc>
          <w:tcPr>
            <w:tcW w:w="800" w:type="dxa"/>
            <w:tcBorders>
              <w:top w:val="single" w:sz="12" w:space="0" w:color="auto"/>
            </w:tcBorders>
            <w:shd w:val="clear" w:color="auto" w:fill="auto"/>
            <w:vAlign w:val="bottom"/>
          </w:tcPr>
          <w:p w14:paraId="7C9A6E40" w14:textId="77777777" w:rsidR="00140E58" w:rsidRPr="008E60B5" w:rsidRDefault="00140E58" w:rsidP="00140E58">
            <w:pPr>
              <w:pStyle w:val="SingleTxt"/>
              <w:spacing w:before="40" w:after="40" w:line="210" w:lineRule="exact"/>
              <w:ind w:left="144" w:right="43"/>
              <w:jc w:val="right"/>
              <w:rPr>
                <w:sz w:val="17"/>
                <w:lang w:val="fr-FR"/>
              </w:rPr>
            </w:pPr>
          </w:p>
        </w:tc>
        <w:tc>
          <w:tcPr>
            <w:tcW w:w="800" w:type="dxa"/>
            <w:tcBorders>
              <w:top w:val="single" w:sz="12" w:space="0" w:color="auto"/>
            </w:tcBorders>
            <w:shd w:val="clear" w:color="auto" w:fill="auto"/>
            <w:vAlign w:val="bottom"/>
          </w:tcPr>
          <w:p w14:paraId="4B84994A" w14:textId="77777777" w:rsidR="00140E58" w:rsidRPr="008E60B5" w:rsidRDefault="00140E58" w:rsidP="00140E58">
            <w:pPr>
              <w:pStyle w:val="SingleTxt"/>
              <w:spacing w:before="40" w:after="40" w:line="210" w:lineRule="exact"/>
              <w:ind w:left="144" w:right="43"/>
              <w:jc w:val="right"/>
              <w:rPr>
                <w:sz w:val="17"/>
                <w:lang w:val="fr-FR"/>
              </w:rPr>
            </w:pPr>
          </w:p>
        </w:tc>
        <w:tc>
          <w:tcPr>
            <w:tcW w:w="800" w:type="dxa"/>
            <w:tcBorders>
              <w:top w:val="single" w:sz="12" w:space="0" w:color="auto"/>
            </w:tcBorders>
            <w:shd w:val="clear" w:color="auto" w:fill="auto"/>
            <w:vAlign w:val="bottom"/>
          </w:tcPr>
          <w:p w14:paraId="38F99874" w14:textId="77777777" w:rsidR="00140E58" w:rsidRPr="008E60B5" w:rsidRDefault="00140E58" w:rsidP="00140E58">
            <w:pPr>
              <w:pStyle w:val="SingleTxt"/>
              <w:spacing w:before="40" w:after="40" w:line="210" w:lineRule="exact"/>
              <w:ind w:left="144" w:right="43"/>
              <w:jc w:val="right"/>
              <w:rPr>
                <w:sz w:val="17"/>
                <w:lang w:val="fr-FR"/>
              </w:rPr>
            </w:pPr>
          </w:p>
        </w:tc>
        <w:tc>
          <w:tcPr>
            <w:tcW w:w="800" w:type="dxa"/>
            <w:gridSpan w:val="2"/>
            <w:tcBorders>
              <w:top w:val="single" w:sz="12" w:space="0" w:color="auto"/>
            </w:tcBorders>
            <w:shd w:val="clear" w:color="auto" w:fill="auto"/>
            <w:vAlign w:val="bottom"/>
          </w:tcPr>
          <w:p w14:paraId="5A5A7B8C" w14:textId="77777777" w:rsidR="00140E58" w:rsidRPr="008E60B5" w:rsidRDefault="00140E58" w:rsidP="00140E58">
            <w:pPr>
              <w:pStyle w:val="SingleTxt"/>
              <w:spacing w:before="40" w:after="40" w:line="210" w:lineRule="exact"/>
              <w:ind w:left="144" w:right="43"/>
              <w:jc w:val="right"/>
              <w:rPr>
                <w:sz w:val="17"/>
                <w:lang w:val="fr-FR"/>
              </w:rPr>
            </w:pPr>
          </w:p>
        </w:tc>
        <w:tc>
          <w:tcPr>
            <w:tcW w:w="800" w:type="dxa"/>
            <w:tcBorders>
              <w:top w:val="single" w:sz="12" w:space="0" w:color="auto"/>
            </w:tcBorders>
            <w:shd w:val="clear" w:color="auto" w:fill="auto"/>
            <w:vAlign w:val="bottom"/>
          </w:tcPr>
          <w:p w14:paraId="5C4288CB" w14:textId="77777777" w:rsidR="00140E58" w:rsidRPr="008E60B5" w:rsidRDefault="00140E58" w:rsidP="00140E58">
            <w:pPr>
              <w:pStyle w:val="SingleTxt"/>
              <w:spacing w:before="40" w:after="40" w:line="210" w:lineRule="exact"/>
              <w:ind w:left="144" w:right="43"/>
              <w:jc w:val="right"/>
              <w:rPr>
                <w:sz w:val="17"/>
                <w:lang w:val="fr-FR"/>
              </w:rPr>
            </w:pPr>
          </w:p>
        </w:tc>
        <w:tc>
          <w:tcPr>
            <w:tcW w:w="800" w:type="dxa"/>
            <w:tcBorders>
              <w:top w:val="single" w:sz="12" w:space="0" w:color="auto"/>
            </w:tcBorders>
            <w:shd w:val="clear" w:color="auto" w:fill="auto"/>
            <w:vAlign w:val="bottom"/>
          </w:tcPr>
          <w:p w14:paraId="7F86B2E7" w14:textId="77777777" w:rsidR="00140E58" w:rsidRPr="008E60B5" w:rsidRDefault="00140E58" w:rsidP="00140E58">
            <w:pPr>
              <w:pStyle w:val="SingleTxt"/>
              <w:spacing w:before="40" w:after="40" w:line="210" w:lineRule="exact"/>
              <w:ind w:left="144" w:right="43"/>
              <w:jc w:val="right"/>
              <w:rPr>
                <w:sz w:val="17"/>
                <w:lang w:val="fr-FR"/>
              </w:rPr>
            </w:pPr>
          </w:p>
        </w:tc>
      </w:tr>
      <w:tr w:rsidR="00883D51" w:rsidRPr="008E60B5" w14:paraId="2F407F79" w14:textId="77777777" w:rsidTr="00883D51">
        <w:trPr>
          <w:cantSplit/>
        </w:trPr>
        <w:tc>
          <w:tcPr>
            <w:tcW w:w="810" w:type="dxa"/>
            <w:shd w:val="clear" w:color="auto" w:fill="auto"/>
            <w:vAlign w:val="bottom"/>
          </w:tcPr>
          <w:p w14:paraId="10CB5DE8" w14:textId="68176A38" w:rsidR="00140E58" w:rsidRPr="008E60B5" w:rsidRDefault="00140E58" w:rsidP="00140E58">
            <w:pPr>
              <w:pStyle w:val="SingleTxt"/>
              <w:tabs>
                <w:tab w:val="left" w:pos="288"/>
                <w:tab w:val="left" w:pos="576"/>
                <w:tab w:val="left" w:pos="864"/>
                <w:tab w:val="left" w:pos="1152"/>
              </w:tabs>
              <w:spacing w:before="40" w:after="40" w:line="210" w:lineRule="exact"/>
              <w:ind w:left="0" w:right="40"/>
              <w:rPr>
                <w:sz w:val="17"/>
                <w:lang w:val="fr-FR"/>
              </w:rPr>
            </w:pPr>
            <w:r w:rsidRPr="008E60B5">
              <w:rPr>
                <w:sz w:val="17"/>
                <w:lang w:val="fr-FR"/>
              </w:rPr>
              <w:t>2013</w:t>
            </w:r>
          </w:p>
        </w:tc>
        <w:tc>
          <w:tcPr>
            <w:tcW w:w="1710" w:type="dxa"/>
            <w:shd w:val="clear" w:color="auto" w:fill="auto"/>
            <w:vAlign w:val="bottom"/>
          </w:tcPr>
          <w:p w14:paraId="64DE5848" w14:textId="7E363ECF" w:rsidR="00140E58" w:rsidRPr="008E60B5" w:rsidRDefault="00140E58" w:rsidP="00140E58">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1</w:t>
            </w:r>
            <w:r w:rsidR="00335D87">
              <w:rPr>
                <w:sz w:val="17"/>
                <w:lang w:val="fr-FR"/>
              </w:rPr>
              <w:t xml:space="preserve"> </w:t>
            </w:r>
            <w:r w:rsidRPr="008E60B5">
              <w:rPr>
                <w:sz w:val="17"/>
                <w:lang w:val="fr-FR"/>
              </w:rPr>
              <w:t>272</w:t>
            </w:r>
          </w:p>
        </w:tc>
        <w:tc>
          <w:tcPr>
            <w:tcW w:w="800" w:type="dxa"/>
            <w:shd w:val="clear" w:color="auto" w:fill="auto"/>
            <w:vAlign w:val="bottom"/>
          </w:tcPr>
          <w:p w14:paraId="40EDBB8A" w14:textId="26D61EAF" w:rsidR="00140E58" w:rsidRPr="008E60B5" w:rsidRDefault="00140E58" w:rsidP="00140E58">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1</w:t>
            </w:r>
            <w:r w:rsidR="00335D87">
              <w:rPr>
                <w:sz w:val="17"/>
                <w:lang w:val="fr-FR"/>
              </w:rPr>
              <w:t xml:space="preserve"> </w:t>
            </w:r>
            <w:r w:rsidRPr="008E60B5">
              <w:rPr>
                <w:sz w:val="17"/>
                <w:lang w:val="fr-FR"/>
              </w:rPr>
              <w:t>535</w:t>
            </w:r>
          </w:p>
        </w:tc>
        <w:tc>
          <w:tcPr>
            <w:tcW w:w="800" w:type="dxa"/>
            <w:shd w:val="clear" w:color="auto" w:fill="auto"/>
            <w:vAlign w:val="bottom"/>
          </w:tcPr>
          <w:p w14:paraId="7B4080DC" w14:textId="77777777" w:rsidR="00140E58" w:rsidRPr="008E60B5" w:rsidRDefault="00140E58" w:rsidP="00140E58">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338</w:t>
            </w:r>
          </w:p>
        </w:tc>
        <w:tc>
          <w:tcPr>
            <w:tcW w:w="800" w:type="dxa"/>
            <w:shd w:val="clear" w:color="auto" w:fill="auto"/>
            <w:vAlign w:val="bottom"/>
          </w:tcPr>
          <w:p w14:paraId="749C6F0E" w14:textId="28FB8289" w:rsidR="00140E58" w:rsidRPr="008E60B5" w:rsidRDefault="00140E58" w:rsidP="00140E58">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1</w:t>
            </w:r>
            <w:r w:rsidR="00335D87">
              <w:rPr>
                <w:sz w:val="17"/>
                <w:lang w:val="fr-FR"/>
              </w:rPr>
              <w:t xml:space="preserve"> </w:t>
            </w:r>
            <w:r w:rsidRPr="008E60B5">
              <w:rPr>
                <w:sz w:val="17"/>
                <w:lang w:val="fr-FR"/>
              </w:rPr>
              <w:t>197</w:t>
            </w:r>
          </w:p>
        </w:tc>
        <w:tc>
          <w:tcPr>
            <w:tcW w:w="800" w:type="dxa"/>
            <w:gridSpan w:val="2"/>
            <w:shd w:val="clear" w:color="auto" w:fill="auto"/>
            <w:vAlign w:val="bottom"/>
          </w:tcPr>
          <w:p w14:paraId="305D6519" w14:textId="77777777" w:rsidR="00140E58" w:rsidRPr="008E60B5" w:rsidRDefault="00140E58" w:rsidP="00140E58">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81</w:t>
            </w:r>
          </w:p>
        </w:tc>
        <w:tc>
          <w:tcPr>
            <w:tcW w:w="800" w:type="dxa"/>
            <w:shd w:val="clear" w:color="auto" w:fill="auto"/>
            <w:vAlign w:val="bottom"/>
          </w:tcPr>
          <w:p w14:paraId="09FC310C" w14:textId="77777777" w:rsidR="00140E58" w:rsidRPr="008E60B5" w:rsidRDefault="00140E58" w:rsidP="00140E58">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71</w:t>
            </w:r>
          </w:p>
        </w:tc>
        <w:tc>
          <w:tcPr>
            <w:tcW w:w="800" w:type="dxa"/>
            <w:shd w:val="clear" w:color="auto" w:fill="auto"/>
            <w:vAlign w:val="bottom"/>
          </w:tcPr>
          <w:p w14:paraId="2AF25F58" w14:textId="465C509C" w:rsidR="00140E58" w:rsidRPr="008E60B5" w:rsidRDefault="00140E58" w:rsidP="00140E58">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1</w:t>
            </w:r>
            <w:r w:rsidR="00335D87">
              <w:rPr>
                <w:sz w:val="17"/>
                <w:lang w:val="fr-FR"/>
              </w:rPr>
              <w:t xml:space="preserve"> </w:t>
            </w:r>
            <w:r w:rsidRPr="008E60B5">
              <w:rPr>
                <w:sz w:val="17"/>
                <w:lang w:val="fr-FR"/>
              </w:rPr>
              <w:t>383</w:t>
            </w:r>
          </w:p>
        </w:tc>
      </w:tr>
      <w:tr w:rsidR="00140E58" w:rsidRPr="008E60B5" w14:paraId="52D53B05" w14:textId="77777777" w:rsidTr="00883D51">
        <w:trPr>
          <w:cantSplit/>
        </w:trPr>
        <w:tc>
          <w:tcPr>
            <w:tcW w:w="810" w:type="dxa"/>
            <w:shd w:val="clear" w:color="auto" w:fill="auto"/>
            <w:vAlign w:val="bottom"/>
          </w:tcPr>
          <w:p w14:paraId="586709E4" w14:textId="77777777" w:rsidR="00140E58" w:rsidRPr="008E60B5" w:rsidRDefault="00140E58" w:rsidP="00140E58">
            <w:pPr>
              <w:pStyle w:val="SingleTxt"/>
              <w:tabs>
                <w:tab w:val="left" w:pos="288"/>
                <w:tab w:val="left" w:pos="576"/>
                <w:tab w:val="left" w:pos="864"/>
                <w:tab w:val="left" w:pos="1152"/>
              </w:tabs>
              <w:spacing w:before="40" w:after="40" w:line="210" w:lineRule="exact"/>
              <w:ind w:left="0" w:right="40"/>
              <w:rPr>
                <w:sz w:val="17"/>
                <w:lang w:val="fr-FR"/>
              </w:rPr>
            </w:pPr>
            <w:r w:rsidRPr="008E60B5">
              <w:rPr>
                <w:sz w:val="17"/>
                <w:lang w:val="fr-FR"/>
              </w:rPr>
              <w:t>2014</w:t>
            </w:r>
          </w:p>
        </w:tc>
        <w:tc>
          <w:tcPr>
            <w:tcW w:w="1710" w:type="dxa"/>
            <w:shd w:val="clear" w:color="auto" w:fill="auto"/>
            <w:vAlign w:val="bottom"/>
          </w:tcPr>
          <w:p w14:paraId="03F34DDE" w14:textId="6577A4AF" w:rsidR="00140E58" w:rsidRPr="008E60B5" w:rsidRDefault="00140E58" w:rsidP="00140E58">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1</w:t>
            </w:r>
            <w:r w:rsidR="00335D87">
              <w:rPr>
                <w:sz w:val="17"/>
                <w:lang w:val="fr-FR"/>
              </w:rPr>
              <w:t xml:space="preserve"> </w:t>
            </w:r>
            <w:r w:rsidRPr="008E60B5">
              <w:rPr>
                <w:sz w:val="17"/>
                <w:lang w:val="fr-FR"/>
              </w:rPr>
              <w:t>396</w:t>
            </w:r>
          </w:p>
        </w:tc>
        <w:tc>
          <w:tcPr>
            <w:tcW w:w="800" w:type="dxa"/>
            <w:shd w:val="clear" w:color="auto" w:fill="auto"/>
            <w:vAlign w:val="bottom"/>
          </w:tcPr>
          <w:p w14:paraId="27FEEF8D" w14:textId="01E6BD49" w:rsidR="00140E58" w:rsidRPr="008E60B5" w:rsidRDefault="00140E58" w:rsidP="00140E58">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1</w:t>
            </w:r>
            <w:r w:rsidR="00335D87">
              <w:rPr>
                <w:sz w:val="17"/>
                <w:lang w:val="fr-FR"/>
              </w:rPr>
              <w:t xml:space="preserve"> </w:t>
            </w:r>
            <w:r w:rsidRPr="008E60B5">
              <w:rPr>
                <w:sz w:val="17"/>
                <w:lang w:val="fr-FR"/>
              </w:rPr>
              <w:t>697</w:t>
            </w:r>
          </w:p>
        </w:tc>
        <w:tc>
          <w:tcPr>
            <w:tcW w:w="800" w:type="dxa"/>
            <w:shd w:val="clear" w:color="auto" w:fill="auto"/>
            <w:vAlign w:val="bottom"/>
          </w:tcPr>
          <w:p w14:paraId="7A38CD02" w14:textId="77777777" w:rsidR="00140E58" w:rsidRPr="008E60B5" w:rsidRDefault="00140E58" w:rsidP="00140E58">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378</w:t>
            </w:r>
          </w:p>
        </w:tc>
        <w:tc>
          <w:tcPr>
            <w:tcW w:w="800" w:type="dxa"/>
            <w:shd w:val="clear" w:color="auto" w:fill="auto"/>
            <w:vAlign w:val="bottom"/>
          </w:tcPr>
          <w:p w14:paraId="701DCF4B" w14:textId="360452DD" w:rsidR="00140E58" w:rsidRPr="008E60B5" w:rsidRDefault="00140E58" w:rsidP="00140E58">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1</w:t>
            </w:r>
            <w:r w:rsidR="00335D87">
              <w:rPr>
                <w:sz w:val="17"/>
                <w:lang w:val="fr-FR"/>
              </w:rPr>
              <w:t xml:space="preserve"> </w:t>
            </w:r>
            <w:r w:rsidRPr="008E60B5">
              <w:rPr>
                <w:sz w:val="17"/>
                <w:lang w:val="fr-FR"/>
              </w:rPr>
              <w:t>319</w:t>
            </w:r>
          </w:p>
        </w:tc>
        <w:tc>
          <w:tcPr>
            <w:tcW w:w="800" w:type="dxa"/>
            <w:gridSpan w:val="2"/>
            <w:shd w:val="clear" w:color="auto" w:fill="auto"/>
            <w:vAlign w:val="bottom"/>
          </w:tcPr>
          <w:p w14:paraId="42A65CF8" w14:textId="77777777" w:rsidR="00140E58" w:rsidRPr="008E60B5" w:rsidRDefault="00140E58" w:rsidP="00140E58">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60</w:t>
            </w:r>
          </w:p>
        </w:tc>
        <w:tc>
          <w:tcPr>
            <w:tcW w:w="800" w:type="dxa"/>
            <w:shd w:val="clear" w:color="auto" w:fill="auto"/>
            <w:vAlign w:val="bottom"/>
          </w:tcPr>
          <w:p w14:paraId="03495F27" w14:textId="77777777" w:rsidR="00140E58" w:rsidRPr="008E60B5" w:rsidRDefault="00140E58" w:rsidP="00140E58">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53</w:t>
            </w:r>
          </w:p>
        </w:tc>
        <w:tc>
          <w:tcPr>
            <w:tcW w:w="800" w:type="dxa"/>
            <w:shd w:val="clear" w:color="auto" w:fill="auto"/>
            <w:vAlign w:val="bottom"/>
          </w:tcPr>
          <w:p w14:paraId="30D41277" w14:textId="299ACD6B" w:rsidR="00140E58" w:rsidRPr="008E60B5" w:rsidRDefault="00140E58" w:rsidP="00140E58">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1</w:t>
            </w:r>
            <w:r w:rsidR="00335D87">
              <w:rPr>
                <w:sz w:val="17"/>
                <w:lang w:val="fr-FR"/>
              </w:rPr>
              <w:t xml:space="preserve"> </w:t>
            </w:r>
            <w:r w:rsidRPr="008E60B5">
              <w:rPr>
                <w:sz w:val="17"/>
                <w:lang w:val="fr-FR"/>
              </w:rPr>
              <w:t>584</w:t>
            </w:r>
          </w:p>
        </w:tc>
      </w:tr>
      <w:tr w:rsidR="00883D51" w:rsidRPr="008E60B5" w14:paraId="28255509" w14:textId="77777777" w:rsidTr="00883D51">
        <w:trPr>
          <w:cantSplit/>
        </w:trPr>
        <w:tc>
          <w:tcPr>
            <w:tcW w:w="810" w:type="dxa"/>
            <w:tcBorders>
              <w:bottom w:val="single" w:sz="12" w:space="0" w:color="auto"/>
            </w:tcBorders>
            <w:shd w:val="clear" w:color="auto" w:fill="auto"/>
            <w:vAlign w:val="bottom"/>
          </w:tcPr>
          <w:p w14:paraId="59460CDA" w14:textId="77777777" w:rsidR="00140E58" w:rsidRPr="008E60B5" w:rsidRDefault="00140E58" w:rsidP="00140E58">
            <w:pPr>
              <w:pStyle w:val="SingleTxt"/>
              <w:tabs>
                <w:tab w:val="left" w:pos="288"/>
                <w:tab w:val="left" w:pos="576"/>
                <w:tab w:val="left" w:pos="864"/>
                <w:tab w:val="left" w:pos="1152"/>
              </w:tabs>
              <w:spacing w:before="40" w:after="40" w:line="210" w:lineRule="exact"/>
              <w:ind w:left="0" w:right="40"/>
              <w:rPr>
                <w:sz w:val="17"/>
                <w:lang w:val="fr-FR"/>
              </w:rPr>
            </w:pPr>
            <w:r w:rsidRPr="008E60B5">
              <w:rPr>
                <w:sz w:val="17"/>
                <w:lang w:val="fr-FR"/>
              </w:rPr>
              <w:t>2015</w:t>
            </w:r>
          </w:p>
        </w:tc>
        <w:tc>
          <w:tcPr>
            <w:tcW w:w="1710" w:type="dxa"/>
            <w:tcBorders>
              <w:bottom w:val="single" w:sz="12" w:space="0" w:color="auto"/>
            </w:tcBorders>
            <w:shd w:val="clear" w:color="auto" w:fill="auto"/>
            <w:vAlign w:val="bottom"/>
          </w:tcPr>
          <w:p w14:paraId="6F67DF75" w14:textId="4B0D06EF" w:rsidR="00140E58" w:rsidRPr="008E60B5" w:rsidRDefault="00140E58" w:rsidP="00140E58">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1</w:t>
            </w:r>
            <w:r w:rsidR="00335D87">
              <w:rPr>
                <w:sz w:val="17"/>
                <w:lang w:val="fr-FR"/>
              </w:rPr>
              <w:t xml:space="preserve"> </w:t>
            </w:r>
            <w:r w:rsidRPr="008E60B5">
              <w:rPr>
                <w:sz w:val="17"/>
                <w:lang w:val="fr-FR"/>
              </w:rPr>
              <w:t>473</w:t>
            </w:r>
          </w:p>
        </w:tc>
        <w:tc>
          <w:tcPr>
            <w:tcW w:w="800" w:type="dxa"/>
            <w:tcBorders>
              <w:bottom w:val="single" w:sz="12" w:space="0" w:color="auto"/>
            </w:tcBorders>
            <w:shd w:val="clear" w:color="auto" w:fill="auto"/>
            <w:vAlign w:val="bottom"/>
          </w:tcPr>
          <w:p w14:paraId="7EF48AA7" w14:textId="2F78A7E4" w:rsidR="00140E58" w:rsidRPr="008E60B5" w:rsidRDefault="00140E58" w:rsidP="00140E58">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1</w:t>
            </w:r>
            <w:r w:rsidR="00335D87">
              <w:rPr>
                <w:sz w:val="17"/>
                <w:lang w:val="fr-FR"/>
              </w:rPr>
              <w:t xml:space="preserve"> </w:t>
            </w:r>
            <w:r w:rsidRPr="008E60B5">
              <w:rPr>
                <w:sz w:val="17"/>
                <w:lang w:val="fr-FR"/>
              </w:rPr>
              <w:t>790</w:t>
            </w:r>
          </w:p>
        </w:tc>
        <w:tc>
          <w:tcPr>
            <w:tcW w:w="800" w:type="dxa"/>
            <w:tcBorders>
              <w:bottom w:val="single" w:sz="12" w:space="0" w:color="auto"/>
            </w:tcBorders>
            <w:shd w:val="clear" w:color="auto" w:fill="auto"/>
            <w:vAlign w:val="bottom"/>
          </w:tcPr>
          <w:p w14:paraId="06783251" w14:textId="77777777" w:rsidR="00140E58" w:rsidRPr="008E60B5" w:rsidRDefault="00140E58" w:rsidP="00140E58">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439</w:t>
            </w:r>
          </w:p>
        </w:tc>
        <w:tc>
          <w:tcPr>
            <w:tcW w:w="800" w:type="dxa"/>
            <w:tcBorders>
              <w:bottom w:val="single" w:sz="12" w:space="0" w:color="auto"/>
            </w:tcBorders>
            <w:shd w:val="clear" w:color="auto" w:fill="auto"/>
            <w:vAlign w:val="bottom"/>
          </w:tcPr>
          <w:p w14:paraId="4C2EF477" w14:textId="3F6C15D7" w:rsidR="00140E58" w:rsidRPr="008E60B5" w:rsidRDefault="00140E58" w:rsidP="00140E58">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1</w:t>
            </w:r>
            <w:r w:rsidR="00335D87">
              <w:rPr>
                <w:sz w:val="17"/>
                <w:lang w:val="fr-FR"/>
              </w:rPr>
              <w:t xml:space="preserve"> </w:t>
            </w:r>
            <w:r w:rsidRPr="008E60B5">
              <w:rPr>
                <w:sz w:val="17"/>
                <w:lang w:val="fr-FR"/>
              </w:rPr>
              <w:t>351</w:t>
            </w:r>
          </w:p>
        </w:tc>
        <w:tc>
          <w:tcPr>
            <w:tcW w:w="800" w:type="dxa"/>
            <w:gridSpan w:val="2"/>
            <w:tcBorders>
              <w:bottom w:val="single" w:sz="12" w:space="0" w:color="auto"/>
            </w:tcBorders>
            <w:shd w:val="clear" w:color="auto" w:fill="auto"/>
            <w:vAlign w:val="bottom"/>
          </w:tcPr>
          <w:p w14:paraId="4065450F" w14:textId="77777777" w:rsidR="00140E58" w:rsidRPr="008E60B5" w:rsidRDefault="00140E58" w:rsidP="00140E58">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73</w:t>
            </w:r>
          </w:p>
        </w:tc>
        <w:tc>
          <w:tcPr>
            <w:tcW w:w="800" w:type="dxa"/>
            <w:tcBorders>
              <w:bottom w:val="single" w:sz="12" w:space="0" w:color="auto"/>
            </w:tcBorders>
            <w:shd w:val="clear" w:color="auto" w:fill="auto"/>
            <w:vAlign w:val="bottom"/>
          </w:tcPr>
          <w:p w14:paraId="08172366" w14:textId="77777777" w:rsidR="00140E58" w:rsidRPr="008E60B5" w:rsidRDefault="00140E58" w:rsidP="00140E58">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62</w:t>
            </w:r>
          </w:p>
        </w:tc>
        <w:tc>
          <w:tcPr>
            <w:tcW w:w="800" w:type="dxa"/>
            <w:tcBorders>
              <w:bottom w:val="single" w:sz="12" w:space="0" w:color="auto"/>
            </w:tcBorders>
            <w:shd w:val="clear" w:color="auto" w:fill="auto"/>
            <w:vAlign w:val="bottom"/>
          </w:tcPr>
          <w:p w14:paraId="7AB5B673" w14:textId="7827E384" w:rsidR="00140E58" w:rsidRPr="008E60B5" w:rsidRDefault="00140E58" w:rsidP="00140E58">
            <w:pPr>
              <w:pStyle w:val="SingleTxt"/>
              <w:tabs>
                <w:tab w:val="left" w:pos="288"/>
                <w:tab w:val="left" w:pos="576"/>
                <w:tab w:val="left" w:pos="864"/>
                <w:tab w:val="left" w:pos="1152"/>
              </w:tabs>
              <w:spacing w:before="40" w:after="40" w:line="210" w:lineRule="exact"/>
              <w:ind w:left="144" w:right="43"/>
              <w:jc w:val="right"/>
              <w:rPr>
                <w:sz w:val="17"/>
                <w:lang w:val="fr-FR"/>
              </w:rPr>
            </w:pPr>
            <w:r w:rsidRPr="008E60B5">
              <w:rPr>
                <w:sz w:val="17"/>
                <w:lang w:val="fr-FR"/>
              </w:rPr>
              <w:t>1</w:t>
            </w:r>
            <w:r w:rsidR="00335D87">
              <w:rPr>
                <w:sz w:val="17"/>
                <w:lang w:val="fr-FR"/>
              </w:rPr>
              <w:t xml:space="preserve"> </w:t>
            </w:r>
            <w:r w:rsidRPr="008E60B5">
              <w:rPr>
                <w:sz w:val="17"/>
                <w:lang w:val="fr-FR"/>
              </w:rPr>
              <w:t>655</w:t>
            </w:r>
          </w:p>
        </w:tc>
      </w:tr>
    </w:tbl>
    <w:p w14:paraId="0AD05D88" w14:textId="77777777" w:rsidR="00883D51" w:rsidRPr="008E60B5" w:rsidRDefault="00883D51" w:rsidP="00883D51">
      <w:pPr>
        <w:pStyle w:val="SingleTxt"/>
        <w:spacing w:after="0" w:line="120" w:lineRule="exact"/>
        <w:rPr>
          <w:b/>
          <w:sz w:val="10"/>
          <w:lang w:val="fr-FR"/>
        </w:rPr>
      </w:pPr>
    </w:p>
    <w:p w14:paraId="521FF0FB" w14:textId="77777777" w:rsidR="00883D51" w:rsidRPr="008E60B5" w:rsidRDefault="00883D51" w:rsidP="00883D51">
      <w:pPr>
        <w:pStyle w:val="SingleTxt"/>
        <w:spacing w:after="0" w:line="120" w:lineRule="exact"/>
        <w:rPr>
          <w:b/>
          <w:sz w:val="10"/>
          <w:lang w:val="fr-FR"/>
        </w:rPr>
      </w:pPr>
    </w:p>
    <w:p w14:paraId="0A192BE7" w14:textId="77777777" w:rsidR="00883D51" w:rsidRPr="008E60B5" w:rsidRDefault="00883D51" w:rsidP="00883D51">
      <w:pPr>
        <w:pStyle w:val="SingleTxt"/>
        <w:spacing w:after="0" w:line="120" w:lineRule="exact"/>
        <w:rPr>
          <w:b/>
          <w:sz w:val="10"/>
          <w:lang w:val="fr-FR"/>
        </w:rPr>
      </w:pPr>
    </w:p>
    <w:p w14:paraId="3B3C0C77" w14:textId="06BA0F51" w:rsidR="00CA0011" w:rsidRPr="008E60B5" w:rsidRDefault="00CA0011" w:rsidP="00883D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Assistance aux victimes de la violence et résidences protégées</w:t>
      </w:r>
    </w:p>
    <w:p w14:paraId="2AEA53F2" w14:textId="059D4737" w:rsidR="00883D51" w:rsidRPr="008E60B5" w:rsidRDefault="00883D51" w:rsidP="00883D51">
      <w:pPr>
        <w:pStyle w:val="SingleTxt"/>
        <w:spacing w:after="0" w:line="120" w:lineRule="exact"/>
        <w:rPr>
          <w:sz w:val="10"/>
          <w:lang w:val="fr-FR"/>
        </w:rPr>
      </w:pPr>
    </w:p>
    <w:p w14:paraId="09B7150A" w14:textId="59AB38E7" w:rsidR="00CA0011" w:rsidRPr="008E60B5" w:rsidRDefault="00CA0011" w:rsidP="00A15EC1">
      <w:pPr>
        <w:pStyle w:val="SingleTxt"/>
        <w:numPr>
          <w:ilvl w:val="0"/>
          <w:numId w:val="26"/>
        </w:numPr>
        <w:spacing w:line="240" w:lineRule="exact"/>
        <w:rPr>
          <w:lang w:val="fr-FR"/>
        </w:rPr>
      </w:pPr>
      <w:r w:rsidRPr="008E60B5">
        <w:rPr>
          <w:lang w:val="fr-FR"/>
        </w:rPr>
        <w:t>Afin de remédier au manque de clarté et d</w:t>
      </w:r>
      <w:r w:rsidR="008E60B5" w:rsidRPr="008E60B5">
        <w:rPr>
          <w:lang w:val="fr-FR"/>
        </w:rPr>
        <w:t>’</w:t>
      </w:r>
      <w:r w:rsidRPr="008E60B5">
        <w:rPr>
          <w:lang w:val="fr-FR"/>
        </w:rPr>
        <w:t>efficacité observé dans l</w:t>
      </w:r>
      <w:r w:rsidR="008E60B5" w:rsidRPr="008E60B5">
        <w:rPr>
          <w:lang w:val="fr-FR"/>
        </w:rPr>
        <w:t>’</w:t>
      </w:r>
      <w:r w:rsidRPr="008E60B5">
        <w:rPr>
          <w:lang w:val="fr-FR"/>
        </w:rPr>
        <w:t>application des règlements sur la prévention de la violence familiale par les autorités publiques (police, parquets et tribunaux des juridictions inférieures et supérieures et centres d</w:t>
      </w:r>
      <w:r w:rsidR="008E60B5" w:rsidRPr="008E60B5">
        <w:rPr>
          <w:lang w:val="fr-FR"/>
        </w:rPr>
        <w:t>’</w:t>
      </w:r>
      <w:r w:rsidRPr="008E60B5">
        <w:rPr>
          <w:lang w:val="fr-FR"/>
        </w:rPr>
        <w:t>action sociale), il est stipulé, dans la loi sur la prévention de la violence familiale, que les parquets, la police et les centres d</w:t>
      </w:r>
      <w:r w:rsidR="008E60B5" w:rsidRPr="008E60B5">
        <w:rPr>
          <w:lang w:val="fr-FR"/>
        </w:rPr>
        <w:t>’</w:t>
      </w:r>
      <w:r w:rsidRPr="008E60B5">
        <w:rPr>
          <w:lang w:val="fr-FR"/>
        </w:rPr>
        <w:t>action sociale doivent coopérer dans le cadre d</w:t>
      </w:r>
      <w:r w:rsidR="008E60B5" w:rsidRPr="008E60B5">
        <w:rPr>
          <w:lang w:val="fr-FR"/>
        </w:rPr>
        <w:t>’</w:t>
      </w:r>
      <w:r w:rsidRPr="008E60B5">
        <w:rPr>
          <w:lang w:val="fr-FR"/>
        </w:rPr>
        <w:t>un groupe de coordination et de coopération. Chaque parquet de première instance est doté d</w:t>
      </w:r>
      <w:r w:rsidR="008E60B5" w:rsidRPr="008E60B5">
        <w:rPr>
          <w:lang w:val="fr-FR"/>
        </w:rPr>
        <w:t>’</w:t>
      </w:r>
      <w:r w:rsidRPr="008E60B5">
        <w:rPr>
          <w:lang w:val="fr-FR"/>
        </w:rPr>
        <w:t>un tel groupe, qui se réunit au moins une fois tous les 15 jours. Le parquet, la police et les centres d</w:t>
      </w:r>
      <w:r w:rsidR="008E60B5" w:rsidRPr="008E60B5">
        <w:rPr>
          <w:lang w:val="fr-FR"/>
        </w:rPr>
        <w:t>’</w:t>
      </w:r>
      <w:r w:rsidRPr="008E60B5">
        <w:rPr>
          <w:lang w:val="fr-FR"/>
        </w:rPr>
        <w:t>action sociale, en tant qu</w:t>
      </w:r>
      <w:r w:rsidR="008E60B5" w:rsidRPr="008E60B5">
        <w:rPr>
          <w:lang w:val="fr-FR"/>
        </w:rPr>
        <w:t>’</w:t>
      </w:r>
      <w:r w:rsidRPr="008E60B5">
        <w:rPr>
          <w:lang w:val="fr-FR"/>
        </w:rPr>
        <w:t>organes chargés</w:t>
      </w:r>
      <w:r w:rsidR="00140E58" w:rsidRPr="008E60B5">
        <w:rPr>
          <w:lang w:val="fr-FR"/>
        </w:rPr>
        <w:t xml:space="preserve"> d</w:t>
      </w:r>
      <w:r w:rsidR="008E60B5" w:rsidRPr="008E60B5">
        <w:rPr>
          <w:lang w:val="fr-FR"/>
        </w:rPr>
        <w:t>’</w:t>
      </w:r>
      <w:r w:rsidR="00140E58" w:rsidRPr="008E60B5">
        <w:rPr>
          <w:lang w:val="fr-FR"/>
        </w:rPr>
        <w:t>éliminer la violence, y exam</w:t>
      </w:r>
      <w:r w:rsidR="00D85C91">
        <w:rPr>
          <w:lang w:val="fr-FR"/>
        </w:rPr>
        <w:t>i</w:t>
      </w:r>
      <w:r w:rsidRPr="008E60B5">
        <w:rPr>
          <w:lang w:val="fr-FR"/>
        </w:rPr>
        <w:t>nent ensemble chaque cas de violence familiale. Le groupe réunit l</w:t>
      </w:r>
      <w:r w:rsidR="008E60B5" w:rsidRPr="008E60B5">
        <w:rPr>
          <w:lang w:val="fr-FR"/>
        </w:rPr>
        <w:t>’</w:t>
      </w:r>
      <w:r w:rsidRPr="008E60B5">
        <w:rPr>
          <w:lang w:val="fr-FR"/>
        </w:rPr>
        <w:t>officier de police chargé de la prévention de la violence à l</w:t>
      </w:r>
      <w:r w:rsidR="008E60B5" w:rsidRPr="008E60B5">
        <w:rPr>
          <w:lang w:val="fr-FR"/>
        </w:rPr>
        <w:t>’</w:t>
      </w:r>
      <w:r w:rsidRPr="008E60B5">
        <w:rPr>
          <w:lang w:val="fr-FR"/>
        </w:rPr>
        <w:t>égard des femmes qui a mené l</w:t>
      </w:r>
      <w:r w:rsidR="008E60B5" w:rsidRPr="008E60B5">
        <w:rPr>
          <w:lang w:val="fr-FR"/>
        </w:rPr>
        <w:t>’</w:t>
      </w:r>
      <w:r w:rsidRPr="008E60B5">
        <w:rPr>
          <w:lang w:val="fr-FR"/>
        </w:rPr>
        <w:t>évaluation des risques de menace imminente de violence et imposé des mesures d</w:t>
      </w:r>
      <w:r w:rsidR="008E60B5" w:rsidRPr="008E60B5">
        <w:rPr>
          <w:lang w:val="fr-FR"/>
        </w:rPr>
        <w:t>’</w:t>
      </w:r>
      <w:r w:rsidRPr="008E60B5">
        <w:rPr>
          <w:lang w:val="fr-FR"/>
        </w:rPr>
        <w:t>urgence et le procureur, qui peut avoir proposé de prolonger ces mesures ou déjà engagé des poursuites pénales contre l</w:t>
      </w:r>
      <w:r w:rsidR="008E60B5" w:rsidRPr="008E60B5">
        <w:rPr>
          <w:lang w:val="fr-FR"/>
        </w:rPr>
        <w:t>’</w:t>
      </w:r>
      <w:r w:rsidRPr="008E60B5">
        <w:rPr>
          <w:lang w:val="fr-FR"/>
        </w:rPr>
        <w:t>auteur des faits. Ainsi, le groupe satisfait à la fois aux exigences en matière de compétence et à celles ayant trait à la bonne connaissance des circonstances relatives à un cas donné. Cette coopération doit permettre de déterminer si tel ou tel cas de violence relève du pénal ou du civil et</w:t>
      </w:r>
      <w:r w:rsidR="00002E6B" w:rsidRPr="008E60B5">
        <w:rPr>
          <w:lang w:val="fr-FR"/>
        </w:rPr>
        <w:t xml:space="preserve"> </w:t>
      </w:r>
      <w:r w:rsidRPr="008E60B5">
        <w:rPr>
          <w:lang w:val="fr-FR"/>
        </w:rPr>
        <w:t>quelle mesure répressive devra être prise à l</w:t>
      </w:r>
      <w:r w:rsidR="008E60B5" w:rsidRPr="008E60B5">
        <w:rPr>
          <w:lang w:val="fr-FR"/>
        </w:rPr>
        <w:t>’</w:t>
      </w:r>
      <w:r w:rsidRPr="008E60B5">
        <w:rPr>
          <w:lang w:val="fr-FR"/>
        </w:rPr>
        <w:t>encontre de l</w:t>
      </w:r>
      <w:r w:rsidR="008E60B5" w:rsidRPr="008E60B5">
        <w:rPr>
          <w:lang w:val="fr-FR"/>
        </w:rPr>
        <w:t>’</w:t>
      </w:r>
      <w:r w:rsidRPr="008E60B5">
        <w:rPr>
          <w:lang w:val="fr-FR"/>
        </w:rPr>
        <w:t>auteur. Elle doit également contribuer à protéger les victimes de violence et leur donner les moyens de vivre de manière indépendante. À cette fin, le groupe établit des plans individuels de protection des victimes et d</w:t>
      </w:r>
      <w:r w:rsidR="008E60B5" w:rsidRPr="008E60B5">
        <w:rPr>
          <w:lang w:val="fr-FR"/>
        </w:rPr>
        <w:t>’</w:t>
      </w:r>
      <w:r w:rsidRPr="008E60B5">
        <w:rPr>
          <w:lang w:val="fr-FR"/>
        </w:rPr>
        <w:t>appui en tenant compte de toutes les circonstances relatives aux cas examinés. Cette fonction constitue l</w:t>
      </w:r>
      <w:r w:rsidR="008E60B5" w:rsidRPr="008E60B5">
        <w:rPr>
          <w:lang w:val="fr-FR"/>
        </w:rPr>
        <w:t>’</w:t>
      </w:r>
      <w:r w:rsidRPr="008E60B5">
        <w:rPr>
          <w:lang w:val="fr-FR"/>
        </w:rPr>
        <w:t xml:space="preserve">essence même des groupes de coordination et de coopération. </w:t>
      </w:r>
    </w:p>
    <w:p w14:paraId="4FAED203" w14:textId="2A96C01B" w:rsidR="00CA0011" w:rsidRPr="008E60B5" w:rsidRDefault="00CA0011" w:rsidP="00A15EC1">
      <w:pPr>
        <w:pStyle w:val="SingleTxt"/>
        <w:numPr>
          <w:ilvl w:val="0"/>
          <w:numId w:val="26"/>
        </w:numPr>
        <w:spacing w:line="240" w:lineRule="exact"/>
        <w:rPr>
          <w:lang w:val="fr-FR"/>
        </w:rPr>
      </w:pPr>
      <w:r w:rsidRPr="008E60B5">
        <w:rPr>
          <w:lang w:val="fr-FR"/>
        </w:rPr>
        <w:t>En août 2016, le Ministre chargé de la protection de la famille a publié une directive spéciale à l</w:t>
      </w:r>
      <w:r w:rsidR="008E60B5" w:rsidRPr="008E60B5">
        <w:rPr>
          <w:lang w:val="fr-FR"/>
        </w:rPr>
        <w:t>’</w:t>
      </w:r>
      <w:r w:rsidRPr="008E60B5">
        <w:rPr>
          <w:lang w:val="fr-FR"/>
        </w:rPr>
        <w:t>intention de tous les centres d</w:t>
      </w:r>
      <w:r w:rsidR="008E60B5" w:rsidRPr="008E60B5">
        <w:rPr>
          <w:lang w:val="fr-FR"/>
        </w:rPr>
        <w:t>’</w:t>
      </w:r>
      <w:r w:rsidRPr="008E60B5">
        <w:rPr>
          <w:lang w:val="fr-FR"/>
        </w:rPr>
        <w:t>action sociale sur les règles de procédure à suivre et l</w:t>
      </w:r>
      <w:r w:rsidR="008E60B5" w:rsidRPr="008E60B5">
        <w:rPr>
          <w:lang w:val="fr-FR"/>
        </w:rPr>
        <w:t>’</w:t>
      </w:r>
      <w:r w:rsidRPr="008E60B5">
        <w:rPr>
          <w:lang w:val="fr-FR"/>
        </w:rPr>
        <w:t>action à mener en cas de violence familiale, y compris pour ce qui est du dispositif de protection à mettre en place pour les victimes. Cette directive vise à intensifier la lutte contre la violence familiale ainsi que l</w:t>
      </w:r>
      <w:r w:rsidR="008E60B5" w:rsidRPr="008E60B5">
        <w:rPr>
          <w:lang w:val="fr-FR"/>
        </w:rPr>
        <w:t>’</w:t>
      </w:r>
      <w:r w:rsidRPr="008E60B5">
        <w:rPr>
          <w:lang w:val="fr-FR"/>
        </w:rPr>
        <w:t>assistance et l</w:t>
      </w:r>
      <w:r w:rsidR="008E60B5" w:rsidRPr="008E60B5">
        <w:rPr>
          <w:lang w:val="fr-FR"/>
        </w:rPr>
        <w:t>’</w:t>
      </w:r>
      <w:r w:rsidRPr="008E60B5">
        <w:rPr>
          <w:lang w:val="fr-FR"/>
        </w:rPr>
        <w:t xml:space="preserve">appui </w:t>
      </w:r>
      <w:r w:rsidRPr="008E60B5">
        <w:rPr>
          <w:lang w:val="fr-FR"/>
        </w:rPr>
        <w:lastRenderedPageBreak/>
        <w:t>aux victimes, mais aussi à accroître la responsabilité personnelle des directeurs et experts des services de tutelle s</w:t>
      </w:r>
      <w:r w:rsidR="008E60B5" w:rsidRPr="008E60B5">
        <w:rPr>
          <w:lang w:val="fr-FR"/>
        </w:rPr>
        <w:t>’</w:t>
      </w:r>
      <w:r w:rsidRPr="008E60B5">
        <w:rPr>
          <w:lang w:val="fr-FR"/>
        </w:rPr>
        <w:t>agissant du respect systématique des obligations découlant de la législation primaire et subordonnée, qui figurent dans les protocoles généraux et spécifiques existant dans ce domaine. En outre, 32 centres d</w:t>
      </w:r>
      <w:r w:rsidR="008E60B5" w:rsidRPr="008E60B5">
        <w:rPr>
          <w:lang w:val="fr-FR"/>
        </w:rPr>
        <w:t>’</w:t>
      </w:r>
      <w:r w:rsidRPr="008E60B5">
        <w:rPr>
          <w:lang w:val="fr-FR"/>
        </w:rPr>
        <w:t>action sociale ont fait l</w:t>
      </w:r>
      <w:r w:rsidR="008E60B5" w:rsidRPr="008E60B5">
        <w:rPr>
          <w:lang w:val="fr-FR"/>
        </w:rPr>
        <w:t>’</w:t>
      </w:r>
      <w:r w:rsidRPr="008E60B5">
        <w:rPr>
          <w:lang w:val="fr-FR"/>
        </w:rPr>
        <w:t>objet d</w:t>
      </w:r>
      <w:r w:rsidR="008E60B5" w:rsidRPr="008E60B5">
        <w:rPr>
          <w:lang w:val="fr-FR"/>
        </w:rPr>
        <w:t>’</w:t>
      </w:r>
      <w:r w:rsidRPr="008E60B5">
        <w:rPr>
          <w:lang w:val="fr-FR"/>
        </w:rPr>
        <w:t>un contrôle des activités professionnelles qui y étaient organisées et du caractère légal de ces dernières.</w:t>
      </w:r>
    </w:p>
    <w:p w14:paraId="00BB8B78" w14:textId="272702F8" w:rsidR="00CA0011" w:rsidRPr="008E60B5" w:rsidRDefault="00CA0011" w:rsidP="00A15EC1">
      <w:pPr>
        <w:pStyle w:val="SingleTxt"/>
        <w:numPr>
          <w:ilvl w:val="0"/>
          <w:numId w:val="26"/>
        </w:numPr>
        <w:spacing w:line="240" w:lineRule="exact"/>
        <w:rPr>
          <w:lang w:val="fr-FR"/>
        </w:rPr>
      </w:pPr>
      <w:r w:rsidRPr="008E60B5">
        <w:rPr>
          <w:lang w:val="fr-FR"/>
        </w:rPr>
        <w:t>En 2015 et 2016, avec l</w:t>
      </w:r>
      <w:r w:rsidR="008E60B5" w:rsidRPr="008E60B5">
        <w:rPr>
          <w:lang w:val="fr-FR"/>
        </w:rPr>
        <w:t>’</w:t>
      </w:r>
      <w:r w:rsidRPr="008E60B5">
        <w:rPr>
          <w:lang w:val="fr-FR"/>
        </w:rPr>
        <w:t>appui de la Mission de l</w:t>
      </w:r>
      <w:r w:rsidR="008E60B5" w:rsidRPr="008E60B5">
        <w:rPr>
          <w:lang w:val="fr-FR"/>
        </w:rPr>
        <w:t>’</w:t>
      </w:r>
      <w:r w:rsidRPr="008E60B5">
        <w:rPr>
          <w:lang w:val="fr-FR"/>
        </w:rPr>
        <w:t>OSCE en Serbie, une formation a été dispensée aux personnes travaillant dans les services chargés de fournir des informations aux victimes et aux témoins, qui dépendent des parquets de niveau supérieur. En 2016, le Bureau du Procureur de la République a créé un groupe de travail chargé de préparer un guide général obligatoire sur le fonctionnement de ces services, afin de les rendre plus efficaces, conformément aux normes internationales. En outre, dans le cadre du même projet, le procureur de la République a participé à l</w:t>
      </w:r>
      <w:r w:rsidR="008E60B5" w:rsidRPr="008E60B5">
        <w:rPr>
          <w:lang w:val="fr-FR"/>
        </w:rPr>
        <w:t>’</w:t>
      </w:r>
      <w:r w:rsidRPr="008E60B5">
        <w:rPr>
          <w:lang w:val="fr-FR"/>
        </w:rPr>
        <w:t>élaboration du manuel à l</w:t>
      </w:r>
      <w:r w:rsidR="008E60B5" w:rsidRPr="008E60B5">
        <w:rPr>
          <w:lang w:val="fr-FR"/>
        </w:rPr>
        <w:t>’</w:t>
      </w:r>
      <w:r w:rsidRPr="008E60B5">
        <w:rPr>
          <w:lang w:val="fr-FR"/>
        </w:rPr>
        <w:t>intention des bureaux de procureurs sur la communication avec les témoins et les victimes.</w:t>
      </w:r>
      <w:bookmarkStart w:id="2" w:name="_Hlk487761166"/>
      <w:bookmarkEnd w:id="2"/>
    </w:p>
    <w:p w14:paraId="35E22DEC" w14:textId="6DB16AFE" w:rsidR="00CA0011" w:rsidRPr="008E60B5" w:rsidRDefault="00CA0011" w:rsidP="00A15EC1">
      <w:pPr>
        <w:pStyle w:val="SingleTxt"/>
        <w:numPr>
          <w:ilvl w:val="0"/>
          <w:numId w:val="26"/>
        </w:numPr>
        <w:spacing w:line="240" w:lineRule="exact"/>
        <w:rPr>
          <w:b/>
          <w:lang w:val="fr-FR"/>
        </w:rPr>
      </w:pPr>
      <w:r w:rsidRPr="008E60B5">
        <w:rPr>
          <w:lang w:val="fr-FR"/>
        </w:rPr>
        <w:t xml:space="preserve">En 2016, des représentants du </w:t>
      </w:r>
      <w:r w:rsidR="00335D87">
        <w:rPr>
          <w:lang w:val="fr-FR"/>
        </w:rPr>
        <w:t>m</w:t>
      </w:r>
      <w:r w:rsidRPr="008E60B5">
        <w:rPr>
          <w:lang w:val="fr-FR"/>
        </w:rPr>
        <w:t xml:space="preserve">inistère public ont continué de coopérer avec la </w:t>
      </w:r>
      <w:r w:rsidR="00335D87">
        <w:rPr>
          <w:lang w:val="fr-FR"/>
        </w:rPr>
        <w:t>m</w:t>
      </w:r>
      <w:r w:rsidRPr="008E60B5">
        <w:rPr>
          <w:lang w:val="fr-FR"/>
        </w:rPr>
        <w:t>ission de l</w:t>
      </w:r>
      <w:r w:rsidR="008E60B5" w:rsidRPr="008E60B5">
        <w:rPr>
          <w:lang w:val="fr-FR"/>
        </w:rPr>
        <w:t>’</w:t>
      </w:r>
      <w:r w:rsidRPr="008E60B5">
        <w:rPr>
          <w:lang w:val="fr-FR"/>
        </w:rPr>
        <w:t>OSCE en Serbie sur le projet d</w:t>
      </w:r>
      <w:r w:rsidR="008E60B5" w:rsidRPr="008E60B5">
        <w:rPr>
          <w:lang w:val="fr-FR"/>
        </w:rPr>
        <w:t>’</w:t>
      </w:r>
      <w:r w:rsidRPr="008E60B5">
        <w:rPr>
          <w:lang w:val="fr-FR"/>
        </w:rPr>
        <w:t>appui à la mise en place d</w:t>
      </w:r>
      <w:r w:rsidR="008E60B5" w:rsidRPr="008E60B5">
        <w:rPr>
          <w:lang w:val="fr-FR"/>
        </w:rPr>
        <w:t>’</w:t>
      </w:r>
      <w:r w:rsidRPr="008E60B5">
        <w:rPr>
          <w:lang w:val="fr-FR"/>
        </w:rPr>
        <w:t>un système de soutien aux victimes et aux témoins d</w:t>
      </w:r>
      <w:r w:rsidR="008E60B5" w:rsidRPr="008E60B5">
        <w:rPr>
          <w:lang w:val="fr-FR"/>
        </w:rPr>
        <w:t>’</w:t>
      </w:r>
      <w:r w:rsidRPr="008E60B5">
        <w:rPr>
          <w:lang w:val="fr-FR"/>
        </w:rPr>
        <w:t>infractions dans le pays.</w:t>
      </w:r>
    </w:p>
    <w:p w14:paraId="41087A79" w14:textId="0FEE44E3" w:rsidR="00CA0011" w:rsidRPr="008E60B5" w:rsidRDefault="00CA0011" w:rsidP="00A15EC1">
      <w:pPr>
        <w:pStyle w:val="SingleTxt"/>
        <w:numPr>
          <w:ilvl w:val="0"/>
          <w:numId w:val="26"/>
        </w:numPr>
        <w:spacing w:line="240" w:lineRule="exact"/>
        <w:rPr>
          <w:lang w:val="fr-FR"/>
        </w:rPr>
      </w:pPr>
      <w:r w:rsidRPr="008E60B5">
        <w:rPr>
          <w:lang w:val="fr-FR"/>
        </w:rPr>
        <w:t>La formation est l</w:t>
      </w:r>
      <w:r w:rsidR="008E60B5" w:rsidRPr="008E60B5">
        <w:rPr>
          <w:lang w:val="fr-FR"/>
        </w:rPr>
        <w:t>’</w:t>
      </w:r>
      <w:r w:rsidRPr="008E60B5">
        <w:rPr>
          <w:lang w:val="fr-FR"/>
        </w:rPr>
        <w:t>une des conditions préalables à la prévention efficace de la violence et à la protection des victimes. C</w:t>
      </w:r>
      <w:r w:rsidR="008E60B5" w:rsidRPr="008E60B5">
        <w:rPr>
          <w:lang w:val="fr-FR"/>
        </w:rPr>
        <w:t>’</w:t>
      </w:r>
      <w:r w:rsidRPr="008E60B5">
        <w:rPr>
          <w:lang w:val="fr-FR"/>
        </w:rPr>
        <w:t>est pourquoi la loi sur la prévention de la violence familiale a mis en place l</w:t>
      </w:r>
      <w:r w:rsidR="008E60B5" w:rsidRPr="008E60B5">
        <w:rPr>
          <w:lang w:val="fr-FR"/>
        </w:rPr>
        <w:t>’</w:t>
      </w:r>
      <w:r w:rsidRPr="008E60B5">
        <w:rPr>
          <w:lang w:val="fr-FR"/>
        </w:rPr>
        <w:t>obligation, pour le personnel des autorités compétentes (police, procureurs et tribunaux), de suivre une formation spécialisée. Le programme en est établi par l</w:t>
      </w:r>
      <w:r w:rsidR="008E60B5" w:rsidRPr="008E60B5">
        <w:rPr>
          <w:lang w:val="fr-FR"/>
        </w:rPr>
        <w:t>’</w:t>
      </w:r>
      <w:r w:rsidRPr="008E60B5">
        <w:rPr>
          <w:lang w:val="fr-FR"/>
        </w:rPr>
        <w:t>École de la magistrature, qui forme également des juges, des procureurs et leurs substituts, tandis que la formation des fonctionnaires de police compétents relève de la responsabilité de l</w:t>
      </w:r>
      <w:r w:rsidR="008E60B5" w:rsidRPr="008E60B5">
        <w:rPr>
          <w:lang w:val="fr-FR"/>
        </w:rPr>
        <w:t>’</w:t>
      </w:r>
      <w:r w:rsidRPr="008E60B5">
        <w:rPr>
          <w:lang w:val="fr-FR"/>
        </w:rPr>
        <w:t>École de police anticriminalité. Entre février et mai 2017, cette formation a été dispensée à 410 policiers des 27</w:t>
      </w:r>
      <w:r w:rsidR="007C4316" w:rsidRPr="008E60B5">
        <w:rPr>
          <w:lang w:val="fr-FR"/>
        </w:rPr>
        <w:t> </w:t>
      </w:r>
      <w:r w:rsidRPr="008E60B5">
        <w:rPr>
          <w:lang w:val="fr-FR"/>
        </w:rPr>
        <w:t>administrations de police et à des agents du siège du Ministère de l</w:t>
      </w:r>
      <w:r w:rsidR="008E60B5" w:rsidRPr="008E60B5">
        <w:rPr>
          <w:lang w:val="fr-FR"/>
        </w:rPr>
        <w:t>’</w:t>
      </w:r>
      <w:r w:rsidRPr="008E60B5">
        <w:rPr>
          <w:lang w:val="fr-FR"/>
        </w:rPr>
        <w:t xml:space="preserve">intérieur. </w:t>
      </w:r>
    </w:p>
    <w:p w14:paraId="7D4F3AB0" w14:textId="1455234A" w:rsidR="00CA0011" w:rsidRPr="008E60B5" w:rsidRDefault="00CA0011" w:rsidP="00A15EC1">
      <w:pPr>
        <w:pStyle w:val="SingleTxt"/>
        <w:numPr>
          <w:ilvl w:val="0"/>
          <w:numId w:val="26"/>
        </w:numPr>
        <w:spacing w:line="240" w:lineRule="exact"/>
        <w:rPr>
          <w:lang w:val="fr-FR"/>
        </w:rPr>
      </w:pPr>
      <w:r w:rsidRPr="008E60B5">
        <w:rPr>
          <w:lang w:val="fr-FR"/>
        </w:rPr>
        <w:t>Au cours de la période considérée, l</w:t>
      </w:r>
      <w:r w:rsidR="008E60B5" w:rsidRPr="008E60B5">
        <w:rPr>
          <w:lang w:val="fr-FR"/>
        </w:rPr>
        <w:t>’</w:t>
      </w:r>
      <w:r w:rsidRPr="008E60B5">
        <w:rPr>
          <w:lang w:val="fr-FR"/>
        </w:rPr>
        <w:t>association serbe des procureurs et des substituts de procureurs</w:t>
      </w:r>
      <w:r w:rsidR="00002E6B" w:rsidRPr="008E60B5">
        <w:rPr>
          <w:lang w:val="fr-FR"/>
        </w:rPr>
        <w:t xml:space="preserve"> </w:t>
      </w:r>
      <w:r w:rsidRPr="008E60B5">
        <w:rPr>
          <w:lang w:val="fr-FR"/>
        </w:rPr>
        <w:t>a également largement contribué à former les procureurs et leurs substituts à la protection des victimes de violence familiale. Elle a ainsi organisé de nombreuses sessions, exécuté plusieurs projets et diffusé des publications pour aider à clarifier les dilemmes rencontrés dans la pratique et améliorer la protection des victimes de violence familiale.</w:t>
      </w:r>
    </w:p>
    <w:p w14:paraId="638B5DC2" w14:textId="6B47A2A0" w:rsidR="00CA0011" w:rsidRPr="008E60B5" w:rsidRDefault="00CA0011" w:rsidP="00A15EC1">
      <w:pPr>
        <w:pStyle w:val="SingleTxt"/>
        <w:numPr>
          <w:ilvl w:val="0"/>
          <w:numId w:val="26"/>
        </w:numPr>
        <w:spacing w:line="240" w:lineRule="exact"/>
        <w:rPr>
          <w:lang w:val="fr-FR"/>
        </w:rPr>
      </w:pPr>
      <w:r w:rsidRPr="008E60B5">
        <w:rPr>
          <w:lang w:val="fr-FR"/>
        </w:rPr>
        <w:t>Des résidences protégées, gérées par les centres d</w:t>
      </w:r>
      <w:r w:rsidR="008E60B5" w:rsidRPr="008E60B5">
        <w:rPr>
          <w:lang w:val="fr-FR"/>
        </w:rPr>
        <w:t>’</w:t>
      </w:r>
      <w:r w:rsidRPr="008E60B5">
        <w:rPr>
          <w:lang w:val="fr-FR"/>
        </w:rPr>
        <w:t xml:space="preserve">action sociale, sont installées à Kragujevac, Leskovac, Priboj, Smederevo, Vranje, Jagodina, Šabac, Niš et Majdanpek. </w:t>
      </w:r>
    </w:p>
    <w:p w14:paraId="7498C400" w14:textId="09DC138A" w:rsidR="00CA0011" w:rsidRPr="008E60B5" w:rsidRDefault="00CA0011" w:rsidP="00A15EC1">
      <w:pPr>
        <w:pStyle w:val="SingleTxt"/>
        <w:numPr>
          <w:ilvl w:val="0"/>
          <w:numId w:val="26"/>
        </w:numPr>
        <w:spacing w:line="240" w:lineRule="exact"/>
        <w:rPr>
          <w:lang w:val="fr-FR"/>
        </w:rPr>
      </w:pPr>
      <w:r w:rsidRPr="008E60B5">
        <w:rPr>
          <w:lang w:val="fr-FR"/>
        </w:rPr>
        <w:t>Dans la province autonome de la Voïvodine, cinq résidences protégées gérées par les centres d</w:t>
      </w:r>
      <w:r w:rsidR="008E60B5" w:rsidRPr="008E60B5">
        <w:rPr>
          <w:lang w:val="fr-FR"/>
        </w:rPr>
        <w:t>’</w:t>
      </w:r>
      <w:r w:rsidRPr="008E60B5">
        <w:rPr>
          <w:lang w:val="fr-FR"/>
        </w:rPr>
        <w:t>action sociale peuvent accueillir 122 personnes au maximum. Elles sont situées à Novi Sad, Zrenjanin, Sombor, Pančevo et Sremska Mitrovica. Au cours de la précédente période considérée, en coopération avec le Fonds B92, le Gouvernement provincial avait appuyé la construction et l</w:t>
      </w:r>
      <w:r w:rsidR="008E60B5" w:rsidRPr="008E60B5">
        <w:rPr>
          <w:lang w:val="fr-FR"/>
        </w:rPr>
        <w:t>’</w:t>
      </w:r>
      <w:r w:rsidRPr="008E60B5">
        <w:rPr>
          <w:lang w:val="fr-FR"/>
        </w:rPr>
        <w:t>équipement de résidences protégées à Zrenjanin, Pančevo, Sombor et Sremska Mitrovica, pour un montant total de 22 500 000 dinars serbes.</w:t>
      </w:r>
    </w:p>
    <w:p w14:paraId="23A41CC0" w14:textId="4094BB59" w:rsidR="00CA0011" w:rsidRPr="008E60B5" w:rsidRDefault="00CA0011" w:rsidP="00A15EC1">
      <w:pPr>
        <w:pStyle w:val="SingleTxt"/>
        <w:numPr>
          <w:ilvl w:val="0"/>
          <w:numId w:val="26"/>
        </w:numPr>
        <w:spacing w:line="240" w:lineRule="exact"/>
        <w:rPr>
          <w:lang w:val="fr-FR"/>
        </w:rPr>
      </w:pPr>
      <w:r w:rsidRPr="008E60B5">
        <w:rPr>
          <w:lang w:val="fr-FR"/>
        </w:rPr>
        <w:t>La ville de Belgrade fournit un appui financier à l</w:t>
      </w:r>
      <w:r w:rsidR="008E60B5" w:rsidRPr="008E60B5">
        <w:rPr>
          <w:lang w:val="fr-FR"/>
        </w:rPr>
        <w:t>’</w:t>
      </w:r>
      <w:r w:rsidRPr="008E60B5">
        <w:rPr>
          <w:lang w:val="fr-FR"/>
        </w:rPr>
        <w:t>organisation de la société civile Counselling against Domestic Violence, qui gère trois résidences protégées pour les femmes victimes de ce type de violence. Conformément à la décision relative aux droits et services en matière de protection sociale, la ville de Belgrade alloue des fonds au titre de divers types d</w:t>
      </w:r>
      <w:r w:rsidR="008E60B5" w:rsidRPr="008E60B5">
        <w:rPr>
          <w:lang w:val="fr-FR"/>
        </w:rPr>
        <w:t>’</w:t>
      </w:r>
      <w:r w:rsidRPr="008E60B5">
        <w:rPr>
          <w:lang w:val="fr-FR"/>
        </w:rPr>
        <w:t>aide financière, et propose notamment une assistance permanente aux victimes de violence familiale. Ce droit peut être perçu pour une durée maximale d</w:t>
      </w:r>
      <w:r w:rsidR="00335D87">
        <w:rPr>
          <w:lang w:val="fr-FR"/>
        </w:rPr>
        <w:t>’</w:t>
      </w:r>
      <w:r w:rsidRPr="008E60B5">
        <w:rPr>
          <w:lang w:val="fr-FR"/>
        </w:rPr>
        <w:t>un an et son montant varie entre 12 198 et 31</w:t>
      </w:r>
      <w:r w:rsidR="00335D87">
        <w:rPr>
          <w:lang w:val="fr-FR"/>
        </w:rPr>
        <w:t> </w:t>
      </w:r>
      <w:r w:rsidRPr="008E60B5">
        <w:rPr>
          <w:lang w:val="fr-FR"/>
        </w:rPr>
        <w:t>714 dinars serbes par mois, selon le nombre d</w:t>
      </w:r>
      <w:r w:rsidR="008E60B5" w:rsidRPr="008E60B5">
        <w:rPr>
          <w:lang w:val="fr-FR"/>
        </w:rPr>
        <w:t>’</w:t>
      </w:r>
      <w:r w:rsidRPr="008E60B5">
        <w:rPr>
          <w:lang w:val="fr-FR"/>
        </w:rPr>
        <w:t xml:space="preserve">enfants dans la famille. </w:t>
      </w:r>
    </w:p>
    <w:p w14:paraId="69EFC930" w14:textId="0D09EDCB" w:rsidR="00CA0011" w:rsidRPr="008E60B5" w:rsidRDefault="00CA0011" w:rsidP="007C43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lastRenderedPageBreak/>
        <w:tab/>
      </w:r>
      <w:r w:rsidRPr="008E60B5">
        <w:rPr>
          <w:lang w:val="fr-FR"/>
        </w:rPr>
        <w:tab/>
        <w:t>Délivrance d</w:t>
      </w:r>
      <w:r w:rsidR="008E60B5" w:rsidRPr="008E60B5">
        <w:rPr>
          <w:lang w:val="fr-FR"/>
        </w:rPr>
        <w:t>’</w:t>
      </w:r>
      <w:r w:rsidRPr="008E60B5">
        <w:rPr>
          <w:lang w:val="fr-FR"/>
        </w:rPr>
        <w:t>ordonnances de protection d</w:t>
      </w:r>
      <w:r w:rsidR="008E60B5" w:rsidRPr="008E60B5">
        <w:rPr>
          <w:lang w:val="fr-FR"/>
        </w:rPr>
        <w:t>’</w:t>
      </w:r>
      <w:r w:rsidRPr="008E60B5">
        <w:rPr>
          <w:lang w:val="fr-FR"/>
        </w:rPr>
        <w:t>urgence</w:t>
      </w:r>
    </w:p>
    <w:p w14:paraId="7BF9F2C7" w14:textId="457B9FC7" w:rsidR="007C4316" w:rsidRPr="008E60B5" w:rsidRDefault="007C4316" w:rsidP="007C4316">
      <w:pPr>
        <w:pStyle w:val="SingleTxt"/>
        <w:spacing w:after="0" w:line="120" w:lineRule="exact"/>
        <w:rPr>
          <w:sz w:val="10"/>
          <w:lang w:val="fr-FR"/>
        </w:rPr>
      </w:pPr>
    </w:p>
    <w:p w14:paraId="2F0635AB" w14:textId="3C34776E" w:rsidR="00CA0011" w:rsidRPr="008E60B5" w:rsidRDefault="00CA0011" w:rsidP="00A15EC1">
      <w:pPr>
        <w:pStyle w:val="SingleTxt"/>
        <w:numPr>
          <w:ilvl w:val="0"/>
          <w:numId w:val="27"/>
        </w:numPr>
        <w:spacing w:line="240" w:lineRule="exact"/>
        <w:rPr>
          <w:lang w:val="fr-FR"/>
        </w:rPr>
      </w:pPr>
      <w:r w:rsidRPr="008E60B5">
        <w:rPr>
          <w:lang w:val="fr-FR"/>
        </w:rPr>
        <w:t>La loi sur la prévention de la violence familiale prévoit deux mesures d</w:t>
      </w:r>
      <w:r w:rsidR="008E60B5" w:rsidRPr="008E60B5">
        <w:rPr>
          <w:lang w:val="fr-FR"/>
        </w:rPr>
        <w:t>’</w:t>
      </w:r>
      <w:r w:rsidRPr="008E60B5">
        <w:rPr>
          <w:lang w:val="fr-FR"/>
        </w:rPr>
        <w:t>urgence</w:t>
      </w:r>
      <w:r w:rsidR="00002E6B" w:rsidRPr="008E60B5">
        <w:rPr>
          <w:lang w:val="fr-FR"/>
        </w:rPr>
        <w:t> :</w:t>
      </w:r>
      <w:r w:rsidRPr="008E60B5">
        <w:rPr>
          <w:lang w:val="fr-FR"/>
        </w:rPr>
        <w:t xml:space="preserve"> la première consiste à éloigner l</w:t>
      </w:r>
      <w:r w:rsidR="008E60B5" w:rsidRPr="008E60B5">
        <w:rPr>
          <w:lang w:val="fr-FR"/>
        </w:rPr>
        <w:t>’</w:t>
      </w:r>
      <w:r w:rsidRPr="008E60B5">
        <w:rPr>
          <w:lang w:val="fr-FR"/>
        </w:rPr>
        <w:t>auteur d</w:t>
      </w:r>
      <w:r w:rsidR="008E60B5" w:rsidRPr="008E60B5">
        <w:rPr>
          <w:lang w:val="fr-FR"/>
        </w:rPr>
        <w:t>’</w:t>
      </w:r>
      <w:r w:rsidRPr="008E60B5">
        <w:rPr>
          <w:lang w:val="fr-FR"/>
        </w:rPr>
        <w:t>actes de violence de son foyer et la seconde à lui interdire de contacter ou de s</w:t>
      </w:r>
      <w:r w:rsidR="008E60B5" w:rsidRPr="008E60B5">
        <w:rPr>
          <w:lang w:val="fr-FR"/>
        </w:rPr>
        <w:t>’</w:t>
      </w:r>
      <w:r w:rsidRPr="008E60B5">
        <w:rPr>
          <w:lang w:val="fr-FR"/>
        </w:rPr>
        <w:t>approcher de la victime. Ces mesures sont imposées par un officier de police spécialisé dans la prévention de la violence familiale pour une durée maximale de 48 heures et peuvent être cumulées. Immédiatement après la délivrance, l</w:t>
      </w:r>
      <w:r w:rsidR="008E60B5" w:rsidRPr="008E60B5">
        <w:rPr>
          <w:lang w:val="fr-FR"/>
        </w:rPr>
        <w:t>’</w:t>
      </w:r>
      <w:r w:rsidRPr="008E60B5">
        <w:rPr>
          <w:lang w:val="fr-FR"/>
        </w:rPr>
        <w:t>officier de police responsable présente l</w:t>
      </w:r>
      <w:r w:rsidR="008E60B5" w:rsidRPr="008E60B5">
        <w:rPr>
          <w:lang w:val="fr-FR"/>
        </w:rPr>
        <w:t>’</w:t>
      </w:r>
      <w:r w:rsidRPr="008E60B5">
        <w:rPr>
          <w:lang w:val="fr-FR"/>
        </w:rPr>
        <w:t>ordonnance à un procureur de première instance ayant compétence sur le territoire de résidence permanente ou temporaire de la victime, ainsi qu</w:t>
      </w:r>
      <w:r w:rsidR="008E60B5" w:rsidRPr="008E60B5">
        <w:rPr>
          <w:lang w:val="fr-FR"/>
        </w:rPr>
        <w:t>’</w:t>
      </w:r>
      <w:r w:rsidRPr="008E60B5">
        <w:rPr>
          <w:lang w:val="fr-FR"/>
        </w:rPr>
        <w:t>au centre d</w:t>
      </w:r>
      <w:r w:rsidR="008E60B5" w:rsidRPr="008E60B5">
        <w:rPr>
          <w:lang w:val="fr-FR"/>
        </w:rPr>
        <w:t>’</w:t>
      </w:r>
      <w:r w:rsidRPr="008E60B5">
        <w:rPr>
          <w:lang w:val="fr-FR"/>
        </w:rPr>
        <w:t xml:space="preserve">action sociale et au groupe de coordination et de coopération concernés. </w:t>
      </w:r>
    </w:p>
    <w:p w14:paraId="1C45A4EF" w14:textId="673846B1" w:rsidR="00CA0011" w:rsidRPr="008E60B5" w:rsidRDefault="00CA0011" w:rsidP="00A15EC1">
      <w:pPr>
        <w:pStyle w:val="SingleTxt"/>
        <w:numPr>
          <w:ilvl w:val="0"/>
          <w:numId w:val="28"/>
        </w:numPr>
        <w:spacing w:line="240" w:lineRule="exact"/>
        <w:rPr>
          <w:lang w:val="fr-FR"/>
        </w:rPr>
      </w:pPr>
      <w:r w:rsidRPr="008E60B5">
        <w:rPr>
          <w:lang w:val="fr-FR"/>
        </w:rPr>
        <w:t>Si le procureur constate qu</w:t>
      </w:r>
      <w:r w:rsidR="008E60B5" w:rsidRPr="008E60B5">
        <w:rPr>
          <w:lang w:val="fr-FR"/>
        </w:rPr>
        <w:t>’</w:t>
      </w:r>
      <w:r w:rsidRPr="008E60B5">
        <w:rPr>
          <w:lang w:val="fr-FR"/>
        </w:rPr>
        <w:t>il existe une menace imminente de violence familiale, il doit déposer une requête de prorogation de la mesure d</w:t>
      </w:r>
      <w:r w:rsidR="008E60B5" w:rsidRPr="008E60B5">
        <w:rPr>
          <w:lang w:val="fr-FR"/>
        </w:rPr>
        <w:t>’</w:t>
      </w:r>
      <w:r w:rsidRPr="008E60B5">
        <w:rPr>
          <w:lang w:val="fr-FR"/>
        </w:rPr>
        <w:t>urgence. Un seul juge de première instance statue sur cette requête. Avant de rendre sa décision, le juge doit accorder à l</w:t>
      </w:r>
      <w:r w:rsidR="008E60B5" w:rsidRPr="008E60B5">
        <w:rPr>
          <w:lang w:val="fr-FR"/>
        </w:rPr>
        <w:t>’</w:t>
      </w:r>
      <w:r w:rsidRPr="008E60B5">
        <w:rPr>
          <w:lang w:val="fr-FR"/>
        </w:rPr>
        <w:t>auteur la possibilité de répondre aux allégations soulevées par le procureur. Le tribunal examine les évaluations des risques effectuées par le fonctionnaire de police responsable et le procureur de première instance, ainsi que les preuves et les allégations jointes à la requête présentée par le procureur. La décision de justice permet de prolonger les mesures d</w:t>
      </w:r>
      <w:r w:rsidR="008E60B5" w:rsidRPr="008E60B5">
        <w:rPr>
          <w:lang w:val="fr-FR"/>
        </w:rPr>
        <w:t>’</w:t>
      </w:r>
      <w:r w:rsidRPr="008E60B5">
        <w:rPr>
          <w:lang w:val="fr-FR"/>
        </w:rPr>
        <w:t>urgence pour une période supplémentaire de 30 jours. Le tribunal doit se prononcer sur la requête présentée par le procureur dans les 24 heures, même s</w:t>
      </w:r>
      <w:r w:rsidR="008E60B5" w:rsidRPr="008E60B5">
        <w:rPr>
          <w:lang w:val="fr-FR"/>
        </w:rPr>
        <w:t>’</w:t>
      </w:r>
      <w:r w:rsidRPr="008E60B5">
        <w:rPr>
          <w:lang w:val="fr-FR"/>
        </w:rPr>
        <w:t>il n</w:t>
      </w:r>
      <w:r w:rsidR="008E60B5" w:rsidRPr="008E60B5">
        <w:rPr>
          <w:lang w:val="fr-FR"/>
        </w:rPr>
        <w:t>’</w:t>
      </w:r>
      <w:r w:rsidRPr="008E60B5">
        <w:rPr>
          <w:lang w:val="fr-FR"/>
        </w:rPr>
        <w:t>a pas tenu d</w:t>
      </w:r>
      <w:r w:rsidR="008E60B5" w:rsidRPr="008E60B5">
        <w:rPr>
          <w:lang w:val="fr-FR"/>
        </w:rPr>
        <w:t>’</w:t>
      </w:r>
      <w:r w:rsidRPr="008E60B5">
        <w:rPr>
          <w:lang w:val="fr-FR"/>
        </w:rPr>
        <w:t xml:space="preserve">audience au préalable. </w:t>
      </w:r>
    </w:p>
    <w:p w14:paraId="36D52710" w14:textId="68C0FE89" w:rsidR="00CA0011" w:rsidRPr="008E60B5" w:rsidRDefault="00CA0011" w:rsidP="00A15EC1">
      <w:pPr>
        <w:pStyle w:val="SingleTxt"/>
        <w:numPr>
          <w:ilvl w:val="0"/>
          <w:numId w:val="28"/>
        </w:numPr>
        <w:spacing w:line="240" w:lineRule="exact"/>
        <w:rPr>
          <w:lang w:val="fr-FR"/>
        </w:rPr>
      </w:pPr>
      <w:r w:rsidRPr="008E60B5">
        <w:rPr>
          <w:lang w:val="fr-FR"/>
        </w:rPr>
        <w:t>La loi réprime toute violation de ces mesures d</w:t>
      </w:r>
      <w:r w:rsidR="008E60B5" w:rsidRPr="008E60B5">
        <w:rPr>
          <w:lang w:val="fr-FR"/>
        </w:rPr>
        <w:t>’</w:t>
      </w:r>
      <w:r w:rsidRPr="008E60B5">
        <w:rPr>
          <w:lang w:val="fr-FR"/>
        </w:rPr>
        <w:t>urgence et de protection, ce qui a pour effet de les rendre plus efficaces pour lutter contre la violence familiale. Toute personne qui enfreint une mesure d</w:t>
      </w:r>
      <w:r w:rsidR="008E60B5" w:rsidRPr="008E60B5">
        <w:rPr>
          <w:lang w:val="fr-FR"/>
        </w:rPr>
        <w:t>’</w:t>
      </w:r>
      <w:r w:rsidRPr="008E60B5">
        <w:rPr>
          <w:lang w:val="fr-FR"/>
        </w:rPr>
        <w:t>urgence ou de protection lui ayant été imposée au titre de la loi sur la famille est passible d</w:t>
      </w:r>
      <w:r w:rsidR="008E60B5" w:rsidRPr="008E60B5">
        <w:rPr>
          <w:lang w:val="fr-FR"/>
        </w:rPr>
        <w:t>’</w:t>
      </w:r>
      <w:r w:rsidRPr="008E60B5">
        <w:rPr>
          <w:lang w:val="fr-FR"/>
        </w:rPr>
        <w:t>une peine d</w:t>
      </w:r>
      <w:r w:rsidR="008E60B5" w:rsidRPr="008E60B5">
        <w:rPr>
          <w:lang w:val="fr-FR"/>
        </w:rPr>
        <w:t>’</w:t>
      </w:r>
      <w:r w:rsidRPr="008E60B5">
        <w:rPr>
          <w:lang w:val="fr-FR"/>
        </w:rPr>
        <w:t>emprisonnement pouvant aller jusqu</w:t>
      </w:r>
      <w:r w:rsidR="008E60B5" w:rsidRPr="008E60B5">
        <w:rPr>
          <w:lang w:val="fr-FR"/>
        </w:rPr>
        <w:t>’</w:t>
      </w:r>
      <w:r w:rsidRPr="008E60B5">
        <w:rPr>
          <w:lang w:val="fr-FR"/>
        </w:rPr>
        <w:t>à 60 jours. La loi prévoit également l</w:t>
      </w:r>
      <w:r w:rsidR="008E60B5" w:rsidRPr="008E60B5">
        <w:rPr>
          <w:lang w:val="fr-FR"/>
        </w:rPr>
        <w:t>’</w:t>
      </w:r>
      <w:r w:rsidRPr="008E60B5">
        <w:rPr>
          <w:lang w:val="fr-FR"/>
        </w:rPr>
        <w:t>imposition de sanctions à l</w:t>
      </w:r>
      <w:r w:rsidR="008E60B5" w:rsidRPr="008E60B5">
        <w:rPr>
          <w:lang w:val="fr-FR"/>
        </w:rPr>
        <w:t>’</w:t>
      </w:r>
      <w:r w:rsidRPr="008E60B5">
        <w:rPr>
          <w:lang w:val="fr-FR"/>
        </w:rPr>
        <w:t>encontre de tout fonctionnaire ou membre d</w:t>
      </w:r>
      <w:r w:rsidR="008E60B5" w:rsidRPr="008E60B5">
        <w:rPr>
          <w:lang w:val="fr-FR"/>
        </w:rPr>
        <w:t>’</w:t>
      </w:r>
      <w:r w:rsidRPr="008E60B5">
        <w:rPr>
          <w:lang w:val="fr-FR"/>
        </w:rPr>
        <w:t>une autorité, organisation ou institution ayant omis de signaler, sans délai, à la police ou à un procureur, tout fait ou menace imminente de violence familiale dont il aurait eu connaissance.</w:t>
      </w:r>
    </w:p>
    <w:p w14:paraId="6AAF616B" w14:textId="77777777" w:rsidR="007C4316" w:rsidRPr="008E60B5" w:rsidRDefault="007C4316" w:rsidP="007C4316">
      <w:pPr>
        <w:pStyle w:val="SingleTxt"/>
        <w:spacing w:after="0" w:line="120" w:lineRule="exact"/>
        <w:rPr>
          <w:b/>
          <w:sz w:val="10"/>
          <w:lang w:val="fr-FR"/>
        </w:rPr>
      </w:pPr>
    </w:p>
    <w:p w14:paraId="2A485A2B" w14:textId="687BB54F" w:rsidR="00CA0011" w:rsidRPr="008E60B5" w:rsidRDefault="00CA0011" w:rsidP="007C43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Archivage des affaires de violence</w:t>
      </w:r>
    </w:p>
    <w:p w14:paraId="6CE78D2F" w14:textId="0418A668" w:rsidR="007C4316" w:rsidRPr="008E60B5" w:rsidRDefault="007C4316" w:rsidP="007C4316">
      <w:pPr>
        <w:pStyle w:val="SingleTxt"/>
        <w:spacing w:after="0" w:line="120" w:lineRule="exact"/>
        <w:rPr>
          <w:sz w:val="10"/>
          <w:lang w:val="fr-FR"/>
        </w:rPr>
      </w:pPr>
    </w:p>
    <w:p w14:paraId="34B7F6CB" w14:textId="24E40C37" w:rsidR="00CA0011" w:rsidRPr="008E60B5" w:rsidRDefault="00CA0011" w:rsidP="00A15EC1">
      <w:pPr>
        <w:pStyle w:val="SingleTxt"/>
        <w:numPr>
          <w:ilvl w:val="0"/>
          <w:numId w:val="28"/>
        </w:numPr>
        <w:spacing w:line="240" w:lineRule="exact"/>
        <w:rPr>
          <w:lang w:val="fr-FR"/>
        </w:rPr>
      </w:pPr>
      <w:r w:rsidRPr="008E60B5">
        <w:rPr>
          <w:lang w:val="fr-FR"/>
        </w:rPr>
        <w:t>La loi sur la prévention de la violence familiale impose l</w:t>
      </w:r>
      <w:r w:rsidR="008E60B5" w:rsidRPr="008E60B5">
        <w:rPr>
          <w:lang w:val="fr-FR"/>
        </w:rPr>
        <w:t>’</w:t>
      </w:r>
      <w:r w:rsidRPr="008E60B5">
        <w:rPr>
          <w:lang w:val="fr-FR"/>
        </w:rPr>
        <w:t>obligation aux administrations de police, aux tribunaux et parquets de premier niveau ainsi qu</w:t>
      </w:r>
      <w:r w:rsidR="008E60B5" w:rsidRPr="008E60B5">
        <w:rPr>
          <w:lang w:val="fr-FR"/>
        </w:rPr>
        <w:t>’</w:t>
      </w:r>
      <w:r w:rsidRPr="008E60B5">
        <w:rPr>
          <w:lang w:val="fr-FR"/>
        </w:rPr>
        <w:t>aux centres d</w:t>
      </w:r>
      <w:r w:rsidR="008E60B5" w:rsidRPr="008E60B5">
        <w:rPr>
          <w:lang w:val="fr-FR"/>
        </w:rPr>
        <w:t>’</w:t>
      </w:r>
      <w:r w:rsidRPr="008E60B5">
        <w:rPr>
          <w:lang w:val="fr-FR"/>
        </w:rPr>
        <w:t>action sociale d</w:t>
      </w:r>
      <w:r w:rsidR="008E60B5" w:rsidRPr="008E60B5">
        <w:rPr>
          <w:lang w:val="fr-FR"/>
        </w:rPr>
        <w:t>’</w:t>
      </w:r>
      <w:r w:rsidRPr="008E60B5">
        <w:rPr>
          <w:lang w:val="fr-FR"/>
        </w:rPr>
        <w:t>archiver les affaires de violence familiale. Ces archives sont centralisées au Bureau du Procureur de la République. En outre, le Gouvernement est tenu de créer un Conseil sur l</w:t>
      </w:r>
      <w:r w:rsidR="008E60B5" w:rsidRPr="008E60B5">
        <w:rPr>
          <w:lang w:val="fr-FR"/>
        </w:rPr>
        <w:t>’</w:t>
      </w:r>
      <w:r w:rsidRPr="008E60B5">
        <w:rPr>
          <w:lang w:val="fr-FR"/>
        </w:rPr>
        <w:t>élimination de la violence familiale, qui supervise l</w:t>
      </w:r>
      <w:r w:rsidR="008E60B5" w:rsidRPr="008E60B5">
        <w:rPr>
          <w:lang w:val="fr-FR"/>
        </w:rPr>
        <w:t>’</w:t>
      </w:r>
      <w:r w:rsidRPr="008E60B5">
        <w:rPr>
          <w:lang w:val="fr-FR"/>
        </w:rPr>
        <w:t>application de la loi et améliore la coordination et l</w:t>
      </w:r>
      <w:r w:rsidR="008E60B5" w:rsidRPr="008E60B5">
        <w:rPr>
          <w:lang w:val="fr-FR"/>
        </w:rPr>
        <w:t>’</w:t>
      </w:r>
      <w:r w:rsidRPr="008E60B5">
        <w:rPr>
          <w:lang w:val="fr-FR"/>
        </w:rPr>
        <w:t>efficacité des mesures de prévention de la violence familiale et de protection contre celle-ci (art</w:t>
      </w:r>
      <w:r w:rsidR="00335D87">
        <w:rPr>
          <w:lang w:val="fr-FR"/>
        </w:rPr>
        <w:t>.</w:t>
      </w:r>
      <w:r w:rsidRPr="008E60B5">
        <w:rPr>
          <w:lang w:val="fr-FR"/>
        </w:rPr>
        <w:t xml:space="preserve"> 35).</w:t>
      </w:r>
    </w:p>
    <w:p w14:paraId="1083950D" w14:textId="45D4F429" w:rsidR="00CA0011" w:rsidRPr="008E60B5" w:rsidRDefault="00CA0011" w:rsidP="00A15EC1">
      <w:pPr>
        <w:pStyle w:val="SingleTxt"/>
        <w:numPr>
          <w:ilvl w:val="0"/>
          <w:numId w:val="28"/>
        </w:numPr>
        <w:spacing w:line="240" w:lineRule="exact"/>
        <w:rPr>
          <w:lang w:val="fr-FR"/>
        </w:rPr>
      </w:pPr>
      <w:r w:rsidRPr="008E60B5">
        <w:rPr>
          <w:lang w:val="fr-FR"/>
        </w:rPr>
        <w:t>En décembre 2015, le Bureau du Procureur de la République a publié une instruction imposant aux procureurs des niveaux inférieurs, supérieurs et d</w:t>
      </w:r>
      <w:r w:rsidR="008E60B5" w:rsidRPr="008E60B5">
        <w:rPr>
          <w:lang w:val="fr-FR"/>
        </w:rPr>
        <w:t>’</w:t>
      </w:r>
      <w:r w:rsidRPr="008E60B5">
        <w:rPr>
          <w:lang w:val="fr-FR"/>
        </w:rPr>
        <w:t>appel de conserver des archives spéciales pour les infractions pénales, notamment pour les infractions de violence familiale, au cas où une mesure urgente devrait être prise. Ces</w:t>
      </w:r>
      <w:r w:rsidR="00002E6B" w:rsidRPr="008E60B5">
        <w:rPr>
          <w:lang w:val="fr-FR"/>
        </w:rPr>
        <w:t xml:space="preserve"> </w:t>
      </w:r>
      <w:r w:rsidRPr="008E60B5">
        <w:rPr>
          <w:lang w:val="fr-FR"/>
        </w:rPr>
        <w:t>archives contiennent des informations sur les auteurs, les victimes, les infractions pénales, les mesures prises et les décisions émanant des procureurs et des tribunaux. S</w:t>
      </w:r>
      <w:r w:rsidR="008E60B5" w:rsidRPr="008E60B5">
        <w:rPr>
          <w:lang w:val="fr-FR"/>
        </w:rPr>
        <w:t>’</w:t>
      </w:r>
      <w:r w:rsidRPr="008E60B5">
        <w:rPr>
          <w:lang w:val="fr-FR"/>
        </w:rPr>
        <w:t>agissant des actes de violence inspirés par la haine (art</w:t>
      </w:r>
      <w:r w:rsidR="00335D87">
        <w:rPr>
          <w:lang w:val="fr-FR"/>
        </w:rPr>
        <w:t>.</w:t>
      </w:r>
      <w:r w:rsidRPr="008E60B5">
        <w:rPr>
          <w:lang w:val="fr-FR"/>
        </w:rPr>
        <w:t xml:space="preserve"> 54а), elles contiennent également des informations sur les motifs de l</w:t>
      </w:r>
      <w:r w:rsidR="008E60B5" w:rsidRPr="008E60B5">
        <w:rPr>
          <w:lang w:val="fr-FR"/>
        </w:rPr>
        <w:t>’</w:t>
      </w:r>
      <w:r w:rsidRPr="008E60B5">
        <w:rPr>
          <w:lang w:val="fr-FR"/>
        </w:rPr>
        <w:t xml:space="preserve">infraction. </w:t>
      </w:r>
    </w:p>
    <w:p w14:paraId="22F9DC41" w14:textId="39C76A79" w:rsidR="00CA0011" w:rsidRPr="008E60B5" w:rsidRDefault="00CA0011" w:rsidP="00A15EC1">
      <w:pPr>
        <w:pStyle w:val="SingleTxt"/>
        <w:numPr>
          <w:ilvl w:val="0"/>
          <w:numId w:val="28"/>
        </w:numPr>
        <w:spacing w:line="240" w:lineRule="exact"/>
        <w:rPr>
          <w:lang w:val="fr-FR"/>
        </w:rPr>
      </w:pPr>
      <w:r w:rsidRPr="008E60B5">
        <w:rPr>
          <w:lang w:val="fr-FR"/>
        </w:rPr>
        <w:t>Les procureurs ont le devoir de fournir au Procureur de la République, par l</w:t>
      </w:r>
      <w:r w:rsidR="008E60B5" w:rsidRPr="008E60B5">
        <w:rPr>
          <w:lang w:val="fr-FR"/>
        </w:rPr>
        <w:t>’</w:t>
      </w:r>
      <w:r w:rsidRPr="008E60B5">
        <w:rPr>
          <w:lang w:val="fr-FR"/>
        </w:rPr>
        <w:t>intermédiaire des procureurs d</w:t>
      </w:r>
      <w:r w:rsidR="008E60B5" w:rsidRPr="008E60B5">
        <w:rPr>
          <w:lang w:val="fr-FR"/>
        </w:rPr>
        <w:t>’</w:t>
      </w:r>
      <w:r w:rsidRPr="008E60B5">
        <w:rPr>
          <w:lang w:val="fr-FR"/>
        </w:rPr>
        <w:t xml:space="preserve">appel, un rapport trimestriel compilant les informations figurant dans les archives spéciales, au plus tard le </w:t>
      </w:r>
      <w:r w:rsidR="00335D87">
        <w:rPr>
          <w:lang w:val="fr-FR"/>
        </w:rPr>
        <w:t>quinzième</w:t>
      </w:r>
      <w:r w:rsidRPr="008E60B5">
        <w:rPr>
          <w:lang w:val="fr-FR"/>
        </w:rPr>
        <w:t xml:space="preserve"> jour du dernier mois du trimestre sur lequel le rapport porte. Les procureurs d</w:t>
      </w:r>
      <w:r w:rsidR="008E60B5" w:rsidRPr="008E60B5">
        <w:rPr>
          <w:lang w:val="fr-FR"/>
        </w:rPr>
        <w:t>’</w:t>
      </w:r>
      <w:r w:rsidRPr="008E60B5">
        <w:rPr>
          <w:lang w:val="fr-FR"/>
        </w:rPr>
        <w:t xml:space="preserve">appel sont tenus de présenter un rapport trimestriel de synthèse au Procureur de la République, </w:t>
      </w:r>
      <w:r w:rsidRPr="008E60B5">
        <w:rPr>
          <w:lang w:val="fr-FR"/>
        </w:rPr>
        <w:lastRenderedPageBreak/>
        <w:t xml:space="preserve">au plus tard le </w:t>
      </w:r>
      <w:r w:rsidR="00335D87">
        <w:rPr>
          <w:lang w:val="fr-FR"/>
        </w:rPr>
        <w:t>dix-huitième</w:t>
      </w:r>
      <w:r w:rsidRPr="008E60B5">
        <w:rPr>
          <w:lang w:val="fr-FR"/>
        </w:rPr>
        <w:t xml:space="preserve"> jour du dernier mois du trimestre sur lequel ce rapport porte. </w:t>
      </w:r>
    </w:p>
    <w:p w14:paraId="66837CDB" w14:textId="59F4E95C" w:rsidR="00CA0011" w:rsidRPr="008E60B5" w:rsidRDefault="00CA0011" w:rsidP="00A15EC1">
      <w:pPr>
        <w:pStyle w:val="SingleTxt"/>
        <w:numPr>
          <w:ilvl w:val="0"/>
          <w:numId w:val="28"/>
        </w:numPr>
        <w:spacing w:line="240" w:lineRule="exact"/>
        <w:rPr>
          <w:lang w:val="fr-FR"/>
        </w:rPr>
      </w:pPr>
      <w:r w:rsidRPr="008E60B5">
        <w:rPr>
          <w:lang w:val="fr-FR"/>
        </w:rPr>
        <w:t>Conformément à l</w:t>
      </w:r>
      <w:r w:rsidR="008E60B5" w:rsidRPr="008E60B5">
        <w:rPr>
          <w:lang w:val="fr-FR"/>
        </w:rPr>
        <w:t>’</w:t>
      </w:r>
      <w:r w:rsidRPr="008E60B5">
        <w:rPr>
          <w:lang w:val="fr-FR"/>
        </w:rPr>
        <w:t xml:space="preserve">instruction émise par le Bureau du Procureur de la République, en application de la décision prise par le Procureur en chef de premier niveau de Belgrade le 18 février 2016, un groupe de lutte contre la violence familiale a été constitué et un coordonnateur du groupe de coopération interdépartementale a été nommé. </w:t>
      </w:r>
    </w:p>
    <w:p w14:paraId="5D59D631" w14:textId="30EEB686" w:rsidR="00CA0011" w:rsidRPr="008E60B5" w:rsidRDefault="00CA0011" w:rsidP="00A15EC1">
      <w:pPr>
        <w:pStyle w:val="SingleTxt"/>
        <w:numPr>
          <w:ilvl w:val="0"/>
          <w:numId w:val="28"/>
        </w:numPr>
        <w:spacing w:line="240" w:lineRule="exact"/>
        <w:rPr>
          <w:lang w:val="fr-FR"/>
        </w:rPr>
      </w:pPr>
      <w:r w:rsidRPr="008E60B5">
        <w:rPr>
          <w:lang w:val="fr-FR"/>
        </w:rPr>
        <w:t>Les substituts du procureur dialoguent et se réunissent avec les représentants des centres d</w:t>
      </w:r>
      <w:r w:rsidR="008E60B5" w:rsidRPr="008E60B5">
        <w:rPr>
          <w:lang w:val="fr-FR"/>
        </w:rPr>
        <w:t>’</w:t>
      </w:r>
      <w:r w:rsidRPr="008E60B5">
        <w:rPr>
          <w:lang w:val="fr-FR"/>
        </w:rPr>
        <w:t>action sociale et de la police tous les mois, pour veiller à ce que les activités et les efforts de prévention qu</w:t>
      </w:r>
      <w:r w:rsidR="008E60B5" w:rsidRPr="008E60B5">
        <w:rPr>
          <w:lang w:val="fr-FR"/>
        </w:rPr>
        <w:t>’</w:t>
      </w:r>
      <w:r w:rsidRPr="008E60B5">
        <w:rPr>
          <w:lang w:val="fr-FR"/>
        </w:rPr>
        <w:t>ils mènent aux fins de la lutte contre la violence familiale soient aussi efficaces que possible</w:t>
      </w:r>
      <w:r w:rsidR="00002E6B" w:rsidRPr="008E60B5">
        <w:rPr>
          <w:lang w:val="fr-FR"/>
        </w:rPr>
        <w:t> ;</w:t>
      </w:r>
      <w:r w:rsidRPr="008E60B5">
        <w:rPr>
          <w:lang w:val="fr-FR"/>
        </w:rPr>
        <w:t xml:space="preserve"> en outre, ils sont en contact avec la Victimology Society of Serbia, l</w:t>
      </w:r>
      <w:r w:rsidR="008E60B5" w:rsidRPr="008E60B5">
        <w:rPr>
          <w:lang w:val="fr-FR"/>
        </w:rPr>
        <w:t>’</w:t>
      </w:r>
      <w:r w:rsidRPr="008E60B5">
        <w:rPr>
          <w:lang w:val="fr-FR"/>
        </w:rPr>
        <w:t>Autonomous Women</w:t>
      </w:r>
      <w:r w:rsidR="008E60B5" w:rsidRPr="008E60B5">
        <w:rPr>
          <w:lang w:val="fr-FR"/>
        </w:rPr>
        <w:t>’</w:t>
      </w:r>
      <w:r w:rsidRPr="008E60B5">
        <w:rPr>
          <w:lang w:val="fr-FR"/>
        </w:rPr>
        <w:t>s Centre et d</w:t>
      </w:r>
      <w:r w:rsidR="008E60B5" w:rsidRPr="008E60B5">
        <w:rPr>
          <w:lang w:val="fr-FR"/>
        </w:rPr>
        <w:t>’</w:t>
      </w:r>
      <w:r w:rsidRPr="008E60B5">
        <w:rPr>
          <w:lang w:val="fr-FR"/>
        </w:rPr>
        <w:t>autres organisations de la société civile pour renforcer la coopération et améliorer leur action commune.</w:t>
      </w:r>
    </w:p>
    <w:p w14:paraId="5A7B0093" w14:textId="37AE98E2" w:rsidR="00CA0011" w:rsidRPr="008E60B5" w:rsidRDefault="00CA0011" w:rsidP="00A15EC1">
      <w:pPr>
        <w:pStyle w:val="SingleTxt"/>
        <w:numPr>
          <w:ilvl w:val="0"/>
          <w:numId w:val="28"/>
        </w:numPr>
        <w:spacing w:line="240" w:lineRule="exact"/>
        <w:rPr>
          <w:lang w:val="fr-FR"/>
        </w:rPr>
      </w:pPr>
      <w:r w:rsidRPr="008E60B5">
        <w:rPr>
          <w:lang w:val="fr-FR"/>
        </w:rPr>
        <w:t>Dans la province autonome de la Voïvodine, un recueil des conférences de cas sur</w:t>
      </w:r>
      <w:r w:rsidR="00002E6B" w:rsidRPr="008E60B5">
        <w:rPr>
          <w:lang w:val="fr-FR"/>
        </w:rPr>
        <w:t xml:space="preserve"> </w:t>
      </w:r>
      <w:r w:rsidRPr="008E60B5">
        <w:rPr>
          <w:lang w:val="fr-FR"/>
        </w:rPr>
        <w:t>la violence familiale et la violence au sein du couple contre les femmes a été publié et distribué en 2016. Il a été établi en se fondant sur l</w:t>
      </w:r>
      <w:r w:rsidR="008E60B5" w:rsidRPr="008E60B5">
        <w:rPr>
          <w:lang w:val="fr-FR"/>
        </w:rPr>
        <w:t>’</w:t>
      </w:r>
      <w:r w:rsidRPr="008E60B5">
        <w:rPr>
          <w:lang w:val="fr-FR"/>
        </w:rPr>
        <w:t>expérience acquise grâce à l</w:t>
      </w:r>
      <w:r w:rsidR="008E60B5" w:rsidRPr="008E60B5">
        <w:rPr>
          <w:lang w:val="fr-FR"/>
        </w:rPr>
        <w:t>’</w:t>
      </w:r>
      <w:r w:rsidRPr="008E60B5">
        <w:rPr>
          <w:lang w:val="fr-FR"/>
        </w:rPr>
        <w:t xml:space="preserve">appui en matière de coopération interdépartementale fourni dans </w:t>
      </w:r>
      <w:r w:rsidR="00335D87">
        <w:rPr>
          <w:lang w:val="fr-FR"/>
        </w:rPr>
        <w:t xml:space="preserve">cinq </w:t>
      </w:r>
      <w:r w:rsidRPr="008E60B5">
        <w:rPr>
          <w:lang w:val="fr-FR"/>
        </w:rPr>
        <w:t>municipalités sélectionnées.</w:t>
      </w:r>
    </w:p>
    <w:p w14:paraId="3BD1DB06" w14:textId="0343A531" w:rsidR="00CA0011" w:rsidRPr="008E60B5" w:rsidRDefault="00CA0011" w:rsidP="00A15EC1">
      <w:pPr>
        <w:pStyle w:val="SingleTxt"/>
        <w:numPr>
          <w:ilvl w:val="0"/>
          <w:numId w:val="28"/>
        </w:numPr>
        <w:spacing w:line="240" w:lineRule="exact"/>
        <w:rPr>
          <w:bCs/>
          <w:lang w:val="fr-FR"/>
        </w:rPr>
      </w:pPr>
      <w:r w:rsidRPr="008E60B5">
        <w:rPr>
          <w:lang w:val="fr-FR"/>
        </w:rPr>
        <w:t>Un modèle de registre unique des cas de violence familiale a été élaboré en 2010 par le Secrétariat provincial en coopération avec l</w:t>
      </w:r>
      <w:r w:rsidR="008E60B5" w:rsidRPr="008E60B5">
        <w:rPr>
          <w:lang w:val="fr-FR"/>
        </w:rPr>
        <w:t>’</w:t>
      </w:r>
      <w:r w:rsidRPr="008E60B5">
        <w:rPr>
          <w:lang w:val="fr-FR"/>
        </w:rPr>
        <w:t>Autonomous Women</w:t>
      </w:r>
      <w:r w:rsidR="008E60B5" w:rsidRPr="008E60B5">
        <w:rPr>
          <w:lang w:val="fr-FR"/>
        </w:rPr>
        <w:t>’</w:t>
      </w:r>
      <w:r w:rsidRPr="008E60B5">
        <w:rPr>
          <w:lang w:val="fr-FR"/>
        </w:rPr>
        <w:t>s Centre et mis à l</w:t>
      </w:r>
      <w:r w:rsidR="008E60B5" w:rsidRPr="008E60B5">
        <w:rPr>
          <w:lang w:val="fr-FR"/>
        </w:rPr>
        <w:t>’</w:t>
      </w:r>
      <w:r w:rsidRPr="008E60B5">
        <w:rPr>
          <w:lang w:val="fr-FR"/>
        </w:rPr>
        <w:t>essai en 2013, puis intégré à la loi sur la prévention de la violence familiale et au plan d</w:t>
      </w:r>
      <w:r w:rsidR="008E60B5" w:rsidRPr="008E60B5">
        <w:rPr>
          <w:lang w:val="fr-FR"/>
        </w:rPr>
        <w:t>’</w:t>
      </w:r>
      <w:r w:rsidRPr="008E60B5">
        <w:rPr>
          <w:lang w:val="fr-FR"/>
        </w:rPr>
        <w:t>action relatif à la mise en œuvre de la Stratégie nationale pour l</w:t>
      </w:r>
      <w:r w:rsidR="008E60B5" w:rsidRPr="008E60B5">
        <w:rPr>
          <w:lang w:val="fr-FR"/>
        </w:rPr>
        <w:t>’</w:t>
      </w:r>
      <w:r w:rsidRPr="008E60B5">
        <w:rPr>
          <w:lang w:val="fr-FR"/>
        </w:rPr>
        <w:t>égalité des sexes pour</w:t>
      </w:r>
      <w:r w:rsidR="00002E6B" w:rsidRPr="008E60B5">
        <w:rPr>
          <w:lang w:val="fr-FR"/>
        </w:rPr>
        <w:t xml:space="preserve"> </w:t>
      </w:r>
      <w:r w:rsidRPr="008E60B5">
        <w:rPr>
          <w:lang w:val="fr-FR"/>
        </w:rPr>
        <w:t>la période 2016-2020.</w:t>
      </w:r>
    </w:p>
    <w:p w14:paraId="13E69FA1" w14:textId="402BE154" w:rsidR="00CA0011" w:rsidRPr="008E60B5" w:rsidRDefault="00CA0011" w:rsidP="00A15EC1">
      <w:pPr>
        <w:pStyle w:val="SingleTxt"/>
        <w:numPr>
          <w:ilvl w:val="0"/>
          <w:numId w:val="28"/>
        </w:numPr>
        <w:spacing w:line="240" w:lineRule="exact"/>
      </w:pPr>
      <w:r w:rsidRPr="008E60B5">
        <w:rPr>
          <w:lang w:val="fr-FR"/>
        </w:rPr>
        <w:t>Dans le territoire de la province autonome du Kosovo-Metohija, plus particulièrement dans les communautés où vivent des Serbes et des personnes non</w:t>
      </w:r>
      <w:r w:rsidR="00335D87">
        <w:rPr>
          <w:lang w:val="fr-FR"/>
        </w:rPr>
        <w:t xml:space="preserve"> </w:t>
      </w:r>
      <w:r w:rsidRPr="008E60B5">
        <w:rPr>
          <w:lang w:val="fr-FR"/>
        </w:rPr>
        <w:t>albanaises, les cas de violence familiale ne sont pas signalés en raison de la méfiance de la population envers les institutions du système. La situation est aggravée par des conditions de sécurité déplorables, ainsi que par l</w:t>
      </w:r>
      <w:r w:rsidR="008E60B5" w:rsidRPr="008E60B5">
        <w:rPr>
          <w:lang w:val="fr-FR"/>
        </w:rPr>
        <w:t>’</w:t>
      </w:r>
      <w:r w:rsidRPr="008E60B5">
        <w:rPr>
          <w:lang w:val="fr-FR"/>
        </w:rPr>
        <w:t>absence de formes de soins de substitution ou de programmes de soutien adéquats pour les personnes exposées à la violence.</w:t>
      </w:r>
    </w:p>
    <w:p w14:paraId="0DA4B713" w14:textId="3831FB0F" w:rsidR="00CA0011" w:rsidRPr="008E60B5" w:rsidRDefault="00CA0011" w:rsidP="00A15EC1">
      <w:pPr>
        <w:pStyle w:val="SingleTxt"/>
        <w:spacing w:after="0" w:line="120" w:lineRule="exact"/>
        <w:rPr>
          <w:sz w:val="10"/>
        </w:rPr>
      </w:pPr>
    </w:p>
    <w:p w14:paraId="707943F1" w14:textId="3F1AD6E1" w:rsidR="00A15EC1" w:rsidRPr="008E60B5" w:rsidRDefault="00A15EC1" w:rsidP="00A15EC1">
      <w:pPr>
        <w:pStyle w:val="SingleTxt"/>
        <w:spacing w:after="0" w:line="120" w:lineRule="exact"/>
        <w:rPr>
          <w:sz w:val="10"/>
        </w:rPr>
      </w:pPr>
    </w:p>
    <w:p w14:paraId="15B26347" w14:textId="77777777" w:rsidR="004F32D0" w:rsidRPr="008E60B5" w:rsidRDefault="004F32D0" w:rsidP="00F841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Article 6</w:t>
      </w:r>
    </w:p>
    <w:p w14:paraId="33C41884" w14:textId="77777777" w:rsidR="00A15EC1" w:rsidRPr="008E60B5" w:rsidRDefault="00A15EC1" w:rsidP="00F841A6">
      <w:pPr>
        <w:pStyle w:val="SingleTxt"/>
        <w:keepNext/>
        <w:spacing w:after="0" w:line="120" w:lineRule="exact"/>
        <w:rPr>
          <w:b/>
          <w:sz w:val="10"/>
          <w:lang w:val="fr-FR"/>
        </w:rPr>
      </w:pPr>
    </w:p>
    <w:p w14:paraId="5EF74E29" w14:textId="77777777" w:rsidR="00A15EC1" w:rsidRPr="008E60B5" w:rsidRDefault="00A15EC1" w:rsidP="00F841A6">
      <w:pPr>
        <w:pStyle w:val="SingleTxt"/>
        <w:keepNext/>
        <w:spacing w:after="0" w:line="120" w:lineRule="exact"/>
        <w:rPr>
          <w:b/>
          <w:sz w:val="10"/>
          <w:lang w:val="fr-FR"/>
        </w:rPr>
      </w:pPr>
    </w:p>
    <w:p w14:paraId="77975443" w14:textId="649C65B9" w:rsidR="004F32D0" w:rsidRPr="008E60B5" w:rsidRDefault="004F32D0" w:rsidP="00F841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Traite des femmes</w:t>
      </w:r>
    </w:p>
    <w:p w14:paraId="0ECDF893" w14:textId="77777777" w:rsidR="00A15EC1" w:rsidRPr="008E60B5" w:rsidRDefault="00A15EC1" w:rsidP="00F841A6">
      <w:pPr>
        <w:pStyle w:val="SingleTxt"/>
        <w:keepNext/>
        <w:spacing w:after="0" w:line="120" w:lineRule="exact"/>
        <w:rPr>
          <w:i/>
          <w:iCs/>
          <w:sz w:val="10"/>
          <w:lang w:val="fr-FR"/>
        </w:rPr>
      </w:pPr>
    </w:p>
    <w:p w14:paraId="03887465" w14:textId="6C62E1A1" w:rsidR="004F32D0" w:rsidRPr="008E60B5" w:rsidRDefault="00EE705F" w:rsidP="00EE705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F32D0" w:rsidRPr="008E60B5">
        <w:rPr>
          <w:lang w:val="fr-FR"/>
        </w:rPr>
        <w:t>Recommandation formulée au paragraphe 25</w:t>
      </w:r>
    </w:p>
    <w:p w14:paraId="06DB9ADE" w14:textId="28CAD4A3" w:rsidR="00A15EC1" w:rsidRPr="008E60B5" w:rsidRDefault="00A15EC1" w:rsidP="00F841A6">
      <w:pPr>
        <w:pStyle w:val="SingleTxt"/>
        <w:keepNext/>
        <w:spacing w:after="0" w:line="120" w:lineRule="exact"/>
        <w:rPr>
          <w:i/>
          <w:iCs/>
          <w:sz w:val="10"/>
          <w:lang w:val="fr-FR"/>
        </w:rPr>
      </w:pPr>
    </w:p>
    <w:p w14:paraId="24E60974" w14:textId="6E703B70" w:rsidR="004F32D0" w:rsidRPr="008E60B5" w:rsidRDefault="004F32D0" w:rsidP="00F841A6">
      <w:pPr>
        <w:pStyle w:val="SingleTxt"/>
        <w:keepNext/>
        <w:numPr>
          <w:ilvl w:val="0"/>
          <w:numId w:val="28"/>
        </w:numPr>
        <w:spacing w:line="240" w:lineRule="exact"/>
        <w:rPr>
          <w:b/>
          <w:lang w:val="fr-FR"/>
        </w:rPr>
      </w:pPr>
      <w:r w:rsidRPr="008E60B5">
        <w:rPr>
          <w:lang w:val="fr-FR"/>
        </w:rPr>
        <w:t>La stratégie relative à la prévention et à l</w:t>
      </w:r>
      <w:r w:rsidR="008E60B5" w:rsidRPr="008E60B5">
        <w:rPr>
          <w:lang w:val="fr-FR"/>
        </w:rPr>
        <w:t>’</w:t>
      </w:r>
      <w:r w:rsidRPr="008E60B5">
        <w:rPr>
          <w:lang w:val="fr-FR"/>
        </w:rPr>
        <w:t>élimination de la traite des êtres humains, en particulier des femmes et des enfants, et à la protection des victimes en République de Serbie pour la période 2017-2022 et son plan d</w:t>
      </w:r>
      <w:r w:rsidR="008E60B5" w:rsidRPr="008E60B5">
        <w:rPr>
          <w:lang w:val="fr-FR"/>
        </w:rPr>
        <w:t>’</w:t>
      </w:r>
      <w:r w:rsidRPr="008E60B5">
        <w:rPr>
          <w:lang w:val="fr-FR"/>
        </w:rPr>
        <w:t>action connexe sont en cours d</w:t>
      </w:r>
      <w:r w:rsidR="008E60B5" w:rsidRPr="008E60B5">
        <w:rPr>
          <w:lang w:val="fr-FR"/>
        </w:rPr>
        <w:t>’</w:t>
      </w:r>
      <w:r w:rsidRPr="008E60B5">
        <w:rPr>
          <w:lang w:val="fr-FR"/>
        </w:rPr>
        <w:t xml:space="preserve">adoption. La stratégie actuellement en vigueur est celle relative à </w:t>
      </w:r>
      <w:r w:rsidR="00335D87">
        <w:rPr>
          <w:lang w:val="fr-FR"/>
        </w:rPr>
        <w:t xml:space="preserve">la </w:t>
      </w:r>
      <w:r w:rsidRPr="008E60B5">
        <w:rPr>
          <w:lang w:val="fr-FR"/>
        </w:rPr>
        <w:t>lutte contre la traite des êtres humains adoptée en 2006, qui couvre une durée illimitée.</w:t>
      </w:r>
    </w:p>
    <w:p w14:paraId="28057AEA" w14:textId="596A6217" w:rsidR="004F32D0" w:rsidRPr="008E60B5" w:rsidRDefault="004F32D0" w:rsidP="00AF2B1C">
      <w:pPr>
        <w:pStyle w:val="SingleTxt"/>
        <w:numPr>
          <w:ilvl w:val="0"/>
          <w:numId w:val="33"/>
        </w:numPr>
        <w:spacing w:line="240" w:lineRule="exact"/>
        <w:rPr>
          <w:lang w:val="fr-FR"/>
        </w:rPr>
      </w:pPr>
      <w:r w:rsidRPr="008E60B5">
        <w:rPr>
          <w:lang w:val="fr-FR"/>
        </w:rPr>
        <w:t>En application d</w:t>
      </w:r>
      <w:r w:rsidR="008E60B5" w:rsidRPr="008E60B5">
        <w:rPr>
          <w:lang w:val="fr-FR"/>
        </w:rPr>
        <w:t>’</w:t>
      </w:r>
      <w:r w:rsidRPr="008E60B5">
        <w:rPr>
          <w:lang w:val="fr-FR"/>
        </w:rPr>
        <w:t>une décision du Gouvernement, le Centre de protection des victimes de la traite des êtres humains a été créé en avril 2012</w:t>
      </w:r>
      <w:r w:rsidRPr="008E60B5">
        <w:rPr>
          <w:vertAlign w:val="superscript"/>
          <w:lang w:val="fr-FR"/>
        </w:rPr>
        <w:footnoteReference w:id="7"/>
      </w:r>
      <w:r w:rsidRPr="008E60B5">
        <w:rPr>
          <w:lang w:val="fr-FR"/>
        </w:rPr>
        <w:t>. Cette institution de protection sociale évalue la situation, les besoins et les forces des victimes de la traite ainsi que les risques auxquels elles sont exposées, identifie ces victimes et leur apporte une assistance et un soutien adéquats en vue de leur réadaptation et leur réinsertion. Elle coordonne les services de protection sociale fournis aux victimes de la traite et coopère avec les centres d</w:t>
      </w:r>
      <w:r w:rsidR="008E60B5" w:rsidRPr="008E60B5">
        <w:rPr>
          <w:lang w:val="fr-FR"/>
        </w:rPr>
        <w:t>’</w:t>
      </w:r>
      <w:r w:rsidRPr="008E60B5">
        <w:rPr>
          <w:lang w:val="fr-FR"/>
        </w:rPr>
        <w:t>action sociale, les structures d</w:t>
      </w:r>
      <w:r w:rsidR="008E60B5" w:rsidRPr="008E60B5">
        <w:rPr>
          <w:lang w:val="fr-FR"/>
        </w:rPr>
        <w:t>’</w:t>
      </w:r>
      <w:r w:rsidRPr="008E60B5">
        <w:rPr>
          <w:lang w:val="fr-FR"/>
        </w:rPr>
        <w:t xml:space="preserve">accueil, le </w:t>
      </w:r>
      <w:r w:rsidRPr="008E60B5">
        <w:rPr>
          <w:lang w:val="fr-FR"/>
        </w:rPr>
        <w:lastRenderedPageBreak/>
        <w:t>Ministère de la justice, les bureaux des procureurs, les tribunaux et cours et les autres autorités compétentes pour veiller à ce que l</w:t>
      </w:r>
      <w:r w:rsidR="008E60B5" w:rsidRPr="008E60B5">
        <w:rPr>
          <w:lang w:val="fr-FR"/>
        </w:rPr>
        <w:t>’</w:t>
      </w:r>
      <w:r w:rsidRPr="008E60B5">
        <w:rPr>
          <w:lang w:val="fr-FR"/>
        </w:rPr>
        <w:t>intérêt supérieur des victimes de la traite et leur sécurité soient toujours pris en considération. Une autre tâche importante du Centre consiste à coordonner le rapatriement librement consenti des victimes vers leur pays d</w:t>
      </w:r>
      <w:r w:rsidR="008E60B5" w:rsidRPr="008E60B5">
        <w:rPr>
          <w:lang w:val="fr-FR"/>
        </w:rPr>
        <w:t>’</w:t>
      </w:r>
      <w:r w:rsidRPr="008E60B5">
        <w:rPr>
          <w:lang w:val="fr-FR"/>
        </w:rPr>
        <w:t>origine et à prendre des dispositions à cet effet. Le Centre passe actuellement par l</w:t>
      </w:r>
      <w:r w:rsidR="008E60B5" w:rsidRPr="008E60B5">
        <w:rPr>
          <w:lang w:val="fr-FR"/>
        </w:rPr>
        <w:t>’</w:t>
      </w:r>
      <w:r w:rsidRPr="008E60B5">
        <w:rPr>
          <w:lang w:val="fr-FR"/>
        </w:rPr>
        <w:t>intermédiaire du Service de coordination de la protection des victimes de la traite, tandis qu</w:t>
      </w:r>
      <w:r w:rsidR="008E60B5" w:rsidRPr="008E60B5">
        <w:rPr>
          <w:lang w:val="fr-FR"/>
        </w:rPr>
        <w:t>’</w:t>
      </w:r>
      <w:r w:rsidRPr="008E60B5">
        <w:rPr>
          <w:lang w:val="fr-FR"/>
        </w:rPr>
        <w:t>un centre d</w:t>
      </w:r>
      <w:r w:rsidR="008E60B5" w:rsidRPr="008E60B5">
        <w:rPr>
          <w:lang w:val="fr-FR"/>
        </w:rPr>
        <w:t>’</w:t>
      </w:r>
      <w:r w:rsidRPr="008E60B5">
        <w:rPr>
          <w:lang w:val="fr-FR"/>
        </w:rPr>
        <w:t>hébergement d</w:t>
      </w:r>
      <w:r w:rsidR="008E60B5" w:rsidRPr="008E60B5">
        <w:rPr>
          <w:lang w:val="fr-FR"/>
        </w:rPr>
        <w:t>’</w:t>
      </w:r>
      <w:r w:rsidRPr="008E60B5">
        <w:rPr>
          <w:lang w:val="fr-FR"/>
        </w:rPr>
        <w:t>urgence est en cours de création. Les victimes de la traite ont accès à tous les services qu</w:t>
      </w:r>
      <w:r w:rsidR="008E60B5" w:rsidRPr="008E60B5">
        <w:rPr>
          <w:lang w:val="fr-FR"/>
        </w:rPr>
        <w:t>’</w:t>
      </w:r>
      <w:r w:rsidRPr="008E60B5">
        <w:rPr>
          <w:lang w:val="fr-FR"/>
        </w:rPr>
        <w:t>offre le système de protection sociale, conformément à la loi sur la protection sociale et au</w:t>
      </w:r>
      <w:r w:rsidR="00002E6B" w:rsidRPr="008E60B5">
        <w:rPr>
          <w:lang w:val="fr-FR"/>
        </w:rPr>
        <w:t xml:space="preserve"> </w:t>
      </w:r>
      <w:r w:rsidRPr="008E60B5">
        <w:rPr>
          <w:lang w:val="fr-FR"/>
        </w:rPr>
        <w:t xml:space="preserve">droit de la famille. </w:t>
      </w:r>
    </w:p>
    <w:p w14:paraId="75491954" w14:textId="77F128CD" w:rsidR="004F32D0" w:rsidRPr="008E60B5" w:rsidRDefault="004F32D0" w:rsidP="00AF2B1C">
      <w:pPr>
        <w:pStyle w:val="SingleTxt"/>
        <w:numPr>
          <w:ilvl w:val="0"/>
          <w:numId w:val="33"/>
        </w:numPr>
        <w:spacing w:line="240" w:lineRule="exact"/>
        <w:rPr>
          <w:lang w:val="fr-FR"/>
        </w:rPr>
      </w:pPr>
      <w:r w:rsidRPr="008E60B5">
        <w:rPr>
          <w:lang w:val="fr-FR"/>
        </w:rPr>
        <w:t xml:space="preserve">Le Service est accessible 24 heures sur 24 au 00 381 63 610 590. </w:t>
      </w:r>
    </w:p>
    <w:p w14:paraId="105D9FCF" w14:textId="7913510A" w:rsidR="004F32D0" w:rsidRPr="008E60B5" w:rsidRDefault="004F32D0" w:rsidP="00AF2B1C">
      <w:pPr>
        <w:pStyle w:val="SingleTxt"/>
        <w:numPr>
          <w:ilvl w:val="0"/>
          <w:numId w:val="33"/>
        </w:numPr>
        <w:spacing w:line="240" w:lineRule="exact"/>
        <w:rPr>
          <w:lang w:val="fr-FR"/>
        </w:rPr>
      </w:pPr>
      <w:r w:rsidRPr="008E60B5">
        <w:rPr>
          <w:lang w:val="fr-FR"/>
        </w:rPr>
        <w:t>En janvier 2016, le Centre a signé un mémorandum de coopération avec l</w:t>
      </w:r>
      <w:r w:rsidR="008E60B5" w:rsidRPr="008E60B5">
        <w:rPr>
          <w:lang w:val="fr-FR"/>
        </w:rPr>
        <w:t>’</w:t>
      </w:r>
      <w:r w:rsidRPr="008E60B5">
        <w:rPr>
          <w:lang w:val="fr-FR"/>
        </w:rPr>
        <w:t>organisation de la société civile Astra et, depuis avril 2017, il coopère également avec Jesuit Refugee Service pour fixer les modalités concernant leurs obligations mutuelles en matière d</w:t>
      </w:r>
      <w:r w:rsidR="008E60B5" w:rsidRPr="008E60B5">
        <w:rPr>
          <w:lang w:val="fr-FR"/>
        </w:rPr>
        <w:t>’</w:t>
      </w:r>
      <w:r w:rsidRPr="008E60B5">
        <w:rPr>
          <w:lang w:val="fr-FR"/>
        </w:rPr>
        <w:t>hébergement des migrants mineurs victimes de la traite. De nombreux mémorandums de coopération ont été signés entre les pouvoirs publics et des organisations de la société civile, par exemple entre le Bureau du Procureur de la République et la Victimology Society of Serbia, Astra et Atina, entre le Ministère de l</w:t>
      </w:r>
      <w:r w:rsidR="008E60B5" w:rsidRPr="008E60B5">
        <w:rPr>
          <w:lang w:val="fr-FR"/>
        </w:rPr>
        <w:t>’</w:t>
      </w:r>
      <w:r w:rsidRPr="008E60B5">
        <w:rPr>
          <w:lang w:val="fr-FR"/>
        </w:rPr>
        <w:t>éducation, des sciences et du développement technologique et Unitas Fund, ou encore entre le Ministère de la jeunesse et des sports et l</w:t>
      </w:r>
      <w:r w:rsidR="008E60B5" w:rsidRPr="008E60B5">
        <w:rPr>
          <w:lang w:val="fr-FR"/>
        </w:rPr>
        <w:t>’</w:t>
      </w:r>
      <w:r w:rsidRPr="008E60B5">
        <w:rPr>
          <w:lang w:val="fr-FR"/>
        </w:rPr>
        <w:t>organisation de la société civile Your Serbia, afin d</w:t>
      </w:r>
      <w:r w:rsidR="008E60B5" w:rsidRPr="008E60B5">
        <w:rPr>
          <w:lang w:val="fr-FR"/>
        </w:rPr>
        <w:t>’</w:t>
      </w:r>
      <w:r w:rsidRPr="008E60B5">
        <w:rPr>
          <w:lang w:val="fr-FR"/>
        </w:rPr>
        <w:t>officialiser la coopération en matière de prévention et d</w:t>
      </w:r>
      <w:r w:rsidR="008E60B5" w:rsidRPr="008E60B5">
        <w:rPr>
          <w:lang w:val="fr-FR"/>
        </w:rPr>
        <w:t>’</w:t>
      </w:r>
      <w:r w:rsidRPr="008E60B5">
        <w:rPr>
          <w:lang w:val="fr-FR"/>
        </w:rPr>
        <w:t>élimination de la traite des êtres humains et de préciser le rôle des partenaires dans ce processus.</w:t>
      </w:r>
    </w:p>
    <w:p w14:paraId="72C87813" w14:textId="58623BDA" w:rsidR="004F32D0" w:rsidRPr="008E60B5" w:rsidRDefault="004F32D0" w:rsidP="00AF2B1C">
      <w:pPr>
        <w:pStyle w:val="SingleTxt"/>
        <w:numPr>
          <w:ilvl w:val="0"/>
          <w:numId w:val="33"/>
        </w:numPr>
        <w:spacing w:line="240" w:lineRule="exact"/>
        <w:rPr>
          <w:lang w:val="fr-FR"/>
        </w:rPr>
      </w:pPr>
      <w:r w:rsidRPr="008E60B5">
        <w:rPr>
          <w:lang w:val="fr-FR"/>
        </w:rPr>
        <w:t>Des indicateurs permettant un recensement préliminaire des victimes de la traite (éducation, enfants, adultes et police) ont été publiés en 2015. Pour s</w:t>
      </w:r>
      <w:r w:rsidR="008E60B5" w:rsidRPr="008E60B5">
        <w:rPr>
          <w:lang w:val="fr-FR"/>
        </w:rPr>
        <w:t>’</w:t>
      </w:r>
      <w:r w:rsidRPr="008E60B5">
        <w:rPr>
          <w:lang w:val="fr-FR"/>
        </w:rPr>
        <w:t>assurer qu</w:t>
      </w:r>
      <w:r w:rsidR="008E60B5" w:rsidRPr="008E60B5">
        <w:rPr>
          <w:lang w:val="fr-FR"/>
        </w:rPr>
        <w:t>’</w:t>
      </w:r>
      <w:r w:rsidRPr="008E60B5">
        <w:rPr>
          <w:lang w:val="fr-FR"/>
        </w:rPr>
        <w:t>ils sont bien utilisés, des experts du système de protection sociale, de la police et du système éducatif de 25 villes serbes ont reçu une formation à cet égard.</w:t>
      </w:r>
    </w:p>
    <w:p w14:paraId="0FB373BB" w14:textId="2E82F23B" w:rsidR="004F32D0" w:rsidRPr="008E60B5" w:rsidRDefault="004F32D0" w:rsidP="00AF2B1C">
      <w:pPr>
        <w:pStyle w:val="SingleTxt"/>
        <w:numPr>
          <w:ilvl w:val="0"/>
          <w:numId w:val="33"/>
        </w:numPr>
        <w:spacing w:line="240" w:lineRule="exact"/>
        <w:rPr>
          <w:lang w:val="fr-FR"/>
        </w:rPr>
      </w:pPr>
      <w:r w:rsidRPr="008E60B5">
        <w:rPr>
          <w:lang w:val="fr-FR"/>
        </w:rPr>
        <w:t>Pendant la période à l</w:t>
      </w:r>
      <w:r w:rsidR="008E60B5" w:rsidRPr="008E60B5">
        <w:rPr>
          <w:lang w:val="fr-FR"/>
        </w:rPr>
        <w:t>’</w:t>
      </w:r>
      <w:r w:rsidRPr="008E60B5">
        <w:rPr>
          <w:lang w:val="fr-FR"/>
        </w:rPr>
        <w:t>examen, le pourcentage de femmes parmi les victimes recensées a augmenté chaque année, excepté en 2014, année marquée par une exploitation accrue des ouvriers du bâtiment. En 2013, les femmes représentaient 62</w:t>
      </w:r>
      <w:r w:rsidR="00002E6B" w:rsidRPr="008E60B5">
        <w:rPr>
          <w:lang w:val="fr-FR"/>
        </w:rPr>
        <w:t> %</w:t>
      </w:r>
      <w:r w:rsidRPr="008E60B5">
        <w:rPr>
          <w:lang w:val="fr-FR"/>
        </w:rPr>
        <w:t xml:space="preserve"> des victimes enregistrées, en 2015 80</w:t>
      </w:r>
      <w:r w:rsidR="00002E6B" w:rsidRPr="008E60B5">
        <w:rPr>
          <w:lang w:val="fr-FR"/>
        </w:rPr>
        <w:t> %</w:t>
      </w:r>
      <w:r w:rsidRPr="008E60B5">
        <w:rPr>
          <w:lang w:val="fr-FR"/>
        </w:rPr>
        <w:t xml:space="preserve"> et en 2016 82</w:t>
      </w:r>
      <w:r w:rsidR="00002E6B" w:rsidRPr="008E60B5">
        <w:rPr>
          <w:lang w:val="fr-FR"/>
        </w:rPr>
        <w:t> %</w:t>
      </w:r>
      <w:r w:rsidRPr="008E60B5">
        <w:rPr>
          <w:lang w:val="fr-FR"/>
        </w:rPr>
        <w:t>.</w:t>
      </w:r>
    </w:p>
    <w:p w14:paraId="6A9FF719" w14:textId="77777777" w:rsidR="00AF2B1C" w:rsidRPr="008E60B5" w:rsidRDefault="00AF2B1C" w:rsidP="00AF2B1C">
      <w:pPr>
        <w:pStyle w:val="SingleTxt"/>
        <w:spacing w:after="0" w:line="120" w:lineRule="exact"/>
        <w:rPr>
          <w:b/>
          <w:bCs/>
          <w:sz w:val="10"/>
          <w:lang w:val="fr-FR"/>
        </w:rPr>
      </w:pPr>
    </w:p>
    <w:p w14:paraId="726B861A" w14:textId="6A8794CA" w:rsidR="004F32D0" w:rsidRPr="008E60B5" w:rsidRDefault="00AF2B1C" w:rsidP="00AF2B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r>
      <w:r w:rsidR="004F32D0" w:rsidRPr="008E60B5">
        <w:rPr>
          <w:lang w:val="fr-FR"/>
        </w:rPr>
        <w:t>Vue d</w:t>
      </w:r>
      <w:r w:rsidR="008E60B5" w:rsidRPr="008E60B5">
        <w:rPr>
          <w:lang w:val="fr-FR"/>
        </w:rPr>
        <w:t>’</w:t>
      </w:r>
      <w:r w:rsidR="004F32D0" w:rsidRPr="008E60B5">
        <w:rPr>
          <w:lang w:val="fr-FR"/>
        </w:rPr>
        <w:t>ensemble des femmes victimes de la traite des êtres humains, recensées</w:t>
      </w:r>
      <w:r w:rsidRPr="008E60B5">
        <w:rPr>
          <w:lang w:val="fr-FR"/>
        </w:rPr>
        <w:br/>
      </w:r>
      <w:r w:rsidR="004F32D0" w:rsidRPr="008E60B5">
        <w:rPr>
          <w:lang w:val="fr-FR"/>
        </w:rPr>
        <w:t>par âge entre juillet 2013 et le 31 mars 2017</w:t>
      </w:r>
    </w:p>
    <w:p w14:paraId="7D6EF9DF" w14:textId="3D818350" w:rsidR="00AF2B1C" w:rsidRPr="008E60B5" w:rsidRDefault="00AF2B1C" w:rsidP="00F841A6">
      <w:pPr>
        <w:pStyle w:val="SingleTxt"/>
        <w:spacing w:after="0" w:line="120" w:lineRule="exact"/>
        <w:rPr>
          <w:sz w:val="10"/>
          <w:lang w:val="fr-FR"/>
        </w:rPr>
      </w:pPr>
    </w:p>
    <w:p w14:paraId="2C975DA5" w14:textId="77777777" w:rsidR="00F841A6" w:rsidRPr="008E60B5" w:rsidRDefault="00F841A6" w:rsidP="00AF2B1C">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2520"/>
        <w:gridCol w:w="1600"/>
        <w:gridCol w:w="1600"/>
        <w:gridCol w:w="1600"/>
      </w:tblGrid>
      <w:tr w:rsidR="004F32D0" w:rsidRPr="008E60B5" w14:paraId="32816F82" w14:textId="77777777" w:rsidTr="00AF2B1C">
        <w:trPr>
          <w:cantSplit/>
          <w:trHeight w:val="20"/>
          <w:tblHeader/>
        </w:trPr>
        <w:tc>
          <w:tcPr>
            <w:tcW w:w="2520" w:type="dxa"/>
            <w:tcBorders>
              <w:top w:val="single" w:sz="4" w:space="0" w:color="auto"/>
              <w:bottom w:val="single" w:sz="12" w:space="0" w:color="auto"/>
            </w:tcBorders>
            <w:shd w:val="clear" w:color="auto" w:fill="auto"/>
            <w:vAlign w:val="bottom"/>
          </w:tcPr>
          <w:p w14:paraId="220483FD" w14:textId="0A868292" w:rsidR="004F32D0" w:rsidRPr="008E60B5" w:rsidRDefault="004F32D0" w:rsidP="00AF2B1C">
            <w:pPr>
              <w:pStyle w:val="SingleTxt"/>
              <w:spacing w:before="81" w:after="81" w:line="160" w:lineRule="exact"/>
              <w:ind w:left="0" w:right="40"/>
              <w:rPr>
                <w:i/>
                <w:sz w:val="14"/>
                <w:lang w:val="en-GB"/>
              </w:rPr>
            </w:pPr>
            <w:r w:rsidRPr="008E60B5">
              <w:rPr>
                <w:i/>
                <w:sz w:val="14"/>
                <w:lang w:val="en-GB"/>
              </w:rPr>
              <w:t>Forme d</w:t>
            </w:r>
            <w:r w:rsidR="008E60B5" w:rsidRPr="008E60B5">
              <w:rPr>
                <w:i/>
                <w:sz w:val="14"/>
                <w:lang w:val="en-GB"/>
              </w:rPr>
              <w:t>’</w:t>
            </w:r>
            <w:r w:rsidRPr="008E60B5">
              <w:rPr>
                <w:i/>
                <w:sz w:val="14"/>
                <w:lang w:val="en-GB"/>
              </w:rPr>
              <w:t>exploitation</w:t>
            </w:r>
          </w:p>
        </w:tc>
        <w:tc>
          <w:tcPr>
            <w:tcW w:w="1600" w:type="dxa"/>
            <w:tcBorders>
              <w:top w:val="single" w:sz="4" w:space="0" w:color="auto"/>
              <w:bottom w:val="single" w:sz="12" w:space="0" w:color="auto"/>
            </w:tcBorders>
            <w:shd w:val="clear" w:color="auto" w:fill="auto"/>
            <w:vAlign w:val="bottom"/>
          </w:tcPr>
          <w:p w14:paraId="22485428" w14:textId="77777777" w:rsidR="004F32D0" w:rsidRPr="008E60B5" w:rsidRDefault="004F32D0" w:rsidP="00AF2B1C">
            <w:pPr>
              <w:pStyle w:val="SingleTxt"/>
              <w:spacing w:before="81" w:after="81" w:line="160" w:lineRule="exact"/>
              <w:ind w:left="144" w:right="43"/>
              <w:jc w:val="right"/>
              <w:rPr>
                <w:i/>
                <w:sz w:val="14"/>
                <w:lang w:val="en-GB"/>
              </w:rPr>
            </w:pPr>
            <w:r w:rsidRPr="008E60B5">
              <w:rPr>
                <w:i/>
                <w:sz w:val="14"/>
                <w:lang w:val="en-GB"/>
              </w:rPr>
              <w:t>Victimes mineures</w:t>
            </w:r>
          </w:p>
        </w:tc>
        <w:tc>
          <w:tcPr>
            <w:tcW w:w="1600" w:type="dxa"/>
            <w:tcBorders>
              <w:top w:val="single" w:sz="4" w:space="0" w:color="auto"/>
              <w:bottom w:val="single" w:sz="12" w:space="0" w:color="auto"/>
            </w:tcBorders>
            <w:shd w:val="clear" w:color="auto" w:fill="auto"/>
            <w:vAlign w:val="bottom"/>
          </w:tcPr>
          <w:p w14:paraId="4BD154CD" w14:textId="5D87B763" w:rsidR="004F32D0" w:rsidRPr="008E60B5" w:rsidRDefault="004F32D0" w:rsidP="00AF2B1C">
            <w:pPr>
              <w:pStyle w:val="SingleTxt"/>
              <w:spacing w:before="81" w:after="81" w:line="160" w:lineRule="exact"/>
              <w:ind w:left="144" w:right="43"/>
              <w:jc w:val="right"/>
              <w:rPr>
                <w:i/>
                <w:sz w:val="14"/>
                <w:lang w:val="en-GB"/>
              </w:rPr>
            </w:pPr>
            <w:r w:rsidRPr="008E60B5">
              <w:rPr>
                <w:i/>
                <w:sz w:val="14"/>
                <w:lang w:val="en-GB"/>
              </w:rPr>
              <w:t>Victimes majeures</w:t>
            </w:r>
          </w:p>
        </w:tc>
        <w:tc>
          <w:tcPr>
            <w:tcW w:w="1600" w:type="dxa"/>
            <w:tcBorders>
              <w:top w:val="single" w:sz="4" w:space="0" w:color="auto"/>
              <w:bottom w:val="single" w:sz="12" w:space="0" w:color="auto"/>
            </w:tcBorders>
            <w:shd w:val="clear" w:color="auto" w:fill="auto"/>
            <w:vAlign w:val="bottom"/>
          </w:tcPr>
          <w:p w14:paraId="38AF273F" w14:textId="77777777" w:rsidR="004F32D0" w:rsidRPr="008E60B5" w:rsidRDefault="004F32D0" w:rsidP="00AF2B1C">
            <w:pPr>
              <w:pStyle w:val="SingleTxt"/>
              <w:spacing w:before="81" w:after="81" w:line="160" w:lineRule="exact"/>
              <w:ind w:left="144" w:right="43"/>
              <w:jc w:val="right"/>
              <w:rPr>
                <w:i/>
                <w:sz w:val="14"/>
                <w:lang w:val="en-GB"/>
              </w:rPr>
            </w:pPr>
            <w:r w:rsidRPr="008E60B5">
              <w:rPr>
                <w:i/>
                <w:sz w:val="14"/>
                <w:lang w:val="en-GB"/>
              </w:rPr>
              <w:t>Total</w:t>
            </w:r>
          </w:p>
        </w:tc>
      </w:tr>
      <w:tr w:rsidR="00AF2B1C" w:rsidRPr="008E60B5" w14:paraId="4B2D009F" w14:textId="77777777" w:rsidTr="00AF2B1C">
        <w:trPr>
          <w:cantSplit/>
          <w:trHeight w:hRule="exact" w:val="115"/>
          <w:tblHeader/>
        </w:trPr>
        <w:tc>
          <w:tcPr>
            <w:tcW w:w="2520" w:type="dxa"/>
            <w:tcBorders>
              <w:top w:val="single" w:sz="12" w:space="0" w:color="auto"/>
            </w:tcBorders>
            <w:shd w:val="clear" w:color="auto" w:fill="auto"/>
            <w:vAlign w:val="bottom"/>
          </w:tcPr>
          <w:p w14:paraId="3038D46C" w14:textId="77777777" w:rsidR="00AF2B1C" w:rsidRPr="008E60B5" w:rsidRDefault="00AF2B1C" w:rsidP="00AF2B1C">
            <w:pPr>
              <w:pStyle w:val="SingleTxt"/>
              <w:spacing w:before="40" w:after="40" w:line="210" w:lineRule="exact"/>
              <w:ind w:left="0" w:right="40"/>
              <w:rPr>
                <w:sz w:val="17"/>
                <w:lang w:val="en-GB"/>
              </w:rPr>
            </w:pPr>
          </w:p>
        </w:tc>
        <w:tc>
          <w:tcPr>
            <w:tcW w:w="1600" w:type="dxa"/>
            <w:tcBorders>
              <w:top w:val="single" w:sz="12" w:space="0" w:color="auto"/>
            </w:tcBorders>
            <w:shd w:val="clear" w:color="auto" w:fill="auto"/>
            <w:vAlign w:val="bottom"/>
          </w:tcPr>
          <w:p w14:paraId="0F39EDE8" w14:textId="77777777" w:rsidR="00AF2B1C" w:rsidRPr="008E60B5" w:rsidRDefault="00AF2B1C" w:rsidP="00AF2B1C">
            <w:pPr>
              <w:pStyle w:val="SingleTxt"/>
              <w:spacing w:before="40" w:after="40" w:line="210" w:lineRule="exact"/>
              <w:ind w:left="144" w:right="43"/>
              <w:jc w:val="right"/>
              <w:rPr>
                <w:sz w:val="17"/>
                <w:lang w:val="en-GB"/>
              </w:rPr>
            </w:pPr>
          </w:p>
        </w:tc>
        <w:tc>
          <w:tcPr>
            <w:tcW w:w="1600" w:type="dxa"/>
            <w:tcBorders>
              <w:top w:val="single" w:sz="12" w:space="0" w:color="auto"/>
            </w:tcBorders>
            <w:shd w:val="clear" w:color="auto" w:fill="auto"/>
            <w:vAlign w:val="bottom"/>
          </w:tcPr>
          <w:p w14:paraId="3C689960" w14:textId="77777777" w:rsidR="00AF2B1C" w:rsidRPr="008E60B5" w:rsidRDefault="00AF2B1C" w:rsidP="00AF2B1C">
            <w:pPr>
              <w:pStyle w:val="SingleTxt"/>
              <w:spacing w:before="40" w:after="40" w:line="210" w:lineRule="exact"/>
              <w:ind w:left="144" w:right="43"/>
              <w:jc w:val="right"/>
              <w:rPr>
                <w:sz w:val="17"/>
                <w:lang w:val="en-GB"/>
              </w:rPr>
            </w:pPr>
          </w:p>
        </w:tc>
        <w:tc>
          <w:tcPr>
            <w:tcW w:w="1600" w:type="dxa"/>
            <w:tcBorders>
              <w:top w:val="single" w:sz="12" w:space="0" w:color="auto"/>
            </w:tcBorders>
            <w:shd w:val="clear" w:color="auto" w:fill="auto"/>
            <w:vAlign w:val="bottom"/>
          </w:tcPr>
          <w:p w14:paraId="13D0C547" w14:textId="77777777" w:rsidR="00AF2B1C" w:rsidRPr="008E60B5" w:rsidRDefault="00AF2B1C" w:rsidP="00AF2B1C">
            <w:pPr>
              <w:pStyle w:val="SingleTxt"/>
              <w:spacing w:before="40" w:after="40" w:line="210" w:lineRule="exact"/>
              <w:ind w:left="144" w:right="43"/>
              <w:jc w:val="right"/>
              <w:rPr>
                <w:sz w:val="17"/>
                <w:lang w:val="en-GB"/>
              </w:rPr>
            </w:pPr>
          </w:p>
        </w:tc>
      </w:tr>
      <w:tr w:rsidR="004F32D0" w:rsidRPr="008E60B5" w14:paraId="76EED8F6" w14:textId="77777777" w:rsidTr="00AF2B1C">
        <w:trPr>
          <w:cantSplit/>
          <w:trHeight w:val="20"/>
        </w:trPr>
        <w:tc>
          <w:tcPr>
            <w:tcW w:w="2520" w:type="dxa"/>
            <w:shd w:val="clear" w:color="auto" w:fill="auto"/>
            <w:vAlign w:val="bottom"/>
          </w:tcPr>
          <w:p w14:paraId="2A9F9CFA" w14:textId="77777777" w:rsidR="004F32D0" w:rsidRPr="008E60B5" w:rsidRDefault="004F32D0" w:rsidP="00AF2B1C">
            <w:pPr>
              <w:pStyle w:val="SingleTxt"/>
              <w:tabs>
                <w:tab w:val="left" w:pos="288"/>
                <w:tab w:val="left" w:pos="576"/>
                <w:tab w:val="left" w:pos="864"/>
                <w:tab w:val="left" w:pos="1152"/>
              </w:tabs>
              <w:spacing w:before="40" w:after="40" w:line="210" w:lineRule="exact"/>
              <w:ind w:left="0" w:right="40"/>
              <w:rPr>
                <w:sz w:val="17"/>
                <w:lang w:val="en-GB"/>
              </w:rPr>
            </w:pPr>
            <w:r w:rsidRPr="008E60B5">
              <w:rPr>
                <w:sz w:val="17"/>
                <w:lang w:val="en-GB"/>
              </w:rPr>
              <w:t>Exploitation sexuelle</w:t>
            </w:r>
          </w:p>
        </w:tc>
        <w:tc>
          <w:tcPr>
            <w:tcW w:w="1600" w:type="dxa"/>
            <w:shd w:val="clear" w:color="auto" w:fill="auto"/>
            <w:vAlign w:val="bottom"/>
          </w:tcPr>
          <w:p w14:paraId="4855F8FD" w14:textId="77777777" w:rsidR="004F32D0" w:rsidRPr="008E60B5" w:rsidRDefault="004F32D0" w:rsidP="00AF2B1C">
            <w:pPr>
              <w:pStyle w:val="SingleTxt"/>
              <w:tabs>
                <w:tab w:val="left" w:pos="288"/>
                <w:tab w:val="left" w:pos="576"/>
                <w:tab w:val="left" w:pos="864"/>
                <w:tab w:val="left" w:pos="1152"/>
              </w:tabs>
              <w:spacing w:before="40" w:after="40" w:line="210" w:lineRule="exact"/>
              <w:ind w:left="144" w:right="43"/>
              <w:jc w:val="right"/>
              <w:rPr>
                <w:sz w:val="17"/>
                <w:lang w:val="en-GB"/>
              </w:rPr>
            </w:pPr>
            <w:r w:rsidRPr="008E60B5">
              <w:rPr>
                <w:sz w:val="17"/>
                <w:lang w:val="en-GB"/>
              </w:rPr>
              <w:t>28</w:t>
            </w:r>
          </w:p>
        </w:tc>
        <w:tc>
          <w:tcPr>
            <w:tcW w:w="1600" w:type="dxa"/>
            <w:shd w:val="clear" w:color="auto" w:fill="auto"/>
            <w:vAlign w:val="bottom"/>
          </w:tcPr>
          <w:p w14:paraId="253DD768" w14:textId="77777777" w:rsidR="004F32D0" w:rsidRPr="008E60B5" w:rsidRDefault="004F32D0" w:rsidP="00AF2B1C">
            <w:pPr>
              <w:pStyle w:val="SingleTxt"/>
              <w:tabs>
                <w:tab w:val="left" w:pos="288"/>
                <w:tab w:val="left" w:pos="576"/>
                <w:tab w:val="left" w:pos="864"/>
                <w:tab w:val="left" w:pos="1152"/>
              </w:tabs>
              <w:spacing w:before="40" w:after="40" w:line="210" w:lineRule="exact"/>
              <w:ind w:left="144" w:right="43"/>
              <w:jc w:val="right"/>
              <w:rPr>
                <w:sz w:val="17"/>
                <w:lang w:val="en-GB"/>
              </w:rPr>
            </w:pPr>
            <w:r w:rsidRPr="008E60B5">
              <w:rPr>
                <w:sz w:val="17"/>
                <w:lang w:val="en-GB"/>
              </w:rPr>
              <w:t>51</w:t>
            </w:r>
          </w:p>
        </w:tc>
        <w:tc>
          <w:tcPr>
            <w:tcW w:w="1600" w:type="dxa"/>
            <w:shd w:val="clear" w:color="auto" w:fill="auto"/>
            <w:vAlign w:val="bottom"/>
          </w:tcPr>
          <w:p w14:paraId="507D6DEC" w14:textId="77777777" w:rsidR="004F32D0" w:rsidRPr="008E60B5" w:rsidRDefault="004F32D0" w:rsidP="00AF2B1C">
            <w:pPr>
              <w:pStyle w:val="SingleTxt"/>
              <w:tabs>
                <w:tab w:val="left" w:pos="288"/>
                <w:tab w:val="left" w:pos="576"/>
                <w:tab w:val="left" w:pos="864"/>
                <w:tab w:val="left" w:pos="1152"/>
              </w:tabs>
              <w:spacing w:before="40" w:after="40" w:line="210" w:lineRule="exact"/>
              <w:ind w:left="144" w:right="43"/>
              <w:jc w:val="right"/>
              <w:rPr>
                <w:sz w:val="17"/>
                <w:lang w:val="en-GB"/>
              </w:rPr>
            </w:pPr>
            <w:r w:rsidRPr="008E60B5">
              <w:rPr>
                <w:sz w:val="17"/>
                <w:lang w:val="en-GB"/>
              </w:rPr>
              <w:t>79</w:t>
            </w:r>
          </w:p>
        </w:tc>
      </w:tr>
      <w:tr w:rsidR="004F32D0" w:rsidRPr="008E60B5" w14:paraId="23DEE719" w14:textId="77777777" w:rsidTr="00AF2B1C">
        <w:trPr>
          <w:cantSplit/>
          <w:trHeight w:val="20"/>
        </w:trPr>
        <w:tc>
          <w:tcPr>
            <w:tcW w:w="2520" w:type="dxa"/>
            <w:shd w:val="clear" w:color="auto" w:fill="auto"/>
            <w:vAlign w:val="bottom"/>
          </w:tcPr>
          <w:p w14:paraId="44065A97" w14:textId="77777777" w:rsidR="004F32D0" w:rsidRPr="008E60B5" w:rsidRDefault="004F32D0" w:rsidP="00AF2B1C">
            <w:pPr>
              <w:pStyle w:val="SingleTxt"/>
              <w:tabs>
                <w:tab w:val="left" w:pos="288"/>
                <w:tab w:val="left" w:pos="576"/>
                <w:tab w:val="left" w:pos="864"/>
                <w:tab w:val="left" w:pos="1152"/>
              </w:tabs>
              <w:spacing w:before="40" w:after="40" w:line="210" w:lineRule="exact"/>
              <w:ind w:left="0" w:right="40"/>
              <w:rPr>
                <w:sz w:val="17"/>
                <w:lang w:val="en-GB"/>
              </w:rPr>
            </w:pPr>
            <w:r w:rsidRPr="008E60B5">
              <w:rPr>
                <w:sz w:val="17"/>
                <w:lang w:val="en-GB"/>
              </w:rPr>
              <w:t>Mariage forcé</w:t>
            </w:r>
          </w:p>
        </w:tc>
        <w:tc>
          <w:tcPr>
            <w:tcW w:w="1600" w:type="dxa"/>
            <w:shd w:val="clear" w:color="auto" w:fill="auto"/>
            <w:vAlign w:val="bottom"/>
          </w:tcPr>
          <w:p w14:paraId="42CE2B32" w14:textId="77777777" w:rsidR="004F32D0" w:rsidRPr="008E60B5" w:rsidRDefault="004F32D0" w:rsidP="00AF2B1C">
            <w:pPr>
              <w:pStyle w:val="SingleTxt"/>
              <w:tabs>
                <w:tab w:val="left" w:pos="288"/>
                <w:tab w:val="left" w:pos="576"/>
                <w:tab w:val="left" w:pos="864"/>
                <w:tab w:val="left" w:pos="1152"/>
              </w:tabs>
              <w:spacing w:before="40" w:after="40" w:line="210" w:lineRule="exact"/>
              <w:ind w:left="144" w:right="43"/>
              <w:jc w:val="right"/>
              <w:rPr>
                <w:sz w:val="17"/>
                <w:lang w:val="en-GB"/>
              </w:rPr>
            </w:pPr>
            <w:r w:rsidRPr="008E60B5">
              <w:rPr>
                <w:sz w:val="17"/>
                <w:lang w:val="en-GB"/>
              </w:rPr>
              <w:t>12</w:t>
            </w:r>
          </w:p>
        </w:tc>
        <w:tc>
          <w:tcPr>
            <w:tcW w:w="1600" w:type="dxa"/>
            <w:shd w:val="clear" w:color="auto" w:fill="auto"/>
            <w:vAlign w:val="bottom"/>
          </w:tcPr>
          <w:p w14:paraId="7A5BFCEB" w14:textId="77777777" w:rsidR="004F32D0" w:rsidRPr="008E60B5" w:rsidRDefault="004F32D0" w:rsidP="00AF2B1C">
            <w:pPr>
              <w:pStyle w:val="SingleTxt"/>
              <w:tabs>
                <w:tab w:val="left" w:pos="288"/>
                <w:tab w:val="left" w:pos="576"/>
                <w:tab w:val="left" w:pos="864"/>
                <w:tab w:val="left" w:pos="1152"/>
              </w:tabs>
              <w:spacing w:before="40" w:after="40" w:line="210" w:lineRule="exact"/>
              <w:ind w:left="144" w:right="43"/>
              <w:jc w:val="right"/>
              <w:rPr>
                <w:sz w:val="17"/>
                <w:lang w:val="en-GB"/>
              </w:rPr>
            </w:pPr>
            <w:r w:rsidRPr="008E60B5">
              <w:rPr>
                <w:sz w:val="17"/>
                <w:lang w:val="en-GB"/>
              </w:rPr>
              <w:t>4</w:t>
            </w:r>
          </w:p>
        </w:tc>
        <w:tc>
          <w:tcPr>
            <w:tcW w:w="1600" w:type="dxa"/>
            <w:shd w:val="clear" w:color="auto" w:fill="auto"/>
            <w:vAlign w:val="bottom"/>
          </w:tcPr>
          <w:p w14:paraId="3602C8D2" w14:textId="77777777" w:rsidR="004F32D0" w:rsidRPr="008E60B5" w:rsidRDefault="004F32D0" w:rsidP="00AF2B1C">
            <w:pPr>
              <w:pStyle w:val="SingleTxt"/>
              <w:tabs>
                <w:tab w:val="left" w:pos="288"/>
                <w:tab w:val="left" w:pos="576"/>
                <w:tab w:val="left" w:pos="864"/>
                <w:tab w:val="left" w:pos="1152"/>
              </w:tabs>
              <w:spacing w:before="40" w:after="40" w:line="210" w:lineRule="exact"/>
              <w:ind w:left="144" w:right="43"/>
              <w:jc w:val="right"/>
              <w:rPr>
                <w:sz w:val="17"/>
                <w:lang w:val="en-GB"/>
              </w:rPr>
            </w:pPr>
            <w:r w:rsidRPr="008E60B5">
              <w:rPr>
                <w:sz w:val="17"/>
                <w:lang w:val="en-GB"/>
              </w:rPr>
              <w:t>16</w:t>
            </w:r>
          </w:p>
        </w:tc>
      </w:tr>
      <w:tr w:rsidR="004F32D0" w:rsidRPr="008E60B5" w14:paraId="60771F0F" w14:textId="77777777" w:rsidTr="00AF2B1C">
        <w:trPr>
          <w:cantSplit/>
          <w:trHeight w:val="20"/>
        </w:trPr>
        <w:tc>
          <w:tcPr>
            <w:tcW w:w="2520" w:type="dxa"/>
            <w:shd w:val="clear" w:color="auto" w:fill="auto"/>
            <w:vAlign w:val="bottom"/>
          </w:tcPr>
          <w:p w14:paraId="39547682" w14:textId="77777777" w:rsidR="004F32D0" w:rsidRPr="008E60B5" w:rsidRDefault="004F32D0" w:rsidP="00AF2B1C">
            <w:pPr>
              <w:pStyle w:val="SingleTxt"/>
              <w:tabs>
                <w:tab w:val="left" w:pos="288"/>
                <w:tab w:val="left" w:pos="576"/>
                <w:tab w:val="left" w:pos="864"/>
                <w:tab w:val="left" w:pos="1152"/>
              </w:tabs>
              <w:spacing w:before="40" w:after="40" w:line="210" w:lineRule="exact"/>
              <w:ind w:left="0" w:right="40"/>
              <w:rPr>
                <w:sz w:val="17"/>
                <w:lang w:val="en-GB"/>
              </w:rPr>
            </w:pPr>
            <w:r w:rsidRPr="008E60B5">
              <w:rPr>
                <w:sz w:val="17"/>
                <w:lang w:val="en-GB"/>
              </w:rPr>
              <w:t>Exploitation par le travail</w:t>
            </w:r>
          </w:p>
        </w:tc>
        <w:tc>
          <w:tcPr>
            <w:tcW w:w="1600" w:type="dxa"/>
            <w:shd w:val="clear" w:color="auto" w:fill="auto"/>
            <w:vAlign w:val="bottom"/>
          </w:tcPr>
          <w:p w14:paraId="78533D8D" w14:textId="77777777" w:rsidR="004F32D0" w:rsidRPr="008E60B5" w:rsidRDefault="004F32D0" w:rsidP="00AF2B1C">
            <w:pPr>
              <w:pStyle w:val="SingleTxt"/>
              <w:tabs>
                <w:tab w:val="left" w:pos="288"/>
                <w:tab w:val="left" w:pos="576"/>
                <w:tab w:val="left" w:pos="864"/>
                <w:tab w:val="left" w:pos="1152"/>
              </w:tabs>
              <w:spacing w:before="40" w:after="40" w:line="210" w:lineRule="exact"/>
              <w:ind w:left="144" w:right="43"/>
              <w:jc w:val="right"/>
              <w:rPr>
                <w:sz w:val="17"/>
                <w:lang w:val="en-GB"/>
              </w:rPr>
            </w:pPr>
            <w:r w:rsidRPr="008E60B5">
              <w:rPr>
                <w:sz w:val="17"/>
                <w:lang w:val="en-GB"/>
              </w:rPr>
              <w:t>3</w:t>
            </w:r>
          </w:p>
        </w:tc>
        <w:tc>
          <w:tcPr>
            <w:tcW w:w="1600" w:type="dxa"/>
            <w:shd w:val="clear" w:color="auto" w:fill="auto"/>
            <w:vAlign w:val="bottom"/>
          </w:tcPr>
          <w:p w14:paraId="2C6D52BE" w14:textId="77777777" w:rsidR="004F32D0" w:rsidRPr="008E60B5" w:rsidRDefault="004F32D0" w:rsidP="00AF2B1C">
            <w:pPr>
              <w:pStyle w:val="SingleTxt"/>
              <w:tabs>
                <w:tab w:val="left" w:pos="288"/>
                <w:tab w:val="left" w:pos="576"/>
                <w:tab w:val="left" w:pos="864"/>
                <w:tab w:val="left" w:pos="1152"/>
              </w:tabs>
              <w:spacing w:before="40" w:after="40" w:line="210" w:lineRule="exact"/>
              <w:ind w:left="144" w:right="43"/>
              <w:jc w:val="right"/>
              <w:rPr>
                <w:sz w:val="17"/>
                <w:lang w:val="en-GB"/>
              </w:rPr>
            </w:pPr>
          </w:p>
        </w:tc>
        <w:tc>
          <w:tcPr>
            <w:tcW w:w="1600" w:type="dxa"/>
            <w:shd w:val="clear" w:color="auto" w:fill="auto"/>
            <w:vAlign w:val="bottom"/>
          </w:tcPr>
          <w:p w14:paraId="790C1B10" w14:textId="77777777" w:rsidR="004F32D0" w:rsidRPr="008E60B5" w:rsidRDefault="004F32D0" w:rsidP="00AF2B1C">
            <w:pPr>
              <w:pStyle w:val="SingleTxt"/>
              <w:tabs>
                <w:tab w:val="left" w:pos="288"/>
                <w:tab w:val="left" w:pos="576"/>
                <w:tab w:val="left" w:pos="864"/>
                <w:tab w:val="left" w:pos="1152"/>
              </w:tabs>
              <w:spacing w:before="40" w:after="40" w:line="210" w:lineRule="exact"/>
              <w:ind w:left="144" w:right="43"/>
              <w:jc w:val="right"/>
              <w:rPr>
                <w:sz w:val="17"/>
                <w:lang w:val="en-GB"/>
              </w:rPr>
            </w:pPr>
            <w:r w:rsidRPr="008E60B5">
              <w:rPr>
                <w:sz w:val="17"/>
                <w:lang w:val="en-GB"/>
              </w:rPr>
              <w:t>3</w:t>
            </w:r>
          </w:p>
        </w:tc>
      </w:tr>
      <w:tr w:rsidR="004F32D0" w:rsidRPr="008E60B5" w14:paraId="73962052" w14:textId="77777777" w:rsidTr="00AF2B1C">
        <w:trPr>
          <w:cantSplit/>
          <w:trHeight w:val="20"/>
        </w:trPr>
        <w:tc>
          <w:tcPr>
            <w:tcW w:w="2520" w:type="dxa"/>
            <w:shd w:val="clear" w:color="auto" w:fill="auto"/>
            <w:vAlign w:val="bottom"/>
          </w:tcPr>
          <w:p w14:paraId="54EF722B" w14:textId="77777777" w:rsidR="004F32D0" w:rsidRPr="008E60B5" w:rsidRDefault="004F32D0" w:rsidP="00AF2B1C">
            <w:pPr>
              <w:pStyle w:val="SingleTxt"/>
              <w:tabs>
                <w:tab w:val="left" w:pos="288"/>
                <w:tab w:val="left" w:pos="576"/>
                <w:tab w:val="left" w:pos="864"/>
                <w:tab w:val="left" w:pos="1152"/>
              </w:tabs>
              <w:spacing w:before="40" w:after="40" w:line="210" w:lineRule="exact"/>
              <w:ind w:left="0" w:right="40"/>
              <w:rPr>
                <w:sz w:val="17"/>
                <w:lang w:val="en-GB"/>
              </w:rPr>
            </w:pPr>
            <w:r w:rsidRPr="008E60B5">
              <w:rPr>
                <w:sz w:val="17"/>
                <w:lang w:val="en-GB"/>
              </w:rPr>
              <w:t>Mendicité forcée</w:t>
            </w:r>
          </w:p>
        </w:tc>
        <w:tc>
          <w:tcPr>
            <w:tcW w:w="1600" w:type="dxa"/>
            <w:shd w:val="clear" w:color="auto" w:fill="auto"/>
            <w:vAlign w:val="bottom"/>
          </w:tcPr>
          <w:p w14:paraId="00FBAECC" w14:textId="77777777" w:rsidR="004F32D0" w:rsidRPr="008E60B5" w:rsidRDefault="004F32D0" w:rsidP="00AF2B1C">
            <w:pPr>
              <w:pStyle w:val="SingleTxt"/>
              <w:tabs>
                <w:tab w:val="left" w:pos="288"/>
                <w:tab w:val="left" w:pos="576"/>
                <w:tab w:val="left" w:pos="864"/>
                <w:tab w:val="left" w:pos="1152"/>
              </w:tabs>
              <w:spacing w:before="40" w:after="40" w:line="210" w:lineRule="exact"/>
              <w:ind w:left="144" w:right="43"/>
              <w:jc w:val="right"/>
              <w:rPr>
                <w:sz w:val="17"/>
                <w:lang w:val="en-GB"/>
              </w:rPr>
            </w:pPr>
            <w:r w:rsidRPr="008E60B5">
              <w:rPr>
                <w:sz w:val="17"/>
                <w:lang w:val="en-GB"/>
              </w:rPr>
              <w:t>12</w:t>
            </w:r>
          </w:p>
        </w:tc>
        <w:tc>
          <w:tcPr>
            <w:tcW w:w="1600" w:type="dxa"/>
            <w:shd w:val="clear" w:color="auto" w:fill="auto"/>
            <w:vAlign w:val="bottom"/>
          </w:tcPr>
          <w:p w14:paraId="526D6D0C" w14:textId="77777777" w:rsidR="004F32D0" w:rsidRPr="008E60B5" w:rsidRDefault="004F32D0" w:rsidP="00AF2B1C">
            <w:pPr>
              <w:pStyle w:val="SingleTxt"/>
              <w:tabs>
                <w:tab w:val="left" w:pos="288"/>
                <w:tab w:val="left" w:pos="576"/>
                <w:tab w:val="left" w:pos="864"/>
                <w:tab w:val="left" w:pos="1152"/>
              </w:tabs>
              <w:spacing w:before="40" w:after="40" w:line="210" w:lineRule="exact"/>
              <w:ind w:left="144" w:right="43"/>
              <w:jc w:val="right"/>
              <w:rPr>
                <w:sz w:val="17"/>
                <w:lang w:val="en-GB"/>
              </w:rPr>
            </w:pPr>
            <w:r w:rsidRPr="008E60B5">
              <w:rPr>
                <w:sz w:val="17"/>
                <w:lang w:val="en-GB"/>
              </w:rPr>
              <w:t>1</w:t>
            </w:r>
          </w:p>
        </w:tc>
        <w:tc>
          <w:tcPr>
            <w:tcW w:w="1600" w:type="dxa"/>
            <w:shd w:val="clear" w:color="auto" w:fill="auto"/>
            <w:vAlign w:val="bottom"/>
          </w:tcPr>
          <w:p w14:paraId="4AFD5441" w14:textId="77777777" w:rsidR="004F32D0" w:rsidRPr="008E60B5" w:rsidRDefault="004F32D0" w:rsidP="00AF2B1C">
            <w:pPr>
              <w:pStyle w:val="SingleTxt"/>
              <w:tabs>
                <w:tab w:val="left" w:pos="288"/>
                <w:tab w:val="left" w:pos="576"/>
                <w:tab w:val="left" w:pos="864"/>
                <w:tab w:val="left" w:pos="1152"/>
              </w:tabs>
              <w:spacing w:before="40" w:after="40" w:line="210" w:lineRule="exact"/>
              <w:ind w:left="144" w:right="43"/>
              <w:jc w:val="right"/>
              <w:rPr>
                <w:sz w:val="17"/>
                <w:lang w:val="en-GB"/>
              </w:rPr>
            </w:pPr>
            <w:r w:rsidRPr="008E60B5">
              <w:rPr>
                <w:sz w:val="17"/>
                <w:lang w:val="en-GB"/>
              </w:rPr>
              <w:t>13</w:t>
            </w:r>
          </w:p>
        </w:tc>
      </w:tr>
      <w:tr w:rsidR="004F32D0" w:rsidRPr="008E60B5" w14:paraId="1D97DC85" w14:textId="77777777" w:rsidTr="00AF2B1C">
        <w:trPr>
          <w:cantSplit/>
          <w:trHeight w:val="20"/>
        </w:trPr>
        <w:tc>
          <w:tcPr>
            <w:tcW w:w="2520" w:type="dxa"/>
            <w:shd w:val="clear" w:color="auto" w:fill="auto"/>
            <w:vAlign w:val="bottom"/>
          </w:tcPr>
          <w:p w14:paraId="6162DA68" w14:textId="77777777" w:rsidR="004F32D0" w:rsidRPr="008E60B5" w:rsidRDefault="004F32D0" w:rsidP="00AF2B1C">
            <w:pPr>
              <w:pStyle w:val="SingleTxt"/>
              <w:tabs>
                <w:tab w:val="left" w:pos="288"/>
                <w:tab w:val="left" w:pos="576"/>
                <w:tab w:val="left" w:pos="864"/>
                <w:tab w:val="left" w:pos="1152"/>
              </w:tabs>
              <w:spacing w:before="40" w:after="40" w:line="210" w:lineRule="exact"/>
              <w:ind w:left="0" w:right="40"/>
              <w:rPr>
                <w:sz w:val="17"/>
                <w:lang w:val="en-GB"/>
              </w:rPr>
            </w:pPr>
            <w:r w:rsidRPr="008E60B5">
              <w:rPr>
                <w:sz w:val="17"/>
                <w:lang w:val="en-GB"/>
              </w:rPr>
              <w:t>Activités criminelles forcées</w:t>
            </w:r>
          </w:p>
        </w:tc>
        <w:tc>
          <w:tcPr>
            <w:tcW w:w="1600" w:type="dxa"/>
            <w:shd w:val="clear" w:color="auto" w:fill="auto"/>
            <w:vAlign w:val="bottom"/>
          </w:tcPr>
          <w:p w14:paraId="2861A1EC" w14:textId="77777777" w:rsidR="004F32D0" w:rsidRPr="008E60B5" w:rsidRDefault="004F32D0" w:rsidP="00AF2B1C">
            <w:pPr>
              <w:pStyle w:val="SingleTxt"/>
              <w:tabs>
                <w:tab w:val="left" w:pos="288"/>
                <w:tab w:val="left" w:pos="576"/>
                <w:tab w:val="left" w:pos="864"/>
                <w:tab w:val="left" w:pos="1152"/>
              </w:tabs>
              <w:spacing w:before="40" w:after="40" w:line="210" w:lineRule="exact"/>
              <w:ind w:left="144" w:right="43"/>
              <w:jc w:val="right"/>
              <w:rPr>
                <w:sz w:val="17"/>
                <w:lang w:val="en-GB"/>
              </w:rPr>
            </w:pPr>
            <w:r w:rsidRPr="008E60B5">
              <w:rPr>
                <w:sz w:val="17"/>
                <w:lang w:val="en-GB"/>
              </w:rPr>
              <w:t>1</w:t>
            </w:r>
          </w:p>
        </w:tc>
        <w:tc>
          <w:tcPr>
            <w:tcW w:w="1600" w:type="dxa"/>
            <w:shd w:val="clear" w:color="auto" w:fill="auto"/>
            <w:vAlign w:val="bottom"/>
          </w:tcPr>
          <w:p w14:paraId="448DA1EB" w14:textId="77777777" w:rsidR="004F32D0" w:rsidRPr="008E60B5" w:rsidRDefault="004F32D0" w:rsidP="00AF2B1C">
            <w:pPr>
              <w:pStyle w:val="SingleTxt"/>
              <w:tabs>
                <w:tab w:val="left" w:pos="288"/>
                <w:tab w:val="left" w:pos="576"/>
                <w:tab w:val="left" w:pos="864"/>
                <w:tab w:val="left" w:pos="1152"/>
              </w:tabs>
              <w:spacing w:before="40" w:after="40" w:line="210" w:lineRule="exact"/>
              <w:ind w:left="144" w:right="43"/>
              <w:jc w:val="right"/>
              <w:rPr>
                <w:sz w:val="17"/>
                <w:lang w:val="en-GB"/>
              </w:rPr>
            </w:pPr>
          </w:p>
        </w:tc>
        <w:tc>
          <w:tcPr>
            <w:tcW w:w="1600" w:type="dxa"/>
            <w:shd w:val="clear" w:color="auto" w:fill="auto"/>
            <w:vAlign w:val="bottom"/>
          </w:tcPr>
          <w:p w14:paraId="08897D48" w14:textId="77777777" w:rsidR="004F32D0" w:rsidRPr="008E60B5" w:rsidRDefault="004F32D0" w:rsidP="00AF2B1C">
            <w:pPr>
              <w:pStyle w:val="SingleTxt"/>
              <w:tabs>
                <w:tab w:val="left" w:pos="288"/>
                <w:tab w:val="left" w:pos="576"/>
                <w:tab w:val="left" w:pos="864"/>
                <w:tab w:val="left" w:pos="1152"/>
              </w:tabs>
              <w:spacing w:before="40" w:after="40" w:line="210" w:lineRule="exact"/>
              <w:ind w:left="144" w:right="43"/>
              <w:jc w:val="right"/>
              <w:rPr>
                <w:sz w:val="17"/>
                <w:lang w:val="en-GB"/>
              </w:rPr>
            </w:pPr>
            <w:r w:rsidRPr="008E60B5">
              <w:rPr>
                <w:sz w:val="17"/>
                <w:lang w:val="en-GB"/>
              </w:rPr>
              <w:t>1</w:t>
            </w:r>
          </w:p>
        </w:tc>
      </w:tr>
      <w:tr w:rsidR="004F32D0" w:rsidRPr="008E60B5" w14:paraId="068A289E" w14:textId="77777777" w:rsidTr="00AF2B1C">
        <w:trPr>
          <w:cantSplit/>
          <w:trHeight w:val="20"/>
        </w:trPr>
        <w:tc>
          <w:tcPr>
            <w:tcW w:w="2520" w:type="dxa"/>
            <w:shd w:val="clear" w:color="auto" w:fill="auto"/>
            <w:vAlign w:val="bottom"/>
          </w:tcPr>
          <w:p w14:paraId="65F397FB" w14:textId="77777777" w:rsidR="004F32D0" w:rsidRPr="008E60B5" w:rsidRDefault="004F32D0" w:rsidP="00AF2B1C">
            <w:pPr>
              <w:pStyle w:val="SingleTxt"/>
              <w:tabs>
                <w:tab w:val="left" w:pos="288"/>
                <w:tab w:val="left" w:pos="576"/>
                <w:tab w:val="left" w:pos="864"/>
                <w:tab w:val="left" w:pos="1152"/>
              </w:tabs>
              <w:spacing w:before="40" w:after="40" w:line="210" w:lineRule="exact"/>
              <w:ind w:left="0" w:right="40"/>
              <w:rPr>
                <w:sz w:val="17"/>
                <w:lang w:val="en-GB"/>
              </w:rPr>
            </w:pPr>
            <w:r w:rsidRPr="008E60B5">
              <w:rPr>
                <w:sz w:val="17"/>
                <w:lang w:val="en-GB"/>
              </w:rPr>
              <w:t>Adoption illégale</w:t>
            </w:r>
          </w:p>
        </w:tc>
        <w:tc>
          <w:tcPr>
            <w:tcW w:w="1600" w:type="dxa"/>
            <w:shd w:val="clear" w:color="auto" w:fill="auto"/>
            <w:vAlign w:val="bottom"/>
          </w:tcPr>
          <w:p w14:paraId="4D1A64D4" w14:textId="77777777" w:rsidR="004F32D0" w:rsidRPr="008E60B5" w:rsidRDefault="004F32D0" w:rsidP="00AF2B1C">
            <w:pPr>
              <w:pStyle w:val="SingleTxt"/>
              <w:tabs>
                <w:tab w:val="left" w:pos="288"/>
                <w:tab w:val="left" w:pos="576"/>
                <w:tab w:val="left" w:pos="864"/>
                <w:tab w:val="left" w:pos="1152"/>
              </w:tabs>
              <w:spacing w:before="40" w:after="40" w:line="210" w:lineRule="exact"/>
              <w:ind w:left="144" w:right="43"/>
              <w:jc w:val="right"/>
              <w:rPr>
                <w:sz w:val="17"/>
                <w:lang w:val="en-GB"/>
              </w:rPr>
            </w:pPr>
            <w:r w:rsidRPr="008E60B5">
              <w:rPr>
                <w:sz w:val="17"/>
                <w:lang w:val="en-GB"/>
              </w:rPr>
              <w:t>4</w:t>
            </w:r>
          </w:p>
        </w:tc>
        <w:tc>
          <w:tcPr>
            <w:tcW w:w="1600" w:type="dxa"/>
            <w:shd w:val="clear" w:color="auto" w:fill="auto"/>
            <w:vAlign w:val="bottom"/>
          </w:tcPr>
          <w:p w14:paraId="089B0165" w14:textId="77777777" w:rsidR="004F32D0" w:rsidRPr="008E60B5" w:rsidRDefault="004F32D0" w:rsidP="00AF2B1C">
            <w:pPr>
              <w:pStyle w:val="SingleTxt"/>
              <w:tabs>
                <w:tab w:val="left" w:pos="288"/>
                <w:tab w:val="left" w:pos="576"/>
                <w:tab w:val="left" w:pos="864"/>
                <w:tab w:val="left" w:pos="1152"/>
              </w:tabs>
              <w:spacing w:before="40" w:after="40" w:line="210" w:lineRule="exact"/>
              <w:ind w:left="144" w:right="43"/>
              <w:jc w:val="right"/>
              <w:rPr>
                <w:sz w:val="17"/>
                <w:lang w:val="en-GB"/>
              </w:rPr>
            </w:pPr>
          </w:p>
        </w:tc>
        <w:tc>
          <w:tcPr>
            <w:tcW w:w="1600" w:type="dxa"/>
            <w:shd w:val="clear" w:color="auto" w:fill="auto"/>
            <w:vAlign w:val="bottom"/>
          </w:tcPr>
          <w:p w14:paraId="3D913424" w14:textId="77777777" w:rsidR="004F32D0" w:rsidRPr="008E60B5" w:rsidRDefault="004F32D0" w:rsidP="00AF2B1C">
            <w:pPr>
              <w:pStyle w:val="SingleTxt"/>
              <w:tabs>
                <w:tab w:val="left" w:pos="288"/>
                <w:tab w:val="left" w:pos="576"/>
                <w:tab w:val="left" w:pos="864"/>
                <w:tab w:val="left" w:pos="1152"/>
              </w:tabs>
              <w:spacing w:before="40" w:after="40" w:line="210" w:lineRule="exact"/>
              <w:ind w:left="144" w:right="43"/>
              <w:jc w:val="right"/>
              <w:rPr>
                <w:sz w:val="17"/>
                <w:lang w:val="en-GB"/>
              </w:rPr>
            </w:pPr>
            <w:r w:rsidRPr="008E60B5">
              <w:rPr>
                <w:sz w:val="17"/>
                <w:lang w:val="en-GB"/>
              </w:rPr>
              <w:t>4</w:t>
            </w:r>
          </w:p>
        </w:tc>
      </w:tr>
      <w:tr w:rsidR="004F32D0" w:rsidRPr="008E60B5" w14:paraId="303F2358" w14:textId="77777777" w:rsidTr="00AF2B1C">
        <w:trPr>
          <w:cantSplit/>
          <w:trHeight w:val="20"/>
        </w:trPr>
        <w:tc>
          <w:tcPr>
            <w:tcW w:w="2520" w:type="dxa"/>
            <w:tcBorders>
              <w:bottom w:val="single" w:sz="4" w:space="0" w:color="auto"/>
            </w:tcBorders>
            <w:shd w:val="clear" w:color="auto" w:fill="auto"/>
            <w:vAlign w:val="bottom"/>
          </w:tcPr>
          <w:p w14:paraId="7D44D936" w14:textId="77777777" w:rsidR="004F32D0" w:rsidRPr="008E60B5" w:rsidRDefault="004F32D0" w:rsidP="00AF2B1C">
            <w:pPr>
              <w:pStyle w:val="SingleTxt"/>
              <w:tabs>
                <w:tab w:val="left" w:pos="288"/>
                <w:tab w:val="left" w:pos="576"/>
                <w:tab w:val="left" w:pos="864"/>
                <w:tab w:val="left" w:pos="1152"/>
              </w:tabs>
              <w:spacing w:before="40" w:after="81" w:line="210" w:lineRule="exact"/>
              <w:ind w:left="0" w:right="40"/>
              <w:rPr>
                <w:sz w:val="17"/>
                <w:lang w:val="en-GB"/>
              </w:rPr>
            </w:pPr>
            <w:r w:rsidRPr="008E60B5">
              <w:rPr>
                <w:sz w:val="17"/>
                <w:lang w:val="en-GB"/>
              </w:rPr>
              <w:t>Exploitation multiple</w:t>
            </w:r>
          </w:p>
        </w:tc>
        <w:tc>
          <w:tcPr>
            <w:tcW w:w="1600" w:type="dxa"/>
            <w:tcBorders>
              <w:bottom w:val="single" w:sz="4" w:space="0" w:color="auto"/>
            </w:tcBorders>
            <w:shd w:val="clear" w:color="auto" w:fill="auto"/>
            <w:vAlign w:val="bottom"/>
          </w:tcPr>
          <w:p w14:paraId="554DE613" w14:textId="77777777" w:rsidR="004F32D0" w:rsidRPr="008E60B5" w:rsidRDefault="004F32D0" w:rsidP="00AF2B1C">
            <w:pPr>
              <w:pStyle w:val="SingleTxt"/>
              <w:tabs>
                <w:tab w:val="left" w:pos="288"/>
                <w:tab w:val="left" w:pos="576"/>
                <w:tab w:val="left" w:pos="864"/>
                <w:tab w:val="left" w:pos="1152"/>
              </w:tabs>
              <w:spacing w:before="40" w:after="81" w:line="210" w:lineRule="exact"/>
              <w:ind w:left="144" w:right="43"/>
              <w:jc w:val="right"/>
              <w:rPr>
                <w:sz w:val="17"/>
                <w:lang w:val="en-GB"/>
              </w:rPr>
            </w:pPr>
            <w:r w:rsidRPr="008E60B5">
              <w:rPr>
                <w:sz w:val="17"/>
                <w:lang w:val="en-GB"/>
              </w:rPr>
              <w:t>7</w:t>
            </w:r>
          </w:p>
        </w:tc>
        <w:tc>
          <w:tcPr>
            <w:tcW w:w="1600" w:type="dxa"/>
            <w:tcBorders>
              <w:bottom w:val="single" w:sz="4" w:space="0" w:color="auto"/>
            </w:tcBorders>
            <w:shd w:val="clear" w:color="auto" w:fill="auto"/>
            <w:vAlign w:val="bottom"/>
          </w:tcPr>
          <w:p w14:paraId="288051AD" w14:textId="77777777" w:rsidR="004F32D0" w:rsidRPr="008E60B5" w:rsidRDefault="004F32D0" w:rsidP="00AF2B1C">
            <w:pPr>
              <w:pStyle w:val="SingleTxt"/>
              <w:tabs>
                <w:tab w:val="left" w:pos="288"/>
                <w:tab w:val="left" w:pos="576"/>
                <w:tab w:val="left" w:pos="864"/>
                <w:tab w:val="left" w:pos="1152"/>
              </w:tabs>
              <w:spacing w:before="40" w:after="81" w:line="210" w:lineRule="exact"/>
              <w:ind w:left="144" w:right="43"/>
              <w:jc w:val="right"/>
              <w:rPr>
                <w:sz w:val="17"/>
                <w:lang w:val="en-GB"/>
              </w:rPr>
            </w:pPr>
            <w:r w:rsidRPr="008E60B5">
              <w:rPr>
                <w:sz w:val="17"/>
                <w:lang w:val="en-GB"/>
              </w:rPr>
              <w:t>6</w:t>
            </w:r>
          </w:p>
        </w:tc>
        <w:tc>
          <w:tcPr>
            <w:tcW w:w="1600" w:type="dxa"/>
            <w:tcBorders>
              <w:bottom w:val="single" w:sz="4" w:space="0" w:color="auto"/>
            </w:tcBorders>
            <w:shd w:val="clear" w:color="auto" w:fill="auto"/>
            <w:vAlign w:val="bottom"/>
          </w:tcPr>
          <w:p w14:paraId="5DCA2D77" w14:textId="77777777" w:rsidR="004F32D0" w:rsidRPr="008E60B5" w:rsidRDefault="004F32D0" w:rsidP="00AF2B1C">
            <w:pPr>
              <w:pStyle w:val="SingleTxt"/>
              <w:tabs>
                <w:tab w:val="left" w:pos="288"/>
                <w:tab w:val="left" w:pos="576"/>
                <w:tab w:val="left" w:pos="864"/>
                <w:tab w:val="left" w:pos="1152"/>
              </w:tabs>
              <w:spacing w:before="40" w:after="81" w:line="210" w:lineRule="exact"/>
              <w:ind w:left="144" w:right="43"/>
              <w:jc w:val="right"/>
              <w:rPr>
                <w:sz w:val="17"/>
                <w:lang w:val="en-GB"/>
              </w:rPr>
            </w:pPr>
            <w:r w:rsidRPr="008E60B5">
              <w:rPr>
                <w:sz w:val="17"/>
                <w:lang w:val="en-GB"/>
              </w:rPr>
              <w:t>13</w:t>
            </w:r>
          </w:p>
        </w:tc>
      </w:tr>
      <w:tr w:rsidR="004F32D0" w:rsidRPr="008E60B5" w14:paraId="530173B2" w14:textId="77777777" w:rsidTr="00AF2B1C">
        <w:trPr>
          <w:cantSplit/>
          <w:trHeight w:val="20"/>
        </w:trPr>
        <w:tc>
          <w:tcPr>
            <w:tcW w:w="2520" w:type="dxa"/>
            <w:tcBorders>
              <w:top w:val="single" w:sz="4" w:space="0" w:color="auto"/>
              <w:bottom w:val="single" w:sz="12" w:space="0" w:color="auto"/>
            </w:tcBorders>
            <w:shd w:val="clear" w:color="auto" w:fill="auto"/>
            <w:vAlign w:val="bottom"/>
          </w:tcPr>
          <w:p w14:paraId="013BBD24" w14:textId="6DCD11C6" w:rsidR="004F32D0" w:rsidRPr="008E60B5" w:rsidRDefault="00AF2B1C" w:rsidP="00AF2B1C">
            <w:pPr>
              <w:pStyle w:val="SingleTxt"/>
              <w:tabs>
                <w:tab w:val="left" w:pos="288"/>
                <w:tab w:val="left" w:pos="576"/>
                <w:tab w:val="left" w:pos="864"/>
                <w:tab w:val="left" w:pos="1152"/>
              </w:tabs>
              <w:spacing w:before="81" w:after="81" w:line="210" w:lineRule="exact"/>
              <w:ind w:left="0" w:right="40"/>
              <w:rPr>
                <w:b/>
                <w:sz w:val="17"/>
                <w:lang w:val="en-GB"/>
              </w:rPr>
            </w:pPr>
            <w:r w:rsidRPr="008E60B5">
              <w:rPr>
                <w:b/>
                <w:sz w:val="17"/>
                <w:lang w:val="en-GB"/>
              </w:rPr>
              <w:tab/>
            </w:r>
            <w:r w:rsidR="004F32D0" w:rsidRPr="008E60B5">
              <w:rPr>
                <w:b/>
                <w:sz w:val="17"/>
                <w:lang w:val="en-GB"/>
              </w:rPr>
              <w:t>Total</w:t>
            </w:r>
          </w:p>
        </w:tc>
        <w:tc>
          <w:tcPr>
            <w:tcW w:w="1600" w:type="dxa"/>
            <w:tcBorders>
              <w:top w:val="single" w:sz="4" w:space="0" w:color="auto"/>
              <w:bottom w:val="single" w:sz="12" w:space="0" w:color="auto"/>
            </w:tcBorders>
            <w:shd w:val="clear" w:color="auto" w:fill="auto"/>
            <w:vAlign w:val="bottom"/>
          </w:tcPr>
          <w:p w14:paraId="6BD3BD35" w14:textId="77777777" w:rsidR="004F32D0" w:rsidRPr="008E60B5" w:rsidRDefault="004F32D0" w:rsidP="00AF2B1C">
            <w:pPr>
              <w:pStyle w:val="SingleTxt"/>
              <w:tabs>
                <w:tab w:val="left" w:pos="288"/>
                <w:tab w:val="left" w:pos="576"/>
                <w:tab w:val="left" w:pos="864"/>
                <w:tab w:val="left" w:pos="1152"/>
              </w:tabs>
              <w:spacing w:before="81" w:after="81" w:line="210" w:lineRule="exact"/>
              <w:ind w:left="144" w:right="43"/>
              <w:jc w:val="right"/>
              <w:rPr>
                <w:b/>
                <w:sz w:val="17"/>
                <w:lang w:val="en-GB"/>
              </w:rPr>
            </w:pPr>
            <w:r w:rsidRPr="008E60B5">
              <w:rPr>
                <w:b/>
                <w:sz w:val="17"/>
                <w:lang w:val="en-GB"/>
              </w:rPr>
              <w:t>67</w:t>
            </w:r>
          </w:p>
        </w:tc>
        <w:tc>
          <w:tcPr>
            <w:tcW w:w="1600" w:type="dxa"/>
            <w:tcBorders>
              <w:top w:val="single" w:sz="4" w:space="0" w:color="auto"/>
              <w:bottom w:val="single" w:sz="12" w:space="0" w:color="auto"/>
            </w:tcBorders>
            <w:shd w:val="clear" w:color="auto" w:fill="auto"/>
            <w:vAlign w:val="bottom"/>
          </w:tcPr>
          <w:p w14:paraId="350E7DC3" w14:textId="77777777" w:rsidR="004F32D0" w:rsidRPr="008E60B5" w:rsidRDefault="004F32D0" w:rsidP="00AF2B1C">
            <w:pPr>
              <w:pStyle w:val="SingleTxt"/>
              <w:tabs>
                <w:tab w:val="left" w:pos="288"/>
                <w:tab w:val="left" w:pos="576"/>
                <w:tab w:val="left" w:pos="864"/>
                <w:tab w:val="left" w:pos="1152"/>
              </w:tabs>
              <w:spacing w:before="81" w:after="81" w:line="210" w:lineRule="exact"/>
              <w:ind w:left="144" w:right="43"/>
              <w:jc w:val="right"/>
              <w:rPr>
                <w:b/>
                <w:sz w:val="17"/>
                <w:lang w:val="en-GB"/>
              </w:rPr>
            </w:pPr>
            <w:r w:rsidRPr="008E60B5">
              <w:rPr>
                <w:b/>
                <w:sz w:val="17"/>
                <w:lang w:val="en-GB"/>
              </w:rPr>
              <w:t>62</w:t>
            </w:r>
          </w:p>
        </w:tc>
        <w:tc>
          <w:tcPr>
            <w:tcW w:w="1600" w:type="dxa"/>
            <w:tcBorders>
              <w:top w:val="single" w:sz="4" w:space="0" w:color="auto"/>
              <w:bottom w:val="single" w:sz="12" w:space="0" w:color="auto"/>
            </w:tcBorders>
            <w:shd w:val="clear" w:color="auto" w:fill="auto"/>
            <w:vAlign w:val="bottom"/>
          </w:tcPr>
          <w:p w14:paraId="07FB6940" w14:textId="77777777" w:rsidR="004F32D0" w:rsidRPr="008E60B5" w:rsidRDefault="004F32D0" w:rsidP="00AF2B1C">
            <w:pPr>
              <w:pStyle w:val="SingleTxt"/>
              <w:tabs>
                <w:tab w:val="left" w:pos="288"/>
                <w:tab w:val="left" w:pos="576"/>
                <w:tab w:val="left" w:pos="864"/>
                <w:tab w:val="left" w:pos="1152"/>
              </w:tabs>
              <w:spacing w:before="81" w:after="81" w:line="210" w:lineRule="exact"/>
              <w:ind w:left="144" w:right="43"/>
              <w:jc w:val="right"/>
              <w:rPr>
                <w:b/>
                <w:sz w:val="17"/>
                <w:lang w:val="en-GB"/>
              </w:rPr>
            </w:pPr>
            <w:r w:rsidRPr="008E60B5">
              <w:rPr>
                <w:b/>
                <w:sz w:val="17"/>
                <w:lang w:val="en-GB"/>
              </w:rPr>
              <w:t>129</w:t>
            </w:r>
          </w:p>
        </w:tc>
      </w:tr>
    </w:tbl>
    <w:p w14:paraId="00753DB6" w14:textId="77777777" w:rsidR="00AF2B1C" w:rsidRPr="008E60B5" w:rsidRDefault="00AF2B1C" w:rsidP="00AF2B1C">
      <w:pPr>
        <w:pStyle w:val="SingleTxt"/>
        <w:spacing w:after="0" w:line="120" w:lineRule="exact"/>
        <w:rPr>
          <w:sz w:val="10"/>
          <w:lang w:val="fr-FR"/>
        </w:rPr>
      </w:pPr>
    </w:p>
    <w:p w14:paraId="2B961AEA" w14:textId="77777777" w:rsidR="00AF2B1C" w:rsidRPr="008E60B5" w:rsidRDefault="00AF2B1C" w:rsidP="00AF2B1C">
      <w:pPr>
        <w:pStyle w:val="SingleTxt"/>
        <w:spacing w:after="0" w:line="120" w:lineRule="exact"/>
        <w:rPr>
          <w:sz w:val="10"/>
          <w:lang w:val="fr-FR"/>
        </w:rPr>
      </w:pPr>
    </w:p>
    <w:p w14:paraId="79C05D62" w14:textId="789EF54F" w:rsidR="004F32D0" w:rsidRPr="008E60B5" w:rsidRDefault="004F32D0" w:rsidP="00AF2B1C">
      <w:pPr>
        <w:pStyle w:val="SingleTxt"/>
        <w:numPr>
          <w:ilvl w:val="0"/>
          <w:numId w:val="33"/>
        </w:numPr>
        <w:spacing w:line="240" w:lineRule="exact"/>
        <w:rPr>
          <w:lang w:val="fr-FR"/>
        </w:rPr>
      </w:pPr>
      <w:r w:rsidRPr="008E60B5">
        <w:rPr>
          <w:lang w:val="fr-FR"/>
        </w:rPr>
        <w:t>La mission de l</w:t>
      </w:r>
      <w:r w:rsidR="008E60B5" w:rsidRPr="008E60B5">
        <w:rPr>
          <w:lang w:val="fr-FR"/>
        </w:rPr>
        <w:t>’</w:t>
      </w:r>
      <w:r w:rsidRPr="008E60B5">
        <w:rPr>
          <w:lang w:val="fr-FR"/>
        </w:rPr>
        <w:t>OSCE en Serbie a appuyé la publication d</w:t>
      </w:r>
      <w:r w:rsidR="008E60B5" w:rsidRPr="008E60B5">
        <w:rPr>
          <w:lang w:val="fr-FR"/>
        </w:rPr>
        <w:t>’</w:t>
      </w:r>
      <w:r w:rsidRPr="008E60B5">
        <w:rPr>
          <w:lang w:val="fr-FR"/>
        </w:rPr>
        <w:t>un ouvrage portant sur le cadre juridique et les recommandations relatifs à l</w:t>
      </w:r>
      <w:r w:rsidR="008E60B5" w:rsidRPr="008E60B5">
        <w:rPr>
          <w:lang w:val="fr-FR"/>
        </w:rPr>
        <w:t>’</w:t>
      </w:r>
      <w:r w:rsidRPr="008E60B5">
        <w:rPr>
          <w:lang w:val="fr-FR"/>
        </w:rPr>
        <w:t>application du principe de non sanction à l</w:t>
      </w:r>
      <w:r w:rsidR="008E60B5" w:rsidRPr="008E60B5">
        <w:rPr>
          <w:lang w:val="fr-FR"/>
        </w:rPr>
        <w:t>’</w:t>
      </w:r>
      <w:r w:rsidRPr="008E60B5">
        <w:rPr>
          <w:lang w:val="fr-FR"/>
        </w:rPr>
        <w:t>égard des victimes de la traite en Serbie.</w:t>
      </w:r>
    </w:p>
    <w:p w14:paraId="63CB841E" w14:textId="7F4C7220" w:rsidR="004F32D0" w:rsidRPr="008E60B5" w:rsidRDefault="004F32D0" w:rsidP="00AF2B1C">
      <w:pPr>
        <w:pStyle w:val="SingleTxt"/>
        <w:numPr>
          <w:ilvl w:val="0"/>
          <w:numId w:val="33"/>
        </w:numPr>
        <w:spacing w:line="240" w:lineRule="exact"/>
        <w:rPr>
          <w:bCs/>
          <w:lang w:val="fr-FR"/>
        </w:rPr>
      </w:pPr>
      <w:r w:rsidRPr="008E60B5">
        <w:rPr>
          <w:lang w:val="fr-FR"/>
        </w:rPr>
        <w:lastRenderedPageBreak/>
        <w:t>La province autonome du Kosovo-Metohija est à la fois une zone de transit et dans une moindre mesure, une zone de destination des victimes de la traite</w:t>
      </w:r>
      <w:r w:rsidR="00002E6B" w:rsidRPr="008E60B5">
        <w:rPr>
          <w:lang w:val="fr-FR"/>
        </w:rPr>
        <w:t> ;</w:t>
      </w:r>
      <w:r w:rsidRPr="008E60B5">
        <w:rPr>
          <w:lang w:val="fr-FR"/>
        </w:rPr>
        <w:t xml:space="preserve"> récemment, elle est aussi devenue une zone d</w:t>
      </w:r>
      <w:r w:rsidR="008E60B5" w:rsidRPr="008E60B5">
        <w:rPr>
          <w:lang w:val="fr-FR"/>
        </w:rPr>
        <w:t>’</w:t>
      </w:r>
      <w:r w:rsidRPr="008E60B5">
        <w:rPr>
          <w:lang w:val="fr-FR"/>
        </w:rPr>
        <w:t>origine. Grâce à l</w:t>
      </w:r>
      <w:r w:rsidR="008E60B5" w:rsidRPr="008E60B5">
        <w:rPr>
          <w:lang w:val="fr-FR"/>
        </w:rPr>
        <w:t>’</w:t>
      </w:r>
      <w:r w:rsidRPr="008E60B5">
        <w:rPr>
          <w:lang w:val="fr-FR"/>
        </w:rPr>
        <w:t xml:space="preserve">éducation et à la sensibilisation, les communautés à prédominance serbe ont réussi à rester en dehors des principaux flux de la traite. </w:t>
      </w:r>
    </w:p>
    <w:p w14:paraId="1EDEBAA0" w14:textId="77777777" w:rsidR="00AB2A86" w:rsidRPr="008E60B5" w:rsidRDefault="00AB2A86" w:rsidP="00AB2A86">
      <w:pPr>
        <w:pStyle w:val="SingleTxt"/>
        <w:spacing w:after="0" w:line="120" w:lineRule="exact"/>
        <w:rPr>
          <w:b/>
          <w:sz w:val="10"/>
          <w:lang w:val="fr-FR"/>
        </w:rPr>
      </w:pPr>
    </w:p>
    <w:p w14:paraId="29D481D7" w14:textId="77777777" w:rsidR="00AB2A86" w:rsidRPr="008E60B5" w:rsidRDefault="00AB2A86" w:rsidP="00AB2A86">
      <w:pPr>
        <w:pStyle w:val="SingleTxt"/>
        <w:spacing w:after="0" w:line="120" w:lineRule="exact"/>
        <w:rPr>
          <w:b/>
          <w:sz w:val="10"/>
          <w:lang w:val="fr-FR"/>
        </w:rPr>
      </w:pPr>
    </w:p>
    <w:p w14:paraId="11985522" w14:textId="77F1C7B4" w:rsidR="004F32D0" w:rsidRPr="008E60B5" w:rsidRDefault="004F32D0" w:rsidP="00AB2A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Article 7</w:t>
      </w:r>
    </w:p>
    <w:p w14:paraId="11873277" w14:textId="3C114B30" w:rsidR="00AB2A86" w:rsidRPr="008E60B5" w:rsidRDefault="00AB2A86" w:rsidP="00AB2A86">
      <w:pPr>
        <w:pStyle w:val="SingleTxt"/>
        <w:spacing w:after="0" w:line="120" w:lineRule="exact"/>
        <w:rPr>
          <w:sz w:val="10"/>
          <w:lang w:val="fr-FR"/>
        </w:rPr>
      </w:pPr>
    </w:p>
    <w:p w14:paraId="7E7E32BF" w14:textId="5FB6E3E0" w:rsidR="00AB2A86" w:rsidRPr="008E60B5" w:rsidRDefault="00AB2A86" w:rsidP="00AB2A86">
      <w:pPr>
        <w:pStyle w:val="SingleTxt"/>
        <w:spacing w:after="0" w:line="120" w:lineRule="exact"/>
        <w:rPr>
          <w:sz w:val="10"/>
          <w:lang w:val="fr-FR"/>
        </w:rPr>
      </w:pPr>
    </w:p>
    <w:p w14:paraId="1C06B1DA" w14:textId="25044D2C" w:rsidR="004F32D0" w:rsidRPr="008E60B5" w:rsidRDefault="004F32D0" w:rsidP="00AB2A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Participation des femmes à la vie politique et publique</w:t>
      </w:r>
    </w:p>
    <w:p w14:paraId="31115732" w14:textId="046A8AE4" w:rsidR="00AB2A86" w:rsidRPr="008E60B5" w:rsidRDefault="00AB2A86" w:rsidP="00AB2A86">
      <w:pPr>
        <w:pStyle w:val="SingleTxt"/>
        <w:spacing w:after="0" w:line="120" w:lineRule="exact"/>
        <w:rPr>
          <w:sz w:val="10"/>
          <w:lang w:val="fr-FR"/>
        </w:rPr>
      </w:pPr>
    </w:p>
    <w:p w14:paraId="47E1AA06" w14:textId="2D869FF9" w:rsidR="004F32D0" w:rsidRPr="008E60B5" w:rsidRDefault="00F841A6" w:rsidP="00F841A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r>
      <w:r w:rsidR="004F32D0" w:rsidRPr="008E60B5">
        <w:rPr>
          <w:lang w:val="fr-FR"/>
        </w:rPr>
        <w:t>Recommandation formulée au paragraphe 27</w:t>
      </w:r>
    </w:p>
    <w:p w14:paraId="210D893B" w14:textId="2C465426" w:rsidR="00AB2A86" w:rsidRPr="008E60B5" w:rsidRDefault="00AB2A86" w:rsidP="00AB2A86">
      <w:pPr>
        <w:pStyle w:val="SingleTxt"/>
        <w:spacing w:after="0" w:line="120" w:lineRule="exact"/>
        <w:rPr>
          <w:i/>
          <w:iCs/>
          <w:sz w:val="10"/>
          <w:lang w:val="fr-FR"/>
        </w:rPr>
      </w:pPr>
    </w:p>
    <w:p w14:paraId="37447A01" w14:textId="6407BDBC" w:rsidR="004F32D0" w:rsidRPr="008E60B5" w:rsidRDefault="004F32D0" w:rsidP="00AB2A86">
      <w:pPr>
        <w:pStyle w:val="SingleTxt"/>
        <w:numPr>
          <w:ilvl w:val="0"/>
          <w:numId w:val="33"/>
        </w:numPr>
        <w:spacing w:line="240" w:lineRule="exact"/>
        <w:rPr>
          <w:lang w:val="fr-FR"/>
        </w:rPr>
      </w:pPr>
      <w:r w:rsidRPr="008E60B5">
        <w:rPr>
          <w:lang w:val="fr-FR"/>
        </w:rPr>
        <w:t>La République de Serbie a tenu des élections générales et locales le 24 avril 2016. Les femmes représentent 34,54</w:t>
      </w:r>
      <w:r w:rsidR="00002E6B" w:rsidRPr="008E60B5">
        <w:rPr>
          <w:lang w:val="fr-FR"/>
        </w:rPr>
        <w:t> %</w:t>
      </w:r>
      <w:r w:rsidRPr="008E60B5">
        <w:rPr>
          <w:lang w:val="fr-FR"/>
        </w:rPr>
        <w:t xml:space="preserve"> de la nouvelle Assemblée nationale et environ un tiers également des assemblées des villes et des municipalités. Outre la Présidente de l</w:t>
      </w:r>
      <w:r w:rsidR="008E60B5" w:rsidRPr="008E60B5">
        <w:rPr>
          <w:lang w:val="fr-FR"/>
        </w:rPr>
        <w:t>’</w:t>
      </w:r>
      <w:r w:rsidRPr="008E60B5">
        <w:rPr>
          <w:lang w:val="fr-FR"/>
        </w:rPr>
        <w:t>Assemblée nationale, 85 des 250 parlementaires sont des femmes. Les députées sont rassemblées au sein du Women</w:t>
      </w:r>
      <w:r w:rsidR="008E60B5" w:rsidRPr="008E60B5">
        <w:rPr>
          <w:lang w:val="fr-FR"/>
        </w:rPr>
        <w:t>’</w:t>
      </w:r>
      <w:r w:rsidRPr="008E60B5">
        <w:rPr>
          <w:lang w:val="fr-FR"/>
        </w:rPr>
        <w:t>s Parliamentary Network.</w:t>
      </w:r>
    </w:p>
    <w:p w14:paraId="59093953" w14:textId="76FF1BEA" w:rsidR="004F32D0" w:rsidRPr="008E60B5" w:rsidRDefault="004F32D0" w:rsidP="00AB2A86">
      <w:pPr>
        <w:pStyle w:val="SingleTxt"/>
        <w:numPr>
          <w:ilvl w:val="0"/>
          <w:numId w:val="33"/>
        </w:numPr>
        <w:spacing w:line="240" w:lineRule="exact"/>
        <w:rPr>
          <w:lang w:val="fr-FR"/>
        </w:rPr>
      </w:pPr>
      <w:r w:rsidRPr="008E60B5">
        <w:rPr>
          <w:lang w:val="fr-FR"/>
        </w:rPr>
        <w:t>Après l</w:t>
      </w:r>
      <w:r w:rsidR="008E60B5" w:rsidRPr="008E60B5">
        <w:rPr>
          <w:lang w:val="fr-FR"/>
        </w:rPr>
        <w:t>’</w:t>
      </w:r>
      <w:r w:rsidRPr="008E60B5">
        <w:rPr>
          <w:lang w:val="fr-FR"/>
        </w:rPr>
        <w:t>élection présidentielle de mai 2017, des changements ont également été apportés à la composition du Gouvernement. Pour la toute première fois, le 30</w:t>
      </w:r>
      <w:r w:rsidR="00335D87">
        <w:rPr>
          <w:lang w:val="fr-FR"/>
        </w:rPr>
        <w:t> </w:t>
      </w:r>
      <w:r w:rsidRPr="008E60B5">
        <w:rPr>
          <w:lang w:val="fr-FR"/>
        </w:rPr>
        <w:t>juin 2017, l</w:t>
      </w:r>
      <w:r w:rsidR="008E60B5" w:rsidRPr="008E60B5">
        <w:rPr>
          <w:lang w:val="fr-FR"/>
        </w:rPr>
        <w:t>’</w:t>
      </w:r>
      <w:r w:rsidRPr="008E60B5">
        <w:rPr>
          <w:lang w:val="fr-FR"/>
        </w:rPr>
        <w:t xml:space="preserve">Assemblée nationale serbe a nommé une femme au poste de Premier </w:t>
      </w:r>
      <w:r w:rsidR="00335D87">
        <w:rPr>
          <w:lang w:val="fr-FR"/>
        </w:rPr>
        <w:t>M</w:t>
      </w:r>
      <w:r w:rsidRPr="008E60B5">
        <w:rPr>
          <w:lang w:val="fr-FR"/>
        </w:rPr>
        <w:t>inistre. Sur les 21 ministères que compte le Gouvernement, quatre sont dirigés par des femmes, dont l</w:t>
      </w:r>
      <w:r w:rsidR="008E60B5" w:rsidRPr="008E60B5">
        <w:rPr>
          <w:lang w:val="fr-FR"/>
        </w:rPr>
        <w:t>’</w:t>
      </w:r>
      <w:r w:rsidRPr="008E60B5">
        <w:rPr>
          <w:lang w:val="fr-FR"/>
        </w:rPr>
        <w:t>une est également Vice-Première Ministre et Présidente de l</w:t>
      </w:r>
      <w:r w:rsidR="008E60B5" w:rsidRPr="008E60B5">
        <w:rPr>
          <w:lang w:val="fr-FR"/>
        </w:rPr>
        <w:t>’</w:t>
      </w:r>
      <w:r w:rsidRPr="008E60B5">
        <w:rPr>
          <w:lang w:val="fr-FR"/>
        </w:rPr>
        <w:t>Organisme de coordination pour l</w:t>
      </w:r>
      <w:r w:rsidR="008E60B5" w:rsidRPr="008E60B5">
        <w:rPr>
          <w:lang w:val="fr-FR"/>
        </w:rPr>
        <w:t>’</w:t>
      </w:r>
      <w:r w:rsidRPr="008E60B5">
        <w:rPr>
          <w:lang w:val="fr-FR"/>
        </w:rPr>
        <w:t>égalité des sexes.</w:t>
      </w:r>
    </w:p>
    <w:p w14:paraId="51E9117F" w14:textId="66A0D33F" w:rsidR="004F32D0" w:rsidRPr="008E60B5" w:rsidRDefault="004F32D0" w:rsidP="00AB2A86">
      <w:pPr>
        <w:pStyle w:val="SingleTxt"/>
        <w:numPr>
          <w:ilvl w:val="0"/>
          <w:numId w:val="33"/>
        </w:numPr>
        <w:spacing w:line="240" w:lineRule="exact"/>
        <w:rPr>
          <w:lang w:val="fr-FR"/>
        </w:rPr>
      </w:pPr>
      <w:r w:rsidRPr="008E60B5">
        <w:rPr>
          <w:lang w:val="fr-FR"/>
        </w:rPr>
        <w:t>Cinq femmes sont à la tête de districts administratifs et 12 dirigent des villes ou des municipalités (sur un total de 168). Par ailleurs, les femmes représentent 62,4</w:t>
      </w:r>
      <w:r w:rsidR="00002E6B" w:rsidRPr="008E60B5">
        <w:rPr>
          <w:lang w:val="fr-FR"/>
        </w:rPr>
        <w:t> %</w:t>
      </w:r>
      <w:r w:rsidRPr="008E60B5">
        <w:rPr>
          <w:lang w:val="fr-FR"/>
        </w:rPr>
        <w:t xml:space="preserve"> des fonctionnaires et 45</w:t>
      </w:r>
      <w:r w:rsidR="00002E6B" w:rsidRPr="008E60B5">
        <w:rPr>
          <w:lang w:val="fr-FR"/>
        </w:rPr>
        <w:t> %</w:t>
      </w:r>
      <w:r w:rsidRPr="008E60B5">
        <w:rPr>
          <w:lang w:val="fr-FR"/>
        </w:rPr>
        <w:t xml:space="preserve"> des fonctionnaires nommés et occupent 53,23</w:t>
      </w:r>
      <w:r w:rsidR="00002E6B" w:rsidRPr="008E60B5">
        <w:rPr>
          <w:lang w:val="fr-FR"/>
        </w:rPr>
        <w:t> %</w:t>
      </w:r>
      <w:r w:rsidRPr="008E60B5">
        <w:rPr>
          <w:lang w:val="fr-FR"/>
        </w:rPr>
        <w:t xml:space="preserve"> des postes de direction. </w:t>
      </w:r>
    </w:p>
    <w:p w14:paraId="75512800" w14:textId="4602B3DC" w:rsidR="004F32D0" w:rsidRPr="008E60B5" w:rsidRDefault="004F32D0" w:rsidP="00AB2A86">
      <w:pPr>
        <w:pStyle w:val="SingleTxt"/>
        <w:numPr>
          <w:ilvl w:val="0"/>
          <w:numId w:val="33"/>
        </w:numPr>
        <w:spacing w:line="240" w:lineRule="exact"/>
        <w:rPr>
          <w:bCs/>
          <w:lang w:val="fr-FR"/>
        </w:rPr>
      </w:pPr>
      <w:r w:rsidRPr="008E60B5">
        <w:rPr>
          <w:lang w:val="fr-FR"/>
        </w:rPr>
        <w:t>En 2015, la proportion de femmes occupant des postes de commandement dans le dispositif de sécurité de la République de Serbie était de 19,68</w:t>
      </w:r>
      <w:r w:rsidR="00002E6B" w:rsidRPr="008E60B5">
        <w:rPr>
          <w:lang w:val="fr-FR"/>
        </w:rPr>
        <w:t> %</w:t>
      </w:r>
      <w:r w:rsidRPr="008E60B5">
        <w:rPr>
          <w:lang w:val="fr-FR"/>
        </w:rPr>
        <w:t>, soit 5,21</w:t>
      </w:r>
      <w:r w:rsidR="00002E6B" w:rsidRPr="008E60B5">
        <w:rPr>
          <w:lang w:val="fr-FR"/>
        </w:rPr>
        <w:t> %</w:t>
      </w:r>
      <w:r w:rsidRPr="008E60B5">
        <w:rPr>
          <w:lang w:val="fr-FR"/>
        </w:rPr>
        <w:t xml:space="preserve"> de plus qu</w:t>
      </w:r>
      <w:r w:rsidR="008E60B5" w:rsidRPr="008E60B5">
        <w:rPr>
          <w:lang w:val="fr-FR"/>
        </w:rPr>
        <w:t>’</w:t>
      </w:r>
      <w:r w:rsidRPr="008E60B5">
        <w:rPr>
          <w:lang w:val="fr-FR"/>
        </w:rPr>
        <w:t xml:space="preserve">en 2010. </w:t>
      </w:r>
    </w:p>
    <w:p w14:paraId="4578734C" w14:textId="3264161E" w:rsidR="004F32D0" w:rsidRPr="008E60B5" w:rsidRDefault="004F32D0" w:rsidP="00AB2A86">
      <w:pPr>
        <w:pStyle w:val="SingleTxt"/>
        <w:numPr>
          <w:ilvl w:val="0"/>
          <w:numId w:val="33"/>
        </w:numPr>
        <w:spacing w:line="240" w:lineRule="exact"/>
        <w:rPr>
          <w:lang w:val="fr-FR"/>
        </w:rPr>
      </w:pPr>
      <w:r w:rsidRPr="008E60B5">
        <w:rPr>
          <w:lang w:val="fr-FR"/>
        </w:rPr>
        <w:t>La Serbie compte 15 femmes à la tête de ses missions diplomatiques et consulaires dans le monde (11 ambassadrices et 4 consules générales). De juin 2013 à décembre 2014, une femme a été représentante diplomatique de la Serbie auprès du Centre pour la coopération en matière de sécurité en Croatie. À l</w:t>
      </w:r>
      <w:r w:rsidR="008E60B5" w:rsidRPr="008E60B5">
        <w:rPr>
          <w:lang w:val="fr-FR"/>
        </w:rPr>
        <w:t>’</w:t>
      </w:r>
      <w:r w:rsidRPr="008E60B5">
        <w:rPr>
          <w:lang w:val="fr-FR"/>
        </w:rPr>
        <w:t>heure actuelle, il n</w:t>
      </w:r>
      <w:r w:rsidR="008E60B5" w:rsidRPr="008E60B5">
        <w:rPr>
          <w:lang w:val="fr-FR"/>
        </w:rPr>
        <w:t>’</w:t>
      </w:r>
      <w:r w:rsidRPr="008E60B5">
        <w:rPr>
          <w:lang w:val="fr-FR"/>
        </w:rPr>
        <w:t>y a aucune femme dans le corps diplomatique militaire serbe.</w:t>
      </w:r>
    </w:p>
    <w:p w14:paraId="38EC08A5" w14:textId="5D7C65F1" w:rsidR="004F32D0" w:rsidRPr="008E60B5" w:rsidRDefault="004F32D0" w:rsidP="00AB2A86">
      <w:pPr>
        <w:pStyle w:val="SingleTxt"/>
        <w:numPr>
          <w:ilvl w:val="0"/>
          <w:numId w:val="33"/>
        </w:numPr>
        <w:spacing w:line="240" w:lineRule="exact"/>
        <w:rPr>
          <w:lang w:val="fr-FR"/>
        </w:rPr>
      </w:pPr>
      <w:r w:rsidRPr="008E60B5">
        <w:rPr>
          <w:lang w:val="fr-FR"/>
        </w:rPr>
        <w:t>Le principe d</w:t>
      </w:r>
      <w:r w:rsidR="008E60B5" w:rsidRPr="008E60B5">
        <w:rPr>
          <w:lang w:val="fr-FR"/>
        </w:rPr>
        <w:t>’</w:t>
      </w:r>
      <w:r w:rsidRPr="008E60B5">
        <w:rPr>
          <w:lang w:val="fr-FR"/>
        </w:rPr>
        <w:t>égalité d</w:t>
      </w:r>
      <w:r w:rsidR="008E60B5" w:rsidRPr="008E60B5">
        <w:rPr>
          <w:lang w:val="fr-FR"/>
        </w:rPr>
        <w:t>’</w:t>
      </w:r>
      <w:r w:rsidRPr="008E60B5">
        <w:rPr>
          <w:lang w:val="fr-FR"/>
        </w:rPr>
        <w:t>accès aux postes pour tous les candidats est consacré par la loi sur les employés dans les provinces autonomes et les collectivités locales. Les décisions relatives à l</w:t>
      </w:r>
      <w:r w:rsidR="008E60B5" w:rsidRPr="008E60B5">
        <w:rPr>
          <w:lang w:val="fr-FR"/>
        </w:rPr>
        <w:t>’</w:t>
      </w:r>
      <w:r w:rsidRPr="008E60B5">
        <w:rPr>
          <w:lang w:val="fr-FR"/>
        </w:rPr>
        <w:t>emploi doivent être prises en gardant à l</w:t>
      </w:r>
      <w:r w:rsidR="008E60B5" w:rsidRPr="008E60B5">
        <w:rPr>
          <w:lang w:val="fr-FR"/>
        </w:rPr>
        <w:t>’</w:t>
      </w:r>
      <w:r w:rsidRPr="008E60B5">
        <w:rPr>
          <w:lang w:val="fr-FR"/>
        </w:rPr>
        <w:t>esprit le fait que la composition ethnique des effectifs ainsi que la part de représentants de chaque sexe et de personnes handicapées parmi les employés doivent refléter autant que possible la structure de la population générale. Conformément à cette loi, le Gouvernement a adopté trois règlements fixant les critères relatifs à la classification et à la définition des emplois de fonctionnaires et aux modalités d</w:t>
      </w:r>
      <w:r w:rsidR="008E60B5" w:rsidRPr="008E60B5">
        <w:rPr>
          <w:lang w:val="fr-FR"/>
        </w:rPr>
        <w:t>’</w:t>
      </w:r>
      <w:r w:rsidRPr="008E60B5">
        <w:rPr>
          <w:lang w:val="fr-FR"/>
        </w:rPr>
        <w:t>affectation dans les provinces autonomes et les collectivités locales.</w:t>
      </w:r>
    </w:p>
    <w:p w14:paraId="52147A35" w14:textId="5D831FAE" w:rsidR="004F32D0" w:rsidRPr="008E60B5" w:rsidRDefault="004F32D0" w:rsidP="00AB2A86">
      <w:pPr>
        <w:pStyle w:val="SingleTxt"/>
        <w:numPr>
          <w:ilvl w:val="0"/>
          <w:numId w:val="33"/>
        </w:numPr>
        <w:spacing w:line="240" w:lineRule="exact"/>
        <w:rPr>
          <w:lang w:val="fr-FR"/>
        </w:rPr>
      </w:pPr>
      <w:r w:rsidRPr="008E60B5">
        <w:rPr>
          <w:lang w:val="fr-FR"/>
        </w:rPr>
        <w:t>Le Gouvernement de la province autonome de</w:t>
      </w:r>
      <w:r w:rsidR="00F841A6" w:rsidRPr="008E60B5">
        <w:rPr>
          <w:lang w:val="fr-FR"/>
        </w:rPr>
        <w:t xml:space="preserve"> la Voïvodine compte 11 </w:t>
      </w:r>
      <w:r w:rsidRPr="008E60B5">
        <w:rPr>
          <w:lang w:val="fr-FR"/>
        </w:rPr>
        <w:t>membres, dont une femme. Les femmes représentent 35,8</w:t>
      </w:r>
      <w:r w:rsidR="00002E6B" w:rsidRPr="008E60B5">
        <w:rPr>
          <w:lang w:val="fr-FR"/>
        </w:rPr>
        <w:t> %</w:t>
      </w:r>
      <w:r w:rsidRPr="008E60B5">
        <w:rPr>
          <w:lang w:val="fr-FR"/>
        </w:rPr>
        <w:t xml:space="preserve"> des membres de l</w:t>
      </w:r>
      <w:r w:rsidR="008E60B5" w:rsidRPr="008E60B5">
        <w:rPr>
          <w:lang w:val="fr-FR"/>
        </w:rPr>
        <w:t>’</w:t>
      </w:r>
      <w:r w:rsidRPr="008E60B5">
        <w:rPr>
          <w:lang w:val="fr-FR"/>
        </w:rPr>
        <w:t>Assemblée de la Voïvodine.</w:t>
      </w:r>
    </w:p>
    <w:p w14:paraId="76A11C0A" w14:textId="7D520E49" w:rsidR="004F32D0" w:rsidRPr="008E60B5" w:rsidRDefault="004F32D0" w:rsidP="00AB2A86">
      <w:pPr>
        <w:pStyle w:val="SingleTxt"/>
        <w:numPr>
          <w:ilvl w:val="0"/>
          <w:numId w:val="33"/>
        </w:numPr>
        <w:spacing w:line="240" w:lineRule="exact"/>
        <w:rPr>
          <w:lang w:val="fr-FR"/>
        </w:rPr>
      </w:pPr>
      <w:r w:rsidRPr="008E60B5">
        <w:rPr>
          <w:lang w:val="fr-FR"/>
        </w:rPr>
        <w:t>Sur les 2 050 employés de l</w:t>
      </w:r>
      <w:r w:rsidR="008E60B5" w:rsidRPr="008E60B5">
        <w:rPr>
          <w:lang w:val="fr-FR"/>
        </w:rPr>
        <w:t>’</w:t>
      </w:r>
      <w:r w:rsidRPr="008E60B5">
        <w:rPr>
          <w:lang w:val="fr-FR"/>
        </w:rPr>
        <w:t>Administration de la ville de Belgrade, 1 241, soit 60</w:t>
      </w:r>
      <w:r w:rsidR="00002E6B" w:rsidRPr="008E60B5">
        <w:rPr>
          <w:lang w:val="fr-FR"/>
        </w:rPr>
        <w:t> %</w:t>
      </w:r>
      <w:r w:rsidRPr="008E60B5">
        <w:rPr>
          <w:lang w:val="fr-FR"/>
        </w:rPr>
        <w:t>, sont des femmes. Les postes de cadres moyens et supérieurs sont principalement occupés par des femmes, qui sont au nombre de 268 (63,8</w:t>
      </w:r>
      <w:r w:rsidR="00002E6B" w:rsidRPr="008E60B5">
        <w:rPr>
          <w:lang w:val="fr-FR"/>
        </w:rPr>
        <w:t> %</w:t>
      </w:r>
      <w:r w:rsidRPr="008E60B5">
        <w:rPr>
          <w:lang w:val="fr-FR"/>
        </w:rPr>
        <w:t xml:space="preserve">) contre </w:t>
      </w:r>
      <w:r w:rsidRPr="008E60B5">
        <w:rPr>
          <w:lang w:val="fr-FR"/>
        </w:rPr>
        <w:lastRenderedPageBreak/>
        <w:t>171 hommes (36,2</w:t>
      </w:r>
      <w:r w:rsidR="00002E6B" w:rsidRPr="008E60B5">
        <w:rPr>
          <w:lang w:val="fr-FR"/>
        </w:rPr>
        <w:t> %</w:t>
      </w:r>
      <w:r w:rsidRPr="008E60B5">
        <w:rPr>
          <w:lang w:val="fr-FR"/>
        </w:rPr>
        <w:t>). Parmi celles-ci, 259 ont un diplôme de l</w:t>
      </w:r>
      <w:r w:rsidR="008E60B5" w:rsidRPr="008E60B5">
        <w:rPr>
          <w:lang w:val="fr-FR"/>
        </w:rPr>
        <w:t>’</w:t>
      </w:r>
      <w:r w:rsidRPr="008E60B5">
        <w:rPr>
          <w:lang w:val="fr-FR"/>
        </w:rPr>
        <w:t xml:space="preserve">enseignement supérieur. </w:t>
      </w:r>
    </w:p>
    <w:p w14:paraId="1DBDB534" w14:textId="0D904BEF" w:rsidR="004F32D0" w:rsidRPr="008E60B5" w:rsidRDefault="004F32D0" w:rsidP="00AB2A86">
      <w:pPr>
        <w:pStyle w:val="SingleTxt"/>
        <w:numPr>
          <w:ilvl w:val="0"/>
          <w:numId w:val="33"/>
        </w:numPr>
        <w:spacing w:line="240" w:lineRule="exact"/>
        <w:rPr>
          <w:lang w:val="fr-FR"/>
        </w:rPr>
      </w:pPr>
      <w:r w:rsidRPr="008E60B5">
        <w:rPr>
          <w:lang w:val="fr-FR"/>
        </w:rPr>
        <w:t>Le nouveau plan d</w:t>
      </w:r>
      <w:r w:rsidR="008E60B5" w:rsidRPr="008E60B5">
        <w:rPr>
          <w:lang w:val="fr-FR"/>
        </w:rPr>
        <w:t>’</w:t>
      </w:r>
      <w:r w:rsidRPr="008E60B5">
        <w:rPr>
          <w:lang w:val="fr-FR"/>
        </w:rPr>
        <w:t>action national prévoit des activités d</w:t>
      </w:r>
      <w:r w:rsidR="008E60B5" w:rsidRPr="008E60B5">
        <w:rPr>
          <w:lang w:val="fr-FR"/>
        </w:rPr>
        <w:t>’</w:t>
      </w:r>
      <w:r w:rsidRPr="008E60B5">
        <w:rPr>
          <w:lang w:val="fr-FR"/>
        </w:rPr>
        <w:t>intégration de la lutte contre les inégalités entre les sexes et la participation accrue des femmes à la communication d</w:t>
      </w:r>
      <w:r w:rsidR="008E60B5" w:rsidRPr="008E60B5">
        <w:rPr>
          <w:lang w:val="fr-FR"/>
        </w:rPr>
        <w:t>’</w:t>
      </w:r>
      <w:r w:rsidRPr="008E60B5">
        <w:rPr>
          <w:lang w:val="fr-FR"/>
        </w:rPr>
        <w:t>informations et au dialogue entre les autorités de</w:t>
      </w:r>
      <w:r w:rsidR="00002E6B" w:rsidRPr="008E60B5">
        <w:rPr>
          <w:lang w:val="fr-FR"/>
        </w:rPr>
        <w:t xml:space="preserve"> </w:t>
      </w:r>
      <w:r w:rsidRPr="008E60B5">
        <w:rPr>
          <w:lang w:val="fr-FR"/>
        </w:rPr>
        <w:t>Belgrade et de Pristina. Ces activités sont menées par le Bureau du Kosovo-Metohija, en partenariat avec les pouvoir publics, y compris les collectivités locales, le milieu universitaire, les organisations de la société civile et les médias. En coopération avec le Centre de documentation d</w:t>
      </w:r>
      <w:r w:rsidR="008E60B5" w:rsidRPr="008E60B5">
        <w:rPr>
          <w:lang w:val="fr-FR"/>
        </w:rPr>
        <w:t>’</w:t>
      </w:r>
      <w:r w:rsidRPr="008E60B5">
        <w:rPr>
          <w:lang w:val="fr-FR"/>
        </w:rPr>
        <w:t>Europe du Sud-Est et de l</w:t>
      </w:r>
      <w:r w:rsidR="008E60B5" w:rsidRPr="008E60B5">
        <w:rPr>
          <w:lang w:val="fr-FR"/>
        </w:rPr>
        <w:t>’</w:t>
      </w:r>
      <w:r w:rsidRPr="008E60B5">
        <w:rPr>
          <w:lang w:val="fr-FR"/>
        </w:rPr>
        <w:t>Est sur la lutte contre la prolifération des armes légères, l</w:t>
      </w:r>
      <w:r w:rsidR="008E60B5" w:rsidRPr="008E60B5">
        <w:rPr>
          <w:lang w:val="fr-FR"/>
        </w:rPr>
        <w:t>’</w:t>
      </w:r>
      <w:r w:rsidRPr="008E60B5">
        <w:rPr>
          <w:lang w:val="fr-FR"/>
        </w:rPr>
        <w:t>association SeConS a organisé un atelier de deux jours sur des questions relatives à la gestion des ressources humaines à l</w:t>
      </w:r>
      <w:r w:rsidR="008E60B5" w:rsidRPr="008E60B5">
        <w:rPr>
          <w:lang w:val="fr-FR"/>
        </w:rPr>
        <w:t>’</w:t>
      </w:r>
      <w:r w:rsidRPr="008E60B5">
        <w:rPr>
          <w:lang w:val="fr-FR"/>
        </w:rPr>
        <w:t>intention des représentants du Ministère de la défense et des forces armées serbes. L</w:t>
      </w:r>
      <w:r w:rsidR="008E60B5" w:rsidRPr="008E60B5">
        <w:rPr>
          <w:lang w:val="fr-FR"/>
        </w:rPr>
        <w:t>’</w:t>
      </w:r>
      <w:r w:rsidRPr="008E60B5">
        <w:rPr>
          <w:lang w:val="fr-FR"/>
        </w:rPr>
        <w:t>objectif était d</w:t>
      </w:r>
      <w:r w:rsidR="008E60B5" w:rsidRPr="008E60B5">
        <w:rPr>
          <w:lang w:val="fr-FR"/>
        </w:rPr>
        <w:t>’</w:t>
      </w:r>
      <w:r w:rsidRPr="008E60B5">
        <w:rPr>
          <w:lang w:val="fr-FR"/>
        </w:rPr>
        <w:t>améliorer les connaissances et les compétences des participants s</w:t>
      </w:r>
      <w:r w:rsidR="008E60B5" w:rsidRPr="008E60B5">
        <w:rPr>
          <w:lang w:val="fr-FR"/>
        </w:rPr>
        <w:t>’</w:t>
      </w:r>
      <w:r w:rsidRPr="008E60B5">
        <w:rPr>
          <w:lang w:val="fr-FR"/>
        </w:rPr>
        <w:t>agissant d</w:t>
      </w:r>
      <w:r w:rsidR="008E60B5" w:rsidRPr="008E60B5">
        <w:rPr>
          <w:lang w:val="fr-FR"/>
        </w:rPr>
        <w:t>’</w:t>
      </w:r>
      <w:r w:rsidRPr="008E60B5">
        <w:rPr>
          <w:lang w:val="fr-FR"/>
        </w:rPr>
        <w:t>analyser des données ventilées par sexe et de les utiliser pour formuler des politiques tenant compte de la problématique hommes-femmes, en vue d</w:t>
      </w:r>
      <w:r w:rsidR="008E60B5" w:rsidRPr="008E60B5">
        <w:rPr>
          <w:lang w:val="fr-FR"/>
        </w:rPr>
        <w:t>’</w:t>
      </w:r>
      <w:r w:rsidRPr="008E60B5">
        <w:rPr>
          <w:lang w:val="fr-FR"/>
        </w:rPr>
        <w:t>accroître l</w:t>
      </w:r>
      <w:r w:rsidR="008E60B5" w:rsidRPr="008E60B5">
        <w:rPr>
          <w:lang w:val="fr-FR"/>
        </w:rPr>
        <w:t>’</w:t>
      </w:r>
      <w:r w:rsidRPr="008E60B5">
        <w:rPr>
          <w:lang w:val="fr-FR"/>
        </w:rPr>
        <w:t>égalité des sexes au Ministère de la défense et dans les forces armées serbes.</w:t>
      </w:r>
    </w:p>
    <w:p w14:paraId="11DD5240" w14:textId="61D0A5E5" w:rsidR="004F32D0" w:rsidRPr="008E60B5" w:rsidRDefault="004F32D0" w:rsidP="00AB2A86">
      <w:pPr>
        <w:pStyle w:val="SingleTxt"/>
        <w:numPr>
          <w:ilvl w:val="0"/>
          <w:numId w:val="33"/>
        </w:numPr>
        <w:spacing w:line="240" w:lineRule="exact"/>
        <w:rPr>
          <w:lang w:val="fr-FR"/>
        </w:rPr>
      </w:pPr>
      <w:r w:rsidRPr="008E60B5">
        <w:rPr>
          <w:lang w:val="fr-FR"/>
        </w:rPr>
        <w:t>Une nouveauté importante a été introduite dans le projet de loi sur l</w:t>
      </w:r>
      <w:r w:rsidR="008E60B5" w:rsidRPr="008E60B5">
        <w:rPr>
          <w:lang w:val="fr-FR"/>
        </w:rPr>
        <w:t>’</w:t>
      </w:r>
      <w:r w:rsidRPr="008E60B5">
        <w:rPr>
          <w:lang w:val="fr-FR"/>
        </w:rPr>
        <w:t>égalité des sexes, qui stipule que les délégations permanentes élues ou nommées pour représenter la République de Serbie auprès des organismes internationaux doivent comprendre au moins 40</w:t>
      </w:r>
      <w:r w:rsidR="00002E6B" w:rsidRPr="008E60B5">
        <w:rPr>
          <w:lang w:val="fr-FR"/>
        </w:rPr>
        <w:t> %</w:t>
      </w:r>
      <w:r w:rsidRPr="008E60B5">
        <w:rPr>
          <w:lang w:val="fr-FR"/>
        </w:rPr>
        <w:t xml:space="preserve"> de membres du sexe sous-représenté. La même règle s</w:t>
      </w:r>
      <w:r w:rsidR="008E60B5" w:rsidRPr="008E60B5">
        <w:rPr>
          <w:lang w:val="fr-FR"/>
        </w:rPr>
        <w:t>’</w:t>
      </w:r>
      <w:r w:rsidRPr="008E60B5">
        <w:rPr>
          <w:lang w:val="fr-FR"/>
        </w:rPr>
        <w:t>appliquera également lors de l</w:t>
      </w:r>
      <w:r w:rsidR="008E60B5" w:rsidRPr="008E60B5">
        <w:rPr>
          <w:lang w:val="fr-FR"/>
        </w:rPr>
        <w:t>’</w:t>
      </w:r>
      <w:r w:rsidRPr="008E60B5">
        <w:rPr>
          <w:lang w:val="fr-FR"/>
        </w:rPr>
        <w:t>élection ou de la nomination de candidats à certains postes, de la création d</w:t>
      </w:r>
      <w:r w:rsidR="008E60B5" w:rsidRPr="008E60B5">
        <w:rPr>
          <w:lang w:val="fr-FR"/>
        </w:rPr>
        <w:t>’</w:t>
      </w:r>
      <w:r w:rsidRPr="008E60B5">
        <w:rPr>
          <w:lang w:val="fr-FR"/>
        </w:rPr>
        <w:t>organes de travail et de la formation de délégations officielles. De même, les organes de gestion et de direction des partis politiques, des syndicats et des associations professionnelles devront veiller à ce que la proportion du sexe sous-représenté soit d</w:t>
      </w:r>
      <w:r w:rsidR="008E60B5" w:rsidRPr="008E60B5">
        <w:rPr>
          <w:lang w:val="fr-FR"/>
        </w:rPr>
        <w:t>’</w:t>
      </w:r>
      <w:r w:rsidRPr="008E60B5">
        <w:rPr>
          <w:lang w:val="fr-FR"/>
        </w:rPr>
        <w:t>au moins 40</w:t>
      </w:r>
      <w:r w:rsidR="00002E6B" w:rsidRPr="008E60B5">
        <w:rPr>
          <w:lang w:val="fr-FR"/>
        </w:rPr>
        <w:t> %</w:t>
      </w:r>
      <w:r w:rsidRPr="008E60B5">
        <w:rPr>
          <w:lang w:val="fr-FR"/>
        </w:rPr>
        <w:t xml:space="preserve">. </w:t>
      </w:r>
    </w:p>
    <w:p w14:paraId="421D8A8A" w14:textId="77777777" w:rsidR="00AB2A86" w:rsidRPr="008E60B5" w:rsidRDefault="00AB2A86" w:rsidP="00AB2A86">
      <w:pPr>
        <w:pStyle w:val="SingleTxt"/>
        <w:spacing w:after="0" w:line="120" w:lineRule="exact"/>
        <w:rPr>
          <w:b/>
          <w:sz w:val="10"/>
          <w:lang w:val="fr-FR"/>
        </w:rPr>
      </w:pPr>
    </w:p>
    <w:p w14:paraId="762F0339" w14:textId="77777777" w:rsidR="00AB2A86" w:rsidRPr="008E60B5" w:rsidRDefault="00AB2A86" w:rsidP="00AB2A86">
      <w:pPr>
        <w:pStyle w:val="SingleTxt"/>
        <w:spacing w:after="0" w:line="120" w:lineRule="exact"/>
        <w:rPr>
          <w:b/>
          <w:sz w:val="10"/>
          <w:lang w:val="fr-FR"/>
        </w:rPr>
      </w:pPr>
    </w:p>
    <w:p w14:paraId="72A92A3A" w14:textId="009080E6" w:rsidR="004F32D0" w:rsidRPr="008E60B5" w:rsidRDefault="004F32D0" w:rsidP="00AB2A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Article 10</w:t>
      </w:r>
    </w:p>
    <w:p w14:paraId="42ADABEE" w14:textId="66EA65CE" w:rsidR="00AB2A86" w:rsidRPr="008E60B5" w:rsidRDefault="00AB2A86" w:rsidP="00AB2A86">
      <w:pPr>
        <w:pStyle w:val="SingleTxt"/>
        <w:spacing w:after="0" w:line="120" w:lineRule="exact"/>
        <w:rPr>
          <w:sz w:val="10"/>
          <w:lang w:val="fr-FR"/>
        </w:rPr>
      </w:pPr>
    </w:p>
    <w:p w14:paraId="49508D1E" w14:textId="220EE202" w:rsidR="00AB2A86" w:rsidRPr="008E60B5" w:rsidRDefault="00AB2A86" w:rsidP="00AB2A86">
      <w:pPr>
        <w:pStyle w:val="SingleTxt"/>
        <w:spacing w:after="0" w:line="120" w:lineRule="exact"/>
        <w:rPr>
          <w:sz w:val="10"/>
          <w:lang w:val="fr-FR"/>
        </w:rPr>
      </w:pPr>
    </w:p>
    <w:p w14:paraId="5EC5F020" w14:textId="49E65449" w:rsidR="004F32D0" w:rsidRPr="008E60B5" w:rsidRDefault="004F32D0" w:rsidP="00AB2A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Éducation des femmes</w:t>
      </w:r>
    </w:p>
    <w:p w14:paraId="243C466B" w14:textId="29718BCC" w:rsidR="00AB2A86" w:rsidRPr="008E60B5" w:rsidRDefault="00AB2A86" w:rsidP="00AB2A86">
      <w:pPr>
        <w:pStyle w:val="SingleTxt"/>
        <w:spacing w:after="0" w:line="120" w:lineRule="exact"/>
        <w:rPr>
          <w:sz w:val="10"/>
          <w:lang w:val="fr-FR"/>
        </w:rPr>
      </w:pPr>
    </w:p>
    <w:p w14:paraId="6A99DB9B" w14:textId="0F7CE60B" w:rsidR="004F32D0" w:rsidRPr="008E60B5" w:rsidRDefault="00F841A6" w:rsidP="00F841A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r>
      <w:r w:rsidR="004F32D0" w:rsidRPr="008E60B5">
        <w:rPr>
          <w:lang w:val="fr-FR"/>
        </w:rPr>
        <w:t xml:space="preserve">Recommandation formulée au paragraphe 29 </w:t>
      </w:r>
    </w:p>
    <w:p w14:paraId="2E54E525" w14:textId="2341B666" w:rsidR="00AB2A86" w:rsidRPr="008E60B5" w:rsidRDefault="00AB2A86" w:rsidP="00AB2A86">
      <w:pPr>
        <w:pStyle w:val="SingleTxt"/>
        <w:spacing w:after="0" w:line="120" w:lineRule="exact"/>
        <w:rPr>
          <w:i/>
          <w:sz w:val="10"/>
          <w:lang w:val="fr-FR"/>
        </w:rPr>
      </w:pPr>
    </w:p>
    <w:p w14:paraId="2B8ABD4D" w14:textId="06B2D451" w:rsidR="004F32D0" w:rsidRPr="008E60B5" w:rsidRDefault="004F32D0" w:rsidP="00AB2A86">
      <w:pPr>
        <w:pStyle w:val="SingleTxt"/>
        <w:numPr>
          <w:ilvl w:val="0"/>
          <w:numId w:val="33"/>
        </w:numPr>
        <w:spacing w:line="240" w:lineRule="exact"/>
        <w:rPr>
          <w:b/>
          <w:lang w:val="fr-FR"/>
        </w:rPr>
      </w:pPr>
      <w:r w:rsidRPr="008E60B5">
        <w:rPr>
          <w:lang w:val="fr-FR"/>
        </w:rPr>
        <w:t>En ce qui concerne l</w:t>
      </w:r>
      <w:r w:rsidR="008E60B5" w:rsidRPr="008E60B5">
        <w:rPr>
          <w:lang w:val="fr-FR"/>
        </w:rPr>
        <w:t>’</w:t>
      </w:r>
      <w:r w:rsidRPr="008E60B5">
        <w:rPr>
          <w:lang w:val="fr-FR"/>
        </w:rPr>
        <w:t>enseignement primaire, il n</w:t>
      </w:r>
      <w:r w:rsidR="008E60B5" w:rsidRPr="008E60B5">
        <w:rPr>
          <w:lang w:val="fr-FR"/>
        </w:rPr>
        <w:t>’</w:t>
      </w:r>
      <w:r w:rsidRPr="008E60B5">
        <w:rPr>
          <w:lang w:val="fr-FR"/>
        </w:rPr>
        <w:t>y a pas de différence majeure entre le nombre de garçons et de filles inscrits en première année, les filles représentant 49</w:t>
      </w:r>
      <w:r w:rsidR="00002E6B" w:rsidRPr="008E60B5">
        <w:rPr>
          <w:lang w:val="fr-FR"/>
        </w:rPr>
        <w:t> %</w:t>
      </w:r>
      <w:r w:rsidRPr="008E60B5">
        <w:rPr>
          <w:lang w:val="fr-FR"/>
        </w:rPr>
        <w:t xml:space="preserve"> des élèves et les garçons 51</w:t>
      </w:r>
      <w:r w:rsidR="00002E6B" w:rsidRPr="008E60B5">
        <w:rPr>
          <w:lang w:val="fr-FR"/>
        </w:rPr>
        <w:t> %</w:t>
      </w:r>
      <w:r w:rsidRPr="008E60B5">
        <w:rPr>
          <w:lang w:val="fr-FR"/>
        </w:rPr>
        <w:t>. Cependant, les résultats scolaires des filles sont beaucoup plus élevés que ceux des garçons, tant dans l</w:t>
      </w:r>
      <w:r w:rsidR="008E60B5" w:rsidRPr="008E60B5">
        <w:rPr>
          <w:lang w:val="fr-FR"/>
        </w:rPr>
        <w:t>’</w:t>
      </w:r>
      <w:r w:rsidRPr="008E60B5">
        <w:rPr>
          <w:lang w:val="fr-FR"/>
        </w:rPr>
        <w:t>enseignement primaire que secondaire. Deux fois plus de garçons que de filles suivent un cursus de trois ans en établissement secondaire professionnel. Toutefois, les filles sont plus nombreuses dans les domaines suivants</w:t>
      </w:r>
      <w:r w:rsidR="00002E6B" w:rsidRPr="008E60B5">
        <w:rPr>
          <w:lang w:val="fr-FR"/>
        </w:rPr>
        <w:t> :</w:t>
      </w:r>
      <w:r w:rsidRPr="008E60B5">
        <w:rPr>
          <w:lang w:val="fr-FR"/>
        </w:rPr>
        <w:t xml:space="preserve"> industries du textile et du cuir, services à la personne, chimie, industrie des non-métaux, conception graphique, soins de santé et protection sociale. Davantage de filles terminent un cursus d</w:t>
      </w:r>
      <w:r w:rsidR="008E60B5" w:rsidRPr="008E60B5">
        <w:rPr>
          <w:lang w:val="fr-FR"/>
        </w:rPr>
        <w:t>’</w:t>
      </w:r>
      <w:r w:rsidRPr="008E60B5">
        <w:rPr>
          <w:lang w:val="fr-FR"/>
        </w:rPr>
        <w:t>enseignement secondaire général en quatre ans (58</w:t>
      </w:r>
      <w:r w:rsidR="00002E6B" w:rsidRPr="008E60B5">
        <w:rPr>
          <w:lang w:val="fr-FR"/>
        </w:rPr>
        <w:t> %</w:t>
      </w:r>
      <w:r w:rsidRPr="008E60B5">
        <w:rPr>
          <w:lang w:val="fr-FR"/>
        </w:rPr>
        <w:t>, contre 42</w:t>
      </w:r>
      <w:r w:rsidR="00002E6B" w:rsidRPr="008E60B5">
        <w:rPr>
          <w:lang w:val="fr-FR"/>
        </w:rPr>
        <w:t> %</w:t>
      </w:r>
      <w:r w:rsidRPr="008E60B5">
        <w:rPr>
          <w:lang w:val="fr-FR"/>
        </w:rPr>
        <w:t xml:space="preserve"> de garçons) ou un cursus d</w:t>
      </w:r>
      <w:r w:rsidR="008E60B5" w:rsidRPr="008E60B5">
        <w:rPr>
          <w:lang w:val="fr-FR"/>
        </w:rPr>
        <w:t>’</w:t>
      </w:r>
      <w:r w:rsidRPr="008E60B5">
        <w:rPr>
          <w:lang w:val="fr-FR"/>
        </w:rPr>
        <w:t>enseignement secondaire professionnel en quatre ans (52</w:t>
      </w:r>
      <w:r w:rsidR="00002E6B" w:rsidRPr="008E60B5">
        <w:rPr>
          <w:lang w:val="fr-FR"/>
        </w:rPr>
        <w:t> %</w:t>
      </w:r>
      <w:r w:rsidRPr="008E60B5">
        <w:rPr>
          <w:lang w:val="fr-FR"/>
        </w:rPr>
        <w:t>, contre 48</w:t>
      </w:r>
      <w:r w:rsidR="00002E6B" w:rsidRPr="008E60B5">
        <w:rPr>
          <w:lang w:val="fr-FR"/>
        </w:rPr>
        <w:t> %</w:t>
      </w:r>
      <w:r w:rsidRPr="008E60B5">
        <w:rPr>
          <w:lang w:val="fr-FR"/>
        </w:rPr>
        <w:t xml:space="preserve"> de garçons). Les garçons sont plus nombreux dans les domaines suivants</w:t>
      </w:r>
      <w:r w:rsidR="00002E6B" w:rsidRPr="008E60B5">
        <w:rPr>
          <w:lang w:val="fr-FR"/>
        </w:rPr>
        <w:t> :</w:t>
      </w:r>
      <w:r w:rsidRPr="008E60B5">
        <w:rPr>
          <w:lang w:val="fr-FR"/>
        </w:rPr>
        <w:t xml:space="preserve"> génie électrique, génie mécanique et métallurgie, géodésie et construction, transport, foresterie et transformation du bois, géologie et exploitation minière. Selon les résultats du Programme international pour le suivi des acquis des élèves de 2012, les filles obtiennent de meilleurs résultats en lecture et en culture scientifique, et les garçons en culture mathématique. La majorité des étudiants qui s</w:t>
      </w:r>
      <w:r w:rsidR="008E60B5" w:rsidRPr="008E60B5">
        <w:rPr>
          <w:lang w:val="fr-FR"/>
        </w:rPr>
        <w:t>’</w:t>
      </w:r>
      <w:r w:rsidRPr="008E60B5">
        <w:rPr>
          <w:lang w:val="fr-FR"/>
        </w:rPr>
        <w:t>inscrivent dans des établissements secondaires supérieurs et dans des universités et qui achèvent leurs études sont des femmes. Celles-ci représentent en effet 58</w:t>
      </w:r>
      <w:r w:rsidR="00002E6B" w:rsidRPr="008E60B5">
        <w:rPr>
          <w:lang w:val="fr-FR"/>
        </w:rPr>
        <w:t> %</w:t>
      </w:r>
      <w:r w:rsidRPr="008E60B5">
        <w:rPr>
          <w:lang w:val="fr-FR"/>
        </w:rPr>
        <w:t xml:space="preserve"> des étudiants inscrits et 59</w:t>
      </w:r>
      <w:r w:rsidR="00002E6B" w:rsidRPr="008E60B5">
        <w:rPr>
          <w:lang w:val="fr-FR"/>
        </w:rPr>
        <w:t> %</w:t>
      </w:r>
      <w:r w:rsidRPr="008E60B5">
        <w:rPr>
          <w:lang w:val="fr-FR"/>
        </w:rPr>
        <w:t xml:space="preserve"> des diplômés (selon les statistiques de 2015). En 2015, les femmes représentaient plus de la moitié des diplômés dans les domaines suivants</w:t>
      </w:r>
      <w:r w:rsidR="00002E6B" w:rsidRPr="008E60B5">
        <w:rPr>
          <w:lang w:val="fr-FR"/>
        </w:rPr>
        <w:t> :</w:t>
      </w:r>
      <w:r w:rsidRPr="008E60B5">
        <w:rPr>
          <w:lang w:val="fr-FR"/>
        </w:rPr>
        <w:t xml:space="preserve"> éducation (87</w:t>
      </w:r>
      <w:r w:rsidR="00002E6B" w:rsidRPr="008E60B5">
        <w:rPr>
          <w:lang w:val="fr-FR"/>
        </w:rPr>
        <w:t> %</w:t>
      </w:r>
      <w:r w:rsidRPr="008E60B5">
        <w:rPr>
          <w:lang w:val="fr-FR"/>
        </w:rPr>
        <w:t>), soins de santé et protection sociale (73</w:t>
      </w:r>
      <w:r w:rsidR="00002E6B" w:rsidRPr="008E60B5">
        <w:rPr>
          <w:lang w:val="fr-FR"/>
        </w:rPr>
        <w:t> %</w:t>
      </w:r>
      <w:r w:rsidRPr="008E60B5">
        <w:rPr>
          <w:lang w:val="fr-FR"/>
        </w:rPr>
        <w:t>), arts et sciences humaines (71</w:t>
      </w:r>
      <w:r w:rsidR="00002E6B" w:rsidRPr="008E60B5">
        <w:rPr>
          <w:lang w:val="fr-FR"/>
        </w:rPr>
        <w:t> %</w:t>
      </w:r>
      <w:r w:rsidRPr="008E60B5">
        <w:rPr>
          <w:lang w:val="fr-FR"/>
        </w:rPr>
        <w:t xml:space="preserve">) </w:t>
      </w:r>
      <w:r w:rsidRPr="008E60B5">
        <w:rPr>
          <w:lang w:val="fr-FR"/>
        </w:rPr>
        <w:lastRenderedPageBreak/>
        <w:t>et sciences sociales, commerce et droit (61</w:t>
      </w:r>
      <w:r w:rsidR="00002E6B" w:rsidRPr="008E60B5">
        <w:rPr>
          <w:lang w:val="fr-FR"/>
        </w:rPr>
        <w:t> %</w:t>
      </w:r>
      <w:r w:rsidRPr="008E60B5">
        <w:rPr>
          <w:lang w:val="fr-FR"/>
        </w:rPr>
        <w:t>). Les hommes constituaient la majorité des diplômés dans les domaines suivants</w:t>
      </w:r>
      <w:r w:rsidR="00002E6B" w:rsidRPr="008E60B5">
        <w:rPr>
          <w:lang w:val="fr-FR"/>
        </w:rPr>
        <w:t> :</w:t>
      </w:r>
      <w:r w:rsidRPr="008E60B5">
        <w:rPr>
          <w:lang w:val="fr-FR"/>
        </w:rPr>
        <w:t xml:space="preserve"> technologie, fabrication et construction (65</w:t>
      </w:r>
      <w:r w:rsidR="00002E6B" w:rsidRPr="008E60B5">
        <w:rPr>
          <w:lang w:val="fr-FR"/>
        </w:rPr>
        <w:t> %</w:t>
      </w:r>
      <w:r w:rsidRPr="008E60B5">
        <w:rPr>
          <w:lang w:val="fr-FR"/>
        </w:rPr>
        <w:t>), sciences naturelles, mathématiques et technologies de l</w:t>
      </w:r>
      <w:r w:rsidR="008E60B5" w:rsidRPr="008E60B5">
        <w:rPr>
          <w:lang w:val="fr-FR"/>
        </w:rPr>
        <w:t>’</w:t>
      </w:r>
      <w:r w:rsidRPr="008E60B5">
        <w:rPr>
          <w:lang w:val="fr-FR"/>
        </w:rPr>
        <w:t>information (54</w:t>
      </w:r>
      <w:r w:rsidR="00002E6B" w:rsidRPr="008E60B5">
        <w:rPr>
          <w:lang w:val="fr-FR"/>
        </w:rPr>
        <w:t> %</w:t>
      </w:r>
      <w:r w:rsidRPr="008E60B5">
        <w:rPr>
          <w:lang w:val="fr-FR"/>
        </w:rPr>
        <w:t>), agriculture et médecine vétérinaire (54</w:t>
      </w:r>
      <w:r w:rsidR="00002E6B" w:rsidRPr="008E60B5">
        <w:rPr>
          <w:lang w:val="fr-FR"/>
        </w:rPr>
        <w:t> %</w:t>
      </w:r>
      <w:r w:rsidRPr="008E60B5">
        <w:rPr>
          <w:lang w:val="fr-FR"/>
        </w:rPr>
        <w:t>) et services (51</w:t>
      </w:r>
      <w:r w:rsidR="00002E6B" w:rsidRPr="008E60B5">
        <w:rPr>
          <w:lang w:val="fr-FR"/>
        </w:rPr>
        <w:t> %</w:t>
      </w:r>
      <w:r w:rsidRPr="008E60B5">
        <w:rPr>
          <w:lang w:val="fr-FR"/>
        </w:rPr>
        <w:t>). Les hommes ont de meilleures connaissances en informatique et forment la majorité des utilisateurs d</w:t>
      </w:r>
      <w:r w:rsidR="008E60B5" w:rsidRPr="008E60B5">
        <w:rPr>
          <w:lang w:val="fr-FR"/>
        </w:rPr>
        <w:t>’</w:t>
      </w:r>
      <w:r w:rsidRPr="008E60B5">
        <w:rPr>
          <w:lang w:val="fr-FR"/>
        </w:rPr>
        <w:t>Internet dans la plupart des groupes d</w:t>
      </w:r>
      <w:r w:rsidR="008E60B5" w:rsidRPr="008E60B5">
        <w:rPr>
          <w:lang w:val="fr-FR"/>
        </w:rPr>
        <w:t>’</w:t>
      </w:r>
      <w:r w:rsidRPr="008E60B5">
        <w:rPr>
          <w:lang w:val="fr-FR"/>
        </w:rPr>
        <w:t xml:space="preserve">âge. </w:t>
      </w:r>
    </w:p>
    <w:p w14:paraId="048CED59" w14:textId="70832B93" w:rsidR="004F32D0" w:rsidRPr="008E60B5" w:rsidRDefault="004F32D0" w:rsidP="00F841A6">
      <w:pPr>
        <w:pStyle w:val="SingleTxt"/>
        <w:numPr>
          <w:ilvl w:val="0"/>
          <w:numId w:val="34"/>
        </w:numPr>
        <w:rPr>
          <w:lang w:val="fr-FR"/>
        </w:rPr>
      </w:pPr>
      <w:r w:rsidRPr="008E60B5">
        <w:rPr>
          <w:lang w:val="fr-FR"/>
        </w:rPr>
        <w:t>Les femmes roms sont les femmes les moins éduquées et ont le taux d</w:t>
      </w:r>
      <w:r w:rsidR="008E60B5" w:rsidRPr="008E60B5">
        <w:rPr>
          <w:lang w:val="fr-FR"/>
        </w:rPr>
        <w:t>’</w:t>
      </w:r>
      <w:r w:rsidRPr="008E60B5">
        <w:rPr>
          <w:lang w:val="fr-FR"/>
        </w:rPr>
        <w:t>analphabétisme le plus élevé</w:t>
      </w:r>
      <w:r w:rsidR="00002E6B" w:rsidRPr="008E60B5">
        <w:rPr>
          <w:lang w:val="fr-FR"/>
        </w:rPr>
        <w:t> :</w:t>
      </w:r>
      <w:r w:rsidRPr="008E60B5">
        <w:rPr>
          <w:lang w:val="fr-FR"/>
        </w:rPr>
        <w:t xml:space="preserve"> environ 80</w:t>
      </w:r>
      <w:r w:rsidR="00002E6B" w:rsidRPr="008E60B5">
        <w:rPr>
          <w:lang w:val="fr-FR"/>
        </w:rPr>
        <w:t> %</w:t>
      </w:r>
      <w:r w:rsidRPr="008E60B5">
        <w:rPr>
          <w:lang w:val="fr-FR"/>
        </w:rPr>
        <w:t xml:space="preserve"> d</w:t>
      </w:r>
      <w:r w:rsidR="008E60B5" w:rsidRPr="008E60B5">
        <w:rPr>
          <w:lang w:val="fr-FR"/>
        </w:rPr>
        <w:t>’</w:t>
      </w:r>
      <w:r w:rsidRPr="008E60B5">
        <w:rPr>
          <w:lang w:val="fr-FR"/>
        </w:rPr>
        <w:t>entre elles n</w:t>
      </w:r>
      <w:r w:rsidR="008E60B5" w:rsidRPr="008E60B5">
        <w:rPr>
          <w:lang w:val="fr-FR"/>
        </w:rPr>
        <w:t>’</w:t>
      </w:r>
      <w:r w:rsidRPr="008E60B5">
        <w:rPr>
          <w:lang w:val="fr-FR"/>
        </w:rPr>
        <w:t>ont reçu aucune éducation formelle ou ne possèdent aucune qualification. Bien que les filles roms obtiennent de meilleurs résultats scolaires que les garçons, elles abandonnent souvent l</w:t>
      </w:r>
      <w:r w:rsidR="008E60B5" w:rsidRPr="008E60B5">
        <w:rPr>
          <w:lang w:val="fr-FR"/>
        </w:rPr>
        <w:t>’</w:t>
      </w:r>
      <w:r w:rsidRPr="008E60B5">
        <w:rPr>
          <w:lang w:val="fr-FR"/>
        </w:rPr>
        <w:t>école à la puberté, la tradition patriarcale voulant que les femmes se marient tôt et prennent soin de leur famille et de leur foyer. Pauvreté et tradition patriarcale entraînent souvent les femmes roms dans un cercle vicieux. Le faible niveau d</w:t>
      </w:r>
      <w:r w:rsidR="008E60B5" w:rsidRPr="008E60B5">
        <w:rPr>
          <w:lang w:val="fr-FR"/>
        </w:rPr>
        <w:t>’</w:t>
      </w:r>
      <w:r w:rsidRPr="008E60B5">
        <w:rPr>
          <w:lang w:val="fr-FR"/>
        </w:rPr>
        <w:t>éducation et de qualification</w:t>
      </w:r>
      <w:r w:rsidR="00335D87">
        <w:rPr>
          <w:lang w:val="fr-FR"/>
        </w:rPr>
        <w:t>s</w:t>
      </w:r>
      <w:r w:rsidRPr="008E60B5">
        <w:rPr>
          <w:lang w:val="fr-FR"/>
        </w:rPr>
        <w:t xml:space="preserve"> réduit leurs chances d</w:t>
      </w:r>
      <w:r w:rsidR="008E60B5" w:rsidRPr="008E60B5">
        <w:rPr>
          <w:lang w:val="fr-FR"/>
        </w:rPr>
        <w:t>’</w:t>
      </w:r>
      <w:r w:rsidRPr="008E60B5">
        <w:rPr>
          <w:lang w:val="fr-FR"/>
        </w:rPr>
        <w:t>inclusion et accroît leur vulnérabilité, notamment à la discrimination, à la violence et aux risques en matière de santé. Les femmes roms représentent 70</w:t>
      </w:r>
      <w:r w:rsidR="00002E6B" w:rsidRPr="008E60B5">
        <w:rPr>
          <w:lang w:val="fr-FR"/>
        </w:rPr>
        <w:t> %</w:t>
      </w:r>
      <w:r w:rsidRPr="008E60B5">
        <w:rPr>
          <w:lang w:val="fr-FR"/>
        </w:rPr>
        <w:t xml:space="preserve"> du nombre total de femmes analphabètes. </w:t>
      </w:r>
    </w:p>
    <w:p w14:paraId="2D7A0F8D" w14:textId="24AC59EF" w:rsidR="004F32D0" w:rsidRPr="008E60B5" w:rsidRDefault="004F32D0" w:rsidP="00F841A6">
      <w:pPr>
        <w:pStyle w:val="SingleTxt"/>
        <w:numPr>
          <w:ilvl w:val="0"/>
          <w:numId w:val="34"/>
        </w:numPr>
        <w:spacing w:line="240" w:lineRule="exact"/>
        <w:rPr>
          <w:lang w:val="fr-FR"/>
        </w:rPr>
      </w:pPr>
      <w:r w:rsidRPr="008E60B5">
        <w:rPr>
          <w:lang w:val="fr-FR"/>
        </w:rPr>
        <w:t>La loi sur l</w:t>
      </w:r>
      <w:r w:rsidR="008E60B5" w:rsidRPr="008E60B5">
        <w:rPr>
          <w:lang w:val="fr-FR"/>
        </w:rPr>
        <w:t>’</w:t>
      </w:r>
      <w:r w:rsidRPr="008E60B5">
        <w:rPr>
          <w:lang w:val="fr-FR"/>
        </w:rPr>
        <w:t>éducation des adultes régit la formation tout au long de la vie</w:t>
      </w:r>
      <w:r w:rsidR="00002E6B" w:rsidRPr="008E60B5">
        <w:rPr>
          <w:lang w:val="fr-FR"/>
        </w:rPr>
        <w:t xml:space="preserve"> </w:t>
      </w:r>
      <w:r w:rsidRPr="008E60B5">
        <w:rPr>
          <w:lang w:val="fr-FR"/>
        </w:rPr>
        <w:t>dans le système éducatif unique de la Serbie. La formation des adultes se fait dans le cadre de l</w:t>
      </w:r>
      <w:r w:rsidR="008E60B5" w:rsidRPr="008E60B5">
        <w:rPr>
          <w:lang w:val="fr-FR"/>
        </w:rPr>
        <w:t>’</w:t>
      </w:r>
      <w:r w:rsidRPr="008E60B5">
        <w:rPr>
          <w:lang w:val="fr-FR"/>
        </w:rPr>
        <w:t>éducation formelle ou non formelle, ou encore de l</w:t>
      </w:r>
      <w:r w:rsidR="008E60B5" w:rsidRPr="008E60B5">
        <w:rPr>
          <w:lang w:val="fr-FR"/>
        </w:rPr>
        <w:t>’</w:t>
      </w:r>
      <w:r w:rsidRPr="008E60B5">
        <w:rPr>
          <w:lang w:val="fr-FR"/>
        </w:rPr>
        <w:t>apprentissage non scolaire, qui peut être dispensé par une école primaire ou secondaire ou par toute autre organisation enregistrée en tant que prestataire d</w:t>
      </w:r>
      <w:r w:rsidR="008E60B5" w:rsidRPr="008E60B5">
        <w:rPr>
          <w:lang w:val="fr-FR"/>
        </w:rPr>
        <w:t>’</w:t>
      </w:r>
      <w:r w:rsidRPr="008E60B5">
        <w:rPr>
          <w:lang w:val="fr-FR"/>
        </w:rPr>
        <w:t>enseignement approuvé par le Ministère de la jeunesse et des sports. Elle repose sur le principe d</w:t>
      </w:r>
      <w:r w:rsidR="008E60B5" w:rsidRPr="008E60B5">
        <w:rPr>
          <w:lang w:val="fr-FR"/>
        </w:rPr>
        <w:t>’</w:t>
      </w:r>
      <w:r w:rsidRPr="008E60B5">
        <w:rPr>
          <w:lang w:val="fr-FR"/>
        </w:rPr>
        <w:t>égalité des chances, qui est défini à l</w:t>
      </w:r>
      <w:r w:rsidR="008E60B5" w:rsidRPr="008E60B5">
        <w:rPr>
          <w:lang w:val="fr-FR"/>
        </w:rPr>
        <w:t>’</w:t>
      </w:r>
      <w:r w:rsidRPr="008E60B5">
        <w:rPr>
          <w:lang w:val="fr-FR"/>
        </w:rPr>
        <w:t>article 3 de la loi comme étant la possibilité offerte à tous d</w:t>
      </w:r>
      <w:r w:rsidR="008E60B5" w:rsidRPr="008E60B5">
        <w:rPr>
          <w:lang w:val="fr-FR"/>
        </w:rPr>
        <w:t>’</w:t>
      </w:r>
      <w:r w:rsidRPr="008E60B5">
        <w:rPr>
          <w:lang w:val="fr-FR"/>
        </w:rPr>
        <w:t>acquérir une éducation et des connaissances, indépendamment de l</w:t>
      </w:r>
      <w:r w:rsidR="008E60B5" w:rsidRPr="008E60B5">
        <w:rPr>
          <w:lang w:val="fr-FR"/>
        </w:rPr>
        <w:t>’</w:t>
      </w:r>
      <w:r w:rsidRPr="008E60B5">
        <w:rPr>
          <w:lang w:val="fr-FR"/>
        </w:rPr>
        <w:t>âge, du sexe, des troubles du développement, du handicap, de l</w:t>
      </w:r>
      <w:r w:rsidR="008E60B5" w:rsidRPr="008E60B5">
        <w:rPr>
          <w:lang w:val="fr-FR"/>
        </w:rPr>
        <w:t>’</w:t>
      </w:r>
      <w:r w:rsidRPr="008E60B5">
        <w:rPr>
          <w:lang w:val="fr-FR"/>
        </w:rPr>
        <w:t>origine raciale, nationale, sociale, culturelle, ethnique ou religieuse, de la langue, de l</w:t>
      </w:r>
      <w:r w:rsidR="008E60B5" w:rsidRPr="008E60B5">
        <w:rPr>
          <w:lang w:val="fr-FR"/>
        </w:rPr>
        <w:t>’</w:t>
      </w:r>
      <w:r w:rsidRPr="008E60B5">
        <w:rPr>
          <w:lang w:val="fr-FR"/>
        </w:rPr>
        <w:t>orientation sexuelle, du lieu de résidence, de la situation financière ou encore de l</w:t>
      </w:r>
      <w:r w:rsidR="008E60B5" w:rsidRPr="008E60B5">
        <w:rPr>
          <w:lang w:val="fr-FR"/>
        </w:rPr>
        <w:t>’</w:t>
      </w:r>
      <w:r w:rsidRPr="008E60B5">
        <w:rPr>
          <w:lang w:val="fr-FR"/>
        </w:rPr>
        <w:t>état de santé. L</w:t>
      </w:r>
      <w:r w:rsidR="008E60B5" w:rsidRPr="008E60B5">
        <w:rPr>
          <w:lang w:val="fr-FR"/>
        </w:rPr>
        <w:t>’</w:t>
      </w:r>
      <w:r w:rsidRPr="008E60B5">
        <w:rPr>
          <w:lang w:val="fr-FR"/>
        </w:rPr>
        <w:t>éducation des adultes a entre autres objectifs la consolidation de la démocratie, de l</w:t>
      </w:r>
      <w:r w:rsidR="008E60B5" w:rsidRPr="008E60B5">
        <w:rPr>
          <w:lang w:val="fr-FR"/>
        </w:rPr>
        <w:t>’</w:t>
      </w:r>
      <w:r w:rsidRPr="008E60B5">
        <w:rPr>
          <w:lang w:val="fr-FR"/>
        </w:rPr>
        <w:t>interculturalité et de la tolérance (art</w:t>
      </w:r>
      <w:r w:rsidR="00F841A6" w:rsidRPr="008E60B5">
        <w:rPr>
          <w:lang w:val="fr-FR"/>
        </w:rPr>
        <w:t>. </w:t>
      </w:r>
      <w:r w:rsidRPr="008E60B5">
        <w:rPr>
          <w:lang w:val="fr-FR"/>
        </w:rPr>
        <w:t>4). Elle est dispensée en serbe, conformément à la loi, et les membres des minorités nationales peuvent également suivre des cours dans leur langue maternelle ou des cours bilingues, si au moins 50</w:t>
      </w:r>
      <w:r w:rsidR="00002E6B" w:rsidRPr="008E60B5">
        <w:rPr>
          <w:lang w:val="fr-FR"/>
        </w:rPr>
        <w:t> %</w:t>
      </w:r>
      <w:r w:rsidRPr="008E60B5">
        <w:rPr>
          <w:lang w:val="fr-FR"/>
        </w:rPr>
        <w:t xml:space="preserve"> des apprenants choisissent cette option au moment de leur inscription. Les membres des minorités nationales ont le droit, dans le cadre de la validation des acquis, de choisir</w:t>
      </w:r>
      <w:r w:rsidR="00002E6B" w:rsidRPr="008E60B5">
        <w:rPr>
          <w:lang w:val="fr-FR"/>
        </w:rPr>
        <w:t xml:space="preserve"> </w:t>
      </w:r>
      <w:r w:rsidRPr="008E60B5">
        <w:rPr>
          <w:lang w:val="fr-FR"/>
        </w:rPr>
        <w:t>leur langue maternelle ou le serbe. La loi sur l</w:t>
      </w:r>
      <w:r w:rsidR="008E60B5" w:rsidRPr="008E60B5">
        <w:rPr>
          <w:lang w:val="fr-FR"/>
        </w:rPr>
        <w:t>’</w:t>
      </w:r>
      <w:r w:rsidRPr="008E60B5">
        <w:rPr>
          <w:lang w:val="fr-FR"/>
        </w:rPr>
        <w:t>éducation des adultes stipule que les cours à l</w:t>
      </w:r>
      <w:r w:rsidR="008E60B5" w:rsidRPr="008E60B5">
        <w:rPr>
          <w:lang w:val="fr-FR"/>
        </w:rPr>
        <w:t>’</w:t>
      </w:r>
      <w:r w:rsidRPr="008E60B5">
        <w:rPr>
          <w:lang w:val="fr-FR"/>
        </w:rPr>
        <w:t>intention des candidats et des apprenants qui utilisent la langue des signes ou un système d</w:t>
      </w:r>
      <w:r w:rsidR="008E60B5" w:rsidRPr="008E60B5">
        <w:rPr>
          <w:lang w:val="fr-FR"/>
        </w:rPr>
        <w:t>’</w:t>
      </w:r>
      <w:r w:rsidRPr="008E60B5">
        <w:rPr>
          <w:lang w:val="fr-FR"/>
        </w:rPr>
        <w:t>écriture spécial ou une autre solution technique doivent être dispensés conformément à la loi, la loi en question n</w:t>
      </w:r>
      <w:r w:rsidR="008E60B5" w:rsidRPr="008E60B5">
        <w:rPr>
          <w:lang w:val="fr-FR"/>
        </w:rPr>
        <w:t>’</w:t>
      </w:r>
      <w:r w:rsidRPr="008E60B5">
        <w:rPr>
          <w:lang w:val="fr-FR"/>
        </w:rPr>
        <w:t>étant pas indiquée. Elle prévoit la création de conseils de compétences, organismes professionnels rattachés aux différents secteurs d</w:t>
      </w:r>
      <w:r w:rsidR="008E60B5" w:rsidRPr="008E60B5">
        <w:rPr>
          <w:lang w:val="fr-FR"/>
        </w:rPr>
        <w:t>’</w:t>
      </w:r>
      <w:r w:rsidRPr="008E60B5">
        <w:rPr>
          <w:lang w:val="fr-FR"/>
        </w:rPr>
        <w:t>activités énumérés dans la classification uniforme des activités (art</w:t>
      </w:r>
      <w:r w:rsidR="00F841A6" w:rsidRPr="008E60B5">
        <w:rPr>
          <w:lang w:val="fr-FR"/>
        </w:rPr>
        <w:t>. </w:t>
      </w:r>
      <w:r w:rsidRPr="008E60B5">
        <w:rPr>
          <w:lang w:val="fr-FR"/>
        </w:rPr>
        <w:t>12). Elle donne également la possibilité aux collectivités locales de créer des conseils pour l</w:t>
      </w:r>
      <w:r w:rsidR="008E60B5" w:rsidRPr="008E60B5">
        <w:rPr>
          <w:lang w:val="fr-FR"/>
        </w:rPr>
        <w:t>’</w:t>
      </w:r>
      <w:r w:rsidRPr="008E60B5">
        <w:rPr>
          <w:lang w:val="fr-FR"/>
        </w:rPr>
        <w:t>éducation des adultes en vue d</w:t>
      </w:r>
      <w:r w:rsidR="008E60B5" w:rsidRPr="008E60B5">
        <w:rPr>
          <w:lang w:val="fr-FR"/>
        </w:rPr>
        <w:t>’</w:t>
      </w:r>
      <w:r w:rsidRPr="008E60B5">
        <w:rPr>
          <w:lang w:val="fr-FR"/>
        </w:rPr>
        <w:t>améliorer l</w:t>
      </w:r>
      <w:r w:rsidR="008E60B5" w:rsidRPr="008E60B5">
        <w:rPr>
          <w:lang w:val="fr-FR"/>
        </w:rPr>
        <w:t>’</w:t>
      </w:r>
      <w:r w:rsidRPr="008E60B5">
        <w:rPr>
          <w:lang w:val="fr-FR"/>
        </w:rPr>
        <w:t>efficacité de cette éducation et de son suivi et de faciliter l</w:t>
      </w:r>
      <w:r w:rsidR="008E60B5" w:rsidRPr="008E60B5">
        <w:rPr>
          <w:lang w:val="fr-FR"/>
        </w:rPr>
        <w:t>’</w:t>
      </w:r>
      <w:r w:rsidRPr="008E60B5">
        <w:rPr>
          <w:lang w:val="fr-FR"/>
        </w:rPr>
        <w:t>adoption de plans annuels. Plusieurs collectivités locales peuvent former un conseil conjoint po</w:t>
      </w:r>
      <w:r w:rsidR="00F841A6" w:rsidRPr="008E60B5">
        <w:rPr>
          <w:lang w:val="fr-FR"/>
        </w:rPr>
        <w:t>ur l</w:t>
      </w:r>
      <w:r w:rsidR="008E60B5" w:rsidRPr="008E60B5">
        <w:rPr>
          <w:lang w:val="fr-FR"/>
        </w:rPr>
        <w:t>’</w:t>
      </w:r>
      <w:r w:rsidR="00F841A6" w:rsidRPr="008E60B5">
        <w:rPr>
          <w:lang w:val="fr-FR"/>
        </w:rPr>
        <w:t>éducation des adultes (art. </w:t>
      </w:r>
      <w:r w:rsidRPr="008E60B5">
        <w:rPr>
          <w:lang w:val="fr-FR"/>
        </w:rPr>
        <w:t>15).</w:t>
      </w:r>
    </w:p>
    <w:p w14:paraId="128200F3" w14:textId="77777777" w:rsidR="00F841A6" w:rsidRPr="008E60B5" w:rsidRDefault="00F841A6" w:rsidP="00F841A6">
      <w:pPr>
        <w:pStyle w:val="SingleTxt"/>
        <w:spacing w:after="0" w:line="120" w:lineRule="exact"/>
        <w:rPr>
          <w:b/>
          <w:sz w:val="10"/>
          <w:lang w:val="fr-FR"/>
        </w:rPr>
      </w:pPr>
    </w:p>
    <w:p w14:paraId="3EB3721C" w14:textId="20A4A1A5" w:rsidR="004F32D0" w:rsidRPr="008E60B5" w:rsidRDefault="00F841A6" w:rsidP="00F841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004F32D0" w:rsidRPr="008E60B5">
        <w:rPr>
          <w:lang w:val="fr-FR"/>
        </w:rPr>
        <w:tab/>
        <w:t>Simplification des procédures d</w:t>
      </w:r>
      <w:r w:rsidR="008E60B5" w:rsidRPr="008E60B5">
        <w:rPr>
          <w:lang w:val="fr-FR"/>
        </w:rPr>
        <w:t>’</w:t>
      </w:r>
      <w:r w:rsidR="004F32D0" w:rsidRPr="008E60B5">
        <w:rPr>
          <w:lang w:val="fr-FR"/>
        </w:rPr>
        <w:t>inscription dans les établissements préscolaires et les écoles primaires</w:t>
      </w:r>
    </w:p>
    <w:p w14:paraId="35783B5D" w14:textId="608A22E5" w:rsidR="00F841A6" w:rsidRPr="008E60B5" w:rsidRDefault="00F841A6" w:rsidP="00F841A6">
      <w:pPr>
        <w:pStyle w:val="SingleTxt"/>
        <w:spacing w:after="0" w:line="120" w:lineRule="exact"/>
        <w:rPr>
          <w:sz w:val="10"/>
          <w:lang w:val="fr-FR"/>
        </w:rPr>
      </w:pPr>
    </w:p>
    <w:p w14:paraId="052D6681" w14:textId="08CA6F17" w:rsidR="004F32D0" w:rsidRPr="008E60B5" w:rsidRDefault="004F32D0" w:rsidP="00F841A6">
      <w:pPr>
        <w:pStyle w:val="SingleTxt"/>
        <w:numPr>
          <w:ilvl w:val="0"/>
          <w:numId w:val="34"/>
        </w:numPr>
        <w:spacing w:line="240" w:lineRule="exact"/>
        <w:rPr>
          <w:lang w:val="fr-FR"/>
        </w:rPr>
      </w:pPr>
      <w:r w:rsidRPr="008E60B5">
        <w:rPr>
          <w:lang w:val="fr-FR"/>
        </w:rPr>
        <w:t>En vertu de la loi sur l</w:t>
      </w:r>
      <w:r w:rsidR="008E60B5" w:rsidRPr="008E60B5">
        <w:rPr>
          <w:lang w:val="fr-FR"/>
        </w:rPr>
        <w:t>’</w:t>
      </w:r>
      <w:r w:rsidRPr="008E60B5">
        <w:rPr>
          <w:lang w:val="fr-FR"/>
        </w:rPr>
        <w:t>éducation préscolaire, les parents ou tuteurs dont les enfants ne suivent pas l</w:t>
      </w:r>
      <w:r w:rsidR="008E60B5" w:rsidRPr="008E60B5">
        <w:rPr>
          <w:lang w:val="fr-FR"/>
        </w:rPr>
        <w:t>’</w:t>
      </w:r>
      <w:r w:rsidRPr="008E60B5">
        <w:rPr>
          <w:lang w:val="fr-FR"/>
        </w:rPr>
        <w:t>enseignement dispensé dans un établissement préscolaire doivent inscrire leur enfant, âgé de 5,5 ans à 6,5 ans, dans un établissement préscolaire ou un programme préparatoire préscolaire. Les établissements préscolaires et les écoles primaires doivent accepter tous les enfants qui s</w:t>
      </w:r>
      <w:r w:rsidR="008E60B5" w:rsidRPr="008E60B5">
        <w:rPr>
          <w:lang w:val="fr-FR"/>
        </w:rPr>
        <w:t>’</w:t>
      </w:r>
      <w:r w:rsidRPr="008E60B5">
        <w:rPr>
          <w:lang w:val="fr-FR"/>
        </w:rPr>
        <w:t>inscrivent à un tel programme, quelle que soit l</w:t>
      </w:r>
      <w:r w:rsidR="008E60B5" w:rsidRPr="008E60B5">
        <w:rPr>
          <w:lang w:val="fr-FR"/>
        </w:rPr>
        <w:t>’</w:t>
      </w:r>
      <w:r w:rsidRPr="008E60B5">
        <w:rPr>
          <w:lang w:val="fr-FR"/>
        </w:rPr>
        <w:t>adresse de ses parents. L</w:t>
      </w:r>
      <w:r w:rsidR="008E60B5" w:rsidRPr="008E60B5">
        <w:rPr>
          <w:lang w:val="fr-FR"/>
        </w:rPr>
        <w:t>’</w:t>
      </w:r>
      <w:r w:rsidRPr="008E60B5">
        <w:rPr>
          <w:lang w:val="fr-FR"/>
        </w:rPr>
        <w:t xml:space="preserve">inscription à ce programme est gratuite. </w:t>
      </w:r>
    </w:p>
    <w:p w14:paraId="39C21D88" w14:textId="16EC167A" w:rsidR="004F32D0" w:rsidRPr="008E60B5" w:rsidRDefault="004F32D0" w:rsidP="00F841A6">
      <w:pPr>
        <w:pStyle w:val="SingleTxt"/>
        <w:numPr>
          <w:ilvl w:val="0"/>
          <w:numId w:val="34"/>
        </w:numPr>
        <w:spacing w:line="240" w:lineRule="exact"/>
        <w:rPr>
          <w:lang w:val="fr-FR"/>
        </w:rPr>
      </w:pPr>
      <w:r w:rsidRPr="008E60B5">
        <w:rPr>
          <w:lang w:val="fr-FR"/>
        </w:rPr>
        <w:lastRenderedPageBreak/>
        <w:t>Les enfants étrangers, apatrides, réfugiés ou déplacés ou qui appartiennent à des groupes vulnérables et ne disposent pas de justificatif de résidence permanente ou d</w:t>
      </w:r>
      <w:r w:rsidR="008E60B5" w:rsidRPr="008E60B5">
        <w:rPr>
          <w:lang w:val="fr-FR"/>
        </w:rPr>
        <w:t>’</w:t>
      </w:r>
      <w:r w:rsidRPr="008E60B5">
        <w:rPr>
          <w:lang w:val="fr-FR"/>
        </w:rPr>
        <w:t>autres documents personnels peuvent s</w:t>
      </w:r>
      <w:r w:rsidR="008E60B5" w:rsidRPr="008E60B5">
        <w:rPr>
          <w:lang w:val="fr-FR"/>
        </w:rPr>
        <w:t>’</w:t>
      </w:r>
      <w:r w:rsidRPr="008E60B5">
        <w:rPr>
          <w:lang w:val="fr-FR"/>
        </w:rPr>
        <w:t xml:space="preserve">inscrire dans des établissements préscolaires ou des écoles ayant un programme préparatoire préscolaire dans les mêmes conditions que les ressortissants serbes. De plus, les enfants hospitalisés peuvent suivre le programme préscolaire dans des établissements médicaux appropriés, et ceux qui ne peuvent pas fréquenter un établissement préscolaire pour cause de maladie ou pour toute autre raison justifiée peuvent participer au programme à domicile. </w:t>
      </w:r>
    </w:p>
    <w:p w14:paraId="66F3CCDC" w14:textId="22AD1F04" w:rsidR="004F32D0" w:rsidRPr="008E60B5" w:rsidRDefault="004F32D0" w:rsidP="00F841A6">
      <w:pPr>
        <w:pStyle w:val="SingleTxt"/>
        <w:numPr>
          <w:ilvl w:val="0"/>
          <w:numId w:val="34"/>
        </w:numPr>
        <w:spacing w:line="240" w:lineRule="exact"/>
        <w:rPr>
          <w:lang w:val="fr-FR"/>
        </w:rPr>
      </w:pPr>
      <w:r w:rsidRPr="003C1C06">
        <w:rPr>
          <w:i/>
          <w:lang w:val="fr-FR"/>
        </w:rPr>
        <w:t xml:space="preserve">La </w:t>
      </w:r>
      <w:r w:rsidRPr="00335D87">
        <w:rPr>
          <w:i/>
          <w:lang w:val="fr-FR"/>
        </w:rPr>
        <w:t>stratégie pour l</w:t>
      </w:r>
      <w:r w:rsidR="008E60B5" w:rsidRPr="00335D87">
        <w:rPr>
          <w:i/>
          <w:lang w:val="fr-FR"/>
        </w:rPr>
        <w:t>’</w:t>
      </w:r>
      <w:r w:rsidRPr="00335D87">
        <w:rPr>
          <w:i/>
          <w:lang w:val="fr-FR"/>
        </w:rPr>
        <w:t>inclusion sociale des hommes et des femmes roms</w:t>
      </w:r>
      <w:r w:rsidRPr="003C1C06">
        <w:rPr>
          <w:i/>
          <w:lang w:val="fr-FR"/>
        </w:rPr>
        <w:t xml:space="preserve"> et la </w:t>
      </w:r>
      <w:r w:rsidRPr="00335D87">
        <w:rPr>
          <w:i/>
          <w:lang w:val="fr-FR"/>
        </w:rPr>
        <w:t>stratégie pour le développement de l</w:t>
      </w:r>
      <w:r w:rsidR="008E60B5" w:rsidRPr="00335D87">
        <w:rPr>
          <w:i/>
          <w:lang w:val="fr-FR"/>
        </w:rPr>
        <w:t>’</w:t>
      </w:r>
      <w:r w:rsidRPr="00335D87">
        <w:rPr>
          <w:i/>
          <w:lang w:val="fr-FR"/>
        </w:rPr>
        <w:t>éducation en Serbie à l</w:t>
      </w:r>
      <w:r w:rsidR="008E60B5" w:rsidRPr="00335D87">
        <w:rPr>
          <w:i/>
          <w:lang w:val="fr-FR"/>
        </w:rPr>
        <w:t>’</w:t>
      </w:r>
      <w:r w:rsidRPr="00335D87">
        <w:rPr>
          <w:i/>
          <w:lang w:val="fr-FR"/>
        </w:rPr>
        <w:t>horizon 2020</w:t>
      </w:r>
      <w:r w:rsidRPr="008E60B5">
        <w:rPr>
          <w:i/>
          <w:lang w:val="fr-FR"/>
        </w:rPr>
        <w:t xml:space="preserve"> </w:t>
      </w:r>
      <w:r w:rsidRPr="008E60B5">
        <w:rPr>
          <w:lang w:val="fr-FR"/>
        </w:rPr>
        <w:t>énoncent des mesures visant à faire en sorte que tous les enfants âgés de 5,5 ans à 6,5 ans</w:t>
      </w:r>
      <w:r w:rsidR="00002E6B" w:rsidRPr="008E60B5">
        <w:rPr>
          <w:lang w:val="fr-FR"/>
        </w:rPr>
        <w:t xml:space="preserve"> </w:t>
      </w:r>
      <w:r w:rsidRPr="008E60B5">
        <w:rPr>
          <w:lang w:val="fr-FR"/>
        </w:rPr>
        <w:t>puissent suivre un enseignement préscolaire, notamment en mettant en place, au moment de l</w:t>
      </w:r>
      <w:r w:rsidR="008E60B5" w:rsidRPr="008E60B5">
        <w:rPr>
          <w:lang w:val="fr-FR"/>
        </w:rPr>
        <w:t>’</w:t>
      </w:r>
      <w:r w:rsidRPr="008E60B5">
        <w:rPr>
          <w:lang w:val="fr-FR"/>
        </w:rPr>
        <w:t>inscription, un traitement préférentiel à l</w:t>
      </w:r>
      <w:r w:rsidR="008E60B5" w:rsidRPr="008E60B5">
        <w:rPr>
          <w:lang w:val="fr-FR"/>
        </w:rPr>
        <w:t>’</w:t>
      </w:r>
      <w:r w:rsidRPr="008E60B5">
        <w:rPr>
          <w:lang w:val="fr-FR"/>
        </w:rPr>
        <w:t>intention des enfants issus de groupes marginalisés, en particulier les enfants souffrant de problèmes émotionnels ou de troubles du comportement ou de l</w:t>
      </w:r>
      <w:r w:rsidR="008E60B5" w:rsidRPr="008E60B5">
        <w:rPr>
          <w:lang w:val="fr-FR"/>
        </w:rPr>
        <w:t>’</w:t>
      </w:r>
      <w:r w:rsidRPr="008E60B5">
        <w:rPr>
          <w:lang w:val="fr-FR"/>
        </w:rPr>
        <w:t>apprentissage, les enfants dont les problèmes sont principalement dus à des raisons socioéconomiques ou au fait qu</w:t>
      </w:r>
      <w:r w:rsidR="008E60B5" w:rsidRPr="008E60B5">
        <w:rPr>
          <w:lang w:val="fr-FR"/>
        </w:rPr>
        <w:t>’</w:t>
      </w:r>
      <w:r w:rsidRPr="008E60B5">
        <w:rPr>
          <w:lang w:val="fr-FR"/>
        </w:rPr>
        <w:t>ils suivent des cours dans une langue autre que leur langue maternelle, comme c</w:t>
      </w:r>
      <w:r w:rsidR="008E60B5" w:rsidRPr="008E60B5">
        <w:rPr>
          <w:lang w:val="fr-FR"/>
        </w:rPr>
        <w:t>’</w:t>
      </w:r>
      <w:r w:rsidRPr="008E60B5">
        <w:rPr>
          <w:lang w:val="fr-FR"/>
        </w:rPr>
        <w:t>est le cas des enfants roms, les enfants issus de groupes sociaux défavorisés et de familles ayant un faible niveau d</w:t>
      </w:r>
      <w:r w:rsidR="008E60B5" w:rsidRPr="008E60B5">
        <w:rPr>
          <w:lang w:val="fr-FR"/>
        </w:rPr>
        <w:t>’</w:t>
      </w:r>
      <w:r w:rsidRPr="008E60B5">
        <w:rPr>
          <w:lang w:val="fr-FR"/>
        </w:rPr>
        <w:t xml:space="preserve">éducation ainsi que les enfants des zones rurales. </w:t>
      </w:r>
    </w:p>
    <w:p w14:paraId="320707B0" w14:textId="4BC30B78" w:rsidR="004F32D0" w:rsidRPr="008E60B5" w:rsidRDefault="004F32D0" w:rsidP="00F841A6">
      <w:pPr>
        <w:pStyle w:val="SingleTxt"/>
        <w:numPr>
          <w:ilvl w:val="0"/>
          <w:numId w:val="34"/>
        </w:numPr>
        <w:spacing w:line="240" w:lineRule="exact"/>
        <w:rPr>
          <w:lang w:val="fr-FR"/>
        </w:rPr>
      </w:pPr>
      <w:r w:rsidRPr="008E60B5">
        <w:rPr>
          <w:lang w:val="fr-FR"/>
        </w:rPr>
        <w:t>En vertu de la loi sur l</w:t>
      </w:r>
      <w:r w:rsidR="008E60B5" w:rsidRPr="008E60B5">
        <w:rPr>
          <w:lang w:val="fr-FR"/>
        </w:rPr>
        <w:t>’</w:t>
      </w:r>
      <w:r w:rsidRPr="008E60B5">
        <w:rPr>
          <w:lang w:val="fr-FR"/>
        </w:rPr>
        <w:t>éducation préscolaire, les enfants appartenant à des groupes vulnérables ont droit à un traitement préférentiel à l</w:t>
      </w:r>
      <w:r w:rsidR="008E60B5" w:rsidRPr="008E60B5">
        <w:rPr>
          <w:lang w:val="fr-FR"/>
        </w:rPr>
        <w:t>’</w:t>
      </w:r>
      <w:r w:rsidRPr="008E60B5">
        <w:rPr>
          <w:lang w:val="fr-FR"/>
        </w:rPr>
        <w:t>inscription. Les critères d</w:t>
      </w:r>
      <w:r w:rsidR="008E60B5" w:rsidRPr="008E60B5">
        <w:rPr>
          <w:lang w:val="fr-FR"/>
        </w:rPr>
        <w:t>’</w:t>
      </w:r>
      <w:r w:rsidRPr="008E60B5">
        <w:rPr>
          <w:lang w:val="fr-FR"/>
        </w:rPr>
        <w:t xml:space="preserve">inscription prioritaire sont énoncés dans le </w:t>
      </w:r>
      <w:r w:rsidRPr="008E60B5">
        <w:rPr>
          <w:i/>
          <w:lang w:val="fr-FR"/>
        </w:rPr>
        <w:t>m</w:t>
      </w:r>
      <w:r w:rsidRPr="008E60B5">
        <w:rPr>
          <w:i/>
          <w:iCs/>
          <w:lang w:val="fr-FR"/>
        </w:rPr>
        <w:t>anuel sur les conditions détaillées de définition des priorités concernant l</w:t>
      </w:r>
      <w:r w:rsidR="008E60B5" w:rsidRPr="008E60B5">
        <w:rPr>
          <w:i/>
          <w:iCs/>
          <w:lang w:val="fr-FR"/>
        </w:rPr>
        <w:t>’</w:t>
      </w:r>
      <w:r w:rsidRPr="008E60B5">
        <w:rPr>
          <w:i/>
          <w:iCs/>
          <w:lang w:val="fr-FR"/>
        </w:rPr>
        <w:t>inscription des enfants dans les établissements préscolaires</w:t>
      </w:r>
      <w:r w:rsidRPr="008E60B5">
        <w:rPr>
          <w:iCs/>
          <w:lang w:val="fr-FR"/>
        </w:rPr>
        <w:t>,</w:t>
      </w:r>
      <w:r w:rsidRPr="008E60B5">
        <w:rPr>
          <w:i/>
          <w:iCs/>
          <w:lang w:val="fr-FR"/>
        </w:rPr>
        <w:t xml:space="preserve"> </w:t>
      </w:r>
      <w:r w:rsidRPr="008E60B5">
        <w:rPr>
          <w:lang w:val="fr-FR"/>
        </w:rPr>
        <w:t>la plus haute priorité étant accordée aux enfants issus de milieux socialement défavorisés.</w:t>
      </w:r>
    </w:p>
    <w:p w14:paraId="52BEB6C4" w14:textId="107B67F1" w:rsidR="004F32D0" w:rsidRPr="008E60B5" w:rsidRDefault="004F32D0" w:rsidP="00F841A6">
      <w:pPr>
        <w:pStyle w:val="SingleTxt"/>
        <w:numPr>
          <w:ilvl w:val="0"/>
          <w:numId w:val="34"/>
        </w:numPr>
        <w:spacing w:line="240" w:lineRule="exact"/>
        <w:rPr>
          <w:lang w:val="fr-FR"/>
        </w:rPr>
      </w:pPr>
      <w:r w:rsidRPr="008E60B5">
        <w:rPr>
          <w:lang w:val="fr-FR"/>
        </w:rPr>
        <w:t>La loi sur les principes fondamentaux du système éducatif régit cette mesure de soutien systémique, décrite dans la section sur les m</w:t>
      </w:r>
      <w:r w:rsidRPr="008E60B5">
        <w:rPr>
          <w:iCs/>
          <w:lang w:val="fr-FR"/>
        </w:rPr>
        <w:t>esures temporaires spéciales dans le domaine de l</w:t>
      </w:r>
      <w:r w:rsidR="008E60B5" w:rsidRPr="008E60B5">
        <w:rPr>
          <w:iCs/>
          <w:lang w:val="fr-FR"/>
        </w:rPr>
        <w:t>’</w:t>
      </w:r>
      <w:r w:rsidRPr="008E60B5">
        <w:rPr>
          <w:iCs/>
          <w:lang w:val="fr-FR"/>
        </w:rPr>
        <w:t>éducation</w:t>
      </w:r>
      <w:r w:rsidRPr="008E60B5">
        <w:rPr>
          <w:lang w:val="fr-FR"/>
        </w:rPr>
        <w:t>. L</w:t>
      </w:r>
      <w:r w:rsidR="008E60B5" w:rsidRPr="008E60B5">
        <w:rPr>
          <w:lang w:val="fr-FR"/>
        </w:rPr>
        <w:t>’</w:t>
      </w:r>
      <w:r w:rsidRPr="008E60B5">
        <w:rPr>
          <w:lang w:val="fr-FR"/>
        </w:rPr>
        <w:t>application de ces mesures a contribué de manière significative à l</w:t>
      </w:r>
      <w:r w:rsidR="008E60B5" w:rsidRPr="008E60B5">
        <w:rPr>
          <w:lang w:val="fr-FR"/>
        </w:rPr>
        <w:t>’</w:t>
      </w:r>
      <w:r w:rsidRPr="008E60B5">
        <w:rPr>
          <w:lang w:val="fr-FR"/>
        </w:rPr>
        <w:t>augmentation du nombre d</w:t>
      </w:r>
      <w:r w:rsidR="008E60B5" w:rsidRPr="008E60B5">
        <w:rPr>
          <w:lang w:val="fr-FR"/>
        </w:rPr>
        <w:t>’</w:t>
      </w:r>
      <w:r w:rsidRPr="008E60B5">
        <w:rPr>
          <w:lang w:val="fr-FR"/>
        </w:rPr>
        <w:t>enfants roms inscrits dans des écoles primaires. Soixante-neuf pourcent des enfants d</w:t>
      </w:r>
      <w:r w:rsidR="008E60B5" w:rsidRPr="008E60B5">
        <w:rPr>
          <w:lang w:val="fr-FR"/>
        </w:rPr>
        <w:t>’</w:t>
      </w:r>
      <w:r w:rsidRPr="008E60B5">
        <w:rPr>
          <w:lang w:val="fr-FR"/>
        </w:rPr>
        <w:t>âge scolaire des campements roms s</w:t>
      </w:r>
      <w:r w:rsidR="008E60B5" w:rsidRPr="008E60B5">
        <w:rPr>
          <w:lang w:val="fr-FR"/>
        </w:rPr>
        <w:t>’</w:t>
      </w:r>
      <w:r w:rsidRPr="008E60B5">
        <w:rPr>
          <w:lang w:val="fr-FR"/>
        </w:rPr>
        <w:t>inscrivent à l</w:t>
      </w:r>
      <w:r w:rsidR="008E60B5" w:rsidRPr="008E60B5">
        <w:rPr>
          <w:lang w:val="fr-FR"/>
        </w:rPr>
        <w:t>’</w:t>
      </w:r>
      <w:r w:rsidRPr="008E60B5">
        <w:rPr>
          <w:lang w:val="fr-FR"/>
        </w:rPr>
        <w:t>école primaire dans les temps (contre 97</w:t>
      </w:r>
      <w:r w:rsidR="00002E6B" w:rsidRPr="008E60B5">
        <w:rPr>
          <w:lang w:val="fr-FR"/>
        </w:rPr>
        <w:t> %</w:t>
      </w:r>
      <w:r w:rsidRPr="008E60B5">
        <w:rPr>
          <w:lang w:val="fr-FR"/>
        </w:rPr>
        <w:t xml:space="preserve"> pour le reste de la population). Au total, 64</w:t>
      </w:r>
      <w:r w:rsidR="00002E6B" w:rsidRPr="008E60B5">
        <w:rPr>
          <w:lang w:val="fr-FR"/>
        </w:rPr>
        <w:t> %</w:t>
      </w:r>
      <w:r w:rsidRPr="008E60B5">
        <w:rPr>
          <w:lang w:val="fr-FR"/>
        </w:rPr>
        <w:t xml:space="preserve"> des enfants roms achèvent l</w:t>
      </w:r>
      <w:r w:rsidR="008E60B5" w:rsidRPr="008E60B5">
        <w:rPr>
          <w:lang w:val="fr-FR"/>
        </w:rPr>
        <w:t>’</w:t>
      </w:r>
      <w:r w:rsidRPr="008E60B5">
        <w:rPr>
          <w:lang w:val="fr-FR"/>
        </w:rPr>
        <w:t>enseignement primaire, ce qui est nettement plus élevé qu</w:t>
      </w:r>
      <w:r w:rsidR="008E60B5" w:rsidRPr="008E60B5">
        <w:rPr>
          <w:lang w:val="fr-FR"/>
        </w:rPr>
        <w:t>’</w:t>
      </w:r>
      <w:r w:rsidRPr="008E60B5">
        <w:rPr>
          <w:lang w:val="fr-FR"/>
        </w:rPr>
        <w:t>en 2005 (28</w:t>
      </w:r>
      <w:r w:rsidR="00002E6B" w:rsidRPr="008E60B5">
        <w:rPr>
          <w:lang w:val="fr-FR"/>
        </w:rPr>
        <w:t> %</w:t>
      </w:r>
      <w:r w:rsidRPr="008E60B5">
        <w:rPr>
          <w:lang w:val="fr-FR"/>
        </w:rPr>
        <w:t>). Le Ministère de la jeunesse et des sports participe activement à la deuxième Décennie internationale pour l</w:t>
      </w:r>
      <w:r w:rsidR="008E60B5" w:rsidRPr="008E60B5">
        <w:rPr>
          <w:lang w:val="fr-FR"/>
        </w:rPr>
        <w:t>’</w:t>
      </w:r>
      <w:r w:rsidRPr="008E60B5">
        <w:rPr>
          <w:lang w:val="fr-FR"/>
        </w:rPr>
        <w:t xml:space="preserve">intégration des Roms 2015-2025. </w:t>
      </w:r>
    </w:p>
    <w:p w14:paraId="79765025" w14:textId="7F501CC7" w:rsidR="004F32D0" w:rsidRPr="008E60B5" w:rsidRDefault="00F841A6" w:rsidP="00F841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004F32D0" w:rsidRPr="008E60B5">
        <w:rPr>
          <w:lang w:val="fr-FR"/>
        </w:rPr>
        <w:tab/>
        <w:t>Révision des supports pédagogiques et des manuels scolaires</w:t>
      </w:r>
    </w:p>
    <w:p w14:paraId="3F6CEDDD" w14:textId="55002DBB" w:rsidR="00F841A6" w:rsidRPr="008E60B5" w:rsidRDefault="00F841A6" w:rsidP="00F841A6">
      <w:pPr>
        <w:pStyle w:val="SingleTxt"/>
        <w:spacing w:after="0" w:line="120" w:lineRule="exact"/>
        <w:rPr>
          <w:sz w:val="10"/>
          <w:lang w:val="fr-FR"/>
        </w:rPr>
      </w:pPr>
    </w:p>
    <w:p w14:paraId="4AED9E91" w14:textId="7D789343" w:rsidR="004F32D0" w:rsidRPr="008E60B5" w:rsidRDefault="004F32D0" w:rsidP="00F841A6">
      <w:pPr>
        <w:pStyle w:val="SingleTxt"/>
        <w:numPr>
          <w:ilvl w:val="0"/>
          <w:numId w:val="34"/>
        </w:numPr>
        <w:spacing w:line="240" w:lineRule="exact"/>
        <w:rPr>
          <w:lang w:val="fr-FR"/>
        </w:rPr>
      </w:pPr>
      <w:r w:rsidRPr="008E60B5">
        <w:rPr>
          <w:lang w:val="fr-FR"/>
        </w:rPr>
        <w:t>Le Ministère de la jeunesse et des sports a publié un ouvrage de référence sur les normes de qualité des manuels scolaires, assorties de consignes d</w:t>
      </w:r>
      <w:r w:rsidR="008E60B5" w:rsidRPr="008E60B5">
        <w:rPr>
          <w:lang w:val="fr-FR"/>
        </w:rPr>
        <w:t>’</w:t>
      </w:r>
      <w:r w:rsidRPr="008E60B5">
        <w:rPr>
          <w:lang w:val="fr-FR"/>
        </w:rPr>
        <w:t>application. Cet ouvrage présente les normes de qualité auxquelles doivent satisfaire les manuels scolaires, les auxiliaires électroniques, les supports pédagogiques, les outils complémentaires et le matériel didactique et ludique dont l</w:t>
      </w:r>
      <w:r w:rsidR="008E60B5" w:rsidRPr="008E60B5">
        <w:rPr>
          <w:lang w:val="fr-FR"/>
        </w:rPr>
        <w:t>’</w:t>
      </w:r>
      <w:r w:rsidRPr="008E60B5">
        <w:rPr>
          <w:lang w:val="fr-FR"/>
        </w:rPr>
        <w:t>utilisation est autorisée dans l</w:t>
      </w:r>
      <w:r w:rsidR="008E60B5" w:rsidRPr="008E60B5">
        <w:rPr>
          <w:lang w:val="fr-FR"/>
        </w:rPr>
        <w:t>’</w:t>
      </w:r>
      <w:r w:rsidRPr="008E60B5">
        <w:rPr>
          <w:lang w:val="fr-FR"/>
        </w:rPr>
        <w:t>enseignement préscolaire, primaire ou secondaire selon une procédure prévue par la loi. Ces normes servent à évaluer d</w:t>
      </w:r>
      <w:r w:rsidR="008E60B5" w:rsidRPr="008E60B5">
        <w:rPr>
          <w:lang w:val="fr-FR"/>
        </w:rPr>
        <w:t>’</w:t>
      </w:r>
      <w:r w:rsidRPr="008E60B5">
        <w:rPr>
          <w:lang w:val="fr-FR"/>
        </w:rPr>
        <w:t>un point de vue professionnel l</w:t>
      </w:r>
      <w:r w:rsidR="008E60B5" w:rsidRPr="008E60B5">
        <w:rPr>
          <w:lang w:val="fr-FR"/>
        </w:rPr>
        <w:t>’</w:t>
      </w:r>
      <w:r w:rsidRPr="008E60B5">
        <w:rPr>
          <w:lang w:val="fr-FR"/>
        </w:rPr>
        <w:t>ensemble de ces supports et leur contenu. Elles sont formulées sous forme d</w:t>
      </w:r>
      <w:r w:rsidR="008E60B5" w:rsidRPr="008E60B5">
        <w:rPr>
          <w:lang w:val="fr-FR"/>
        </w:rPr>
        <w:t>’</w:t>
      </w:r>
      <w:r w:rsidRPr="008E60B5">
        <w:rPr>
          <w:lang w:val="fr-FR"/>
        </w:rPr>
        <w:t>énoncés et constituent des conditions auxquelles doivent satisfaire ces supports pour être validés. Elles portent sur le contenu, les éléments pédagogiques, psychologiques, didactiques, méthodologiques et linguistiques applicables, ainsi que sur la conception graphique et les caractéristiques techniques des supports pédagogiques. Des indicateurs sont fournis pour chaque norme afin d</w:t>
      </w:r>
      <w:r w:rsidR="008E60B5" w:rsidRPr="008E60B5">
        <w:rPr>
          <w:lang w:val="fr-FR"/>
        </w:rPr>
        <w:t>’</w:t>
      </w:r>
      <w:r w:rsidRPr="008E60B5">
        <w:rPr>
          <w:lang w:val="fr-FR"/>
        </w:rPr>
        <w:t>en donner une définition plus précise.</w:t>
      </w:r>
    </w:p>
    <w:p w14:paraId="18E8F5B9" w14:textId="6C2320F9" w:rsidR="004F32D0" w:rsidRPr="008E60B5" w:rsidRDefault="004F32D0" w:rsidP="00F841A6">
      <w:pPr>
        <w:pStyle w:val="SingleTxt"/>
        <w:numPr>
          <w:ilvl w:val="0"/>
          <w:numId w:val="34"/>
        </w:numPr>
        <w:spacing w:line="240" w:lineRule="exact"/>
        <w:rPr>
          <w:lang w:val="fr-FR"/>
        </w:rPr>
      </w:pPr>
      <w:r w:rsidRPr="008E60B5">
        <w:rPr>
          <w:lang w:val="fr-FR"/>
        </w:rPr>
        <w:lastRenderedPageBreak/>
        <w:t>La qualité des manuels scolaires et des supports pédagogiques relève de la responsabilité de l</w:t>
      </w:r>
      <w:r w:rsidR="008E60B5" w:rsidRPr="008E60B5">
        <w:rPr>
          <w:lang w:val="fr-FR"/>
        </w:rPr>
        <w:t>’</w:t>
      </w:r>
      <w:r w:rsidRPr="008E60B5">
        <w:rPr>
          <w:lang w:val="fr-FR"/>
        </w:rPr>
        <w:t>Institut pour le progrès de l</w:t>
      </w:r>
      <w:r w:rsidR="008E60B5" w:rsidRPr="008E60B5">
        <w:rPr>
          <w:lang w:val="fr-FR"/>
        </w:rPr>
        <w:t>’</w:t>
      </w:r>
      <w:r w:rsidRPr="008E60B5">
        <w:rPr>
          <w:lang w:val="fr-FR"/>
        </w:rPr>
        <w:t>éducation. Celui-ci coopère avec les institutions compétentes chargées de veiller à l</w:t>
      </w:r>
      <w:r w:rsidR="008E60B5" w:rsidRPr="008E60B5">
        <w:rPr>
          <w:lang w:val="fr-FR"/>
        </w:rPr>
        <w:t>’</w:t>
      </w:r>
      <w:r w:rsidRPr="008E60B5">
        <w:rPr>
          <w:lang w:val="fr-FR"/>
        </w:rPr>
        <w:t>égalité des citoyens. Conformément à la loi sur les manuels scolaires, si un groupe de travail soupçonne, lorsqu</w:t>
      </w:r>
      <w:r w:rsidR="008E60B5" w:rsidRPr="008E60B5">
        <w:rPr>
          <w:lang w:val="fr-FR"/>
        </w:rPr>
        <w:t>’</w:t>
      </w:r>
      <w:r w:rsidRPr="008E60B5">
        <w:rPr>
          <w:lang w:val="fr-FR"/>
        </w:rPr>
        <w:t>il émet un avis professionnel, qu</w:t>
      </w:r>
      <w:r w:rsidR="008E60B5" w:rsidRPr="008E60B5">
        <w:rPr>
          <w:lang w:val="fr-FR"/>
        </w:rPr>
        <w:t>’</w:t>
      </w:r>
      <w:r w:rsidRPr="008E60B5">
        <w:rPr>
          <w:lang w:val="fr-FR"/>
        </w:rPr>
        <w:t>il existe des éléments de discrimination pour quelque motif que ce soit, il adresse une lettre au Commissariat à l</w:t>
      </w:r>
      <w:r w:rsidR="008E60B5" w:rsidRPr="008E60B5">
        <w:rPr>
          <w:lang w:val="fr-FR"/>
        </w:rPr>
        <w:t>’</w:t>
      </w:r>
      <w:r w:rsidRPr="008E60B5">
        <w:rPr>
          <w:lang w:val="fr-FR"/>
        </w:rPr>
        <w:t>égalité, institution indépendante chargée de ces questions, pour avis. Il en va de même pour l</w:t>
      </w:r>
      <w:r w:rsidR="008E60B5" w:rsidRPr="008E60B5">
        <w:rPr>
          <w:lang w:val="fr-FR"/>
        </w:rPr>
        <w:t>’</w:t>
      </w:r>
      <w:r w:rsidRPr="008E60B5">
        <w:rPr>
          <w:lang w:val="fr-FR"/>
        </w:rPr>
        <w:t>évaluation de la qualité des cours de perfectionnement des employés du système éducatif, qui sont répertoriés dans un catalogue élaboré par l</w:t>
      </w:r>
      <w:r w:rsidR="008E60B5" w:rsidRPr="008E60B5">
        <w:rPr>
          <w:lang w:val="fr-FR"/>
        </w:rPr>
        <w:t>’</w:t>
      </w:r>
      <w:r w:rsidRPr="008E60B5">
        <w:rPr>
          <w:lang w:val="fr-FR"/>
        </w:rPr>
        <w:t>Institut. Les catalogues de 2015/16 et 2016/17 comprenaient 26 cours de perfectionnement accrédités sur la lutte contre la discrimination et la violence et une formation traitant directement de la question de l</w:t>
      </w:r>
      <w:r w:rsidR="008E60B5" w:rsidRPr="008E60B5">
        <w:rPr>
          <w:lang w:val="fr-FR"/>
        </w:rPr>
        <w:t>’</w:t>
      </w:r>
      <w:r w:rsidRPr="008E60B5">
        <w:rPr>
          <w:lang w:val="fr-FR"/>
        </w:rPr>
        <w:t>égalité des sexes. L</w:t>
      </w:r>
      <w:r w:rsidR="008E60B5" w:rsidRPr="008E60B5">
        <w:rPr>
          <w:lang w:val="fr-FR"/>
        </w:rPr>
        <w:t>’</w:t>
      </w:r>
      <w:r w:rsidRPr="008E60B5">
        <w:rPr>
          <w:lang w:val="fr-FR"/>
        </w:rPr>
        <w:t>un des objectifs de l</w:t>
      </w:r>
      <w:r w:rsidR="008E60B5" w:rsidRPr="008E60B5">
        <w:rPr>
          <w:lang w:val="fr-FR"/>
        </w:rPr>
        <w:t>’</w:t>
      </w:r>
      <w:r w:rsidRPr="008E60B5">
        <w:rPr>
          <w:lang w:val="fr-FR"/>
        </w:rPr>
        <w:t>enseignement et de l</w:t>
      </w:r>
      <w:r w:rsidR="008E60B5" w:rsidRPr="008E60B5">
        <w:rPr>
          <w:lang w:val="fr-FR"/>
        </w:rPr>
        <w:t>’</w:t>
      </w:r>
      <w:r w:rsidRPr="008E60B5">
        <w:rPr>
          <w:lang w:val="fr-FR"/>
        </w:rPr>
        <w:t>apprentissage est de permettre aux citoyens d</w:t>
      </w:r>
      <w:r w:rsidR="008E60B5" w:rsidRPr="008E60B5">
        <w:rPr>
          <w:lang w:val="fr-FR"/>
        </w:rPr>
        <w:t>’</w:t>
      </w:r>
      <w:r w:rsidRPr="008E60B5">
        <w:rPr>
          <w:lang w:val="fr-FR"/>
        </w:rPr>
        <w:t>exercer leurs droits et d</w:t>
      </w:r>
      <w:r w:rsidR="008E60B5" w:rsidRPr="008E60B5">
        <w:rPr>
          <w:lang w:val="fr-FR"/>
        </w:rPr>
        <w:t>’</w:t>
      </w:r>
      <w:r w:rsidRPr="008E60B5">
        <w:rPr>
          <w:lang w:val="fr-FR"/>
        </w:rPr>
        <w:t>assumer leurs responsabilités, et de reconnaître l</w:t>
      </w:r>
      <w:r w:rsidR="008E60B5" w:rsidRPr="008E60B5">
        <w:rPr>
          <w:lang w:val="fr-FR"/>
        </w:rPr>
        <w:t>’</w:t>
      </w:r>
      <w:r w:rsidRPr="008E60B5">
        <w:rPr>
          <w:lang w:val="fr-FR"/>
        </w:rPr>
        <w:t>interculturalité comme l</w:t>
      </w:r>
      <w:r w:rsidR="008E60B5" w:rsidRPr="008E60B5">
        <w:rPr>
          <w:lang w:val="fr-FR"/>
        </w:rPr>
        <w:t>’</w:t>
      </w:r>
      <w:r w:rsidRPr="008E60B5">
        <w:rPr>
          <w:lang w:val="fr-FR"/>
        </w:rPr>
        <w:t>une des valeurs fondamentales de toute société démocratique et la consolider.</w:t>
      </w:r>
    </w:p>
    <w:p w14:paraId="2DD98259" w14:textId="77777777" w:rsidR="00F841A6" w:rsidRPr="008E60B5" w:rsidRDefault="00F841A6" w:rsidP="00F841A6">
      <w:pPr>
        <w:pStyle w:val="SingleTxt"/>
        <w:spacing w:after="0" w:line="120" w:lineRule="exact"/>
        <w:rPr>
          <w:b/>
          <w:sz w:val="10"/>
          <w:lang w:val="fr-FR"/>
        </w:rPr>
      </w:pPr>
    </w:p>
    <w:p w14:paraId="3C2773E7" w14:textId="64A1CA44" w:rsidR="004F32D0" w:rsidRPr="008E60B5" w:rsidRDefault="004F32D0" w:rsidP="00F841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Éducation sexuelle et santé sexuelle et procréative</w:t>
      </w:r>
    </w:p>
    <w:p w14:paraId="0C6A5C8A" w14:textId="676CC331" w:rsidR="00F841A6" w:rsidRPr="008E60B5" w:rsidRDefault="00F841A6" w:rsidP="00F841A6">
      <w:pPr>
        <w:pStyle w:val="SingleTxt"/>
        <w:spacing w:after="0" w:line="120" w:lineRule="exact"/>
        <w:rPr>
          <w:sz w:val="10"/>
          <w:lang w:val="fr-FR"/>
        </w:rPr>
      </w:pPr>
    </w:p>
    <w:p w14:paraId="50963983" w14:textId="37063801" w:rsidR="004F32D0" w:rsidRPr="008E60B5" w:rsidRDefault="004F32D0" w:rsidP="00F841A6">
      <w:pPr>
        <w:pStyle w:val="SingleTxt"/>
        <w:numPr>
          <w:ilvl w:val="0"/>
          <w:numId w:val="34"/>
        </w:numPr>
        <w:spacing w:line="240" w:lineRule="exact"/>
        <w:rPr>
          <w:bCs/>
          <w:lang w:val="fr-FR"/>
        </w:rPr>
      </w:pPr>
      <w:r w:rsidRPr="008E60B5">
        <w:rPr>
          <w:lang w:val="fr-FR"/>
        </w:rPr>
        <w:t>Le manuel sur les normes générales de réussite à la fin de l</w:t>
      </w:r>
      <w:r w:rsidR="008E60B5" w:rsidRPr="008E60B5">
        <w:rPr>
          <w:lang w:val="fr-FR"/>
        </w:rPr>
        <w:t>’</w:t>
      </w:r>
      <w:r w:rsidRPr="008E60B5">
        <w:rPr>
          <w:lang w:val="fr-FR"/>
        </w:rPr>
        <w:t>enseignement secondaire général et de l</w:t>
      </w:r>
      <w:r w:rsidR="008E60B5" w:rsidRPr="008E60B5">
        <w:rPr>
          <w:lang w:val="fr-FR"/>
        </w:rPr>
        <w:t>’</w:t>
      </w:r>
      <w:r w:rsidRPr="008E60B5">
        <w:rPr>
          <w:lang w:val="fr-FR"/>
        </w:rPr>
        <w:t>enseignement secondaire professionnel définit également des compétences transversales, notamment en matière d</w:t>
      </w:r>
      <w:r w:rsidR="008E60B5" w:rsidRPr="008E60B5">
        <w:rPr>
          <w:lang w:val="fr-FR"/>
        </w:rPr>
        <w:t>’</w:t>
      </w:r>
      <w:r w:rsidRPr="008E60B5">
        <w:rPr>
          <w:lang w:val="fr-FR"/>
        </w:rPr>
        <w:t>hygiène. Ainsi, les élèves sont sensibilisés au caractère nocif de certains médicaments et substances psychoactives, comme la nicotine, l</w:t>
      </w:r>
      <w:r w:rsidR="008E60B5" w:rsidRPr="008E60B5">
        <w:rPr>
          <w:lang w:val="fr-FR"/>
        </w:rPr>
        <w:t>’</w:t>
      </w:r>
      <w:r w:rsidRPr="008E60B5">
        <w:rPr>
          <w:lang w:val="fr-FR"/>
        </w:rPr>
        <w:t>alcool ou les drogues, et à l</w:t>
      </w:r>
      <w:r w:rsidR="008E60B5" w:rsidRPr="008E60B5">
        <w:rPr>
          <w:lang w:val="fr-FR"/>
        </w:rPr>
        <w:t>’</w:t>
      </w:r>
      <w:r w:rsidRPr="008E60B5">
        <w:rPr>
          <w:lang w:val="fr-FR"/>
        </w:rPr>
        <w:t>importance de l</w:t>
      </w:r>
      <w:r w:rsidR="008E60B5" w:rsidRPr="008E60B5">
        <w:rPr>
          <w:lang w:val="fr-FR"/>
        </w:rPr>
        <w:t>’</w:t>
      </w:r>
      <w:r w:rsidRPr="008E60B5">
        <w:rPr>
          <w:lang w:val="fr-FR"/>
        </w:rPr>
        <w:t>hygiène, notamment pour ce qui est de la santé procréative. Dans ce cadre, les enseignants ont le devoir d</w:t>
      </w:r>
      <w:r w:rsidR="008E60B5" w:rsidRPr="008E60B5">
        <w:rPr>
          <w:lang w:val="fr-FR"/>
        </w:rPr>
        <w:t>’</w:t>
      </w:r>
      <w:r w:rsidRPr="008E60B5">
        <w:rPr>
          <w:lang w:val="fr-FR"/>
        </w:rPr>
        <w:t>expliquer aux élèves comment dévelo</w:t>
      </w:r>
      <w:r w:rsidR="00F841A6" w:rsidRPr="008E60B5">
        <w:rPr>
          <w:lang w:val="fr-FR"/>
        </w:rPr>
        <w:t>pper ces compétences.</w:t>
      </w:r>
    </w:p>
    <w:p w14:paraId="2E293334" w14:textId="721EAF4D" w:rsidR="004F32D0" w:rsidRPr="008E60B5" w:rsidRDefault="004F32D0" w:rsidP="00F841A6">
      <w:pPr>
        <w:pStyle w:val="SingleTxt"/>
        <w:numPr>
          <w:ilvl w:val="0"/>
          <w:numId w:val="34"/>
        </w:numPr>
        <w:spacing w:line="240" w:lineRule="exact"/>
        <w:rPr>
          <w:bCs/>
          <w:lang w:val="fr-FR"/>
        </w:rPr>
      </w:pPr>
      <w:r w:rsidRPr="008E60B5">
        <w:rPr>
          <w:lang w:val="fr-FR"/>
        </w:rPr>
        <w:t>Les écoles secondaires proposent des cours d</w:t>
      </w:r>
      <w:r w:rsidR="008E60B5" w:rsidRPr="008E60B5">
        <w:rPr>
          <w:lang w:val="fr-FR"/>
        </w:rPr>
        <w:t>’</w:t>
      </w:r>
      <w:r w:rsidRPr="008E60B5">
        <w:rPr>
          <w:lang w:val="fr-FR"/>
        </w:rPr>
        <w:t>éducation sanitaire dans le cadre des activités extrascolaires. Ces cours couvrent les thèmes suivants, inclus dans les plans et les programmes scolaires annuels</w:t>
      </w:r>
      <w:r w:rsidR="00002E6B" w:rsidRPr="008E60B5">
        <w:rPr>
          <w:lang w:val="fr-FR"/>
        </w:rPr>
        <w:t> :</w:t>
      </w:r>
      <w:r w:rsidRPr="008E60B5">
        <w:rPr>
          <w:lang w:val="fr-FR"/>
        </w:rPr>
        <w:t xml:space="preserve"> hygiène, hygiène mentale, santé procréative, addictions et troubles alimentaires, changements survenant pendant la puberté et à l</w:t>
      </w:r>
      <w:r w:rsidR="008E60B5" w:rsidRPr="008E60B5">
        <w:rPr>
          <w:lang w:val="fr-FR"/>
        </w:rPr>
        <w:t>’</w:t>
      </w:r>
      <w:r w:rsidRPr="008E60B5">
        <w:rPr>
          <w:lang w:val="fr-FR"/>
        </w:rPr>
        <w:t>adolescence et sécurité et santé du travail. Ils sont dispensés par des enseignants et des assistants pédagogiques spécialisés en coopération avec des institutions médicales locales ou dans le cadre de projets, notamment un projet d</w:t>
      </w:r>
      <w:r w:rsidR="008E60B5" w:rsidRPr="008E60B5">
        <w:rPr>
          <w:lang w:val="fr-FR"/>
        </w:rPr>
        <w:t>’</w:t>
      </w:r>
      <w:r w:rsidRPr="008E60B5">
        <w:rPr>
          <w:lang w:val="fr-FR"/>
        </w:rPr>
        <w:t xml:space="preserve">éducation sanitaire axé sur les compétences mis en place dans </w:t>
      </w:r>
      <w:r w:rsidR="009045E1">
        <w:rPr>
          <w:lang w:val="fr-FR"/>
        </w:rPr>
        <w:t xml:space="preserve">les </w:t>
      </w:r>
      <w:r w:rsidRPr="008E60B5">
        <w:rPr>
          <w:lang w:val="fr-FR"/>
        </w:rPr>
        <w:t>établissements secondaires en coopération avec l</w:t>
      </w:r>
      <w:r w:rsidR="008E60B5" w:rsidRPr="008E60B5">
        <w:rPr>
          <w:lang w:val="fr-FR"/>
        </w:rPr>
        <w:t>’</w:t>
      </w:r>
      <w:r w:rsidRPr="008E60B5">
        <w:rPr>
          <w:lang w:val="fr-FR"/>
        </w:rPr>
        <w:t>UNICEF, un projet d</w:t>
      </w:r>
      <w:r w:rsidR="008E60B5" w:rsidRPr="008E60B5">
        <w:rPr>
          <w:lang w:val="fr-FR"/>
        </w:rPr>
        <w:t>’</w:t>
      </w:r>
      <w:r w:rsidRPr="008E60B5">
        <w:rPr>
          <w:lang w:val="fr-FR"/>
        </w:rPr>
        <w:t>activités créatives aux fins de la lutte contre la toxicomanie mené avec le Ministère de la santé et un projet visant à mieux protéger les enfants</w:t>
      </w:r>
      <w:r w:rsidR="00002E6B" w:rsidRPr="008E60B5">
        <w:rPr>
          <w:lang w:val="fr-FR"/>
        </w:rPr>
        <w:t xml:space="preserve"> </w:t>
      </w:r>
      <w:r w:rsidRPr="008E60B5">
        <w:rPr>
          <w:lang w:val="fr-FR"/>
        </w:rPr>
        <w:t>avec le Ministère de l</w:t>
      </w:r>
      <w:r w:rsidR="008E60B5" w:rsidRPr="008E60B5">
        <w:rPr>
          <w:lang w:val="fr-FR"/>
        </w:rPr>
        <w:t>’</w:t>
      </w:r>
      <w:r w:rsidRPr="008E60B5">
        <w:rPr>
          <w:lang w:val="fr-FR"/>
        </w:rPr>
        <w:t xml:space="preserve">intérieur. </w:t>
      </w:r>
    </w:p>
    <w:p w14:paraId="7D9E18D8" w14:textId="62E34745" w:rsidR="004F32D0" w:rsidRPr="008E60B5" w:rsidRDefault="004F32D0" w:rsidP="00F841A6">
      <w:pPr>
        <w:pStyle w:val="SingleTxt"/>
        <w:numPr>
          <w:ilvl w:val="0"/>
          <w:numId w:val="34"/>
        </w:numPr>
        <w:spacing w:line="240" w:lineRule="exact"/>
        <w:rPr>
          <w:bCs/>
          <w:lang w:val="fr-FR"/>
        </w:rPr>
      </w:pPr>
      <w:r w:rsidRPr="008E60B5">
        <w:rPr>
          <w:lang w:val="fr-FR"/>
        </w:rPr>
        <w:t>Le Ministère de l</w:t>
      </w:r>
      <w:r w:rsidR="008E60B5" w:rsidRPr="008E60B5">
        <w:rPr>
          <w:lang w:val="fr-FR"/>
        </w:rPr>
        <w:t>’</w:t>
      </w:r>
      <w:r w:rsidRPr="008E60B5">
        <w:rPr>
          <w:lang w:val="fr-FR"/>
        </w:rPr>
        <w:t>éducation, des sciences et du développement technologique collabore intensivement avec le Ministère de la santé et l</w:t>
      </w:r>
      <w:r w:rsidR="008E60B5" w:rsidRPr="008E60B5">
        <w:rPr>
          <w:lang w:val="fr-FR"/>
        </w:rPr>
        <w:t>’</w:t>
      </w:r>
      <w:r w:rsidRPr="008E60B5">
        <w:rPr>
          <w:lang w:val="fr-FR"/>
        </w:rPr>
        <w:t>Institut serbe de santé publique à l</w:t>
      </w:r>
      <w:r w:rsidR="008E60B5" w:rsidRPr="008E60B5">
        <w:rPr>
          <w:lang w:val="fr-FR"/>
        </w:rPr>
        <w:t>’</w:t>
      </w:r>
      <w:r w:rsidRPr="008E60B5">
        <w:rPr>
          <w:lang w:val="fr-FR"/>
        </w:rPr>
        <w:t>élaboration et à la mise en œuvre de la stratégie de lutte contre la drogue ou encore à l</w:t>
      </w:r>
      <w:r w:rsidR="008E60B5" w:rsidRPr="008E60B5">
        <w:rPr>
          <w:lang w:val="fr-FR"/>
        </w:rPr>
        <w:t>’</w:t>
      </w:r>
      <w:r w:rsidRPr="008E60B5">
        <w:rPr>
          <w:lang w:val="fr-FR"/>
        </w:rPr>
        <w:t>exécution du programme de jumelage INSADA. Avec son réseau de 23 antennes régionales, l</w:t>
      </w:r>
      <w:r w:rsidR="008E60B5" w:rsidRPr="008E60B5">
        <w:rPr>
          <w:lang w:val="fr-FR"/>
        </w:rPr>
        <w:t>’</w:t>
      </w:r>
      <w:r w:rsidRPr="008E60B5">
        <w:rPr>
          <w:lang w:val="fr-FR"/>
        </w:rPr>
        <w:t>Institut serbe de santé publique met en œuvre des programmes dans le cadre desquels des professionnels de la santé, des assistants employés dans des établissements médicaux et des enseignants collaborent pour mener des activités de promotion de la santé auprès de la population et dans les établissements préscolaires et les écoles.</w:t>
      </w:r>
    </w:p>
    <w:p w14:paraId="352C1732" w14:textId="394C5B56" w:rsidR="004F32D0" w:rsidRPr="008E60B5" w:rsidRDefault="004F32D0" w:rsidP="00F841A6">
      <w:pPr>
        <w:pStyle w:val="SingleTxt"/>
        <w:numPr>
          <w:ilvl w:val="0"/>
          <w:numId w:val="34"/>
        </w:numPr>
        <w:spacing w:line="240" w:lineRule="exact"/>
        <w:rPr>
          <w:bCs/>
          <w:lang w:val="fr-FR"/>
        </w:rPr>
      </w:pPr>
      <w:r w:rsidRPr="008E60B5">
        <w:rPr>
          <w:lang w:val="fr-FR"/>
        </w:rPr>
        <w:t>Dans la province autonome de la Voïvodine, le Secrétariat provincial pour la jeunesse et les sports a financé, ces dernières années, l</w:t>
      </w:r>
      <w:r w:rsidR="008E60B5" w:rsidRPr="008E60B5">
        <w:rPr>
          <w:lang w:val="fr-FR"/>
        </w:rPr>
        <w:t>’</w:t>
      </w:r>
      <w:r w:rsidRPr="008E60B5">
        <w:rPr>
          <w:lang w:val="fr-FR"/>
        </w:rPr>
        <w:t>organisation d</w:t>
      </w:r>
      <w:r w:rsidR="008E60B5" w:rsidRPr="008E60B5">
        <w:rPr>
          <w:lang w:val="fr-FR"/>
        </w:rPr>
        <w:t>’</w:t>
      </w:r>
      <w:r w:rsidRPr="008E60B5">
        <w:rPr>
          <w:lang w:val="fr-FR"/>
        </w:rPr>
        <w:t>activités extrascolaires</w:t>
      </w:r>
      <w:r w:rsidR="00002E6B" w:rsidRPr="008E60B5">
        <w:rPr>
          <w:lang w:val="fr-FR"/>
        </w:rPr>
        <w:t xml:space="preserve"> </w:t>
      </w:r>
      <w:r w:rsidRPr="008E60B5">
        <w:rPr>
          <w:lang w:val="fr-FR"/>
        </w:rPr>
        <w:t>dans une centaine d</w:t>
      </w:r>
      <w:r w:rsidR="008E60B5" w:rsidRPr="008E60B5">
        <w:rPr>
          <w:lang w:val="fr-FR"/>
        </w:rPr>
        <w:t>’</w:t>
      </w:r>
      <w:r w:rsidRPr="008E60B5">
        <w:rPr>
          <w:lang w:val="fr-FR"/>
        </w:rPr>
        <w:t>écoles dans le cadre d</w:t>
      </w:r>
      <w:r w:rsidR="008E60B5" w:rsidRPr="008E60B5">
        <w:rPr>
          <w:lang w:val="fr-FR"/>
        </w:rPr>
        <w:t>’</w:t>
      </w:r>
      <w:r w:rsidRPr="008E60B5">
        <w:rPr>
          <w:lang w:val="fr-FR"/>
        </w:rPr>
        <w:t xml:space="preserve">un projet autour de la santé procréative, avec la participation de formateurs qualifiés. </w:t>
      </w:r>
    </w:p>
    <w:p w14:paraId="37316DAD" w14:textId="520999A6" w:rsidR="004F32D0" w:rsidRPr="008E60B5" w:rsidRDefault="004F32D0" w:rsidP="00F841A6">
      <w:pPr>
        <w:pStyle w:val="SingleTxt"/>
        <w:numPr>
          <w:ilvl w:val="0"/>
          <w:numId w:val="34"/>
        </w:numPr>
        <w:spacing w:line="240" w:lineRule="exact"/>
        <w:rPr>
          <w:lang w:val="fr-FR"/>
        </w:rPr>
      </w:pPr>
      <w:r w:rsidRPr="008E60B5">
        <w:rPr>
          <w:lang w:val="fr-FR"/>
        </w:rPr>
        <w:t>D</w:t>
      </w:r>
      <w:r w:rsidR="008E60B5" w:rsidRPr="008E60B5">
        <w:rPr>
          <w:lang w:val="fr-FR"/>
        </w:rPr>
        <w:t>’</w:t>
      </w:r>
      <w:r w:rsidRPr="008E60B5">
        <w:rPr>
          <w:lang w:val="fr-FR"/>
        </w:rPr>
        <w:t>après les données disponibles, 95</w:t>
      </w:r>
      <w:r w:rsidR="00002E6B" w:rsidRPr="008E60B5">
        <w:rPr>
          <w:lang w:val="fr-FR"/>
        </w:rPr>
        <w:t> %</w:t>
      </w:r>
      <w:r w:rsidRPr="008E60B5">
        <w:rPr>
          <w:lang w:val="fr-FR"/>
        </w:rPr>
        <w:t xml:space="preserve"> de la population de la province autonome du Kosovo-Metohija accède</w:t>
      </w:r>
      <w:r w:rsidR="009045E1">
        <w:rPr>
          <w:lang w:val="fr-FR"/>
        </w:rPr>
        <w:t>nt</w:t>
      </w:r>
      <w:r w:rsidRPr="008E60B5">
        <w:rPr>
          <w:lang w:val="fr-FR"/>
        </w:rPr>
        <w:t xml:space="preserve"> à l</w:t>
      </w:r>
      <w:r w:rsidR="008E60B5" w:rsidRPr="008E60B5">
        <w:rPr>
          <w:lang w:val="fr-FR"/>
        </w:rPr>
        <w:t>’</w:t>
      </w:r>
      <w:r w:rsidRPr="008E60B5">
        <w:rPr>
          <w:lang w:val="fr-FR"/>
        </w:rPr>
        <w:t xml:space="preserve">enseignement primaire obligatoire, avec des taux de scolarisation plus élevés chez les Albanais et les Serbes que dans les autres groupes </w:t>
      </w:r>
      <w:r w:rsidRPr="008E60B5">
        <w:rPr>
          <w:lang w:val="fr-FR"/>
        </w:rPr>
        <w:lastRenderedPageBreak/>
        <w:t>ethniques. Les résultats de certaines enquêtes ont également montré que les hommes et les garçons de ce territoire avaient un niveau d</w:t>
      </w:r>
      <w:r w:rsidR="008E60B5" w:rsidRPr="008E60B5">
        <w:rPr>
          <w:lang w:val="fr-FR"/>
        </w:rPr>
        <w:t>’</w:t>
      </w:r>
      <w:r w:rsidRPr="008E60B5">
        <w:rPr>
          <w:lang w:val="fr-FR"/>
        </w:rPr>
        <w:t>éducation supérieur à celui des femmes et des filles.</w:t>
      </w:r>
    </w:p>
    <w:p w14:paraId="16E5F363" w14:textId="7CA657A8" w:rsidR="004F32D0" w:rsidRPr="008E60B5" w:rsidRDefault="004F32D0" w:rsidP="00F841A6">
      <w:pPr>
        <w:pStyle w:val="SingleTxt"/>
        <w:spacing w:after="0" w:line="120" w:lineRule="exact"/>
        <w:rPr>
          <w:sz w:val="10"/>
          <w:lang w:val="fr-FR"/>
        </w:rPr>
      </w:pPr>
    </w:p>
    <w:p w14:paraId="147DC098" w14:textId="77777777" w:rsidR="00F841A6" w:rsidRPr="008E60B5" w:rsidRDefault="00F841A6" w:rsidP="00F841A6">
      <w:pPr>
        <w:pStyle w:val="SingleTxt"/>
        <w:spacing w:after="0" w:line="120" w:lineRule="exact"/>
        <w:rPr>
          <w:sz w:val="10"/>
          <w:lang w:val="fr-FR"/>
        </w:rPr>
      </w:pPr>
    </w:p>
    <w:p w14:paraId="5808F5A4" w14:textId="0B3B4A84" w:rsidR="004F32D0" w:rsidRPr="008E60B5" w:rsidRDefault="00F841A6" w:rsidP="00F841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r>
      <w:r w:rsidR="004F32D0" w:rsidRPr="008E60B5">
        <w:rPr>
          <w:lang w:val="fr-FR"/>
        </w:rPr>
        <w:t>Article 11</w:t>
      </w:r>
    </w:p>
    <w:p w14:paraId="375244BC" w14:textId="6A23BF01" w:rsidR="00F841A6" w:rsidRPr="008E60B5" w:rsidRDefault="00F841A6" w:rsidP="00F841A6">
      <w:pPr>
        <w:pStyle w:val="SingleTxt"/>
        <w:spacing w:after="0" w:line="120" w:lineRule="exact"/>
        <w:rPr>
          <w:sz w:val="10"/>
          <w:lang w:val="fr-FR"/>
        </w:rPr>
      </w:pPr>
    </w:p>
    <w:p w14:paraId="786379FA" w14:textId="1B4B6C40" w:rsidR="00F841A6" w:rsidRPr="008E60B5" w:rsidRDefault="00F841A6" w:rsidP="00F841A6">
      <w:pPr>
        <w:pStyle w:val="SingleTxt"/>
        <w:spacing w:after="0" w:line="120" w:lineRule="exact"/>
        <w:rPr>
          <w:sz w:val="10"/>
          <w:lang w:val="fr-FR"/>
        </w:rPr>
      </w:pPr>
    </w:p>
    <w:p w14:paraId="6AC470E3" w14:textId="25E1F854" w:rsidR="004F32D0" w:rsidRPr="008E60B5" w:rsidRDefault="00F841A6" w:rsidP="00EE70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004F32D0" w:rsidRPr="008E60B5">
        <w:rPr>
          <w:lang w:val="fr-FR"/>
        </w:rPr>
        <w:tab/>
        <w:t>Travail et emploi des femmes</w:t>
      </w:r>
    </w:p>
    <w:p w14:paraId="64981F2F" w14:textId="3AF13ADF" w:rsidR="00F841A6" w:rsidRPr="008E60B5" w:rsidRDefault="00F841A6" w:rsidP="00F841A6">
      <w:pPr>
        <w:pStyle w:val="SingleTxt"/>
        <w:spacing w:after="0" w:line="120" w:lineRule="exact"/>
        <w:rPr>
          <w:sz w:val="10"/>
          <w:lang w:val="fr-FR"/>
        </w:rPr>
      </w:pPr>
    </w:p>
    <w:p w14:paraId="0D2BAC47" w14:textId="77777777" w:rsidR="004F32D0" w:rsidRPr="008E60B5" w:rsidRDefault="004F32D0" w:rsidP="00F841A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 xml:space="preserve">Recommandation formulée au paragraphe 31 </w:t>
      </w:r>
    </w:p>
    <w:p w14:paraId="7CD14BEF" w14:textId="045B1679" w:rsidR="00F841A6" w:rsidRPr="008E60B5" w:rsidRDefault="00F841A6" w:rsidP="00F841A6">
      <w:pPr>
        <w:pStyle w:val="SingleTxt"/>
        <w:spacing w:after="0" w:line="120" w:lineRule="exact"/>
        <w:rPr>
          <w:sz w:val="10"/>
          <w:lang w:val="fr-FR"/>
        </w:rPr>
      </w:pPr>
    </w:p>
    <w:p w14:paraId="5F7CE45A" w14:textId="5EE71FF7" w:rsidR="004F32D0" w:rsidRPr="008E60B5" w:rsidRDefault="004F32D0" w:rsidP="00F841A6">
      <w:pPr>
        <w:pStyle w:val="SingleTxt"/>
        <w:numPr>
          <w:ilvl w:val="0"/>
          <w:numId w:val="34"/>
        </w:numPr>
        <w:spacing w:line="240" w:lineRule="exact"/>
        <w:rPr>
          <w:lang w:val="fr-FR"/>
        </w:rPr>
      </w:pPr>
      <w:r w:rsidRPr="008E60B5">
        <w:rPr>
          <w:lang w:val="fr-FR"/>
        </w:rPr>
        <w:t xml:space="preserve">En vertu de la loi sur le travail, les employés </w:t>
      </w:r>
      <w:r w:rsidRPr="008E60B5">
        <w:rPr>
          <w:iCs/>
          <w:lang w:val="fr-FR"/>
        </w:rPr>
        <w:t>ont droit à un salaire égal pour un travail égal</w:t>
      </w:r>
      <w:r w:rsidRPr="008E60B5">
        <w:rPr>
          <w:i/>
          <w:iCs/>
          <w:lang w:val="fr-FR"/>
        </w:rPr>
        <w:t xml:space="preserve"> </w:t>
      </w:r>
      <w:r w:rsidRPr="008E60B5">
        <w:rPr>
          <w:lang w:val="fr-FR"/>
        </w:rPr>
        <w:t>ou un travail de valeur égale, et toute décision de l</w:t>
      </w:r>
      <w:r w:rsidR="008E60B5" w:rsidRPr="008E60B5">
        <w:rPr>
          <w:lang w:val="fr-FR"/>
        </w:rPr>
        <w:t>’</w:t>
      </w:r>
      <w:r w:rsidRPr="008E60B5">
        <w:rPr>
          <w:lang w:val="fr-FR"/>
        </w:rPr>
        <w:t>employeur ou tout accord avec un salarié contraire à cette disposition est nul et non avenu. Les employés ont droit à une indemnisation du préjudice en cas de violation de ce droit.</w:t>
      </w:r>
    </w:p>
    <w:p w14:paraId="55513240" w14:textId="29021D88" w:rsidR="004F32D0" w:rsidRPr="008E60B5" w:rsidRDefault="004F32D0" w:rsidP="00F841A6">
      <w:pPr>
        <w:pStyle w:val="SingleTxt"/>
        <w:numPr>
          <w:ilvl w:val="0"/>
          <w:numId w:val="34"/>
        </w:numPr>
        <w:spacing w:line="240" w:lineRule="exact"/>
        <w:rPr>
          <w:lang w:val="fr-FR"/>
        </w:rPr>
      </w:pPr>
      <w:r w:rsidRPr="008E60B5">
        <w:rPr>
          <w:lang w:val="fr-FR"/>
        </w:rPr>
        <w:t>Le projet de loi sur l</w:t>
      </w:r>
      <w:r w:rsidR="008E60B5" w:rsidRPr="008E60B5">
        <w:rPr>
          <w:lang w:val="fr-FR"/>
        </w:rPr>
        <w:t>’</w:t>
      </w:r>
      <w:r w:rsidRPr="008E60B5">
        <w:rPr>
          <w:lang w:val="fr-FR"/>
        </w:rPr>
        <w:t xml:space="preserve">égalité des sexes interdit de verser une rémunération inférieure pour un travail égal ou un travail de valeur égale. Il interdit également le harcèlement, le harcèlement sexuel et le </w:t>
      </w:r>
      <w:r w:rsidRPr="008E60B5">
        <w:rPr>
          <w:iCs/>
          <w:lang w:val="fr-FR"/>
        </w:rPr>
        <w:t>chantage sexuel</w:t>
      </w:r>
      <w:r w:rsidRPr="008E60B5">
        <w:rPr>
          <w:i/>
          <w:iCs/>
          <w:lang w:val="fr-FR"/>
        </w:rPr>
        <w:t xml:space="preserve"> </w:t>
      </w:r>
      <w:r w:rsidRPr="008E60B5">
        <w:rPr>
          <w:lang w:val="fr-FR"/>
        </w:rPr>
        <w:t>à l</w:t>
      </w:r>
      <w:r w:rsidR="008E60B5" w:rsidRPr="008E60B5">
        <w:rPr>
          <w:lang w:val="fr-FR"/>
        </w:rPr>
        <w:t>’</w:t>
      </w:r>
      <w:r w:rsidRPr="008E60B5">
        <w:rPr>
          <w:lang w:val="fr-FR"/>
        </w:rPr>
        <w:t>encontre des femmes sur le lieu de travail.</w:t>
      </w:r>
    </w:p>
    <w:p w14:paraId="2701AE1F" w14:textId="6A410A13" w:rsidR="004F32D0" w:rsidRPr="008E60B5" w:rsidRDefault="004F32D0" w:rsidP="00F841A6">
      <w:pPr>
        <w:pStyle w:val="SingleTxt"/>
        <w:numPr>
          <w:ilvl w:val="0"/>
          <w:numId w:val="34"/>
        </w:numPr>
        <w:spacing w:line="240" w:lineRule="exact"/>
        <w:rPr>
          <w:lang w:val="fr-FR"/>
        </w:rPr>
      </w:pPr>
      <w:r w:rsidRPr="008E60B5">
        <w:rPr>
          <w:lang w:val="fr-FR"/>
        </w:rPr>
        <w:t>En 2016, le taux d</w:t>
      </w:r>
      <w:r w:rsidR="008E60B5" w:rsidRPr="008E60B5">
        <w:rPr>
          <w:lang w:val="fr-FR"/>
        </w:rPr>
        <w:t>’</w:t>
      </w:r>
      <w:r w:rsidRPr="008E60B5">
        <w:rPr>
          <w:lang w:val="fr-FR"/>
        </w:rPr>
        <w:t>emploi des femmes (48,4</w:t>
      </w:r>
      <w:r w:rsidR="00002E6B" w:rsidRPr="008E60B5">
        <w:rPr>
          <w:lang w:val="fr-FR"/>
        </w:rPr>
        <w:t> %</w:t>
      </w:r>
      <w:r w:rsidRPr="008E60B5">
        <w:rPr>
          <w:lang w:val="fr-FR"/>
        </w:rPr>
        <w:t>) était toujours nettement inférieur à celui des hommes (61,9</w:t>
      </w:r>
      <w:r w:rsidR="00002E6B" w:rsidRPr="008E60B5">
        <w:rPr>
          <w:lang w:val="fr-FR"/>
        </w:rPr>
        <w:t> %</w:t>
      </w:r>
      <w:r w:rsidRPr="008E60B5">
        <w:rPr>
          <w:lang w:val="fr-FR"/>
        </w:rPr>
        <w:t>). La différence entre les taux d</w:t>
      </w:r>
      <w:r w:rsidR="008E60B5" w:rsidRPr="008E60B5">
        <w:rPr>
          <w:lang w:val="fr-FR"/>
        </w:rPr>
        <w:t>’</w:t>
      </w:r>
      <w:r w:rsidRPr="008E60B5">
        <w:rPr>
          <w:lang w:val="fr-FR"/>
        </w:rPr>
        <w:t>emploi des femmes et des hommes âgés de 15 à 64 ans était de 13,5 points de pourcentage. Entre 2014 et 2016, le taux d</w:t>
      </w:r>
      <w:r w:rsidR="008E60B5" w:rsidRPr="008E60B5">
        <w:rPr>
          <w:lang w:val="fr-FR"/>
        </w:rPr>
        <w:t>’</w:t>
      </w:r>
      <w:r w:rsidRPr="008E60B5">
        <w:rPr>
          <w:lang w:val="fr-FR"/>
        </w:rPr>
        <w:t>emploi des femmes a augmenté de 4,7 points de pourcentage (passant de 43,7</w:t>
      </w:r>
      <w:r w:rsidR="00002E6B" w:rsidRPr="008E60B5">
        <w:rPr>
          <w:lang w:val="fr-FR"/>
        </w:rPr>
        <w:t> %</w:t>
      </w:r>
      <w:r w:rsidRPr="008E60B5">
        <w:rPr>
          <w:lang w:val="fr-FR"/>
        </w:rPr>
        <w:t xml:space="preserve"> à 48,4</w:t>
      </w:r>
      <w:r w:rsidR="00002E6B" w:rsidRPr="008E60B5">
        <w:rPr>
          <w:lang w:val="fr-FR"/>
        </w:rPr>
        <w:t> %</w:t>
      </w:r>
      <w:r w:rsidRPr="008E60B5">
        <w:rPr>
          <w:lang w:val="fr-FR"/>
        </w:rPr>
        <w:t>). Le taux de chômage des femmes s</w:t>
      </w:r>
      <w:r w:rsidR="008E60B5" w:rsidRPr="008E60B5">
        <w:rPr>
          <w:lang w:val="fr-FR"/>
        </w:rPr>
        <w:t>’</w:t>
      </w:r>
      <w:r w:rsidRPr="008E60B5">
        <w:rPr>
          <w:lang w:val="fr-FR"/>
        </w:rPr>
        <w:t>établissait à 16,7</w:t>
      </w:r>
      <w:r w:rsidR="00002E6B" w:rsidRPr="008E60B5">
        <w:rPr>
          <w:lang w:val="fr-FR"/>
        </w:rPr>
        <w:t> %</w:t>
      </w:r>
      <w:r w:rsidRPr="008E60B5">
        <w:rPr>
          <w:lang w:val="fr-FR"/>
        </w:rPr>
        <w:t xml:space="preserve"> en 2016, tandis que celui des hommes était de 15,3</w:t>
      </w:r>
      <w:r w:rsidR="00002E6B" w:rsidRPr="008E60B5">
        <w:rPr>
          <w:lang w:val="fr-FR"/>
        </w:rPr>
        <w:t> %</w:t>
      </w:r>
      <w:r w:rsidRPr="008E60B5">
        <w:rPr>
          <w:lang w:val="fr-FR"/>
        </w:rPr>
        <w:t>, soit une différence de 1,4 point de pourcentage. Entre 2014 et 2016, le taux de chômage des femmes a diminué de 4,3 points de pourcentage (passant de 21</w:t>
      </w:r>
      <w:r w:rsidR="00002E6B" w:rsidRPr="008E60B5">
        <w:rPr>
          <w:lang w:val="fr-FR"/>
        </w:rPr>
        <w:t> %</w:t>
      </w:r>
      <w:r w:rsidRPr="008E60B5">
        <w:rPr>
          <w:lang w:val="fr-FR"/>
        </w:rPr>
        <w:t xml:space="preserve"> à 16,7</w:t>
      </w:r>
      <w:r w:rsidR="00002E6B" w:rsidRPr="008E60B5">
        <w:rPr>
          <w:lang w:val="fr-FR"/>
        </w:rPr>
        <w:t> %</w:t>
      </w:r>
      <w:r w:rsidRPr="008E60B5">
        <w:rPr>
          <w:lang w:val="fr-FR"/>
        </w:rPr>
        <w:t>).</w:t>
      </w:r>
    </w:p>
    <w:p w14:paraId="1EBF191F" w14:textId="77777777" w:rsidR="00F841A6" w:rsidRPr="008E60B5" w:rsidRDefault="00F841A6" w:rsidP="00F841A6">
      <w:pPr>
        <w:pStyle w:val="SingleTxt"/>
        <w:spacing w:after="0" w:line="120" w:lineRule="exact"/>
        <w:rPr>
          <w:b/>
          <w:sz w:val="10"/>
          <w:lang w:val="fr-FR"/>
        </w:rPr>
      </w:pPr>
    </w:p>
    <w:p w14:paraId="0681B22F" w14:textId="6A7735B5" w:rsidR="004F32D0" w:rsidRPr="008E60B5" w:rsidRDefault="00F841A6" w:rsidP="00F841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r>
      <w:r w:rsidR="004F32D0" w:rsidRPr="008E60B5">
        <w:rPr>
          <w:lang w:val="fr-FR"/>
        </w:rPr>
        <w:t>Principaux indicateurs du marché du travail par sexe (population</w:t>
      </w:r>
      <w:r w:rsidRPr="008E60B5">
        <w:rPr>
          <w:lang w:val="fr-FR"/>
        </w:rPr>
        <w:br/>
      </w:r>
      <w:r w:rsidR="004F32D0" w:rsidRPr="008E60B5">
        <w:rPr>
          <w:lang w:val="fr-FR"/>
        </w:rPr>
        <w:t>âgée de 15 à 64 ans)</w:t>
      </w:r>
    </w:p>
    <w:p w14:paraId="7A5463A7" w14:textId="5E950C74" w:rsidR="00F841A6" w:rsidRPr="008E60B5" w:rsidRDefault="00F841A6" w:rsidP="00F841A6">
      <w:pPr>
        <w:pStyle w:val="SingleTxt"/>
        <w:keepNext/>
        <w:spacing w:after="0" w:line="120" w:lineRule="exact"/>
        <w:rPr>
          <w:sz w:val="10"/>
          <w:lang w:val="fr-FR"/>
        </w:rPr>
      </w:pPr>
    </w:p>
    <w:p w14:paraId="170BACAA" w14:textId="77777777" w:rsidR="00F841A6" w:rsidRPr="008E60B5" w:rsidRDefault="00F841A6" w:rsidP="00F841A6">
      <w:pPr>
        <w:pStyle w:val="SingleTxt"/>
        <w:keepNext/>
        <w:spacing w:after="0" w:line="120" w:lineRule="exact"/>
        <w:rPr>
          <w:sz w:val="10"/>
          <w:lang w:val="fr-FR"/>
        </w:rPr>
      </w:pPr>
    </w:p>
    <w:tbl>
      <w:tblPr>
        <w:tblStyle w:val="TableGrid"/>
        <w:tblW w:w="7244"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90"/>
        <w:gridCol w:w="1728"/>
        <w:gridCol w:w="1341"/>
        <w:gridCol w:w="1385"/>
      </w:tblGrid>
      <w:tr w:rsidR="004F32D0" w:rsidRPr="008E60B5" w14:paraId="4E8784B9" w14:textId="77777777" w:rsidTr="00455496">
        <w:trPr>
          <w:cantSplit/>
          <w:tblHeader/>
        </w:trPr>
        <w:tc>
          <w:tcPr>
            <w:tcW w:w="2790" w:type="dxa"/>
            <w:tcBorders>
              <w:top w:val="single" w:sz="4" w:space="0" w:color="auto"/>
              <w:bottom w:val="single" w:sz="12" w:space="0" w:color="auto"/>
            </w:tcBorders>
            <w:shd w:val="clear" w:color="auto" w:fill="auto"/>
            <w:vAlign w:val="bottom"/>
          </w:tcPr>
          <w:p w14:paraId="389D5D29" w14:textId="77777777" w:rsidR="004F32D0" w:rsidRPr="008E60B5" w:rsidRDefault="004F32D0" w:rsidP="00455496">
            <w:pPr>
              <w:keepNext/>
              <w:suppressAutoHyphens/>
              <w:spacing w:before="81" w:after="81" w:line="160" w:lineRule="exact"/>
              <w:ind w:right="40"/>
              <w:rPr>
                <w:i/>
                <w:sz w:val="14"/>
              </w:rPr>
            </w:pPr>
            <w:r w:rsidRPr="008E60B5">
              <w:rPr>
                <w:i/>
                <w:sz w:val="14"/>
              </w:rPr>
              <w:t>Taux (en pourcentage)</w:t>
            </w:r>
          </w:p>
        </w:tc>
        <w:tc>
          <w:tcPr>
            <w:tcW w:w="1728" w:type="dxa"/>
            <w:tcBorders>
              <w:top w:val="single" w:sz="4" w:space="0" w:color="auto"/>
              <w:bottom w:val="single" w:sz="12" w:space="0" w:color="auto"/>
            </w:tcBorders>
            <w:shd w:val="clear" w:color="auto" w:fill="auto"/>
            <w:vAlign w:val="bottom"/>
          </w:tcPr>
          <w:p w14:paraId="080BCE8E" w14:textId="77777777" w:rsidR="004F32D0" w:rsidRPr="008E60B5" w:rsidRDefault="004F32D0" w:rsidP="00455496">
            <w:pPr>
              <w:keepNext/>
              <w:suppressAutoHyphens/>
              <w:spacing w:before="81" w:after="81" w:line="160" w:lineRule="exact"/>
              <w:ind w:left="144" w:right="43"/>
              <w:rPr>
                <w:i/>
                <w:sz w:val="14"/>
              </w:rPr>
            </w:pPr>
            <w:r w:rsidRPr="008E60B5">
              <w:rPr>
                <w:i/>
                <w:sz w:val="14"/>
              </w:rPr>
              <w:t>2014</w:t>
            </w:r>
          </w:p>
        </w:tc>
        <w:tc>
          <w:tcPr>
            <w:tcW w:w="1341" w:type="dxa"/>
            <w:tcBorders>
              <w:top w:val="single" w:sz="4" w:space="0" w:color="auto"/>
              <w:bottom w:val="single" w:sz="12" w:space="0" w:color="auto"/>
            </w:tcBorders>
            <w:shd w:val="clear" w:color="auto" w:fill="auto"/>
            <w:vAlign w:val="bottom"/>
          </w:tcPr>
          <w:p w14:paraId="47FFDD33" w14:textId="77777777" w:rsidR="004F32D0" w:rsidRPr="008E60B5" w:rsidRDefault="004F32D0" w:rsidP="00455496">
            <w:pPr>
              <w:keepNext/>
              <w:suppressAutoHyphens/>
              <w:spacing w:before="81" w:after="81" w:line="160" w:lineRule="exact"/>
              <w:ind w:left="144" w:right="43"/>
              <w:rPr>
                <w:i/>
                <w:sz w:val="14"/>
              </w:rPr>
            </w:pPr>
            <w:r w:rsidRPr="008E60B5">
              <w:rPr>
                <w:i/>
                <w:sz w:val="14"/>
              </w:rPr>
              <w:t>2015</w:t>
            </w:r>
          </w:p>
        </w:tc>
        <w:tc>
          <w:tcPr>
            <w:tcW w:w="1385" w:type="dxa"/>
            <w:tcBorders>
              <w:top w:val="single" w:sz="4" w:space="0" w:color="auto"/>
              <w:bottom w:val="single" w:sz="12" w:space="0" w:color="auto"/>
            </w:tcBorders>
            <w:shd w:val="clear" w:color="auto" w:fill="auto"/>
            <w:vAlign w:val="bottom"/>
          </w:tcPr>
          <w:p w14:paraId="3DD5CF89" w14:textId="77777777" w:rsidR="004F32D0" w:rsidRPr="008E60B5" w:rsidRDefault="004F32D0" w:rsidP="00455496">
            <w:pPr>
              <w:keepNext/>
              <w:suppressAutoHyphens/>
              <w:spacing w:before="81" w:after="81" w:line="160" w:lineRule="exact"/>
              <w:ind w:left="144" w:right="43"/>
              <w:rPr>
                <w:i/>
                <w:sz w:val="14"/>
              </w:rPr>
            </w:pPr>
            <w:r w:rsidRPr="008E60B5">
              <w:rPr>
                <w:i/>
                <w:sz w:val="14"/>
              </w:rPr>
              <w:t>2016</w:t>
            </w:r>
          </w:p>
        </w:tc>
      </w:tr>
      <w:tr w:rsidR="00455496" w:rsidRPr="008E60B5" w14:paraId="38161182" w14:textId="77777777" w:rsidTr="00455496">
        <w:trPr>
          <w:cantSplit/>
          <w:trHeight w:hRule="exact" w:val="115"/>
          <w:tblHeader/>
        </w:trPr>
        <w:tc>
          <w:tcPr>
            <w:tcW w:w="7244" w:type="dxa"/>
            <w:gridSpan w:val="4"/>
            <w:tcBorders>
              <w:top w:val="single" w:sz="12" w:space="0" w:color="auto"/>
            </w:tcBorders>
            <w:shd w:val="clear" w:color="auto" w:fill="auto"/>
            <w:vAlign w:val="bottom"/>
          </w:tcPr>
          <w:p w14:paraId="30E0B896" w14:textId="77777777" w:rsidR="00455496" w:rsidRPr="008E60B5" w:rsidRDefault="00455496" w:rsidP="00455496">
            <w:pPr>
              <w:suppressAutoHyphens/>
              <w:spacing w:before="40" w:after="40" w:line="210" w:lineRule="exact"/>
              <w:ind w:right="40"/>
              <w:rPr>
                <w:sz w:val="17"/>
              </w:rPr>
            </w:pPr>
          </w:p>
        </w:tc>
      </w:tr>
      <w:tr w:rsidR="00455496" w:rsidRPr="008E60B5" w14:paraId="3113B68A" w14:textId="77777777" w:rsidTr="00455496">
        <w:trPr>
          <w:cantSplit/>
        </w:trPr>
        <w:tc>
          <w:tcPr>
            <w:tcW w:w="2790" w:type="dxa"/>
            <w:shd w:val="clear" w:color="auto" w:fill="auto"/>
            <w:vAlign w:val="bottom"/>
          </w:tcPr>
          <w:p w14:paraId="4F26B540" w14:textId="77777777" w:rsidR="00455496" w:rsidRPr="003C1C06" w:rsidRDefault="00455496" w:rsidP="00455496">
            <w:pPr>
              <w:tabs>
                <w:tab w:val="left" w:pos="288"/>
                <w:tab w:val="left" w:pos="576"/>
                <w:tab w:val="left" w:pos="864"/>
                <w:tab w:val="left" w:pos="1152"/>
              </w:tabs>
              <w:suppressAutoHyphens/>
              <w:spacing w:before="40" w:after="40" w:line="210" w:lineRule="exact"/>
              <w:ind w:right="40"/>
              <w:rPr>
                <w:b/>
                <w:bCs/>
                <w:sz w:val="17"/>
              </w:rPr>
            </w:pPr>
            <w:r w:rsidRPr="003C1C06">
              <w:rPr>
                <w:b/>
                <w:bCs/>
                <w:sz w:val="17"/>
              </w:rPr>
              <w:t>Taux global</w:t>
            </w:r>
          </w:p>
        </w:tc>
        <w:tc>
          <w:tcPr>
            <w:tcW w:w="4454" w:type="dxa"/>
            <w:gridSpan w:val="3"/>
            <w:shd w:val="clear" w:color="auto" w:fill="auto"/>
            <w:vAlign w:val="bottom"/>
          </w:tcPr>
          <w:p w14:paraId="3FFB91C3" w14:textId="0A35DB32" w:rsidR="00455496" w:rsidRPr="008E60B5" w:rsidRDefault="00455496" w:rsidP="00455496">
            <w:pPr>
              <w:tabs>
                <w:tab w:val="left" w:pos="288"/>
                <w:tab w:val="left" w:pos="576"/>
                <w:tab w:val="left" w:pos="864"/>
                <w:tab w:val="left" w:pos="1152"/>
              </w:tabs>
              <w:suppressAutoHyphens/>
              <w:spacing w:before="40" w:after="40" w:line="210" w:lineRule="exact"/>
              <w:ind w:right="40"/>
              <w:rPr>
                <w:sz w:val="17"/>
              </w:rPr>
            </w:pPr>
          </w:p>
        </w:tc>
      </w:tr>
      <w:tr w:rsidR="004F32D0" w:rsidRPr="008E60B5" w14:paraId="42F04E81" w14:textId="77777777" w:rsidTr="00455496">
        <w:trPr>
          <w:cantSplit/>
        </w:trPr>
        <w:tc>
          <w:tcPr>
            <w:tcW w:w="2790" w:type="dxa"/>
            <w:shd w:val="clear" w:color="auto" w:fill="auto"/>
            <w:vAlign w:val="bottom"/>
          </w:tcPr>
          <w:p w14:paraId="5C4E97A9" w14:textId="30AC95CB" w:rsidR="004F32D0" w:rsidRPr="008E60B5" w:rsidRDefault="004F32D0" w:rsidP="00455496">
            <w:pPr>
              <w:tabs>
                <w:tab w:val="left" w:pos="288"/>
                <w:tab w:val="left" w:pos="576"/>
                <w:tab w:val="left" w:pos="864"/>
                <w:tab w:val="left" w:pos="1152"/>
              </w:tabs>
              <w:suppressAutoHyphens/>
              <w:spacing w:before="40" w:after="40" w:line="210" w:lineRule="exact"/>
              <w:ind w:right="40"/>
              <w:rPr>
                <w:sz w:val="17"/>
              </w:rPr>
            </w:pPr>
            <w:r w:rsidRPr="008E60B5">
              <w:rPr>
                <w:sz w:val="17"/>
              </w:rPr>
              <w:t>Taux d</w:t>
            </w:r>
            <w:r w:rsidR="008E60B5" w:rsidRPr="008E60B5">
              <w:rPr>
                <w:sz w:val="17"/>
              </w:rPr>
              <w:t>’</w:t>
            </w:r>
            <w:r w:rsidRPr="008E60B5">
              <w:rPr>
                <w:sz w:val="17"/>
              </w:rPr>
              <w:t>emploi</w:t>
            </w:r>
          </w:p>
        </w:tc>
        <w:tc>
          <w:tcPr>
            <w:tcW w:w="1728" w:type="dxa"/>
            <w:shd w:val="clear" w:color="auto" w:fill="auto"/>
            <w:vAlign w:val="bottom"/>
          </w:tcPr>
          <w:p w14:paraId="4E1D0BD4" w14:textId="77777777" w:rsidR="004F32D0" w:rsidRPr="008E60B5" w:rsidRDefault="004F32D0" w:rsidP="00455496">
            <w:pPr>
              <w:tabs>
                <w:tab w:val="left" w:pos="288"/>
                <w:tab w:val="left" w:pos="576"/>
                <w:tab w:val="left" w:pos="864"/>
                <w:tab w:val="left" w:pos="1152"/>
              </w:tabs>
              <w:suppressAutoHyphens/>
              <w:spacing w:before="40" w:after="40" w:line="210" w:lineRule="exact"/>
              <w:ind w:right="40"/>
              <w:rPr>
                <w:sz w:val="17"/>
              </w:rPr>
            </w:pPr>
            <w:r w:rsidRPr="008E60B5">
              <w:rPr>
                <w:sz w:val="17"/>
              </w:rPr>
              <w:t>50,7</w:t>
            </w:r>
          </w:p>
        </w:tc>
        <w:tc>
          <w:tcPr>
            <w:tcW w:w="1341" w:type="dxa"/>
            <w:shd w:val="clear" w:color="auto" w:fill="auto"/>
            <w:vAlign w:val="bottom"/>
          </w:tcPr>
          <w:p w14:paraId="4B5BB143" w14:textId="77777777" w:rsidR="004F32D0" w:rsidRPr="008E60B5" w:rsidRDefault="004F32D0" w:rsidP="00455496">
            <w:pPr>
              <w:tabs>
                <w:tab w:val="left" w:pos="288"/>
                <w:tab w:val="left" w:pos="576"/>
                <w:tab w:val="left" w:pos="864"/>
                <w:tab w:val="left" w:pos="1152"/>
              </w:tabs>
              <w:suppressAutoHyphens/>
              <w:spacing w:before="40" w:after="40" w:line="210" w:lineRule="exact"/>
              <w:ind w:right="40"/>
              <w:rPr>
                <w:sz w:val="17"/>
              </w:rPr>
            </w:pPr>
            <w:r w:rsidRPr="008E60B5">
              <w:rPr>
                <w:sz w:val="17"/>
              </w:rPr>
              <w:t>52,0</w:t>
            </w:r>
          </w:p>
        </w:tc>
        <w:tc>
          <w:tcPr>
            <w:tcW w:w="1385" w:type="dxa"/>
            <w:shd w:val="clear" w:color="auto" w:fill="auto"/>
            <w:vAlign w:val="bottom"/>
          </w:tcPr>
          <w:p w14:paraId="17AC2ABD" w14:textId="77777777" w:rsidR="004F32D0" w:rsidRPr="008E60B5" w:rsidRDefault="004F32D0" w:rsidP="00455496">
            <w:pPr>
              <w:tabs>
                <w:tab w:val="left" w:pos="288"/>
                <w:tab w:val="left" w:pos="576"/>
                <w:tab w:val="left" w:pos="864"/>
                <w:tab w:val="left" w:pos="1152"/>
              </w:tabs>
              <w:suppressAutoHyphens/>
              <w:spacing w:before="40" w:after="40" w:line="210" w:lineRule="exact"/>
              <w:ind w:right="40"/>
              <w:rPr>
                <w:sz w:val="17"/>
              </w:rPr>
            </w:pPr>
            <w:r w:rsidRPr="008E60B5">
              <w:rPr>
                <w:sz w:val="17"/>
              </w:rPr>
              <w:t>55,2</w:t>
            </w:r>
          </w:p>
        </w:tc>
      </w:tr>
      <w:tr w:rsidR="004F32D0" w:rsidRPr="008E60B5" w14:paraId="3F86A874" w14:textId="77777777" w:rsidTr="00455496">
        <w:trPr>
          <w:cantSplit/>
        </w:trPr>
        <w:tc>
          <w:tcPr>
            <w:tcW w:w="2790" w:type="dxa"/>
            <w:shd w:val="clear" w:color="auto" w:fill="auto"/>
            <w:vAlign w:val="bottom"/>
          </w:tcPr>
          <w:p w14:paraId="18008D66" w14:textId="77777777" w:rsidR="004F32D0" w:rsidRPr="008E60B5" w:rsidRDefault="004F32D0" w:rsidP="00455496">
            <w:pPr>
              <w:tabs>
                <w:tab w:val="left" w:pos="288"/>
                <w:tab w:val="left" w:pos="576"/>
                <w:tab w:val="left" w:pos="864"/>
                <w:tab w:val="left" w:pos="1152"/>
              </w:tabs>
              <w:suppressAutoHyphens/>
              <w:spacing w:before="40" w:after="40" w:line="210" w:lineRule="exact"/>
              <w:ind w:right="40"/>
              <w:rPr>
                <w:sz w:val="17"/>
              </w:rPr>
            </w:pPr>
            <w:r w:rsidRPr="008E60B5">
              <w:rPr>
                <w:sz w:val="17"/>
              </w:rPr>
              <w:t>Taux de chômage</w:t>
            </w:r>
          </w:p>
        </w:tc>
        <w:tc>
          <w:tcPr>
            <w:tcW w:w="1728" w:type="dxa"/>
            <w:shd w:val="clear" w:color="auto" w:fill="auto"/>
            <w:vAlign w:val="bottom"/>
          </w:tcPr>
          <w:p w14:paraId="683D300F" w14:textId="77777777" w:rsidR="004F32D0" w:rsidRPr="008E60B5" w:rsidRDefault="004F32D0" w:rsidP="00455496">
            <w:pPr>
              <w:tabs>
                <w:tab w:val="left" w:pos="288"/>
                <w:tab w:val="left" w:pos="576"/>
                <w:tab w:val="left" w:pos="864"/>
                <w:tab w:val="left" w:pos="1152"/>
              </w:tabs>
              <w:suppressAutoHyphens/>
              <w:spacing w:before="40" w:after="40" w:line="210" w:lineRule="exact"/>
              <w:ind w:right="40"/>
              <w:rPr>
                <w:sz w:val="17"/>
              </w:rPr>
            </w:pPr>
            <w:r w:rsidRPr="008E60B5">
              <w:rPr>
                <w:sz w:val="17"/>
              </w:rPr>
              <w:t>19,9</w:t>
            </w:r>
          </w:p>
        </w:tc>
        <w:tc>
          <w:tcPr>
            <w:tcW w:w="1341" w:type="dxa"/>
            <w:shd w:val="clear" w:color="auto" w:fill="auto"/>
            <w:vAlign w:val="bottom"/>
          </w:tcPr>
          <w:p w14:paraId="0E699D86" w14:textId="77777777" w:rsidR="004F32D0" w:rsidRPr="008E60B5" w:rsidRDefault="004F32D0" w:rsidP="00455496">
            <w:pPr>
              <w:tabs>
                <w:tab w:val="left" w:pos="288"/>
                <w:tab w:val="left" w:pos="576"/>
                <w:tab w:val="left" w:pos="864"/>
                <w:tab w:val="left" w:pos="1152"/>
              </w:tabs>
              <w:suppressAutoHyphens/>
              <w:spacing w:before="40" w:after="40" w:line="210" w:lineRule="exact"/>
              <w:ind w:right="40"/>
              <w:rPr>
                <w:sz w:val="17"/>
              </w:rPr>
            </w:pPr>
            <w:r w:rsidRPr="008E60B5">
              <w:rPr>
                <w:sz w:val="17"/>
              </w:rPr>
              <w:t>18,2</w:t>
            </w:r>
          </w:p>
        </w:tc>
        <w:tc>
          <w:tcPr>
            <w:tcW w:w="1385" w:type="dxa"/>
            <w:shd w:val="clear" w:color="auto" w:fill="auto"/>
            <w:vAlign w:val="bottom"/>
          </w:tcPr>
          <w:p w14:paraId="04CCCAA4" w14:textId="77777777" w:rsidR="004F32D0" w:rsidRPr="008E60B5" w:rsidRDefault="004F32D0" w:rsidP="00455496">
            <w:pPr>
              <w:tabs>
                <w:tab w:val="left" w:pos="288"/>
                <w:tab w:val="left" w:pos="576"/>
                <w:tab w:val="left" w:pos="864"/>
                <w:tab w:val="left" w:pos="1152"/>
              </w:tabs>
              <w:suppressAutoHyphens/>
              <w:spacing w:before="40" w:after="40" w:line="210" w:lineRule="exact"/>
              <w:ind w:right="40"/>
              <w:rPr>
                <w:sz w:val="17"/>
              </w:rPr>
            </w:pPr>
            <w:r w:rsidRPr="008E60B5">
              <w:rPr>
                <w:sz w:val="17"/>
              </w:rPr>
              <w:t>15,9</w:t>
            </w:r>
          </w:p>
        </w:tc>
      </w:tr>
      <w:tr w:rsidR="004F32D0" w:rsidRPr="008E60B5" w14:paraId="169D4FBE" w14:textId="77777777" w:rsidTr="00455496">
        <w:trPr>
          <w:cantSplit/>
        </w:trPr>
        <w:tc>
          <w:tcPr>
            <w:tcW w:w="7244" w:type="dxa"/>
            <w:gridSpan w:val="4"/>
            <w:shd w:val="clear" w:color="auto" w:fill="auto"/>
            <w:vAlign w:val="bottom"/>
          </w:tcPr>
          <w:p w14:paraId="2BF950CB" w14:textId="77777777" w:rsidR="004F32D0" w:rsidRPr="003C1C06" w:rsidRDefault="004F32D0" w:rsidP="00455496">
            <w:pPr>
              <w:tabs>
                <w:tab w:val="left" w:pos="288"/>
                <w:tab w:val="left" w:pos="576"/>
                <w:tab w:val="left" w:pos="864"/>
                <w:tab w:val="left" w:pos="1152"/>
              </w:tabs>
              <w:suppressAutoHyphens/>
              <w:spacing w:before="40" w:after="40" w:line="210" w:lineRule="exact"/>
              <w:ind w:right="40"/>
              <w:rPr>
                <w:b/>
                <w:bCs/>
                <w:sz w:val="17"/>
              </w:rPr>
            </w:pPr>
            <w:r w:rsidRPr="003C1C06">
              <w:rPr>
                <w:b/>
                <w:bCs/>
                <w:sz w:val="17"/>
              </w:rPr>
              <w:t>Hommes</w:t>
            </w:r>
          </w:p>
        </w:tc>
      </w:tr>
      <w:tr w:rsidR="004F32D0" w:rsidRPr="008E60B5" w14:paraId="0AAFB5EA" w14:textId="77777777" w:rsidTr="00455496">
        <w:trPr>
          <w:cantSplit/>
        </w:trPr>
        <w:tc>
          <w:tcPr>
            <w:tcW w:w="2790" w:type="dxa"/>
            <w:shd w:val="clear" w:color="auto" w:fill="auto"/>
            <w:vAlign w:val="bottom"/>
          </w:tcPr>
          <w:p w14:paraId="2C08F741" w14:textId="31032C88" w:rsidR="004F32D0" w:rsidRPr="008E60B5" w:rsidRDefault="004F32D0" w:rsidP="00455496">
            <w:pPr>
              <w:tabs>
                <w:tab w:val="left" w:pos="288"/>
                <w:tab w:val="left" w:pos="576"/>
                <w:tab w:val="left" w:pos="864"/>
                <w:tab w:val="left" w:pos="1152"/>
              </w:tabs>
              <w:suppressAutoHyphens/>
              <w:spacing w:before="40" w:after="40" w:line="210" w:lineRule="exact"/>
              <w:ind w:right="40"/>
              <w:rPr>
                <w:sz w:val="17"/>
              </w:rPr>
            </w:pPr>
            <w:r w:rsidRPr="008E60B5">
              <w:rPr>
                <w:sz w:val="17"/>
              </w:rPr>
              <w:t>Taux d</w:t>
            </w:r>
            <w:r w:rsidR="008E60B5" w:rsidRPr="008E60B5">
              <w:rPr>
                <w:sz w:val="17"/>
              </w:rPr>
              <w:t>’</w:t>
            </w:r>
            <w:r w:rsidRPr="008E60B5">
              <w:rPr>
                <w:sz w:val="17"/>
              </w:rPr>
              <w:t>emploi</w:t>
            </w:r>
          </w:p>
        </w:tc>
        <w:tc>
          <w:tcPr>
            <w:tcW w:w="1728" w:type="dxa"/>
            <w:shd w:val="clear" w:color="auto" w:fill="auto"/>
            <w:vAlign w:val="bottom"/>
          </w:tcPr>
          <w:p w14:paraId="6F023A2C" w14:textId="77777777" w:rsidR="004F32D0" w:rsidRPr="008E60B5" w:rsidRDefault="004F32D0" w:rsidP="00455496">
            <w:pPr>
              <w:tabs>
                <w:tab w:val="left" w:pos="288"/>
                <w:tab w:val="left" w:pos="576"/>
                <w:tab w:val="left" w:pos="864"/>
                <w:tab w:val="left" w:pos="1152"/>
              </w:tabs>
              <w:suppressAutoHyphens/>
              <w:spacing w:before="40" w:after="40" w:line="210" w:lineRule="exact"/>
              <w:ind w:right="40"/>
              <w:rPr>
                <w:sz w:val="17"/>
              </w:rPr>
            </w:pPr>
            <w:r w:rsidRPr="008E60B5">
              <w:rPr>
                <w:sz w:val="17"/>
              </w:rPr>
              <w:t>57,7</w:t>
            </w:r>
          </w:p>
        </w:tc>
        <w:tc>
          <w:tcPr>
            <w:tcW w:w="1341" w:type="dxa"/>
            <w:shd w:val="clear" w:color="auto" w:fill="auto"/>
            <w:vAlign w:val="bottom"/>
          </w:tcPr>
          <w:p w14:paraId="437EA7B7" w14:textId="77777777" w:rsidR="004F32D0" w:rsidRPr="008E60B5" w:rsidRDefault="004F32D0" w:rsidP="00455496">
            <w:pPr>
              <w:tabs>
                <w:tab w:val="left" w:pos="288"/>
                <w:tab w:val="left" w:pos="576"/>
                <w:tab w:val="left" w:pos="864"/>
                <w:tab w:val="left" w:pos="1152"/>
              </w:tabs>
              <w:suppressAutoHyphens/>
              <w:spacing w:before="40" w:after="40" w:line="210" w:lineRule="exact"/>
              <w:ind w:right="40"/>
              <w:rPr>
                <w:sz w:val="17"/>
              </w:rPr>
            </w:pPr>
            <w:r w:rsidRPr="008E60B5">
              <w:rPr>
                <w:sz w:val="17"/>
              </w:rPr>
              <w:t>59,1</w:t>
            </w:r>
          </w:p>
        </w:tc>
        <w:tc>
          <w:tcPr>
            <w:tcW w:w="1385" w:type="dxa"/>
            <w:shd w:val="clear" w:color="auto" w:fill="auto"/>
            <w:vAlign w:val="bottom"/>
          </w:tcPr>
          <w:p w14:paraId="6CF4E986" w14:textId="77777777" w:rsidR="004F32D0" w:rsidRPr="008E60B5" w:rsidRDefault="004F32D0" w:rsidP="00455496">
            <w:pPr>
              <w:tabs>
                <w:tab w:val="left" w:pos="288"/>
                <w:tab w:val="left" w:pos="576"/>
                <w:tab w:val="left" w:pos="864"/>
                <w:tab w:val="left" w:pos="1152"/>
              </w:tabs>
              <w:suppressAutoHyphens/>
              <w:spacing w:before="40" w:after="40" w:line="210" w:lineRule="exact"/>
              <w:ind w:right="40"/>
              <w:rPr>
                <w:sz w:val="17"/>
              </w:rPr>
            </w:pPr>
            <w:r w:rsidRPr="008E60B5">
              <w:rPr>
                <w:sz w:val="17"/>
              </w:rPr>
              <w:t>61,9</w:t>
            </w:r>
          </w:p>
        </w:tc>
      </w:tr>
      <w:tr w:rsidR="004F32D0" w:rsidRPr="008E60B5" w14:paraId="183ED7EE" w14:textId="77777777" w:rsidTr="00455496">
        <w:trPr>
          <w:cantSplit/>
        </w:trPr>
        <w:tc>
          <w:tcPr>
            <w:tcW w:w="2790" w:type="dxa"/>
            <w:shd w:val="clear" w:color="auto" w:fill="auto"/>
            <w:vAlign w:val="bottom"/>
          </w:tcPr>
          <w:p w14:paraId="11E28BC8" w14:textId="77777777" w:rsidR="004F32D0" w:rsidRPr="008E60B5" w:rsidRDefault="004F32D0" w:rsidP="00455496">
            <w:pPr>
              <w:tabs>
                <w:tab w:val="left" w:pos="288"/>
                <w:tab w:val="left" w:pos="576"/>
                <w:tab w:val="left" w:pos="864"/>
                <w:tab w:val="left" w:pos="1152"/>
              </w:tabs>
              <w:suppressAutoHyphens/>
              <w:spacing w:before="40" w:after="40" w:line="210" w:lineRule="exact"/>
              <w:ind w:right="40"/>
              <w:rPr>
                <w:sz w:val="17"/>
              </w:rPr>
            </w:pPr>
            <w:r w:rsidRPr="008E60B5">
              <w:rPr>
                <w:sz w:val="17"/>
              </w:rPr>
              <w:t>Taux de chômage</w:t>
            </w:r>
          </w:p>
        </w:tc>
        <w:tc>
          <w:tcPr>
            <w:tcW w:w="1728" w:type="dxa"/>
            <w:shd w:val="clear" w:color="auto" w:fill="auto"/>
            <w:vAlign w:val="bottom"/>
          </w:tcPr>
          <w:p w14:paraId="3B192CDB" w14:textId="77777777" w:rsidR="004F32D0" w:rsidRPr="008E60B5" w:rsidRDefault="004F32D0" w:rsidP="00455496">
            <w:pPr>
              <w:tabs>
                <w:tab w:val="left" w:pos="288"/>
                <w:tab w:val="left" w:pos="576"/>
                <w:tab w:val="left" w:pos="864"/>
                <w:tab w:val="left" w:pos="1152"/>
              </w:tabs>
              <w:suppressAutoHyphens/>
              <w:spacing w:before="40" w:after="40" w:line="210" w:lineRule="exact"/>
              <w:ind w:right="40"/>
              <w:rPr>
                <w:sz w:val="17"/>
              </w:rPr>
            </w:pPr>
            <w:r w:rsidRPr="008E60B5">
              <w:rPr>
                <w:sz w:val="17"/>
              </w:rPr>
              <w:t>19,1</w:t>
            </w:r>
          </w:p>
        </w:tc>
        <w:tc>
          <w:tcPr>
            <w:tcW w:w="1341" w:type="dxa"/>
            <w:shd w:val="clear" w:color="auto" w:fill="auto"/>
            <w:vAlign w:val="bottom"/>
          </w:tcPr>
          <w:p w14:paraId="4FDAA60C" w14:textId="77777777" w:rsidR="004F32D0" w:rsidRPr="008E60B5" w:rsidRDefault="004F32D0" w:rsidP="00455496">
            <w:pPr>
              <w:tabs>
                <w:tab w:val="left" w:pos="288"/>
                <w:tab w:val="left" w:pos="576"/>
                <w:tab w:val="left" w:pos="864"/>
                <w:tab w:val="left" w:pos="1152"/>
              </w:tabs>
              <w:suppressAutoHyphens/>
              <w:spacing w:before="40" w:after="40" w:line="210" w:lineRule="exact"/>
              <w:ind w:right="40"/>
              <w:rPr>
                <w:sz w:val="17"/>
              </w:rPr>
            </w:pPr>
            <w:r w:rsidRPr="008E60B5">
              <w:rPr>
                <w:sz w:val="17"/>
              </w:rPr>
              <w:t>17,4</w:t>
            </w:r>
          </w:p>
        </w:tc>
        <w:tc>
          <w:tcPr>
            <w:tcW w:w="1385" w:type="dxa"/>
            <w:shd w:val="clear" w:color="auto" w:fill="auto"/>
            <w:vAlign w:val="bottom"/>
          </w:tcPr>
          <w:p w14:paraId="1221080F" w14:textId="77777777" w:rsidR="004F32D0" w:rsidRPr="008E60B5" w:rsidRDefault="004F32D0" w:rsidP="00455496">
            <w:pPr>
              <w:tabs>
                <w:tab w:val="left" w:pos="288"/>
                <w:tab w:val="left" w:pos="576"/>
                <w:tab w:val="left" w:pos="864"/>
                <w:tab w:val="left" w:pos="1152"/>
              </w:tabs>
              <w:suppressAutoHyphens/>
              <w:spacing w:before="40" w:after="40" w:line="210" w:lineRule="exact"/>
              <w:ind w:right="40"/>
              <w:rPr>
                <w:sz w:val="17"/>
              </w:rPr>
            </w:pPr>
            <w:r w:rsidRPr="008E60B5">
              <w:rPr>
                <w:sz w:val="17"/>
              </w:rPr>
              <w:t>15,3</w:t>
            </w:r>
          </w:p>
        </w:tc>
      </w:tr>
      <w:tr w:rsidR="004F32D0" w:rsidRPr="008E60B5" w14:paraId="03A1DE55" w14:textId="77777777" w:rsidTr="00455496">
        <w:trPr>
          <w:cantSplit/>
        </w:trPr>
        <w:tc>
          <w:tcPr>
            <w:tcW w:w="7244" w:type="dxa"/>
            <w:gridSpan w:val="4"/>
            <w:shd w:val="clear" w:color="auto" w:fill="auto"/>
            <w:vAlign w:val="bottom"/>
          </w:tcPr>
          <w:p w14:paraId="3DEE8CF1" w14:textId="77777777" w:rsidR="004F32D0" w:rsidRPr="003C1C06" w:rsidRDefault="004F32D0" w:rsidP="00455496">
            <w:pPr>
              <w:tabs>
                <w:tab w:val="left" w:pos="288"/>
                <w:tab w:val="left" w:pos="576"/>
                <w:tab w:val="left" w:pos="864"/>
                <w:tab w:val="left" w:pos="1152"/>
              </w:tabs>
              <w:suppressAutoHyphens/>
              <w:spacing w:before="40" w:after="40" w:line="210" w:lineRule="exact"/>
              <w:ind w:right="40"/>
              <w:rPr>
                <w:b/>
                <w:bCs/>
                <w:sz w:val="17"/>
              </w:rPr>
            </w:pPr>
            <w:r w:rsidRPr="003C1C06">
              <w:rPr>
                <w:b/>
                <w:bCs/>
                <w:sz w:val="17"/>
              </w:rPr>
              <w:t>Femmes</w:t>
            </w:r>
          </w:p>
        </w:tc>
      </w:tr>
      <w:tr w:rsidR="004F32D0" w:rsidRPr="008E60B5" w14:paraId="5BFAAAD0" w14:textId="77777777" w:rsidTr="00455496">
        <w:trPr>
          <w:cantSplit/>
        </w:trPr>
        <w:tc>
          <w:tcPr>
            <w:tcW w:w="2790" w:type="dxa"/>
            <w:shd w:val="clear" w:color="auto" w:fill="auto"/>
            <w:vAlign w:val="bottom"/>
          </w:tcPr>
          <w:p w14:paraId="73DB221E" w14:textId="0788EFBE" w:rsidR="004F32D0" w:rsidRPr="008E60B5" w:rsidRDefault="004F32D0" w:rsidP="00455496">
            <w:pPr>
              <w:tabs>
                <w:tab w:val="left" w:pos="288"/>
                <w:tab w:val="left" w:pos="576"/>
                <w:tab w:val="left" w:pos="864"/>
                <w:tab w:val="left" w:pos="1152"/>
              </w:tabs>
              <w:suppressAutoHyphens/>
              <w:spacing w:before="40" w:after="40" w:line="210" w:lineRule="exact"/>
              <w:ind w:right="40"/>
              <w:rPr>
                <w:sz w:val="17"/>
              </w:rPr>
            </w:pPr>
            <w:r w:rsidRPr="008E60B5">
              <w:rPr>
                <w:sz w:val="17"/>
              </w:rPr>
              <w:t>Taux d</w:t>
            </w:r>
            <w:r w:rsidR="008E60B5" w:rsidRPr="008E60B5">
              <w:rPr>
                <w:sz w:val="17"/>
              </w:rPr>
              <w:t>’</w:t>
            </w:r>
            <w:r w:rsidRPr="008E60B5">
              <w:rPr>
                <w:sz w:val="17"/>
              </w:rPr>
              <w:t>emploi</w:t>
            </w:r>
          </w:p>
        </w:tc>
        <w:tc>
          <w:tcPr>
            <w:tcW w:w="1728" w:type="dxa"/>
            <w:shd w:val="clear" w:color="auto" w:fill="auto"/>
            <w:vAlign w:val="bottom"/>
          </w:tcPr>
          <w:p w14:paraId="38B8BE6D" w14:textId="77777777" w:rsidR="004F32D0" w:rsidRPr="008E60B5" w:rsidRDefault="004F32D0" w:rsidP="00455496">
            <w:pPr>
              <w:tabs>
                <w:tab w:val="left" w:pos="288"/>
                <w:tab w:val="left" w:pos="576"/>
                <w:tab w:val="left" w:pos="864"/>
                <w:tab w:val="left" w:pos="1152"/>
              </w:tabs>
              <w:suppressAutoHyphens/>
              <w:spacing w:before="40" w:after="40" w:line="210" w:lineRule="exact"/>
              <w:ind w:right="40"/>
              <w:rPr>
                <w:sz w:val="17"/>
              </w:rPr>
            </w:pPr>
            <w:r w:rsidRPr="008E60B5">
              <w:rPr>
                <w:sz w:val="17"/>
              </w:rPr>
              <w:t>43,7</w:t>
            </w:r>
          </w:p>
        </w:tc>
        <w:tc>
          <w:tcPr>
            <w:tcW w:w="1341" w:type="dxa"/>
            <w:shd w:val="clear" w:color="auto" w:fill="auto"/>
            <w:vAlign w:val="bottom"/>
          </w:tcPr>
          <w:p w14:paraId="226E3A3C" w14:textId="77777777" w:rsidR="004F32D0" w:rsidRPr="008E60B5" w:rsidRDefault="004F32D0" w:rsidP="00455496">
            <w:pPr>
              <w:tabs>
                <w:tab w:val="left" w:pos="288"/>
                <w:tab w:val="left" w:pos="576"/>
                <w:tab w:val="left" w:pos="864"/>
                <w:tab w:val="left" w:pos="1152"/>
              </w:tabs>
              <w:suppressAutoHyphens/>
              <w:spacing w:before="40" w:after="40" w:line="210" w:lineRule="exact"/>
              <w:ind w:right="40"/>
              <w:rPr>
                <w:sz w:val="17"/>
              </w:rPr>
            </w:pPr>
            <w:r w:rsidRPr="008E60B5">
              <w:rPr>
                <w:sz w:val="17"/>
              </w:rPr>
              <w:t>44,9</w:t>
            </w:r>
          </w:p>
        </w:tc>
        <w:tc>
          <w:tcPr>
            <w:tcW w:w="1385" w:type="dxa"/>
            <w:shd w:val="clear" w:color="auto" w:fill="auto"/>
            <w:vAlign w:val="bottom"/>
          </w:tcPr>
          <w:p w14:paraId="79BCD314" w14:textId="77777777" w:rsidR="004F32D0" w:rsidRPr="008E60B5" w:rsidRDefault="004F32D0" w:rsidP="00455496">
            <w:pPr>
              <w:tabs>
                <w:tab w:val="left" w:pos="288"/>
                <w:tab w:val="left" w:pos="576"/>
                <w:tab w:val="left" w:pos="864"/>
                <w:tab w:val="left" w:pos="1152"/>
              </w:tabs>
              <w:suppressAutoHyphens/>
              <w:spacing w:before="40" w:after="40" w:line="210" w:lineRule="exact"/>
              <w:ind w:right="40"/>
              <w:rPr>
                <w:sz w:val="17"/>
              </w:rPr>
            </w:pPr>
            <w:r w:rsidRPr="008E60B5">
              <w:rPr>
                <w:sz w:val="17"/>
              </w:rPr>
              <w:t>48,4</w:t>
            </w:r>
          </w:p>
        </w:tc>
      </w:tr>
      <w:tr w:rsidR="004F32D0" w:rsidRPr="008E60B5" w14:paraId="22043231" w14:textId="77777777" w:rsidTr="00455496">
        <w:trPr>
          <w:cantSplit/>
        </w:trPr>
        <w:tc>
          <w:tcPr>
            <w:tcW w:w="2790" w:type="dxa"/>
            <w:tcBorders>
              <w:bottom w:val="single" w:sz="12" w:space="0" w:color="auto"/>
            </w:tcBorders>
            <w:shd w:val="clear" w:color="auto" w:fill="auto"/>
            <w:vAlign w:val="bottom"/>
          </w:tcPr>
          <w:p w14:paraId="3A77D3D7" w14:textId="77777777" w:rsidR="004F32D0" w:rsidRPr="008E60B5" w:rsidRDefault="004F32D0" w:rsidP="00455496">
            <w:pPr>
              <w:tabs>
                <w:tab w:val="left" w:pos="288"/>
                <w:tab w:val="left" w:pos="576"/>
                <w:tab w:val="left" w:pos="864"/>
                <w:tab w:val="left" w:pos="1152"/>
              </w:tabs>
              <w:suppressAutoHyphens/>
              <w:spacing w:before="40" w:after="40" w:line="210" w:lineRule="exact"/>
              <w:ind w:right="40"/>
              <w:rPr>
                <w:sz w:val="17"/>
              </w:rPr>
            </w:pPr>
            <w:r w:rsidRPr="008E60B5">
              <w:rPr>
                <w:sz w:val="17"/>
              </w:rPr>
              <w:t>Taux de chômage</w:t>
            </w:r>
          </w:p>
        </w:tc>
        <w:tc>
          <w:tcPr>
            <w:tcW w:w="1728" w:type="dxa"/>
            <w:tcBorders>
              <w:bottom w:val="single" w:sz="12" w:space="0" w:color="auto"/>
            </w:tcBorders>
            <w:shd w:val="clear" w:color="auto" w:fill="auto"/>
            <w:vAlign w:val="bottom"/>
          </w:tcPr>
          <w:p w14:paraId="2206B6A0" w14:textId="77777777" w:rsidR="004F32D0" w:rsidRPr="008E60B5" w:rsidRDefault="004F32D0" w:rsidP="00455496">
            <w:pPr>
              <w:tabs>
                <w:tab w:val="left" w:pos="288"/>
                <w:tab w:val="left" w:pos="576"/>
                <w:tab w:val="left" w:pos="864"/>
                <w:tab w:val="left" w:pos="1152"/>
              </w:tabs>
              <w:suppressAutoHyphens/>
              <w:spacing w:before="40" w:after="40" w:line="210" w:lineRule="exact"/>
              <w:ind w:right="40"/>
              <w:rPr>
                <w:sz w:val="17"/>
              </w:rPr>
            </w:pPr>
            <w:r w:rsidRPr="008E60B5">
              <w:rPr>
                <w:sz w:val="17"/>
              </w:rPr>
              <w:t>21,0</w:t>
            </w:r>
          </w:p>
        </w:tc>
        <w:tc>
          <w:tcPr>
            <w:tcW w:w="1341" w:type="dxa"/>
            <w:tcBorders>
              <w:bottom w:val="single" w:sz="12" w:space="0" w:color="auto"/>
            </w:tcBorders>
            <w:shd w:val="clear" w:color="auto" w:fill="auto"/>
            <w:vAlign w:val="bottom"/>
          </w:tcPr>
          <w:p w14:paraId="7698D198" w14:textId="77777777" w:rsidR="004F32D0" w:rsidRPr="008E60B5" w:rsidRDefault="004F32D0" w:rsidP="00455496">
            <w:pPr>
              <w:tabs>
                <w:tab w:val="left" w:pos="288"/>
                <w:tab w:val="left" w:pos="576"/>
                <w:tab w:val="left" w:pos="864"/>
                <w:tab w:val="left" w:pos="1152"/>
              </w:tabs>
              <w:suppressAutoHyphens/>
              <w:spacing w:before="40" w:after="40" w:line="210" w:lineRule="exact"/>
              <w:ind w:right="40"/>
              <w:rPr>
                <w:sz w:val="17"/>
              </w:rPr>
            </w:pPr>
            <w:r w:rsidRPr="008E60B5">
              <w:rPr>
                <w:sz w:val="17"/>
              </w:rPr>
              <w:t>19,3</w:t>
            </w:r>
          </w:p>
        </w:tc>
        <w:tc>
          <w:tcPr>
            <w:tcW w:w="1385" w:type="dxa"/>
            <w:tcBorders>
              <w:bottom w:val="single" w:sz="12" w:space="0" w:color="auto"/>
            </w:tcBorders>
            <w:shd w:val="clear" w:color="auto" w:fill="auto"/>
            <w:vAlign w:val="bottom"/>
          </w:tcPr>
          <w:p w14:paraId="5FAD9A45" w14:textId="77777777" w:rsidR="004F32D0" w:rsidRPr="008E60B5" w:rsidRDefault="004F32D0" w:rsidP="00455496">
            <w:pPr>
              <w:tabs>
                <w:tab w:val="left" w:pos="288"/>
                <w:tab w:val="left" w:pos="576"/>
                <w:tab w:val="left" w:pos="864"/>
                <w:tab w:val="left" w:pos="1152"/>
              </w:tabs>
              <w:suppressAutoHyphens/>
              <w:spacing w:before="40" w:after="40" w:line="210" w:lineRule="exact"/>
              <w:ind w:right="40"/>
              <w:rPr>
                <w:sz w:val="17"/>
              </w:rPr>
            </w:pPr>
            <w:r w:rsidRPr="008E60B5">
              <w:rPr>
                <w:sz w:val="17"/>
              </w:rPr>
              <w:t>16,7</w:t>
            </w:r>
          </w:p>
        </w:tc>
      </w:tr>
    </w:tbl>
    <w:p w14:paraId="0C080243" w14:textId="77777777" w:rsidR="00455496" w:rsidRPr="008E60B5" w:rsidRDefault="00455496" w:rsidP="00455496">
      <w:pPr>
        <w:pStyle w:val="SingleTxt"/>
        <w:spacing w:after="0" w:line="120" w:lineRule="exact"/>
        <w:rPr>
          <w:sz w:val="10"/>
          <w:lang w:val="fr-FR"/>
        </w:rPr>
      </w:pPr>
    </w:p>
    <w:p w14:paraId="16065593" w14:textId="2D79B081" w:rsidR="004F32D0" w:rsidRPr="008E60B5" w:rsidRDefault="004F32D0" w:rsidP="00455496">
      <w:pPr>
        <w:pStyle w:val="FootnoteText"/>
        <w:tabs>
          <w:tab w:val="right" w:pos="1476"/>
          <w:tab w:val="left" w:pos="1548"/>
          <w:tab w:val="right" w:pos="1836"/>
          <w:tab w:val="left" w:pos="1908"/>
        </w:tabs>
        <w:ind w:left="1548" w:right="1267" w:hanging="288"/>
        <w:rPr>
          <w:lang w:val="fr-FR"/>
        </w:rPr>
      </w:pPr>
      <w:r w:rsidRPr="008E60B5">
        <w:rPr>
          <w:i/>
          <w:lang w:val="fr-FR"/>
        </w:rPr>
        <w:t>Source</w:t>
      </w:r>
      <w:r w:rsidR="00002E6B" w:rsidRPr="008E60B5">
        <w:rPr>
          <w:lang w:val="fr-FR"/>
        </w:rPr>
        <w:t> :</w:t>
      </w:r>
      <w:r w:rsidRPr="008E60B5">
        <w:rPr>
          <w:lang w:val="fr-FR"/>
        </w:rPr>
        <w:t xml:space="preserve"> </w:t>
      </w:r>
      <w:r w:rsidRPr="008E60B5">
        <w:rPr>
          <w:iCs/>
          <w:lang w:val="fr-FR"/>
        </w:rPr>
        <w:t>Enquête sur la population active</w:t>
      </w:r>
      <w:r w:rsidRPr="008E60B5">
        <w:rPr>
          <w:lang w:val="fr-FR"/>
        </w:rPr>
        <w:t>, Bureau de statistique de la République de Serbie</w:t>
      </w:r>
      <w:r w:rsidR="00455496" w:rsidRPr="008E60B5">
        <w:rPr>
          <w:lang w:val="fr-FR"/>
        </w:rPr>
        <w:t>.</w:t>
      </w:r>
    </w:p>
    <w:p w14:paraId="2A4B7FFC" w14:textId="3075030E" w:rsidR="00455496" w:rsidRPr="008E60B5" w:rsidRDefault="00455496" w:rsidP="00455496">
      <w:pPr>
        <w:pStyle w:val="FootnoteText"/>
        <w:tabs>
          <w:tab w:val="right" w:pos="1476"/>
          <w:tab w:val="left" w:pos="1548"/>
          <w:tab w:val="right" w:pos="1836"/>
          <w:tab w:val="left" w:pos="1908"/>
        </w:tabs>
        <w:spacing w:line="120" w:lineRule="exact"/>
        <w:ind w:left="1548" w:right="1267" w:hanging="288"/>
        <w:rPr>
          <w:sz w:val="10"/>
          <w:lang w:val="fr-FR"/>
        </w:rPr>
      </w:pPr>
    </w:p>
    <w:p w14:paraId="140300C9" w14:textId="5241EA8C" w:rsidR="00455496" w:rsidRPr="008E60B5" w:rsidRDefault="00455496" w:rsidP="00455496">
      <w:pPr>
        <w:pStyle w:val="FootnoteText"/>
        <w:tabs>
          <w:tab w:val="right" w:pos="1476"/>
          <w:tab w:val="left" w:pos="1548"/>
          <w:tab w:val="right" w:pos="1836"/>
          <w:tab w:val="left" w:pos="1908"/>
        </w:tabs>
        <w:spacing w:line="120" w:lineRule="exact"/>
        <w:ind w:left="1548" w:right="1267" w:hanging="288"/>
        <w:rPr>
          <w:sz w:val="10"/>
          <w:lang w:val="fr-FR"/>
        </w:rPr>
      </w:pPr>
    </w:p>
    <w:p w14:paraId="0C0D9EBB" w14:textId="2485F6A2" w:rsidR="004F32D0" w:rsidRPr="008E60B5" w:rsidRDefault="004F32D0" w:rsidP="00455496">
      <w:pPr>
        <w:pStyle w:val="SingleTxt"/>
        <w:numPr>
          <w:ilvl w:val="0"/>
          <w:numId w:val="34"/>
        </w:numPr>
        <w:spacing w:line="240" w:lineRule="exact"/>
        <w:rPr>
          <w:lang w:val="fr-FR"/>
        </w:rPr>
      </w:pPr>
      <w:r w:rsidRPr="008E60B5">
        <w:rPr>
          <w:lang w:val="fr-FR"/>
        </w:rPr>
        <w:t xml:space="preserve">Selon les chiffres du </w:t>
      </w:r>
      <w:r w:rsidRPr="008E60B5">
        <w:rPr>
          <w:bCs/>
          <w:lang w:val="fr-FR"/>
        </w:rPr>
        <w:t>Service national de l</w:t>
      </w:r>
      <w:r w:rsidR="008E60B5" w:rsidRPr="008E60B5">
        <w:rPr>
          <w:bCs/>
          <w:lang w:val="fr-FR"/>
        </w:rPr>
        <w:t>’</w:t>
      </w:r>
      <w:r w:rsidRPr="008E60B5">
        <w:rPr>
          <w:bCs/>
          <w:lang w:val="fr-FR"/>
        </w:rPr>
        <w:t>emploi relatifs à décembre 2013</w:t>
      </w:r>
      <w:r w:rsidRPr="008E60B5">
        <w:rPr>
          <w:lang w:val="fr-FR"/>
        </w:rPr>
        <w:t>, les femmes représentaient 51,13</w:t>
      </w:r>
      <w:r w:rsidR="00002E6B" w:rsidRPr="008E60B5">
        <w:rPr>
          <w:lang w:val="fr-FR"/>
        </w:rPr>
        <w:t> %</w:t>
      </w:r>
      <w:r w:rsidRPr="008E60B5">
        <w:rPr>
          <w:lang w:val="fr-FR"/>
        </w:rPr>
        <w:t xml:space="preserve"> du nombre total de chômeurs inscrits</w:t>
      </w:r>
      <w:r w:rsidR="00002E6B" w:rsidRPr="008E60B5">
        <w:rPr>
          <w:lang w:val="fr-FR"/>
        </w:rPr>
        <w:t> ;</w:t>
      </w:r>
      <w:r w:rsidRPr="008E60B5">
        <w:rPr>
          <w:lang w:val="fr-FR"/>
        </w:rPr>
        <w:t xml:space="preserve"> en 2014, ce pourcentage était de 51,09</w:t>
      </w:r>
      <w:r w:rsidR="00002E6B" w:rsidRPr="008E60B5">
        <w:rPr>
          <w:lang w:val="fr-FR"/>
        </w:rPr>
        <w:t> % ;</w:t>
      </w:r>
      <w:r w:rsidRPr="008E60B5">
        <w:rPr>
          <w:lang w:val="fr-FR"/>
        </w:rPr>
        <w:t xml:space="preserve"> en 2015, de 51,37</w:t>
      </w:r>
      <w:r w:rsidR="00002E6B" w:rsidRPr="008E60B5">
        <w:rPr>
          <w:lang w:val="fr-FR"/>
        </w:rPr>
        <w:t> % ;</w:t>
      </w:r>
      <w:r w:rsidRPr="008E60B5">
        <w:rPr>
          <w:lang w:val="fr-FR"/>
        </w:rPr>
        <w:t xml:space="preserve"> en 2016, de 51,48</w:t>
      </w:r>
      <w:r w:rsidR="00002E6B" w:rsidRPr="008E60B5">
        <w:rPr>
          <w:lang w:val="fr-FR"/>
        </w:rPr>
        <w:t> %</w:t>
      </w:r>
      <w:r w:rsidRPr="008E60B5">
        <w:rPr>
          <w:lang w:val="fr-FR"/>
        </w:rPr>
        <w:t>. Entre le 1er juillet et le 31 décembre 2013, les femmes représentaient 54,87</w:t>
      </w:r>
      <w:r w:rsidR="00002E6B" w:rsidRPr="008E60B5">
        <w:rPr>
          <w:lang w:val="fr-FR"/>
        </w:rPr>
        <w:t> %</w:t>
      </w:r>
      <w:r w:rsidRPr="008E60B5">
        <w:rPr>
          <w:lang w:val="fr-FR"/>
        </w:rPr>
        <w:t xml:space="preserve"> des bénéficiaires des </w:t>
      </w:r>
      <w:r w:rsidRPr="008E60B5">
        <w:rPr>
          <w:iCs/>
          <w:lang w:val="fr-FR"/>
        </w:rPr>
        <w:t>mesures en faveur de l</w:t>
      </w:r>
      <w:r w:rsidR="008E60B5" w:rsidRPr="008E60B5">
        <w:rPr>
          <w:iCs/>
          <w:lang w:val="fr-FR"/>
        </w:rPr>
        <w:t>’</w:t>
      </w:r>
      <w:r w:rsidRPr="008E60B5">
        <w:rPr>
          <w:iCs/>
          <w:lang w:val="fr-FR"/>
        </w:rPr>
        <w:t>emploi</w:t>
      </w:r>
      <w:r w:rsidR="00002E6B" w:rsidRPr="008E60B5">
        <w:rPr>
          <w:lang w:val="fr-FR"/>
        </w:rPr>
        <w:t> ;</w:t>
      </w:r>
      <w:r w:rsidRPr="008E60B5">
        <w:rPr>
          <w:lang w:val="fr-FR"/>
        </w:rPr>
        <w:t xml:space="preserve"> en 2014, ce pourcentage était de 53,76</w:t>
      </w:r>
      <w:r w:rsidR="00002E6B" w:rsidRPr="008E60B5">
        <w:rPr>
          <w:lang w:val="fr-FR"/>
        </w:rPr>
        <w:t> % ;</w:t>
      </w:r>
      <w:r w:rsidRPr="008E60B5">
        <w:rPr>
          <w:lang w:val="fr-FR"/>
        </w:rPr>
        <w:t xml:space="preserve"> en 2015, de 52,75</w:t>
      </w:r>
      <w:r w:rsidR="00002E6B" w:rsidRPr="008E60B5">
        <w:rPr>
          <w:lang w:val="fr-FR"/>
        </w:rPr>
        <w:t> % ;</w:t>
      </w:r>
      <w:r w:rsidRPr="008E60B5">
        <w:rPr>
          <w:lang w:val="fr-FR"/>
        </w:rPr>
        <w:t xml:space="preserve"> en 2016, de 52,95</w:t>
      </w:r>
      <w:r w:rsidR="00002E6B" w:rsidRPr="008E60B5">
        <w:rPr>
          <w:lang w:val="fr-FR"/>
        </w:rPr>
        <w:t> %</w:t>
      </w:r>
      <w:r w:rsidRPr="008E60B5">
        <w:rPr>
          <w:lang w:val="fr-FR"/>
        </w:rPr>
        <w:t>.</w:t>
      </w:r>
    </w:p>
    <w:p w14:paraId="018F1380" w14:textId="7347212A" w:rsidR="004F32D0" w:rsidRPr="008E60B5" w:rsidRDefault="004F32D0" w:rsidP="00455496">
      <w:pPr>
        <w:pStyle w:val="SingleTxt"/>
        <w:numPr>
          <w:ilvl w:val="0"/>
          <w:numId w:val="34"/>
        </w:numPr>
        <w:spacing w:line="240" w:lineRule="exact"/>
        <w:rPr>
          <w:lang w:val="fr-FR"/>
        </w:rPr>
      </w:pPr>
      <w:r w:rsidRPr="008E60B5">
        <w:rPr>
          <w:lang w:val="fr-FR"/>
        </w:rPr>
        <w:t>En 2014, les femmes représentaient 56,22</w:t>
      </w:r>
      <w:r w:rsidR="00002E6B" w:rsidRPr="008E60B5">
        <w:rPr>
          <w:lang w:val="fr-FR"/>
        </w:rPr>
        <w:t> %</w:t>
      </w:r>
      <w:r w:rsidRPr="008E60B5">
        <w:rPr>
          <w:lang w:val="fr-FR"/>
        </w:rPr>
        <w:t xml:space="preserve"> des personnes ayant des difficultés à trouver un emploi</w:t>
      </w:r>
      <w:r w:rsidR="00002E6B" w:rsidRPr="008E60B5">
        <w:rPr>
          <w:lang w:val="fr-FR"/>
        </w:rPr>
        <w:t> ;</w:t>
      </w:r>
      <w:r w:rsidRPr="008E60B5">
        <w:rPr>
          <w:lang w:val="fr-FR"/>
        </w:rPr>
        <w:t xml:space="preserve"> en 2015, ce pourcentage était de 54,9</w:t>
      </w:r>
      <w:r w:rsidR="00002E6B" w:rsidRPr="008E60B5">
        <w:rPr>
          <w:lang w:val="fr-FR"/>
        </w:rPr>
        <w:t> % ;</w:t>
      </w:r>
      <w:r w:rsidRPr="008E60B5">
        <w:rPr>
          <w:lang w:val="fr-FR"/>
        </w:rPr>
        <w:t xml:space="preserve"> en 2016, de 55,02</w:t>
      </w:r>
      <w:r w:rsidR="00002E6B" w:rsidRPr="008E60B5">
        <w:rPr>
          <w:lang w:val="fr-FR"/>
        </w:rPr>
        <w:t> %</w:t>
      </w:r>
      <w:r w:rsidRPr="008E60B5">
        <w:rPr>
          <w:lang w:val="fr-FR"/>
        </w:rPr>
        <w:t xml:space="preserve">. </w:t>
      </w:r>
    </w:p>
    <w:p w14:paraId="68EBC561" w14:textId="0E69CDFB" w:rsidR="004F32D0" w:rsidRPr="008E60B5" w:rsidRDefault="004F32D0" w:rsidP="00455496">
      <w:pPr>
        <w:pStyle w:val="SingleTxt"/>
        <w:numPr>
          <w:ilvl w:val="0"/>
          <w:numId w:val="34"/>
        </w:numPr>
        <w:spacing w:line="240" w:lineRule="exact"/>
        <w:rPr>
          <w:lang w:val="fr-FR"/>
        </w:rPr>
      </w:pPr>
      <w:r w:rsidRPr="008E60B5">
        <w:rPr>
          <w:lang w:val="fr-FR"/>
        </w:rPr>
        <w:lastRenderedPageBreak/>
        <w:t>La promotion de l</w:t>
      </w:r>
      <w:r w:rsidR="008E60B5" w:rsidRPr="008E60B5">
        <w:rPr>
          <w:lang w:val="fr-FR"/>
        </w:rPr>
        <w:t>’</w:t>
      </w:r>
      <w:r w:rsidRPr="008E60B5">
        <w:rPr>
          <w:lang w:val="fr-FR"/>
        </w:rPr>
        <w:t>entreprenariat féminin est une activité prioritaire du Service national de l</w:t>
      </w:r>
      <w:r w:rsidR="008E60B5" w:rsidRPr="008E60B5">
        <w:rPr>
          <w:lang w:val="fr-FR"/>
        </w:rPr>
        <w:t>’</w:t>
      </w:r>
      <w:r w:rsidRPr="008E60B5">
        <w:rPr>
          <w:lang w:val="fr-FR"/>
        </w:rPr>
        <w:t xml:space="preserve">emploi. </w:t>
      </w:r>
    </w:p>
    <w:p w14:paraId="746CFD8B" w14:textId="1447B83B" w:rsidR="00455496" w:rsidRPr="008E60B5" w:rsidRDefault="00455496" w:rsidP="00455496">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3600"/>
        <w:gridCol w:w="990"/>
        <w:gridCol w:w="870"/>
        <w:gridCol w:w="930"/>
        <w:gridCol w:w="930"/>
      </w:tblGrid>
      <w:tr w:rsidR="004F32D0" w:rsidRPr="008E60B5" w14:paraId="7089E297" w14:textId="77777777" w:rsidTr="00455496">
        <w:trPr>
          <w:cantSplit/>
          <w:tblHeader/>
        </w:trPr>
        <w:tc>
          <w:tcPr>
            <w:tcW w:w="3600" w:type="dxa"/>
            <w:tcBorders>
              <w:top w:val="single" w:sz="4" w:space="0" w:color="auto"/>
              <w:bottom w:val="single" w:sz="12" w:space="0" w:color="auto"/>
            </w:tcBorders>
            <w:shd w:val="clear" w:color="auto" w:fill="auto"/>
            <w:vAlign w:val="bottom"/>
          </w:tcPr>
          <w:p w14:paraId="37FFF6B4" w14:textId="77777777" w:rsidR="004F32D0" w:rsidRPr="008E60B5" w:rsidRDefault="004F32D0" w:rsidP="00455496">
            <w:pPr>
              <w:suppressAutoHyphens/>
              <w:spacing w:before="81" w:after="81" w:line="160" w:lineRule="exact"/>
              <w:ind w:right="40"/>
              <w:rPr>
                <w:i/>
                <w:sz w:val="14"/>
              </w:rPr>
            </w:pPr>
          </w:p>
        </w:tc>
        <w:tc>
          <w:tcPr>
            <w:tcW w:w="990" w:type="dxa"/>
            <w:tcBorders>
              <w:top w:val="single" w:sz="4" w:space="0" w:color="auto"/>
              <w:bottom w:val="single" w:sz="12" w:space="0" w:color="auto"/>
            </w:tcBorders>
            <w:shd w:val="clear" w:color="auto" w:fill="auto"/>
            <w:vAlign w:val="bottom"/>
          </w:tcPr>
          <w:p w14:paraId="71A81BDF" w14:textId="34ACF42C" w:rsidR="004F32D0" w:rsidRPr="008E60B5" w:rsidRDefault="004F32D0" w:rsidP="00455496">
            <w:pPr>
              <w:suppressAutoHyphens/>
              <w:spacing w:before="81" w:after="81" w:line="160" w:lineRule="exact"/>
              <w:ind w:left="144" w:right="43"/>
              <w:jc w:val="right"/>
              <w:rPr>
                <w:i/>
                <w:sz w:val="14"/>
              </w:rPr>
            </w:pPr>
            <w:r w:rsidRPr="008E60B5">
              <w:rPr>
                <w:i/>
                <w:sz w:val="14"/>
              </w:rPr>
              <w:t>Juillet- décembre 2013</w:t>
            </w:r>
          </w:p>
        </w:tc>
        <w:tc>
          <w:tcPr>
            <w:tcW w:w="870" w:type="dxa"/>
            <w:tcBorders>
              <w:top w:val="single" w:sz="4" w:space="0" w:color="auto"/>
              <w:bottom w:val="single" w:sz="12" w:space="0" w:color="auto"/>
            </w:tcBorders>
            <w:shd w:val="clear" w:color="auto" w:fill="auto"/>
            <w:vAlign w:val="bottom"/>
          </w:tcPr>
          <w:p w14:paraId="59423AF6" w14:textId="77777777" w:rsidR="004F32D0" w:rsidRPr="008E60B5" w:rsidRDefault="004F32D0" w:rsidP="00455496">
            <w:pPr>
              <w:suppressAutoHyphens/>
              <w:spacing w:before="81" w:after="81" w:line="160" w:lineRule="exact"/>
              <w:ind w:left="144" w:right="43"/>
              <w:jc w:val="right"/>
              <w:rPr>
                <w:i/>
                <w:sz w:val="14"/>
              </w:rPr>
            </w:pPr>
            <w:r w:rsidRPr="008E60B5">
              <w:rPr>
                <w:i/>
                <w:sz w:val="14"/>
              </w:rPr>
              <w:t>2014</w:t>
            </w:r>
          </w:p>
        </w:tc>
        <w:tc>
          <w:tcPr>
            <w:tcW w:w="930" w:type="dxa"/>
            <w:tcBorders>
              <w:top w:val="single" w:sz="4" w:space="0" w:color="auto"/>
              <w:bottom w:val="single" w:sz="12" w:space="0" w:color="auto"/>
            </w:tcBorders>
            <w:shd w:val="clear" w:color="auto" w:fill="auto"/>
            <w:vAlign w:val="bottom"/>
          </w:tcPr>
          <w:p w14:paraId="5CDCE06F" w14:textId="77777777" w:rsidR="004F32D0" w:rsidRPr="008E60B5" w:rsidRDefault="004F32D0" w:rsidP="00455496">
            <w:pPr>
              <w:suppressAutoHyphens/>
              <w:spacing w:before="81" w:after="81" w:line="160" w:lineRule="exact"/>
              <w:ind w:left="144" w:right="43"/>
              <w:jc w:val="right"/>
              <w:rPr>
                <w:i/>
                <w:sz w:val="14"/>
              </w:rPr>
            </w:pPr>
            <w:r w:rsidRPr="008E60B5">
              <w:rPr>
                <w:i/>
                <w:sz w:val="14"/>
              </w:rPr>
              <w:t>2015</w:t>
            </w:r>
          </w:p>
        </w:tc>
        <w:tc>
          <w:tcPr>
            <w:tcW w:w="930" w:type="dxa"/>
            <w:tcBorders>
              <w:top w:val="single" w:sz="4" w:space="0" w:color="auto"/>
              <w:bottom w:val="single" w:sz="12" w:space="0" w:color="auto"/>
            </w:tcBorders>
            <w:shd w:val="clear" w:color="auto" w:fill="auto"/>
            <w:vAlign w:val="bottom"/>
          </w:tcPr>
          <w:p w14:paraId="209ADFD6" w14:textId="77777777" w:rsidR="004F32D0" w:rsidRPr="008E60B5" w:rsidRDefault="004F32D0" w:rsidP="00455496">
            <w:pPr>
              <w:suppressAutoHyphens/>
              <w:spacing w:before="81" w:after="81" w:line="160" w:lineRule="exact"/>
              <w:ind w:left="144" w:right="43"/>
              <w:jc w:val="right"/>
              <w:rPr>
                <w:i/>
                <w:sz w:val="14"/>
              </w:rPr>
            </w:pPr>
            <w:r w:rsidRPr="008E60B5">
              <w:rPr>
                <w:i/>
                <w:sz w:val="14"/>
              </w:rPr>
              <w:t>2016</w:t>
            </w:r>
          </w:p>
        </w:tc>
      </w:tr>
      <w:tr w:rsidR="00455496" w:rsidRPr="008E60B5" w14:paraId="696DCF0C" w14:textId="77777777" w:rsidTr="00455496">
        <w:trPr>
          <w:cantSplit/>
          <w:trHeight w:hRule="exact" w:val="115"/>
          <w:tblHeader/>
        </w:trPr>
        <w:tc>
          <w:tcPr>
            <w:tcW w:w="3600" w:type="dxa"/>
            <w:tcBorders>
              <w:top w:val="single" w:sz="12" w:space="0" w:color="auto"/>
            </w:tcBorders>
            <w:shd w:val="clear" w:color="auto" w:fill="auto"/>
            <w:vAlign w:val="bottom"/>
          </w:tcPr>
          <w:p w14:paraId="4464B912" w14:textId="77777777" w:rsidR="00455496" w:rsidRPr="008E60B5" w:rsidRDefault="00455496" w:rsidP="00455496">
            <w:pPr>
              <w:suppressAutoHyphens/>
              <w:spacing w:before="40" w:after="40" w:line="210" w:lineRule="exact"/>
              <w:ind w:right="40"/>
              <w:rPr>
                <w:sz w:val="17"/>
              </w:rPr>
            </w:pPr>
          </w:p>
        </w:tc>
        <w:tc>
          <w:tcPr>
            <w:tcW w:w="990" w:type="dxa"/>
            <w:tcBorders>
              <w:top w:val="single" w:sz="12" w:space="0" w:color="auto"/>
            </w:tcBorders>
            <w:shd w:val="clear" w:color="auto" w:fill="auto"/>
            <w:vAlign w:val="bottom"/>
          </w:tcPr>
          <w:p w14:paraId="671CC1F5" w14:textId="77777777" w:rsidR="00455496" w:rsidRPr="008E60B5" w:rsidRDefault="00455496" w:rsidP="00455496">
            <w:pPr>
              <w:suppressAutoHyphens/>
              <w:spacing w:before="40" w:after="40" w:line="210" w:lineRule="exact"/>
              <w:ind w:left="144" w:right="43"/>
              <w:jc w:val="right"/>
              <w:rPr>
                <w:sz w:val="17"/>
              </w:rPr>
            </w:pPr>
          </w:p>
        </w:tc>
        <w:tc>
          <w:tcPr>
            <w:tcW w:w="870" w:type="dxa"/>
            <w:tcBorders>
              <w:top w:val="single" w:sz="12" w:space="0" w:color="auto"/>
            </w:tcBorders>
            <w:shd w:val="clear" w:color="auto" w:fill="auto"/>
            <w:vAlign w:val="bottom"/>
          </w:tcPr>
          <w:p w14:paraId="5549BEED" w14:textId="77777777" w:rsidR="00455496" w:rsidRPr="008E60B5" w:rsidRDefault="00455496" w:rsidP="00455496">
            <w:pPr>
              <w:suppressAutoHyphens/>
              <w:spacing w:before="40" w:after="40" w:line="210" w:lineRule="exact"/>
              <w:ind w:left="144" w:right="43"/>
              <w:jc w:val="right"/>
              <w:rPr>
                <w:sz w:val="17"/>
              </w:rPr>
            </w:pPr>
          </w:p>
        </w:tc>
        <w:tc>
          <w:tcPr>
            <w:tcW w:w="930" w:type="dxa"/>
            <w:tcBorders>
              <w:top w:val="single" w:sz="12" w:space="0" w:color="auto"/>
            </w:tcBorders>
            <w:shd w:val="clear" w:color="auto" w:fill="auto"/>
            <w:vAlign w:val="bottom"/>
          </w:tcPr>
          <w:p w14:paraId="092E6BA8" w14:textId="77777777" w:rsidR="00455496" w:rsidRPr="008E60B5" w:rsidRDefault="00455496" w:rsidP="00455496">
            <w:pPr>
              <w:suppressAutoHyphens/>
              <w:spacing w:before="40" w:after="40" w:line="210" w:lineRule="exact"/>
              <w:ind w:left="144" w:right="43"/>
              <w:jc w:val="right"/>
              <w:rPr>
                <w:sz w:val="17"/>
              </w:rPr>
            </w:pPr>
          </w:p>
        </w:tc>
        <w:tc>
          <w:tcPr>
            <w:tcW w:w="930" w:type="dxa"/>
            <w:tcBorders>
              <w:top w:val="single" w:sz="12" w:space="0" w:color="auto"/>
            </w:tcBorders>
            <w:shd w:val="clear" w:color="auto" w:fill="auto"/>
            <w:vAlign w:val="bottom"/>
          </w:tcPr>
          <w:p w14:paraId="54E4D28A" w14:textId="77777777" w:rsidR="00455496" w:rsidRPr="008E60B5" w:rsidRDefault="00455496" w:rsidP="00455496">
            <w:pPr>
              <w:suppressAutoHyphens/>
              <w:spacing w:before="40" w:after="40" w:line="210" w:lineRule="exact"/>
              <w:ind w:left="144" w:right="43"/>
              <w:jc w:val="right"/>
              <w:rPr>
                <w:sz w:val="17"/>
              </w:rPr>
            </w:pPr>
          </w:p>
        </w:tc>
      </w:tr>
      <w:tr w:rsidR="00455496" w:rsidRPr="008E60B5" w14:paraId="0E234B07" w14:textId="77777777" w:rsidTr="00455496">
        <w:trPr>
          <w:cantSplit/>
        </w:trPr>
        <w:tc>
          <w:tcPr>
            <w:tcW w:w="3600" w:type="dxa"/>
            <w:shd w:val="clear" w:color="auto" w:fill="auto"/>
            <w:vAlign w:val="bottom"/>
          </w:tcPr>
          <w:p w14:paraId="74C6B07D" w14:textId="57364D5B" w:rsidR="004F32D0" w:rsidRPr="008E60B5" w:rsidRDefault="004F32D0" w:rsidP="00455496">
            <w:pPr>
              <w:tabs>
                <w:tab w:val="left" w:pos="288"/>
                <w:tab w:val="left" w:pos="576"/>
                <w:tab w:val="left" w:pos="864"/>
                <w:tab w:val="left" w:pos="1152"/>
              </w:tabs>
              <w:suppressAutoHyphens/>
              <w:spacing w:before="40" w:after="40" w:line="210" w:lineRule="exact"/>
              <w:ind w:right="40"/>
              <w:rPr>
                <w:sz w:val="17"/>
              </w:rPr>
            </w:pPr>
            <w:r w:rsidRPr="008E60B5">
              <w:rPr>
                <w:sz w:val="17"/>
              </w:rPr>
              <w:t>Nombre de femmes ayant participé à une formation pour la promotion de l</w:t>
            </w:r>
            <w:r w:rsidR="008E60B5" w:rsidRPr="008E60B5">
              <w:rPr>
                <w:sz w:val="17"/>
              </w:rPr>
              <w:t>’</w:t>
            </w:r>
            <w:r w:rsidRPr="008E60B5">
              <w:rPr>
                <w:sz w:val="17"/>
              </w:rPr>
              <w:t>entreprenariat</w:t>
            </w:r>
          </w:p>
        </w:tc>
        <w:tc>
          <w:tcPr>
            <w:tcW w:w="990" w:type="dxa"/>
            <w:shd w:val="clear" w:color="auto" w:fill="auto"/>
            <w:vAlign w:val="bottom"/>
          </w:tcPr>
          <w:p w14:paraId="056DB283" w14:textId="77777777" w:rsidR="004F32D0" w:rsidRPr="008E60B5" w:rsidRDefault="004F32D0" w:rsidP="00455496">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995</w:t>
            </w:r>
          </w:p>
        </w:tc>
        <w:tc>
          <w:tcPr>
            <w:tcW w:w="870" w:type="dxa"/>
            <w:shd w:val="clear" w:color="auto" w:fill="auto"/>
            <w:vAlign w:val="bottom"/>
          </w:tcPr>
          <w:p w14:paraId="5C65EBE2" w14:textId="77777777" w:rsidR="004F32D0" w:rsidRPr="008E60B5" w:rsidRDefault="004F32D0" w:rsidP="00455496">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5 053</w:t>
            </w:r>
          </w:p>
        </w:tc>
        <w:tc>
          <w:tcPr>
            <w:tcW w:w="930" w:type="dxa"/>
            <w:shd w:val="clear" w:color="auto" w:fill="auto"/>
            <w:vAlign w:val="bottom"/>
          </w:tcPr>
          <w:p w14:paraId="4D1721F4" w14:textId="77777777" w:rsidR="004F32D0" w:rsidRPr="008E60B5" w:rsidRDefault="004F32D0" w:rsidP="00455496">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5 515</w:t>
            </w:r>
          </w:p>
        </w:tc>
        <w:tc>
          <w:tcPr>
            <w:tcW w:w="930" w:type="dxa"/>
            <w:shd w:val="clear" w:color="auto" w:fill="auto"/>
            <w:vAlign w:val="bottom"/>
          </w:tcPr>
          <w:p w14:paraId="0B7E7A37" w14:textId="77777777" w:rsidR="004F32D0" w:rsidRPr="008E60B5" w:rsidRDefault="004F32D0" w:rsidP="00455496">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5 802</w:t>
            </w:r>
          </w:p>
        </w:tc>
      </w:tr>
      <w:tr w:rsidR="004F32D0" w:rsidRPr="008E60B5" w14:paraId="11A51EAE" w14:textId="77777777" w:rsidTr="00455496">
        <w:trPr>
          <w:cantSplit/>
        </w:trPr>
        <w:tc>
          <w:tcPr>
            <w:tcW w:w="3600" w:type="dxa"/>
            <w:tcBorders>
              <w:bottom w:val="single" w:sz="12" w:space="0" w:color="auto"/>
            </w:tcBorders>
            <w:shd w:val="clear" w:color="auto" w:fill="auto"/>
            <w:vAlign w:val="bottom"/>
          </w:tcPr>
          <w:p w14:paraId="7B02041C" w14:textId="6680C0EA" w:rsidR="004F32D0" w:rsidRPr="008E60B5" w:rsidRDefault="004F32D0" w:rsidP="00455496">
            <w:pPr>
              <w:tabs>
                <w:tab w:val="left" w:pos="288"/>
                <w:tab w:val="left" w:pos="576"/>
                <w:tab w:val="left" w:pos="864"/>
                <w:tab w:val="left" w:pos="1152"/>
              </w:tabs>
              <w:suppressAutoHyphens/>
              <w:spacing w:before="40" w:after="40" w:line="210" w:lineRule="exact"/>
              <w:ind w:right="40"/>
              <w:rPr>
                <w:sz w:val="17"/>
              </w:rPr>
            </w:pPr>
            <w:r w:rsidRPr="008E60B5">
              <w:rPr>
                <w:sz w:val="17"/>
              </w:rPr>
              <w:t>Nombre de femmes ayant créé leur propre entreprise avec des subventions à l</w:t>
            </w:r>
            <w:r w:rsidR="008E60B5" w:rsidRPr="008E60B5">
              <w:rPr>
                <w:sz w:val="17"/>
              </w:rPr>
              <w:t>’</w:t>
            </w:r>
            <w:r w:rsidRPr="008E60B5">
              <w:rPr>
                <w:sz w:val="17"/>
              </w:rPr>
              <w:t>emploi indépendant</w:t>
            </w:r>
          </w:p>
        </w:tc>
        <w:tc>
          <w:tcPr>
            <w:tcW w:w="990" w:type="dxa"/>
            <w:tcBorders>
              <w:bottom w:val="single" w:sz="12" w:space="0" w:color="auto"/>
            </w:tcBorders>
            <w:shd w:val="clear" w:color="auto" w:fill="auto"/>
            <w:vAlign w:val="bottom"/>
          </w:tcPr>
          <w:p w14:paraId="1764ABB2" w14:textId="77777777" w:rsidR="004F32D0" w:rsidRPr="008E60B5" w:rsidRDefault="004F32D0" w:rsidP="00455496">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221</w:t>
            </w:r>
          </w:p>
        </w:tc>
        <w:tc>
          <w:tcPr>
            <w:tcW w:w="870" w:type="dxa"/>
            <w:tcBorders>
              <w:bottom w:val="single" w:sz="12" w:space="0" w:color="auto"/>
            </w:tcBorders>
            <w:shd w:val="clear" w:color="auto" w:fill="auto"/>
            <w:vAlign w:val="bottom"/>
          </w:tcPr>
          <w:p w14:paraId="0C1B9985" w14:textId="77777777" w:rsidR="004F32D0" w:rsidRPr="008E60B5" w:rsidRDefault="004F32D0" w:rsidP="00455496">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363</w:t>
            </w:r>
          </w:p>
        </w:tc>
        <w:tc>
          <w:tcPr>
            <w:tcW w:w="930" w:type="dxa"/>
            <w:tcBorders>
              <w:bottom w:val="single" w:sz="12" w:space="0" w:color="auto"/>
            </w:tcBorders>
            <w:shd w:val="clear" w:color="auto" w:fill="auto"/>
            <w:vAlign w:val="bottom"/>
          </w:tcPr>
          <w:p w14:paraId="19DD2C3B" w14:textId="77777777" w:rsidR="004F32D0" w:rsidRPr="008E60B5" w:rsidRDefault="004F32D0" w:rsidP="00455496">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1 688</w:t>
            </w:r>
          </w:p>
        </w:tc>
        <w:tc>
          <w:tcPr>
            <w:tcW w:w="930" w:type="dxa"/>
            <w:tcBorders>
              <w:bottom w:val="single" w:sz="12" w:space="0" w:color="auto"/>
            </w:tcBorders>
            <w:shd w:val="clear" w:color="auto" w:fill="auto"/>
            <w:vAlign w:val="bottom"/>
          </w:tcPr>
          <w:p w14:paraId="54F68DA7" w14:textId="77777777" w:rsidR="004F32D0" w:rsidRPr="008E60B5" w:rsidRDefault="004F32D0" w:rsidP="00455496">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1 563</w:t>
            </w:r>
          </w:p>
        </w:tc>
      </w:tr>
    </w:tbl>
    <w:p w14:paraId="6A201CA4" w14:textId="745A939C" w:rsidR="00455496" w:rsidRPr="008E60B5" w:rsidRDefault="00455496" w:rsidP="00455496">
      <w:pPr>
        <w:pStyle w:val="SingleTxt"/>
        <w:spacing w:after="0" w:line="120" w:lineRule="exact"/>
        <w:rPr>
          <w:sz w:val="10"/>
          <w:lang w:val="fr-FR"/>
        </w:rPr>
      </w:pPr>
    </w:p>
    <w:p w14:paraId="51DDC5B3" w14:textId="77777777" w:rsidR="00455496" w:rsidRPr="008E60B5" w:rsidRDefault="00455496" w:rsidP="00455496">
      <w:pPr>
        <w:pStyle w:val="SingleTxt"/>
        <w:spacing w:after="0" w:line="120" w:lineRule="exact"/>
        <w:rPr>
          <w:sz w:val="10"/>
          <w:lang w:val="fr-FR"/>
        </w:rPr>
      </w:pPr>
    </w:p>
    <w:p w14:paraId="0696B8FB" w14:textId="142E75BD" w:rsidR="004F32D0" w:rsidRPr="008E60B5" w:rsidRDefault="004F32D0" w:rsidP="00455496">
      <w:pPr>
        <w:pStyle w:val="SingleTxt"/>
        <w:numPr>
          <w:ilvl w:val="0"/>
          <w:numId w:val="34"/>
        </w:numPr>
        <w:spacing w:line="240" w:lineRule="exact"/>
        <w:rPr>
          <w:lang w:val="fr-FR"/>
        </w:rPr>
      </w:pPr>
      <w:r w:rsidRPr="008E60B5">
        <w:rPr>
          <w:lang w:val="fr-FR"/>
        </w:rPr>
        <w:t>En 2013, les femmes représentaient 53,28</w:t>
      </w:r>
      <w:r w:rsidR="00002E6B" w:rsidRPr="008E60B5">
        <w:rPr>
          <w:lang w:val="fr-FR"/>
        </w:rPr>
        <w:t> %</w:t>
      </w:r>
      <w:r w:rsidRPr="008E60B5">
        <w:rPr>
          <w:lang w:val="fr-FR"/>
        </w:rPr>
        <w:t xml:space="preserve"> des personnes ayant un emploi enregistrées auprès du Service national de l</w:t>
      </w:r>
      <w:r w:rsidR="008E60B5" w:rsidRPr="008E60B5">
        <w:rPr>
          <w:lang w:val="fr-FR"/>
        </w:rPr>
        <w:t>’</w:t>
      </w:r>
      <w:r w:rsidRPr="008E60B5">
        <w:rPr>
          <w:lang w:val="fr-FR"/>
        </w:rPr>
        <w:t>emploi</w:t>
      </w:r>
      <w:r w:rsidR="00002E6B" w:rsidRPr="008E60B5">
        <w:rPr>
          <w:lang w:val="fr-FR"/>
        </w:rPr>
        <w:t> ;</w:t>
      </w:r>
      <w:r w:rsidRPr="008E60B5">
        <w:rPr>
          <w:lang w:val="fr-FR"/>
        </w:rPr>
        <w:t xml:space="preserve"> en 2014, ce pourcentage était de 52,73</w:t>
      </w:r>
      <w:r w:rsidR="00002E6B" w:rsidRPr="008E60B5">
        <w:rPr>
          <w:lang w:val="fr-FR"/>
        </w:rPr>
        <w:t> % ;</w:t>
      </w:r>
      <w:r w:rsidRPr="008E60B5">
        <w:rPr>
          <w:lang w:val="fr-FR"/>
        </w:rPr>
        <w:t xml:space="preserve"> en 2015, de 51,32</w:t>
      </w:r>
      <w:r w:rsidR="00002E6B" w:rsidRPr="008E60B5">
        <w:rPr>
          <w:lang w:val="fr-FR"/>
        </w:rPr>
        <w:t> % ;</w:t>
      </w:r>
      <w:r w:rsidRPr="008E60B5">
        <w:rPr>
          <w:lang w:val="fr-FR"/>
        </w:rPr>
        <w:t xml:space="preserve"> en 2016, de 51,79</w:t>
      </w:r>
      <w:r w:rsidR="00002E6B" w:rsidRPr="008E60B5">
        <w:rPr>
          <w:lang w:val="fr-FR"/>
        </w:rPr>
        <w:t> %</w:t>
      </w:r>
      <w:r w:rsidRPr="008E60B5">
        <w:rPr>
          <w:lang w:val="fr-FR"/>
        </w:rPr>
        <w:t>. Les données indiquent que le nombre de femmes qui créent leur entreprise en bénéficiant d</w:t>
      </w:r>
      <w:r w:rsidR="008E60B5" w:rsidRPr="008E60B5">
        <w:rPr>
          <w:lang w:val="fr-FR"/>
        </w:rPr>
        <w:t>’</w:t>
      </w:r>
      <w:r w:rsidRPr="008E60B5">
        <w:rPr>
          <w:lang w:val="fr-FR"/>
        </w:rPr>
        <w:t>un appui financier de l</w:t>
      </w:r>
      <w:r w:rsidR="008E60B5" w:rsidRPr="008E60B5">
        <w:rPr>
          <w:lang w:val="fr-FR"/>
        </w:rPr>
        <w:t>’</w:t>
      </w:r>
      <w:r w:rsidRPr="008E60B5">
        <w:rPr>
          <w:lang w:val="fr-FR"/>
        </w:rPr>
        <w:t xml:space="preserve">État est en augmentation. </w:t>
      </w:r>
    </w:p>
    <w:p w14:paraId="5BACDCEB" w14:textId="77777777" w:rsidR="00455496" w:rsidRPr="008E60B5" w:rsidRDefault="00455496" w:rsidP="00455496">
      <w:pPr>
        <w:pStyle w:val="SingleTxt"/>
        <w:spacing w:after="0" w:line="120" w:lineRule="exact"/>
        <w:rPr>
          <w:b/>
          <w:sz w:val="10"/>
          <w:lang w:val="fr-FR"/>
        </w:rPr>
      </w:pPr>
    </w:p>
    <w:p w14:paraId="5F431866" w14:textId="5D9736DF" w:rsidR="004F32D0" w:rsidRPr="008E60B5" w:rsidRDefault="00455496" w:rsidP="00455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004F32D0" w:rsidRPr="008E60B5">
        <w:rPr>
          <w:lang w:val="fr-FR"/>
        </w:rPr>
        <w:tab/>
        <w:t>Situation des femmes sur le marché du travail</w:t>
      </w:r>
    </w:p>
    <w:p w14:paraId="0D20EB19" w14:textId="42E7C8A4" w:rsidR="00455496" w:rsidRPr="008E60B5" w:rsidRDefault="00455496" w:rsidP="00455496">
      <w:pPr>
        <w:pStyle w:val="SingleTxt"/>
        <w:spacing w:after="0" w:line="120" w:lineRule="exact"/>
        <w:rPr>
          <w:sz w:val="10"/>
          <w:lang w:val="fr-FR"/>
        </w:rPr>
      </w:pPr>
    </w:p>
    <w:p w14:paraId="2C0BE922" w14:textId="22527363" w:rsidR="004F32D0" w:rsidRPr="008E60B5" w:rsidRDefault="004F32D0" w:rsidP="00455496">
      <w:pPr>
        <w:pStyle w:val="SingleTxt"/>
        <w:numPr>
          <w:ilvl w:val="0"/>
          <w:numId w:val="34"/>
        </w:numPr>
        <w:spacing w:line="240" w:lineRule="exact"/>
        <w:rPr>
          <w:lang w:val="fr-FR"/>
        </w:rPr>
      </w:pPr>
      <w:r w:rsidRPr="008E60B5">
        <w:rPr>
          <w:lang w:val="fr-FR"/>
        </w:rPr>
        <w:t>Selon les chiffres du Service national de l</w:t>
      </w:r>
      <w:r w:rsidR="008E60B5" w:rsidRPr="008E60B5">
        <w:rPr>
          <w:lang w:val="fr-FR"/>
        </w:rPr>
        <w:t>’</w:t>
      </w:r>
      <w:r w:rsidRPr="008E60B5">
        <w:rPr>
          <w:lang w:val="fr-FR"/>
        </w:rPr>
        <w:t>emploi relatifs à décembre 2013, les femmes roms sans emploi représentaient 45,92</w:t>
      </w:r>
      <w:r w:rsidR="00002E6B" w:rsidRPr="008E60B5">
        <w:rPr>
          <w:lang w:val="fr-FR"/>
        </w:rPr>
        <w:t> %</w:t>
      </w:r>
      <w:r w:rsidRPr="008E60B5">
        <w:rPr>
          <w:lang w:val="fr-FR"/>
        </w:rPr>
        <w:t xml:space="preserve"> de l</w:t>
      </w:r>
      <w:r w:rsidR="008E60B5" w:rsidRPr="008E60B5">
        <w:rPr>
          <w:lang w:val="fr-FR"/>
        </w:rPr>
        <w:t>’</w:t>
      </w:r>
      <w:r w:rsidRPr="008E60B5">
        <w:rPr>
          <w:lang w:val="fr-FR"/>
        </w:rPr>
        <w:t>ensemble des Roms sans emploi</w:t>
      </w:r>
      <w:r w:rsidR="00002E6B" w:rsidRPr="008E60B5">
        <w:rPr>
          <w:lang w:val="fr-FR"/>
        </w:rPr>
        <w:t> ;</w:t>
      </w:r>
      <w:r w:rsidRPr="008E60B5">
        <w:rPr>
          <w:lang w:val="fr-FR"/>
        </w:rPr>
        <w:t xml:space="preserve"> en 2014, ce pourcentage était de 46,13</w:t>
      </w:r>
      <w:r w:rsidR="00002E6B" w:rsidRPr="008E60B5">
        <w:rPr>
          <w:lang w:val="fr-FR"/>
        </w:rPr>
        <w:t> % ;</w:t>
      </w:r>
      <w:r w:rsidRPr="008E60B5">
        <w:rPr>
          <w:lang w:val="fr-FR"/>
        </w:rPr>
        <w:t xml:space="preserve"> en 2015, de 46,53</w:t>
      </w:r>
      <w:r w:rsidR="00002E6B" w:rsidRPr="008E60B5">
        <w:rPr>
          <w:lang w:val="fr-FR"/>
        </w:rPr>
        <w:t> % ;</w:t>
      </w:r>
      <w:r w:rsidRPr="008E60B5">
        <w:rPr>
          <w:lang w:val="fr-FR"/>
        </w:rPr>
        <w:t xml:space="preserve"> en 2016, de 46,01</w:t>
      </w:r>
      <w:r w:rsidR="00002E6B" w:rsidRPr="008E60B5">
        <w:rPr>
          <w:lang w:val="fr-FR"/>
        </w:rPr>
        <w:t> %</w:t>
      </w:r>
      <w:r w:rsidRPr="008E60B5">
        <w:rPr>
          <w:lang w:val="fr-FR"/>
        </w:rPr>
        <w:t>. Conformément aux documents stratégiques, les Roms bénéficient à titre prioritaire des mesures en faveur de l</w:t>
      </w:r>
      <w:r w:rsidR="008E60B5" w:rsidRPr="008E60B5">
        <w:rPr>
          <w:lang w:val="fr-FR"/>
        </w:rPr>
        <w:t>’</w:t>
      </w:r>
      <w:r w:rsidRPr="008E60B5">
        <w:rPr>
          <w:lang w:val="fr-FR"/>
        </w:rPr>
        <w:t>emploi.</w:t>
      </w:r>
    </w:p>
    <w:p w14:paraId="5FFB7C4A" w14:textId="1E20D111" w:rsidR="004F32D0" w:rsidRPr="008E60B5" w:rsidRDefault="004F32D0" w:rsidP="00455496">
      <w:pPr>
        <w:pStyle w:val="SingleTxt"/>
        <w:numPr>
          <w:ilvl w:val="0"/>
          <w:numId w:val="34"/>
        </w:numPr>
        <w:spacing w:line="240" w:lineRule="exact"/>
        <w:rPr>
          <w:lang w:val="fr-FR"/>
        </w:rPr>
      </w:pPr>
      <w:r w:rsidRPr="008E60B5">
        <w:rPr>
          <w:lang w:val="fr-FR"/>
        </w:rPr>
        <w:t>Les recommandations relatives à l</w:t>
      </w:r>
      <w:r w:rsidR="008E60B5" w:rsidRPr="008E60B5">
        <w:rPr>
          <w:lang w:val="fr-FR"/>
        </w:rPr>
        <w:t>’</w:t>
      </w:r>
      <w:r w:rsidRPr="008E60B5">
        <w:rPr>
          <w:lang w:val="fr-FR"/>
        </w:rPr>
        <w:t>élargissement des possibilités d</w:t>
      </w:r>
      <w:r w:rsidR="008E60B5" w:rsidRPr="008E60B5">
        <w:rPr>
          <w:lang w:val="fr-FR"/>
        </w:rPr>
        <w:t>’</w:t>
      </w:r>
      <w:r w:rsidRPr="008E60B5">
        <w:rPr>
          <w:lang w:val="fr-FR"/>
        </w:rPr>
        <w:t xml:space="preserve">emploi formulées dans le cadre de la </w:t>
      </w:r>
      <w:r w:rsidRPr="008E60B5">
        <w:rPr>
          <w:bCs/>
          <w:lang w:val="fr-FR"/>
        </w:rPr>
        <w:t>Stratégie pour l</w:t>
      </w:r>
      <w:r w:rsidR="008E60B5" w:rsidRPr="008E60B5">
        <w:rPr>
          <w:bCs/>
          <w:lang w:val="fr-FR"/>
        </w:rPr>
        <w:t>’</w:t>
      </w:r>
      <w:r w:rsidRPr="008E60B5">
        <w:rPr>
          <w:bCs/>
          <w:lang w:val="fr-FR"/>
        </w:rPr>
        <w:t>amélioration de la situation des Roms</w:t>
      </w:r>
      <w:r w:rsidRPr="008E60B5">
        <w:rPr>
          <w:b/>
          <w:bCs/>
          <w:lang w:val="fr-FR"/>
        </w:rPr>
        <w:t xml:space="preserve"> </w:t>
      </w:r>
      <w:r w:rsidRPr="008E60B5">
        <w:rPr>
          <w:iCs/>
          <w:lang w:val="fr-FR"/>
        </w:rPr>
        <w:t>en République de Serbie</w:t>
      </w:r>
      <w:r w:rsidRPr="008E60B5">
        <w:rPr>
          <w:b/>
          <w:bCs/>
          <w:lang w:val="fr-FR"/>
        </w:rPr>
        <w:t xml:space="preserve"> </w:t>
      </w:r>
      <w:r w:rsidRPr="008E60B5">
        <w:rPr>
          <w:lang w:val="fr-FR"/>
        </w:rPr>
        <w:t>ont permis à un nombre accru d</w:t>
      </w:r>
      <w:r w:rsidR="008E60B5" w:rsidRPr="008E60B5">
        <w:rPr>
          <w:lang w:val="fr-FR"/>
        </w:rPr>
        <w:t>’</w:t>
      </w:r>
      <w:r w:rsidRPr="008E60B5">
        <w:rPr>
          <w:lang w:val="fr-FR"/>
        </w:rPr>
        <w:t>hommes et de femmes roms de suivre des programmes de formation, en particulier des programmes d</w:t>
      </w:r>
      <w:r w:rsidR="008E60B5" w:rsidRPr="008E60B5">
        <w:rPr>
          <w:lang w:val="fr-FR"/>
        </w:rPr>
        <w:t>’</w:t>
      </w:r>
      <w:r w:rsidRPr="008E60B5">
        <w:rPr>
          <w:lang w:val="fr-FR"/>
        </w:rPr>
        <w:t xml:space="preserve">enseignement primaire </w:t>
      </w:r>
      <w:r w:rsidRPr="008E60B5">
        <w:rPr>
          <w:bCs/>
          <w:lang w:val="fr-FR"/>
        </w:rPr>
        <w:t>fonctionnel</w:t>
      </w:r>
      <w:r w:rsidRPr="008E60B5">
        <w:rPr>
          <w:lang w:val="fr-FR"/>
        </w:rPr>
        <w:t xml:space="preserve"> ainsi que des programmes de recherche active d</w:t>
      </w:r>
      <w:r w:rsidR="008E60B5" w:rsidRPr="008E60B5">
        <w:rPr>
          <w:lang w:val="fr-FR"/>
        </w:rPr>
        <w:t>’</w:t>
      </w:r>
      <w:r w:rsidRPr="008E60B5">
        <w:rPr>
          <w:lang w:val="fr-FR"/>
        </w:rPr>
        <w:t>emploi visant à leur permettre d</w:t>
      </w:r>
      <w:r w:rsidR="008E60B5" w:rsidRPr="008E60B5">
        <w:rPr>
          <w:lang w:val="fr-FR"/>
        </w:rPr>
        <w:t>’</w:t>
      </w:r>
      <w:r w:rsidRPr="008E60B5">
        <w:rPr>
          <w:lang w:val="fr-FR"/>
        </w:rPr>
        <w:t xml:space="preserve">acquérir des compétences et à les motiver à rechercher activement un emploi. </w:t>
      </w:r>
    </w:p>
    <w:p w14:paraId="4DDC12E6" w14:textId="073150C7" w:rsidR="004F32D0" w:rsidRPr="008E60B5" w:rsidRDefault="004F32D0" w:rsidP="00455496">
      <w:pPr>
        <w:pStyle w:val="SingleTxt"/>
        <w:numPr>
          <w:ilvl w:val="0"/>
          <w:numId w:val="34"/>
        </w:numPr>
        <w:spacing w:line="240" w:lineRule="exact"/>
        <w:rPr>
          <w:lang w:val="fr-FR"/>
        </w:rPr>
      </w:pPr>
      <w:r w:rsidRPr="008E60B5">
        <w:rPr>
          <w:lang w:val="fr-FR"/>
        </w:rPr>
        <w:t>En 2013, les femmes roms représentaient 39,67</w:t>
      </w:r>
      <w:r w:rsidR="00002E6B" w:rsidRPr="008E60B5">
        <w:rPr>
          <w:lang w:val="fr-FR"/>
        </w:rPr>
        <w:t> %</w:t>
      </w:r>
      <w:r w:rsidRPr="008E60B5">
        <w:rPr>
          <w:lang w:val="fr-FR"/>
        </w:rPr>
        <w:t xml:space="preserve"> des Roms ayant un emploi enregistrés auprès du Service national de l</w:t>
      </w:r>
      <w:r w:rsidR="008E60B5" w:rsidRPr="008E60B5">
        <w:rPr>
          <w:lang w:val="fr-FR"/>
        </w:rPr>
        <w:t>’</w:t>
      </w:r>
      <w:r w:rsidRPr="008E60B5">
        <w:rPr>
          <w:lang w:val="fr-FR"/>
        </w:rPr>
        <w:t>emploi</w:t>
      </w:r>
      <w:r w:rsidR="00002E6B" w:rsidRPr="008E60B5">
        <w:rPr>
          <w:lang w:val="fr-FR"/>
        </w:rPr>
        <w:t> ;</w:t>
      </w:r>
      <w:r w:rsidRPr="008E60B5">
        <w:rPr>
          <w:lang w:val="fr-FR"/>
        </w:rPr>
        <w:t xml:space="preserve"> en 2014, ce pourcentage était de 39,76</w:t>
      </w:r>
      <w:r w:rsidR="00002E6B" w:rsidRPr="008E60B5">
        <w:rPr>
          <w:lang w:val="fr-FR"/>
        </w:rPr>
        <w:t> % ;</w:t>
      </w:r>
      <w:r w:rsidRPr="008E60B5">
        <w:rPr>
          <w:lang w:val="fr-FR"/>
        </w:rPr>
        <w:t xml:space="preserve"> en 2015, de 37,61</w:t>
      </w:r>
      <w:r w:rsidR="00002E6B" w:rsidRPr="008E60B5">
        <w:rPr>
          <w:lang w:val="fr-FR"/>
        </w:rPr>
        <w:t> % ;</w:t>
      </w:r>
      <w:r w:rsidRPr="008E60B5">
        <w:rPr>
          <w:lang w:val="fr-FR"/>
        </w:rPr>
        <w:t xml:space="preserve"> en 2016, de 36,92</w:t>
      </w:r>
      <w:r w:rsidR="00002E6B" w:rsidRPr="008E60B5">
        <w:rPr>
          <w:lang w:val="fr-FR"/>
        </w:rPr>
        <w:t> %</w:t>
      </w:r>
      <w:r w:rsidRPr="008E60B5">
        <w:rPr>
          <w:lang w:val="fr-FR"/>
        </w:rPr>
        <w:t xml:space="preserve">. </w:t>
      </w:r>
    </w:p>
    <w:p w14:paraId="2B605CD5" w14:textId="77777777" w:rsidR="00455496" w:rsidRPr="008E60B5" w:rsidRDefault="00455496" w:rsidP="00455496">
      <w:pPr>
        <w:pStyle w:val="SingleTxt"/>
        <w:spacing w:after="0" w:line="120" w:lineRule="exact"/>
        <w:rPr>
          <w:b/>
          <w:sz w:val="10"/>
          <w:lang w:val="fr-FR"/>
        </w:rPr>
      </w:pPr>
    </w:p>
    <w:p w14:paraId="0ECDF09A" w14:textId="2286E087" w:rsidR="004F32D0" w:rsidRPr="008E60B5" w:rsidRDefault="004F32D0" w:rsidP="00455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Situation des femmes handicapées sur le marché du travail</w:t>
      </w:r>
    </w:p>
    <w:p w14:paraId="2AD61D4A" w14:textId="732E656A" w:rsidR="00455496" w:rsidRPr="008E60B5" w:rsidRDefault="00455496" w:rsidP="00455496">
      <w:pPr>
        <w:pStyle w:val="SingleTxt"/>
        <w:spacing w:after="0" w:line="120" w:lineRule="exact"/>
        <w:rPr>
          <w:sz w:val="10"/>
          <w:lang w:val="fr-FR"/>
        </w:rPr>
      </w:pPr>
    </w:p>
    <w:p w14:paraId="0D93FEC4" w14:textId="1B292337" w:rsidR="004F32D0" w:rsidRPr="008E60B5" w:rsidRDefault="004F32D0" w:rsidP="00455496">
      <w:pPr>
        <w:pStyle w:val="SingleTxt"/>
        <w:numPr>
          <w:ilvl w:val="0"/>
          <w:numId w:val="34"/>
        </w:numPr>
        <w:spacing w:line="240" w:lineRule="exact"/>
        <w:rPr>
          <w:lang w:val="fr-FR"/>
        </w:rPr>
      </w:pPr>
      <w:r w:rsidRPr="008E60B5">
        <w:rPr>
          <w:lang w:val="fr-FR"/>
        </w:rPr>
        <w:t>La loi portant modification de la loi sur le travail, qui est entrée en vigueur le 29 juillet 2014, dispose que les employeurs ont l</w:t>
      </w:r>
      <w:r w:rsidR="008E60B5" w:rsidRPr="008E60B5">
        <w:rPr>
          <w:lang w:val="fr-FR"/>
        </w:rPr>
        <w:t>’</w:t>
      </w:r>
      <w:r w:rsidRPr="008E60B5">
        <w:rPr>
          <w:lang w:val="fr-FR"/>
        </w:rPr>
        <w:t>obligation de permettre à leurs employés de travailler en fonction de leurs capacités physiques, conformément à la loi. Si l</w:t>
      </w:r>
      <w:r w:rsidR="008E60B5" w:rsidRPr="008E60B5">
        <w:rPr>
          <w:lang w:val="fr-FR"/>
        </w:rPr>
        <w:t>’</w:t>
      </w:r>
      <w:r w:rsidRPr="008E60B5">
        <w:rPr>
          <w:lang w:val="fr-FR"/>
        </w:rPr>
        <w:t>employeur n</w:t>
      </w:r>
      <w:r w:rsidR="008E60B5" w:rsidRPr="008E60B5">
        <w:rPr>
          <w:lang w:val="fr-FR"/>
        </w:rPr>
        <w:t>’</w:t>
      </w:r>
      <w:r w:rsidRPr="008E60B5">
        <w:rPr>
          <w:lang w:val="fr-FR"/>
        </w:rPr>
        <w:t>est pas en mesure d</w:t>
      </w:r>
      <w:r w:rsidR="008E60B5" w:rsidRPr="008E60B5">
        <w:rPr>
          <w:lang w:val="fr-FR"/>
        </w:rPr>
        <w:t>’</w:t>
      </w:r>
      <w:r w:rsidRPr="008E60B5">
        <w:rPr>
          <w:lang w:val="fr-FR"/>
        </w:rPr>
        <w:t>offrir à ces employés un poste approprié, il peut les licencier moyennant le paiement d</w:t>
      </w:r>
      <w:r w:rsidR="008E60B5" w:rsidRPr="008E60B5">
        <w:rPr>
          <w:lang w:val="fr-FR"/>
        </w:rPr>
        <w:t>’</w:t>
      </w:r>
      <w:r w:rsidRPr="008E60B5">
        <w:rPr>
          <w:lang w:val="fr-FR"/>
        </w:rPr>
        <w:t>une indemnité de licenciement.</w:t>
      </w:r>
    </w:p>
    <w:p w14:paraId="01A16F3D" w14:textId="5DA056CB" w:rsidR="004F32D0" w:rsidRPr="008E60B5" w:rsidRDefault="004F32D0" w:rsidP="00455496">
      <w:pPr>
        <w:pStyle w:val="SingleTxt"/>
        <w:numPr>
          <w:ilvl w:val="0"/>
          <w:numId w:val="34"/>
        </w:numPr>
        <w:spacing w:line="240" w:lineRule="exact"/>
        <w:rPr>
          <w:lang w:val="fr-FR"/>
        </w:rPr>
      </w:pPr>
      <w:r w:rsidRPr="008E60B5">
        <w:rPr>
          <w:lang w:val="fr-FR"/>
        </w:rPr>
        <w:t>Selon les chiffres du Service national de l</w:t>
      </w:r>
      <w:r w:rsidR="008E60B5" w:rsidRPr="008E60B5">
        <w:rPr>
          <w:lang w:val="fr-FR"/>
        </w:rPr>
        <w:t>’</w:t>
      </w:r>
      <w:r w:rsidRPr="008E60B5">
        <w:rPr>
          <w:lang w:val="fr-FR"/>
        </w:rPr>
        <w:t>emploi relatifs à décembre 2013, les femmes représentaient 32,85</w:t>
      </w:r>
      <w:r w:rsidR="00002E6B" w:rsidRPr="008E60B5">
        <w:rPr>
          <w:lang w:val="fr-FR"/>
        </w:rPr>
        <w:t> %</w:t>
      </w:r>
      <w:r w:rsidRPr="008E60B5">
        <w:rPr>
          <w:lang w:val="fr-FR"/>
        </w:rPr>
        <w:t xml:space="preserve"> des personnes handicapées sans emploi</w:t>
      </w:r>
      <w:r w:rsidR="00002E6B" w:rsidRPr="008E60B5">
        <w:rPr>
          <w:lang w:val="fr-FR"/>
        </w:rPr>
        <w:t> ;</w:t>
      </w:r>
      <w:r w:rsidRPr="008E60B5">
        <w:rPr>
          <w:lang w:val="fr-FR"/>
        </w:rPr>
        <w:t xml:space="preserve"> en 2014, ce pourcentage était de 34,03</w:t>
      </w:r>
      <w:r w:rsidR="00002E6B" w:rsidRPr="008E60B5">
        <w:rPr>
          <w:lang w:val="fr-FR"/>
        </w:rPr>
        <w:t> % ;</w:t>
      </w:r>
      <w:r w:rsidRPr="008E60B5">
        <w:rPr>
          <w:lang w:val="fr-FR"/>
        </w:rPr>
        <w:t xml:space="preserve"> en 2015, de 36,39</w:t>
      </w:r>
      <w:r w:rsidR="00002E6B" w:rsidRPr="008E60B5">
        <w:rPr>
          <w:lang w:val="fr-FR"/>
        </w:rPr>
        <w:t> % ;</w:t>
      </w:r>
      <w:r w:rsidRPr="008E60B5">
        <w:rPr>
          <w:lang w:val="fr-FR"/>
        </w:rPr>
        <w:t xml:space="preserve"> en 2016, de 36,79</w:t>
      </w:r>
      <w:r w:rsidR="00002E6B" w:rsidRPr="008E60B5">
        <w:rPr>
          <w:lang w:val="fr-FR"/>
        </w:rPr>
        <w:t> %</w:t>
      </w:r>
      <w:r w:rsidRPr="008E60B5">
        <w:rPr>
          <w:lang w:val="fr-FR"/>
        </w:rPr>
        <w:t>.</w:t>
      </w:r>
    </w:p>
    <w:p w14:paraId="293515F5" w14:textId="758E7FBA" w:rsidR="004F32D0" w:rsidRPr="008E60B5" w:rsidRDefault="004F32D0" w:rsidP="00455496">
      <w:pPr>
        <w:pStyle w:val="SingleTxt"/>
        <w:numPr>
          <w:ilvl w:val="0"/>
          <w:numId w:val="34"/>
        </w:numPr>
        <w:spacing w:line="240" w:lineRule="exact"/>
        <w:rPr>
          <w:bCs/>
          <w:lang w:val="fr-FR"/>
        </w:rPr>
      </w:pPr>
      <w:r w:rsidRPr="008E60B5">
        <w:rPr>
          <w:lang w:val="fr-FR"/>
        </w:rPr>
        <w:t>Au second semestre de 2013, les femmes représentaient 40,90</w:t>
      </w:r>
      <w:r w:rsidR="00002E6B" w:rsidRPr="008E60B5">
        <w:rPr>
          <w:lang w:val="fr-FR"/>
        </w:rPr>
        <w:t> %</w:t>
      </w:r>
      <w:r w:rsidRPr="008E60B5">
        <w:rPr>
          <w:lang w:val="fr-FR"/>
        </w:rPr>
        <w:t xml:space="preserve"> des personnes handicapées bénéficiant de mesures en faveur de l</w:t>
      </w:r>
      <w:r w:rsidR="008E60B5" w:rsidRPr="008E60B5">
        <w:rPr>
          <w:lang w:val="fr-FR"/>
        </w:rPr>
        <w:t>’</w:t>
      </w:r>
      <w:r w:rsidRPr="008E60B5">
        <w:rPr>
          <w:lang w:val="fr-FR"/>
        </w:rPr>
        <w:t>emploi</w:t>
      </w:r>
      <w:r w:rsidR="00002E6B" w:rsidRPr="008E60B5">
        <w:rPr>
          <w:lang w:val="fr-FR"/>
        </w:rPr>
        <w:t> ;</w:t>
      </w:r>
      <w:r w:rsidRPr="008E60B5">
        <w:rPr>
          <w:lang w:val="fr-FR"/>
        </w:rPr>
        <w:t xml:space="preserve"> en 2014, ce pourcentage était de 40,38</w:t>
      </w:r>
      <w:r w:rsidR="00002E6B" w:rsidRPr="008E60B5">
        <w:rPr>
          <w:lang w:val="fr-FR"/>
        </w:rPr>
        <w:t> % ;</w:t>
      </w:r>
      <w:r w:rsidRPr="008E60B5">
        <w:rPr>
          <w:lang w:val="fr-FR"/>
        </w:rPr>
        <w:t xml:space="preserve"> en 2015, de 39,33</w:t>
      </w:r>
      <w:r w:rsidR="00002E6B" w:rsidRPr="008E60B5">
        <w:rPr>
          <w:lang w:val="fr-FR"/>
        </w:rPr>
        <w:t> % ;</w:t>
      </w:r>
      <w:r w:rsidRPr="008E60B5">
        <w:rPr>
          <w:lang w:val="fr-FR"/>
        </w:rPr>
        <w:t xml:space="preserve"> en 2016, de 42,46</w:t>
      </w:r>
      <w:r w:rsidR="00002E6B" w:rsidRPr="008E60B5">
        <w:rPr>
          <w:lang w:val="fr-FR"/>
        </w:rPr>
        <w:t> %</w:t>
      </w:r>
      <w:r w:rsidRPr="008E60B5">
        <w:rPr>
          <w:lang w:val="fr-FR"/>
        </w:rPr>
        <w:t>.</w:t>
      </w:r>
    </w:p>
    <w:p w14:paraId="74982494" w14:textId="4932D52A" w:rsidR="004F32D0" w:rsidRPr="008E60B5" w:rsidRDefault="004F32D0" w:rsidP="00455496">
      <w:pPr>
        <w:pStyle w:val="SingleTxt"/>
        <w:numPr>
          <w:ilvl w:val="0"/>
          <w:numId w:val="34"/>
        </w:numPr>
        <w:spacing w:line="240" w:lineRule="exact"/>
        <w:rPr>
          <w:lang w:val="fr-FR"/>
        </w:rPr>
      </w:pPr>
      <w:r w:rsidRPr="008E60B5">
        <w:rPr>
          <w:lang w:val="fr-FR"/>
        </w:rPr>
        <w:t>En 2013, les femmes représentaient 38,20</w:t>
      </w:r>
      <w:r w:rsidR="00002E6B" w:rsidRPr="008E60B5">
        <w:rPr>
          <w:lang w:val="fr-FR"/>
        </w:rPr>
        <w:t> %</w:t>
      </w:r>
      <w:r w:rsidRPr="008E60B5">
        <w:rPr>
          <w:lang w:val="fr-FR"/>
        </w:rPr>
        <w:t xml:space="preserve"> des personnes handicapées ayant un emploi enregistrées auprès du Service national de l</w:t>
      </w:r>
      <w:r w:rsidR="008E60B5" w:rsidRPr="008E60B5">
        <w:rPr>
          <w:lang w:val="fr-FR"/>
        </w:rPr>
        <w:t>’</w:t>
      </w:r>
      <w:r w:rsidRPr="008E60B5">
        <w:rPr>
          <w:lang w:val="fr-FR"/>
        </w:rPr>
        <w:t>emploi</w:t>
      </w:r>
      <w:r w:rsidR="00002E6B" w:rsidRPr="008E60B5">
        <w:rPr>
          <w:lang w:val="fr-FR"/>
        </w:rPr>
        <w:t> ;</w:t>
      </w:r>
      <w:r w:rsidRPr="008E60B5">
        <w:rPr>
          <w:lang w:val="fr-FR"/>
        </w:rPr>
        <w:t xml:space="preserve"> en 2014, ce pourcentage était de 37,35</w:t>
      </w:r>
      <w:r w:rsidR="00002E6B" w:rsidRPr="008E60B5">
        <w:rPr>
          <w:lang w:val="fr-FR"/>
        </w:rPr>
        <w:t> % ;</w:t>
      </w:r>
      <w:r w:rsidRPr="008E60B5">
        <w:rPr>
          <w:lang w:val="fr-FR"/>
        </w:rPr>
        <w:t xml:space="preserve"> en 2015, de 38,31</w:t>
      </w:r>
      <w:r w:rsidR="00002E6B" w:rsidRPr="008E60B5">
        <w:rPr>
          <w:lang w:val="fr-FR"/>
        </w:rPr>
        <w:t> % ;</w:t>
      </w:r>
      <w:r w:rsidRPr="008E60B5">
        <w:rPr>
          <w:lang w:val="fr-FR"/>
        </w:rPr>
        <w:t xml:space="preserve"> en 2016, de 40,38</w:t>
      </w:r>
      <w:r w:rsidR="00002E6B" w:rsidRPr="008E60B5">
        <w:rPr>
          <w:lang w:val="fr-FR"/>
        </w:rPr>
        <w:t> %</w:t>
      </w:r>
      <w:r w:rsidRPr="008E60B5">
        <w:rPr>
          <w:lang w:val="fr-FR"/>
        </w:rPr>
        <w:t>.</w:t>
      </w:r>
    </w:p>
    <w:p w14:paraId="0BC03F89" w14:textId="31107F37" w:rsidR="004F32D0" w:rsidRPr="008E60B5" w:rsidRDefault="004F32D0" w:rsidP="00455496">
      <w:pPr>
        <w:pStyle w:val="SingleTxt"/>
        <w:numPr>
          <w:ilvl w:val="0"/>
          <w:numId w:val="34"/>
        </w:numPr>
        <w:spacing w:line="240" w:lineRule="exact"/>
        <w:rPr>
          <w:bCs/>
          <w:lang w:val="fr-FR"/>
        </w:rPr>
      </w:pPr>
      <w:r w:rsidRPr="008E60B5">
        <w:rPr>
          <w:lang w:val="fr-FR"/>
        </w:rPr>
        <w:lastRenderedPageBreak/>
        <w:t>Le montant du fonds de financement du budget consacré aux activités de réadaptation professionnelle et de promotion de l</w:t>
      </w:r>
      <w:r w:rsidR="008E60B5" w:rsidRPr="008E60B5">
        <w:rPr>
          <w:lang w:val="fr-FR"/>
        </w:rPr>
        <w:t>’</w:t>
      </w:r>
      <w:r w:rsidRPr="008E60B5">
        <w:rPr>
          <w:lang w:val="fr-FR"/>
        </w:rPr>
        <w:t>emploi des personnes handicapées s</w:t>
      </w:r>
      <w:r w:rsidR="008E60B5" w:rsidRPr="008E60B5">
        <w:rPr>
          <w:lang w:val="fr-FR"/>
        </w:rPr>
        <w:t>’</w:t>
      </w:r>
      <w:r w:rsidRPr="008E60B5">
        <w:rPr>
          <w:lang w:val="fr-FR"/>
        </w:rPr>
        <w:t xml:space="preserve">élevait à 700 000 000 </w:t>
      </w:r>
      <w:r w:rsidRPr="008E60B5">
        <w:rPr>
          <w:iCs/>
          <w:lang w:val="fr-FR"/>
        </w:rPr>
        <w:t>dinars serbes</w:t>
      </w:r>
      <w:r w:rsidRPr="008E60B5">
        <w:rPr>
          <w:b/>
          <w:bCs/>
          <w:lang w:val="fr-FR"/>
        </w:rPr>
        <w:t xml:space="preserve"> </w:t>
      </w:r>
      <w:r w:rsidRPr="008E60B5">
        <w:rPr>
          <w:lang w:val="fr-FR"/>
        </w:rPr>
        <w:t>en 2013</w:t>
      </w:r>
      <w:r w:rsidR="00002E6B" w:rsidRPr="008E60B5">
        <w:rPr>
          <w:lang w:val="fr-FR"/>
        </w:rPr>
        <w:t> ;</w:t>
      </w:r>
      <w:r w:rsidRPr="008E60B5">
        <w:rPr>
          <w:lang w:val="fr-FR"/>
        </w:rPr>
        <w:t xml:space="preserve"> à 519 000 000 </w:t>
      </w:r>
      <w:r w:rsidRPr="008E60B5">
        <w:rPr>
          <w:iCs/>
          <w:lang w:val="fr-FR"/>
        </w:rPr>
        <w:t xml:space="preserve">dinars </w:t>
      </w:r>
      <w:r w:rsidRPr="008E60B5">
        <w:rPr>
          <w:lang w:val="fr-FR"/>
        </w:rPr>
        <w:t>en 2014</w:t>
      </w:r>
      <w:r w:rsidR="00002E6B" w:rsidRPr="008E60B5">
        <w:rPr>
          <w:lang w:val="fr-FR"/>
        </w:rPr>
        <w:t> ;</w:t>
      </w:r>
      <w:r w:rsidR="00455496" w:rsidRPr="008E60B5">
        <w:rPr>
          <w:lang w:val="fr-FR"/>
        </w:rPr>
        <w:t xml:space="preserve"> à 500 </w:t>
      </w:r>
      <w:r w:rsidRPr="008E60B5">
        <w:rPr>
          <w:lang w:val="fr-FR"/>
        </w:rPr>
        <w:t xml:space="preserve">000 000 </w:t>
      </w:r>
      <w:r w:rsidRPr="008E60B5">
        <w:rPr>
          <w:iCs/>
          <w:lang w:val="fr-FR"/>
        </w:rPr>
        <w:t xml:space="preserve">dinars </w:t>
      </w:r>
      <w:r w:rsidRPr="008E60B5">
        <w:rPr>
          <w:lang w:val="fr-FR"/>
        </w:rPr>
        <w:t>en 2015</w:t>
      </w:r>
      <w:r w:rsidR="00002E6B" w:rsidRPr="008E60B5">
        <w:rPr>
          <w:lang w:val="fr-FR"/>
        </w:rPr>
        <w:t> ;</w:t>
      </w:r>
      <w:r w:rsidRPr="008E60B5">
        <w:rPr>
          <w:lang w:val="fr-FR"/>
        </w:rPr>
        <w:t xml:space="preserve"> à 550 000 000 </w:t>
      </w:r>
      <w:r w:rsidRPr="008E60B5">
        <w:rPr>
          <w:iCs/>
          <w:lang w:val="fr-FR"/>
        </w:rPr>
        <w:t xml:space="preserve">dinars </w:t>
      </w:r>
      <w:r w:rsidRPr="008E60B5">
        <w:rPr>
          <w:lang w:val="fr-FR"/>
        </w:rPr>
        <w:t>en 2016.</w:t>
      </w:r>
    </w:p>
    <w:p w14:paraId="69522D14" w14:textId="5B80074A" w:rsidR="004F32D0" w:rsidRPr="008E60B5" w:rsidRDefault="004F32D0" w:rsidP="00455496">
      <w:pPr>
        <w:pStyle w:val="SingleTxt"/>
        <w:numPr>
          <w:ilvl w:val="0"/>
          <w:numId w:val="34"/>
        </w:numPr>
        <w:spacing w:line="240" w:lineRule="exact"/>
        <w:rPr>
          <w:bCs/>
          <w:lang w:val="fr-FR"/>
        </w:rPr>
      </w:pPr>
      <w:r w:rsidRPr="008E60B5">
        <w:rPr>
          <w:lang w:val="fr-FR"/>
        </w:rPr>
        <w:t>Au cours de la période considérée, le Service national de l</w:t>
      </w:r>
      <w:r w:rsidR="008E60B5" w:rsidRPr="008E60B5">
        <w:rPr>
          <w:lang w:val="fr-FR"/>
        </w:rPr>
        <w:t>’</w:t>
      </w:r>
      <w:r w:rsidRPr="008E60B5">
        <w:rPr>
          <w:lang w:val="fr-FR"/>
        </w:rPr>
        <w:t>emploi a axé ses activités, d</w:t>
      </w:r>
      <w:r w:rsidR="008E60B5" w:rsidRPr="008E60B5">
        <w:rPr>
          <w:lang w:val="fr-FR"/>
        </w:rPr>
        <w:t>’</w:t>
      </w:r>
      <w:r w:rsidRPr="008E60B5">
        <w:rPr>
          <w:lang w:val="fr-FR"/>
        </w:rPr>
        <w:t>une part, sur la fourniture de conseils aux chômeurs ayant des difficultés à trouver un emploi afin d</w:t>
      </w:r>
      <w:r w:rsidR="008E60B5" w:rsidRPr="008E60B5">
        <w:rPr>
          <w:lang w:val="fr-FR"/>
        </w:rPr>
        <w:t>’</w:t>
      </w:r>
      <w:r w:rsidRPr="008E60B5">
        <w:rPr>
          <w:lang w:val="fr-FR"/>
        </w:rPr>
        <w:t>évaluer leurs perspectives en la matière et la possibilité de les faire bénéficier des mesures en faveur de l</w:t>
      </w:r>
      <w:r w:rsidR="008E60B5" w:rsidRPr="008E60B5">
        <w:rPr>
          <w:lang w:val="fr-FR"/>
        </w:rPr>
        <w:t>’</w:t>
      </w:r>
      <w:r w:rsidRPr="008E60B5">
        <w:rPr>
          <w:lang w:val="fr-FR"/>
        </w:rPr>
        <w:t>emploi et, d</w:t>
      </w:r>
      <w:r w:rsidR="008E60B5" w:rsidRPr="008E60B5">
        <w:rPr>
          <w:lang w:val="fr-FR"/>
        </w:rPr>
        <w:t>’</w:t>
      </w:r>
      <w:r w:rsidRPr="008E60B5">
        <w:rPr>
          <w:lang w:val="fr-FR"/>
        </w:rPr>
        <w:t>autre part, sur l</w:t>
      </w:r>
      <w:r w:rsidR="008E60B5" w:rsidRPr="008E60B5">
        <w:rPr>
          <w:lang w:val="fr-FR"/>
        </w:rPr>
        <w:t>’</w:t>
      </w:r>
      <w:r w:rsidRPr="008E60B5">
        <w:rPr>
          <w:lang w:val="fr-FR"/>
        </w:rPr>
        <w:t>organisation de visites d</w:t>
      </w:r>
      <w:r w:rsidR="008E60B5" w:rsidRPr="008E60B5">
        <w:rPr>
          <w:lang w:val="fr-FR"/>
        </w:rPr>
        <w:t>’</w:t>
      </w:r>
      <w:r w:rsidRPr="008E60B5">
        <w:rPr>
          <w:lang w:val="fr-FR"/>
        </w:rPr>
        <w:t>information auprès des employeurs et la participation à des réunions thématiques, des tables rondes et des débats dans le but de promouvoir l</w:t>
      </w:r>
      <w:r w:rsidR="008E60B5" w:rsidRPr="008E60B5">
        <w:rPr>
          <w:lang w:val="fr-FR"/>
        </w:rPr>
        <w:t>’</w:t>
      </w:r>
      <w:r w:rsidRPr="008E60B5">
        <w:rPr>
          <w:lang w:val="fr-FR"/>
        </w:rPr>
        <w:t>emploi des personnes ayant des difficultés dans ce domaine et des catégories particulièrement vulnérables de chômeurs. Dans le cadre de différents projets, le Service national de l</w:t>
      </w:r>
      <w:r w:rsidR="008E60B5" w:rsidRPr="008E60B5">
        <w:rPr>
          <w:lang w:val="fr-FR"/>
        </w:rPr>
        <w:t>’</w:t>
      </w:r>
      <w:r w:rsidRPr="008E60B5">
        <w:rPr>
          <w:lang w:val="fr-FR"/>
        </w:rPr>
        <w:t>emploi travaille avec les partenaires sociaux, la coopération interdépartementale jouant un rôle important dans le processus d</w:t>
      </w:r>
      <w:r w:rsidR="008E60B5" w:rsidRPr="008E60B5">
        <w:rPr>
          <w:lang w:val="fr-FR"/>
        </w:rPr>
        <w:t>’</w:t>
      </w:r>
      <w:r w:rsidRPr="008E60B5">
        <w:rPr>
          <w:lang w:val="fr-FR"/>
        </w:rPr>
        <w:t>intégration de ces personnes sur le marché du travail.</w:t>
      </w:r>
    </w:p>
    <w:p w14:paraId="10984EF5" w14:textId="47DFB11B" w:rsidR="004F32D0" w:rsidRPr="00EE705F" w:rsidRDefault="004F32D0" w:rsidP="00455496">
      <w:pPr>
        <w:pStyle w:val="SingleTxt"/>
        <w:numPr>
          <w:ilvl w:val="0"/>
          <w:numId w:val="34"/>
        </w:numPr>
        <w:spacing w:line="240" w:lineRule="exact"/>
        <w:rPr>
          <w:bCs/>
          <w:lang w:val="fr-FR"/>
        </w:rPr>
      </w:pPr>
      <w:r w:rsidRPr="008E60B5">
        <w:rPr>
          <w:lang w:val="fr-FR"/>
        </w:rPr>
        <w:t xml:space="preserve">Depuis 2013, la </w:t>
      </w:r>
      <w:r w:rsidRPr="008E60B5">
        <w:rPr>
          <w:bCs/>
          <w:lang w:val="fr-FR"/>
        </w:rPr>
        <w:t>Chambre de commerce et d</w:t>
      </w:r>
      <w:r w:rsidR="008E60B5" w:rsidRPr="008E60B5">
        <w:rPr>
          <w:bCs/>
          <w:lang w:val="fr-FR"/>
        </w:rPr>
        <w:t>’</w:t>
      </w:r>
      <w:r w:rsidRPr="008E60B5">
        <w:rPr>
          <w:bCs/>
          <w:lang w:val="fr-FR"/>
        </w:rPr>
        <w:t>industrie</w:t>
      </w:r>
      <w:r w:rsidRPr="008E60B5">
        <w:rPr>
          <w:b/>
          <w:bCs/>
          <w:lang w:val="fr-FR"/>
        </w:rPr>
        <w:t xml:space="preserve"> </w:t>
      </w:r>
      <w:r w:rsidRPr="008E60B5">
        <w:rPr>
          <w:lang w:val="fr-FR"/>
        </w:rPr>
        <w:t>serbe organise en avril de chaque année une journée consacrée aux filles. Celle-ci offre l</w:t>
      </w:r>
      <w:r w:rsidR="008E60B5" w:rsidRPr="008E60B5">
        <w:rPr>
          <w:lang w:val="fr-FR"/>
        </w:rPr>
        <w:t>’</w:t>
      </w:r>
      <w:r w:rsidRPr="008E60B5">
        <w:rPr>
          <w:lang w:val="fr-FR"/>
        </w:rPr>
        <w:t>occasion à plus d</w:t>
      </w:r>
      <w:r w:rsidR="008E60B5" w:rsidRPr="008E60B5">
        <w:rPr>
          <w:lang w:val="fr-FR"/>
        </w:rPr>
        <w:t>’</w:t>
      </w:r>
      <w:r w:rsidRPr="008E60B5">
        <w:rPr>
          <w:lang w:val="fr-FR"/>
        </w:rPr>
        <w:t>un millier d</w:t>
      </w:r>
      <w:r w:rsidR="008E60B5" w:rsidRPr="008E60B5">
        <w:rPr>
          <w:lang w:val="fr-FR"/>
        </w:rPr>
        <w:t>’</w:t>
      </w:r>
      <w:r w:rsidRPr="008E60B5">
        <w:rPr>
          <w:lang w:val="fr-FR"/>
        </w:rPr>
        <w:t>écolières des huit niveaux de l</w:t>
      </w:r>
      <w:r w:rsidR="008E60B5" w:rsidRPr="008E60B5">
        <w:rPr>
          <w:lang w:val="fr-FR"/>
        </w:rPr>
        <w:t>’</w:t>
      </w:r>
      <w:r w:rsidRPr="008E60B5">
        <w:rPr>
          <w:lang w:val="fr-FR"/>
        </w:rPr>
        <w:t>enseignement primaire de se rendre dans des entreprises gérées par des femmes et couronnées de succès, dans des domaines d</w:t>
      </w:r>
      <w:r w:rsidR="008E60B5" w:rsidRPr="008E60B5">
        <w:rPr>
          <w:lang w:val="fr-FR"/>
        </w:rPr>
        <w:t>’</w:t>
      </w:r>
      <w:r w:rsidRPr="008E60B5">
        <w:rPr>
          <w:lang w:val="fr-FR"/>
        </w:rPr>
        <w:t>activité qui ne sont habituellement pas associés aux femmes. L</w:t>
      </w:r>
      <w:r w:rsidR="008E60B5" w:rsidRPr="008E60B5">
        <w:rPr>
          <w:lang w:val="fr-FR"/>
        </w:rPr>
        <w:t>’</w:t>
      </w:r>
      <w:r w:rsidRPr="008E60B5">
        <w:rPr>
          <w:lang w:val="fr-FR"/>
        </w:rPr>
        <w:t xml:space="preserve">objectif de cette activité est de remettre en question les stéréotypes concernant les professions dites masculines ou féminines. Presque toutes les écoles du district de </w:t>
      </w:r>
      <w:r w:rsidRPr="008E60B5">
        <w:rPr>
          <w:bCs/>
          <w:lang w:val="fr-FR"/>
        </w:rPr>
        <w:t>Moravica</w:t>
      </w:r>
      <w:r w:rsidRPr="008E60B5">
        <w:rPr>
          <w:b/>
          <w:bCs/>
          <w:lang w:val="fr-FR"/>
        </w:rPr>
        <w:t xml:space="preserve"> </w:t>
      </w:r>
      <w:r w:rsidRPr="008E60B5">
        <w:rPr>
          <w:lang w:val="fr-FR"/>
        </w:rPr>
        <w:t>ont participé à cette manifestation et organisé des visites dans plus de 30 entreprises.</w:t>
      </w:r>
    </w:p>
    <w:p w14:paraId="2876CC29" w14:textId="7082FF4F" w:rsidR="00EE705F" w:rsidRPr="00EE705F" w:rsidRDefault="00EE705F" w:rsidP="00EE705F">
      <w:pPr>
        <w:pStyle w:val="SingleTxt"/>
        <w:tabs>
          <w:tab w:val="clear" w:pos="1742"/>
        </w:tabs>
        <w:spacing w:after="0" w:line="120" w:lineRule="exact"/>
        <w:rPr>
          <w:sz w:val="10"/>
          <w:lang w:val="fr-FR"/>
        </w:rPr>
      </w:pPr>
    </w:p>
    <w:p w14:paraId="3E19B5B1" w14:textId="607F0E79" w:rsidR="004F32D0" w:rsidRPr="008E60B5" w:rsidRDefault="004F32D0" w:rsidP="00455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Équilibre entre vie professionnelle et vie privée</w:t>
      </w:r>
    </w:p>
    <w:p w14:paraId="14EE4C72" w14:textId="14F75D53" w:rsidR="00455496" w:rsidRPr="008E60B5" w:rsidRDefault="00455496" w:rsidP="00455496">
      <w:pPr>
        <w:pStyle w:val="SingleTxt"/>
        <w:spacing w:after="0" w:line="120" w:lineRule="exact"/>
        <w:rPr>
          <w:sz w:val="10"/>
          <w:lang w:val="fr-FR"/>
        </w:rPr>
      </w:pPr>
    </w:p>
    <w:p w14:paraId="7B5C12FA" w14:textId="73C0E0C4" w:rsidR="004F32D0" w:rsidRPr="008E60B5" w:rsidRDefault="004F32D0" w:rsidP="00455496">
      <w:pPr>
        <w:pStyle w:val="SingleTxt"/>
        <w:numPr>
          <w:ilvl w:val="0"/>
          <w:numId w:val="34"/>
        </w:numPr>
        <w:spacing w:line="240" w:lineRule="exact"/>
        <w:rPr>
          <w:lang w:val="fr-FR"/>
        </w:rPr>
      </w:pPr>
      <w:r w:rsidRPr="008E60B5">
        <w:rPr>
          <w:lang w:val="fr-FR"/>
        </w:rPr>
        <w:t xml:space="preserve">Sur le territoire serbe, chaque collectivité locale gère des services de soutien aux familles et aux enfants, notamment dans le cadre des </w:t>
      </w:r>
      <w:r w:rsidRPr="008E60B5">
        <w:rPr>
          <w:bCs/>
          <w:lang w:val="fr-FR"/>
        </w:rPr>
        <w:t>centres d</w:t>
      </w:r>
      <w:r w:rsidR="008E60B5" w:rsidRPr="008E60B5">
        <w:rPr>
          <w:bCs/>
          <w:lang w:val="fr-FR"/>
        </w:rPr>
        <w:t>’</w:t>
      </w:r>
      <w:r w:rsidRPr="008E60B5">
        <w:rPr>
          <w:bCs/>
          <w:lang w:val="fr-FR"/>
        </w:rPr>
        <w:t>action sociale et des autorités de tutelle</w:t>
      </w:r>
      <w:r w:rsidRPr="008E60B5">
        <w:rPr>
          <w:lang w:val="fr-FR"/>
        </w:rPr>
        <w:t>. Conformément aux pouvoirs qui leur sont conférés en vertu de l</w:t>
      </w:r>
      <w:r w:rsidR="008E60B5" w:rsidRPr="008E60B5">
        <w:rPr>
          <w:lang w:val="fr-FR"/>
        </w:rPr>
        <w:t>’</w:t>
      </w:r>
      <w:r w:rsidRPr="008E60B5">
        <w:rPr>
          <w:lang w:val="fr-FR"/>
        </w:rPr>
        <w:t xml:space="preserve">article 12 de la loi sur la famille, ces institutions chargées de la protection sociale ont pour obligation première de fournir une assistance et un soutien aux familles et aux enfants, en particulier dans les domaines du mariage, du divorce, des relations entre parents et enfants, du soutien financier ou encore des relations familiales. Dans de nombreuses collectivités </w:t>
      </w:r>
      <w:r w:rsidRPr="008E60B5">
        <w:rPr>
          <w:iCs/>
          <w:lang w:val="fr-FR"/>
        </w:rPr>
        <w:t>locales, il existe</w:t>
      </w:r>
      <w:r w:rsidRPr="008E60B5">
        <w:rPr>
          <w:i/>
          <w:iCs/>
          <w:lang w:val="fr-FR"/>
        </w:rPr>
        <w:t xml:space="preserve"> </w:t>
      </w:r>
      <w:r w:rsidRPr="008E60B5">
        <w:rPr>
          <w:lang w:val="fr-FR"/>
        </w:rPr>
        <w:t>aussi des institutions spécialisées de médiation familiale, qui offrent gratuitement des services de conseils portant notamment sur le mariage, la famille et le développement personnel.</w:t>
      </w:r>
    </w:p>
    <w:p w14:paraId="1650EC32" w14:textId="33B7ADD7" w:rsidR="004F32D0" w:rsidRPr="008E60B5" w:rsidRDefault="004F32D0" w:rsidP="00455496">
      <w:pPr>
        <w:pStyle w:val="SingleTxt"/>
        <w:numPr>
          <w:ilvl w:val="0"/>
          <w:numId w:val="34"/>
        </w:numPr>
        <w:spacing w:line="240" w:lineRule="exact"/>
        <w:rPr>
          <w:b/>
          <w:lang w:val="fr-FR"/>
        </w:rPr>
      </w:pPr>
      <w:r w:rsidRPr="008E60B5">
        <w:rPr>
          <w:lang w:val="fr-FR"/>
        </w:rPr>
        <w:t>Une attention particulière est accordée à l</w:t>
      </w:r>
      <w:r w:rsidR="008E60B5" w:rsidRPr="008E60B5">
        <w:rPr>
          <w:lang w:val="fr-FR"/>
        </w:rPr>
        <w:t>’</w:t>
      </w:r>
      <w:r w:rsidRPr="008E60B5">
        <w:rPr>
          <w:lang w:val="fr-FR"/>
        </w:rPr>
        <w:t>équilibre entre la vie privée et la vie professionnelle. Dans le cadre des négociations collectives à tous les niveaux, les partenaires sociaux sont tenus de coopérer pour prendre des mesures spéciales visant à encourager les pères à prendre les congés rémunérés auxquels ils ont droit</w:t>
      </w:r>
      <w:r w:rsidR="00002E6B" w:rsidRPr="008E60B5">
        <w:rPr>
          <w:lang w:val="fr-FR"/>
        </w:rPr>
        <w:t xml:space="preserve"> </w:t>
      </w:r>
      <w:r w:rsidRPr="008E60B5">
        <w:rPr>
          <w:lang w:val="fr-FR"/>
        </w:rPr>
        <w:t>pour s</w:t>
      </w:r>
      <w:r w:rsidR="008E60B5" w:rsidRPr="008E60B5">
        <w:rPr>
          <w:lang w:val="fr-FR"/>
        </w:rPr>
        <w:t>’</w:t>
      </w:r>
      <w:r w:rsidRPr="008E60B5">
        <w:rPr>
          <w:lang w:val="fr-FR"/>
        </w:rPr>
        <w:t>occuper des enfants ou leurs fournir des soins spéciaux.</w:t>
      </w:r>
    </w:p>
    <w:p w14:paraId="3981F8E1" w14:textId="3069E21F" w:rsidR="004F32D0" w:rsidRPr="008E60B5" w:rsidRDefault="004F32D0" w:rsidP="00455496">
      <w:pPr>
        <w:pStyle w:val="SingleTxt"/>
        <w:numPr>
          <w:ilvl w:val="0"/>
          <w:numId w:val="39"/>
        </w:numPr>
        <w:spacing w:line="240" w:lineRule="exact"/>
        <w:rPr>
          <w:lang w:val="fr-FR"/>
        </w:rPr>
      </w:pPr>
      <w:r w:rsidRPr="008E60B5">
        <w:rPr>
          <w:lang w:val="fr-FR"/>
        </w:rPr>
        <w:t>La loi sur le travail interdit le harcèlement, y compris sexuel. En cas de discrimination, un demandeur d</w:t>
      </w:r>
      <w:r w:rsidR="008E60B5" w:rsidRPr="008E60B5">
        <w:rPr>
          <w:lang w:val="fr-FR"/>
        </w:rPr>
        <w:t>’</w:t>
      </w:r>
      <w:r w:rsidRPr="008E60B5">
        <w:rPr>
          <w:lang w:val="fr-FR"/>
        </w:rPr>
        <w:t xml:space="preserve">emploi ou un employé peut </w:t>
      </w:r>
      <w:r w:rsidRPr="008E60B5">
        <w:rPr>
          <w:iCs/>
          <w:lang w:val="fr-FR"/>
        </w:rPr>
        <w:t>poursuivre un employeur en dommages-intérêts</w:t>
      </w:r>
      <w:r w:rsidRPr="008E60B5">
        <w:rPr>
          <w:i/>
          <w:iCs/>
          <w:lang w:val="fr-FR"/>
        </w:rPr>
        <w:t xml:space="preserve"> </w:t>
      </w:r>
      <w:r w:rsidRPr="008E60B5">
        <w:rPr>
          <w:lang w:val="fr-FR"/>
        </w:rPr>
        <w:t>devant le tribunal compétent, conformément à la loi. Les dispositions de la loi sur la prévention du harcèlement au travail s</w:t>
      </w:r>
      <w:r w:rsidR="008E60B5" w:rsidRPr="008E60B5">
        <w:rPr>
          <w:lang w:val="fr-FR"/>
        </w:rPr>
        <w:t>’</w:t>
      </w:r>
      <w:r w:rsidRPr="008E60B5">
        <w:rPr>
          <w:lang w:val="fr-FR"/>
        </w:rPr>
        <w:t>appliquent également aux cas de harcèlement sexuel. Cette loi oblige les employeurs à offrir une protection en la matière, et les employés peuvent aussi s</w:t>
      </w:r>
      <w:r w:rsidR="008E60B5" w:rsidRPr="008E60B5">
        <w:rPr>
          <w:lang w:val="fr-FR"/>
        </w:rPr>
        <w:t>’</w:t>
      </w:r>
      <w:r w:rsidRPr="008E60B5">
        <w:rPr>
          <w:lang w:val="fr-FR"/>
        </w:rPr>
        <w:t>en remettre aux tribunaux. Le respect de cette loi est contrôlé par l</w:t>
      </w:r>
      <w:r w:rsidR="008E60B5" w:rsidRPr="008E60B5">
        <w:rPr>
          <w:lang w:val="fr-FR"/>
        </w:rPr>
        <w:t>’</w:t>
      </w:r>
      <w:r w:rsidRPr="008E60B5">
        <w:rPr>
          <w:lang w:val="fr-FR"/>
        </w:rPr>
        <w:t xml:space="preserve">inspection du travail. </w:t>
      </w:r>
    </w:p>
    <w:p w14:paraId="3582F08A" w14:textId="77777777" w:rsidR="00455496" w:rsidRPr="008E60B5" w:rsidRDefault="00455496" w:rsidP="00455496">
      <w:pPr>
        <w:pStyle w:val="SingleTxt"/>
        <w:spacing w:after="0" w:line="120" w:lineRule="exact"/>
        <w:rPr>
          <w:b/>
          <w:sz w:val="10"/>
          <w:lang w:val="fr-FR"/>
        </w:rPr>
      </w:pPr>
    </w:p>
    <w:p w14:paraId="4A35AADA" w14:textId="54D53C8A" w:rsidR="004F32D0" w:rsidRPr="008E60B5" w:rsidRDefault="00455496" w:rsidP="00455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004F32D0" w:rsidRPr="008E60B5">
        <w:rPr>
          <w:lang w:val="fr-FR"/>
        </w:rPr>
        <w:tab/>
        <w:t>Enregistrement et classement des données dans le domaine de l</w:t>
      </w:r>
      <w:r w:rsidR="008E60B5" w:rsidRPr="008E60B5">
        <w:rPr>
          <w:lang w:val="fr-FR"/>
        </w:rPr>
        <w:t>’</w:t>
      </w:r>
      <w:r w:rsidR="004F32D0" w:rsidRPr="008E60B5">
        <w:rPr>
          <w:lang w:val="fr-FR"/>
        </w:rPr>
        <w:t>emploi</w:t>
      </w:r>
    </w:p>
    <w:p w14:paraId="4636CD76" w14:textId="3F750587" w:rsidR="00455496" w:rsidRPr="008E60B5" w:rsidRDefault="00455496" w:rsidP="00455496">
      <w:pPr>
        <w:pStyle w:val="SingleTxt"/>
        <w:spacing w:after="0" w:line="120" w:lineRule="exact"/>
        <w:rPr>
          <w:sz w:val="10"/>
          <w:lang w:val="fr-FR"/>
        </w:rPr>
      </w:pPr>
    </w:p>
    <w:p w14:paraId="07E8423E" w14:textId="6C4BDA5A" w:rsidR="004F32D0" w:rsidRPr="008E60B5" w:rsidRDefault="004F32D0" w:rsidP="00455496">
      <w:pPr>
        <w:pStyle w:val="SingleTxt"/>
        <w:numPr>
          <w:ilvl w:val="0"/>
          <w:numId w:val="39"/>
        </w:numPr>
        <w:spacing w:line="240" w:lineRule="exact"/>
        <w:rPr>
          <w:lang w:val="fr-FR"/>
        </w:rPr>
      </w:pPr>
      <w:r w:rsidRPr="008E60B5">
        <w:rPr>
          <w:lang w:val="fr-FR"/>
        </w:rPr>
        <w:t xml:space="preserve">En vertu du </w:t>
      </w:r>
      <w:r w:rsidRPr="008E60B5">
        <w:rPr>
          <w:bCs/>
          <w:lang w:val="fr-FR"/>
        </w:rPr>
        <w:t>projet de loi sur l</w:t>
      </w:r>
      <w:r w:rsidR="008E60B5" w:rsidRPr="008E60B5">
        <w:rPr>
          <w:bCs/>
          <w:lang w:val="fr-FR"/>
        </w:rPr>
        <w:t>’</w:t>
      </w:r>
      <w:r w:rsidRPr="008E60B5">
        <w:rPr>
          <w:bCs/>
          <w:lang w:val="fr-FR"/>
        </w:rPr>
        <w:t>égalité des sexes,</w:t>
      </w:r>
      <w:r w:rsidRPr="008E60B5">
        <w:rPr>
          <w:b/>
          <w:bCs/>
          <w:lang w:val="fr-FR"/>
        </w:rPr>
        <w:t xml:space="preserve"> </w:t>
      </w:r>
      <w:r w:rsidRPr="008E60B5">
        <w:rPr>
          <w:lang w:val="fr-FR"/>
        </w:rPr>
        <w:t>les autorités publiques, les employeurs et les organes permanents chargés de l</w:t>
      </w:r>
      <w:r w:rsidR="008E60B5" w:rsidRPr="008E60B5">
        <w:rPr>
          <w:lang w:val="fr-FR"/>
        </w:rPr>
        <w:t>’</w:t>
      </w:r>
      <w:r w:rsidRPr="008E60B5">
        <w:rPr>
          <w:lang w:val="fr-FR"/>
        </w:rPr>
        <w:t xml:space="preserve">égalité entre les sexes sont tenus </w:t>
      </w:r>
      <w:r w:rsidRPr="008E60B5">
        <w:rPr>
          <w:lang w:val="fr-FR"/>
        </w:rPr>
        <w:lastRenderedPageBreak/>
        <w:t>d</w:t>
      </w:r>
      <w:r w:rsidR="008E60B5" w:rsidRPr="008E60B5">
        <w:rPr>
          <w:lang w:val="fr-FR"/>
        </w:rPr>
        <w:t>’</w:t>
      </w:r>
      <w:r w:rsidRPr="008E60B5">
        <w:rPr>
          <w:lang w:val="fr-FR"/>
        </w:rPr>
        <w:t>enregistrer les données relatives à l</w:t>
      </w:r>
      <w:r w:rsidR="008E60B5" w:rsidRPr="008E60B5">
        <w:rPr>
          <w:lang w:val="fr-FR"/>
        </w:rPr>
        <w:t>’</w:t>
      </w:r>
      <w:r w:rsidRPr="008E60B5">
        <w:rPr>
          <w:lang w:val="fr-FR"/>
        </w:rPr>
        <w:t>égalité des sexes, y compris des données ventilées par sexe sur les salaires, sur la situation sur le marché du travail ainsi que sur le nombre et la nature des affaires de discrimination sexiste et de harcèlement sexuel sur le lieu de travail portées devant les tribunaux et les cours d</w:t>
      </w:r>
      <w:r w:rsidR="008E60B5" w:rsidRPr="008E60B5">
        <w:rPr>
          <w:lang w:val="fr-FR"/>
        </w:rPr>
        <w:t>’</w:t>
      </w:r>
      <w:r w:rsidRPr="008E60B5">
        <w:rPr>
          <w:lang w:val="fr-FR"/>
        </w:rPr>
        <w:t>appels. Ces données servent de base, par exemple, pour recenser les écarts de salaires entre les hommes et les femmes pour un travail égal ou de valeur égale et pour proposer et adopter des mesures destinées à éliminer ces écarts de rémunération. Toutes les données enregistrées doivent être présentées dans un ordre identique pour permettre leur comparaison ainsi que la normalisation des rapports, l</w:t>
      </w:r>
      <w:r w:rsidR="008E60B5" w:rsidRPr="008E60B5">
        <w:rPr>
          <w:lang w:val="fr-FR"/>
        </w:rPr>
        <w:t>’</w:t>
      </w:r>
      <w:r w:rsidRPr="008E60B5">
        <w:rPr>
          <w:lang w:val="fr-FR"/>
        </w:rPr>
        <w:t>analyse des niveaux d</w:t>
      </w:r>
      <w:r w:rsidR="008E60B5" w:rsidRPr="008E60B5">
        <w:rPr>
          <w:lang w:val="fr-FR"/>
        </w:rPr>
        <w:t>’</w:t>
      </w:r>
      <w:r w:rsidRPr="008E60B5">
        <w:rPr>
          <w:lang w:val="fr-FR"/>
        </w:rPr>
        <w:t>égalité entre les sexes, la proposition de mesures appropriées et la mise en œuvre stratégique d</w:t>
      </w:r>
      <w:r w:rsidR="008E60B5" w:rsidRPr="008E60B5">
        <w:rPr>
          <w:lang w:val="fr-FR"/>
        </w:rPr>
        <w:t>’</w:t>
      </w:r>
      <w:r w:rsidRPr="008E60B5">
        <w:rPr>
          <w:lang w:val="fr-FR"/>
        </w:rPr>
        <w:t>une politique d</w:t>
      </w:r>
      <w:r w:rsidR="008E60B5" w:rsidRPr="008E60B5">
        <w:rPr>
          <w:lang w:val="fr-FR"/>
        </w:rPr>
        <w:t>’</w:t>
      </w:r>
      <w:r w:rsidRPr="008E60B5">
        <w:rPr>
          <w:lang w:val="fr-FR"/>
        </w:rPr>
        <w:t xml:space="preserve">égalité des chances. </w:t>
      </w:r>
    </w:p>
    <w:p w14:paraId="7441FE37" w14:textId="5B372CBF" w:rsidR="004F32D0" w:rsidRPr="008E60B5" w:rsidRDefault="004F32D0" w:rsidP="00455496">
      <w:pPr>
        <w:pStyle w:val="SingleTxt"/>
        <w:numPr>
          <w:ilvl w:val="0"/>
          <w:numId w:val="39"/>
        </w:numPr>
        <w:spacing w:line="240" w:lineRule="exact"/>
        <w:rPr>
          <w:lang w:val="fr-FR"/>
        </w:rPr>
      </w:pPr>
      <w:r w:rsidRPr="008E60B5">
        <w:rPr>
          <w:lang w:val="fr-FR"/>
        </w:rPr>
        <w:t xml:space="preserve">Le </w:t>
      </w:r>
      <w:r w:rsidRPr="008E60B5">
        <w:rPr>
          <w:iCs/>
          <w:lang w:val="fr-FR"/>
        </w:rPr>
        <w:t>Kosovo-Metohija</w:t>
      </w:r>
      <w:r w:rsidRPr="008E60B5">
        <w:rPr>
          <w:i/>
          <w:iCs/>
          <w:lang w:val="fr-FR"/>
        </w:rPr>
        <w:t xml:space="preserve"> </w:t>
      </w:r>
      <w:r w:rsidRPr="008E60B5">
        <w:rPr>
          <w:iCs/>
          <w:lang w:val="fr-FR"/>
        </w:rPr>
        <w:t>a le taux de chômage</w:t>
      </w:r>
      <w:r w:rsidRPr="008E60B5">
        <w:rPr>
          <w:i/>
          <w:iCs/>
          <w:lang w:val="fr-FR"/>
        </w:rPr>
        <w:t xml:space="preserve"> </w:t>
      </w:r>
      <w:r w:rsidRPr="008E60B5">
        <w:rPr>
          <w:lang w:val="fr-FR"/>
        </w:rPr>
        <w:t>le plus élevé de la région. Environ 42</w:t>
      </w:r>
      <w:r w:rsidR="00002E6B" w:rsidRPr="008E60B5">
        <w:rPr>
          <w:lang w:val="fr-FR"/>
        </w:rPr>
        <w:t> %</w:t>
      </w:r>
      <w:r w:rsidRPr="008E60B5">
        <w:rPr>
          <w:lang w:val="fr-FR"/>
        </w:rPr>
        <w:t xml:space="preserve"> des femmes sont au chômage, contre 33</w:t>
      </w:r>
      <w:r w:rsidR="00002E6B" w:rsidRPr="008E60B5">
        <w:rPr>
          <w:lang w:val="fr-FR"/>
        </w:rPr>
        <w:t> %</w:t>
      </w:r>
      <w:r w:rsidRPr="008E60B5">
        <w:rPr>
          <w:lang w:val="fr-FR"/>
        </w:rPr>
        <w:t xml:space="preserve"> des hommes. Les femmes sont particulièrement touchées par le chômage de longue durée. La décision des femmes de participer au marché du travail est influencée par leurs obligations personnelles et familiales</w:t>
      </w:r>
      <w:r w:rsidRPr="008E60B5">
        <w:rPr>
          <w:vertAlign w:val="superscript"/>
          <w:lang w:val="fr-FR"/>
        </w:rPr>
        <w:footnoteReference w:id="8"/>
      </w:r>
      <w:r w:rsidRPr="008E60B5">
        <w:rPr>
          <w:lang w:val="fr-FR"/>
        </w:rPr>
        <w:t>. Certains chiffres font apparaître des déséquilibres entre les sexes sur le lieu de travail. À la différence des femmes, les hommes occupent des postes plus élevés dans la hiérarchie, qui sont aussi mieux payés. La différence entre les hommes et les femmes diminue à mesure que le niveau de qualification augmente, ce qui est un effet de l</w:t>
      </w:r>
      <w:r w:rsidR="008E60B5" w:rsidRPr="008E60B5">
        <w:rPr>
          <w:lang w:val="fr-FR"/>
        </w:rPr>
        <w:t>’</w:t>
      </w:r>
      <w:r w:rsidRPr="008E60B5">
        <w:rPr>
          <w:lang w:val="fr-FR"/>
        </w:rPr>
        <w:t>éducation sur l</w:t>
      </w:r>
      <w:r w:rsidR="008E60B5" w:rsidRPr="008E60B5">
        <w:rPr>
          <w:lang w:val="fr-FR"/>
        </w:rPr>
        <w:t>’</w:t>
      </w:r>
      <w:r w:rsidRPr="008E60B5">
        <w:rPr>
          <w:lang w:val="fr-FR"/>
        </w:rPr>
        <w:t>égalité</w:t>
      </w:r>
      <w:r w:rsidRPr="008E60B5">
        <w:rPr>
          <w:vertAlign w:val="superscript"/>
          <w:lang w:val="fr-FR"/>
        </w:rPr>
        <w:footnoteReference w:id="9"/>
      </w:r>
      <w:r w:rsidRPr="008E60B5">
        <w:rPr>
          <w:lang w:val="fr-FR"/>
        </w:rPr>
        <w:t xml:space="preserve">. Il existe aussi des différences en termes de revenu, les hommes de la province gagnant trois fois plus que les femmes. </w:t>
      </w:r>
    </w:p>
    <w:p w14:paraId="4287C29D" w14:textId="77777777" w:rsidR="00455496" w:rsidRPr="008E60B5" w:rsidRDefault="00455496" w:rsidP="00455496">
      <w:pPr>
        <w:pStyle w:val="SingleTxt"/>
        <w:spacing w:after="0" w:line="120" w:lineRule="exact"/>
        <w:rPr>
          <w:b/>
          <w:sz w:val="10"/>
          <w:lang w:val="fr-FR"/>
        </w:rPr>
      </w:pPr>
    </w:p>
    <w:p w14:paraId="144DFFD7" w14:textId="77777777" w:rsidR="00455496" w:rsidRPr="008E60B5" w:rsidRDefault="00455496" w:rsidP="00455496">
      <w:pPr>
        <w:pStyle w:val="SingleTxt"/>
        <w:spacing w:after="0" w:line="120" w:lineRule="exact"/>
        <w:rPr>
          <w:b/>
          <w:sz w:val="10"/>
          <w:lang w:val="fr-FR"/>
        </w:rPr>
      </w:pPr>
    </w:p>
    <w:p w14:paraId="22C27EF1" w14:textId="6D41E729" w:rsidR="004F32D0" w:rsidRPr="008E60B5" w:rsidRDefault="004F32D0" w:rsidP="00EE705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Article 12</w:t>
      </w:r>
    </w:p>
    <w:p w14:paraId="0F5C9CD2" w14:textId="6EF8E33A" w:rsidR="00455496" w:rsidRPr="008E60B5" w:rsidRDefault="00455496" w:rsidP="00EE705F">
      <w:pPr>
        <w:pStyle w:val="SingleTxt"/>
        <w:keepNext/>
        <w:spacing w:after="0" w:line="120" w:lineRule="exact"/>
        <w:rPr>
          <w:sz w:val="10"/>
          <w:lang w:val="fr-FR"/>
        </w:rPr>
      </w:pPr>
    </w:p>
    <w:p w14:paraId="5D321816" w14:textId="65D2F31C" w:rsidR="00455496" w:rsidRPr="008E60B5" w:rsidRDefault="00455496" w:rsidP="00EE705F">
      <w:pPr>
        <w:pStyle w:val="SingleTxt"/>
        <w:keepNext/>
        <w:spacing w:after="0" w:line="120" w:lineRule="exact"/>
        <w:rPr>
          <w:sz w:val="10"/>
          <w:lang w:val="fr-FR"/>
        </w:rPr>
      </w:pPr>
    </w:p>
    <w:p w14:paraId="1A8C99E0" w14:textId="77777777" w:rsidR="004F32D0" w:rsidRPr="008E60B5" w:rsidRDefault="004F32D0" w:rsidP="00EE70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Soins de santé pour les femmes</w:t>
      </w:r>
    </w:p>
    <w:p w14:paraId="7733730F" w14:textId="0BD1F259" w:rsidR="00455496" w:rsidRPr="008E60B5" w:rsidRDefault="00455496" w:rsidP="00EE705F">
      <w:pPr>
        <w:pStyle w:val="SingleTxt"/>
        <w:keepNext/>
        <w:spacing w:after="0" w:line="120" w:lineRule="exact"/>
        <w:rPr>
          <w:sz w:val="10"/>
          <w:lang w:val="fr-FR"/>
        </w:rPr>
      </w:pPr>
    </w:p>
    <w:p w14:paraId="1EF7F44E" w14:textId="66E551AB" w:rsidR="004F32D0" w:rsidRPr="008E60B5" w:rsidRDefault="004F32D0" w:rsidP="00EE705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Recommand</w:t>
      </w:r>
      <w:r w:rsidR="00455496" w:rsidRPr="008E60B5">
        <w:rPr>
          <w:lang w:val="fr-FR"/>
        </w:rPr>
        <w:t>ation formulée au paragraphe 33</w:t>
      </w:r>
    </w:p>
    <w:p w14:paraId="067AE983" w14:textId="345CF8A5" w:rsidR="00455496" w:rsidRPr="008E60B5" w:rsidRDefault="00455496" w:rsidP="00EE705F">
      <w:pPr>
        <w:pStyle w:val="SingleTxt"/>
        <w:keepNext/>
        <w:spacing w:after="0" w:line="120" w:lineRule="exact"/>
        <w:rPr>
          <w:sz w:val="10"/>
          <w:lang w:val="fr-FR"/>
        </w:rPr>
      </w:pPr>
    </w:p>
    <w:p w14:paraId="29640438" w14:textId="47A6F0C1" w:rsidR="004F32D0" w:rsidRPr="008E60B5" w:rsidRDefault="004F32D0" w:rsidP="00455496">
      <w:pPr>
        <w:pStyle w:val="SingleTxt"/>
        <w:numPr>
          <w:ilvl w:val="0"/>
          <w:numId w:val="39"/>
        </w:numPr>
        <w:spacing w:line="240" w:lineRule="exact"/>
        <w:rPr>
          <w:lang w:val="fr-FR"/>
        </w:rPr>
      </w:pPr>
      <w:r w:rsidRPr="008E60B5">
        <w:rPr>
          <w:lang w:val="fr-FR"/>
        </w:rPr>
        <w:t xml:space="preserve">La </w:t>
      </w:r>
      <w:r w:rsidRPr="008E60B5">
        <w:rPr>
          <w:bCs/>
          <w:lang w:val="fr-FR"/>
        </w:rPr>
        <w:t>loi sur les soins de santé et la loi sur l</w:t>
      </w:r>
      <w:r w:rsidR="008E60B5" w:rsidRPr="008E60B5">
        <w:rPr>
          <w:bCs/>
          <w:lang w:val="fr-FR"/>
        </w:rPr>
        <w:t>’</w:t>
      </w:r>
      <w:r w:rsidRPr="008E60B5">
        <w:rPr>
          <w:bCs/>
          <w:lang w:val="fr-FR"/>
        </w:rPr>
        <w:t>assurance maladie</w:t>
      </w:r>
      <w:r w:rsidRPr="008E60B5">
        <w:rPr>
          <w:b/>
          <w:bCs/>
          <w:lang w:val="fr-FR"/>
        </w:rPr>
        <w:t xml:space="preserve"> </w:t>
      </w:r>
      <w:r w:rsidRPr="008E60B5">
        <w:rPr>
          <w:lang w:val="fr-FR"/>
        </w:rPr>
        <w:t>prévoient la fourniture de soins de santé gratuits pour toutes les personnes assurées ainsi que pour toutes les filles, femmes enceintes et mères allaitantes, indépendamment de leur affiliation à un régime d</w:t>
      </w:r>
      <w:r w:rsidR="008E60B5" w:rsidRPr="008E60B5">
        <w:rPr>
          <w:lang w:val="fr-FR"/>
        </w:rPr>
        <w:t>’</w:t>
      </w:r>
      <w:r w:rsidRPr="008E60B5">
        <w:rPr>
          <w:lang w:val="fr-FR"/>
        </w:rPr>
        <w:t xml:space="preserve">assurance. </w:t>
      </w:r>
    </w:p>
    <w:p w14:paraId="7D028E70" w14:textId="6681DAEE" w:rsidR="004F32D0" w:rsidRPr="008E60B5" w:rsidRDefault="004F32D0" w:rsidP="00455496">
      <w:pPr>
        <w:pStyle w:val="SingleTxt"/>
        <w:numPr>
          <w:ilvl w:val="0"/>
          <w:numId w:val="39"/>
        </w:numPr>
        <w:spacing w:line="240" w:lineRule="exact"/>
        <w:rPr>
          <w:lang w:val="fr-FR"/>
        </w:rPr>
      </w:pPr>
      <w:r w:rsidRPr="008E60B5">
        <w:rPr>
          <w:lang w:val="fr-FR"/>
        </w:rPr>
        <w:t>L</w:t>
      </w:r>
      <w:r w:rsidR="008E60B5" w:rsidRPr="008E60B5">
        <w:rPr>
          <w:lang w:val="fr-FR"/>
        </w:rPr>
        <w:t>’</w:t>
      </w:r>
      <w:r w:rsidRPr="008E60B5">
        <w:rPr>
          <w:lang w:val="fr-FR"/>
        </w:rPr>
        <w:t>amélioration partielle de l</w:t>
      </w:r>
      <w:r w:rsidR="008E60B5" w:rsidRPr="008E60B5">
        <w:rPr>
          <w:lang w:val="fr-FR"/>
        </w:rPr>
        <w:t>’</w:t>
      </w:r>
      <w:r w:rsidRPr="008E60B5">
        <w:rPr>
          <w:lang w:val="fr-FR"/>
        </w:rPr>
        <w:t>état de santé des hommes et des femmes roms et de l</w:t>
      </w:r>
      <w:r w:rsidR="008E60B5" w:rsidRPr="008E60B5">
        <w:rPr>
          <w:lang w:val="fr-FR"/>
        </w:rPr>
        <w:t>’</w:t>
      </w:r>
      <w:r w:rsidRPr="008E60B5">
        <w:rPr>
          <w:lang w:val="fr-FR"/>
        </w:rPr>
        <w:t>accès aux soins et à l</w:t>
      </w:r>
      <w:r w:rsidR="008E60B5" w:rsidRPr="008E60B5">
        <w:rPr>
          <w:lang w:val="fr-FR"/>
        </w:rPr>
        <w:t>’</w:t>
      </w:r>
      <w:r w:rsidRPr="008E60B5">
        <w:rPr>
          <w:lang w:val="fr-FR"/>
        </w:rPr>
        <w:t>assurance maladie coïncide avec la nomination de médiatrices en santé. Ces dernières ont effectué 37 502 premières visites auprès de familles roms entre le 1er janvier 2009 et le 31 mai 2014, au cours desquelles elles ont enregistré 140 408 citoyens et citoyennes roms, dont 46 453 femmes, 43 201 hommes et 50 754 enfants. Elles se sont rendues auprès de plus de deux cents familles qui avaient besoin d</w:t>
      </w:r>
      <w:r w:rsidR="008E60B5" w:rsidRPr="008E60B5">
        <w:rPr>
          <w:lang w:val="fr-FR"/>
        </w:rPr>
        <w:t>’</w:t>
      </w:r>
      <w:r w:rsidRPr="008E60B5">
        <w:rPr>
          <w:lang w:val="fr-FR"/>
        </w:rPr>
        <w:t>aide pour obtenir des documents d</w:t>
      </w:r>
      <w:r w:rsidR="008E60B5" w:rsidRPr="008E60B5">
        <w:rPr>
          <w:lang w:val="fr-FR"/>
        </w:rPr>
        <w:t>’</w:t>
      </w:r>
      <w:r w:rsidRPr="008E60B5">
        <w:rPr>
          <w:lang w:val="fr-FR"/>
        </w:rPr>
        <w:t>identité, exercer leur droit à bénéficier d</w:t>
      </w:r>
      <w:r w:rsidR="008E60B5" w:rsidRPr="008E60B5">
        <w:rPr>
          <w:lang w:val="fr-FR"/>
        </w:rPr>
        <w:t>’</w:t>
      </w:r>
      <w:r w:rsidRPr="008E60B5">
        <w:rPr>
          <w:lang w:val="fr-FR"/>
        </w:rPr>
        <w:t>une assurance maladie, intégrer le système de santé (examens gynécologiques, choix d</w:t>
      </w:r>
      <w:r w:rsidR="008E60B5" w:rsidRPr="008E60B5">
        <w:rPr>
          <w:lang w:val="fr-FR"/>
        </w:rPr>
        <w:t>’</w:t>
      </w:r>
      <w:r w:rsidRPr="008E60B5">
        <w:rPr>
          <w:lang w:val="fr-FR"/>
        </w:rPr>
        <w:t>un médecin, vaccination des enfants et choix d</w:t>
      </w:r>
      <w:r w:rsidR="008E60B5" w:rsidRPr="008E60B5">
        <w:rPr>
          <w:lang w:val="fr-FR"/>
        </w:rPr>
        <w:t>’</w:t>
      </w:r>
      <w:r w:rsidRPr="008E60B5">
        <w:rPr>
          <w:lang w:val="fr-FR"/>
        </w:rPr>
        <w:t>un pédiatre), inscrire leurs enfants à l</w:t>
      </w:r>
      <w:r w:rsidR="008E60B5" w:rsidRPr="008E60B5">
        <w:rPr>
          <w:lang w:val="fr-FR"/>
        </w:rPr>
        <w:t>’</w:t>
      </w:r>
      <w:r w:rsidRPr="008E60B5">
        <w:rPr>
          <w:lang w:val="fr-FR"/>
        </w:rPr>
        <w:t>école ou encore exercer leur droit à diverses formes d</w:t>
      </w:r>
      <w:r w:rsidR="008E60B5" w:rsidRPr="008E60B5">
        <w:rPr>
          <w:lang w:val="fr-FR"/>
        </w:rPr>
        <w:t>’</w:t>
      </w:r>
      <w:r w:rsidRPr="008E60B5">
        <w:rPr>
          <w:lang w:val="fr-FR"/>
        </w:rPr>
        <w:t>assistance (aide financière ponctuelle, aide de la Croix-Rouge, allocation pour enfant à charge ou bourse d</w:t>
      </w:r>
      <w:r w:rsidR="008E60B5" w:rsidRPr="008E60B5">
        <w:rPr>
          <w:lang w:val="fr-FR"/>
        </w:rPr>
        <w:t>’</w:t>
      </w:r>
      <w:r w:rsidRPr="008E60B5">
        <w:rPr>
          <w:lang w:val="fr-FR"/>
        </w:rPr>
        <w:t>études). Elles ont en outre fait 170 278 visites auprès de familles entières, ou de certains de leurs membres, à des fins d</w:t>
      </w:r>
      <w:r w:rsidR="008E60B5" w:rsidRPr="008E60B5">
        <w:rPr>
          <w:lang w:val="fr-FR"/>
        </w:rPr>
        <w:t>’</w:t>
      </w:r>
      <w:r w:rsidRPr="008E60B5">
        <w:rPr>
          <w:lang w:val="fr-FR"/>
        </w:rPr>
        <w:t xml:space="preserve">éducation en matière de santé dans le cadre de conversations planifiées. </w:t>
      </w:r>
    </w:p>
    <w:p w14:paraId="661F646F" w14:textId="33DEDC3D" w:rsidR="004F32D0" w:rsidRPr="008E60B5" w:rsidRDefault="004F32D0" w:rsidP="00455496">
      <w:pPr>
        <w:pStyle w:val="SingleTxt"/>
        <w:numPr>
          <w:ilvl w:val="0"/>
          <w:numId w:val="39"/>
        </w:numPr>
        <w:spacing w:line="240" w:lineRule="exact"/>
        <w:rPr>
          <w:lang w:val="fr-FR"/>
        </w:rPr>
      </w:pPr>
      <w:r w:rsidRPr="008E60B5">
        <w:rPr>
          <w:lang w:val="fr-FR"/>
        </w:rPr>
        <w:t>Les médiatrices en santé ont permis à 16 330 personnes d</w:t>
      </w:r>
      <w:r w:rsidR="008E60B5" w:rsidRPr="008E60B5">
        <w:rPr>
          <w:lang w:val="fr-FR"/>
        </w:rPr>
        <w:t>’</w:t>
      </w:r>
      <w:r w:rsidRPr="008E60B5">
        <w:rPr>
          <w:lang w:val="fr-FR"/>
        </w:rPr>
        <w:t>obtenir des documents d</w:t>
      </w:r>
      <w:r w:rsidR="008E60B5" w:rsidRPr="008E60B5">
        <w:rPr>
          <w:lang w:val="fr-FR"/>
        </w:rPr>
        <w:t>’</w:t>
      </w:r>
      <w:r w:rsidRPr="008E60B5">
        <w:rPr>
          <w:lang w:val="fr-FR"/>
        </w:rPr>
        <w:t>identité et des cartes d</w:t>
      </w:r>
      <w:r w:rsidR="008E60B5" w:rsidRPr="008E60B5">
        <w:rPr>
          <w:lang w:val="fr-FR"/>
        </w:rPr>
        <w:t>’</w:t>
      </w:r>
      <w:r w:rsidRPr="008E60B5">
        <w:rPr>
          <w:lang w:val="fr-FR"/>
        </w:rPr>
        <w:t>assurance maladie</w:t>
      </w:r>
      <w:r w:rsidR="00002E6B" w:rsidRPr="008E60B5">
        <w:rPr>
          <w:lang w:val="fr-FR"/>
        </w:rPr>
        <w:t> ;</w:t>
      </w:r>
      <w:r w:rsidRPr="008E60B5">
        <w:rPr>
          <w:lang w:val="fr-FR"/>
        </w:rPr>
        <w:t xml:space="preserve"> aidé 28 003 femmes et hommes roms à choisir un médecin</w:t>
      </w:r>
      <w:r w:rsidR="00002E6B" w:rsidRPr="008E60B5">
        <w:rPr>
          <w:lang w:val="fr-FR"/>
        </w:rPr>
        <w:t> ;</w:t>
      </w:r>
      <w:r w:rsidRPr="008E60B5">
        <w:rPr>
          <w:lang w:val="fr-FR"/>
        </w:rPr>
        <w:t xml:space="preserve"> contribué à l</w:t>
      </w:r>
      <w:r w:rsidR="008E60B5" w:rsidRPr="008E60B5">
        <w:rPr>
          <w:lang w:val="fr-FR"/>
        </w:rPr>
        <w:t>’</w:t>
      </w:r>
      <w:r w:rsidRPr="008E60B5">
        <w:rPr>
          <w:lang w:val="fr-FR"/>
        </w:rPr>
        <w:t>augmentation du nombre de vaccinations d</w:t>
      </w:r>
      <w:r w:rsidR="008E60B5" w:rsidRPr="008E60B5">
        <w:rPr>
          <w:lang w:val="fr-FR"/>
        </w:rPr>
        <w:t>’</w:t>
      </w:r>
      <w:r w:rsidRPr="008E60B5">
        <w:rPr>
          <w:lang w:val="fr-FR"/>
        </w:rPr>
        <w:t xml:space="preserve">enfants </w:t>
      </w:r>
      <w:r w:rsidRPr="008E60B5">
        <w:rPr>
          <w:lang w:val="fr-FR"/>
        </w:rPr>
        <w:lastRenderedPageBreak/>
        <w:t>(30 018) et d</w:t>
      </w:r>
      <w:r w:rsidR="008E60B5" w:rsidRPr="008E60B5">
        <w:rPr>
          <w:lang w:val="fr-FR"/>
        </w:rPr>
        <w:t>’</w:t>
      </w:r>
      <w:r w:rsidRPr="008E60B5">
        <w:rPr>
          <w:lang w:val="fr-FR"/>
        </w:rPr>
        <w:t>adultes (2 719) et à l</w:t>
      </w:r>
      <w:r w:rsidR="008E60B5" w:rsidRPr="008E60B5">
        <w:rPr>
          <w:lang w:val="fr-FR"/>
        </w:rPr>
        <w:t>’</w:t>
      </w:r>
      <w:r w:rsidRPr="008E60B5">
        <w:rPr>
          <w:lang w:val="fr-FR"/>
        </w:rPr>
        <w:t>amélioration du suivi de 4 500 femmes enceintes et mères allaitantes</w:t>
      </w:r>
      <w:r w:rsidR="00002E6B" w:rsidRPr="008E60B5">
        <w:rPr>
          <w:lang w:val="fr-FR"/>
        </w:rPr>
        <w:t> ;</w:t>
      </w:r>
      <w:r w:rsidRPr="008E60B5">
        <w:rPr>
          <w:lang w:val="fr-FR"/>
        </w:rPr>
        <w:t xml:space="preserve"> aidé 11</w:t>
      </w:r>
      <w:r w:rsidR="00D85C91">
        <w:rPr>
          <w:lang w:val="fr-FR"/>
        </w:rPr>
        <w:t> </w:t>
      </w:r>
      <w:r w:rsidRPr="008E60B5">
        <w:rPr>
          <w:lang w:val="fr-FR"/>
        </w:rPr>
        <w:t>177 femmes à choisir un gynécologue et 12 617 femmes à bénéficier d</w:t>
      </w:r>
      <w:r w:rsidR="008E60B5" w:rsidRPr="008E60B5">
        <w:rPr>
          <w:lang w:val="fr-FR"/>
        </w:rPr>
        <w:t>’</w:t>
      </w:r>
      <w:r w:rsidRPr="008E60B5">
        <w:rPr>
          <w:lang w:val="fr-FR"/>
        </w:rPr>
        <w:t>un examen médical. Une ligne téléphonique gratuite de conseil aux parents a été créée en mai 2016.</w:t>
      </w:r>
    </w:p>
    <w:p w14:paraId="5D5CD901" w14:textId="07B3F04C" w:rsidR="004F32D0" w:rsidRPr="008E60B5" w:rsidRDefault="004F32D0" w:rsidP="00455496">
      <w:pPr>
        <w:pStyle w:val="SingleTxt"/>
        <w:numPr>
          <w:ilvl w:val="0"/>
          <w:numId w:val="39"/>
        </w:numPr>
        <w:spacing w:line="240" w:lineRule="exact"/>
        <w:rPr>
          <w:lang w:val="fr-FR"/>
        </w:rPr>
      </w:pPr>
      <w:r w:rsidRPr="008E60B5">
        <w:rPr>
          <w:lang w:val="fr-FR"/>
        </w:rPr>
        <w:t xml:space="preserve">Le </w:t>
      </w:r>
      <w:r w:rsidRPr="008E60B5">
        <w:rPr>
          <w:bCs/>
          <w:lang w:val="fr-FR"/>
        </w:rPr>
        <w:t>fonds de financement du budget pour le traitement des maladies, des affections et des blessures ne pouvant être correctement soignées</w:t>
      </w:r>
      <w:r w:rsidRPr="008E60B5">
        <w:rPr>
          <w:b/>
          <w:bCs/>
          <w:lang w:val="fr-FR"/>
        </w:rPr>
        <w:t xml:space="preserve"> </w:t>
      </w:r>
      <w:r w:rsidRPr="008E60B5">
        <w:rPr>
          <w:lang w:val="fr-FR"/>
        </w:rPr>
        <w:t>en République de Serbie a été créé en vertu d</w:t>
      </w:r>
      <w:r w:rsidR="008E60B5" w:rsidRPr="008E60B5">
        <w:rPr>
          <w:lang w:val="fr-FR"/>
        </w:rPr>
        <w:t>’</w:t>
      </w:r>
      <w:r w:rsidRPr="008E60B5">
        <w:rPr>
          <w:lang w:val="fr-FR"/>
        </w:rPr>
        <w:t xml:space="preserve">une </w:t>
      </w:r>
      <w:r w:rsidRPr="008E60B5">
        <w:rPr>
          <w:bCs/>
          <w:lang w:val="fr-FR"/>
        </w:rPr>
        <w:t>décision</w:t>
      </w:r>
      <w:r w:rsidRPr="008E60B5">
        <w:rPr>
          <w:b/>
          <w:bCs/>
          <w:lang w:val="fr-FR"/>
        </w:rPr>
        <w:t xml:space="preserve"> </w:t>
      </w:r>
      <w:r w:rsidRPr="008E60B5">
        <w:rPr>
          <w:lang w:val="fr-FR"/>
        </w:rPr>
        <w:t>du Gouvernement en date du 30 août 2014. Il vise à apporter des ressources supplémentaires en vue du traitement des patients atteints de certaines maladies, affections et blessures, y compris de certains types de maladies rares guérissables mais ne pouvant pas être traitées avec succès en Serbie, le Fonds d</w:t>
      </w:r>
      <w:r w:rsidR="008E60B5" w:rsidRPr="008E60B5">
        <w:rPr>
          <w:lang w:val="fr-FR"/>
        </w:rPr>
        <w:t>’</w:t>
      </w:r>
      <w:r w:rsidRPr="008E60B5">
        <w:rPr>
          <w:lang w:val="fr-FR"/>
        </w:rPr>
        <w:t>assurance maladie de la République n</w:t>
      </w:r>
      <w:r w:rsidR="008E60B5" w:rsidRPr="008E60B5">
        <w:rPr>
          <w:lang w:val="fr-FR"/>
        </w:rPr>
        <w:t>’</w:t>
      </w:r>
      <w:r w:rsidRPr="008E60B5">
        <w:rPr>
          <w:lang w:val="fr-FR"/>
        </w:rPr>
        <w:t>étant pas en mesure de fournir un financement suffisant à partir des cotisations d</w:t>
      </w:r>
      <w:r w:rsidR="008E60B5" w:rsidRPr="008E60B5">
        <w:rPr>
          <w:lang w:val="fr-FR"/>
        </w:rPr>
        <w:t>’</w:t>
      </w:r>
      <w:r w:rsidRPr="008E60B5">
        <w:rPr>
          <w:lang w:val="fr-FR"/>
        </w:rPr>
        <w:t xml:space="preserve">assurance santé obligatoire et des autres sources prévues </w:t>
      </w:r>
      <w:r w:rsidR="003D0CA2">
        <w:rPr>
          <w:lang w:val="fr-FR"/>
        </w:rPr>
        <w:t>dans</w:t>
      </w:r>
      <w:r w:rsidRPr="008E60B5">
        <w:rPr>
          <w:lang w:val="fr-FR"/>
        </w:rPr>
        <w:t xml:space="preserve"> la loi.</w:t>
      </w:r>
    </w:p>
    <w:p w14:paraId="4DFDDDAB" w14:textId="5959644A" w:rsidR="004F32D0" w:rsidRPr="008E60B5" w:rsidRDefault="004F32D0" w:rsidP="00455496">
      <w:pPr>
        <w:pStyle w:val="SingleTxt"/>
        <w:numPr>
          <w:ilvl w:val="0"/>
          <w:numId w:val="39"/>
        </w:numPr>
        <w:spacing w:line="240" w:lineRule="exact"/>
        <w:rPr>
          <w:lang w:val="fr-FR"/>
        </w:rPr>
      </w:pPr>
      <w:r w:rsidRPr="008E60B5">
        <w:rPr>
          <w:lang w:val="fr-FR"/>
        </w:rPr>
        <w:t xml:space="preserve">La rénovation des établissements de </w:t>
      </w:r>
      <w:r w:rsidRPr="008E60B5">
        <w:rPr>
          <w:bCs/>
          <w:lang w:val="fr-FR"/>
        </w:rPr>
        <w:t>soins de santé primaires, secondaires et tertiaires</w:t>
      </w:r>
      <w:r w:rsidRPr="008E60B5">
        <w:rPr>
          <w:b/>
          <w:bCs/>
          <w:lang w:val="fr-FR"/>
        </w:rPr>
        <w:t xml:space="preserve"> </w:t>
      </w:r>
      <w:r w:rsidRPr="008E60B5">
        <w:rPr>
          <w:lang w:val="fr-FR"/>
        </w:rPr>
        <w:t>dans l</w:t>
      </w:r>
      <w:r w:rsidR="008E60B5" w:rsidRPr="008E60B5">
        <w:rPr>
          <w:lang w:val="fr-FR"/>
        </w:rPr>
        <w:t>’</w:t>
      </w:r>
      <w:r w:rsidRPr="008E60B5">
        <w:rPr>
          <w:lang w:val="fr-FR"/>
        </w:rPr>
        <w:t>ensemble de la Serbie a été lancée en 2016. À l</w:t>
      </w:r>
      <w:r w:rsidR="008E60B5" w:rsidRPr="008E60B5">
        <w:rPr>
          <w:lang w:val="fr-FR"/>
        </w:rPr>
        <w:t>’</w:t>
      </w:r>
      <w:r w:rsidRPr="008E60B5">
        <w:rPr>
          <w:lang w:val="fr-FR"/>
        </w:rPr>
        <w:t>aide d</w:t>
      </w:r>
      <w:r w:rsidR="008E60B5" w:rsidRPr="008E60B5">
        <w:rPr>
          <w:lang w:val="fr-FR"/>
        </w:rPr>
        <w:t>’</w:t>
      </w:r>
      <w:r w:rsidRPr="008E60B5">
        <w:rPr>
          <w:lang w:val="fr-FR"/>
        </w:rPr>
        <w:t>un investissement de près de 700 millions de dinars, bon nombre d</w:t>
      </w:r>
      <w:r w:rsidR="008E60B5" w:rsidRPr="008E60B5">
        <w:rPr>
          <w:lang w:val="fr-FR"/>
        </w:rPr>
        <w:t>’</w:t>
      </w:r>
      <w:r w:rsidRPr="008E60B5">
        <w:rPr>
          <w:lang w:val="fr-FR"/>
        </w:rPr>
        <w:t>hôpitaux ont été restructurés de manière à mieux répondre aux besoins des patients et des médecins. Le Gouvernement a introduit 23 médicaments novateurs dans le pays en 2016, dont un pour le traitement du cancer de l</w:t>
      </w:r>
      <w:r w:rsidR="008E60B5" w:rsidRPr="008E60B5">
        <w:rPr>
          <w:lang w:val="fr-FR"/>
        </w:rPr>
        <w:t>’</w:t>
      </w:r>
      <w:r w:rsidRPr="008E60B5">
        <w:rPr>
          <w:lang w:val="fr-FR"/>
        </w:rPr>
        <w:t xml:space="preserve">ovaire. Quatre </w:t>
      </w:r>
      <w:r w:rsidRPr="008E60B5">
        <w:rPr>
          <w:bCs/>
          <w:lang w:val="fr-FR"/>
        </w:rPr>
        <w:t>accélérateurs linéaires</w:t>
      </w:r>
      <w:r w:rsidRPr="008E60B5">
        <w:rPr>
          <w:lang w:val="fr-FR"/>
        </w:rPr>
        <w:t xml:space="preserve"> ont été achetés et il est prévu d</w:t>
      </w:r>
      <w:r w:rsidR="008E60B5" w:rsidRPr="008E60B5">
        <w:rPr>
          <w:lang w:val="fr-FR"/>
        </w:rPr>
        <w:t>’</w:t>
      </w:r>
      <w:r w:rsidRPr="008E60B5">
        <w:rPr>
          <w:lang w:val="fr-FR"/>
        </w:rPr>
        <w:t xml:space="preserve">en acquérir huit autres en vue de leur installation à Belgrade, </w:t>
      </w:r>
      <w:r w:rsidRPr="008E60B5">
        <w:rPr>
          <w:bCs/>
          <w:lang w:val="fr-FR"/>
        </w:rPr>
        <w:t>Niš, Kragujevac et Kladovo</w:t>
      </w:r>
      <w:r w:rsidRPr="008E60B5">
        <w:rPr>
          <w:i/>
          <w:lang w:val="fr-FR"/>
        </w:rPr>
        <w:t>.</w:t>
      </w:r>
      <w:r w:rsidRPr="008E60B5">
        <w:rPr>
          <w:lang w:val="fr-FR"/>
        </w:rPr>
        <w:t xml:space="preserve"> Après avoir acquis un scalpel </w:t>
      </w:r>
      <w:r w:rsidRPr="008E60B5">
        <w:rPr>
          <w:bCs/>
          <w:lang w:val="fr-FR"/>
        </w:rPr>
        <w:t>gamma</w:t>
      </w:r>
      <w:r w:rsidRPr="008E60B5">
        <w:rPr>
          <w:lang w:val="fr-FR"/>
        </w:rPr>
        <w:t>, qui a servi au traitement médical de 1014 patients, le Ministère de la santé prévoit d</w:t>
      </w:r>
      <w:r w:rsidR="008E60B5" w:rsidRPr="008E60B5">
        <w:rPr>
          <w:lang w:val="fr-FR"/>
        </w:rPr>
        <w:t>’</w:t>
      </w:r>
      <w:r w:rsidRPr="008E60B5">
        <w:rPr>
          <w:lang w:val="fr-FR"/>
        </w:rPr>
        <w:t xml:space="preserve">acheter un CyberKnife pour le traitement des petites </w:t>
      </w:r>
      <w:r w:rsidRPr="008E60B5">
        <w:rPr>
          <w:bCs/>
          <w:lang w:val="fr-FR"/>
        </w:rPr>
        <w:t>tumeurs</w:t>
      </w:r>
      <w:r w:rsidRPr="008E60B5">
        <w:rPr>
          <w:lang w:val="fr-FR"/>
        </w:rPr>
        <w:t>. Un montant de 7,5 millions d</w:t>
      </w:r>
      <w:r w:rsidR="008E60B5" w:rsidRPr="008E60B5">
        <w:rPr>
          <w:lang w:val="fr-FR"/>
        </w:rPr>
        <w:t>’</w:t>
      </w:r>
      <w:r w:rsidRPr="008E60B5">
        <w:rPr>
          <w:lang w:val="fr-FR"/>
        </w:rPr>
        <w:t>euros a été investi dans la rénovation d</w:t>
      </w:r>
      <w:r w:rsidR="008E60B5" w:rsidRPr="008E60B5">
        <w:rPr>
          <w:lang w:val="fr-FR"/>
        </w:rPr>
        <w:t>’</w:t>
      </w:r>
      <w:r w:rsidRPr="008E60B5">
        <w:rPr>
          <w:lang w:val="fr-FR"/>
        </w:rPr>
        <w:t>une clinique de gynécologie et d</w:t>
      </w:r>
      <w:r w:rsidR="008E60B5" w:rsidRPr="008E60B5">
        <w:rPr>
          <w:lang w:val="fr-FR"/>
        </w:rPr>
        <w:t>’</w:t>
      </w:r>
      <w:r w:rsidRPr="008E60B5">
        <w:rPr>
          <w:lang w:val="fr-FR"/>
        </w:rPr>
        <w:t xml:space="preserve">obstétrique tandis que 21 ambulances ont été mises à la disposition de 15 hôpitaux au moyen de fonds recueillis à la suite de la suspension de poursuites pénales (selon le </w:t>
      </w:r>
      <w:r w:rsidRPr="008E60B5">
        <w:rPr>
          <w:bCs/>
          <w:lang w:val="fr-FR"/>
        </w:rPr>
        <w:t>principe d</w:t>
      </w:r>
      <w:r w:rsidR="008E60B5" w:rsidRPr="008E60B5">
        <w:rPr>
          <w:bCs/>
          <w:lang w:val="fr-FR"/>
        </w:rPr>
        <w:t>’</w:t>
      </w:r>
      <w:r w:rsidRPr="008E60B5">
        <w:rPr>
          <w:bCs/>
          <w:lang w:val="fr-FR"/>
        </w:rPr>
        <w:t>opportunité</w:t>
      </w:r>
      <w:r w:rsidRPr="008E60B5">
        <w:rPr>
          <w:lang w:val="fr-FR"/>
        </w:rPr>
        <w:t>), pour un montant de 350 millions de dinars alloué par le Ministère de la justice à l</w:t>
      </w:r>
      <w:r w:rsidR="008E60B5" w:rsidRPr="008E60B5">
        <w:rPr>
          <w:lang w:val="fr-FR"/>
        </w:rPr>
        <w:t>’</w:t>
      </w:r>
      <w:r w:rsidRPr="008E60B5">
        <w:rPr>
          <w:lang w:val="fr-FR"/>
        </w:rPr>
        <w:t>issue d</w:t>
      </w:r>
      <w:r w:rsidR="008E60B5" w:rsidRPr="008E60B5">
        <w:rPr>
          <w:lang w:val="fr-FR"/>
        </w:rPr>
        <w:t>’</w:t>
      </w:r>
      <w:r w:rsidRPr="008E60B5">
        <w:rPr>
          <w:lang w:val="fr-FR"/>
        </w:rPr>
        <w:t>un concours.</w:t>
      </w:r>
    </w:p>
    <w:p w14:paraId="1F2DCEF3" w14:textId="7E8B1EA1" w:rsidR="004F32D0" w:rsidRPr="008E60B5" w:rsidRDefault="004F32D0" w:rsidP="00455496">
      <w:pPr>
        <w:pStyle w:val="SingleTxt"/>
        <w:numPr>
          <w:ilvl w:val="0"/>
          <w:numId w:val="39"/>
        </w:numPr>
        <w:spacing w:line="240" w:lineRule="exact"/>
        <w:rPr>
          <w:lang w:val="fr-FR"/>
        </w:rPr>
      </w:pPr>
      <w:r w:rsidRPr="008E60B5">
        <w:rPr>
          <w:lang w:val="fr-FR"/>
        </w:rPr>
        <w:t xml:space="preserve">Dans le cadre du projet intitulé Welcome to the World, Baby, mis en œuvre par les </w:t>
      </w:r>
      <w:r w:rsidR="009045E1">
        <w:rPr>
          <w:lang w:val="fr-FR"/>
        </w:rPr>
        <w:t>m</w:t>
      </w:r>
      <w:r w:rsidRPr="008E60B5">
        <w:rPr>
          <w:bCs/>
          <w:lang w:val="fr-FR"/>
        </w:rPr>
        <w:t>inistères de l</w:t>
      </w:r>
      <w:r w:rsidR="008E60B5" w:rsidRPr="008E60B5">
        <w:rPr>
          <w:bCs/>
          <w:lang w:val="fr-FR"/>
        </w:rPr>
        <w:t>’</w:t>
      </w:r>
      <w:r w:rsidRPr="008E60B5">
        <w:rPr>
          <w:lang w:val="fr-FR"/>
        </w:rPr>
        <w:t>administration publique et des collectivités locales, de la santé et de l</w:t>
      </w:r>
      <w:r w:rsidR="008E60B5" w:rsidRPr="008E60B5">
        <w:rPr>
          <w:lang w:val="fr-FR"/>
        </w:rPr>
        <w:t>’</w:t>
      </w:r>
      <w:r w:rsidRPr="008E60B5">
        <w:rPr>
          <w:lang w:val="fr-FR"/>
        </w:rPr>
        <w:t>intérieur, un nouveau service en ligne a été mis en place en avril 2016 afin de permettre aux parents de déclarer la naissance de leur nouveau-né à l</w:t>
      </w:r>
      <w:r w:rsidR="008E60B5" w:rsidRPr="008E60B5">
        <w:rPr>
          <w:lang w:val="fr-FR"/>
        </w:rPr>
        <w:t>’</w:t>
      </w:r>
      <w:r w:rsidRPr="008E60B5">
        <w:rPr>
          <w:lang w:val="fr-FR"/>
        </w:rPr>
        <w:t>état civil, d</w:t>
      </w:r>
      <w:r w:rsidR="008E60B5" w:rsidRPr="008E60B5">
        <w:rPr>
          <w:lang w:val="fr-FR"/>
        </w:rPr>
        <w:t>’</w:t>
      </w:r>
      <w:r w:rsidRPr="008E60B5">
        <w:rPr>
          <w:lang w:val="fr-FR"/>
        </w:rPr>
        <w:t>obtenir des cartes d</w:t>
      </w:r>
      <w:r w:rsidR="008E60B5" w:rsidRPr="008E60B5">
        <w:rPr>
          <w:lang w:val="fr-FR"/>
        </w:rPr>
        <w:t>’</w:t>
      </w:r>
      <w:r w:rsidRPr="008E60B5">
        <w:rPr>
          <w:lang w:val="fr-FR"/>
        </w:rPr>
        <w:t>assurance maladie et de faire enregistrer leur lieu de résidence.</w:t>
      </w:r>
    </w:p>
    <w:p w14:paraId="3B691459" w14:textId="3A2303B2" w:rsidR="004F32D0" w:rsidRPr="008E60B5" w:rsidRDefault="004F32D0" w:rsidP="00455496">
      <w:pPr>
        <w:pStyle w:val="SingleTxt"/>
        <w:numPr>
          <w:ilvl w:val="0"/>
          <w:numId w:val="39"/>
        </w:numPr>
        <w:spacing w:line="240" w:lineRule="exact"/>
        <w:rPr>
          <w:lang w:val="fr-FR"/>
        </w:rPr>
      </w:pPr>
      <w:r w:rsidRPr="008E60B5">
        <w:rPr>
          <w:lang w:val="fr-FR"/>
        </w:rPr>
        <w:t>En ce qui concerne les soins de santé pour les femmes handicapées, la Serbie manque encore d</w:t>
      </w:r>
      <w:r w:rsidR="008E60B5" w:rsidRPr="008E60B5">
        <w:rPr>
          <w:lang w:val="fr-FR"/>
        </w:rPr>
        <w:t>’</w:t>
      </w:r>
      <w:r w:rsidRPr="008E60B5">
        <w:rPr>
          <w:lang w:val="fr-FR"/>
        </w:rPr>
        <w:t xml:space="preserve">équipements techniques, en particulier de </w:t>
      </w:r>
      <w:r w:rsidRPr="008E60B5">
        <w:rPr>
          <w:iCs/>
          <w:lang w:val="fr-FR"/>
        </w:rPr>
        <w:t>fauteuils gynécologiques hydrauliques</w:t>
      </w:r>
      <w:r w:rsidRPr="008E60B5">
        <w:rPr>
          <w:lang w:val="fr-FR"/>
        </w:rPr>
        <w:t>. Des formations sont dispensées au personnel médical de manière continue. Dans le cadre d</w:t>
      </w:r>
      <w:r w:rsidR="008E60B5" w:rsidRPr="008E60B5">
        <w:rPr>
          <w:lang w:val="fr-FR"/>
        </w:rPr>
        <w:t>’</w:t>
      </w:r>
      <w:r w:rsidRPr="008E60B5">
        <w:rPr>
          <w:lang w:val="fr-FR"/>
        </w:rPr>
        <w:t>un projet appuyé par le Bureau des droits de l</w:t>
      </w:r>
      <w:r w:rsidR="008E60B5" w:rsidRPr="008E60B5">
        <w:rPr>
          <w:lang w:val="fr-FR"/>
        </w:rPr>
        <w:t>’</w:t>
      </w:r>
      <w:r w:rsidRPr="008E60B5">
        <w:rPr>
          <w:lang w:val="fr-FR"/>
        </w:rPr>
        <w:t>homme et des minorités</w:t>
      </w:r>
      <w:r w:rsidRPr="008E60B5">
        <w:rPr>
          <w:b/>
          <w:bCs/>
          <w:lang w:val="fr-FR"/>
        </w:rPr>
        <w:t xml:space="preserve"> </w:t>
      </w:r>
      <w:r w:rsidRPr="008E60B5">
        <w:rPr>
          <w:lang w:val="fr-FR"/>
        </w:rPr>
        <w:t>en 2015, l</w:t>
      </w:r>
      <w:r w:rsidR="008E60B5" w:rsidRPr="008E60B5">
        <w:rPr>
          <w:lang w:val="fr-FR"/>
        </w:rPr>
        <w:t>’</w:t>
      </w:r>
      <w:r w:rsidRPr="008E60B5">
        <w:rPr>
          <w:lang w:val="fr-FR"/>
        </w:rPr>
        <w:t>association Out of Circle</w:t>
      </w:r>
      <w:r w:rsidR="008E60B5" w:rsidRPr="008E60B5">
        <w:rPr>
          <w:lang w:val="fr-FR"/>
        </w:rPr>
        <w:t xml:space="preserve"> </w:t>
      </w:r>
      <w:r w:rsidRPr="008E60B5">
        <w:rPr>
          <w:lang w:val="fr-FR"/>
        </w:rPr>
        <w:t>a publié un manuel relatif au droit des femmes handicapées à la parentalité et à la famille. Élaboré à l</w:t>
      </w:r>
      <w:r w:rsidR="008E60B5" w:rsidRPr="008E60B5">
        <w:rPr>
          <w:lang w:val="fr-FR"/>
        </w:rPr>
        <w:t>’</w:t>
      </w:r>
      <w:r w:rsidRPr="008E60B5">
        <w:rPr>
          <w:lang w:val="fr-FR"/>
        </w:rPr>
        <w:t>issue d</w:t>
      </w:r>
      <w:r w:rsidR="008E60B5" w:rsidRPr="008E60B5">
        <w:rPr>
          <w:lang w:val="fr-FR"/>
        </w:rPr>
        <w:t>’</w:t>
      </w:r>
      <w:r w:rsidRPr="008E60B5">
        <w:rPr>
          <w:lang w:val="fr-FR"/>
        </w:rPr>
        <w:t xml:space="preserve">une enquête sur le renforcement du droit des femmes handicapées à la parentalité visant à mettre en place une politique fondée sur la vie réelle, ce manuel décrit les principaux problèmes auxquels se heurtent encore les femmes handicapées en Serbie. </w:t>
      </w:r>
    </w:p>
    <w:p w14:paraId="493E6C87" w14:textId="00A1A1A1" w:rsidR="004F32D0" w:rsidRPr="008E60B5" w:rsidRDefault="004F32D0" w:rsidP="00455496">
      <w:pPr>
        <w:pStyle w:val="SingleTxt"/>
        <w:numPr>
          <w:ilvl w:val="0"/>
          <w:numId w:val="39"/>
        </w:numPr>
        <w:spacing w:line="240" w:lineRule="exact"/>
        <w:rPr>
          <w:lang w:val="fr-FR"/>
        </w:rPr>
      </w:pPr>
      <w:r w:rsidRPr="008E60B5">
        <w:rPr>
          <w:lang w:val="fr-FR"/>
        </w:rPr>
        <w:t xml:space="preserve">Le Ministère de la santé a créé un groupe de travail qui a élaboré un projet de programme national pour la préservation et le renforcement de </w:t>
      </w:r>
      <w:r w:rsidRPr="008E60B5">
        <w:rPr>
          <w:iCs/>
          <w:lang w:val="fr-FR"/>
        </w:rPr>
        <w:t>la santé sexuelle et procréative</w:t>
      </w:r>
      <w:r w:rsidRPr="008E60B5">
        <w:rPr>
          <w:i/>
          <w:iCs/>
          <w:lang w:val="fr-FR"/>
        </w:rPr>
        <w:t xml:space="preserve"> </w:t>
      </w:r>
      <w:r w:rsidRPr="008E60B5">
        <w:rPr>
          <w:lang w:val="fr-FR"/>
        </w:rPr>
        <w:t>et des droits dans ce domaine en République de Serbie. Selon les plans de travail du Ministère de la santé et du Gouvernement, ce programme devrait être adopté d</w:t>
      </w:r>
      <w:r w:rsidR="008E60B5" w:rsidRPr="008E60B5">
        <w:rPr>
          <w:lang w:val="fr-FR"/>
        </w:rPr>
        <w:t>’</w:t>
      </w:r>
      <w:r w:rsidRPr="008E60B5">
        <w:rPr>
          <w:lang w:val="fr-FR"/>
        </w:rPr>
        <w:t>ici à la fin de 2017. Le remboursement des dépenses liées aux avortements par l</w:t>
      </w:r>
      <w:r w:rsidR="008E60B5" w:rsidRPr="008E60B5">
        <w:rPr>
          <w:lang w:val="fr-FR"/>
        </w:rPr>
        <w:t>’</w:t>
      </w:r>
      <w:r w:rsidRPr="008E60B5">
        <w:rPr>
          <w:lang w:val="fr-FR"/>
        </w:rPr>
        <w:t>assurance maladie nécessite une approche multisectorielle, en particulier pour ce qui concerne la participation de la Caisse d</w:t>
      </w:r>
      <w:r w:rsidR="008E60B5" w:rsidRPr="008E60B5">
        <w:rPr>
          <w:lang w:val="fr-FR"/>
        </w:rPr>
        <w:t>’</w:t>
      </w:r>
      <w:r w:rsidRPr="008E60B5">
        <w:rPr>
          <w:lang w:val="fr-FR"/>
        </w:rPr>
        <w:t>assurance maladie de la République.</w:t>
      </w:r>
    </w:p>
    <w:p w14:paraId="7AD65AD8" w14:textId="5E87B466" w:rsidR="004F32D0" w:rsidRPr="008E60B5" w:rsidRDefault="004F32D0" w:rsidP="00455496">
      <w:pPr>
        <w:pStyle w:val="SingleTxt"/>
        <w:numPr>
          <w:ilvl w:val="0"/>
          <w:numId w:val="39"/>
        </w:numPr>
        <w:spacing w:line="240" w:lineRule="exact"/>
        <w:rPr>
          <w:lang w:val="fr-FR"/>
        </w:rPr>
      </w:pPr>
      <w:r w:rsidRPr="008E60B5">
        <w:rPr>
          <w:lang w:val="fr-FR"/>
        </w:rPr>
        <w:t>La disposition législative visant à garantir le fonctionnement non discriminatoire du système de soins de santé dans la province autonome du Kosovo-</w:t>
      </w:r>
      <w:r w:rsidRPr="008E60B5">
        <w:rPr>
          <w:lang w:val="fr-FR"/>
        </w:rPr>
        <w:lastRenderedPageBreak/>
        <w:t>Metohija ne mentionne pas l</w:t>
      </w:r>
      <w:r w:rsidR="008E60B5" w:rsidRPr="008E60B5">
        <w:rPr>
          <w:lang w:val="fr-FR"/>
        </w:rPr>
        <w:t>’</w:t>
      </w:r>
      <w:r w:rsidRPr="008E60B5">
        <w:rPr>
          <w:lang w:val="fr-FR"/>
        </w:rPr>
        <w:t>origine ethnique</w:t>
      </w:r>
      <w:r w:rsidRPr="008E60B5">
        <w:rPr>
          <w:i/>
          <w:vertAlign w:val="superscript"/>
          <w:lang w:val="fr-FR"/>
        </w:rPr>
        <w:footnoteReference w:id="10"/>
      </w:r>
      <w:r w:rsidRPr="008E60B5">
        <w:rPr>
          <w:lang w:val="fr-FR"/>
        </w:rPr>
        <w:t xml:space="preserve"> parmi les motifs de discrimination. La population non albanaise craint d</w:t>
      </w:r>
      <w:r w:rsidR="008E60B5" w:rsidRPr="008E60B5">
        <w:rPr>
          <w:lang w:val="fr-FR"/>
        </w:rPr>
        <w:t>’</w:t>
      </w:r>
      <w:r w:rsidRPr="008E60B5">
        <w:rPr>
          <w:lang w:val="fr-FR"/>
        </w:rPr>
        <w:t xml:space="preserve">utiliser les services de soins de santé dispensés dans les hôpitaux qui emploient exclusivement des personnes albanophones, ce qui montre que les soins de santé </w:t>
      </w:r>
      <w:r w:rsidRPr="008E60B5">
        <w:rPr>
          <w:bCs/>
          <w:lang w:val="fr-FR"/>
        </w:rPr>
        <w:t>secondaires</w:t>
      </w:r>
      <w:r w:rsidRPr="008E60B5">
        <w:rPr>
          <w:vertAlign w:val="superscript"/>
          <w:lang w:val="fr-FR"/>
        </w:rPr>
        <w:footnoteReference w:id="11"/>
      </w:r>
      <w:r w:rsidRPr="008E60B5">
        <w:rPr>
          <w:lang w:val="fr-FR"/>
        </w:rPr>
        <w:t xml:space="preserve"> constituent l</w:t>
      </w:r>
      <w:r w:rsidR="008E60B5" w:rsidRPr="008E60B5">
        <w:rPr>
          <w:lang w:val="fr-FR"/>
        </w:rPr>
        <w:t>’</w:t>
      </w:r>
      <w:r w:rsidRPr="008E60B5">
        <w:rPr>
          <w:lang w:val="fr-FR"/>
        </w:rPr>
        <w:t xml:space="preserve">un des principaux problèmes des communautés minoritaires. Les personnes déplacées ou rapatriées des communautés albanaises isolées sont particulièrement vulnérables. </w:t>
      </w:r>
    </w:p>
    <w:p w14:paraId="0D4B4FB4" w14:textId="19AECCA3" w:rsidR="004F32D0" w:rsidRPr="008E60B5" w:rsidRDefault="004F32D0" w:rsidP="00455496">
      <w:pPr>
        <w:pStyle w:val="SingleTxt"/>
        <w:numPr>
          <w:ilvl w:val="0"/>
          <w:numId w:val="39"/>
        </w:numPr>
        <w:spacing w:line="240" w:lineRule="exact"/>
        <w:rPr>
          <w:lang w:val="fr-FR"/>
        </w:rPr>
      </w:pPr>
      <w:r w:rsidRPr="008E60B5">
        <w:rPr>
          <w:lang w:val="fr-FR"/>
        </w:rPr>
        <w:t>Selon les données du Bureau pour le Kosovo-Metohija, l</w:t>
      </w:r>
      <w:r w:rsidR="008E60B5" w:rsidRPr="008E60B5">
        <w:rPr>
          <w:lang w:val="fr-FR"/>
        </w:rPr>
        <w:t>’</w:t>
      </w:r>
      <w:r w:rsidRPr="008E60B5">
        <w:rPr>
          <w:lang w:val="fr-FR"/>
        </w:rPr>
        <w:t>insuffisance des soins de santé préventifs pour les femmes est due à un manque de moyens financiers ainsi que de soutien familial et communautaire, à la promiscuité et à l</w:t>
      </w:r>
      <w:r w:rsidR="008E60B5" w:rsidRPr="008E60B5">
        <w:rPr>
          <w:lang w:val="fr-FR"/>
        </w:rPr>
        <w:t>’</w:t>
      </w:r>
      <w:r w:rsidRPr="008E60B5">
        <w:rPr>
          <w:lang w:val="fr-FR"/>
        </w:rPr>
        <w:t>absence de confidentialité.</w:t>
      </w:r>
    </w:p>
    <w:p w14:paraId="0574243C" w14:textId="539EC319" w:rsidR="00455496" w:rsidRPr="008E60B5" w:rsidRDefault="00455496" w:rsidP="00455496">
      <w:pPr>
        <w:pStyle w:val="SingleTxt"/>
        <w:spacing w:after="0" w:line="120" w:lineRule="exact"/>
        <w:rPr>
          <w:sz w:val="10"/>
          <w:lang w:val="fr-FR"/>
        </w:rPr>
      </w:pPr>
    </w:p>
    <w:p w14:paraId="7BF3340F" w14:textId="77777777" w:rsidR="008E60B5" w:rsidRPr="008E60B5" w:rsidRDefault="008E60B5" w:rsidP="008E60B5">
      <w:pPr>
        <w:pStyle w:val="SingleTxt"/>
        <w:spacing w:after="0" w:line="120" w:lineRule="exact"/>
        <w:rPr>
          <w:b/>
          <w:sz w:val="10"/>
          <w:lang w:val="fr-FR"/>
        </w:rPr>
      </w:pPr>
    </w:p>
    <w:p w14:paraId="27DBEACA" w14:textId="3C2117E3" w:rsidR="00455496" w:rsidRPr="008E60B5" w:rsidRDefault="008E60B5" w:rsidP="008E60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00455496" w:rsidRPr="008E60B5">
        <w:rPr>
          <w:lang w:val="fr-FR"/>
        </w:rPr>
        <w:tab/>
        <w:t>Article 13</w:t>
      </w:r>
    </w:p>
    <w:p w14:paraId="5C9E43A4" w14:textId="3E95E529" w:rsidR="008E60B5" w:rsidRPr="008E60B5" w:rsidRDefault="008E60B5" w:rsidP="008E60B5">
      <w:pPr>
        <w:pStyle w:val="SingleTxt"/>
        <w:spacing w:after="0" w:line="120" w:lineRule="exact"/>
        <w:rPr>
          <w:sz w:val="10"/>
          <w:lang w:val="fr-FR"/>
        </w:rPr>
      </w:pPr>
    </w:p>
    <w:p w14:paraId="17853608" w14:textId="6C76861A" w:rsidR="008E60B5" w:rsidRPr="008E60B5" w:rsidRDefault="008E60B5" w:rsidP="008E60B5">
      <w:pPr>
        <w:pStyle w:val="SingleTxt"/>
        <w:spacing w:after="0" w:line="120" w:lineRule="exact"/>
        <w:rPr>
          <w:sz w:val="10"/>
          <w:lang w:val="fr-FR"/>
        </w:rPr>
      </w:pPr>
    </w:p>
    <w:p w14:paraId="3ACB05B9" w14:textId="77777777" w:rsidR="00455496" w:rsidRPr="008E60B5" w:rsidRDefault="00455496" w:rsidP="00EE70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 xml:space="preserve">Amélioration de la condition des femmes dans le sport </w:t>
      </w:r>
    </w:p>
    <w:p w14:paraId="16105B62" w14:textId="0C8E760D" w:rsidR="008E60B5" w:rsidRPr="008E60B5" w:rsidRDefault="008E60B5" w:rsidP="008E60B5">
      <w:pPr>
        <w:pStyle w:val="SingleTxt"/>
        <w:spacing w:after="0" w:line="120" w:lineRule="exact"/>
        <w:rPr>
          <w:sz w:val="10"/>
          <w:lang w:val="fr-FR"/>
        </w:rPr>
      </w:pPr>
    </w:p>
    <w:p w14:paraId="19A768D8" w14:textId="29502149" w:rsidR="00455496" w:rsidRPr="008E60B5" w:rsidRDefault="00455496" w:rsidP="008E60B5">
      <w:pPr>
        <w:pStyle w:val="SingleTxt"/>
        <w:numPr>
          <w:ilvl w:val="0"/>
          <w:numId w:val="39"/>
        </w:numPr>
        <w:spacing w:line="240" w:lineRule="exact"/>
        <w:rPr>
          <w:lang w:val="fr-FR"/>
        </w:rPr>
      </w:pPr>
      <w:r w:rsidRPr="008E60B5">
        <w:rPr>
          <w:lang w:val="fr-FR"/>
        </w:rPr>
        <w:t>La loi sur le sport stipule que toute personne a le droit de pratiquer, à titre libre et volontaire, des activités sportives dans des conditions humaines, saines, sûres et accessibles, sur un pied d</w:t>
      </w:r>
      <w:r w:rsidR="008E60B5" w:rsidRPr="008E60B5">
        <w:rPr>
          <w:lang w:val="fr-FR"/>
        </w:rPr>
        <w:t>’</w:t>
      </w:r>
      <w:r w:rsidRPr="008E60B5">
        <w:rPr>
          <w:lang w:val="fr-FR"/>
        </w:rPr>
        <w:t>égalité avec les autres, indépendamment de son âge, de son aptitude physique, du degré de son handicap potentiel, de son sexe ou d</w:t>
      </w:r>
      <w:r w:rsidR="008E60B5" w:rsidRPr="008E60B5">
        <w:rPr>
          <w:lang w:val="fr-FR"/>
        </w:rPr>
        <w:t>’</w:t>
      </w:r>
      <w:r w:rsidRPr="008E60B5">
        <w:rPr>
          <w:lang w:val="fr-FR"/>
        </w:rPr>
        <w:t>autres caractéristiques personnelles. Elle interdit par ailleurs toute discrimination, y compris le discours haineux. À tous les niveaux, les pouvoirs publics ont la responsabilité d</w:t>
      </w:r>
      <w:r w:rsidR="008E60B5" w:rsidRPr="008E60B5">
        <w:rPr>
          <w:lang w:val="fr-FR"/>
        </w:rPr>
        <w:t>’</w:t>
      </w:r>
      <w:r w:rsidRPr="008E60B5">
        <w:rPr>
          <w:lang w:val="fr-FR"/>
        </w:rPr>
        <w:t>améliorer, soit eux-mêmes, soit par l</w:t>
      </w:r>
      <w:r w:rsidR="008E60B5" w:rsidRPr="008E60B5">
        <w:rPr>
          <w:lang w:val="fr-FR"/>
        </w:rPr>
        <w:t>’</w:t>
      </w:r>
      <w:r w:rsidRPr="008E60B5">
        <w:rPr>
          <w:lang w:val="fr-FR"/>
        </w:rPr>
        <w:t>intermédiaire de tierces parties, l</w:t>
      </w:r>
      <w:r w:rsidR="008E60B5" w:rsidRPr="008E60B5">
        <w:rPr>
          <w:lang w:val="fr-FR"/>
        </w:rPr>
        <w:t>’</w:t>
      </w:r>
      <w:r w:rsidRPr="008E60B5">
        <w:rPr>
          <w:lang w:val="fr-FR"/>
        </w:rPr>
        <w:t>accès de tous aux activités et aux installations sportives, sans distinction d</w:t>
      </w:r>
      <w:r w:rsidR="008E60B5" w:rsidRPr="008E60B5">
        <w:rPr>
          <w:lang w:val="fr-FR"/>
        </w:rPr>
        <w:t>’</w:t>
      </w:r>
      <w:r w:rsidRPr="008E60B5">
        <w:rPr>
          <w:lang w:val="fr-FR"/>
        </w:rPr>
        <w:t>origine sociale, de revenu, d</w:t>
      </w:r>
      <w:r w:rsidR="008E60B5" w:rsidRPr="008E60B5">
        <w:rPr>
          <w:lang w:val="fr-FR"/>
        </w:rPr>
        <w:t>’</w:t>
      </w:r>
      <w:r w:rsidRPr="008E60B5">
        <w:rPr>
          <w:lang w:val="fr-FR"/>
        </w:rPr>
        <w:t>âge, de sexe ou d</w:t>
      </w:r>
      <w:r w:rsidR="008E60B5" w:rsidRPr="008E60B5">
        <w:rPr>
          <w:lang w:val="fr-FR"/>
        </w:rPr>
        <w:t>’</w:t>
      </w:r>
      <w:r w:rsidRPr="008E60B5">
        <w:rPr>
          <w:lang w:val="fr-FR"/>
        </w:rPr>
        <w:t>origine ethnique (article 4).</w:t>
      </w:r>
    </w:p>
    <w:p w14:paraId="466DE9C1" w14:textId="33C61B90" w:rsidR="00455496" w:rsidRPr="008E60B5" w:rsidRDefault="00455496" w:rsidP="008E60B5">
      <w:pPr>
        <w:pStyle w:val="SingleTxt"/>
        <w:numPr>
          <w:ilvl w:val="0"/>
          <w:numId w:val="39"/>
        </w:numPr>
        <w:spacing w:line="240" w:lineRule="exact"/>
        <w:rPr>
          <w:lang w:val="fr-FR"/>
        </w:rPr>
      </w:pPr>
      <w:r w:rsidRPr="008E60B5">
        <w:rPr>
          <w:lang w:val="fr-FR"/>
        </w:rPr>
        <w:t>Conformément aux dispositions du règlement relatif aux distinctions et aux prix nationaux, le Ministère de la jeunesse et des sports a décerné des distinctions nationales à 544 athlètes, dont 138 femmes, soit un pourcentage de 25,3 %, qui a été maintenu durant la période considérée.</w:t>
      </w:r>
    </w:p>
    <w:p w14:paraId="01AD6F4D" w14:textId="0F56CF18" w:rsidR="00455496" w:rsidRPr="008E60B5" w:rsidRDefault="00455496" w:rsidP="008E60B5">
      <w:pPr>
        <w:pStyle w:val="SingleTxt"/>
        <w:numPr>
          <w:ilvl w:val="0"/>
          <w:numId w:val="39"/>
        </w:numPr>
        <w:spacing w:line="240" w:lineRule="exact"/>
        <w:rPr>
          <w:lang w:val="fr-FR"/>
        </w:rPr>
      </w:pPr>
      <w:r w:rsidRPr="008E60B5">
        <w:rPr>
          <w:lang w:val="fr-FR"/>
        </w:rPr>
        <w:t>Le Ministère accorde des bourses d</w:t>
      </w:r>
      <w:r w:rsidR="008E60B5" w:rsidRPr="008E60B5">
        <w:rPr>
          <w:lang w:val="fr-FR"/>
        </w:rPr>
        <w:t>’</w:t>
      </w:r>
      <w:r w:rsidRPr="008E60B5">
        <w:rPr>
          <w:lang w:val="fr-FR"/>
        </w:rPr>
        <w:t>études, en vertu du règlement relatif aux conditions et aux modalités détaillées d</w:t>
      </w:r>
      <w:r w:rsidR="008E60B5" w:rsidRPr="008E60B5">
        <w:rPr>
          <w:lang w:val="fr-FR"/>
        </w:rPr>
        <w:t>’</w:t>
      </w:r>
      <w:r w:rsidRPr="008E60B5">
        <w:rPr>
          <w:lang w:val="fr-FR"/>
        </w:rPr>
        <w:t>octroi de bourses d</w:t>
      </w:r>
      <w:r w:rsidR="008E60B5" w:rsidRPr="008E60B5">
        <w:rPr>
          <w:lang w:val="fr-FR"/>
        </w:rPr>
        <w:t>’</w:t>
      </w:r>
      <w:r w:rsidRPr="008E60B5">
        <w:rPr>
          <w:lang w:val="fr-FR"/>
        </w:rPr>
        <w:t>études et d</w:t>
      </w:r>
      <w:r w:rsidR="008E60B5" w:rsidRPr="008E60B5">
        <w:rPr>
          <w:lang w:val="fr-FR"/>
        </w:rPr>
        <w:t>’</w:t>
      </w:r>
      <w:r w:rsidRPr="008E60B5">
        <w:rPr>
          <w:lang w:val="fr-FR"/>
        </w:rPr>
        <w:t>un appui financier aux athlètes de haut niveau. En 2016, 381 bourses ont été accordées à 240 hommes et à 141 femmes, contre 401 (254 hommes et 147 femmes) en 2017. Ainsi, 36,6</w:t>
      </w:r>
      <w:r w:rsidR="00B10DE3">
        <w:rPr>
          <w:lang w:val="fr-FR"/>
        </w:rPr>
        <w:t> </w:t>
      </w:r>
      <w:r w:rsidRPr="008E60B5">
        <w:rPr>
          <w:lang w:val="fr-FR"/>
        </w:rPr>
        <w:t>% des bourses sont allées à des athlètes féminines, pourcentage qui a été maintenu durant la période considérée.</w:t>
      </w:r>
    </w:p>
    <w:p w14:paraId="75939CCF" w14:textId="63D21DCD" w:rsidR="00455496" w:rsidRPr="008E60B5" w:rsidRDefault="00455496" w:rsidP="008E60B5">
      <w:pPr>
        <w:pStyle w:val="SingleTxt"/>
        <w:numPr>
          <w:ilvl w:val="0"/>
          <w:numId w:val="39"/>
        </w:numPr>
        <w:spacing w:line="240" w:lineRule="exact"/>
        <w:rPr>
          <w:lang w:val="fr-FR"/>
        </w:rPr>
      </w:pPr>
      <w:r w:rsidRPr="008E60B5">
        <w:rPr>
          <w:lang w:val="fr-FR"/>
        </w:rPr>
        <w:t>L</w:t>
      </w:r>
      <w:r w:rsidR="008E60B5" w:rsidRPr="008E60B5">
        <w:rPr>
          <w:lang w:val="fr-FR"/>
        </w:rPr>
        <w:t>’</w:t>
      </w:r>
      <w:r w:rsidRPr="008E60B5">
        <w:rPr>
          <w:lang w:val="fr-FR"/>
        </w:rPr>
        <w:t>Institut des sports et de la médecine sportive de la Serbie donne les informations suivantes :</w:t>
      </w:r>
    </w:p>
    <w:p w14:paraId="3AF3A81D" w14:textId="6F6E6562" w:rsidR="00455496" w:rsidRPr="008E60B5" w:rsidRDefault="008E60B5" w:rsidP="008E60B5">
      <w:pPr>
        <w:pStyle w:val="SingleTxt"/>
        <w:tabs>
          <w:tab w:val="right" w:pos="1685"/>
        </w:tabs>
        <w:ind w:left="1742" w:hanging="475"/>
        <w:rPr>
          <w:lang w:val="fr-FR"/>
        </w:rPr>
      </w:pPr>
      <w:r w:rsidRPr="008E60B5">
        <w:rPr>
          <w:lang w:val="fr-FR"/>
        </w:rPr>
        <w:tab/>
        <w:t>•</w:t>
      </w:r>
      <w:r w:rsidR="00455496" w:rsidRPr="008E60B5">
        <w:rPr>
          <w:lang w:val="fr-FR"/>
        </w:rPr>
        <w:tab/>
        <w:t>3</w:t>
      </w:r>
      <w:r w:rsidR="00B10DE3">
        <w:rPr>
          <w:lang w:val="fr-FR"/>
        </w:rPr>
        <w:t> </w:t>
      </w:r>
      <w:r w:rsidR="00455496" w:rsidRPr="008E60B5">
        <w:rPr>
          <w:lang w:val="fr-FR"/>
        </w:rPr>
        <w:t>727 organisations sportives ont déclaré, dans les données communiquées au Registre national des organisations sportives, que 13,4</w:t>
      </w:r>
      <w:r w:rsidR="00B10DE3">
        <w:rPr>
          <w:lang w:val="fr-FR"/>
        </w:rPr>
        <w:t> </w:t>
      </w:r>
      <w:r w:rsidR="00455496" w:rsidRPr="008E60B5">
        <w:rPr>
          <w:lang w:val="fr-FR"/>
        </w:rPr>
        <w:t>% des membres de leur comité directeur étaient des femmes, soit 837 sur 6 274 membres ;</w:t>
      </w:r>
    </w:p>
    <w:p w14:paraId="30853521" w14:textId="7F2EA20E" w:rsidR="00455496" w:rsidRPr="008E60B5" w:rsidRDefault="008E60B5" w:rsidP="008E60B5">
      <w:pPr>
        <w:pStyle w:val="SingleTxt"/>
        <w:tabs>
          <w:tab w:val="right" w:pos="1685"/>
        </w:tabs>
        <w:ind w:left="1742" w:hanging="475"/>
        <w:rPr>
          <w:lang w:val="fr-FR"/>
        </w:rPr>
      </w:pPr>
      <w:r w:rsidRPr="008E60B5">
        <w:rPr>
          <w:lang w:val="fr-FR"/>
        </w:rPr>
        <w:tab/>
      </w:r>
      <w:r w:rsidR="00455496" w:rsidRPr="008E60B5">
        <w:rPr>
          <w:lang w:val="fr-FR"/>
        </w:rPr>
        <w:t>•</w:t>
      </w:r>
      <w:r w:rsidR="00455496" w:rsidRPr="008E60B5">
        <w:rPr>
          <w:lang w:val="fr-FR"/>
        </w:rPr>
        <w:tab/>
        <w:t>Les registres nationaux des résultats obtenus par les athlètes serbes lors des grandes compétitions internationales montrent le nombre de femmes ayant remporté des médailles :</w:t>
      </w:r>
    </w:p>
    <w:p w14:paraId="01540F9B" w14:textId="3B0BDEFC" w:rsidR="00455496" w:rsidRPr="008E60B5" w:rsidRDefault="00455496" w:rsidP="008E60B5">
      <w:pPr>
        <w:pStyle w:val="SingleTxt"/>
        <w:spacing w:after="0" w:line="120" w:lineRule="exact"/>
        <w:rPr>
          <w:sz w:val="10"/>
          <w:lang w:val="fr-FR"/>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20"/>
        <w:gridCol w:w="1220"/>
        <w:gridCol w:w="1220"/>
        <w:gridCol w:w="1220"/>
        <w:gridCol w:w="1220"/>
        <w:gridCol w:w="1220"/>
      </w:tblGrid>
      <w:tr w:rsidR="008E60B5" w:rsidRPr="008E60B5" w14:paraId="261B52C7" w14:textId="77777777" w:rsidTr="008E60B5">
        <w:trPr>
          <w:cantSplit/>
          <w:tblHeader/>
        </w:trPr>
        <w:tc>
          <w:tcPr>
            <w:tcW w:w="1220" w:type="dxa"/>
            <w:tcBorders>
              <w:top w:val="single" w:sz="4" w:space="0" w:color="auto"/>
            </w:tcBorders>
            <w:shd w:val="clear" w:color="auto" w:fill="auto"/>
            <w:vAlign w:val="bottom"/>
          </w:tcPr>
          <w:p w14:paraId="16ECF682" w14:textId="2A03C414" w:rsidR="008E60B5" w:rsidRPr="008E60B5" w:rsidRDefault="008E60B5" w:rsidP="008E60B5">
            <w:pPr>
              <w:suppressAutoHyphens/>
              <w:spacing w:before="81" w:after="81" w:line="160" w:lineRule="exact"/>
              <w:ind w:right="40"/>
              <w:rPr>
                <w:i/>
                <w:sz w:val="14"/>
              </w:rPr>
            </w:pPr>
          </w:p>
        </w:tc>
        <w:tc>
          <w:tcPr>
            <w:tcW w:w="6100" w:type="dxa"/>
            <w:gridSpan w:val="5"/>
            <w:tcBorders>
              <w:top w:val="single" w:sz="4" w:space="0" w:color="auto"/>
              <w:bottom w:val="single" w:sz="4" w:space="0" w:color="auto"/>
            </w:tcBorders>
            <w:shd w:val="clear" w:color="auto" w:fill="auto"/>
            <w:vAlign w:val="bottom"/>
          </w:tcPr>
          <w:p w14:paraId="2CED4921" w14:textId="3AB4D277" w:rsidR="008E60B5" w:rsidRPr="008E60B5" w:rsidRDefault="008E60B5" w:rsidP="008E60B5">
            <w:pPr>
              <w:suppressAutoHyphens/>
              <w:spacing w:before="81" w:after="81" w:line="160" w:lineRule="exact"/>
              <w:ind w:left="144" w:right="43"/>
              <w:jc w:val="center"/>
              <w:rPr>
                <w:i/>
                <w:sz w:val="14"/>
              </w:rPr>
            </w:pPr>
            <w:r w:rsidRPr="008E60B5">
              <w:rPr>
                <w:i/>
                <w:sz w:val="14"/>
              </w:rPr>
              <w:t>Athlètes ayant remporté des médailles lors des grandes compétitions internationales.</w:t>
            </w:r>
          </w:p>
        </w:tc>
      </w:tr>
      <w:tr w:rsidR="008E60B5" w:rsidRPr="008E60B5" w14:paraId="3DF57F63" w14:textId="77777777" w:rsidTr="008E60B5">
        <w:trPr>
          <w:cantSplit/>
          <w:tblHeader/>
        </w:trPr>
        <w:tc>
          <w:tcPr>
            <w:tcW w:w="1220" w:type="dxa"/>
            <w:tcBorders>
              <w:bottom w:val="single" w:sz="12" w:space="0" w:color="auto"/>
            </w:tcBorders>
            <w:shd w:val="clear" w:color="auto" w:fill="auto"/>
            <w:vAlign w:val="bottom"/>
          </w:tcPr>
          <w:p w14:paraId="4B1EC263" w14:textId="61A3D1DC" w:rsidR="008E60B5" w:rsidRPr="008E60B5" w:rsidRDefault="008E60B5" w:rsidP="008E60B5">
            <w:pPr>
              <w:suppressAutoHyphens/>
              <w:spacing w:before="81" w:after="81" w:line="160" w:lineRule="exact"/>
              <w:ind w:left="144" w:right="43"/>
              <w:rPr>
                <w:i/>
                <w:sz w:val="14"/>
              </w:rPr>
            </w:pPr>
            <w:r w:rsidRPr="008E60B5">
              <w:rPr>
                <w:i/>
                <w:sz w:val="14"/>
              </w:rPr>
              <w:t>Année</w:t>
            </w:r>
          </w:p>
        </w:tc>
        <w:tc>
          <w:tcPr>
            <w:tcW w:w="1220" w:type="dxa"/>
            <w:tcBorders>
              <w:top w:val="single" w:sz="4" w:space="0" w:color="auto"/>
              <w:bottom w:val="single" w:sz="12" w:space="0" w:color="auto"/>
            </w:tcBorders>
            <w:shd w:val="clear" w:color="auto" w:fill="auto"/>
            <w:vAlign w:val="bottom"/>
          </w:tcPr>
          <w:p w14:paraId="761423BB" w14:textId="64B6E01A" w:rsidR="008E60B5" w:rsidRPr="008E60B5" w:rsidRDefault="008E60B5" w:rsidP="008E60B5">
            <w:pPr>
              <w:suppressAutoHyphens/>
              <w:spacing w:before="81" w:after="81" w:line="160" w:lineRule="exact"/>
              <w:ind w:left="144" w:right="43"/>
              <w:jc w:val="right"/>
              <w:rPr>
                <w:i/>
                <w:sz w:val="14"/>
              </w:rPr>
            </w:pPr>
            <w:r w:rsidRPr="008E60B5">
              <w:rPr>
                <w:i/>
                <w:sz w:val="14"/>
              </w:rPr>
              <w:t>Femmes</w:t>
            </w:r>
          </w:p>
        </w:tc>
        <w:tc>
          <w:tcPr>
            <w:tcW w:w="1220" w:type="dxa"/>
            <w:tcBorders>
              <w:top w:val="single" w:sz="4" w:space="0" w:color="auto"/>
              <w:bottom w:val="single" w:sz="12" w:space="0" w:color="auto"/>
            </w:tcBorders>
            <w:shd w:val="clear" w:color="auto" w:fill="auto"/>
            <w:vAlign w:val="bottom"/>
          </w:tcPr>
          <w:p w14:paraId="7DABBFFB" w14:textId="56C036F6" w:rsidR="008E60B5" w:rsidRPr="008E60B5" w:rsidRDefault="008E60B5" w:rsidP="008E60B5">
            <w:pPr>
              <w:suppressAutoHyphens/>
              <w:spacing w:before="81" w:after="81" w:line="160" w:lineRule="exact"/>
              <w:ind w:left="144" w:right="43"/>
              <w:jc w:val="right"/>
              <w:rPr>
                <w:i/>
                <w:sz w:val="14"/>
              </w:rPr>
            </w:pPr>
            <w:r w:rsidRPr="008E60B5">
              <w:rPr>
                <w:i/>
                <w:sz w:val="14"/>
              </w:rPr>
              <w:t>Hommes</w:t>
            </w:r>
          </w:p>
        </w:tc>
        <w:tc>
          <w:tcPr>
            <w:tcW w:w="1220" w:type="dxa"/>
            <w:tcBorders>
              <w:top w:val="single" w:sz="4" w:space="0" w:color="auto"/>
              <w:bottom w:val="single" w:sz="12" w:space="0" w:color="auto"/>
            </w:tcBorders>
            <w:shd w:val="clear" w:color="auto" w:fill="auto"/>
            <w:vAlign w:val="bottom"/>
          </w:tcPr>
          <w:p w14:paraId="40F0F48C" w14:textId="27095C54" w:rsidR="008E60B5" w:rsidRPr="008E60B5" w:rsidRDefault="008E60B5" w:rsidP="008E60B5">
            <w:pPr>
              <w:suppressAutoHyphens/>
              <w:spacing w:before="81" w:after="81" w:line="160" w:lineRule="exact"/>
              <w:ind w:left="144" w:right="43"/>
              <w:jc w:val="right"/>
              <w:rPr>
                <w:i/>
                <w:sz w:val="14"/>
              </w:rPr>
            </w:pPr>
            <w:r w:rsidRPr="008E60B5">
              <w:rPr>
                <w:i/>
                <w:sz w:val="14"/>
              </w:rPr>
              <w:t>Pourcentage de femmes</w:t>
            </w:r>
          </w:p>
        </w:tc>
        <w:tc>
          <w:tcPr>
            <w:tcW w:w="1220" w:type="dxa"/>
            <w:tcBorders>
              <w:top w:val="single" w:sz="4" w:space="0" w:color="auto"/>
              <w:bottom w:val="single" w:sz="12" w:space="0" w:color="auto"/>
            </w:tcBorders>
            <w:shd w:val="clear" w:color="auto" w:fill="auto"/>
            <w:vAlign w:val="bottom"/>
          </w:tcPr>
          <w:p w14:paraId="76E27C24" w14:textId="16A6BEF5" w:rsidR="008E60B5" w:rsidRPr="008E60B5" w:rsidRDefault="008E60B5" w:rsidP="008E60B5">
            <w:pPr>
              <w:suppressAutoHyphens/>
              <w:spacing w:before="81" w:after="81" w:line="160" w:lineRule="exact"/>
              <w:ind w:left="144" w:right="43"/>
              <w:jc w:val="right"/>
              <w:rPr>
                <w:i/>
                <w:sz w:val="14"/>
              </w:rPr>
            </w:pPr>
            <w:r w:rsidRPr="008E60B5">
              <w:rPr>
                <w:i/>
                <w:sz w:val="14"/>
              </w:rPr>
              <w:t>Pourcentage d’hommes</w:t>
            </w:r>
          </w:p>
        </w:tc>
        <w:tc>
          <w:tcPr>
            <w:tcW w:w="1220" w:type="dxa"/>
            <w:tcBorders>
              <w:top w:val="single" w:sz="4" w:space="0" w:color="auto"/>
              <w:bottom w:val="single" w:sz="12" w:space="0" w:color="auto"/>
            </w:tcBorders>
            <w:shd w:val="clear" w:color="auto" w:fill="auto"/>
            <w:vAlign w:val="bottom"/>
          </w:tcPr>
          <w:p w14:paraId="69C176BF" w14:textId="487F6B87" w:rsidR="008E60B5" w:rsidRPr="008E60B5" w:rsidRDefault="00455496" w:rsidP="008E60B5">
            <w:pPr>
              <w:suppressAutoHyphens/>
              <w:spacing w:before="81" w:after="81" w:line="160" w:lineRule="exact"/>
              <w:ind w:left="144" w:right="43"/>
              <w:jc w:val="right"/>
              <w:rPr>
                <w:i/>
                <w:sz w:val="14"/>
              </w:rPr>
            </w:pPr>
            <w:r w:rsidRPr="008E60B5">
              <w:rPr>
                <w:i/>
                <w:sz w:val="14"/>
              </w:rPr>
              <w:t>Total</w:t>
            </w:r>
          </w:p>
        </w:tc>
      </w:tr>
      <w:tr w:rsidR="008E60B5" w:rsidRPr="008E60B5" w14:paraId="490783BD" w14:textId="77777777" w:rsidTr="008E60B5">
        <w:trPr>
          <w:cantSplit/>
          <w:trHeight w:hRule="exact" w:val="115"/>
          <w:tblHeader/>
        </w:trPr>
        <w:tc>
          <w:tcPr>
            <w:tcW w:w="1220" w:type="dxa"/>
            <w:tcBorders>
              <w:top w:val="single" w:sz="12" w:space="0" w:color="auto"/>
            </w:tcBorders>
            <w:shd w:val="clear" w:color="auto" w:fill="auto"/>
            <w:vAlign w:val="bottom"/>
          </w:tcPr>
          <w:p w14:paraId="571C16DE" w14:textId="77777777" w:rsidR="008E60B5" w:rsidRPr="008E60B5" w:rsidRDefault="008E60B5" w:rsidP="008E60B5">
            <w:pPr>
              <w:suppressAutoHyphens/>
              <w:spacing w:before="40" w:after="40" w:line="210" w:lineRule="exact"/>
              <w:ind w:right="40"/>
              <w:rPr>
                <w:sz w:val="17"/>
              </w:rPr>
            </w:pPr>
          </w:p>
        </w:tc>
        <w:tc>
          <w:tcPr>
            <w:tcW w:w="1220" w:type="dxa"/>
            <w:tcBorders>
              <w:top w:val="single" w:sz="12" w:space="0" w:color="auto"/>
            </w:tcBorders>
            <w:shd w:val="clear" w:color="auto" w:fill="auto"/>
            <w:vAlign w:val="bottom"/>
          </w:tcPr>
          <w:p w14:paraId="6BA61BBC" w14:textId="77777777" w:rsidR="008E60B5" w:rsidRPr="008E60B5" w:rsidRDefault="008E60B5" w:rsidP="008E60B5">
            <w:pPr>
              <w:suppressAutoHyphens/>
              <w:spacing w:before="40" w:after="40" w:line="210" w:lineRule="exact"/>
              <w:ind w:left="144" w:right="43"/>
              <w:jc w:val="right"/>
              <w:rPr>
                <w:sz w:val="17"/>
              </w:rPr>
            </w:pPr>
          </w:p>
        </w:tc>
        <w:tc>
          <w:tcPr>
            <w:tcW w:w="1220" w:type="dxa"/>
            <w:tcBorders>
              <w:top w:val="single" w:sz="12" w:space="0" w:color="auto"/>
            </w:tcBorders>
            <w:shd w:val="clear" w:color="auto" w:fill="auto"/>
            <w:vAlign w:val="bottom"/>
          </w:tcPr>
          <w:p w14:paraId="5E82FA60" w14:textId="77777777" w:rsidR="008E60B5" w:rsidRPr="008E60B5" w:rsidRDefault="008E60B5" w:rsidP="008E60B5">
            <w:pPr>
              <w:suppressAutoHyphens/>
              <w:spacing w:before="40" w:after="40" w:line="210" w:lineRule="exact"/>
              <w:ind w:left="144" w:right="43"/>
              <w:jc w:val="right"/>
              <w:rPr>
                <w:sz w:val="17"/>
              </w:rPr>
            </w:pPr>
          </w:p>
        </w:tc>
        <w:tc>
          <w:tcPr>
            <w:tcW w:w="1220" w:type="dxa"/>
            <w:tcBorders>
              <w:top w:val="single" w:sz="12" w:space="0" w:color="auto"/>
            </w:tcBorders>
            <w:shd w:val="clear" w:color="auto" w:fill="auto"/>
            <w:vAlign w:val="bottom"/>
          </w:tcPr>
          <w:p w14:paraId="61CC111C" w14:textId="77777777" w:rsidR="008E60B5" w:rsidRPr="008E60B5" w:rsidRDefault="008E60B5" w:rsidP="008E60B5">
            <w:pPr>
              <w:suppressAutoHyphens/>
              <w:spacing w:before="40" w:after="40" w:line="210" w:lineRule="exact"/>
              <w:ind w:left="144" w:right="43"/>
              <w:jc w:val="right"/>
              <w:rPr>
                <w:sz w:val="17"/>
              </w:rPr>
            </w:pPr>
          </w:p>
        </w:tc>
        <w:tc>
          <w:tcPr>
            <w:tcW w:w="1220" w:type="dxa"/>
            <w:tcBorders>
              <w:top w:val="single" w:sz="12" w:space="0" w:color="auto"/>
            </w:tcBorders>
            <w:shd w:val="clear" w:color="auto" w:fill="auto"/>
            <w:vAlign w:val="bottom"/>
          </w:tcPr>
          <w:p w14:paraId="6CB95003" w14:textId="77777777" w:rsidR="008E60B5" w:rsidRPr="008E60B5" w:rsidRDefault="008E60B5" w:rsidP="008E60B5">
            <w:pPr>
              <w:suppressAutoHyphens/>
              <w:spacing w:before="40" w:after="40" w:line="210" w:lineRule="exact"/>
              <w:ind w:left="144" w:right="43"/>
              <w:jc w:val="right"/>
              <w:rPr>
                <w:sz w:val="17"/>
              </w:rPr>
            </w:pPr>
          </w:p>
        </w:tc>
        <w:tc>
          <w:tcPr>
            <w:tcW w:w="1220" w:type="dxa"/>
            <w:tcBorders>
              <w:top w:val="single" w:sz="12" w:space="0" w:color="auto"/>
            </w:tcBorders>
            <w:shd w:val="clear" w:color="auto" w:fill="auto"/>
            <w:vAlign w:val="bottom"/>
          </w:tcPr>
          <w:p w14:paraId="1C3F7210" w14:textId="77777777" w:rsidR="008E60B5" w:rsidRPr="008E60B5" w:rsidRDefault="008E60B5" w:rsidP="008E60B5">
            <w:pPr>
              <w:suppressAutoHyphens/>
              <w:spacing w:before="40" w:after="40" w:line="210" w:lineRule="exact"/>
              <w:ind w:left="144" w:right="43"/>
              <w:jc w:val="right"/>
              <w:rPr>
                <w:sz w:val="17"/>
              </w:rPr>
            </w:pPr>
          </w:p>
        </w:tc>
      </w:tr>
      <w:tr w:rsidR="008E60B5" w:rsidRPr="008E60B5" w14:paraId="78621B95" w14:textId="77777777" w:rsidTr="008E60B5">
        <w:trPr>
          <w:cantSplit/>
        </w:trPr>
        <w:tc>
          <w:tcPr>
            <w:tcW w:w="1220" w:type="dxa"/>
            <w:shd w:val="clear" w:color="auto" w:fill="auto"/>
            <w:vAlign w:val="bottom"/>
          </w:tcPr>
          <w:p w14:paraId="49CC4279" w14:textId="77777777" w:rsidR="00455496" w:rsidRPr="008E60B5" w:rsidRDefault="00455496" w:rsidP="008E60B5">
            <w:pPr>
              <w:tabs>
                <w:tab w:val="left" w:pos="288"/>
                <w:tab w:val="left" w:pos="576"/>
                <w:tab w:val="left" w:pos="864"/>
                <w:tab w:val="left" w:pos="1152"/>
              </w:tabs>
              <w:suppressAutoHyphens/>
              <w:spacing w:before="40" w:after="40" w:line="210" w:lineRule="exact"/>
              <w:ind w:right="40"/>
              <w:rPr>
                <w:sz w:val="17"/>
              </w:rPr>
            </w:pPr>
            <w:r w:rsidRPr="008E60B5">
              <w:rPr>
                <w:sz w:val="17"/>
              </w:rPr>
              <w:t>2013</w:t>
            </w:r>
          </w:p>
        </w:tc>
        <w:tc>
          <w:tcPr>
            <w:tcW w:w="1220" w:type="dxa"/>
            <w:shd w:val="clear" w:color="auto" w:fill="auto"/>
            <w:vAlign w:val="bottom"/>
          </w:tcPr>
          <w:p w14:paraId="3C1EF605" w14:textId="77777777" w:rsidR="00455496" w:rsidRPr="008E60B5" w:rsidRDefault="00455496" w:rsidP="008E60B5">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334</w:t>
            </w:r>
          </w:p>
        </w:tc>
        <w:tc>
          <w:tcPr>
            <w:tcW w:w="1220" w:type="dxa"/>
            <w:shd w:val="clear" w:color="auto" w:fill="auto"/>
            <w:vAlign w:val="bottom"/>
          </w:tcPr>
          <w:p w14:paraId="0AD10466" w14:textId="77777777" w:rsidR="00455496" w:rsidRPr="008E60B5" w:rsidRDefault="00455496" w:rsidP="008E60B5">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514</w:t>
            </w:r>
          </w:p>
        </w:tc>
        <w:tc>
          <w:tcPr>
            <w:tcW w:w="1220" w:type="dxa"/>
            <w:shd w:val="clear" w:color="auto" w:fill="auto"/>
            <w:vAlign w:val="bottom"/>
          </w:tcPr>
          <w:p w14:paraId="0FA263B9" w14:textId="77777777" w:rsidR="00455496" w:rsidRPr="008E60B5" w:rsidRDefault="00455496" w:rsidP="008E60B5">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39,39</w:t>
            </w:r>
          </w:p>
        </w:tc>
        <w:tc>
          <w:tcPr>
            <w:tcW w:w="1220" w:type="dxa"/>
            <w:shd w:val="clear" w:color="auto" w:fill="auto"/>
            <w:vAlign w:val="bottom"/>
          </w:tcPr>
          <w:p w14:paraId="63D85931" w14:textId="77777777" w:rsidR="00455496" w:rsidRPr="008E60B5" w:rsidRDefault="00455496" w:rsidP="008E60B5">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60,61</w:t>
            </w:r>
          </w:p>
        </w:tc>
        <w:tc>
          <w:tcPr>
            <w:tcW w:w="1220" w:type="dxa"/>
            <w:shd w:val="clear" w:color="auto" w:fill="auto"/>
            <w:vAlign w:val="bottom"/>
          </w:tcPr>
          <w:p w14:paraId="7DE29459" w14:textId="77777777" w:rsidR="00455496" w:rsidRPr="008E60B5" w:rsidRDefault="00455496" w:rsidP="008E60B5">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848</w:t>
            </w:r>
          </w:p>
        </w:tc>
      </w:tr>
      <w:tr w:rsidR="00455496" w:rsidRPr="008E60B5" w14:paraId="140319A2" w14:textId="77777777" w:rsidTr="008E60B5">
        <w:trPr>
          <w:cantSplit/>
        </w:trPr>
        <w:tc>
          <w:tcPr>
            <w:tcW w:w="1220" w:type="dxa"/>
            <w:shd w:val="clear" w:color="auto" w:fill="auto"/>
            <w:vAlign w:val="bottom"/>
          </w:tcPr>
          <w:p w14:paraId="66C909B4" w14:textId="77777777" w:rsidR="00455496" w:rsidRPr="008E60B5" w:rsidRDefault="00455496" w:rsidP="008E60B5">
            <w:pPr>
              <w:tabs>
                <w:tab w:val="left" w:pos="288"/>
                <w:tab w:val="left" w:pos="576"/>
                <w:tab w:val="left" w:pos="864"/>
                <w:tab w:val="left" w:pos="1152"/>
              </w:tabs>
              <w:suppressAutoHyphens/>
              <w:spacing w:before="40" w:after="40" w:line="210" w:lineRule="exact"/>
              <w:ind w:right="40"/>
              <w:rPr>
                <w:sz w:val="17"/>
              </w:rPr>
            </w:pPr>
            <w:r w:rsidRPr="008E60B5">
              <w:rPr>
                <w:sz w:val="17"/>
              </w:rPr>
              <w:t>2014</w:t>
            </w:r>
          </w:p>
        </w:tc>
        <w:tc>
          <w:tcPr>
            <w:tcW w:w="1220" w:type="dxa"/>
            <w:shd w:val="clear" w:color="auto" w:fill="auto"/>
            <w:vAlign w:val="bottom"/>
          </w:tcPr>
          <w:p w14:paraId="498631DB" w14:textId="77777777" w:rsidR="00455496" w:rsidRPr="008E60B5" w:rsidRDefault="00455496" w:rsidP="008E60B5">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281</w:t>
            </w:r>
          </w:p>
        </w:tc>
        <w:tc>
          <w:tcPr>
            <w:tcW w:w="1220" w:type="dxa"/>
            <w:shd w:val="clear" w:color="auto" w:fill="auto"/>
            <w:vAlign w:val="bottom"/>
          </w:tcPr>
          <w:p w14:paraId="3C3374E0" w14:textId="77777777" w:rsidR="00455496" w:rsidRPr="008E60B5" w:rsidRDefault="00455496" w:rsidP="008E60B5">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300</w:t>
            </w:r>
          </w:p>
        </w:tc>
        <w:tc>
          <w:tcPr>
            <w:tcW w:w="1220" w:type="dxa"/>
            <w:shd w:val="clear" w:color="auto" w:fill="auto"/>
            <w:vAlign w:val="bottom"/>
          </w:tcPr>
          <w:p w14:paraId="1D1798CF" w14:textId="77777777" w:rsidR="00455496" w:rsidRPr="008E60B5" w:rsidRDefault="00455496" w:rsidP="008E60B5">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48,36</w:t>
            </w:r>
          </w:p>
        </w:tc>
        <w:tc>
          <w:tcPr>
            <w:tcW w:w="1220" w:type="dxa"/>
            <w:shd w:val="clear" w:color="auto" w:fill="auto"/>
            <w:vAlign w:val="bottom"/>
          </w:tcPr>
          <w:p w14:paraId="2D4DF21A" w14:textId="77777777" w:rsidR="00455496" w:rsidRPr="008E60B5" w:rsidRDefault="00455496" w:rsidP="008E60B5">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51,64</w:t>
            </w:r>
          </w:p>
        </w:tc>
        <w:tc>
          <w:tcPr>
            <w:tcW w:w="1220" w:type="dxa"/>
            <w:shd w:val="clear" w:color="auto" w:fill="auto"/>
            <w:vAlign w:val="bottom"/>
          </w:tcPr>
          <w:p w14:paraId="224D8C10" w14:textId="77777777" w:rsidR="00455496" w:rsidRPr="008E60B5" w:rsidRDefault="00455496" w:rsidP="008E60B5">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581</w:t>
            </w:r>
          </w:p>
        </w:tc>
      </w:tr>
      <w:tr w:rsidR="00455496" w:rsidRPr="008E60B5" w14:paraId="1B959E0E" w14:textId="77777777" w:rsidTr="008E60B5">
        <w:trPr>
          <w:cantSplit/>
        </w:trPr>
        <w:tc>
          <w:tcPr>
            <w:tcW w:w="1220" w:type="dxa"/>
            <w:shd w:val="clear" w:color="auto" w:fill="auto"/>
            <w:vAlign w:val="bottom"/>
          </w:tcPr>
          <w:p w14:paraId="55FB0AD5" w14:textId="77777777" w:rsidR="00455496" w:rsidRPr="008E60B5" w:rsidRDefault="00455496" w:rsidP="008E60B5">
            <w:pPr>
              <w:tabs>
                <w:tab w:val="left" w:pos="288"/>
                <w:tab w:val="left" w:pos="576"/>
                <w:tab w:val="left" w:pos="864"/>
                <w:tab w:val="left" w:pos="1152"/>
              </w:tabs>
              <w:suppressAutoHyphens/>
              <w:spacing w:before="40" w:after="40" w:line="210" w:lineRule="exact"/>
              <w:ind w:right="40"/>
              <w:rPr>
                <w:sz w:val="17"/>
              </w:rPr>
            </w:pPr>
            <w:r w:rsidRPr="008E60B5">
              <w:rPr>
                <w:sz w:val="17"/>
              </w:rPr>
              <w:t>2015</w:t>
            </w:r>
          </w:p>
        </w:tc>
        <w:tc>
          <w:tcPr>
            <w:tcW w:w="1220" w:type="dxa"/>
            <w:shd w:val="clear" w:color="auto" w:fill="auto"/>
            <w:vAlign w:val="bottom"/>
          </w:tcPr>
          <w:p w14:paraId="1ADB62F3" w14:textId="77777777" w:rsidR="00455496" w:rsidRPr="008E60B5" w:rsidRDefault="00455496" w:rsidP="008E60B5">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296</w:t>
            </w:r>
          </w:p>
        </w:tc>
        <w:tc>
          <w:tcPr>
            <w:tcW w:w="1220" w:type="dxa"/>
            <w:shd w:val="clear" w:color="auto" w:fill="auto"/>
            <w:vAlign w:val="bottom"/>
          </w:tcPr>
          <w:p w14:paraId="6D6FC862" w14:textId="77777777" w:rsidR="00455496" w:rsidRPr="008E60B5" w:rsidRDefault="00455496" w:rsidP="008E60B5">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455</w:t>
            </w:r>
          </w:p>
        </w:tc>
        <w:tc>
          <w:tcPr>
            <w:tcW w:w="1220" w:type="dxa"/>
            <w:shd w:val="clear" w:color="auto" w:fill="auto"/>
            <w:vAlign w:val="bottom"/>
          </w:tcPr>
          <w:p w14:paraId="74675C12" w14:textId="77777777" w:rsidR="00455496" w:rsidRPr="008E60B5" w:rsidRDefault="00455496" w:rsidP="008E60B5">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39,41</w:t>
            </w:r>
          </w:p>
        </w:tc>
        <w:tc>
          <w:tcPr>
            <w:tcW w:w="1220" w:type="dxa"/>
            <w:shd w:val="clear" w:color="auto" w:fill="auto"/>
            <w:vAlign w:val="bottom"/>
          </w:tcPr>
          <w:p w14:paraId="3C442423" w14:textId="77777777" w:rsidR="00455496" w:rsidRPr="008E60B5" w:rsidRDefault="00455496" w:rsidP="008E60B5">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60,59</w:t>
            </w:r>
          </w:p>
        </w:tc>
        <w:tc>
          <w:tcPr>
            <w:tcW w:w="1220" w:type="dxa"/>
            <w:shd w:val="clear" w:color="auto" w:fill="auto"/>
            <w:vAlign w:val="bottom"/>
          </w:tcPr>
          <w:p w14:paraId="1D2B2776" w14:textId="77777777" w:rsidR="00455496" w:rsidRPr="008E60B5" w:rsidRDefault="00455496" w:rsidP="008E60B5">
            <w:pPr>
              <w:tabs>
                <w:tab w:val="left" w:pos="288"/>
                <w:tab w:val="left" w:pos="576"/>
                <w:tab w:val="left" w:pos="864"/>
                <w:tab w:val="left" w:pos="1152"/>
              </w:tabs>
              <w:suppressAutoHyphens/>
              <w:spacing w:before="40" w:after="40" w:line="210" w:lineRule="exact"/>
              <w:ind w:left="144" w:right="43"/>
              <w:jc w:val="right"/>
              <w:rPr>
                <w:sz w:val="17"/>
              </w:rPr>
            </w:pPr>
            <w:r w:rsidRPr="008E60B5">
              <w:rPr>
                <w:sz w:val="17"/>
              </w:rPr>
              <w:t>751</w:t>
            </w:r>
          </w:p>
        </w:tc>
      </w:tr>
      <w:tr w:rsidR="00455496" w:rsidRPr="008E60B5" w14:paraId="6A7A8F79" w14:textId="77777777" w:rsidTr="003C1C06">
        <w:trPr>
          <w:cantSplit/>
        </w:trPr>
        <w:tc>
          <w:tcPr>
            <w:tcW w:w="1220" w:type="dxa"/>
            <w:tcBorders>
              <w:bottom w:val="single" w:sz="4" w:space="0" w:color="auto"/>
            </w:tcBorders>
            <w:shd w:val="clear" w:color="auto" w:fill="auto"/>
            <w:vAlign w:val="bottom"/>
          </w:tcPr>
          <w:p w14:paraId="55DD3DCD" w14:textId="77777777" w:rsidR="00455496" w:rsidRPr="008E60B5" w:rsidRDefault="00455496" w:rsidP="003C1C06">
            <w:pPr>
              <w:tabs>
                <w:tab w:val="left" w:pos="288"/>
                <w:tab w:val="left" w:pos="576"/>
                <w:tab w:val="left" w:pos="864"/>
                <w:tab w:val="left" w:pos="1152"/>
              </w:tabs>
              <w:suppressAutoHyphens/>
              <w:spacing w:before="40" w:after="81" w:line="210" w:lineRule="exact"/>
              <w:ind w:right="40"/>
              <w:rPr>
                <w:sz w:val="17"/>
              </w:rPr>
            </w:pPr>
            <w:r w:rsidRPr="008E60B5">
              <w:rPr>
                <w:sz w:val="17"/>
              </w:rPr>
              <w:t>2016</w:t>
            </w:r>
          </w:p>
        </w:tc>
        <w:tc>
          <w:tcPr>
            <w:tcW w:w="1220" w:type="dxa"/>
            <w:tcBorders>
              <w:bottom w:val="single" w:sz="4" w:space="0" w:color="auto"/>
            </w:tcBorders>
            <w:shd w:val="clear" w:color="auto" w:fill="auto"/>
            <w:vAlign w:val="bottom"/>
          </w:tcPr>
          <w:p w14:paraId="2398BC96" w14:textId="77777777" w:rsidR="00455496" w:rsidRPr="008E60B5" w:rsidRDefault="00455496" w:rsidP="003C1C06">
            <w:pPr>
              <w:tabs>
                <w:tab w:val="left" w:pos="288"/>
                <w:tab w:val="left" w:pos="576"/>
                <w:tab w:val="left" w:pos="864"/>
                <w:tab w:val="left" w:pos="1152"/>
              </w:tabs>
              <w:suppressAutoHyphens/>
              <w:spacing w:before="40" w:after="81" w:line="210" w:lineRule="exact"/>
              <w:ind w:left="144" w:right="43"/>
              <w:jc w:val="right"/>
              <w:rPr>
                <w:sz w:val="17"/>
              </w:rPr>
            </w:pPr>
            <w:r w:rsidRPr="008E60B5">
              <w:rPr>
                <w:sz w:val="17"/>
              </w:rPr>
              <w:t>421</w:t>
            </w:r>
          </w:p>
        </w:tc>
        <w:tc>
          <w:tcPr>
            <w:tcW w:w="1220" w:type="dxa"/>
            <w:tcBorders>
              <w:bottom w:val="single" w:sz="4" w:space="0" w:color="auto"/>
            </w:tcBorders>
            <w:shd w:val="clear" w:color="auto" w:fill="auto"/>
            <w:vAlign w:val="bottom"/>
          </w:tcPr>
          <w:p w14:paraId="35879B89" w14:textId="77777777" w:rsidR="00455496" w:rsidRPr="008E60B5" w:rsidRDefault="00455496" w:rsidP="003C1C06">
            <w:pPr>
              <w:tabs>
                <w:tab w:val="left" w:pos="288"/>
                <w:tab w:val="left" w:pos="576"/>
                <w:tab w:val="left" w:pos="864"/>
                <w:tab w:val="left" w:pos="1152"/>
              </w:tabs>
              <w:suppressAutoHyphens/>
              <w:spacing w:before="40" w:after="81" w:line="210" w:lineRule="exact"/>
              <w:ind w:left="144" w:right="43"/>
              <w:jc w:val="right"/>
              <w:rPr>
                <w:sz w:val="17"/>
              </w:rPr>
            </w:pPr>
            <w:r w:rsidRPr="008E60B5">
              <w:rPr>
                <w:sz w:val="17"/>
              </w:rPr>
              <w:t>485</w:t>
            </w:r>
          </w:p>
        </w:tc>
        <w:tc>
          <w:tcPr>
            <w:tcW w:w="1220" w:type="dxa"/>
            <w:tcBorders>
              <w:bottom w:val="single" w:sz="4" w:space="0" w:color="auto"/>
            </w:tcBorders>
            <w:shd w:val="clear" w:color="auto" w:fill="auto"/>
            <w:vAlign w:val="bottom"/>
          </w:tcPr>
          <w:p w14:paraId="2E66B6D4" w14:textId="77777777" w:rsidR="00455496" w:rsidRPr="008E60B5" w:rsidRDefault="00455496" w:rsidP="003C1C06">
            <w:pPr>
              <w:tabs>
                <w:tab w:val="left" w:pos="288"/>
                <w:tab w:val="left" w:pos="576"/>
                <w:tab w:val="left" w:pos="864"/>
                <w:tab w:val="left" w:pos="1152"/>
              </w:tabs>
              <w:suppressAutoHyphens/>
              <w:spacing w:before="40" w:after="81" w:line="210" w:lineRule="exact"/>
              <w:ind w:left="144" w:right="43"/>
              <w:jc w:val="right"/>
              <w:rPr>
                <w:sz w:val="17"/>
              </w:rPr>
            </w:pPr>
            <w:r w:rsidRPr="008E60B5">
              <w:rPr>
                <w:sz w:val="17"/>
              </w:rPr>
              <w:t>46,47</w:t>
            </w:r>
          </w:p>
        </w:tc>
        <w:tc>
          <w:tcPr>
            <w:tcW w:w="1220" w:type="dxa"/>
            <w:tcBorders>
              <w:bottom w:val="single" w:sz="4" w:space="0" w:color="auto"/>
            </w:tcBorders>
            <w:shd w:val="clear" w:color="auto" w:fill="auto"/>
            <w:vAlign w:val="bottom"/>
          </w:tcPr>
          <w:p w14:paraId="3580B79C" w14:textId="77777777" w:rsidR="00455496" w:rsidRPr="008E60B5" w:rsidRDefault="00455496" w:rsidP="003C1C06">
            <w:pPr>
              <w:tabs>
                <w:tab w:val="left" w:pos="288"/>
                <w:tab w:val="left" w:pos="576"/>
                <w:tab w:val="left" w:pos="864"/>
                <w:tab w:val="left" w:pos="1152"/>
              </w:tabs>
              <w:suppressAutoHyphens/>
              <w:spacing w:before="40" w:after="81" w:line="210" w:lineRule="exact"/>
              <w:ind w:left="144" w:right="43"/>
              <w:jc w:val="right"/>
              <w:rPr>
                <w:sz w:val="17"/>
              </w:rPr>
            </w:pPr>
            <w:r w:rsidRPr="008E60B5">
              <w:rPr>
                <w:sz w:val="17"/>
              </w:rPr>
              <w:t>53,53</w:t>
            </w:r>
          </w:p>
        </w:tc>
        <w:tc>
          <w:tcPr>
            <w:tcW w:w="1220" w:type="dxa"/>
            <w:tcBorders>
              <w:bottom w:val="single" w:sz="4" w:space="0" w:color="auto"/>
            </w:tcBorders>
            <w:shd w:val="clear" w:color="auto" w:fill="auto"/>
            <w:vAlign w:val="bottom"/>
          </w:tcPr>
          <w:p w14:paraId="2610B849" w14:textId="77777777" w:rsidR="00455496" w:rsidRPr="008E60B5" w:rsidRDefault="00455496" w:rsidP="003C1C06">
            <w:pPr>
              <w:tabs>
                <w:tab w:val="left" w:pos="288"/>
                <w:tab w:val="left" w:pos="576"/>
                <w:tab w:val="left" w:pos="864"/>
                <w:tab w:val="left" w:pos="1152"/>
              </w:tabs>
              <w:suppressAutoHyphens/>
              <w:spacing w:before="40" w:after="81" w:line="210" w:lineRule="exact"/>
              <w:ind w:left="144" w:right="43"/>
              <w:jc w:val="right"/>
              <w:rPr>
                <w:sz w:val="17"/>
              </w:rPr>
            </w:pPr>
            <w:r w:rsidRPr="008E60B5">
              <w:rPr>
                <w:sz w:val="17"/>
              </w:rPr>
              <w:t>906</w:t>
            </w:r>
          </w:p>
        </w:tc>
      </w:tr>
      <w:tr w:rsidR="00455496" w:rsidRPr="00B10DE3" w14:paraId="7B4F6191" w14:textId="77777777" w:rsidTr="003C1C06">
        <w:trPr>
          <w:cantSplit/>
        </w:trPr>
        <w:tc>
          <w:tcPr>
            <w:tcW w:w="1220" w:type="dxa"/>
            <w:tcBorders>
              <w:top w:val="single" w:sz="4" w:space="0" w:color="auto"/>
              <w:bottom w:val="single" w:sz="12" w:space="0" w:color="auto"/>
            </w:tcBorders>
            <w:shd w:val="clear" w:color="auto" w:fill="auto"/>
            <w:vAlign w:val="bottom"/>
          </w:tcPr>
          <w:p w14:paraId="7ADF15AE" w14:textId="77777777" w:rsidR="00455496" w:rsidRPr="003C1C06" w:rsidRDefault="00455496" w:rsidP="003C1C06">
            <w:pPr>
              <w:tabs>
                <w:tab w:val="left" w:pos="288"/>
                <w:tab w:val="left" w:pos="576"/>
                <w:tab w:val="left" w:pos="864"/>
                <w:tab w:val="left" w:pos="1152"/>
              </w:tabs>
              <w:suppressAutoHyphens/>
              <w:spacing w:before="81" w:after="81" w:line="210" w:lineRule="exact"/>
              <w:ind w:right="40"/>
              <w:rPr>
                <w:b/>
                <w:sz w:val="17"/>
              </w:rPr>
            </w:pPr>
            <w:r w:rsidRPr="003C1C06">
              <w:rPr>
                <w:b/>
                <w:sz w:val="17"/>
              </w:rPr>
              <w:t>Total</w:t>
            </w:r>
          </w:p>
        </w:tc>
        <w:tc>
          <w:tcPr>
            <w:tcW w:w="1220" w:type="dxa"/>
            <w:tcBorders>
              <w:top w:val="single" w:sz="4" w:space="0" w:color="auto"/>
              <w:bottom w:val="single" w:sz="12" w:space="0" w:color="auto"/>
            </w:tcBorders>
            <w:shd w:val="clear" w:color="auto" w:fill="auto"/>
            <w:vAlign w:val="bottom"/>
          </w:tcPr>
          <w:p w14:paraId="5B4FB6A9" w14:textId="77777777" w:rsidR="00455496" w:rsidRPr="003C1C06" w:rsidRDefault="00455496" w:rsidP="003C1C06">
            <w:pPr>
              <w:tabs>
                <w:tab w:val="left" w:pos="288"/>
                <w:tab w:val="left" w:pos="576"/>
                <w:tab w:val="left" w:pos="864"/>
                <w:tab w:val="left" w:pos="1152"/>
              </w:tabs>
              <w:suppressAutoHyphens/>
              <w:spacing w:before="81" w:after="81" w:line="210" w:lineRule="exact"/>
              <w:ind w:left="144" w:right="43"/>
              <w:jc w:val="right"/>
              <w:rPr>
                <w:b/>
                <w:sz w:val="17"/>
              </w:rPr>
            </w:pPr>
            <w:r w:rsidRPr="003C1C06">
              <w:rPr>
                <w:b/>
                <w:sz w:val="17"/>
              </w:rPr>
              <w:t>1 332</w:t>
            </w:r>
          </w:p>
        </w:tc>
        <w:tc>
          <w:tcPr>
            <w:tcW w:w="1220" w:type="dxa"/>
            <w:tcBorders>
              <w:top w:val="single" w:sz="4" w:space="0" w:color="auto"/>
              <w:bottom w:val="single" w:sz="12" w:space="0" w:color="auto"/>
            </w:tcBorders>
            <w:shd w:val="clear" w:color="auto" w:fill="auto"/>
            <w:vAlign w:val="bottom"/>
          </w:tcPr>
          <w:p w14:paraId="1C1F5461" w14:textId="77777777" w:rsidR="00455496" w:rsidRPr="003C1C06" w:rsidRDefault="00455496" w:rsidP="003C1C06">
            <w:pPr>
              <w:tabs>
                <w:tab w:val="left" w:pos="288"/>
                <w:tab w:val="left" w:pos="576"/>
                <w:tab w:val="left" w:pos="864"/>
                <w:tab w:val="left" w:pos="1152"/>
              </w:tabs>
              <w:suppressAutoHyphens/>
              <w:spacing w:before="81" w:after="81" w:line="210" w:lineRule="exact"/>
              <w:ind w:left="144" w:right="43"/>
              <w:jc w:val="right"/>
              <w:rPr>
                <w:b/>
                <w:sz w:val="17"/>
              </w:rPr>
            </w:pPr>
            <w:r w:rsidRPr="003C1C06">
              <w:rPr>
                <w:b/>
                <w:sz w:val="17"/>
              </w:rPr>
              <w:t>1 754</w:t>
            </w:r>
          </w:p>
        </w:tc>
        <w:tc>
          <w:tcPr>
            <w:tcW w:w="1220" w:type="dxa"/>
            <w:tcBorders>
              <w:top w:val="single" w:sz="4" w:space="0" w:color="auto"/>
              <w:bottom w:val="single" w:sz="12" w:space="0" w:color="auto"/>
            </w:tcBorders>
            <w:shd w:val="clear" w:color="auto" w:fill="auto"/>
            <w:vAlign w:val="bottom"/>
          </w:tcPr>
          <w:p w14:paraId="78F4BEB0" w14:textId="77777777" w:rsidR="00455496" w:rsidRPr="003C1C06" w:rsidRDefault="00455496" w:rsidP="003C1C06">
            <w:pPr>
              <w:tabs>
                <w:tab w:val="left" w:pos="288"/>
                <w:tab w:val="left" w:pos="576"/>
                <w:tab w:val="left" w:pos="864"/>
                <w:tab w:val="left" w:pos="1152"/>
              </w:tabs>
              <w:suppressAutoHyphens/>
              <w:spacing w:before="81" w:after="81" w:line="210" w:lineRule="exact"/>
              <w:ind w:left="144" w:right="43"/>
              <w:jc w:val="right"/>
              <w:rPr>
                <w:b/>
                <w:sz w:val="17"/>
              </w:rPr>
            </w:pPr>
            <w:r w:rsidRPr="003C1C06">
              <w:rPr>
                <w:b/>
                <w:sz w:val="17"/>
              </w:rPr>
              <w:t>43,16</w:t>
            </w:r>
          </w:p>
        </w:tc>
        <w:tc>
          <w:tcPr>
            <w:tcW w:w="1220" w:type="dxa"/>
            <w:tcBorders>
              <w:top w:val="single" w:sz="4" w:space="0" w:color="auto"/>
              <w:bottom w:val="single" w:sz="12" w:space="0" w:color="auto"/>
            </w:tcBorders>
            <w:shd w:val="clear" w:color="auto" w:fill="auto"/>
            <w:vAlign w:val="bottom"/>
          </w:tcPr>
          <w:p w14:paraId="604461A4" w14:textId="77777777" w:rsidR="00455496" w:rsidRPr="003C1C06" w:rsidRDefault="00455496" w:rsidP="003C1C06">
            <w:pPr>
              <w:tabs>
                <w:tab w:val="left" w:pos="288"/>
                <w:tab w:val="left" w:pos="576"/>
                <w:tab w:val="left" w:pos="864"/>
                <w:tab w:val="left" w:pos="1152"/>
              </w:tabs>
              <w:suppressAutoHyphens/>
              <w:spacing w:before="81" w:after="81" w:line="210" w:lineRule="exact"/>
              <w:ind w:left="144" w:right="43"/>
              <w:jc w:val="right"/>
              <w:rPr>
                <w:b/>
                <w:sz w:val="17"/>
              </w:rPr>
            </w:pPr>
            <w:r w:rsidRPr="003C1C06">
              <w:rPr>
                <w:b/>
                <w:sz w:val="17"/>
              </w:rPr>
              <w:t>56,84</w:t>
            </w:r>
          </w:p>
        </w:tc>
        <w:tc>
          <w:tcPr>
            <w:tcW w:w="1220" w:type="dxa"/>
            <w:tcBorders>
              <w:top w:val="single" w:sz="4" w:space="0" w:color="auto"/>
              <w:bottom w:val="single" w:sz="12" w:space="0" w:color="auto"/>
            </w:tcBorders>
            <w:shd w:val="clear" w:color="auto" w:fill="auto"/>
            <w:vAlign w:val="bottom"/>
          </w:tcPr>
          <w:p w14:paraId="3A62CC96" w14:textId="77777777" w:rsidR="00455496" w:rsidRPr="003C1C06" w:rsidRDefault="00455496" w:rsidP="003C1C06">
            <w:pPr>
              <w:tabs>
                <w:tab w:val="left" w:pos="288"/>
                <w:tab w:val="left" w:pos="576"/>
                <w:tab w:val="left" w:pos="864"/>
                <w:tab w:val="left" w:pos="1152"/>
              </w:tabs>
              <w:suppressAutoHyphens/>
              <w:spacing w:before="81" w:after="81" w:line="210" w:lineRule="exact"/>
              <w:ind w:left="144" w:right="43"/>
              <w:jc w:val="right"/>
              <w:rPr>
                <w:b/>
                <w:sz w:val="17"/>
              </w:rPr>
            </w:pPr>
            <w:r w:rsidRPr="003C1C06">
              <w:rPr>
                <w:b/>
                <w:sz w:val="17"/>
              </w:rPr>
              <w:t>3 086</w:t>
            </w:r>
          </w:p>
        </w:tc>
      </w:tr>
    </w:tbl>
    <w:p w14:paraId="3E801B9B" w14:textId="53AFE518" w:rsidR="008E60B5" w:rsidRPr="008E60B5" w:rsidRDefault="008E60B5" w:rsidP="008E60B5">
      <w:pPr>
        <w:pStyle w:val="SingleTxt"/>
        <w:spacing w:after="0" w:line="120" w:lineRule="exact"/>
        <w:rPr>
          <w:sz w:val="10"/>
          <w:lang w:val="fr-FR"/>
        </w:rPr>
      </w:pPr>
    </w:p>
    <w:p w14:paraId="1DF4B71E" w14:textId="5021B4DE" w:rsidR="008E60B5" w:rsidRPr="008E60B5" w:rsidRDefault="008E60B5" w:rsidP="008E60B5">
      <w:pPr>
        <w:pStyle w:val="SingleTxt"/>
        <w:spacing w:after="0" w:line="120" w:lineRule="exact"/>
        <w:rPr>
          <w:sz w:val="10"/>
          <w:lang w:val="fr-FR"/>
        </w:rPr>
      </w:pPr>
    </w:p>
    <w:p w14:paraId="2F5EF807" w14:textId="7A4DDE48" w:rsidR="00455496" w:rsidRPr="008E60B5" w:rsidRDefault="008E60B5" w:rsidP="008E60B5">
      <w:pPr>
        <w:pStyle w:val="SingleTxt"/>
        <w:numPr>
          <w:ilvl w:val="0"/>
          <w:numId w:val="39"/>
        </w:numPr>
        <w:spacing w:line="240" w:lineRule="exact"/>
        <w:rPr>
          <w:lang w:val="fr-FR"/>
        </w:rPr>
      </w:pPr>
      <w:r w:rsidRPr="008E60B5">
        <w:rPr>
          <w:lang w:val="fr-FR"/>
        </w:rPr>
        <w:t>D</w:t>
      </w:r>
      <w:r w:rsidR="00455496" w:rsidRPr="008E60B5">
        <w:rPr>
          <w:lang w:val="fr-FR"/>
        </w:rPr>
        <w:t>eux programmes d</w:t>
      </w:r>
      <w:r w:rsidRPr="008E60B5">
        <w:rPr>
          <w:lang w:val="fr-FR"/>
        </w:rPr>
        <w:t>’</w:t>
      </w:r>
      <w:r w:rsidR="00455496" w:rsidRPr="008E60B5">
        <w:rPr>
          <w:lang w:val="fr-FR"/>
        </w:rPr>
        <w:t>activités sportives et récréatives ont été mis en œuvre : le programme «</w:t>
      </w:r>
      <w:r w:rsidR="00B10DE3">
        <w:rPr>
          <w:lang w:val="fr-FR"/>
        </w:rPr>
        <w:t> </w:t>
      </w:r>
      <w:r w:rsidR="00455496" w:rsidRPr="008E60B5">
        <w:rPr>
          <w:lang w:val="fr-FR"/>
        </w:rPr>
        <w:t>Trim</w:t>
      </w:r>
      <w:r w:rsidR="00B10DE3">
        <w:rPr>
          <w:lang w:val="fr-FR"/>
        </w:rPr>
        <w:t> </w:t>
      </w:r>
      <w:r w:rsidR="00455496" w:rsidRPr="008E60B5">
        <w:rPr>
          <w:lang w:val="fr-FR"/>
        </w:rPr>
        <w:t>», en faveur des femmes, et le programme «</w:t>
      </w:r>
      <w:r w:rsidR="00B10DE3">
        <w:rPr>
          <w:lang w:val="fr-FR"/>
        </w:rPr>
        <w:t> </w:t>
      </w:r>
      <w:r w:rsidR="00455496" w:rsidRPr="008E60B5">
        <w:rPr>
          <w:lang w:val="fr-FR"/>
        </w:rPr>
        <w:t>Fit Mama</w:t>
      </w:r>
      <w:r w:rsidR="00B10DE3">
        <w:rPr>
          <w:lang w:val="fr-FR"/>
        </w:rPr>
        <w:t> </w:t>
      </w:r>
      <w:r w:rsidR="00455496" w:rsidRPr="008E60B5">
        <w:rPr>
          <w:lang w:val="fr-FR"/>
        </w:rPr>
        <w:t>», destinés aux femmes allaitantes. Au cours de la période considérée, 5</w:t>
      </w:r>
      <w:r w:rsidR="00B10DE3">
        <w:rPr>
          <w:lang w:val="fr-FR"/>
        </w:rPr>
        <w:t> </w:t>
      </w:r>
      <w:r w:rsidR="00455496" w:rsidRPr="008E60B5">
        <w:rPr>
          <w:lang w:val="fr-FR"/>
        </w:rPr>
        <w:t>985 femmes y ont participé.</w:t>
      </w:r>
    </w:p>
    <w:p w14:paraId="695E0439" w14:textId="18557216" w:rsidR="00455496" w:rsidRPr="008E60B5" w:rsidRDefault="00455496" w:rsidP="008E60B5">
      <w:pPr>
        <w:pStyle w:val="SingleTxt"/>
        <w:numPr>
          <w:ilvl w:val="0"/>
          <w:numId w:val="39"/>
        </w:numPr>
        <w:spacing w:line="240" w:lineRule="exact"/>
        <w:rPr>
          <w:lang w:val="fr-FR"/>
        </w:rPr>
      </w:pPr>
      <w:r w:rsidRPr="008E60B5">
        <w:rPr>
          <w:lang w:val="fr-FR"/>
        </w:rPr>
        <w:t>L</w:t>
      </w:r>
      <w:r w:rsidR="008E60B5" w:rsidRPr="008E60B5">
        <w:rPr>
          <w:lang w:val="fr-FR"/>
        </w:rPr>
        <w:t>’</w:t>
      </w:r>
      <w:r w:rsidRPr="008E60B5">
        <w:rPr>
          <w:lang w:val="fr-FR"/>
        </w:rPr>
        <w:t xml:space="preserve">Agence de lutte contre le dopage est dirigée par une femme. Ce sont aussi des femmes qui occupent le poste de président et un des postes de vice-président de son </w:t>
      </w:r>
      <w:r w:rsidR="00B10DE3">
        <w:rPr>
          <w:lang w:val="fr-FR"/>
        </w:rPr>
        <w:t>c</w:t>
      </w:r>
      <w:r w:rsidRPr="008E60B5">
        <w:rPr>
          <w:lang w:val="fr-FR"/>
        </w:rPr>
        <w:t>omité de direction, dont un tiers des membres sont également des femmes. Sur les 48 agents de contrôle antidopage habilit</w:t>
      </w:r>
      <w:r w:rsidR="008E60B5" w:rsidRPr="008E60B5">
        <w:rPr>
          <w:lang w:val="fr-FR"/>
        </w:rPr>
        <w:t xml:space="preserve">és, 22 (46 %) sont des femmes. </w:t>
      </w:r>
    </w:p>
    <w:p w14:paraId="56D4FD2F" w14:textId="21066845" w:rsidR="00455496" w:rsidRPr="008E60B5" w:rsidRDefault="00455496" w:rsidP="008E60B5">
      <w:pPr>
        <w:pStyle w:val="SingleTxt"/>
        <w:numPr>
          <w:ilvl w:val="0"/>
          <w:numId w:val="39"/>
        </w:numPr>
        <w:spacing w:line="240" w:lineRule="exact"/>
        <w:rPr>
          <w:lang w:val="fr-FR"/>
        </w:rPr>
      </w:pPr>
      <w:r w:rsidRPr="008E60B5">
        <w:rPr>
          <w:lang w:val="fr-FR"/>
        </w:rPr>
        <w:t xml:space="preserve">Le Gouvernement a adopté la Stratégie de développement du sport en Serbie pour la période 2014-2018 et un </w:t>
      </w:r>
      <w:r w:rsidR="00B10DE3">
        <w:rPr>
          <w:lang w:val="fr-FR"/>
        </w:rPr>
        <w:t>p</w:t>
      </w:r>
      <w:r w:rsidRPr="008E60B5">
        <w:rPr>
          <w:lang w:val="fr-FR"/>
        </w:rPr>
        <w:t>lan d</w:t>
      </w:r>
      <w:r w:rsidR="008E60B5" w:rsidRPr="008E60B5">
        <w:rPr>
          <w:lang w:val="fr-FR"/>
        </w:rPr>
        <w:t>’</w:t>
      </w:r>
      <w:r w:rsidRPr="008E60B5">
        <w:rPr>
          <w:lang w:val="fr-FR"/>
        </w:rPr>
        <w:t>action connexe. Cette stratégie devrait favoriser la participation d</w:t>
      </w:r>
      <w:r w:rsidR="008E60B5" w:rsidRPr="008E60B5">
        <w:rPr>
          <w:lang w:val="fr-FR"/>
        </w:rPr>
        <w:t>’</w:t>
      </w:r>
      <w:r w:rsidRPr="008E60B5">
        <w:rPr>
          <w:lang w:val="fr-FR"/>
        </w:rPr>
        <w:t>un plus grand nombre de femmes tant aux activités sportives qu</w:t>
      </w:r>
      <w:r w:rsidR="008E60B5" w:rsidRPr="008E60B5">
        <w:rPr>
          <w:lang w:val="fr-FR"/>
        </w:rPr>
        <w:t>’</w:t>
      </w:r>
      <w:r w:rsidRPr="008E60B5">
        <w:rPr>
          <w:lang w:val="fr-FR"/>
        </w:rPr>
        <w:t>aux tâches de gestion dans les organisations sportives, et aboutir à l</w:t>
      </w:r>
      <w:r w:rsidR="008E60B5" w:rsidRPr="008E60B5">
        <w:rPr>
          <w:lang w:val="fr-FR"/>
        </w:rPr>
        <w:t>’</w:t>
      </w:r>
      <w:r w:rsidRPr="008E60B5">
        <w:rPr>
          <w:lang w:val="fr-FR"/>
        </w:rPr>
        <w:t>octroi d</w:t>
      </w:r>
      <w:r w:rsidR="008E60B5" w:rsidRPr="008E60B5">
        <w:rPr>
          <w:lang w:val="fr-FR"/>
        </w:rPr>
        <w:t>’</w:t>
      </w:r>
      <w:r w:rsidRPr="008E60B5">
        <w:rPr>
          <w:lang w:val="fr-FR"/>
        </w:rPr>
        <w:t>au moins un quart des postes de direction dans ce domaine à des femmes.</w:t>
      </w:r>
    </w:p>
    <w:p w14:paraId="4401E54A" w14:textId="46EB8A98" w:rsidR="00455496" w:rsidRPr="008E60B5" w:rsidRDefault="00455496" w:rsidP="008E60B5">
      <w:pPr>
        <w:pStyle w:val="SingleTxt"/>
        <w:numPr>
          <w:ilvl w:val="0"/>
          <w:numId w:val="39"/>
        </w:numPr>
        <w:spacing w:line="240" w:lineRule="exact"/>
        <w:rPr>
          <w:lang w:val="fr-FR"/>
        </w:rPr>
      </w:pPr>
      <w:r w:rsidRPr="008E60B5">
        <w:rPr>
          <w:lang w:val="fr-FR"/>
        </w:rPr>
        <w:t>Conformément à la loi sur la jeunesse, le Ministère de la jeunesse et des sports finance des projets et des programmes mis en œuvre par les associations de jeunes et d</w:t>
      </w:r>
      <w:r w:rsidR="008E60B5" w:rsidRPr="008E60B5">
        <w:rPr>
          <w:lang w:val="fr-FR"/>
        </w:rPr>
        <w:t>’</w:t>
      </w:r>
      <w:r w:rsidRPr="008E60B5">
        <w:rPr>
          <w:lang w:val="fr-FR"/>
        </w:rPr>
        <w:t>aide aux jeunes ainsi que par les organisations qui les fédèrent, ainsi que par les collectivités locales et les bureaux de la jeunesse. Durant la période considérée, le Ministère a financé, à hauteur de 17</w:t>
      </w:r>
      <w:r w:rsidR="00B10DE3">
        <w:rPr>
          <w:lang w:val="fr-FR"/>
        </w:rPr>
        <w:t> </w:t>
      </w:r>
      <w:r w:rsidRPr="008E60B5">
        <w:rPr>
          <w:lang w:val="fr-FR"/>
        </w:rPr>
        <w:t>637</w:t>
      </w:r>
      <w:r w:rsidR="00B10DE3">
        <w:rPr>
          <w:lang w:val="fr-FR"/>
        </w:rPr>
        <w:t> </w:t>
      </w:r>
      <w:r w:rsidRPr="008E60B5">
        <w:rPr>
          <w:lang w:val="fr-FR"/>
        </w:rPr>
        <w:t>800 dinars serbes, 20 projets dans les domaines suivants, entre autres : lutte contre la discrimination à l</w:t>
      </w:r>
      <w:r w:rsidR="008E60B5" w:rsidRPr="008E60B5">
        <w:rPr>
          <w:lang w:val="fr-FR"/>
        </w:rPr>
        <w:t>’</w:t>
      </w:r>
      <w:r w:rsidRPr="008E60B5">
        <w:rPr>
          <w:lang w:val="fr-FR"/>
        </w:rPr>
        <w:t>égard des jeunes et contre la violence et l</w:t>
      </w:r>
      <w:r w:rsidR="008E60B5" w:rsidRPr="008E60B5">
        <w:rPr>
          <w:lang w:val="fr-FR"/>
        </w:rPr>
        <w:t>’</w:t>
      </w:r>
      <w:r w:rsidRPr="008E60B5">
        <w:rPr>
          <w:lang w:val="fr-FR"/>
        </w:rPr>
        <w:t>extrémisme chez ces derniers</w:t>
      </w:r>
      <w:r w:rsidR="00B10DE3">
        <w:rPr>
          <w:lang w:val="fr-FR"/>
        </w:rPr>
        <w:t> </w:t>
      </w:r>
      <w:r w:rsidRPr="008E60B5">
        <w:rPr>
          <w:lang w:val="fr-FR"/>
        </w:rPr>
        <w:t>; promotion de la non-violence, de l</w:t>
      </w:r>
      <w:r w:rsidR="008E60B5" w:rsidRPr="008E60B5">
        <w:rPr>
          <w:lang w:val="fr-FR"/>
        </w:rPr>
        <w:t>’</w:t>
      </w:r>
      <w:r w:rsidRPr="008E60B5">
        <w:rPr>
          <w:lang w:val="fr-FR"/>
        </w:rPr>
        <w:t>égalité et de la tolérance ; santé de la procréation</w:t>
      </w:r>
      <w:r w:rsidR="00B10DE3">
        <w:rPr>
          <w:lang w:val="fr-FR"/>
        </w:rPr>
        <w:t> </w:t>
      </w:r>
      <w:r w:rsidRPr="008E60B5">
        <w:rPr>
          <w:lang w:val="fr-FR"/>
        </w:rPr>
        <w:t>; accompagnement psychosocial</w:t>
      </w:r>
      <w:r w:rsidR="00B10DE3">
        <w:rPr>
          <w:lang w:val="fr-FR"/>
        </w:rPr>
        <w:t> </w:t>
      </w:r>
      <w:r w:rsidRPr="008E60B5">
        <w:rPr>
          <w:lang w:val="fr-FR"/>
        </w:rPr>
        <w:t xml:space="preserve">; emploi des jeunes femmes. </w:t>
      </w:r>
    </w:p>
    <w:p w14:paraId="17F5F7BF" w14:textId="77777777" w:rsidR="008E60B5" w:rsidRPr="008E60B5" w:rsidRDefault="008E60B5" w:rsidP="008E60B5">
      <w:pPr>
        <w:pStyle w:val="SingleTxt"/>
        <w:spacing w:after="0" w:line="120" w:lineRule="exact"/>
        <w:rPr>
          <w:b/>
          <w:sz w:val="10"/>
          <w:lang w:val="fr-FR"/>
        </w:rPr>
      </w:pPr>
    </w:p>
    <w:p w14:paraId="4AD3F499" w14:textId="77777777" w:rsidR="008E60B5" w:rsidRPr="008E60B5" w:rsidRDefault="008E60B5" w:rsidP="008E60B5">
      <w:pPr>
        <w:pStyle w:val="SingleTxt"/>
        <w:spacing w:after="0" w:line="120" w:lineRule="exact"/>
        <w:rPr>
          <w:b/>
          <w:sz w:val="10"/>
          <w:lang w:val="fr-FR"/>
        </w:rPr>
      </w:pPr>
    </w:p>
    <w:p w14:paraId="17C63355" w14:textId="522E071E" w:rsidR="00455496" w:rsidRPr="008E60B5" w:rsidRDefault="00455496" w:rsidP="008E60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Article 14</w:t>
      </w:r>
    </w:p>
    <w:p w14:paraId="405B5E3C" w14:textId="0C3AF6AC" w:rsidR="008E60B5" w:rsidRPr="008E60B5" w:rsidRDefault="008E60B5" w:rsidP="008E60B5">
      <w:pPr>
        <w:pStyle w:val="SingleTxt"/>
        <w:spacing w:after="0" w:line="120" w:lineRule="exact"/>
        <w:rPr>
          <w:sz w:val="10"/>
          <w:lang w:val="fr-FR"/>
        </w:rPr>
      </w:pPr>
    </w:p>
    <w:p w14:paraId="4D15D3EA" w14:textId="596F9105" w:rsidR="008E60B5" w:rsidRPr="008E60B5" w:rsidRDefault="008E60B5" w:rsidP="008E60B5">
      <w:pPr>
        <w:pStyle w:val="SingleTxt"/>
        <w:spacing w:after="0" w:line="120" w:lineRule="exact"/>
        <w:rPr>
          <w:sz w:val="10"/>
          <w:lang w:val="fr-FR"/>
        </w:rPr>
      </w:pPr>
    </w:p>
    <w:p w14:paraId="29AC097D" w14:textId="77777777" w:rsidR="00455496" w:rsidRPr="008E60B5" w:rsidRDefault="00455496" w:rsidP="00EE70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Femmes vivant en milieu rural</w:t>
      </w:r>
    </w:p>
    <w:p w14:paraId="3DFBB875" w14:textId="7CE02A9B" w:rsidR="008E60B5" w:rsidRPr="008E60B5" w:rsidRDefault="008E60B5" w:rsidP="008E60B5">
      <w:pPr>
        <w:pStyle w:val="SingleTxt"/>
        <w:spacing w:after="0" w:line="120" w:lineRule="exact"/>
        <w:rPr>
          <w:sz w:val="10"/>
          <w:lang w:val="fr-FR"/>
        </w:rPr>
      </w:pPr>
    </w:p>
    <w:p w14:paraId="47F4D06F" w14:textId="77777777" w:rsidR="00455496" w:rsidRPr="008E60B5" w:rsidRDefault="00455496" w:rsidP="008E60B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 xml:space="preserve">Recommandation formulée au paragraphe 35 </w:t>
      </w:r>
    </w:p>
    <w:p w14:paraId="11ECAD0E" w14:textId="3FB7B632" w:rsidR="008E60B5" w:rsidRPr="008E60B5" w:rsidRDefault="008E60B5" w:rsidP="008E60B5">
      <w:pPr>
        <w:pStyle w:val="SingleTxt"/>
        <w:spacing w:after="0" w:line="120" w:lineRule="exact"/>
        <w:rPr>
          <w:sz w:val="10"/>
          <w:lang w:val="fr-FR"/>
        </w:rPr>
      </w:pPr>
    </w:p>
    <w:p w14:paraId="15ED0BDE" w14:textId="6CECC31D" w:rsidR="00455496" w:rsidRPr="008E60B5" w:rsidRDefault="00455496" w:rsidP="008E60B5">
      <w:pPr>
        <w:pStyle w:val="SingleTxt"/>
        <w:numPr>
          <w:ilvl w:val="0"/>
          <w:numId w:val="39"/>
        </w:numPr>
        <w:spacing w:line="240" w:lineRule="exact"/>
        <w:rPr>
          <w:lang w:val="fr-FR"/>
        </w:rPr>
      </w:pPr>
      <w:r w:rsidRPr="008E60B5">
        <w:rPr>
          <w:lang w:val="fr-FR"/>
        </w:rPr>
        <w:t>Dans le cadre du Programme danois pour le développement du secteur fruitier dans le sud de la Serbie, cinq concours ont été organisés de 2012 à 2014 pour soutenir l</w:t>
      </w:r>
      <w:r w:rsidR="008E60B5" w:rsidRPr="008E60B5">
        <w:rPr>
          <w:lang w:val="fr-FR"/>
        </w:rPr>
        <w:t>’</w:t>
      </w:r>
      <w:r w:rsidRPr="008E60B5">
        <w:rPr>
          <w:lang w:val="fr-FR"/>
        </w:rPr>
        <w:t>arboriculture fruitière dans cette région. En termes de notation et de classement, les femmes propriétaires d</w:t>
      </w:r>
      <w:r w:rsidR="008E60B5" w:rsidRPr="008E60B5">
        <w:rPr>
          <w:lang w:val="fr-FR"/>
        </w:rPr>
        <w:t>’</w:t>
      </w:r>
      <w:r w:rsidRPr="008E60B5">
        <w:rPr>
          <w:lang w:val="fr-FR"/>
        </w:rPr>
        <w:t>exploitations agricoles devançaient les hommes de 10 points. Cinquante-trois des 340 agriculteurs qui ont bénéficié d</w:t>
      </w:r>
      <w:r w:rsidR="008E60B5" w:rsidRPr="008E60B5">
        <w:rPr>
          <w:lang w:val="fr-FR"/>
        </w:rPr>
        <w:t>’</w:t>
      </w:r>
      <w:r w:rsidRPr="008E60B5">
        <w:rPr>
          <w:lang w:val="fr-FR"/>
        </w:rPr>
        <w:t xml:space="preserve">un financement étaient des femmes, soit un pourcentage de 15,59 %. </w:t>
      </w:r>
    </w:p>
    <w:p w14:paraId="41ECF972" w14:textId="1CE782FE" w:rsidR="00455496" w:rsidRPr="008E60B5" w:rsidRDefault="00455496" w:rsidP="008E60B5">
      <w:pPr>
        <w:pStyle w:val="SingleTxt"/>
        <w:numPr>
          <w:ilvl w:val="0"/>
          <w:numId w:val="39"/>
        </w:numPr>
        <w:spacing w:line="240" w:lineRule="exact"/>
        <w:rPr>
          <w:lang w:val="fr-FR"/>
        </w:rPr>
      </w:pPr>
      <w:r w:rsidRPr="008E60B5">
        <w:rPr>
          <w:lang w:val="fr-FR"/>
        </w:rPr>
        <w:t>Cette pratique a par la suite été intégrée dans le règlement relatif aux mesures d</w:t>
      </w:r>
      <w:r w:rsidR="008E60B5" w:rsidRPr="008E60B5">
        <w:rPr>
          <w:lang w:val="fr-FR"/>
        </w:rPr>
        <w:t>’</w:t>
      </w:r>
      <w:r w:rsidRPr="008E60B5">
        <w:rPr>
          <w:lang w:val="fr-FR"/>
        </w:rPr>
        <w:t>incitation visant à améliorer les activités économiques en milieu rural par la promotion d</w:t>
      </w:r>
      <w:r w:rsidR="008E60B5" w:rsidRPr="008E60B5">
        <w:rPr>
          <w:lang w:val="fr-FR"/>
        </w:rPr>
        <w:t>’</w:t>
      </w:r>
      <w:r w:rsidRPr="008E60B5">
        <w:rPr>
          <w:lang w:val="fr-FR"/>
        </w:rPr>
        <w:t>activités non agricoles. De 2014 à 2016, le Ministère de l</w:t>
      </w:r>
      <w:r w:rsidR="008E60B5" w:rsidRPr="008E60B5">
        <w:rPr>
          <w:lang w:val="fr-FR"/>
        </w:rPr>
        <w:t>’</w:t>
      </w:r>
      <w:r w:rsidRPr="008E60B5">
        <w:rPr>
          <w:lang w:val="fr-FR"/>
        </w:rPr>
        <w:t>agriculture et de la protection de l</w:t>
      </w:r>
      <w:r w:rsidR="008E60B5" w:rsidRPr="008E60B5">
        <w:rPr>
          <w:lang w:val="fr-FR"/>
        </w:rPr>
        <w:t>’</w:t>
      </w:r>
      <w:r w:rsidRPr="008E60B5">
        <w:rPr>
          <w:lang w:val="fr-FR"/>
        </w:rPr>
        <w:t>environnement a accordé des subventions d</w:t>
      </w:r>
      <w:r w:rsidR="008E60B5" w:rsidRPr="008E60B5">
        <w:rPr>
          <w:lang w:val="fr-FR"/>
        </w:rPr>
        <w:t>’</w:t>
      </w:r>
      <w:r w:rsidRPr="008E60B5">
        <w:rPr>
          <w:lang w:val="fr-FR"/>
        </w:rPr>
        <w:t>un montant total de 60 millions de dinars serbes à 144 femmes, sélectionnées pour avoir introduit leurs demandes en tant que propriétaires d</w:t>
      </w:r>
      <w:r w:rsidR="008E60B5" w:rsidRPr="008E60B5">
        <w:rPr>
          <w:lang w:val="fr-FR"/>
        </w:rPr>
        <w:t>’</w:t>
      </w:r>
      <w:r w:rsidRPr="008E60B5">
        <w:rPr>
          <w:lang w:val="fr-FR"/>
        </w:rPr>
        <w:t xml:space="preserve">exploitations agricoles. </w:t>
      </w:r>
    </w:p>
    <w:p w14:paraId="3B2A744A" w14:textId="6931F673" w:rsidR="00455496" w:rsidRPr="008E60B5" w:rsidRDefault="00455496" w:rsidP="008E60B5">
      <w:pPr>
        <w:pStyle w:val="SingleTxt"/>
        <w:numPr>
          <w:ilvl w:val="0"/>
          <w:numId w:val="39"/>
        </w:numPr>
        <w:spacing w:line="240" w:lineRule="exact"/>
        <w:rPr>
          <w:lang w:val="fr-FR"/>
        </w:rPr>
      </w:pPr>
      <w:r w:rsidRPr="008E60B5">
        <w:rPr>
          <w:lang w:val="fr-FR"/>
        </w:rPr>
        <w:lastRenderedPageBreak/>
        <w:t>La Stratégie de développement agricole et rural de la Serbie pour la période 2014-2024 illustre la situation en matière d</w:t>
      </w:r>
      <w:r w:rsidR="008E60B5" w:rsidRPr="008E60B5">
        <w:rPr>
          <w:lang w:val="fr-FR"/>
        </w:rPr>
        <w:t>’</w:t>
      </w:r>
      <w:r w:rsidRPr="008E60B5">
        <w:rPr>
          <w:lang w:val="fr-FR"/>
        </w:rPr>
        <w:t>égalité des sexes dans les zones rurales, en particulier dans le domaine de la participation des populations rurales à l</w:t>
      </w:r>
      <w:r w:rsidR="008E60B5" w:rsidRPr="008E60B5">
        <w:rPr>
          <w:lang w:val="fr-FR"/>
        </w:rPr>
        <w:t>’</w:t>
      </w:r>
      <w:r w:rsidRPr="008E60B5">
        <w:rPr>
          <w:lang w:val="fr-FR"/>
        </w:rPr>
        <w:t>économie. Moins de femmes que d</w:t>
      </w:r>
      <w:r w:rsidR="008E60B5" w:rsidRPr="008E60B5">
        <w:rPr>
          <w:lang w:val="fr-FR"/>
        </w:rPr>
        <w:t>’</w:t>
      </w:r>
      <w:r w:rsidRPr="008E60B5">
        <w:rPr>
          <w:lang w:val="fr-FR"/>
        </w:rPr>
        <w:t>hommes ont un emploi et</w:t>
      </w:r>
      <w:r w:rsidR="008E60B5" w:rsidRPr="008E60B5">
        <w:rPr>
          <w:lang w:val="fr-FR"/>
        </w:rPr>
        <w:t xml:space="preserve"> </w:t>
      </w:r>
      <w:r w:rsidRPr="008E60B5">
        <w:rPr>
          <w:lang w:val="fr-FR"/>
        </w:rPr>
        <w:t>les femmes sont sous-représentées dans la population active et les activités non agricoles. Pour ce qui est des disparités entre régions, on a constaté que dans la province autonome de la Voïvodine, l</w:t>
      </w:r>
      <w:r w:rsidR="008E60B5" w:rsidRPr="008E60B5">
        <w:rPr>
          <w:lang w:val="fr-FR"/>
        </w:rPr>
        <w:t>’</w:t>
      </w:r>
      <w:r w:rsidRPr="008E60B5">
        <w:rPr>
          <w:lang w:val="fr-FR"/>
        </w:rPr>
        <w:t>écart entre hommes et femmes sur le marché de l</w:t>
      </w:r>
      <w:r w:rsidR="008E60B5" w:rsidRPr="008E60B5">
        <w:rPr>
          <w:lang w:val="fr-FR"/>
        </w:rPr>
        <w:t>’</w:t>
      </w:r>
      <w:r w:rsidRPr="008E60B5">
        <w:rPr>
          <w:lang w:val="fr-FR"/>
        </w:rPr>
        <w:t>emploi était légèrement moins prononcé, ce qui ne signifiait pas que les femmes avaient une meilleure situation financière : en effet, elles étaient moins présentes dans les secteurs non agricoles et agricoles et beaucoup moins actives que les hommes. La condition des femmes est beaucoup plus défavorable dans le sud et l</w:t>
      </w:r>
      <w:r w:rsidR="008E60B5" w:rsidRPr="008E60B5">
        <w:rPr>
          <w:lang w:val="fr-FR"/>
        </w:rPr>
        <w:t>’</w:t>
      </w:r>
      <w:r w:rsidRPr="008E60B5">
        <w:rPr>
          <w:lang w:val="fr-FR"/>
        </w:rPr>
        <w:t>est de la Serbie, où il existe d</w:t>
      </w:r>
      <w:r w:rsidR="008E60B5" w:rsidRPr="008E60B5">
        <w:rPr>
          <w:lang w:val="fr-FR"/>
        </w:rPr>
        <w:t>’</w:t>
      </w:r>
      <w:r w:rsidRPr="008E60B5">
        <w:rPr>
          <w:lang w:val="fr-FR"/>
        </w:rPr>
        <w:t>énormes différences entre les sexes dans tous les segments du marché de l</w:t>
      </w:r>
      <w:r w:rsidR="008E60B5" w:rsidRPr="008E60B5">
        <w:rPr>
          <w:lang w:val="fr-FR"/>
        </w:rPr>
        <w:t>’</w:t>
      </w:r>
      <w:r w:rsidRPr="008E60B5">
        <w:rPr>
          <w:lang w:val="fr-FR"/>
        </w:rPr>
        <w:t>emploi.</w:t>
      </w:r>
    </w:p>
    <w:p w14:paraId="66BC079B" w14:textId="2CC75CF1" w:rsidR="00455496" w:rsidRPr="008E60B5" w:rsidRDefault="00455496" w:rsidP="008E60B5">
      <w:pPr>
        <w:pStyle w:val="SingleTxt"/>
        <w:numPr>
          <w:ilvl w:val="0"/>
          <w:numId w:val="39"/>
        </w:numPr>
        <w:spacing w:line="240" w:lineRule="exact"/>
        <w:rPr>
          <w:lang w:val="fr-FR"/>
        </w:rPr>
      </w:pPr>
      <w:r w:rsidRPr="008E60B5">
        <w:rPr>
          <w:lang w:val="fr-FR"/>
        </w:rPr>
        <w:t>Dans les critères de sélection envisagés dans le projet de programme de développement rural de la Serbie pour la période 2015-2020, la priorité est donnée aux femmes chefs d</w:t>
      </w:r>
      <w:r w:rsidR="008E60B5" w:rsidRPr="008E60B5">
        <w:rPr>
          <w:lang w:val="fr-FR"/>
        </w:rPr>
        <w:t>’</w:t>
      </w:r>
      <w:r w:rsidRPr="008E60B5">
        <w:rPr>
          <w:lang w:val="fr-FR"/>
        </w:rPr>
        <w:t>entreprise ou aux femmes propriétaires d</w:t>
      </w:r>
      <w:r w:rsidR="008E60B5" w:rsidRPr="008E60B5">
        <w:rPr>
          <w:lang w:val="fr-FR"/>
        </w:rPr>
        <w:t>’</w:t>
      </w:r>
      <w:r w:rsidRPr="008E60B5">
        <w:rPr>
          <w:lang w:val="fr-FR"/>
        </w:rPr>
        <w:t>exploitations agricoles. On trouve, dans le règlement relatif aux mesures d</w:t>
      </w:r>
      <w:r w:rsidR="008E60B5" w:rsidRPr="008E60B5">
        <w:rPr>
          <w:lang w:val="fr-FR"/>
        </w:rPr>
        <w:t>’</w:t>
      </w:r>
      <w:r w:rsidRPr="008E60B5">
        <w:rPr>
          <w:lang w:val="fr-FR"/>
        </w:rPr>
        <w:t>incitation visant à améliorer les activités économiques en milieu rural par la promotion d</w:t>
      </w:r>
      <w:r w:rsidR="008E60B5" w:rsidRPr="008E60B5">
        <w:rPr>
          <w:lang w:val="fr-FR"/>
        </w:rPr>
        <w:t>’</w:t>
      </w:r>
      <w:r w:rsidRPr="008E60B5">
        <w:rPr>
          <w:lang w:val="fr-FR"/>
        </w:rPr>
        <w:t>activités non agricoles, des précisions sur les différents types de mesures, les conditions à remplir et les modalités à suivre pour en bénéficier et le formulaire de demande, ainsi que le montant maximal par bénéficiaire et par type de mesures.</w:t>
      </w:r>
      <w:bookmarkStart w:id="3" w:name="str_1"/>
      <w:bookmarkEnd w:id="3"/>
    </w:p>
    <w:p w14:paraId="567CC583" w14:textId="06B6DEE3" w:rsidR="00455496" w:rsidRPr="008E60B5" w:rsidRDefault="00455496" w:rsidP="008E60B5">
      <w:pPr>
        <w:pStyle w:val="SingleTxt"/>
        <w:numPr>
          <w:ilvl w:val="0"/>
          <w:numId w:val="39"/>
        </w:numPr>
        <w:spacing w:line="240" w:lineRule="exact"/>
        <w:rPr>
          <w:lang w:val="fr-FR"/>
        </w:rPr>
      </w:pPr>
      <w:r w:rsidRPr="008E60B5">
        <w:rPr>
          <w:lang w:val="fr-FR"/>
        </w:rPr>
        <w:t>Le ministère compétent en matière de travail et d</w:t>
      </w:r>
      <w:r w:rsidR="008E60B5" w:rsidRPr="008E60B5">
        <w:rPr>
          <w:lang w:val="fr-FR"/>
        </w:rPr>
        <w:t>’</w:t>
      </w:r>
      <w:r w:rsidRPr="008E60B5">
        <w:rPr>
          <w:lang w:val="fr-FR"/>
        </w:rPr>
        <w:t>emploi a annoncé en novembre 2016 l</w:t>
      </w:r>
      <w:r w:rsidR="008E60B5" w:rsidRPr="008E60B5">
        <w:rPr>
          <w:lang w:val="fr-FR"/>
        </w:rPr>
        <w:t>’</w:t>
      </w:r>
      <w:r w:rsidRPr="008E60B5">
        <w:rPr>
          <w:lang w:val="fr-FR"/>
        </w:rPr>
        <w:t>organisation d</w:t>
      </w:r>
      <w:r w:rsidR="008E60B5" w:rsidRPr="008E60B5">
        <w:rPr>
          <w:lang w:val="fr-FR"/>
        </w:rPr>
        <w:t>’</w:t>
      </w:r>
      <w:r w:rsidRPr="008E60B5">
        <w:rPr>
          <w:lang w:val="fr-FR"/>
        </w:rPr>
        <w:t>un concours visant à promouvoir des projets en faveur de l</w:t>
      </w:r>
      <w:r w:rsidR="008E60B5" w:rsidRPr="008E60B5">
        <w:rPr>
          <w:lang w:val="fr-FR"/>
        </w:rPr>
        <w:t>’</w:t>
      </w:r>
      <w:r w:rsidRPr="008E60B5">
        <w:rPr>
          <w:lang w:val="fr-FR"/>
        </w:rPr>
        <w:t>autonomisation financière des femmes, dans le cadre duquel 12 projets ont été sélectionnés, y compris dans le domaine de la production d</w:t>
      </w:r>
      <w:r w:rsidR="008E60B5" w:rsidRPr="008E60B5">
        <w:rPr>
          <w:lang w:val="fr-FR"/>
        </w:rPr>
        <w:t>’</w:t>
      </w:r>
      <w:r w:rsidRPr="008E60B5">
        <w:rPr>
          <w:lang w:val="fr-FR"/>
        </w:rPr>
        <w:t>aliments biologiques. Ces projets d</w:t>
      </w:r>
      <w:r w:rsidR="008E60B5" w:rsidRPr="008E60B5">
        <w:rPr>
          <w:lang w:val="fr-FR"/>
        </w:rPr>
        <w:t>’</w:t>
      </w:r>
      <w:r w:rsidRPr="008E60B5">
        <w:rPr>
          <w:lang w:val="fr-FR"/>
        </w:rPr>
        <w:t>une valeur totale de trois millions de dinars serbes ont été mis en œuvre au premier semestre 2017.</w:t>
      </w:r>
    </w:p>
    <w:p w14:paraId="0BB20444" w14:textId="5530D2A4" w:rsidR="00455496" w:rsidRPr="008E60B5" w:rsidRDefault="00455496" w:rsidP="008E60B5">
      <w:pPr>
        <w:pStyle w:val="SingleTxt"/>
        <w:numPr>
          <w:ilvl w:val="0"/>
          <w:numId w:val="39"/>
        </w:numPr>
        <w:spacing w:line="240" w:lineRule="exact"/>
        <w:rPr>
          <w:lang w:val="fr-FR"/>
        </w:rPr>
      </w:pPr>
      <w:r w:rsidRPr="008E60B5">
        <w:rPr>
          <w:lang w:val="fr-FR"/>
        </w:rPr>
        <w:t>Pour la première fois en 2017, l</w:t>
      </w:r>
      <w:r w:rsidR="008E60B5" w:rsidRPr="008E60B5">
        <w:rPr>
          <w:lang w:val="fr-FR"/>
        </w:rPr>
        <w:t>’</w:t>
      </w:r>
      <w:r w:rsidRPr="008E60B5">
        <w:rPr>
          <w:lang w:val="fr-FR"/>
        </w:rPr>
        <w:t>accès des femmes à la création d</w:t>
      </w:r>
      <w:r w:rsidR="008E60B5" w:rsidRPr="008E60B5">
        <w:rPr>
          <w:lang w:val="fr-FR"/>
        </w:rPr>
        <w:t>’</w:t>
      </w:r>
      <w:r w:rsidRPr="008E60B5">
        <w:rPr>
          <w:lang w:val="fr-FR"/>
        </w:rPr>
        <w:t>entreprise a été amélioré grâce à des mesures d</w:t>
      </w:r>
      <w:r w:rsidR="008E60B5" w:rsidRPr="008E60B5">
        <w:rPr>
          <w:lang w:val="fr-FR"/>
        </w:rPr>
        <w:t>’</w:t>
      </w:r>
      <w:r w:rsidRPr="008E60B5">
        <w:rPr>
          <w:lang w:val="fr-FR"/>
        </w:rPr>
        <w:t>aide au crédit, notamment en faveur des femmes propriétaires d</w:t>
      </w:r>
      <w:r w:rsidR="008E60B5" w:rsidRPr="008E60B5">
        <w:rPr>
          <w:lang w:val="fr-FR"/>
        </w:rPr>
        <w:t>’</w:t>
      </w:r>
      <w:r w:rsidRPr="008E60B5">
        <w:rPr>
          <w:lang w:val="fr-FR"/>
        </w:rPr>
        <w:t>exploitations agricoles, qui bénéficient d</w:t>
      </w:r>
      <w:r w:rsidR="008E60B5" w:rsidRPr="008E60B5">
        <w:rPr>
          <w:lang w:val="fr-FR"/>
        </w:rPr>
        <w:t>’</w:t>
      </w:r>
      <w:r w:rsidRPr="008E60B5">
        <w:rPr>
          <w:lang w:val="fr-FR"/>
        </w:rPr>
        <w:t>un taux d</w:t>
      </w:r>
      <w:r w:rsidR="008E60B5" w:rsidRPr="008E60B5">
        <w:rPr>
          <w:lang w:val="fr-FR"/>
        </w:rPr>
        <w:t>’</w:t>
      </w:r>
      <w:r w:rsidRPr="008E60B5">
        <w:rPr>
          <w:lang w:val="fr-FR"/>
        </w:rPr>
        <w:t>intérêt plus avantageux (1</w:t>
      </w:r>
      <w:r w:rsidR="00B10DE3">
        <w:rPr>
          <w:lang w:val="fr-FR"/>
        </w:rPr>
        <w:t> </w:t>
      </w:r>
      <w:r w:rsidRPr="008E60B5">
        <w:rPr>
          <w:lang w:val="fr-FR"/>
        </w:rPr>
        <w:t>%). En outre, les femmes qui travaillent dans le secteur agricole auront cette année, pour la première fois, droit à des congés de maternité rémunérés. Dans le cadre de la poursuite de la réforme du cadastre, les autorités ont assuré le suivi de l</w:t>
      </w:r>
      <w:r w:rsidR="008E60B5" w:rsidRPr="008E60B5">
        <w:rPr>
          <w:lang w:val="fr-FR"/>
        </w:rPr>
        <w:t>’</w:t>
      </w:r>
      <w:r w:rsidRPr="008E60B5">
        <w:rPr>
          <w:lang w:val="fr-FR"/>
        </w:rPr>
        <w:t>enregistrement des propriétés détenues par les hommes comme par les femmes et pris de nouvelles mesures incitatives visant à améliorer l</w:t>
      </w:r>
      <w:r w:rsidR="008E60B5" w:rsidRPr="008E60B5">
        <w:rPr>
          <w:lang w:val="fr-FR"/>
        </w:rPr>
        <w:t>’</w:t>
      </w:r>
      <w:r w:rsidRPr="008E60B5">
        <w:rPr>
          <w:lang w:val="fr-FR"/>
        </w:rPr>
        <w:t xml:space="preserve">accès de ces dernières aux prêts et aux crédits et à leur donner plus de moyens financiers. </w:t>
      </w:r>
    </w:p>
    <w:p w14:paraId="475A57BB" w14:textId="10673FC6" w:rsidR="00455496" w:rsidRPr="008E60B5" w:rsidRDefault="00455496" w:rsidP="008E60B5">
      <w:pPr>
        <w:pStyle w:val="SingleTxt"/>
        <w:numPr>
          <w:ilvl w:val="0"/>
          <w:numId w:val="39"/>
        </w:numPr>
        <w:spacing w:line="240" w:lineRule="exact"/>
        <w:rPr>
          <w:lang w:val="fr-FR"/>
        </w:rPr>
      </w:pPr>
      <w:r w:rsidRPr="008E60B5">
        <w:rPr>
          <w:lang w:val="fr-FR"/>
        </w:rPr>
        <w:t>Une autre mesure axée sur l</w:t>
      </w:r>
      <w:r w:rsidR="008E60B5" w:rsidRPr="008E60B5">
        <w:rPr>
          <w:lang w:val="fr-FR"/>
        </w:rPr>
        <w:t>’</w:t>
      </w:r>
      <w:r w:rsidRPr="008E60B5">
        <w:rPr>
          <w:lang w:val="fr-FR"/>
        </w:rPr>
        <w:t>autonomisation économique des femmes consiste à donner aux couples la possibilité d</w:t>
      </w:r>
      <w:r w:rsidR="008E60B5" w:rsidRPr="008E60B5">
        <w:rPr>
          <w:lang w:val="fr-FR"/>
        </w:rPr>
        <w:t>’</w:t>
      </w:r>
      <w:r w:rsidRPr="008E60B5">
        <w:rPr>
          <w:lang w:val="fr-FR"/>
        </w:rPr>
        <w:t>enregistrer, à moindre frais, leurs titres fonciers sur des propriétés acquises conjointement. Cette mesure vise à permettre à un plus grand nombre de femmes d</w:t>
      </w:r>
      <w:r w:rsidR="008E60B5" w:rsidRPr="008E60B5">
        <w:rPr>
          <w:lang w:val="fr-FR"/>
        </w:rPr>
        <w:t>’</w:t>
      </w:r>
      <w:r w:rsidRPr="008E60B5">
        <w:rPr>
          <w:lang w:val="fr-FR"/>
        </w:rPr>
        <w:t>enregistrer leurs propriétés auprès du cadastre, de façon à protéger leurs droits de propriété sur les biens acquis conjointement et, par conséquent, à promouvoir leur autonomie financière et à renforcer l</w:t>
      </w:r>
      <w:r w:rsidR="008E60B5" w:rsidRPr="008E60B5">
        <w:rPr>
          <w:lang w:val="fr-FR"/>
        </w:rPr>
        <w:t>’</w:t>
      </w:r>
      <w:r w:rsidRPr="008E60B5">
        <w:rPr>
          <w:lang w:val="fr-FR"/>
        </w:rPr>
        <w:t>égalité des sexes.</w:t>
      </w:r>
    </w:p>
    <w:p w14:paraId="6FE46F28" w14:textId="611C6F3C" w:rsidR="00455496" w:rsidRPr="008E60B5" w:rsidRDefault="00455496" w:rsidP="008E60B5">
      <w:pPr>
        <w:pStyle w:val="SingleTxt"/>
        <w:numPr>
          <w:ilvl w:val="0"/>
          <w:numId w:val="39"/>
        </w:numPr>
        <w:spacing w:line="240" w:lineRule="exact"/>
        <w:rPr>
          <w:lang w:val="fr-FR"/>
        </w:rPr>
      </w:pPr>
      <w:r w:rsidRPr="008E60B5">
        <w:rPr>
          <w:lang w:val="fr-FR"/>
        </w:rPr>
        <w:t>Plusieurs programmes ont été mis en œuvre dans la province autonome de la Voïvodine afin d</w:t>
      </w:r>
      <w:r w:rsidR="008E60B5" w:rsidRPr="008E60B5">
        <w:rPr>
          <w:lang w:val="fr-FR"/>
        </w:rPr>
        <w:t>’</w:t>
      </w:r>
      <w:r w:rsidRPr="008E60B5">
        <w:rPr>
          <w:lang w:val="fr-FR"/>
        </w:rPr>
        <w:t>améliorer la condition des femmes vivant en milieu rural :</w:t>
      </w:r>
    </w:p>
    <w:p w14:paraId="298943A6" w14:textId="720AFA6E" w:rsidR="00455496" w:rsidRPr="008E60B5" w:rsidRDefault="008E60B5" w:rsidP="008E60B5">
      <w:pPr>
        <w:pStyle w:val="SingleTxt"/>
        <w:tabs>
          <w:tab w:val="right" w:pos="1685"/>
        </w:tabs>
        <w:ind w:left="1742" w:hanging="475"/>
        <w:rPr>
          <w:lang w:val="fr-FR"/>
        </w:rPr>
      </w:pPr>
      <w:r w:rsidRPr="008E60B5">
        <w:rPr>
          <w:lang w:val="fr-FR"/>
        </w:rPr>
        <w:tab/>
      </w:r>
      <w:r w:rsidR="00455496" w:rsidRPr="008E60B5">
        <w:rPr>
          <w:lang w:val="fr-FR"/>
        </w:rPr>
        <w:t>•</w:t>
      </w:r>
      <w:r w:rsidR="00455496" w:rsidRPr="008E60B5">
        <w:rPr>
          <w:lang w:val="fr-FR"/>
        </w:rPr>
        <w:tab/>
        <w:t>Le Programme « Organic Food – An Opportunity for Everyone », destiné aux femmes rurales propriétaires de start-up dans le domaine de l</w:t>
      </w:r>
      <w:r w:rsidRPr="008E60B5">
        <w:rPr>
          <w:lang w:val="fr-FR"/>
        </w:rPr>
        <w:t>’</w:t>
      </w:r>
      <w:r w:rsidR="00455496" w:rsidRPr="008E60B5">
        <w:rPr>
          <w:lang w:val="fr-FR"/>
        </w:rPr>
        <w:t>agroalimentaire, a été mis en place pour promouvoir l</w:t>
      </w:r>
      <w:r w:rsidRPr="008E60B5">
        <w:rPr>
          <w:lang w:val="fr-FR"/>
        </w:rPr>
        <w:t>’</w:t>
      </w:r>
      <w:r w:rsidR="00455496" w:rsidRPr="008E60B5">
        <w:rPr>
          <w:lang w:val="fr-FR"/>
        </w:rPr>
        <w:t>agriculture biologique et la création de jardins biologiques</w:t>
      </w:r>
      <w:r w:rsidRPr="008E60B5">
        <w:rPr>
          <w:lang w:val="fr-FR"/>
        </w:rPr>
        <w:t xml:space="preserve"> </w:t>
      </w:r>
      <w:r w:rsidR="00455496" w:rsidRPr="008E60B5">
        <w:rPr>
          <w:lang w:val="fr-FR"/>
        </w:rPr>
        <w:t>;</w:t>
      </w:r>
    </w:p>
    <w:p w14:paraId="11F5035C" w14:textId="7C792002" w:rsidR="00455496" w:rsidRPr="008E60B5" w:rsidRDefault="008E60B5" w:rsidP="008E60B5">
      <w:pPr>
        <w:pStyle w:val="SingleTxt"/>
        <w:tabs>
          <w:tab w:val="right" w:pos="1685"/>
        </w:tabs>
        <w:ind w:left="1742" w:hanging="475"/>
        <w:rPr>
          <w:lang w:val="fr-FR"/>
        </w:rPr>
      </w:pPr>
      <w:r w:rsidRPr="008E60B5">
        <w:rPr>
          <w:lang w:val="fr-FR"/>
        </w:rPr>
        <w:tab/>
      </w:r>
      <w:r w:rsidR="00455496" w:rsidRPr="008E60B5">
        <w:rPr>
          <w:lang w:val="fr-FR"/>
        </w:rPr>
        <w:t>•</w:t>
      </w:r>
      <w:r w:rsidR="00455496" w:rsidRPr="008E60B5">
        <w:rPr>
          <w:lang w:val="fr-FR"/>
        </w:rPr>
        <w:tab/>
        <w:t>Un concours organisé pour promouvoir le caractère touristique des manifestations dans les zones rurales a permis le financement de</w:t>
      </w:r>
      <w:r w:rsidRPr="008E60B5">
        <w:rPr>
          <w:lang w:val="fr-FR"/>
        </w:rPr>
        <w:t xml:space="preserve"> </w:t>
      </w:r>
      <w:r w:rsidR="00455496" w:rsidRPr="008E60B5">
        <w:rPr>
          <w:lang w:val="fr-FR"/>
        </w:rPr>
        <w:t>19 projets en 2013, 20 en 2014 et 40 en 2015 ;</w:t>
      </w:r>
    </w:p>
    <w:p w14:paraId="7F8EA1E8" w14:textId="41ADAA91" w:rsidR="00455496" w:rsidRPr="008E60B5" w:rsidRDefault="008E60B5" w:rsidP="008E60B5">
      <w:pPr>
        <w:pStyle w:val="SingleTxt"/>
        <w:tabs>
          <w:tab w:val="right" w:pos="1685"/>
        </w:tabs>
        <w:ind w:left="1742" w:hanging="475"/>
        <w:rPr>
          <w:lang w:val="fr-FR"/>
        </w:rPr>
      </w:pPr>
      <w:r w:rsidRPr="008E60B5">
        <w:rPr>
          <w:lang w:val="fr-FR"/>
        </w:rPr>
        <w:lastRenderedPageBreak/>
        <w:tab/>
      </w:r>
      <w:r w:rsidR="00455496" w:rsidRPr="008E60B5">
        <w:rPr>
          <w:lang w:val="fr-FR"/>
        </w:rPr>
        <w:t>•</w:t>
      </w:r>
      <w:r w:rsidR="00455496" w:rsidRPr="008E60B5">
        <w:rPr>
          <w:lang w:val="fr-FR"/>
        </w:rPr>
        <w:tab/>
        <w:t>Un concours visant à soutenir les activités et les programmes menés par des associations de femmes rurales de la province autonome de la Voïvodine et à améliorer l</w:t>
      </w:r>
      <w:r w:rsidRPr="008E60B5">
        <w:rPr>
          <w:lang w:val="fr-FR"/>
        </w:rPr>
        <w:t>’</w:t>
      </w:r>
      <w:r w:rsidR="00455496" w:rsidRPr="008E60B5">
        <w:rPr>
          <w:lang w:val="fr-FR"/>
        </w:rPr>
        <w:t>autonomie financière de ces dernières a permis de financer 32 projets en 2013, 31 en 2014 et 39 en 2015 ;</w:t>
      </w:r>
    </w:p>
    <w:p w14:paraId="1DE6380C" w14:textId="2586CFE9" w:rsidR="00455496" w:rsidRPr="008E60B5" w:rsidRDefault="008E60B5" w:rsidP="008E60B5">
      <w:pPr>
        <w:pStyle w:val="SingleTxt"/>
        <w:tabs>
          <w:tab w:val="right" w:pos="1685"/>
        </w:tabs>
        <w:ind w:left="1742" w:hanging="475"/>
        <w:rPr>
          <w:lang w:val="fr-FR"/>
        </w:rPr>
      </w:pPr>
      <w:r w:rsidRPr="008E60B5">
        <w:rPr>
          <w:lang w:val="fr-FR"/>
        </w:rPr>
        <w:tab/>
      </w:r>
      <w:r w:rsidR="00455496" w:rsidRPr="008E60B5">
        <w:rPr>
          <w:lang w:val="fr-FR"/>
        </w:rPr>
        <w:t>•</w:t>
      </w:r>
      <w:r w:rsidR="00455496" w:rsidRPr="008E60B5">
        <w:rPr>
          <w:lang w:val="fr-FR"/>
        </w:rPr>
        <w:tab/>
        <w:t>Un concours a été organisé pour financer des initiatives (13 en 2013 et 21 en 2014) dans le cadre du projet «</w:t>
      </w:r>
      <w:r w:rsidR="00B10DE3">
        <w:rPr>
          <w:lang w:val="fr-FR"/>
        </w:rPr>
        <w:t> </w:t>
      </w:r>
      <w:r w:rsidR="00455496" w:rsidRPr="008E60B5">
        <w:rPr>
          <w:lang w:val="fr-FR"/>
        </w:rPr>
        <w:t>Postcard Village</w:t>
      </w:r>
      <w:r w:rsidR="00B10DE3">
        <w:rPr>
          <w:lang w:val="fr-FR"/>
        </w:rPr>
        <w:t> </w:t>
      </w:r>
      <w:r w:rsidR="00455496" w:rsidRPr="008E60B5">
        <w:rPr>
          <w:lang w:val="fr-FR"/>
        </w:rPr>
        <w:t>», qui vise à promouvoir les zones rurales en tant que destinations touristiques.</w:t>
      </w:r>
    </w:p>
    <w:p w14:paraId="2400D417" w14:textId="11FF823E" w:rsidR="00455496" w:rsidRPr="008E60B5" w:rsidRDefault="00455496" w:rsidP="008E60B5">
      <w:pPr>
        <w:pStyle w:val="SingleTxt"/>
        <w:numPr>
          <w:ilvl w:val="0"/>
          <w:numId w:val="39"/>
        </w:numPr>
        <w:spacing w:line="240" w:lineRule="exact"/>
        <w:rPr>
          <w:lang w:val="fr-FR"/>
        </w:rPr>
      </w:pPr>
      <w:r w:rsidRPr="008E60B5">
        <w:rPr>
          <w:lang w:val="fr-FR"/>
        </w:rPr>
        <w:t>La Chambre de commerce et d</w:t>
      </w:r>
      <w:r w:rsidR="008E60B5" w:rsidRPr="008E60B5">
        <w:rPr>
          <w:lang w:val="fr-FR"/>
        </w:rPr>
        <w:t>’</w:t>
      </w:r>
      <w:r w:rsidRPr="008E60B5">
        <w:rPr>
          <w:lang w:val="fr-FR"/>
        </w:rPr>
        <w:t>industrie de la Serbie a mis en œuvre, en 2013, un projet destiné à soutenir les jeunes femmes vivant dans les zones rurales et à les encourager à créer des entreprises. Une vingtaine de chefs d</w:t>
      </w:r>
      <w:r w:rsidR="008E60B5" w:rsidRPr="008E60B5">
        <w:rPr>
          <w:lang w:val="fr-FR"/>
        </w:rPr>
        <w:t>’</w:t>
      </w:r>
      <w:r w:rsidRPr="008E60B5">
        <w:rPr>
          <w:lang w:val="fr-FR"/>
        </w:rPr>
        <w:t>entreprise expérimentées ont conseillé et encadré des jeunes femmes, leur permettant de se lancer dans le tourisme rural, la production d</w:t>
      </w:r>
      <w:r w:rsidR="008E60B5" w:rsidRPr="008E60B5">
        <w:rPr>
          <w:lang w:val="fr-FR"/>
        </w:rPr>
        <w:t>’</w:t>
      </w:r>
      <w:r w:rsidRPr="008E60B5">
        <w:rPr>
          <w:lang w:val="fr-FR"/>
        </w:rPr>
        <w:t>aliments traditionnels sains et la création d</w:t>
      </w:r>
      <w:r w:rsidR="008E60B5" w:rsidRPr="008E60B5">
        <w:rPr>
          <w:lang w:val="fr-FR"/>
        </w:rPr>
        <w:t>’</w:t>
      </w:r>
      <w:r w:rsidRPr="008E60B5">
        <w:rPr>
          <w:lang w:val="fr-FR"/>
        </w:rPr>
        <w:t>une agence de voyages.</w:t>
      </w:r>
    </w:p>
    <w:p w14:paraId="4ED544E1" w14:textId="3FE2ED12" w:rsidR="00455496" w:rsidRPr="008E60B5" w:rsidRDefault="00455496" w:rsidP="008E60B5">
      <w:pPr>
        <w:pStyle w:val="SingleTxt"/>
        <w:numPr>
          <w:ilvl w:val="0"/>
          <w:numId w:val="39"/>
        </w:numPr>
        <w:spacing w:line="240" w:lineRule="exact"/>
        <w:rPr>
          <w:lang w:val="fr-FR"/>
        </w:rPr>
      </w:pPr>
      <w:r w:rsidRPr="008E60B5">
        <w:rPr>
          <w:lang w:val="fr-FR"/>
        </w:rPr>
        <w:t>Avec le soutien de l</w:t>
      </w:r>
      <w:r w:rsidR="008E60B5" w:rsidRPr="008E60B5">
        <w:rPr>
          <w:lang w:val="fr-FR"/>
        </w:rPr>
        <w:t>’</w:t>
      </w:r>
      <w:r w:rsidRPr="008E60B5">
        <w:rPr>
          <w:lang w:val="fr-FR"/>
        </w:rPr>
        <w:t>International Women</w:t>
      </w:r>
      <w:r w:rsidR="008E60B5" w:rsidRPr="008E60B5">
        <w:rPr>
          <w:lang w:val="fr-FR"/>
        </w:rPr>
        <w:t>’</w:t>
      </w:r>
      <w:r w:rsidRPr="008E60B5">
        <w:rPr>
          <w:lang w:val="fr-FR"/>
        </w:rPr>
        <w:t>s Club, l</w:t>
      </w:r>
      <w:r w:rsidR="008E60B5" w:rsidRPr="008E60B5">
        <w:rPr>
          <w:lang w:val="fr-FR"/>
        </w:rPr>
        <w:t>’</w:t>
      </w:r>
      <w:r w:rsidRPr="008E60B5">
        <w:rPr>
          <w:lang w:val="fr-FR"/>
        </w:rPr>
        <w:t>association Amity a mis en œuvre, au second semestre 2014, un projet d</w:t>
      </w:r>
      <w:r w:rsidR="008E60B5" w:rsidRPr="008E60B5">
        <w:rPr>
          <w:lang w:val="fr-FR"/>
        </w:rPr>
        <w:t>’</w:t>
      </w:r>
      <w:r w:rsidRPr="008E60B5">
        <w:rPr>
          <w:lang w:val="fr-FR"/>
        </w:rPr>
        <w:t>un montant de 10</w:t>
      </w:r>
      <w:r w:rsidR="00B10DE3">
        <w:rPr>
          <w:lang w:val="fr-FR"/>
        </w:rPr>
        <w:t> </w:t>
      </w:r>
      <w:r w:rsidRPr="008E60B5">
        <w:rPr>
          <w:lang w:val="fr-FR"/>
        </w:rPr>
        <w:t xml:space="preserve">000 euros qui vise à aider les personnes âgées vivant dans les zones rurales à exercer leurs droits. Dix ateliers sur la reconnaissance des droits fondamentaux des personnes âgées et la manière de les exercer sans discrimination ont été organisés dans 10 municipalités sous-développées en Serbie. Deux-cent-soixante-dix-sept personnes âgées dont 182 femmes ont participé à ces ateliers, qui leur ont appris à reconnaître les actes de discrimination et à y faire face en recourant aux mécanismes de plainte existants. </w:t>
      </w:r>
    </w:p>
    <w:p w14:paraId="3BF97A08" w14:textId="77777777" w:rsidR="008E60B5" w:rsidRPr="008E60B5" w:rsidRDefault="008E60B5" w:rsidP="008E60B5">
      <w:pPr>
        <w:pStyle w:val="SingleTxt"/>
        <w:spacing w:after="0" w:line="120" w:lineRule="exact"/>
        <w:rPr>
          <w:b/>
          <w:sz w:val="10"/>
          <w:lang w:val="fr-FR"/>
        </w:rPr>
      </w:pPr>
    </w:p>
    <w:p w14:paraId="4DABBD57" w14:textId="77777777" w:rsidR="008E60B5" w:rsidRPr="008E60B5" w:rsidRDefault="008E60B5" w:rsidP="008E60B5">
      <w:pPr>
        <w:pStyle w:val="SingleTxt"/>
        <w:spacing w:after="0" w:line="120" w:lineRule="exact"/>
        <w:rPr>
          <w:b/>
          <w:sz w:val="10"/>
          <w:lang w:val="fr-FR"/>
        </w:rPr>
      </w:pPr>
    </w:p>
    <w:p w14:paraId="66C0535D" w14:textId="6CCB4890" w:rsidR="00455496" w:rsidRPr="008E60B5" w:rsidRDefault="00455496" w:rsidP="00EE705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Article 15</w:t>
      </w:r>
    </w:p>
    <w:p w14:paraId="508B8434" w14:textId="135B9151" w:rsidR="008E60B5" w:rsidRPr="008E60B5" w:rsidRDefault="008E60B5" w:rsidP="008E60B5">
      <w:pPr>
        <w:pStyle w:val="SingleTxt"/>
        <w:spacing w:after="0" w:line="120" w:lineRule="exact"/>
        <w:rPr>
          <w:sz w:val="10"/>
          <w:lang w:val="fr-FR"/>
        </w:rPr>
      </w:pPr>
    </w:p>
    <w:p w14:paraId="3AE27C69" w14:textId="1DCB9386" w:rsidR="008E60B5" w:rsidRPr="008E60B5" w:rsidRDefault="008E60B5" w:rsidP="008E60B5">
      <w:pPr>
        <w:pStyle w:val="SingleTxt"/>
        <w:spacing w:after="0" w:line="120" w:lineRule="exact"/>
        <w:rPr>
          <w:sz w:val="10"/>
          <w:lang w:val="fr-FR"/>
        </w:rPr>
      </w:pPr>
    </w:p>
    <w:p w14:paraId="7B4AF8A3" w14:textId="77777777" w:rsidR="00455496" w:rsidRPr="008E60B5" w:rsidRDefault="00455496" w:rsidP="008E60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Égalité devant la loi</w:t>
      </w:r>
    </w:p>
    <w:p w14:paraId="353BF2D6" w14:textId="57DFCE63" w:rsidR="008E60B5" w:rsidRPr="008E60B5" w:rsidRDefault="008E60B5" w:rsidP="008E60B5">
      <w:pPr>
        <w:pStyle w:val="SingleTxt"/>
        <w:spacing w:after="0" w:line="120" w:lineRule="exact"/>
        <w:rPr>
          <w:sz w:val="10"/>
          <w:lang w:val="fr-FR"/>
        </w:rPr>
      </w:pPr>
    </w:p>
    <w:p w14:paraId="06318DF6" w14:textId="77777777" w:rsidR="00455496" w:rsidRPr="008E60B5" w:rsidRDefault="00455496" w:rsidP="008E60B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 xml:space="preserve">Recommandation formulée au paragraphe 37 </w:t>
      </w:r>
    </w:p>
    <w:p w14:paraId="65CFDCEB" w14:textId="725B04ED" w:rsidR="008E60B5" w:rsidRPr="008E60B5" w:rsidRDefault="008E60B5" w:rsidP="008E60B5">
      <w:pPr>
        <w:pStyle w:val="SingleTxt"/>
        <w:spacing w:after="0" w:line="120" w:lineRule="exact"/>
        <w:rPr>
          <w:sz w:val="10"/>
          <w:lang w:val="fr-FR"/>
        </w:rPr>
      </w:pPr>
    </w:p>
    <w:p w14:paraId="28D8E4F8" w14:textId="23D4D516" w:rsidR="008E60B5" w:rsidRPr="008E60B5" w:rsidRDefault="008E60B5" w:rsidP="008E60B5">
      <w:pPr>
        <w:pStyle w:val="SingleTxt"/>
        <w:spacing w:after="0" w:line="120" w:lineRule="exact"/>
        <w:rPr>
          <w:sz w:val="10"/>
          <w:lang w:val="fr-FR"/>
        </w:rPr>
      </w:pPr>
    </w:p>
    <w:p w14:paraId="361FDCE0" w14:textId="77777777" w:rsidR="00455496" w:rsidRPr="008E60B5" w:rsidRDefault="00455496" w:rsidP="008E60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Mécanismes de protection des réfugiés, des migrants et des déplacés</w:t>
      </w:r>
    </w:p>
    <w:p w14:paraId="033AD2AF" w14:textId="02B14391" w:rsidR="008E60B5" w:rsidRPr="008E60B5" w:rsidRDefault="008E60B5" w:rsidP="008E60B5">
      <w:pPr>
        <w:pStyle w:val="SingleTxt"/>
        <w:spacing w:after="0" w:line="120" w:lineRule="exact"/>
        <w:rPr>
          <w:sz w:val="10"/>
          <w:lang w:val="fr-FR"/>
        </w:rPr>
      </w:pPr>
    </w:p>
    <w:p w14:paraId="7F69544A" w14:textId="7FAD93B1" w:rsidR="00455496" w:rsidRPr="008E60B5" w:rsidRDefault="00455496" w:rsidP="008E60B5">
      <w:pPr>
        <w:pStyle w:val="SingleTxt"/>
        <w:numPr>
          <w:ilvl w:val="0"/>
          <w:numId w:val="39"/>
        </w:numPr>
        <w:spacing w:line="240" w:lineRule="exact"/>
        <w:rPr>
          <w:lang w:val="fr-FR"/>
        </w:rPr>
      </w:pPr>
      <w:r w:rsidRPr="00B144F0">
        <w:rPr>
          <w:lang w:val="fr-FR"/>
        </w:rPr>
        <w:t>En vertu de la loi sur les réfugiés, de la loi sur la gestion des migrations</w:t>
      </w:r>
      <w:r w:rsidRPr="00EC3FD2">
        <w:rPr>
          <w:lang w:val="fr-FR"/>
        </w:rPr>
        <w:t xml:space="preserve"> et de la </w:t>
      </w:r>
      <w:r w:rsidRPr="00B144F0">
        <w:rPr>
          <w:lang w:val="fr-FR"/>
        </w:rPr>
        <w:t>loi sur l</w:t>
      </w:r>
      <w:r w:rsidR="008E60B5" w:rsidRPr="00B144F0">
        <w:rPr>
          <w:lang w:val="fr-FR"/>
        </w:rPr>
        <w:t>’</w:t>
      </w:r>
      <w:r w:rsidRPr="00B144F0">
        <w:rPr>
          <w:lang w:val="fr-FR"/>
        </w:rPr>
        <w:t>asile, le Commissariat pour les réfugiés et les migrations tient des bases de données sur les réfugiés et les déplacés ainsi qu</w:t>
      </w:r>
      <w:r w:rsidR="008E60B5" w:rsidRPr="00B144F0">
        <w:rPr>
          <w:lang w:val="fr-FR"/>
        </w:rPr>
        <w:t>’</w:t>
      </w:r>
      <w:r w:rsidRPr="00B144F0">
        <w:rPr>
          <w:lang w:val="fr-FR"/>
        </w:rPr>
        <w:t>un registre des demandeurs d</w:t>
      </w:r>
      <w:r w:rsidR="008E60B5" w:rsidRPr="00B144F0">
        <w:rPr>
          <w:lang w:val="fr-FR"/>
        </w:rPr>
        <w:t>’</w:t>
      </w:r>
      <w:r w:rsidRPr="00B144F0">
        <w:rPr>
          <w:lang w:val="fr-FR"/>
        </w:rPr>
        <w:t>asile et des migrants séjournant dans les centres d</w:t>
      </w:r>
      <w:r w:rsidR="008E60B5" w:rsidRPr="00B144F0">
        <w:rPr>
          <w:lang w:val="fr-FR"/>
        </w:rPr>
        <w:t>’</w:t>
      </w:r>
      <w:r w:rsidRPr="00B144F0">
        <w:rPr>
          <w:lang w:val="fr-FR"/>
        </w:rPr>
        <w:t>accueil permanents ou temporaires pour demandeurs d</w:t>
      </w:r>
      <w:r w:rsidR="008E60B5" w:rsidRPr="00B144F0">
        <w:rPr>
          <w:lang w:val="fr-FR"/>
        </w:rPr>
        <w:t>’</w:t>
      </w:r>
      <w:r w:rsidRPr="00B144F0">
        <w:rPr>
          <w:lang w:val="fr-FR"/>
        </w:rPr>
        <w:t xml:space="preserve">asile. </w:t>
      </w:r>
      <w:r w:rsidRPr="008E60B5">
        <w:rPr>
          <w:lang w:val="fr-FR"/>
        </w:rPr>
        <w:t>Toutes les bases de données sont mises à jour quotidiennement. Les registres tenus par le Commissariat contiennent des données personnelles (prénom, nom, sexe et date de naissance) et des informations relatives à la situation socioéconomique des personnes vivant dans ces centres, excepté les demandeurs d</w:t>
      </w:r>
      <w:r w:rsidR="008E60B5" w:rsidRPr="008E60B5">
        <w:rPr>
          <w:lang w:val="fr-FR"/>
        </w:rPr>
        <w:t>’</w:t>
      </w:r>
      <w:r w:rsidRPr="008E60B5">
        <w:rPr>
          <w:lang w:val="fr-FR"/>
        </w:rPr>
        <w:t>asile et les migrants (situation économique, profession, revenu ou encore état de santé). Il est possible d</w:t>
      </w:r>
      <w:r w:rsidR="008E60B5" w:rsidRPr="008E60B5">
        <w:rPr>
          <w:lang w:val="fr-FR"/>
        </w:rPr>
        <w:t>’</w:t>
      </w:r>
      <w:r w:rsidRPr="008E60B5">
        <w:rPr>
          <w:lang w:val="fr-FR"/>
        </w:rPr>
        <w:t>identifier clairement les femmes issues de groupes vulnérables en se référant aux données sur leur profession, la source et le montant de leur</w:t>
      </w:r>
      <w:r w:rsidR="007E572F">
        <w:rPr>
          <w:lang w:val="fr-FR"/>
        </w:rPr>
        <w:t>s</w:t>
      </w:r>
      <w:r w:rsidRPr="008E60B5">
        <w:rPr>
          <w:lang w:val="fr-FR"/>
        </w:rPr>
        <w:t xml:space="preserve"> revenu</w:t>
      </w:r>
      <w:r w:rsidR="007E572F">
        <w:rPr>
          <w:lang w:val="fr-FR"/>
        </w:rPr>
        <w:t>s</w:t>
      </w:r>
      <w:r w:rsidRPr="008E60B5">
        <w:rPr>
          <w:lang w:val="fr-FR"/>
        </w:rPr>
        <w:t>, leur situation matrimoniale et leur fonction dans la famille.</w:t>
      </w:r>
    </w:p>
    <w:p w14:paraId="06D38FB3" w14:textId="68509D3C" w:rsidR="00455496" w:rsidRPr="008E60B5" w:rsidRDefault="00455496" w:rsidP="008E60B5">
      <w:pPr>
        <w:pStyle w:val="SingleTxt"/>
        <w:numPr>
          <w:ilvl w:val="0"/>
          <w:numId w:val="39"/>
        </w:numPr>
        <w:spacing w:line="240" w:lineRule="exact"/>
        <w:rPr>
          <w:lang w:val="fr-FR"/>
        </w:rPr>
      </w:pPr>
      <w:r w:rsidRPr="008E60B5">
        <w:rPr>
          <w:lang w:val="fr-FR"/>
        </w:rPr>
        <w:t>En outre, au cours des années précédentes, le Commissariat avait mené des enquêtes auprès des réfugiés et des déplacés en Serbie afin d</w:t>
      </w:r>
      <w:r w:rsidR="008E60B5" w:rsidRPr="008E60B5">
        <w:rPr>
          <w:lang w:val="fr-FR"/>
        </w:rPr>
        <w:t>’</w:t>
      </w:r>
      <w:r w:rsidRPr="008E60B5">
        <w:rPr>
          <w:lang w:val="fr-FR"/>
        </w:rPr>
        <w:t xml:space="preserve">analyser leur situation et leurs besoins. Une nouvelle analyse est en cours. </w:t>
      </w:r>
    </w:p>
    <w:p w14:paraId="7D3C8065" w14:textId="0F795166" w:rsidR="00455496" w:rsidRPr="008E60B5" w:rsidRDefault="00455496" w:rsidP="008E60B5">
      <w:pPr>
        <w:pStyle w:val="SingleTxt"/>
        <w:numPr>
          <w:ilvl w:val="0"/>
          <w:numId w:val="39"/>
        </w:numPr>
        <w:spacing w:line="240" w:lineRule="exact"/>
        <w:rPr>
          <w:lang w:val="fr-FR"/>
        </w:rPr>
      </w:pPr>
      <w:r w:rsidRPr="00B144F0">
        <w:rPr>
          <w:lang w:val="fr-FR"/>
        </w:rPr>
        <w:t>La Stratégie nationale visant à résoudre la question des réfugiés et des déplacés a été révisée en 2015 et des plans d</w:t>
      </w:r>
      <w:r w:rsidR="008E60B5" w:rsidRPr="00B144F0">
        <w:rPr>
          <w:lang w:val="fr-FR"/>
        </w:rPr>
        <w:t>’</w:t>
      </w:r>
      <w:r w:rsidRPr="00B144F0">
        <w:rPr>
          <w:lang w:val="fr-FR"/>
        </w:rPr>
        <w:t>action locaux adoptés par 145 villes et municipalités pour résoudre les problèmes liés aux réfugiés, aux déplacés et aux personnes rapatriées en vertu d</w:t>
      </w:r>
      <w:r w:rsidR="008E60B5" w:rsidRPr="00B144F0">
        <w:rPr>
          <w:lang w:val="fr-FR"/>
        </w:rPr>
        <w:t>’</w:t>
      </w:r>
      <w:r w:rsidRPr="00B144F0">
        <w:rPr>
          <w:lang w:val="fr-FR"/>
        </w:rPr>
        <w:t>un accord de réadmission</w:t>
      </w:r>
      <w:r w:rsidRPr="008E60B5">
        <w:rPr>
          <w:lang w:val="fr-FR"/>
        </w:rPr>
        <w:t>. Dans ce cadre, des projets d</w:t>
      </w:r>
      <w:r w:rsidR="008E60B5" w:rsidRPr="008E60B5">
        <w:rPr>
          <w:lang w:val="fr-FR"/>
        </w:rPr>
        <w:t>’</w:t>
      </w:r>
      <w:r w:rsidRPr="008E60B5">
        <w:rPr>
          <w:lang w:val="fr-FR"/>
        </w:rPr>
        <w:t>hébergement et d</w:t>
      </w:r>
      <w:r w:rsidR="008E60B5" w:rsidRPr="008E60B5">
        <w:rPr>
          <w:lang w:val="fr-FR"/>
        </w:rPr>
        <w:t>’</w:t>
      </w:r>
      <w:r w:rsidRPr="008E60B5">
        <w:rPr>
          <w:lang w:val="fr-FR"/>
        </w:rPr>
        <w:t>autonomisation financière ont été mis en place conformément aux règlements des commissions municipales, l</w:t>
      </w:r>
      <w:r w:rsidR="008E60B5" w:rsidRPr="008E60B5">
        <w:rPr>
          <w:lang w:val="fr-FR"/>
        </w:rPr>
        <w:t>’</w:t>
      </w:r>
      <w:r w:rsidRPr="008E60B5">
        <w:rPr>
          <w:lang w:val="fr-FR"/>
        </w:rPr>
        <w:t xml:space="preserve">accent étant mis sur les groupes </w:t>
      </w:r>
      <w:r w:rsidRPr="008E60B5">
        <w:rPr>
          <w:lang w:val="fr-FR"/>
        </w:rPr>
        <w:lastRenderedPageBreak/>
        <w:t>particulièrement vulnérables (les femmes chefs de famille, les familles monoparentales et les victimes de violence conjugale).</w:t>
      </w:r>
    </w:p>
    <w:p w14:paraId="15168FA4" w14:textId="3FF28CE6" w:rsidR="00455496" w:rsidRPr="008E60B5" w:rsidRDefault="00455496" w:rsidP="008E60B5">
      <w:pPr>
        <w:pStyle w:val="SingleTxt"/>
        <w:numPr>
          <w:ilvl w:val="0"/>
          <w:numId w:val="39"/>
        </w:numPr>
        <w:spacing w:line="240" w:lineRule="exact"/>
        <w:rPr>
          <w:lang w:val="fr-FR"/>
        </w:rPr>
      </w:pPr>
      <w:r w:rsidRPr="008E60B5">
        <w:rPr>
          <w:lang w:val="fr-FR"/>
        </w:rPr>
        <w:t xml:space="preserve">Ces six dernières années, le Commissariat a dressé un </w:t>
      </w:r>
      <w:r w:rsidRPr="00B144F0">
        <w:rPr>
          <w:lang w:val="fr-FR"/>
        </w:rPr>
        <w:t>profil des migrations en Serbie</w:t>
      </w:r>
      <w:r w:rsidRPr="008E60B5">
        <w:rPr>
          <w:lang w:val="fr-FR"/>
        </w:rPr>
        <w:t>, utilisé pour suivre les flux et les tendances migratoires dans le pays, ainsi que pour créer et renforcer des mécanismes de collecte de données sur la migration. Ce profil est mis à jour tous les ans et, chaque fois que possible, toutes les données sont ventilées par sexe et par âge, ainsi que selon d</w:t>
      </w:r>
      <w:r w:rsidR="008E60B5" w:rsidRPr="008E60B5">
        <w:rPr>
          <w:lang w:val="fr-FR"/>
        </w:rPr>
        <w:t>’</w:t>
      </w:r>
      <w:r w:rsidRPr="008E60B5">
        <w:rPr>
          <w:lang w:val="fr-FR"/>
        </w:rPr>
        <w:t>autres critères.</w:t>
      </w:r>
    </w:p>
    <w:p w14:paraId="1D913E1A" w14:textId="4CBA2E5B" w:rsidR="00455496" w:rsidRPr="008E60B5" w:rsidRDefault="00455496" w:rsidP="008E60B5">
      <w:pPr>
        <w:pStyle w:val="SingleTxt"/>
        <w:numPr>
          <w:ilvl w:val="0"/>
          <w:numId w:val="39"/>
        </w:numPr>
        <w:spacing w:line="240" w:lineRule="exact"/>
        <w:rPr>
          <w:lang w:val="fr-FR"/>
        </w:rPr>
      </w:pPr>
      <w:r w:rsidRPr="008E60B5">
        <w:rPr>
          <w:lang w:val="fr-FR"/>
        </w:rPr>
        <w:t>La loi sur l</w:t>
      </w:r>
      <w:r w:rsidR="008E60B5" w:rsidRPr="008E60B5">
        <w:rPr>
          <w:lang w:val="fr-FR"/>
        </w:rPr>
        <w:t>’</w:t>
      </w:r>
      <w:r w:rsidRPr="008E60B5">
        <w:rPr>
          <w:lang w:val="fr-FR"/>
        </w:rPr>
        <w:t>asile interdit toute discrimination dans la procédure de demande d</w:t>
      </w:r>
      <w:r w:rsidR="008E60B5" w:rsidRPr="008E60B5">
        <w:rPr>
          <w:lang w:val="fr-FR"/>
        </w:rPr>
        <w:t>’</w:t>
      </w:r>
      <w:r w:rsidRPr="008E60B5">
        <w:rPr>
          <w:lang w:val="fr-FR"/>
        </w:rPr>
        <w:t>asile, en particulier la discrimination fondée sur la race, la couleur, le sexe, l</w:t>
      </w:r>
      <w:r w:rsidR="008E60B5" w:rsidRPr="008E60B5">
        <w:rPr>
          <w:lang w:val="fr-FR"/>
        </w:rPr>
        <w:t>’</w:t>
      </w:r>
      <w:r w:rsidRPr="008E60B5">
        <w:rPr>
          <w:lang w:val="fr-FR"/>
        </w:rPr>
        <w:t>ethnie, l</w:t>
      </w:r>
      <w:r w:rsidR="008E60B5" w:rsidRPr="008E60B5">
        <w:rPr>
          <w:lang w:val="fr-FR"/>
        </w:rPr>
        <w:t>’</w:t>
      </w:r>
      <w:r w:rsidRPr="008E60B5">
        <w:rPr>
          <w:lang w:val="fr-FR"/>
        </w:rPr>
        <w:t>origine sociale ou toute autre caractéristique analogue, la naissance, la religion, les opinions politiques ou autres, la situation financière, la culture, la langue, l</w:t>
      </w:r>
      <w:r w:rsidR="008E60B5" w:rsidRPr="008E60B5">
        <w:rPr>
          <w:lang w:val="fr-FR"/>
        </w:rPr>
        <w:t>’</w:t>
      </w:r>
      <w:r w:rsidRPr="008E60B5">
        <w:rPr>
          <w:lang w:val="fr-FR"/>
        </w:rPr>
        <w:t>âge ou le handicap men</w:t>
      </w:r>
      <w:r w:rsidR="008E60B5" w:rsidRPr="008E60B5">
        <w:rPr>
          <w:lang w:val="fr-FR"/>
        </w:rPr>
        <w:t>tal, sensoriel ou physique (art. </w:t>
      </w:r>
      <w:r w:rsidRPr="008E60B5">
        <w:rPr>
          <w:lang w:val="fr-FR"/>
        </w:rPr>
        <w:t>7). Les demandeurs d</w:t>
      </w:r>
      <w:r w:rsidR="008E60B5" w:rsidRPr="008E60B5">
        <w:rPr>
          <w:lang w:val="fr-FR"/>
        </w:rPr>
        <w:t>’</w:t>
      </w:r>
      <w:r w:rsidRPr="008E60B5">
        <w:rPr>
          <w:lang w:val="fr-FR"/>
        </w:rPr>
        <w:t>asile sont interrogés par des personnes du même sexe et assistés par des traducteurs ou des interprètes du même sexe, sauf si cela se révèle impossible ou exige de l</w:t>
      </w:r>
      <w:r w:rsidR="008E60B5" w:rsidRPr="008E60B5">
        <w:rPr>
          <w:lang w:val="fr-FR"/>
        </w:rPr>
        <w:t>’</w:t>
      </w:r>
      <w:r w:rsidRPr="008E60B5">
        <w:rPr>
          <w:lang w:val="fr-FR"/>
        </w:rPr>
        <w:t>autorité qui mène la procédure des efforts démesurés (art</w:t>
      </w:r>
      <w:r w:rsidR="008E60B5" w:rsidRPr="008E60B5">
        <w:rPr>
          <w:lang w:val="fr-FR"/>
        </w:rPr>
        <w:t>. </w:t>
      </w:r>
      <w:r w:rsidRPr="008E60B5">
        <w:rPr>
          <w:lang w:val="fr-FR"/>
        </w:rPr>
        <w:t>14). Les autorités tiennent compte de la situation particulière des personnes ayant des besoins spéciaux, tels que les mineurs, les personnes totalement ou partiellement privées de leur capacité juridique, les enfants séparés de leurs parents ou de leurs tuteurs, les personnes handicapées, les personnes âgées, les femmes enceintes, les parents isolés avec enfants mineurs et les victimes d</w:t>
      </w:r>
      <w:r w:rsidR="008E60B5" w:rsidRPr="008E60B5">
        <w:rPr>
          <w:lang w:val="fr-FR"/>
        </w:rPr>
        <w:t>’</w:t>
      </w:r>
      <w:r w:rsidRPr="008E60B5">
        <w:rPr>
          <w:lang w:val="fr-FR"/>
        </w:rPr>
        <w:t>actes de torture, de viol ou d</w:t>
      </w:r>
      <w:r w:rsidR="008E60B5" w:rsidRPr="008E60B5">
        <w:rPr>
          <w:lang w:val="fr-FR"/>
        </w:rPr>
        <w:t>’</w:t>
      </w:r>
      <w:r w:rsidRPr="008E60B5">
        <w:rPr>
          <w:lang w:val="fr-FR"/>
        </w:rPr>
        <w:t>autres formes graves de violence psychologique, physique ou sexuelle (art</w:t>
      </w:r>
      <w:r w:rsidR="008E60B5" w:rsidRPr="008E60B5">
        <w:rPr>
          <w:lang w:val="fr-FR"/>
        </w:rPr>
        <w:t>. </w:t>
      </w:r>
      <w:r w:rsidRPr="008E60B5">
        <w:rPr>
          <w:lang w:val="fr-FR"/>
        </w:rPr>
        <w:t xml:space="preserve">15). </w:t>
      </w:r>
    </w:p>
    <w:p w14:paraId="680835C6" w14:textId="440E5CB7" w:rsidR="00455496" w:rsidRPr="00B144F0" w:rsidRDefault="00455496" w:rsidP="008E60B5">
      <w:pPr>
        <w:pStyle w:val="SingleTxt"/>
        <w:numPr>
          <w:ilvl w:val="0"/>
          <w:numId w:val="39"/>
        </w:numPr>
        <w:spacing w:line="240" w:lineRule="exact"/>
        <w:rPr>
          <w:lang w:val="fr-FR"/>
        </w:rPr>
      </w:pPr>
      <w:r w:rsidRPr="00B144F0">
        <w:rPr>
          <w:lang w:val="fr-FR"/>
        </w:rPr>
        <w:t>Dans le cadre de l</w:t>
      </w:r>
      <w:r w:rsidR="008E60B5" w:rsidRPr="00B144F0">
        <w:rPr>
          <w:lang w:val="fr-FR"/>
        </w:rPr>
        <w:t>’</w:t>
      </w:r>
      <w:r w:rsidRPr="00B144F0">
        <w:rPr>
          <w:lang w:val="fr-FR"/>
        </w:rPr>
        <w:t>harmonisation de la règlementation nationale avec les instruments juridiques de l</w:t>
      </w:r>
      <w:r w:rsidR="008E60B5" w:rsidRPr="00B144F0">
        <w:rPr>
          <w:lang w:val="fr-FR"/>
        </w:rPr>
        <w:t>’</w:t>
      </w:r>
      <w:r w:rsidRPr="00B144F0">
        <w:rPr>
          <w:lang w:val="fr-FR"/>
        </w:rPr>
        <w:t>Union européenne relatifs à la question de l</w:t>
      </w:r>
      <w:r w:rsidR="008E60B5" w:rsidRPr="00B144F0">
        <w:rPr>
          <w:lang w:val="fr-FR"/>
        </w:rPr>
        <w:t>’</w:t>
      </w:r>
      <w:r w:rsidRPr="00B144F0">
        <w:rPr>
          <w:lang w:val="fr-FR"/>
        </w:rPr>
        <w:t>asile, un projet de loi sur l</w:t>
      </w:r>
      <w:r w:rsidR="008E60B5" w:rsidRPr="00B144F0">
        <w:rPr>
          <w:lang w:val="fr-FR"/>
        </w:rPr>
        <w:t>’</w:t>
      </w:r>
      <w:r w:rsidRPr="00B144F0">
        <w:rPr>
          <w:lang w:val="fr-FR"/>
        </w:rPr>
        <w:t>asile et la protection temporaire a été élaboré. Le 14 janvier 2015, un bureau chargé des questions d</w:t>
      </w:r>
      <w:r w:rsidR="008E60B5" w:rsidRPr="00B144F0">
        <w:rPr>
          <w:lang w:val="fr-FR"/>
        </w:rPr>
        <w:t>’</w:t>
      </w:r>
      <w:r w:rsidRPr="00B144F0">
        <w:rPr>
          <w:lang w:val="fr-FR"/>
        </w:rPr>
        <w:t>asile a été créé à l</w:t>
      </w:r>
      <w:r w:rsidR="008E60B5" w:rsidRPr="00B144F0">
        <w:rPr>
          <w:lang w:val="fr-FR"/>
        </w:rPr>
        <w:t>’</w:t>
      </w:r>
      <w:r w:rsidRPr="00B144F0">
        <w:rPr>
          <w:lang w:val="fr-FR"/>
        </w:rPr>
        <w:t>Administration de la Police des frontières, avec pour mission de décider en première instance dans la procédure d</w:t>
      </w:r>
      <w:r w:rsidR="008E60B5" w:rsidRPr="00B144F0">
        <w:rPr>
          <w:lang w:val="fr-FR"/>
        </w:rPr>
        <w:t>’</w:t>
      </w:r>
      <w:r w:rsidRPr="00B144F0">
        <w:rPr>
          <w:lang w:val="fr-FR"/>
        </w:rPr>
        <w:t>asile. La Commission de l</w:t>
      </w:r>
      <w:r w:rsidR="008E60B5" w:rsidRPr="00B144F0">
        <w:rPr>
          <w:lang w:val="fr-FR"/>
        </w:rPr>
        <w:t>’</w:t>
      </w:r>
      <w:r w:rsidRPr="00B144F0">
        <w:rPr>
          <w:lang w:val="fr-FR"/>
        </w:rPr>
        <w:t>asile, autorité indépendante composée d</w:t>
      </w:r>
      <w:r w:rsidR="008E60B5" w:rsidRPr="00B144F0">
        <w:rPr>
          <w:lang w:val="fr-FR"/>
        </w:rPr>
        <w:t>’</w:t>
      </w:r>
      <w:r w:rsidRPr="00B144F0">
        <w:rPr>
          <w:lang w:val="fr-FR"/>
        </w:rPr>
        <w:t>un président et de huit membres nommés par le Gouvernement pour un mandat de quatre ans, décide en seconde instance. Les demandeurs d</w:t>
      </w:r>
      <w:r w:rsidR="008E60B5" w:rsidRPr="00B144F0">
        <w:rPr>
          <w:lang w:val="fr-FR"/>
        </w:rPr>
        <w:t>’</w:t>
      </w:r>
      <w:r w:rsidRPr="00B144F0">
        <w:rPr>
          <w:lang w:val="fr-FR"/>
        </w:rPr>
        <w:t>asile peuvent porter plainte auprès du tribunal administratif contre les décisions prises par la Commission et engager une procédure administrative.</w:t>
      </w:r>
    </w:p>
    <w:p w14:paraId="1E03CDF7" w14:textId="51016220" w:rsidR="00455496" w:rsidRPr="00B144F0" w:rsidRDefault="00455496" w:rsidP="008E60B5">
      <w:pPr>
        <w:pStyle w:val="SingleTxt"/>
        <w:numPr>
          <w:ilvl w:val="0"/>
          <w:numId w:val="39"/>
        </w:numPr>
        <w:spacing w:line="240" w:lineRule="exact"/>
        <w:rPr>
          <w:bCs/>
          <w:lang w:val="fr-FR"/>
        </w:rPr>
      </w:pPr>
      <w:r w:rsidRPr="00B144F0">
        <w:rPr>
          <w:lang w:val="fr-FR"/>
        </w:rPr>
        <w:t>Afin de faciliter l</w:t>
      </w:r>
      <w:r w:rsidR="008E60B5" w:rsidRPr="00B144F0">
        <w:rPr>
          <w:lang w:val="fr-FR"/>
        </w:rPr>
        <w:t>’</w:t>
      </w:r>
      <w:r w:rsidRPr="00B144F0">
        <w:rPr>
          <w:lang w:val="fr-FR"/>
        </w:rPr>
        <w:t>adoption de mesures urgentes et coordonnées durant les crises migratoires, le Gouvernement a mis sur pied, le 6 juin 2015, un groupe de travail sur la résolution des problèmes liés aux flux migratoires diversifiés. Celui-ci a pour mission de suivre et d</w:t>
      </w:r>
      <w:r w:rsidR="008E60B5" w:rsidRPr="00B144F0">
        <w:rPr>
          <w:lang w:val="fr-FR"/>
        </w:rPr>
        <w:t>’</w:t>
      </w:r>
      <w:r w:rsidRPr="00B144F0">
        <w:rPr>
          <w:lang w:val="fr-FR"/>
        </w:rPr>
        <w:t>examiner les questions relatives à ces flux en Serbie, en mettant plus particulièrement l</w:t>
      </w:r>
      <w:r w:rsidR="008E60B5" w:rsidRPr="00B144F0">
        <w:rPr>
          <w:lang w:val="fr-FR"/>
        </w:rPr>
        <w:t>’</w:t>
      </w:r>
      <w:r w:rsidRPr="00B144F0">
        <w:rPr>
          <w:lang w:val="fr-FR"/>
        </w:rPr>
        <w:t>accent sur les problèmes qu</w:t>
      </w:r>
      <w:r w:rsidR="008E60B5" w:rsidRPr="00B144F0">
        <w:rPr>
          <w:lang w:val="fr-FR"/>
        </w:rPr>
        <w:t>’</w:t>
      </w:r>
      <w:r w:rsidRPr="00B144F0">
        <w:rPr>
          <w:lang w:val="fr-FR"/>
        </w:rPr>
        <w:t>ils posent, de faire le point sur la situation afin de proposer des solutions et d</w:t>
      </w:r>
      <w:r w:rsidR="008E60B5" w:rsidRPr="00B144F0">
        <w:rPr>
          <w:lang w:val="fr-FR"/>
        </w:rPr>
        <w:t>’</w:t>
      </w:r>
      <w:r w:rsidRPr="00B144F0">
        <w:rPr>
          <w:lang w:val="fr-FR"/>
        </w:rPr>
        <w:t>harmoniser les positions des autorités compétentes et des autres organisations et institutions concernées par la question. Cent quarante-trois municipalités serbes ont adopté des plans d</w:t>
      </w:r>
      <w:r w:rsidR="008E60B5" w:rsidRPr="00B144F0">
        <w:rPr>
          <w:lang w:val="fr-FR"/>
        </w:rPr>
        <w:t>’</w:t>
      </w:r>
      <w:r w:rsidRPr="00B144F0">
        <w:rPr>
          <w:lang w:val="fr-FR"/>
        </w:rPr>
        <w:t>action locaux, qui constituent des mécanismes efficaces de gestion des migrations adaptés aux besoins spécifiques des migrants à l</w:t>
      </w:r>
      <w:r w:rsidR="008E60B5" w:rsidRPr="00B144F0">
        <w:rPr>
          <w:lang w:val="fr-FR"/>
        </w:rPr>
        <w:t>’</w:t>
      </w:r>
      <w:r w:rsidRPr="00B144F0">
        <w:rPr>
          <w:lang w:val="fr-FR"/>
        </w:rPr>
        <w:t>échelle locale.</w:t>
      </w:r>
    </w:p>
    <w:p w14:paraId="130138D3" w14:textId="34D4E37B" w:rsidR="00455496" w:rsidRPr="008E60B5" w:rsidRDefault="00455496" w:rsidP="008E60B5">
      <w:pPr>
        <w:pStyle w:val="SingleTxt"/>
        <w:numPr>
          <w:ilvl w:val="0"/>
          <w:numId w:val="39"/>
        </w:numPr>
        <w:spacing w:line="240" w:lineRule="exact"/>
        <w:rPr>
          <w:lang w:val="fr-FR"/>
        </w:rPr>
      </w:pPr>
      <w:r w:rsidRPr="00B144F0">
        <w:rPr>
          <w:lang w:val="fr-FR"/>
        </w:rPr>
        <w:t>Tous les centres d</w:t>
      </w:r>
      <w:r w:rsidR="008E60B5" w:rsidRPr="00B144F0">
        <w:rPr>
          <w:lang w:val="fr-FR"/>
        </w:rPr>
        <w:t>’</w:t>
      </w:r>
      <w:r w:rsidRPr="00B144F0">
        <w:rPr>
          <w:lang w:val="fr-FR"/>
        </w:rPr>
        <w:t>accueil et de transit pour demandeurs d</w:t>
      </w:r>
      <w:r w:rsidR="008E60B5" w:rsidRPr="00B144F0">
        <w:rPr>
          <w:lang w:val="fr-FR"/>
        </w:rPr>
        <w:t>’</w:t>
      </w:r>
      <w:r w:rsidRPr="00B144F0">
        <w:rPr>
          <w:lang w:val="fr-FR"/>
        </w:rPr>
        <w:t>asile</w:t>
      </w:r>
      <w:r w:rsidRPr="008E60B5">
        <w:rPr>
          <w:lang w:val="fr-FR"/>
        </w:rPr>
        <w:t xml:space="preserve"> disposent de chambres séparées pour les femmes et les hommes célibataires. Ils facilitent l</w:t>
      </w:r>
      <w:r w:rsidR="008E60B5" w:rsidRPr="008E60B5">
        <w:rPr>
          <w:lang w:val="fr-FR"/>
        </w:rPr>
        <w:t>’</w:t>
      </w:r>
      <w:r w:rsidRPr="008E60B5">
        <w:rPr>
          <w:lang w:val="fr-FR"/>
        </w:rPr>
        <w:t>accès aux services d</w:t>
      </w:r>
      <w:r w:rsidR="008E60B5" w:rsidRPr="008E60B5">
        <w:rPr>
          <w:lang w:val="fr-FR"/>
        </w:rPr>
        <w:t>’</w:t>
      </w:r>
      <w:r w:rsidRPr="008E60B5">
        <w:rPr>
          <w:lang w:val="fr-FR"/>
        </w:rPr>
        <w:t>un gynécologue établi dans un centre médical situé dans leur zone d</w:t>
      </w:r>
      <w:r w:rsidR="008E60B5" w:rsidRPr="008E60B5">
        <w:rPr>
          <w:lang w:val="fr-FR"/>
        </w:rPr>
        <w:t>’</w:t>
      </w:r>
      <w:r w:rsidRPr="008E60B5">
        <w:rPr>
          <w:lang w:val="fr-FR"/>
        </w:rPr>
        <w:t>implantation ainsi qu</w:t>
      </w:r>
      <w:r w:rsidR="008E60B5" w:rsidRPr="008E60B5">
        <w:rPr>
          <w:lang w:val="fr-FR"/>
        </w:rPr>
        <w:t>’</w:t>
      </w:r>
      <w:r w:rsidRPr="008E60B5">
        <w:rPr>
          <w:lang w:val="fr-FR"/>
        </w:rPr>
        <w:t>aux services et informations en matière de santé procréative proposé par les organisations internationales qui œuvrent auprès des migrants. Le placement en centre d</w:t>
      </w:r>
      <w:r w:rsidR="008E60B5" w:rsidRPr="008E60B5">
        <w:rPr>
          <w:lang w:val="fr-FR"/>
        </w:rPr>
        <w:t>’</w:t>
      </w:r>
      <w:r w:rsidRPr="008E60B5">
        <w:rPr>
          <w:lang w:val="fr-FR"/>
        </w:rPr>
        <w:t>accueil se fait en tenant pleinement compte des principes de non-discrimination, d</w:t>
      </w:r>
      <w:r w:rsidR="008E60B5" w:rsidRPr="008E60B5">
        <w:rPr>
          <w:lang w:val="fr-FR"/>
        </w:rPr>
        <w:t>’</w:t>
      </w:r>
      <w:r w:rsidRPr="008E60B5">
        <w:rPr>
          <w:lang w:val="fr-FR"/>
        </w:rPr>
        <w:t>égalité des sexes et d</w:t>
      </w:r>
      <w:r w:rsidR="008E60B5" w:rsidRPr="008E60B5">
        <w:rPr>
          <w:lang w:val="fr-FR"/>
        </w:rPr>
        <w:t>’</w:t>
      </w:r>
      <w:r w:rsidRPr="008E60B5">
        <w:rPr>
          <w:lang w:val="fr-FR"/>
        </w:rPr>
        <w:t>unité familiale, ainsi que de la nécessité d</w:t>
      </w:r>
      <w:r w:rsidR="008E60B5" w:rsidRPr="008E60B5">
        <w:rPr>
          <w:lang w:val="fr-FR"/>
        </w:rPr>
        <w:t>’</w:t>
      </w:r>
      <w:r w:rsidRPr="008E60B5">
        <w:rPr>
          <w:lang w:val="fr-FR"/>
        </w:rPr>
        <w:t>accorder une attention particulière aux demandeurs d</w:t>
      </w:r>
      <w:r w:rsidR="008E60B5" w:rsidRPr="008E60B5">
        <w:rPr>
          <w:lang w:val="fr-FR"/>
        </w:rPr>
        <w:t>’</w:t>
      </w:r>
      <w:r w:rsidRPr="008E60B5">
        <w:rPr>
          <w:lang w:val="fr-FR"/>
        </w:rPr>
        <w:t>asile ayant des besoins spéciaux. Par ailleurs, l</w:t>
      </w:r>
      <w:r w:rsidR="008E60B5" w:rsidRPr="008E60B5">
        <w:rPr>
          <w:lang w:val="fr-FR"/>
        </w:rPr>
        <w:t>’</w:t>
      </w:r>
      <w:r w:rsidRPr="008E60B5">
        <w:rPr>
          <w:lang w:val="fr-FR"/>
        </w:rPr>
        <w:t>Organisme de coordination pour l</w:t>
      </w:r>
      <w:r w:rsidR="008E60B5" w:rsidRPr="008E60B5">
        <w:rPr>
          <w:lang w:val="fr-FR"/>
        </w:rPr>
        <w:t>’</w:t>
      </w:r>
      <w:r w:rsidRPr="008E60B5">
        <w:rPr>
          <w:lang w:val="fr-FR"/>
        </w:rPr>
        <w:t>égalité des sexes, aidé par le FNUAP, appuie et coordonne les efforts déployés aux fins de l</w:t>
      </w:r>
      <w:r w:rsidR="008E60B5" w:rsidRPr="008E60B5">
        <w:rPr>
          <w:lang w:val="fr-FR"/>
        </w:rPr>
        <w:t>’</w:t>
      </w:r>
      <w:r w:rsidRPr="008E60B5">
        <w:rPr>
          <w:lang w:val="fr-FR"/>
        </w:rPr>
        <w:t xml:space="preserve">adoption de </w:t>
      </w:r>
      <w:r w:rsidRPr="008E60B5">
        <w:rPr>
          <w:lang w:val="fr-FR"/>
        </w:rPr>
        <w:lastRenderedPageBreak/>
        <w:t xml:space="preserve">directives générales sur la prévention de la violence sexiste et sur la protection des réfugiés et des migrants contre ce fléau. </w:t>
      </w:r>
    </w:p>
    <w:p w14:paraId="30EDC40E" w14:textId="55910916" w:rsidR="00455496" w:rsidRPr="008E60B5" w:rsidRDefault="00455496" w:rsidP="008E60B5">
      <w:pPr>
        <w:pStyle w:val="SingleTxt"/>
        <w:numPr>
          <w:ilvl w:val="0"/>
          <w:numId w:val="39"/>
        </w:numPr>
        <w:spacing w:line="240" w:lineRule="exact"/>
        <w:rPr>
          <w:lang w:val="fr-FR"/>
        </w:rPr>
      </w:pPr>
      <w:r w:rsidRPr="008E60B5">
        <w:rPr>
          <w:lang w:val="fr-FR"/>
        </w:rPr>
        <w:t>Le Ministère du travail, de l</w:t>
      </w:r>
      <w:r w:rsidR="008E60B5" w:rsidRPr="008E60B5">
        <w:rPr>
          <w:lang w:val="fr-FR"/>
        </w:rPr>
        <w:t>’</w:t>
      </w:r>
      <w:r w:rsidRPr="008E60B5">
        <w:rPr>
          <w:lang w:val="fr-FR"/>
        </w:rPr>
        <w:t>emploi, des anciens combattants et des affaires sociales et le Haut-Commissariat des Nations Unies pour les réfugiés ont organisé, à l</w:t>
      </w:r>
      <w:r w:rsidR="008E60B5" w:rsidRPr="008E60B5">
        <w:rPr>
          <w:lang w:val="fr-FR"/>
        </w:rPr>
        <w:t>’</w:t>
      </w:r>
      <w:r w:rsidRPr="008E60B5">
        <w:rPr>
          <w:lang w:val="fr-FR"/>
        </w:rPr>
        <w:t>intention du personnel du système de protection sociale, cinq séances de formation sur la promotion de la tolérance, la lutte contre la discrimination et le respect des droits des déplacés vivant en Serbie aux fins de la recherche de solutions permanentes. Les deux premières se sont tenues en mai et en juin 2017 dans des centres d</w:t>
      </w:r>
      <w:r w:rsidR="008E60B5" w:rsidRPr="008E60B5">
        <w:rPr>
          <w:lang w:val="fr-FR"/>
        </w:rPr>
        <w:t>’</w:t>
      </w:r>
      <w:r w:rsidRPr="008E60B5">
        <w:rPr>
          <w:lang w:val="fr-FR"/>
        </w:rPr>
        <w:t>action sociale à Vranje et à Pozarevac, tandis que les autres se dérouleront en fin de l</w:t>
      </w:r>
      <w:r w:rsidR="008E60B5" w:rsidRPr="008E60B5">
        <w:rPr>
          <w:lang w:val="fr-FR"/>
        </w:rPr>
        <w:t>’</w:t>
      </w:r>
      <w:r w:rsidRPr="008E60B5">
        <w:rPr>
          <w:lang w:val="fr-FR"/>
        </w:rPr>
        <w:t xml:space="preserve">année dans des centres situés dans des zones accueillant des déplacés roms. </w:t>
      </w:r>
    </w:p>
    <w:p w14:paraId="2C8718EA" w14:textId="5578DEF7" w:rsidR="00455496" w:rsidRPr="008E60B5" w:rsidRDefault="00455496" w:rsidP="008E60B5">
      <w:pPr>
        <w:pStyle w:val="SingleTxt"/>
        <w:numPr>
          <w:ilvl w:val="0"/>
          <w:numId w:val="39"/>
        </w:numPr>
        <w:spacing w:line="240" w:lineRule="exact"/>
        <w:rPr>
          <w:lang w:val="fr-FR"/>
        </w:rPr>
      </w:pPr>
      <w:r w:rsidRPr="008E60B5">
        <w:rPr>
          <w:lang w:val="fr-FR"/>
        </w:rPr>
        <w:t>Les organisations de la société civile et les organisations internationales œuvrant dans le domaine de la protection des réfugiés et des femmes (Haut-Commissariat des Nations Unies pour les réfugiés et ONU-Femmes) ont eu accès aux centres d</w:t>
      </w:r>
      <w:r w:rsidR="008E60B5" w:rsidRPr="008E60B5">
        <w:rPr>
          <w:lang w:val="fr-FR"/>
        </w:rPr>
        <w:t>’</w:t>
      </w:r>
      <w:r w:rsidRPr="008E60B5">
        <w:rPr>
          <w:lang w:val="fr-FR"/>
        </w:rPr>
        <w:t>asile. De plus, toute personne hébergée dans un centre d</w:t>
      </w:r>
      <w:r w:rsidR="008E60B5" w:rsidRPr="008E60B5">
        <w:rPr>
          <w:lang w:val="fr-FR"/>
        </w:rPr>
        <w:t>’</w:t>
      </w:r>
      <w:r w:rsidRPr="008E60B5">
        <w:rPr>
          <w:lang w:val="fr-FR"/>
        </w:rPr>
        <w:t>asile peut bénéficier d</w:t>
      </w:r>
      <w:r w:rsidR="008E60B5" w:rsidRPr="008E60B5">
        <w:rPr>
          <w:lang w:val="fr-FR"/>
        </w:rPr>
        <w:t>’</w:t>
      </w:r>
      <w:r w:rsidRPr="008E60B5">
        <w:rPr>
          <w:lang w:val="fr-FR"/>
        </w:rPr>
        <w:t>une assistance psychologique et sociale et avoir accès à des informations sur les institutions et organisations intervenant directement dans la lutte contre la violence, ainsi qu</w:t>
      </w:r>
      <w:r w:rsidR="008E60B5" w:rsidRPr="008E60B5">
        <w:rPr>
          <w:lang w:val="fr-FR"/>
        </w:rPr>
        <w:t>’</w:t>
      </w:r>
      <w:r w:rsidRPr="008E60B5">
        <w:rPr>
          <w:lang w:val="fr-FR"/>
        </w:rPr>
        <w:t xml:space="preserve">à leurs services. Ces deux dernières années, des organisations internationales et des organisations de la société civile ont organisé un certain nombre de séances de formation, y compris sur les normes internationales de protection des migrantes victimes de violence familiale. En outre, certaines organisations de la société civile ont fourni des logements et apporté un appui psychologique et social à des victimes potentielles de violence sexiste. </w:t>
      </w:r>
    </w:p>
    <w:p w14:paraId="2E2A30BA" w14:textId="77777777" w:rsidR="008E60B5" w:rsidRPr="008E60B5" w:rsidRDefault="008E60B5" w:rsidP="008E60B5">
      <w:pPr>
        <w:pStyle w:val="SingleTxt"/>
        <w:spacing w:after="0" w:line="120" w:lineRule="exact"/>
        <w:rPr>
          <w:b/>
          <w:sz w:val="10"/>
          <w:lang w:val="fr-FR"/>
        </w:rPr>
      </w:pPr>
    </w:p>
    <w:p w14:paraId="366F4F87" w14:textId="77777777" w:rsidR="008E60B5" w:rsidRPr="008E60B5" w:rsidRDefault="008E60B5" w:rsidP="008E60B5">
      <w:pPr>
        <w:pStyle w:val="SingleTxt"/>
        <w:spacing w:after="0" w:line="120" w:lineRule="exact"/>
        <w:rPr>
          <w:b/>
          <w:sz w:val="10"/>
          <w:lang w:val="fr-FR"/>
        </w:rPr>
      </w:pPr>
    </w:p>
    <w:p w14:paraId="55D39BF4" w14:textId="239C18C7" w:rsidR="00455496" w:rsidRPr="008E60B5" w:rsidRDefault="00455496" w:rsidP="008E60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Article 16</w:t>
      </w:r>
    </w:p>
    <w:p w14:paraId="674AC196" w14:textId="39F185A3" w:rsidR="008E60B5" w:rsidRPr="008E60B5" w:rsidRDefault="008E60B5" w:rsidP="008E60B5">
      <w:pPr>
        <w:pStyle w:val="SingleTxt"/>
        <w:spacing w:after="0" w:line="120" w:lineRule="exact"/>
        <w:rPr>
          <w:sz w:val="10"/>
          <w:lang w:val="fr-FR"/>
        </w:rPr>
      </w:pPr>
    </w:p>
    <w:p w14:paraId="01A09882" w14:textId="090761FC" w:rsidR="008E60B5" w:rsidRPr="008E60B5" w:rsidRDefault="008E60B5" w:rsidP="008E60B5">
      <w:pPr>
        <w:pStyle w:val="SingleTxt"/>
        <w:spacing w:after="0" w:line="120" w:lineRule="exact"/>
        <w:rPr>
          <w:sz w:val="10"/>
          <w:lang w:val="fr-FR"/>
        </w:rPr>
      </w:pPr>
    </w:p>
    <w:p w14:paraId="3212BC67" w14:textId="77777777" w:rsidR="00455496" w:rsidRPr="008E60B5" w:rsidRDefault="00455496" w:rsidP="00EE70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Relations conjugales et familiales</w:t>
      </w:r>
    </w:p>
    <w:p w14:paraId="646F1097" w14:textId="13DC5C88" w:rsidR="008E60B5" w:rsidRPr="008E60B5" w:rsidRDefault="008E60B5" w:rsidP="008E60B5">
      <w:pPr>
        <w:pStyle w:val="SingleTxt"/>
        <w:spacing w:after="0" w:line="120" w:lineRule="exact"/>
        <w:rPr>
          <w:sz w:val="10"/>
          <w:lang w:val="fr-FR"/>
        </w:rPr>
      </w:pPr>
    </w:p>
    <w:p w14:paraId="13D29051" w14:textId="77777777" w:rsidR="00455496" w:rsidRPr="008E60B5" w:rsidRDefault="00455496" w:rsidP="008E60B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 xml:space="preserve">Recommandation formulée au paragraphe 39 </w:t>
      </w:r>
    </w:p>
    <w:p w14:paraId="4B350E9C" w14:textId="4D7E5156" w:rsidR="008E60B5" w:rsidRPr="008E60B5" w:rsidRDefault="008E60B5" w:rsidP="008E60B5">
      <w:pPr>
        <w:pStyle w:val="SingleTxt"/>
        <w:spacing w:after="0" w:line="120" w:lineRule="exact"/>
        <w:rPr>
          <w:sz w:val="10"/>
          <w:lang w:val="fr-FR"/>
        </w:rPr>
      </w:pPr>
    </w:p>
    <w:p w14:paraId="0FF71F30" w14:textId="77777777" w:rsidR="00455496" w:rsidRPr="008E60B5" w:rsidRDefault="00455496" w:rsidP="008E60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Mariages précoces</w:t>
      </w:r>
    </w:p>
    <w:p w14:paraId="4D360787" w14:textId="2CCB9865" w:rsidR="008E60B5" w:rsidRPr="008E60B5" w:rsidRDefault="008E60B5" w:rsidP="008E60B5">
      <w:pPr>
        <w:pStyle w:val="SingleTxt"/>
        <w:spacing w:after="0" w:line="120" w:lineRule="exact"/>
        <w:rPr>
          <w:sz w:val="10"/>
          <w:lang w:val="fr-FR"/>
        </w:rPr>
      </w:pPr>
    </w:p>
    <w:p w14:paraId="16742AEA" w14:textId="7A4E0A8C" w:rsidR="00455496" w:rsidRPr="008E60B5" w:rsidRDefault="00455496" w:rsidP="008E60B5">
      <w:pPr>
        <w:pStyle w:val="SingleTxt"/>
        <w:numPr>
          <w:ilvl w:val="0"/>
          <w:numId w:val="39"/>
        </w:numPr>
        <w:spacing w:line="240" w:lineRule="exact"/>
        <w:rPr>
          <w:lang w:val="fr-FR"/>
        </w:rPr>
      </w:pPr>
      <w:r w:rsidRPr="008E60B5">
        <w:rPr>
          <w:lang w:val="fr-FR"/>
        </w:rPr>
        <w:t xml:space="preserve">Les modifications apportées au </w:t>
      </w:r>
      <w:r w:rsidRPr="003C1C06">
        <w:rPr>
          <w:i/>
          <w:iCs/>
          <w:lang w:val="fr-FR"/>
        </w:rPr>
        <w:t>Code pénal</w:t>
      </w:r>
      <w:r w:rsidRPr="008E60B5">
        <w:rPr>
          <w:lang w:val="fr-FR"/>
        </w:rPr>
        <w:t xml:space="preserve"> en date du 23 novembre 2016 ont permis de criminaliser le mariage forcé.</w:t>
      </w:r>
    </w:p>
    <w:p w14:paraId="019F0883" w14:textId="323FD14E" w:rsidR="00455496" w:rsidRPr="008E60B5" w:rsidRDefault="00455496" w:rsidP="008E60B5">
      <w:pPr>
        <w:pStyle w:val="SingleTxt"/>
        <w:numPr>
          <w:ilvl w:val="0"/>
          <w:numId w:val="39"/>
        </w:numPr>
        <w:spacing w:line="240" w:lineRule="exact"/>
        <w:rPr>
          <w:lang w:val="fr-FR"/>
        </w:rPr>
      </w:pPr>
      <w:r w:rsidRPr="008E60B5">
        <w:rPr>
          <w:lang w:val="fr-FR"/>
        </w:rPr>
        <w:t>La Stratégie pour l</w:t>
      </w:r>
      <w:r w:rsidR="008E60B5" w:rsidRPr="008E60B5">
        <w:rPr>
          <w:lang w:val="fr-FR"/>
        </w:rPr>
        <w:t>’</w:t>
      </w:r>
      <w:r w:rsidRPr="008E60B5">
        <w:rPr>
          <w:lang w:val="fr-FR"/>
        </w:rPr>
        <w:t>inclusion sociale des hommes et des femmes roms en République de Serbie pour la période 2016-2025 et la Stratégie nationale pour l</w:t>
      </w:r>
      <w:r w:rsidR="008E60B5" w:rsidRPr="008E60B5">
        <w:rPr>
          <w:lang w:val="fr-FR"/>
        </w:rPr>
        <w:t>’</w:t>
      </w:r>
      <w:r w:rsidRPr="008E60B5">
        <w:rPr>
          <w:lang w:val="fr-FR"/>
        </w:rPr>
        <w:t xml:space="preserve">égalité des sexes prévoient des mesures relatives à la prévention des mariages précoces et des mariages forcés ainsi que des grossesses précoces, et à la réduction de leur nombre chez les Roms. </w:t>
      </w:r>
    </w:p>
    <w:p w14:paraId="4D16313A" w14:textId="1AD5D1A2" w:rsidR="00455496" w:rsidRPr="008E60B5" w:rsidRDefault="00455496" w:rsidP="008E60B5">
      <w:pPr>
        <w:pStyle w:val="SingleTxt"/>
        <w:numPr>
          <w:ilvl w:val="0"/>
          <w:numId w:val="39"/>
        </w:numPr>
        <w:spacing w:line="240" w:lineRule="exact"/>
        <w:rPr>
          <w:lang w:val="fr-FR"/>
        </w:rPr>
      </w:pPr>
      <w:r w:rsidRPr="008E60B5">
        <w:rPr>
          <w:lang w:val="fr-FR"/>
        </w:rPr>
        <w:t>Les organisations de la société civile, les établissements scolaires, les institutions de protection sociale, les coordonnateurs chargés des questions relatives aux Roms et les médiatrices en santé contribuent grandement à la prévention des mariages précoces.</w:t>
      </w:r>
    </w:p>
    <w:p w14:paraId="676B5B48" w14:textId="6D74F5BF" w:rsidR="00455496" w:rsidRPr="008E60B5" w:rsidRDefault="00455496" w:rsidP="008E60B5">
      <w:pPr>
        <w:pStyle w:val="SingleTxt"/>
        <w:numPr>
          <w:ilvl w:val="0"/>
          <w:numId w:val="39"/>
        </w:numPr>
        <w:spacing w:line="240" w:lineRule="exact"/>
        <w:rPr>
          <w:lang w:val="fr-FR"/>
        </w:rPr>
      </w:pPr>
      <w:r w:rsidRPr="008E60B5">
        <w:rPr>
          <w:lang w:val="fr-FR"/>
        </w:rPr>
        <w:t>Le Bureau des droits de l</w:t>
      </w:r>
      <w:r w:rsidR="008E60B5" w:rsidRPr="008E60B5">
        <w:rPr>
          <w:lang w:val="fr-FR"/>
        </w:rPr>
        <w:t>’</w:t>
      </w:r>
      <w:r w:rsidRPr="008E60B5">
        <w:rPr>
          <w:lang w:val="fr-FR"/>
        </w:rPr>
        <w:t>homme et des minorités appuie les organisations de la société civile qui mettent en œuvre des programmes de sensibilisation et d</w:t>
      </w:r>
      <w:r w:rsidR="008E60B5" w:rsidRPr="008E60B5">
        <w:rPr>
          <w:lang w:val="fr-FR"/>
        </w:rPr>
        <w:t>’</w:t>
      </w:r>
      <w:r w:rsidRPr="008E60B5">
        <w:rPr>
          <w:lang w:val="fr-FR"/>
        </w:rPr>
        <w:t>information visant à limiter les</w:t>
      </w:r>
      <w:r w:rsidR="008E60B5" w:rsidRPr="008E60B5">
        <w:rPr>
          <w:lang w:val="fr-FR"/>
        </w:rPr>
        <w:t xml:space="preserve"> </w:t>
      </w:r>
      <w:r w:rsidRPr="008E60B5">
        <w:rPr>
          <w:lang w:val="fr-FR"/>
        </w:rPr>
        <w:t>mariages précoces forcés à l</w:t>
      </w:r>
      <w:r w:rsidR="008E60B5" w:rsidRPr="008E60B5">
        <w:rPr>
          <w:lang w:val="fr-FR"/>
        </w:rPr>
        <w:t>’</w:t>
      </w:r>
      <w:r w:rsidRPr="008E60B5">
        <w:rPr>
          <w:lang w:val="fr-FR"/>
        </w:rPr>
        <w:t xml:space="preserve">intention des enfants et des jeunes Roms en particulier, mais aussi au grand public et aux représentants des établissements scolaires ou autres. </w:t>
      </w:r>
    </w:p>
    <w:p w14:paraId="1C99BCF7" w14:textId="7778BBC5" w:rsidR="00455496" w:rsidRPr="008E60B5" w:rsidRDefault="00455496" w:rsidP="008E60B5">
      <w:pPr>
        <w:pStyle w:val="SingleTxt"/>
        <w:numPr>
          <w:ilvl w:val="0"/>
          <w:numId w:val="39"/>
        </w:numPr>
        <w:spacing w:line="240" w:lineRule="exact"/>
        <w:rPr>
          <w:lang w:val="fr-FR"/>
        </w:rPr>
      </w:pPr>
      <w:r w:rsidRPr="008E60B5">
        <w:rPr>
          <w:lang w:val="fr-FR"/>
        </w:rPr>
        <w:t>Le projet de loi sur l</w:t>
      </w:r>
      <w:r w:rsidR="008E60B5" w:rsidRPr="008E60B5">
        <w:rPr>
          <w:lang w:val="fr-FR"/>
        </w:rPr>
        <w:t>’</w:t>
      </w:r>
      <w:r w:rsidRPr="008E60B5">
        <w:rPr>
          <w:lang w:val="fr-FR"/>
        </w:rPr>
        <w:t>égalité des sexes stipule que les autorités ont le devoir d</w:t>
      </w:r>
      <w:r w:rsidR="008E60B5" w:rsidRPr="008E60B5">
        <w:rPr>
          <w:lang w:val="fr-FR"/>
        </w:rPr>
        <w:t>’</w:t>
      </w:r>
      <w:r w:rsidRPr="008E60B5">
        <w:rPr>
          <w:lang w:val="fr-FR"/>
        </w:rPr>
        <w:t>élaborer et d</w:t>
      </w:r>
      <w:r w:rsidR="008E60B5" w:rsidRPr="008E60B5">
        <w:rPr>
          <w:lang w:val="fr-FR"/>
        </w:rPr>
        <w:t>’</w:t>
      </w:r>
      <w:r w:rsidRPr="008E60B5">
        <w:rPr>
          <w:lang w:val="fr-FR"/>
        </w:rPr>
        <w:t>appliquer des programmes pour résoudre les problèmes liés aux grossesses précoces et au fait de fonder une communauté de vie dont au moins l</w:t>
      </w:r>
      <w:r w:rsidR="008E60B5" w:rsidRPr="008E60B5">
        <w:rPr>
          <w:lang w:val="fr-FR"/>
        </w:rPr>
        <w:t>’</w:t>
      </w:r>
      <w:r w:rsidRPr="008E60B5">
        <w:rPr>
          <w:lang w:val="fr-FR"/>
        </w:rPr>
        <w:t>un des membres a moins de 16 ans et d</w:t>
      </w:r>
      <w:r w:rsidR="008E60B5" w:rsidRPr="008E60B5">
        <w:rPr>
          <w:lang w:val="fr-FR"/>
        </w:rPr>
        <w:t>’</w:t>
      </w:r>
      <w:r w:rsidRPr="008E60B5">
        <w:rPr>
          <w:lang w:val="fr-FR"/>
        </w:rPr>
        <w:t xml:space="preserve">organiser, à titre préventif, des examens aux fins </w:t>
      </w:r>
      <w:r w:rsidRPr="008E60B5">
        <w:rPr>
          <w:lang w:val="fr-FR"/>
        </w:rPr>
        <w:lastRenderedPageBreak/>
        <w:t>du dépistage précoce de certaines maladies ayant des conséquences importantes sur les plans social et médical.</w:t>
      </w:r>
    </w:p>
    <w:p w14:paraId="62B67489" w14:textId="77777777" w:rsidR="008E60B5" w:rsidRPr="008E60B5" w:rsidRDefault="008E60B5" w:rsidP="008E60B5">
      <w:pPr>
        <w:pStyle w:val="SingleTxt"/>
        <w:spacing w:after="0" w:line="120" w:lineRule="exact"/>
        <w:rPr>
          <w:b/>
          <w:sz w:val="10"/>
          <w:lang w:val="fr-FR"/>
        </w:rPr>
      </w:pPr>
    </w:p>
    <w:p w14:paraId="50F3011C" w14:textId="4B0A3C41" w:rsidR="00455496" w:rsidRPr="008E60B5" w:rsidRDefault="00455496" w:rsidP="008E60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Appui aux familles</w:t>
      </w:r>
    </w:p>
    <w:p w14:paraId="0CA18D54" w14:textId="2CB79606" w:rsidR="008E60B5" w:rsidRPr="008E60B5" w:rsidRDefault="008E60B5" w:rsidP="008E60B5">
      <w:pPr>
        <w:pStyle w:val="SingleTxt"/>
        <w:spacing w:after="0" w:line="120" w:lineRule="exact"/>
        <w:rPr>
          <w:sz w:val="10"/>
          <w:lang w:val="fr-FR"/>
        </w:rPr>
      </w:pPr>
    </w:p>
    <w:p w14:paraId="157E5D8D" w14:textId="4107EA6E" w:rsidR="00455496" w:rsidRPr="008E60B5" w:rsidRDefault="00455496" w:rsidP="00B144F0">
      <w:pPr>
        <w:pStyle w:val="SingleTxt"/>
        <w:numPr>
          <w:ilvl w:val="0"/>
          <w:numId w:val="39"/>
        </w:numPr>
        <w:spacing w:line="240" w:lineRule="exact"/>
        <w:rPr>
          <w:lang w:val="fr-FR"/>
        </w:rPr>
      </w:pPr>
      <w:r w:rsidRPr="008E60B5">
        <w:rPr>
          <w:lang w:val="fr-FR"/>
        </w:rPr>
        <w:t xml:space="preserve">La </w:t>
      </w:r>
      <w:r w:rsidRPr="00B144F0">
        <w:rPr>
          <w:lang w:val="fr-FR"/>
        </w:rPr>
        <w:t>loi sur la protection sociale</w:t>
      </w:r>
      <w:r w:rsidRPr="008E60B5">
        <w:rPr>
          <w:lang w:val="fr-FR"/>
        </w:rPr>
        <w:t xml:space="preserve"> prévoit de renforcer les services d</w:t>
      </w:r>
      <w:r w:rsidR="008E60B5" w:rsidRPr="008E60B5">
        <w:rPr>
          <w:lang w:val="fr-FR"/>
        </w:rPr>
        <w:t>’</w:t>
      </w:r>
      <w:r w:rsidRPr="008E60B5">
        <w:rPr>
          <w:lang w:val="fr-FR"/>
        </w:rPr>
        <w:t>appui intensif destinés aux familles avec enfants. Les collectivités locales sont chargées d</w:t>
      </w:r>
      <w:r w:rsidR="008E60B5" w:rsidRPr="008E60B5">
        <w:rPr>
          <w:lang w:val="fr-FR"/>
        </w:rPr>
        <w:t>’</w:t>
      </w:r>
      <w:r w:rsidRPr="008E60B5">
        <w:rPr>
          <w:lang w:val="fr-FR"/>
        </w:rPr>
        <w:t>assurer ces services et d</w:t>
      </w:r>
      <w:r w:rsidR="008E60B5" w:rsidRPr="008E60B5">
        <w:rPr>
          <w:lang w:val="fr-FR"/>
        </w:rPr>
        <w:t>’</w:t>
      </w:r>
      <w:r w:rsidRPr="008E60B5">
        <w:rPr>
          <w:lang w:val="fr-FR"/>
        </w:rPr>
        <w:t>en assurer la viabilité financière. Le Ministère du travail, de l</w:t>
      </w:r>
      <w:r w:rsidR="008E60B5" w:rsidRPr="008E60B5">
        <w:rPr>
          <w:lang w:val="fr-FR"/>
        </w:rPr>
        <w:t>’</w:t>
      </w:r>
      <w:r w:rsidRPr="008E60B5">
        <w:rPr>
          <w:lang w:val="fr-FR"/>
        </w:rPr>
        <w:t>emploi, des anciens combattants et des affaires sociales appuie la fourniture, à l</w:t>
      </w:r>
      <w:r w:rsidR="008E60B5" w:rsidRPr="008E60B5">
        <w:rPr>
          <w:lang w:val="fr-FR"/>
        </w:rPr>
        <w:t>’</w:t>
      </w:r>
      <w:r w:rsidRPr="008E60B5">
        <w:rPr>
          <w:lang w:val="fr-FR"/>
        </w:rPr>
        <w:t>échelle locale, de différents services aux enfants et aux familles, à savoir des services d</w:t>
      </w:r>
      <w:r w:rsidR="008E60B5" w:rsidRPr="008E60B5">
        <w:rPr>
          <w:lang w:val="fr-FR"/>
        </w:rPr>
        <w:t>’</w:t>
      </w:r>
      <w:r w:rsidRPr="008E60B5">
        <w:rPr>
          <w:lang w:val="fr-FR"/>
        </w:rPr>
        <w:t>évaluation et de planification, d</w:t>
      </w:r>
      <w:r w:rsidR="008E60B5" w:rsidRPr="008E60B5">
        <w:rPr>
          <w:lang w:val="fr-FR"/>
        </w:rPr>
        <w:t>’</w:t>
      </w:r>
      <w:r w:rsidRPr="008E60B5">
        <w:rPr>
          <w:lang w:val="fr-FR"/>
        </w:rPr>
        <w:t>aide aux tâches quotidiennes, de promotion de l</w:t>
      </w:r>
      <w:r w:rsidR="008E60B5" w:rsidRPr="008E60B5">
        <w:rPr>
          <w:lang w:val="fr-FR"/>
        </w:rPr>
        <w:t>’</w:t>
      </w:r>
      <w:r w:rsidRPr="008E60B5">
        <w:rPr>
          <w:lang w:val="fr-FR"/>
        </w:rPr>
        <w:t>autonomie et d</w:t>
      </w:r>
      <w:r w:rsidR="008E60B5" w:rsidRPr="008E60B5">
        <w:rPr>
          <w:lang w:val="fr-FR"/>
        </w:rPr>
        <w:t>’</w:t>
      </w:r>
      <w:r w:rsidRPr="008E60B5">
        <w:rPr>
          <w:lang w:val="fr-FR"/>
        </w:rPr>
        <w:t>aide au logement ainsi que des services consultatifs, thérapeutiques, sociaux et éducatifs. En fonction des besoins des bénéficiaires, les services de protection sociale peuvent être cumulés et accompagnés d</w:t>
      </w:r>
      <w:r w:rsidR="008E60B5" w:rsidRPr="008E60B5">
        <w:rPr>
          <w:lang w:val="fr-FR"/>
        </w:rPr>
        <w:t>’</w:t>
      </w:r>
      <w:r w:rsidRPr="008E60B5">
        <w:rPr>
          <w:lang w:val="fr-FR"/>
        </w:rPr>
        <w:t>autres services fournis par des établissements scolaires, sanitaires et autres (institutions intersectorielles). Selon les données de l</w:t>
      </w:r>
      <w:r w:rsidR="008E60B5" w:rsidRPr="008E60B5">
        <w:rPr>
          <w:lang w:val="fr-FR"/>
        </w:rPr>
        <w:t>’</w:t>
      </w:r>
      <w:r w:rsidRPr="008E60B5">
        <w:rPr>
          <w:lang w:val="fr-FR"/>
        </w:rPr>
        <w:t>Institut de protection sociale de la République, la base de données sur les services de protection sociale répertorie 17</w:t>
      </w:r>
      <w:r w:rsidR="00B144F0">
        <w:rPr>
          <w:lang w:val="fr-FR"/>
        </w:rPr>
        <w:t> </w:t>
      </w:r>
      <w:r w:rsidRPr="008E60B5">
        <w:rPr>
          <w:lang w:val="fr-FR"/>
        </w:rPr>
        <w:t>centres de conseil offrant des services d</w:t>
      </w:r>
      <w:r w:rsidR="008E60B5" w:rsidRPr="008E60B5">
        <w:rPr>
          <w:lang w:val="fr-FR"/>
        </w:rPr>
        <w:t>’</w:t>
      </w:r>
      <w:r w:rsidRPr="008E60B5">
        <w:rPr>
          <w:lang w:val="fr-FR"/>
        </w:rPr>
        <w:t>appui familial spécialisés, établis notamment au sein des centres d</w:t>
      </w:r>
      <w:r w:rsidR="008E60B5" w:rsidRPr="008E60B5">
        <w:rPr>
          <w:lang w:val="fr-FR"/>
        </w:rPr>
        <w:t>’</w:t>
      </w:r>
      <w:r w:rsidRPr="008E60B5">
        <w:rPr>
          <w:lang w:val="fr-FR"/>
        </w:rPr>
        <w:t xml:space="preserve">action sociale. Si ces derniers ne sont pas dotés de telles structures, ils doivent fournir eux-mêmes des services de consultations familiales. </w:t>
      </w:r>
    </w:p>
    <w:p w14:paraId="2BD79D8D" w14:textId="44BB30C1" w:rsidR="00455496" w:rsidRPr="008E60B5" w:rsidRDefault="00455496" w:rsidP="008E60B5">
      <w:pPr>
        <w:pStyle w:val="SingleTxt"/>
        <w:numPr>
          <w:ilvl w:val="0"/>
          <w:numId w:val="39"/>
        </w:numPr>
        <w:spacing w:line="240" w:lineRule="exact"/>
        <w:rPr>
          <w:lang w:val="fr-FR"/>
        </w:rPr>
      </w:pPr>
      <w:r w:rsidRPr="008E60B5">
        <w:rPr>
          <w:lang w:val="fr-FR"/>
        </w:rPr>
        <w:t>L</w:t>
      </w:r>
      <w:r w:rsidR="008E60B5" w:rsidRPr="008E60B5">
        <w:rPr>
          <w:lang w:val="fr-FR"/>
        </w:rPr>
        <w:t>’</w:t>
      </w:r>
      <w:r w:rsidRPr="008E60B5">
        <w:rPr>
          <w:lang w:val="fr-FR"/>
        </w:rPr>
        <w:t>appui financier aux familles avec enfants prend la forme d</w:t>
      </w:r>
      <w:r w:rsidR="008E60B5" w:rsidRPr="008E60B5">
        <w:rPr>
          <w:lang w:val="fr-FR"/>
        </w:rPr>
        <w:t>’</w:t>
      </w:r>
      <w:r w:rsidRPr="008E60B5">
        <w:rPr>
          <w:lang w:val="fr-FR"/>
        </w:rPr>
        <w:t>un cofinancement des services destinés aux enfants ou d</w:t>
      </w:r>
      <w:r w:rsidR="008E60B5" w:rsidRPr="008E60B5">
        <w:rPr>
          <w:lang w:val="fr-FR"/>
        </w:rPr>
        <w:t>’</w:t>
      </w:r>
      <w:r w:rsidRPr="008E60B5">
        <w:rPr>
          <w:lang w:val="fr-FR"/>
        </w:rPr>
        <w:t xml:space="preserve">autres prestations. La </w:t>
      </w:r>
      <w:r w:rsidRPr="00B144F0">
        <w:rPr>
          <w:lang w:val="fr-FR"/>
        </w:rPr>
        <w:t>loi sur l</w:t>
      </w:r>
      <w:r w:rsidR="008E60B5" w:rsidRPr="00B144F0">
        <w:rPr>
          <w:lang w:val="fr-FR"/>
        </w:rPr>
        <w:t>’</w:t>
      </w:r>
      <w:r w:rsidRPr="00B144F0">
        <w:rPr>
          <w:lang w:val="fr-FR"/>
        </w:rPr>
        <w:t>appui financier</w:t>
      </w:r>
      <w:r w:rsidRPr="008E60B5">
        <w:rPr>
          <w:lang w:val="fr-FR"/>
        </w:rPr>
        <w:t xml:space="preserve"> aux familles avec enfants prévoit le droit à une rémunération pendant le congé de maternité ou tout congé pris pour prendre soin de son enfant, à une allocation parentale, à une indemnité pour enfant à charge et à une prise en charge des frais de séjour dans les établissements préscolaires pour les enfants sans protection parentale, souffrant de troubles du développement ou issus de familles financièrement vulnérables. Les mesures spécifiques prises en faveur des enfants issus de familles monoparentales et de groupes vulnérables consistent notamment à faciliter l</w:t>
      </w:r>
      <w:r w:rsidR="008E60B5" w:rsidRPr="008E60B5">
        <w:rPr>
          <w:lang w:val="fr-FR"/>
        </w:rPr>
        <w:t>’</w:t>
      </w:r>
      <w:r w:rsidRPr="008E60B5">
        <w:rPr>
          <w:lang w:val="fr-FR"/>
        </w:rPr>
        <w:t>exercice du droit à l</w:t>
      </w:r>
      <w:r w:rsidR="008E60B5" w:rsidRPr="008E60B5">
        <w:rPr>
          <w:lang w:val="fr-FR"/>
        </w:rPr>
        <w:t>’</w:t>
      </w:r>
      <w:r w:rsidRPr="008E60B5">
        <w:rPr>
          <w:lang w:val="fr-FR"/>
        </w:rPr>
        <w:t>indemnité pour enfant à charge et à augmenter le montant de celle-ci, sous réserve des besoins et des capacités des collectivités locales.</w:t>
      </w:r>
    </w:p>
    <w:p w14:paraId="09C3EDF6" w14:textId="4E640E62" w:rsidR="00455496" w:rsidRPr="008E60B5" w:rsidRDefault="00455496" w:rsidP="008E60B5">
      <w:pPr>
        <w:pStyle w:val="SingleTxt"/>
        <w:numPr>
          <w:ilvl w:val="0"/>
          <w:numId w:val="39"/>
        </w:numPr>
        <w:spacing w:line="240" w:lineRule="exact"/>
        <w:rPr>
          <w:lang w:val="fr-FR"/>
        </w:rPr>
      </w:pPr>
      <w:r w:rsidRPr="008E60B5">
        <w:rPr>
          <w:lang w:val="fr-FR"/>
        </w:rPr>
        <w:t>Selon les données communiquées par le ministère compétent, au premier trimestre 2017, 40 000 mères allaitantes ont perçu des aides d</w:t>
      </w:r>
      <w:r w:rsidR="008E60B5" w:rsidRPr="008E60B5">
        <w:rPr>
          <w:lang w:val="fr-FR"/>
        </w:rPr>
        <w:t>’</w:t>
      </w:r>
      <w:r w:rsidRPr="008E60B5">
        <w:rPr>
          <w:lang w:val="fr-FR"/>
        </w:rPr>
        <w:t>un montant total de 10,7 milliards de dinars, 61</w:t>
      </w:r>
      <w:r w:rsidR="00F9714F">
        <w:rPr>
          <w:lang w:val="fr-FR"/>
        </w:rPr>
        <w:t> </w:t>
      </w:r>
      <w:r w:rsidRPr="008E60B5">
        <w:rPr>
          <w:lang w:val="fr-FR"/>
        </w:rPr>
        <w:t>160 parents ont reçu des prestations d</w:t>
      </w:r>
      <w:r w:rsidR="008E60B5" w:rsidRPr="008E60B5">
        <w:rPr>
          <w:lang w:val="fr-FR"/>
        </w:rPr>
        <w:t>’</w:t>
      </w:r>
      <w:r w:rsidRPr="008E60B5">
        <w:rPr>
          <w:lang w:val="fr-FR"/>
        </w:rPr>
        <w:t>un montant total de 2,3 milliards de dinars et 350</w:t>
      </w:r>
      <w:r w:rsidR="00F9714F">
        <w:rPr>
          <w:lang w:val="fr-FR"/>
        </w:rPr>
        <w:t> </w:t>
      </w:r>
      <w:bookmarkStart w:id="4" w:name="TmpSave"/>
      <w:bookmarkEnd w:id="4"/>
      <w:r w:rsidRPr="008E60B5">
        <w:rPr>
          <w:lang w:val="fr-FR"/>
        </w:rPr>
        <w:t>000 personnes ont bénéficié d</w:t>
      </w:r>
      <w:r w:rsidR="008E60B5" w:rsidRPr="008E60B5">
        <w:rPr>
          <w:lang w:val="fr-FR"/>
        </w:rPr>
        <w:t>’</w:t>
      </w:r>
      <w:r w:rsidRPr="008E60B5">
        <w:rPr>
          <w:lang w:val="fr-FR"/>
        </w:rPr>
        <w:t>indemnités pour enfants à charge pour un montant de 4,4 milliards de dinars.</w:t>
      </w:r>
    </w:p>
    <w:p w14:paraId="3C8CB1A3" w14:textId="2879135A" w:rsidR="00455496" w:rsidRPr="008E60B5" w:rsidRDefault="00455496" w:rsidP="008E60B5">
      <w:pPr>
        <w:pStyle w:val="SingleTxt"/>
        <w:numPr>
          <w:ilvl w:val="0"/>
          <w:numId w:val="39"/>
        </w:numPr>
        <w:spacing w:line="240" w:lineRule="exact"/>
        <w:rPr>
          <w:lang w:val="fr-FR"/>
        </w:rPr>
      </w:pPr>
      <w:r w:rsidRPr="008E60B5">
        <w:rPr>
          <w:lang w:val="fr-FR"/>
        </w:rPr>
        <w:t>D</w:t>
      </w:r>
      <w:r w:rsidR="008E60B5" w:rsidRPr="008E60B5">
        <w:rPr>
          <w:lang w:val="fr-FR"/>
        </w:rPr>
        <w:t>’</w:t>
      </w:r>
      <w:r w:rsidRPr="008E60B5">
        <w:rPr>
          <w:lang w:val="fr-FR"/>
        </w:rPr>
        <w:t xml:space="preserve">après les données dont dispose le Bureau pour le Kosovo-Metohija, des mariages précoces ont encore lieu dans cette région, notamment dans certaines communautés ou groupes ethniques, en particulier chez les Roms, les Égyptiens, les Ashkali et les Gorani. </w:t>
      </w:r>
    </w:p>
    <w:p w14:paraId="4CF7E0B6" w14:textId="7AFEFB73" w:rsidR="008E60B5" w:rsidRPr="008E60B5" w:rsidRDefault="008E60B5" w:rsidP="008E60B5">
      <w:pPr>
        <w:pStyle w:val="SingleTxt"/>
        <w:spacing w:after="0" w:line="120" w:lineRule="exact"/>
        <w:rPr>
          <w:b/>
          <w:sz w:val="10"/>
          <w:lang w:val="fr-FR"/>
        </w:rPr>
      </w:pPr>
    </w:p>
    <w:p w14:paraId="23016E94" w14:textId="77777777" w:rsidR="008E60B5" w:rsidRPr="008E60B5" w:rsidRDefault="008E60B5" w:rsidP="008E60B5">
      <w:pPr>
        <w:pStyle w:val="SingleTxt"/>
        <w:spacing w:after="0" w:line="120" w:lineRule="exact"/>
        <w:rPr>
          <w:b/>
          <w:sz w:val="10"/>
          <w:lang w:val="fr-FR"/>
        </w:rPr>
      </w:pPr>
    </w:p>
    <w:p w14:paraId="7C8787B0" w14:textId="38B9DA48" w:rsidR="00455496" w:rsidRPr="008E60B5" w:rsidRDefault="00455496" w:rsidP="008E60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Article 20</w:t>
      </w:r>
    </w:p>
    <w:p w14:paraId="08FBEABA" w14:textId="43689592" w:rsidR="008E60B5" w:rsidRPr="008E60B5" w:rsidRDefault="008E60B5" w:rsidP="008E60B5">
      <w:pPr>
        <w:pStyle w:val="SingleTxt"/>
        <w:spacing w:after="0" w:line="120" w:lineRule="exact"/>
        <w:rPr>
          <w:sz w:val="10"/>
          <w:lang w:val="fr-FR"/>
        </w:rPr>
      </w:pPr>
    </w:p>
    <w:p w14:paraId="1E3EDE21" w14:textId="6CDC5487" w:rsidR="008E60B5" w:rsidRPr="008E60B5" w:rsidRDefault="008E60B5" w:rsidP="008E60B5">
      <w:pPr>
        <w:pStyle w:val="SingleTxt"/>
        <w:spacing w:after="0" w:line="120" w:lineRule="exact"/>
        <w:rPr>
          <w:sz w:val="10"/>
          <w:lang w:val="fr-FR"/>
        </w:rPr>
      </w:pPr>
    </w:p>
    <w:p w14:paraId="766D6418" w14:textId="77777777" w:rsidR="00455496" w:rsidRPr="008E60B5" w:rsidRDefault="00455496" w:rsidP="008E60B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 xml:space="preserve">Recommandation formulée au paragraphe 40 </w:t>
      </w:r>
    </w:p>
    <w:p w14:paraId="3293B527" w14:textId="67997554" w:rsidR="008E60B5" w:rsidRPr="008E60B5" w:rsidRDefault="008E60B5" w:rsidP="008E60B5">
      <w:pPr>
        <w:pStyle w:val="SingleTxt"/>
        <w:spacing w:after="0" w:line="120" w:lineRule="exact"/>
        <w:rPr>
          <w:sz w:val="10"/>
          <w:lang w:val="fr-FR"/>
        </w:rPr>
      </w:pPr>
    </w:p>
    <w:p w14:paraId="5DA5E1FB" w14:textId="31545C0D" w:rsidR="00455496" w:rsidRPr="008E60B5" w:rsidRDefault="00455496" w:rsidP="008E60B5">
      <w:pPr>
        <w:pStyle w:val="SingleTxt"/>
        <w:numPr>
          <w:ilvl w:val="0"/>
          <w:numId w:val="39"/>
        </w:numPr>
        <w:spacing w:line="240" w:lineRule="exact"/>
        <w:rPr>
          <w:lang w:val="fr-FR"/>
        </w:rPr>
      </w:pPr>
      <w:r w:rsidRPr="008E60B5">
        <w:rPr>
          <w:lang w:val="fr-FR"/>
        </w:rPr>
        <w:t>La Serbie a ratifié la modification du paragraphe 1 de l</w:t>
      </w:r>
      <w:r w:rsidR="008E60B5" w:rsidRPr="008E60B5">
        <w:rPr>
          <w:lang w:val="fr-FR"/>
        </w:rPr>
        <w:t>’</w:t>
      </w:r>
      <w:r w:rsidRPr="008E60B5">
        <w:rPr>
          <w:lang w:val="fr-FR"/>
        </w:rPr>
        <w:t xml:space="preserve">article 20 de la Convention et déposé son instrument de ratification le 18 juin 2014. </w:t>
      </w:r>
    </w:p>
    <w:p w14:paraId="509B15C5" w14:textId="77777777" w:rsidR="008E60B5" w:rsidRPr="008E60B5" w:rsidRDefault="008E60B5" w:rsidP="008E60B5">
      <w:pPr>
        <w:pStyle w:val="SingleTxt"/>
        <w:spacing w:after="0" w:line="120" w:lineRule="exact"/>
        <w:rPr>
          <w:i/>
          <w:sz w:val="10"/>
          <w:lang w:val="fr-FR"/>
        </w:rPr>
      </w:pPr>
    </w:p>
    <w:p w14:paraId="3FDB3E5D" w14:textId="06E9C0EE" w:rsidR="00455496" w:rsidRPr="008E60B5" w:rsidRDefault="00455496" w:rsidP="00B144F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lastRenderedPageBreak/>
        <w:tab/>
      </w:r>
      <w:r w:rsidRPr="008E60B5">
        <w:rPr>
          <w:lang w:val="fr-FR"/>
        </w:rPr>
        <w:tab/>
        <w:t xml:space="preserve">Recommandation formulée au paragraphe 41 </w:t>
      </w:r>
    </w:p>
    <w:p w14:paraId="689EFFF4" w14:textId="36CE283B" w:rsidR="008E60B5" w:rsidRPr="008E60B5" w:rsidRDefault="008E60B5" w:rsidP="003C1C06">
      <w:pPr>
        <w:pStyle w:val="SingleTxt"/>
        <w:keepNext/>
        <w:keepLines/>
        <w:spacing w:after="0" w:line="120" w:lineRule="exact"/>
        <w:rPr>
          <w:sz w:val="10"/>
          <w:lang w:val="fr-FR"/>
        </w:rPr>
      </w:pPr>
    </w:p>
    <w:p w14:paraId="58F44A01" w14:textId="44AE6F21" w:rsidR="00455496" w:rsidRPr="008E60B5" w:rsidRDefault="008E60B5" w:rsidP="00B144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00455496" w:rsidRPr="008E60B5">
        <w:rPr>
          <w:lang w:val="fr-FR"/>
        </w:rPr>
        <w:tab/>
        <w:t>Mise en œuvre de la Déclaration et du Programme d</w:t>
      </w:r>
      <w:r w:rsidRPr="008E60B5">
        <w:rPr>
          <w:lang w:val="fr-FR"/>
        </w:rPr>
        <w:t>’</w:t>
      </w:r>
      <w:r w:rsidR="00455496" w:rsidRPr="008E60B5">
        <w:rPr>
          <w:lang w:val="fr-FR"/>
        </w:rPr>
        <w:t>action de Beijing</w:t>
      </w:r>
    </w:p>
    <w:p w14:paraId="792623D8" w14:textId="473A117A" w:rsidR="008E60B5" w:rsidRPr="008E60B5" w:rsidRDefault="008E60B5" w:rsidP="003C1C06">
      <w:pPr>
        <w:pStyle w:val="SingleTxt"/>
        <w:keepNext/>
        <w:keepLines/>
        <w:spacing w:after="0" w:line="120" w:lineRule="exact"/>
        <w:rPr>
          <w:sz w:val="10"/>
          <w:lang w:val="fr-FR"/>
        </w:rPr>
      </w:pPr>
    </w:p>
    <w:p w14:paraId="2EC7E87F" w14:textId="4A1D3D0E" w:rsidR="00455496" w:rsidRPr="008E60B5" w:rsidRDefault="00455496" w:rsidP="003C1C06">
      <w:pPr>
        <w:pStyle w:val="SingleTxt"/>
        <w:keepNext/>
        <w:keepLines/>
        <w:numPr>
          <w:ilvl w:val="0"/>
          <w:numId w:val="39"/>
        </w:numPr>
        <w:spacing w:line="240" w:lineRule="exact"/>
        <w:rPr>
          <w:lang w:val="fr-FR"/>
        </w:rPr>
      </w:pPr>
      <w:r w:rsidRPr="008E60B5">
        <w:rPr>
          <w:lang w:val="fr-FR"/>
        </w:rPr>
        <w:t>Conformément aux dispositions de la Déclaration et du Programme d</w:t>
      </w:r>
      <w:r w:rsidR="008E60B5" w:rsidRPr="008E60B5">
        <w:rPr>
          <w:lang w:val="fr-FR"/>
        </w:rPr>
        <w:t>’</w:t>
      </w:r>
      <w:r w:rsidRPr="008E60B5">
        <w:rPr>
          <w:lang w:val="fr-FR"/>
        </w:rPr>
        <w:t>action de Beijing, le Gouvernement s</w:t>
      </w:r>
      <w:r w:rsidR="008E60B5" w:rsidRPr="008E60B5">
        <w:rPr>
          <w:lang w:val="fr-FR"/>
        </w:rPr>
        <w:t>’</w:t>
      </w:r>
      <w:r w:rsidRPr="008E60B5">
        <w:rPr>
          <w:lang w:val="fr-FR"/>
        </w:rPr>
        <w:t>est engagé à créer des institutions chargées de promouvoir la condition de la femme et de mettre en œuvre une politique d</w:t>
      </w:r>
      <w:r w:rsidR="008E60B5" w:rsidRPr="008E60B5">
        <w:rPr>
          <w:lang w:val="fr-FR"/>
        </w:rPr>
        <w:t>’</w:t>
      </w:r>
      <w:r w:rsidRPr="008E60B5">
        <w:rPr>
          <w:lang w:val="fr-FR"/>
        </w:rPr>
        <w:t>égalité des sexes et des chances. Dès l</w:t>
      </w:r>
      <w:r w:rsidR="008E60B5" w:rsidRPr="008E60B5">
        <w:rPr>
          <w:lang w:val="fr-FR"/>
        </w:rPr>
        <w:t>’</w:t>
      </w:r>
      <w:r w:rsidRPr="008E60B5">
        <w:rPr>
          <w:lang w:val="fr-FR"/>
        </w:rPr>
        <w:t>année 2000, des mécanismes de promotion de l</w:t>
      </w:r>
      <w:r w:rsidR="008E60B5" w:rsidRPr="008E60B5">
        <w:rPr>
          <w:lang w:val="fr-FR"/>
        </w:rPr>
        <w:t>’</w:t>
      </w:r>
      <w:r w:rsidRPr="008E60B5">
        <w:rPr>
          <w:lang w:val="fr-FR"/>
        </w:rPr>
        <w:t>égalité des sexes ont été établis aux niveaux national, provincial et local. Cependant, il n</w:t>
      </w:r>
      <w:r w:rsidR="008E60B5" w:rsidRPr="008E60B5">
        <w:rPr>
          <w:lang w:val="fr-FR"/>
        </w:rPr>
        <w:t>’</w:t>
      </w:r>
      <w:r w:rsidRPr="008E60B5">
        <w:rPr>
          <w:lang w:val="fr-FR"/>
        </w:rPr>
        <w:t>en existe aucun dans le secteur de la sécurité. À la suite de l</w:t>
      </w:r>
      <w:r w:rsidR="008E60B5" w:rsidRPr="008E60B5">
        <w:rPr>
          <w:lang w:val="fr-FR"/>
        </w:rPr>
        <w:t>’</w:t>
      </w:r>
      <w:r w:rsidRPr="008E60B5">
        <w:rPr>
          <w:lang w:val="fr-FR"/>
        </w:rPr>
        <w:t>adoption du Plan d</w:t>
      </w:r>
      <w:r w:rsidR="008E60B5" w:rsidRPr="008E60B5">
        <w:rPr>
          <w:lang w:val="fr-FR"/>
        </w:rPr>
        <w:t>’</w:t>
      </w:r>
      <w:r w:rsidRPr="008E60B5">
        <w:rPr>
          <w:lang w:val="fr-FR"/>
        </w:rPr>
        <w:t>action national pour la période 2010-2015, on a créé quatre organes institutionnels (un conseil d</w:t>
      </w:r>
      <w:r w:rsidR="008E60B5" w:rsidRPr="008E60B5">
        <w:rPr>
          <w:lang w:val="fr-FR"/>
        </w:rPr>
        <w:t>’</w:t>
      </w:r>
      <w:r w:rsidRPr="008E60B5">
        <w:rPr>
          <w:lang w:val="fr-FR"/>
        </w:rPr>
        <w:t>orientation, un organe de coordination multisectorielle, un organe de contrôle et des groupes d</w:t>
      </w:r>
      <w:r w:rsidR="008E60B5" w:rsidRPr="008E60B5">
        <w:rPr>
          <w:lang w:val="fr-FR"/>
        </w:rPr>
        <w:t>’</w:t>
      </w:r>
      <w:r w:rsidRPr="008E60B5">
        <w:rPr>
          <w:lang w:val="fr-FR"/>
        </w:rPr>
        <w:t>analyse ou des équipes de recherche), et mis en place sept dispositifs de promotion de l</w:t>
      </w:r>
      <w:r w:rsidR="008E60B5" w:rsidRPr="008E60B5">
        <w:rPr>
          <w:lang w:val="fr-FR"/>
        </w:rPr>
        <w:t>’</w:t>
      </w:r>
      <w:r w:rsidRPr="008E60B5">
        <w:rPr>
          <w:lang w:val="fr-FR"/>
        </w:rPr>
        <w:t>égalité des sexes (nomination d</w:t>
      </w:r>
      <w:r w:rsidR="008E60B5" w:rsidRPr="008E60B5">
        <w:rPr>
          <w:lang w:val="fr-FR"/>
        </w:rPr>
        <w:t>’</w:t>
      </w:r>
      <w:r w:rsidRPr="008E60B5">
        <w:rPr>
          <w:lang w:val="fr-FR"/>
        </w:rPr>
        <w:t>interlocuteurs privilégiés et de conseillers auprès de ministres et de directeurs, ainsi que des missions civiles ou militaires et établissement d</w:t>
      </w:r>
      <w:r w:rsidR="008E60B5" w:rsidRPr="008E60B5">
        <w:rPr>
          <w:lang w:val="fr-FR"/>
        </w:rPr>
        <w:t>’</w:t>
      </w:r>
      <w:r w:rsidRPr="008E60B5">
        <w:rPr>
          <w:lang w:val="fr-FR"/>
        </w:rPr>
        <w:t>un mécanisme de surveillance indépendant et d</w:t>
      </w:r>
      <w:r w:rsidR="008E60B5" w:rsidRPr="008E60B5">
        <w:rPr>
          <w:lang w:val="fr-FR"/>
        </w:rPr>
        <w:t>’</w:t>
      </w:r>
      <w:r w:rsidRPr="008E60B5">
        <w:rPr>
          <w:lang w:val="fr-FR"/>
        </w:rPr>
        <w:t>un système de planification et de gestion des dossiers relatifs aux ressources humaines tenant compte des disparités entre les sexes). Les nouveautés du Plan d</w:t>
      </w:r>
      <w:r w:rsidR="008E60B5" w:rsidRPr="008E60B5">
        <w:rPr>
          <w:lang w:val="fr-FR"/>
        </w:rPr>
        <w:t>’</w:t>
      </w:r>
      <w:r w:rsidRPr="008E60B5">
        <w:rPr>
          <w:lang w:val="fr-FR"/>
        </w:rPr>
        <w:t>action national pour la période 2016-2020 concernent le changement de nom de l</w:t>
      </w:r>
      <w:r w:rsidR="008E60B5" w:rsidRPr="008E60B5">
        <w:rPr>
          <w:lang w:val="fr-FR"/>
        </w:rPr>
        <w:t>’</w:t>
      </w:r>
      <w:r w:rsidRPr="008E60B5">
        <w:rPr>
          <w:lang w:val="fr-FR"/>
        </w:rPr>
        <w:t>Organisme de coordination multisectorielle, devenu l</w:t>
      </w:r>
      <w:r w:rsidR="008E60B5" w:rsidRPr="008E60B5">
        <w:rPr>
          <w:lang w:val="fr-FR"/>
        </w:rPr>
        <w:t>’</w:t>
      </w:r>
      <w:r w:rsidRPr="008E60B5">
        <w:rPr>
          <w:lang w:val="fr-FR"/>
        </w:rPr>
        <w:t>Organe opérationnel, et la désignation, au niveau local, d</w:t>
      </w:r>
      <w:r w:rsidR="008E60B5" w:rsidRPr="008E60B5">
        <w:rPr>
          <w:lang w:val="fr-FR"/>
        </w:rPr>
        <w:t>’</w:t>
      </w:r>
      <w:r w:rsidRPr="008E60B5">
        <w:rPr>
          <w:lang w:val="fr-FR"/>
        </w:rPr>
        <w:t>interlocuteurs chargés de la mise en œuvre du Plan. Les tâches de l</w:t>
      </w:r>
      <w:r w:rsidR="008E60B5" w:rsidRPr="008E60B5">
        <w:rPr>
          <w:lang w:val="fr-FR"/>
        </w:rPr>
        <w:t>’</w:t>
      </w:r>
      <w:r w:rsidRPr="008E60B5">
        <w:rPr>
          <w:lang w:val="fr-FR"/>
        </w:rPr>
        <w:t>Organe opérationnel seront accomplies par l</w:t>
      </w:r>
      <w:r w:rsidR="008E60B5" w:rsidRPr="008E60B5">
        <w:rPr>
          <w:lang w:val="fr-FR"/>
        </w:rPr>
        <w:t>’</w:t>
      </w:r>
      <w:r w:rsidRPr="008E60B5">
        <w:rPr>
          <w:lang w:val="fr-FR"/>
        </w:rPr>
        <w:t>Organisme de coordination pour l</w:t>
      </w:r>
      <w:r w:rsidR="008E60B5" w:rsidRPr="008E60B5">
        <w:rPr>
          <w:lang w:val="fr-FR"/>
        </w:rPr>
        <w:t>’</w:t>
      </w:r>
      <w:r w:rsidRPr="008E60B5">
        <w:rPr>
          <w:lang w:val="fr-FR"/>
        </w:rPr>
        <w:t xml:space="preserve">égalité des sexes. </w:t>
      </w:r>
    </w:p>
    <w:p w14:paraId="611567A8" w14:textId="77777777" w:rsidR="008E60B5" w:rsidRPr="008E60B5" w:rsidRDefault="008E60B5" w:rsidP="008E60B5">
      <w:pPr>
        <w:pStyle w:val="SingleTxt"/>
        <w:spacing w:after="0" w:line="120" w:lineRule="exact"/>
        <w:rPr>
          <w:i/>
          <w:sz w:val="10"/>
          <w:lang w:val="fr-FR"/>
        </w:rPr>
      </w:pPr>
    </w:p>
    <w:p w14:paraId="462F2BB3" w14:textId="3D96E67F" w:rsidR="00455496" w:rsidRPr="008E60B5" w:rsidRDefault="00455496" w:rsidP="008E60B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Recommandation formulée au paragraphe</w:t>
      </w:r>
      <w:r w:rsidRPr="008E60B5" w:rsidDel="00E935A8">
        <w:rPr>
          <w:lang w:val="fr-FR"/>
        </w:rPr>
        <w:t xml:space="preserve"> </w:t>
      </w:r>
      <w:r w:rsidRPr="008E60B5">
        <w:rPr>
          <w:lang w:val="fr-FR"/>
        </w:rPr>
        <w:t xml:space="preserve">42 </w:t>
      </w:r>
    </w:p>
    <w:p w14:paraId="0D3689DA" w14:textId="0053204E" w:rsidR="008E60B5" w:rsidRPr="008E60B5" w:rsidRDefault="008E60B5" w:rsidP="008E60B5">
      <w:pPr>
        <w:pStyle w:val="SingleTxt"/>
        <w:keepNext/>
        <w:spacing w:after="0" w:line="120" w:lineRule="exact"/>
        <w:rPr>
          <w:sz w:val="10"/>
          <w:lang w:val="fr-FR"/>
        </w:rPr>
      </w:pPr>
    </w:p>
    <w:p w14:paraId="1AAC4A85" w14:textId="77777777" w:rsidR="00455496" w:rsidRPr="008E60B5" w:rsidRDefault="00455496" w:rsidP="008E60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Publication et mise en œuvre des observations finales</w:t>
      </w:r>
    </w:p>
    <w:p w14:paraId="0F64EDD8" w14:textId="2E054334" w:rsidR="008E60B5" w:rsidRPr="008E60B5" w:rsidRDefault="008E60B5" w:rsidP="008E60B5">
      <w:pPr>
        <w:pStyle w:val="SingleTxt"/>
        <w:spacing w:after="0" w:line="120" w:lineRule="exact"/>
        <w:rPr>
          <w:sz w:val="10"/>
          <w:lang w:val="fr-FR"/>
        </w:rPr>
      </w:pPr>
    </w:p>
    <w:p w14:paraId="5EB397A6" w14:textId="325ED8D2" w:rsidR="00455496" w:rsidRPr="008E60B5" w:rsidRDefault="00455496" w:rsidP="008E60B5">
      <w:pPr>
        <w:pStyle w:val="SingleTxt"/>
        <w:numPr>
          <w:ilvl w:val="0"/>
          <w:numId w:val="39"/>
        </w:numPr>
        <w:spacing w:line="240" w:lineRule="exact"/>
        <w:rPr>
          <w:lang w:val="fr-FR"/>
        </w:rPr>
      </w:pPr>
      <w:r w:rsidRPr="008E60B5">
        <w:rPr>
          <w:lang w:val="fr-FR"/>
        </w:rPr>
        <w:t>Le Bureau des droits de l</w:t>
      </w:r>
      <w:r w:rsidR="008E60B5" w:rsidRPr="008E60B5">
        <w:rPr>
          <w:lang w:val="fr-FR"/>
        </w:rPr>
        <w:t>’</w:t>
      </w:r>
      <w:r w:rsidRPr="008E60B5">
        <w:rPr>
          <w:lang w:val="fr-FR"/>
        </w:rPr>
        <w:t>homme et des minorités a fait traduire en serbe les observations finales du Comité pour l</w:t>
      </w:r>
      <w:r w:rsidR="008E60B5" w:rsidRPr="008E60B5">
        <w:rPr>
          <w:lang w:val="fr-FR"/>
        </w:rPr>
        <w:t>’</w:t>
      </w:r>
      <w:r w:rsidRPr="008E60B5">
        <w:rPr>
          <w:lang w:val="fr-FR"/>
        </w:rPr>
        <w:t>élimination de la discrimination à l</w:t>
      </w:r>
      <w:r w:rsidR="008E60B5" w:rsidRPr="008E60B5">
        <w:rPr>
          <w:lang w:val="fr-FR"/>
        </w:rPr>
        <w:t>’</w:t>
      </w:r>
      <w:r w:rsidRPr="008E60B5">
        <w:rPr>
          <w:lang w:val="fr-FR"/>
        </w:rPr>
        <w:t>égard des femmes et les a publiées sur son site Web</w:t>
      </w:r>
      <w:r w:rsidRPr="008E60B5">
        <w:rPr>
          <w:vertAlign w:val="superscript"/>
          <w:lang w:val="fr-FR"/>
        </w:rPr>
        <w:footnoteReference w:id="12"/>
      </w:r>
      <w:r w:rsidRPr="008E60B5">
        <w:rPr>
          <w:lang w:val="fr-FR"/>
        </w:rPr>
        <w:t>. En outre, agissant dans le cadre de ses compétences et à des fins d</w:t>
      </w:r>
      <w:r w:rsidR="008E60B5" w:rsidRPr="008E60B5">
        <w:rPr>
          <w:lang w:val="fr-FR"/>
        </w:rPr>
        <w:t>’</w:t>
      </w:r>
      <w:r w:rsidRPr="008E60B5">
        <w:rPr>
          <w:lang w:val="fr-FR"/>
        </w:rPr>
        <w:t>information, il a adressé des recommandations à toutes les autorités publiques nationales et provinciales compétentes, ainsi qu</w:t>
      </w:r>
      <w:r w:rsidR="008E60B5" w:rsidRPr="008E60B5">
        <w:rPr>
          <w:lang w:val="fr-FR"/>
        </w:rPr>
        <w:t>’</w:t>
      </w:r>
      <w:r w:rsidRPr="008E60B5">
        <w:rPr>
          <w:lang w:val="fr-FR"/>
        </w:rPr>
        <w:t>aux organismes indépendants chargés de la protection des droits de l</w:t>
      </w:r>
      <w:r w:rsidR="008E60B5" w:rsidRPr="008E60B5">
        <w:rPr>
          <w:lang w:val="fr-FR"/>
        </w:rPr>
        <w:t>’</w:t>
      </w:r>
      <w:r w:rsidRPr="008E60B5">
        <w:rPr>
          <w:lang w:val="fr-FR"/>
        </w:rPr>
        <w:t>homme. Il a particulièrement souligné qu</w:t>
      </w:r>
      <w:r w:rsidR="008E60B5" w:rsidRPr="008E60B5">
        <w:rPr>
          <w:lang w:val="fr-FR"/>
        </w:rPr>
        <w:t>’</w:t>
      </w:r>
      <w:r w:rsidRPr="008E60B5">
        <w:rPr>
          <w:lang w:val="fr-FR"/>
        </w:rPr>
        <w:t>il importait d</w:t>
      </w:r>
      <w:r w:rsidR="008E60B5" w:rsidRPr="008E60B5">
        <w:rPr>
          <w:lang w:val="fr-FR"/>
        </w:rPr>
        <w:t>’</w:t>
      </w:r>
      <w:r w:rsidRPr="008E60B5">
        <w:rPr>
          <w:lang w:val="fr-FR"/>
        </w:rPr>
        <w:t>en assurer une large diffusion.</w:t>
      </w:r>
    </w:p>
    <w:p w14:paraId="2ACD9226" w14:textId="7A793D8B" w:rsidR="00455496" w:rsidRPr="008E60B5" w:rsidRDefault="00455496" w:rsidP="008E60B5">
      <w:pPr>
        <w:pStyle w:val="SingleTxt"/>
        <w:numPr>
          <w:ilvl w:val="0"/>
          <w:numId w:val="39"/>
        </w:numPr>
        <w:spacing w:line="240" w:lineRule="exact"/>
        <w:rPr>
          <w:lang w:val="fr-FR"/>
        </w:rPr>
      </w:pPr>
      <w:r w:rsidRPr="008E60B5">
        <w:rPr>
          <w:lang w:val="fr-FR"/>
        </w:rPr>
        <w:t>Les recommandations faites dans les observations finales ont été pleinement intégrées dans la Stratégie nationale pour la promotion de l</w:t>
      </w:r>
      <w:r w:rsidR="008E60B5" w:rsidRPr="008E60B5">
        <w:rPr>
          <w:lang w:val="fr-FR"/>
        </w:rPr>
        <w:t>’</w:t>
      </w:r>
      <w:r w:rsidRPr="008E60B5">
        <w:rPr>
          <w:lang w:val="fr-FR"/>
        </w:rPr>
        <w:t>égalité des sexes pour la période 2016-2020 et dans le projet de loi sur l</w:t>
      </w:r>
      <w:r w:rsidR="008E60B5" w:rsidRPr="008E60B5">
        <w:rPr>
          <w:lang w:val="fr-FR"/>
        </w:rPr>
        <w:t>’</w:t>
      </w:r>
      <w:r w:rsidRPr="008E60B5">
        <w:rPr>
          <w:lang w:val="fr-FR"/>
        </w:rPr>
        <w:t>égalité des sexes.</w:t>
      </w:r>
    </w:p>
    <w:p w14:paraId="2B6C834A" w14:textId="4FB754AC" w:rsidR="00455496" w:rsidRPr="008E60B5" w:rsidRDefault="00455496" w:rsidP="008E60B5">
      <w:pPr>
        <w:pStyle w:val="SingleTxt"/>
        <w:numPr>
          <w:ilvl w:val="0"/>
          <w:numId w:val="39"/>
        </w:numPr>
        <w:spacing w:line="240" w:lineRule="exact"/>
        <w:rPr>
          <w:lang w:val="fr-FR"/>
        </w:rPr>
      </w:pPr>
      <w:r w:rsidRPr="008E60B5">
        <w:rPr>
          <w:lang w:val="fr-FR"/>
        </w:rPr>
        <w:t>Le Conseil chargé de suivre la mise en œuvre des recommandations formulées dans le cadre des mécanismes des Nations Unies relatifs aux droits de l</w:t>
      </w:r>
      <w:r w:rsidR="008E60B5" w:rsidRPr="008E60B5">
        <w:rPr>
          <w:lang w:val="fr-FR"/>
        </w:rPr>
        <w:t>’</w:t>
      </w:r>
      <w:r w:rsidRPr="008E60B5">
        <w:rPr>
          <w:lang w:val="fr-FR"/>
        </w:rPr>
        <w:t>homme a adopté un plan de mise en œuvre desdites recommandations, qui contient des données sur les organes d</w:t>
      </w:r>
      <w:r w:rsidR="008E60B5" w:rsidRPr="008E60B5">
        <w:rPr>
          <w:lang w:val="fr-FR"/>
        </w:rPr>
        <w:t>’</w:t>
      </w:r>
      <w:r w:rsidRPr="008E60B5">
        <w:rPr>
          <w:lang w:val="fr-FR"/>
        </w:rPr>
        <w:t>exécution compétents ainsi que sur l</w:t>
      </w:r>
      <w:r w:rsidR="008E60B5" w:rsidRPr="008E60B5">
        <w:rPr>
          <w:lang w:val="fr-FR"/>
        </w:rPr>
        <w:t>’</w:t>
      </w:r>
      <w:r w:rsidRPr="008E60B5">
        <w:rPr>
          <w:lang w:val="fr-FR"/>
        </w:rPr>
        <w:t>état d</w:t>
      </w:r>
      <w:r w:rsidR="008E60B5" w:rsidRPr="008E60B5">
        <w:rPr>
          <w:lang w:val="fr-FR"/>
        </w:rPr>
        <w:t>’</w:t>
      </w:r>
      <w:r w:rsidRPr="008E60B5">
        <w:rPr>
          <w:lang w:val="fr-FR"/>
        </w:rPr>
        <w:t>avancement et le calendrier d</w:t>
      </w:r>
      <w:r w:rsidR="008E60B5" w:rsidRPr="008E60B5">
        <w:rPr>
          <w:lang w:val="fr-FR"/>
        </w:rPr>
        <w:t>’</w:t>
      </w:r>
      <w:r w:rsidRPr="008E60B5">
        <w:rPr>
          <w:lang w:val="fr-FR"/>
        </w:rPr>
        <w:t>application de chaque recommandation. Ce plan permettra d</w:t>
      </w:r>
      <w:r w:rsidR="008E60B5" w:rsidRPr="008E60B5">
        <w:rPr>
          <w:lang w:val="fr-FR"/>
        </w:rPr>
        <w:t>’</w:t>
      </w:r>
      <w:r w:rsidRPr="008E60B5">
        <w:rPr>
          <w:lang w:val="fr-FR"/>
        </w:rPr>
        <w:t>améliorer tant le suivi que la mise en œuvre de l</w:t>
      </w:r>
      <w:r w:rsidR="008E60B5" w:rsidRPr="008E60B5">
        <w:rPr>
          <w:lang w:val="fr-FR"/>
        </w:rPr>
        <w:t>’</w:t>
      </w:r>
      <w:r w:rsidRPr="008E60B5">
        <w:rPr>
          <w:lang w:val="fr-FR"/>
        </w:rPr>
        <w:t>ensemble des recommandations faites à la Serbie par les mécanismes des Nations Unies relatifs aux droits de l</w:t>
      </w:r>
      <w:r w:rsidR="008E60B5" w:rsidRPr="008E60B5">
        <w:rPr>
          <w:lang w:val="fr-FR"/>
        </w:rPr>
        <w:t>’</w:t>
      </w:r>
      <w:r w:rsidRPr="008E60B5">
        <w:rPr>
          <w:lang w:val="fr-FR"/>
        </w:rPr>
        <w:t>homme.</w:t>
      </w:r>
    </w:p>
    <w:p w14:paraId="7CF56C4B" w14:textId="41FCADE7" w:rsidR="00455496" w:rsidRPr="008E60B5" w:rsidRDefault="00455496" w:rsidP="008E60B5">
      <w:pPr>
        <w:pStyle w:val="SingleTxt"/>
        <w:numPr>
          <w:ilvl w:val="0"/>
          <w:numId w:val="39"/>
        </w:numPr>
        <w:spacing w:line="240" w:lineRule="exact"/>
        <w:rPr>
          <w:lang w:val="fr-FR"/>
        </w:rPr>
      </w:pPr>
      <w:r w:rsidRPr="008E60B5">
        <w:rPr>
          <w:lang w:val="fr-FR"/>
        </w:rPr>
        <w:t>En octobre 2015, le Bureau des droits de l</w:t>
      </w:r>
      <w:r w:rsidR="008E60B5" w:rsidRPr="008E60B5">
        <w:rPr>
          <w:lang w:val="fr-FR"/>
        </w:rPr>
        <w:t>’</w:t>
      </w:r>
      <w:r w:rsidRPr="008E60B5">
        <w:rPr>
          <w:lang w:val="fr-FR"/>
        </w:rPr>
        <w:t>homme et des minorités, qui fournit une assistance spécialisée et technique au Conseil, a organisé avec l</w:t>
      </w:r>
      <w:r w:rsidR="008E60B5" w:rsidRPr="008E60B5">
        <w:rPr>
          <w:lang w:val="fr-FR"/>
        </w:rPr>
        <w:t>’</w:t>
      </w:r>
      <w:r w:rsidRPr="008E60B5">
        <w:rPr>
          <w:lang w:val="fr-FR"/>
        </w:rPr>
        <w:t>appui de la Mission de l</w:t>
      </w:r>
      <w:r w:rsidR="008E60B5" w:rsidRPr="008E60B5">
        <w:rPr>
          <w:lang w:val="fr-FR"/>
        </w:rPr>
        <w:t>’</w:t>
      </w:r>
      <w:r w:rsidRPr="008E60B5">
        <w:rPr>
          <w:lang w:val="fr-FR"/>
        </w:rPr>
        <w:t>OSCE en Serbie un atelier de trois jours sur le Conseil, ainsi que sur les perspectives et les difficultés de celui-ci. Des séances de formation de trois jours ont également été organisées en mai 2017 à l</w:t>
      </w:r>
      <w:r w:rsidR="008E60B5" w:rsidRPr="008E60B5">
        <w:rPr>
          <w:lang w:val="fr-FR"/>
        </w:rPr>
        <w:t>’</w:t>
      </w:r>
      <w:r w:rsidRPr="008E60B5">
        <w:rPr>
          <w:lang w:val="fr-FR"/>
        </w:rPr>
        <w:t>intention des interlocuteurs des départements responsables du suivi de la mise en œuvre des recommandations et de leurs adjoints.</w:t>
      </w:r>
    </w:p>
    <w:p w14:paraId="55591788" w14:textId="77777777" w:rsidR="008E60B5" w:rsidRPr="008E60B5" w:rsidRDefault="008E60B5" w:rsidP="008E60B5">
      <w:pPr>
        <w:pStyle w:val="SingleTxt"/>
        <w:spacing w:after="0" w:line="120" w:lineRule="exact"/>
        <w:rPr>
          <w:i/>
          <w:sz w:val="10"/>
          <w:lang w:val="fr-FR"/>
        </w:rPr>
      </w:pPr>
    </w:p>
    <w:p w14:paraId="6E488536" w14:textId="7C654D72" w:rsidR="00455496" w:rsidRPr="008E60B5" w:rsidRDefault="00455496" w:rsidP="008E60B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lastRenderedPageBreak/>
        <w:tab/>
      </w:r>
      <w:r w:rsidRPr="008E60B5">
        <w:rPr>
          <w:lang w:val="fr-FR"/>
        </w:rPr>
        <w:tab/>
        <w:t>Recommandation formulée au paragraphe</w:t>
      </w:r>
      <w:r w:rsidRPr="008E60B5" w:rsidDel="00E935A8">
        <w:rPr>
          <w:lang w:val="fr-FR"/>
        </w:rPr>
        <w:t xml:space="preserve"> </w:t>
      </w:r>
      <w:r w:rsidRPr="008E60B5">
        <w:rPr>
          <w:lang w:val="fr-FR"/>
        </w:rPr>
        <w:t xml:space="preserve">43 </w:t>
      </w:r>
    </w:p>
    <w:p w14:paraId="55E8A5AE" w14:textId="5928E5EB" w:rsidR="008E60B5" w:rsidRPr="008E60B5" w:rsidRDefault="008E60B5" w:rsidP="008E60B5">
      <w:pPr>
        <w:pStyle w:val="SingleTxt"/>
        <w:spacing w:after="0" w:line="120" w:lineRule="exact"/>
        <w:rPr>
          <w:sz w:val="10"/>
          <w:lang w:val="fr-FR"/>
        </w:rPr>
      </w:pPr>
    </w:p>
    <w:p w14:paraId="6F2B4E24" w14:textId="755A1235" w:rsidR="00455496" w:rsidRPr="008E60B5" w:rsidRDefault="00455496" w:rsidP="008E60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60B5">
        <w:rPr>
          <w:lang w:val="fr-FR"/>
        </w:rPr>
        <w:tab/>
      </w:r>
      <w:r w:rsidRPr="008E60B5">
        <w:rPr>
          <w:lang w:val="fr-FR"/>
        </w:rPr>
        <w:tab/>
        <w:t>Ratification d</w:t>
      </w:r>
      <w:r w:rsidR="008E60B5" w:rsidRPr="008E60B5">
        <w:rPr>
          <w:lang w:val="fr-FR"/>
        </w:rPr>
        <w:t>’</w:t>
      </w:r>
      <w:r w:rsidRPr="008E60B5">
        <w:rPr>
          <w:lang w:val="fr-FR"/>
        </w:rPr>
        <w:t>autres instruments</w:t>
      </w:r>
    </w:p>
    <w:p w14:paraId="2A6EEC9A" w14:textId="7C779F24" w:rsidR="008E60B5" w:rsidRPr="008E60B5" w:rsidRDefault="008E60B5" w:rsidP="008E60B5">
      <w:pPr>
        <w:pStyle w:val="SingleTxt"/>
        <w:spacing w:after="0" w:line="120" w:lineRule="exact"/>
        <w:rPr>
          <w:sz w:val="10"/>
          <w:lang w:val="fr-FR"/>
        </w:rPr>
      </w:pPr>
    </w:p>
    <w:p w14:paraId="0CAF83DB" w14:textId="39330DD1" w:rsidR="00455496" w:rsidRPr="008E60B5" w:rsidRDefault="00455496" w:rsidP="008E60B5">
      <w:pPr>
        <w:pStyle w:val="SingleTxt"/>
        <w:numPr>
          <w:ilvl w:val="0"/>
          <w:numId w:val="39"/>
        </w:numPr>
        <w:spacing w:line="240" w:lineRule="exact"/>
        <w:rPr>
          <w:lang w:val="fr-FR"/>
        </w:rPr>
      </w:pPr>
      <w:r w:rsidRPr="008E60B5">
        <w:rPr>
          <w:lang w:val="fr-FR"/>
        </w:rPr>
        <w:t>La Serbie n</w:t>
      </w:r>
      <w:r w:rsidR="008E60B5" w:rsidRPr="008E60B5">
        <w:rPr>
          <w:lang w:val="fr-FR"/>
        </w:rPr>
        <w:t>’</w:t>
      </w:r>
      <w:r w:rsidRPr="008E60B5">
        <w:rPr>
          <w:lang w:val="fr-FR"/>
        </w:rPr>
        <w:t>a pas ratifié la Convention internationale sur la protection des droits de tous les travailleurs migrants et des membres de leur famille, dont l</w:t>
      </w:r>
      <w:r w:rsidR="008E60B5" w:rsidRPr="008E60B5">
        <w:rPr>
          <w:lang w:val="fr-FR"/>
        </w:rPr>
        <w:t>’</w:t>
      </w:r>
      <w:r w:rsidRPr="008E60B5">
        <w:rPr>
          <w:lang w:val="fr-FR"/>
        </w:rPr>
        <w:t>application</w:t>
      </w:r>
      <w:r w:rsidR="008E60B5" w:rsidRPr="008E60B5">
        <w:rPr>
          <w:lang w:val="fr-FR"/>
        </w:rPr>
        <w:t xml:space="preserve"> </w:t>
      </w:r>
      <w:r w:rsidRPr="008E60B5">
        <w:rPr>
          <w:lang w:val="fr-FR"/>
        </w:rPr>
        <w:t>lui imposerait des obligations financières trop élevées, qu</w:t>
      </w:r>
      <w:r w:rsidR="008E60B5" w:rsidRPr="008E60B5">
        <w:rPr>
          <w:lang w:val="fr-FR"/>
        </w:rPr>
        <w:t>’</w:t>
      </w:r>
      <w:r w:rsidRPr="008E60B5">
        <w:rPr>
          <w:lang w:val="fr-FR"/>
        </w:rPr>
        <w:t>elle ne pourrait pas assumer eu égard au niveau actuel de son produit intérieur brut et de son revenu national par habitant.</w:t>
      </w:r>
    </w:p>
    <w:p w14:paraId="497F17BC" w14:textId="3FB8A35F" w:rsidR="008E60B5" w:rsidRPr="008E60B5" w:rsidRDefault="008E60B5" w:rsidP="008E60B5">
      <w:pPr>
        <w:pStyle w:val="SingleTxt"/>
        <w:spacing w:after="0" w:line="240" w:lineRule="auto"/>
        <w:rPr>
          <w:lang w:val="fr-FR"/>
        </w:rPr>
      </w:pPr>
      <w:r w:rsidRPr="008E60B5">
        <w:rPr>
          <w:noProof/>
          <w:w w:val="100"/>
          <w:lang w:val="fr-FR" w:eastAsia="zh-CN"/>
        </w:rPr>
        <mc:AlternateContent>
          <mc:Choice Requires="wps">
            <w:drawing>
              <wp:anchor distT="0" distB="0" distL="114300" distR="114300" simplePos="0" relativeHeight="251659264" behindDoc="0" locked="0" layoutInCell="1" allowOverlap="1" wp14:anchorId="296056F1" wp14:editId="5E1AAC32">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DCB198"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8E60B5" w:rsidRPr="008E60B5" w:rsidSect="00CA0011">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7-12-18T12:43:00Z" w:initials="Start">
    <w:p w14:paraId="5D222C8B" w14:textId="77777777" w:rsidR="00A4196F" w:rsidRPr="00CA0011" w:rsidRDefault="00A4196F">
      <w:pPr>
        <w:pStyle w:val="CommentText"/>
        <w:rPr>
          <w:lang w:val="en-US"/>
        </w:rPr>
      </w:pPr>
      <w:r>
        <w:fldChar w:fldCharType="begin"/>
      </w:r>
      <w:r w:rsidRPr="00CA0011">
        <w:rPr>
          <w:rStyle w:val="CommentReference"/>
          <w:lang w:val="en-US"/>
        </w:rPr>
        <w:instrText xml:space="preserve"> </w:instrText>
      </w:r>
      <w:r w:rsidRPr="00CA0011">
        <w:rPr>
          <w:lang w:val="en-US"/>
        </w:rPr>
        <w:instrText>PAGE \# "'Page: '#'</w:instrText>
      </w:r>
      <w:r w:rsidRPr="00CA0011">
        <w:rPr>
          <w:lang w:val="en-US"/>
        </w:rPr>
        <w:br/>
        <w:instrText>'"</w:instrText>
      </w:r>
      <w:r w:rsidRPr="00CA0011">
        <w:rPr>
          <w:rStyle w:val="CommentReference"/>
          <w:lang w:val="en-US"/>
        </w:rPr>
        <w:instrText xml:space="preserve"> </w:instrText>
      </w:r>
      <w:r>
        <w:fldChar w:fldCharType="end"/>
      </w:r>
      <w:r>
        <w:rPr>
          <w:rStyle w:val="CommentReference"/>
        </w:rPr>
        <w:annotationRef/>
      </w:r>
      <w:r w:rsidRPr="00CA0011">
        <w:rPr>
          <w:lang w:val="en-US"/>
        </w:rPr>
        <w:t>&lt;&lt;ODS JOB NO&gt;&gt;N1736095F&lt;&lt;ODS JOB NO&gt;&gt;</w:t>
      </w:r>
    </w:p>
    <w:p w14:paraId="0313BE7F" w14:textId="77777777" w:rsidR="00A4196F" w:rsidRDefault="00A4196F">
      <w:pPr>
        <w:pStyle w:val="CommentText"/>
      </w:pPr>
      <w:r>
        <w:t>&lt;&lt;ODS DOC SYMBOL1&gt;&gt;CEDAW/C/SRB/4&lt;&lt;ODS DOC SYMBOL1&gt;&gt;</w:t>
      </w:r>
    </w:p>
    <w:p w14:paraId="277FB421" w14:textId="77777777" w:rsidR="00A4196F" w:rsidRDefault="00A4196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7FB42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8AB0E" w14:textId="77777777" w:rsidR="00A4196F" w:rsidRDefault="00A4196F" w:rsidP="00101B18">
      <w:pPr>
        <w:spacing w:line="240" w:lineRule="auto"/>
      </w:pPr>
      <w:r>
        <w:separator/>
      </w:r>
    </w:p>
  </w:endnote>
  <w:endnote w:type="continuationSeparator" w:id="0">
    <w:p w14:paraId="5BE5DC0C" w14:textId="77777777" w:rsidR="00A4196F" w:rsidRDefault="00A4196F"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A4196F" w14:paraId="54A4BF8E" w14:textId="77777777" w:rsidTr="0047282C">
      <w:tc>
        <w:tcPr>
          <w:tcW w:w="4920" w:type="dxa"/>
          <w:shd w:val="clear" w:color="auto" w:fill="auto"/>
        </w:tcPr>
        <w:p w14:paraId="3129D468" w14:textId="7CCAA8D4" w:rsidR="00A4196F" w:rsidRPr="0047282C" w:rsidRDefault="00A4196F" w:rsidP="0047282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62AA4">
            <w:rPr>
              <w:b w:val="0"/>
              <w:w w:val="103"/>
              <w:sz w:val="14"/>
            </w:rPr>
            <w:t>17-19397</w:t>
          </w:r>
          <w:r>
            <w:rPr>
              <w:b w:val="0"/>
              <w:w w:val="103"/>
              <w:sz w:val="14"/>
            </w:rPr>
            <w:fldChar w:fldCharType="end"/>
          </w:r>
        </w:p>
      </w:tc>
      <w:tc>
        <w:tcPr>
          <w:tcW w:w="4920" w:type="dxa"/>
          <w:shd w:val="clear" w:color="auto" w:fill="auto"/>
        </w:tcPr>
        <w:p w14:paraId="2CC675DF" w14:textId="4CD877C1" w:rsidR="00A4196F" w:rsidRPr="0047282C" w:rsidRDefault="00A4196F" w:rsidP="0047282C">
          <w:pPr>
            <w:pStyle w:val="Footer"/>
            <w:rPr>
              <w:w w:val="103"/>
            </w:rPr>
          </w:pPr>
          <w:r>
            <w:rPr>
              <w:w w:val="103"/>
            </w:rPr>
            <w:fldChar w:fldCharType="begin"/>
          </w:r>
          <w:r>
            <w:rPr>
              <w:w w:val="103"/>
            </w:rPr>
            <w:instrText xml:space="preserve"> PAGE  \* Arabic  \* MERGEFORMAT </w:instrText>
          </w:r>
          <w:r>
            <w:rPr>
              <w:w w:val="103"/>
            </w:rPr>
            <w:fldChar w:fldCharType="separate"/>
          </w:r>
          <w:r w:rsidR="004D7ADD">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D7ADD">
            <w:rPr>
              <w:noProof/>
              <w:w w:val="103"/>
            </w:rPr>
            <w:t>46</w:t>
          </w:r>
          <w:r>
            <w:rPr>
              <w:w w:val="103"/>
            </w:rPr>
            <w:fldChar w:fldCharType="end"/>
          </w:r>
        </w:p>
      </w:tc>
    </w:tr>
  </w:tbl>
  <w:p w14:paraId="4F5598BB" w14:textId="77777777" w:rsidR="00A4196F" w:rsidRPr="0047282C" w:rsidRDefault="00A4196F" w:rsidP="00472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A4196F" w14:paraId="4DD143C2" w14:textId="77777777" w:rsidTr="0047282C">
      <w:tc>
        <w:tcPr>
          <w:tcW w:w="4920" w:type="dxa"/>
          <w:shd w:val="clear" w:color="auto" w:fill="auto"/>
        </w:tcPr>
        <w:p w14:paraId="6D9B17D3" w14:textId="7CD2E561" w:rsidR="00A4196F" w:rsidRPr="0047282C" w:rsidRDefault="00A4196F" w:rsidP="0047282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D7ADD">
            <w:rPr>
              <w:noProof/>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D7ADD">
            <w:rPr>
              <w:noProof/>
              <w:w w:val="103"/>
            </w:rPr>
            <w:t>46</w:t>
          </w:r>
          <w:r>
            <w:rPr>
              <w:w w:val="103"/>
            </w:rPr>
            <w:fldChar w:fldCharType="end"/>
          </w:r>
        </w:p>
      </w:tc>
      <w:tc>
        <w:tcPr>
          <w:tcW w:w="4920" w:type="dxa"/>
          <w:shd w:val="clear" w:color="auto" w:fill="auto"/>
        </w:tcPr>
        <w:p w14:paraId="71EDE0AD" w14:textId="18D3A657" w:rsidR="00A4196F" w:rsidRPr="0047282C" w:rsidRDefault="00A4196F" w:rsidP="0047282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62AA4">
            <w:rPr>
              <w:b w:val="0"/>
              <w:w w:val="103"/>
              <w:sz w:val="14"/>
            </w:rPr>
            <w:t>17-19397</w:t>
          </w:r>
          <w:r>
            <w:rPr>
              <w:b w:val="0"/>
              <w:w w:val="103"/>
              <w:sz w:val="14"/>
            </w:rPr>
            <w:fldChar w:fldCharType="end"/>
          </w:r>
        </w:p>
      </w:tc>
    </w:tr>
  </w:tbl>
  <w:p w14:paraId="70214D81" w14:textId="77777777" w:rsidR="00A4196F" w:rsidRPr="0047282C" w:rsidRDefault="00A4196F" w:rsidP="004728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3F627" w14:textId="77777777" w:rsidR="00A4196F" w:rsidRDefault="00A4196F">
    <w:pPr>
      <w:pStyle w:val="Footer"/>
    </w:pPr>
    <w:r>
      <w:rPr>
        <w:noProof/>
        <w:lang w:val="fr-FR" w:eastAsia="zh-CN"/>
      </w:rPr>
      <w:drawing>
        <wp:anchor distT="0" distB="0" distL="114300" distR="114300" simplePos="0" relativeHeight="251658240" behindDoc="0" locked="0" layoutInCell="1" allowOverlap="1" wp14:anchorId="5E0BF92F" wp14:editId="0C63695A">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SRB/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RB/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A4196F" w14:paraId="49D7F65E" w14:textId="77777777" w:rsidTr="0047282C">
      <w:tc>
        <w:tcPr>
          <w:tcW w:w="3758" w:type="dxa"/>
        </w:tcPr>
        <w:p w14:paraId="18A70E10" w14:textId="626BF12F" w:rsidR="00A4196F" w:rsidRDefault="00A4196F" w:rsidP="0047282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62AA4">
            <w:rPr>
              <w:b w:val="0"/>
              <w:sz w:val="20"/>
            </w:rPr>
            <w:t>17-19397 (F)</w:t>
          </w:r>
          <w:r>
            <w:rPr>
              <w:b w:val="0"/>
              <w:sz w:val="20"/>
            </w:rPr>
            <w:fldChar w:fldCharType="end"/>
          </w:r>
          <w:r>
            <w:rPr>
              <w:b w:val="0"/>
              <w:sz w:val="20"/>
            </w:rPr>
            <w:t xml:space="preserve">    301117    201217</w:t>
          </w:r>
        </w:p>
        <w:p w14:paraId="5BD331C2" w14:textId="2CD7C535" w:rsidR="00A4196F" w:rsidRPr="0047282C" w:rsidRDefault="00A4196F" w:rsidP="0047282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62AA4">
            <w:rPr>
              <w:rFonts w:ascii="Barcode 3 of 9 by request" w:hAnsi="Barcode 3 of 9 by request"/>
              <w:b w:val="0"/>
              <w:spacing w:val="0"/>
              <w:w w:val="100"/>
              <w:sz w:val="24"/>
            </w:rPr>
            <w:t>*1719397*</w:t>
          </w:r>
          <w:r>
            <w:rPr>
              <w:rFonts w:ascii="Barcode 3 of 9 by request" w:hAnsi="Barcode 3 of 9 by request"/>
              <w:b w:val="0"/>
              <w:spacing w:val="0"/>
              <w:w w:val="100"/>
              <w:sz w:val="24"/>
            </w:rPr>
            <w:fldChar w:fldCharType="end"/>
          </w:r>
        </w:p>
      </w:tc>
      <w:tc>
        <w:tcPr>
          <w:tcW w:w="4920" w:type="dxa"/>
        </w:tcPr>
        <w:p w14:paraId="5028D749" w14:textId="77777777" w:rsidR="00A4196F" w:rsidRDefault="00A4196F" w:rsidP="0047282C">
          <w:pPr>
            <w:pStyle w:val="Footer"/>
            <w:spacing w:line="240" w:lineRule="atLeast"/>
            <w:jc w:val="right"/>
            <w:rPr>
              <w:b w:val="0"/>
              <w:sz w:val="20"/>
            </w:rPr>
          </w:pPr>
          <w:r>
            <w:rPr>
              <w:b w:val="0"/>
              <w:noProof/>
              <w:sz w:val="20"/>
              <w:lang w:val="fr-FR" w:eastAsia="zh-CN"/>
            </w:rPr>
            <w:drawing>
              <wp:inline distT="0" distB="0" distL="0" distR="0" wp14:anchorId="5CCD5D09" wp14:editId="4D771D1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7D134EBC" w14:textId="77777777" w:rsidR="00A4196F" w:rsidRPr="0047282C" w:rsidRDefault="00A4196F" w:rsidP="0047282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51CD4" w14:textId="3CD9A583" w:rsidR="00A4196F" w:rsidRPr="00002E6B" w:rsidRDefault="00A4196F" w:rsidP="00002E6B">
      <w:pPr>
        <w:pStyle w:val="Footer"/>
        <w:spacing w:after="80"/>
        <w:ind w:left="792"/>
        <w:rPr>
          <w:sz w:val="16"/>
        </w:rPr>
      </w:pPr>
      <w:r w:rsidRPr="00002E6B">
        <w:rPr>
          <w:sz w:val="16"/>
        </w:rPr>
        <w:t>__________________</w:t>
      </w:r>
    </w:p>
  </w:footnote>
  <w:footnote w:type="continuationSeparator" w:id="0">
    <w:p w14:paraId="160118E4" w14:textId="10B4787E" w:rsidR="00A4196F" w:rsidRPr="00002E6B" w:rsidRDefault="00A4196F" w:rsidP="00002E6B">
      <w:pPr>
        <w:pStyle w:val="Footer"/>
        <w:spacing w:after="80"/>
        <w:ind w:left="792"/>
        <w:rPr>
          <w:sz w:val="16"/>
        </w:rPr>
      </w:pPr>
      <w:r w:rsidRPr="00002E6B">
        <w:rPr>
          <w:sz w:val="16"/>
        </w:rPr>
        <w:t>__________________</w:t>
      </w:r>
    </w:p>
  </w:footnote>
  <w:footnote w:id="1">
    <w:p w14:paraId="69742FFE" w14:textId="28068F31" w:rsidR="00A4196F" w:rsidRDefault="00A4196F" w:rsidP="00224EA5">
      <w:pPr>
        <w:pStyle w:val="FootnoteText"/>
        <w:tabs>
          <w:tab w:val="right" w:pos="1195"/>
          <w:tab w:val="left" w:pos="1267"/>
          <w:tab w:val="left" w:pos="1742"/>
          <w:tab w:val="left" w:pos="2218"/>
          <w:tab w:val="left" w:pos="2693"/>
        </w:tabs>
        <w:ind w:left="1267" w:right="1267" w:hanging="432"/>
        <w:rPr>
          <w:lang w:val="fr-FR"/>
        </w:rPr>
      </w:pPr>
      <w:r w:rsidRPr="00224EA5">
        <w:rPr>
          <w:i/>
          <w:iCs/>
          <w:lang w:val="fr-FR"/>
        </w:rPr>
        <w:t>Note </w:t>
      </w:r>
      <w:r w:rsidRPr="00F90894">
        <w:rPr>
          <w:iCs/>
          <w:lang w:val="fr-FR"/>
        </w:rPr>
        <w:t>:</w:t>
      </w:r>
      <w:r w:rsidRPr="00F90894">
        <w:rPr>
          <w:lang w:val="fr-FR"/>
        </w:rPr>
        <w:t xml:space="preserve"> </w:t>
      </w:r>
      <w:r w:rsidRPr="00224EA5">
        <w:rPr>
          <w:lang w:val="fr-FR"/>
        </w:rPr>
        <w:t xml:space="preserve">le présent document est distribué en anglais, en espagnol et en </w:t>
      </w:r>
      <w:r>
        <w:rPr>
          <w:lang w:val="fr-FR"/>
        </w:rPr>
        <w:t>français seulement.</w:t>
      </w:r>
    </w:p>
    <w:p w14:paraId="1EB012BC" w14:textId="586A36C3" w:rsidR="00A4196F" w:rsidRPr="003C1C06" w:rsidRDefault="00A4196F" w:rsidP="003C1C06">
      <w:pPr>
        <w:pStyle w:val="FootnoteText"/>
        <w:tabs>
          <w:tab w:val="right" w:pos="1195"/>
          <w:tab w:val="left" w:pos="1267"/>
          <w:tab w:val="left" w:pos="1742"/>
          <w:tab w:val="left" w:pos="2218"/>
          <w:tab w:val="left" w:pos="2693"/>
        </w:tabs>
        <w:spacing w:line="120" w:lineRule="exact"/>
        <w:ind w:left="1267" w:right="1267" w:hanging="432"/>
        <w:rPr>
          <w:sz w:val="10"/>
          <w:lang w:val="fr-FR"/>
        </w:rPr>
      </w:pPr>
      <w:bookmarkStart w:id="1" w:name="_GoBack"/>
      <w:bookmarkEnd w:id="1"/>
    </w:p>
    <w:p w14:paraId="32EF8867" w14:textId="6CF78E1A" w:rsidR="00A4196F" w:rsidRPr="00224EA5" w:rsidRDefault="00A4196F" w:rsidP="00224EA5">
      <w:pPr>
        <w:pStyle w:val="FootnoteText"/>
        <w:tabs>
          <w:tab w:val="right" w:pos="1195"/>
          <w:tab w:val="left" w:pos="1267"/>
          <w:tab w:val="left" w:pos="1742"/>
          <w:tab w:val="left" w:pos="2218"/>
          <w:tab w:val="left" w:pos="2693"/>
        </w:tabs>
        <w:ind w:left="1267" w:right="1267" w:hanging="432"/>
        <w:rPr>
          <w:lang w:val="fr-FR"/>
        </w:rPr>
      </w:pPr>
      <w:r>
        <w:rPr>
          <w:lang w:val="fr-FR"/>
        </w:rPr>
        <w:tab/>
      </w:r>
      <w:r w:rsidRPr="00224EA5">
        <w:rPr>
          <w:lang w:val="fr-FR"/>
        </w:rPr>
        <w:t>*</w:t>
      </w:r>
      <w:r>
        <w:rPr>
          <w:lang w:val="fr-FR"/>
        </w:rPr>
        <w:tab/>
      </w:r>
      <w:r w:rsidRPr="00224EA5">
        <w:rPr>
          <w:lang w:val="fr-FR"/>
        </w:rPr>
        <w:t>La version originale du présent document n’a pas été revue par les services d’édition.</w:t>
      </w:r>
    </w:p>
  </w:footnote>
  <w:footnote w:id="2">
    <w:p w14:paraId="2A509B74" w14:textId="3B2AA6E9" w:rsidR="00A4196F" w:rsidRPr="00224EA5" w:rsidRDefault="00A4196F" w:rsidP="00224EA5">
      <w:pPr>
        <w:pStyle w:val="FootnoteText"/>
        <w:tabs>
          <w:tab w:val="right" w:pos="1195"/>
          <w:tab w:val="left" w:pos="1267"/>
          <w:tab w:val="left" w:pos="1742"/>
          <w:tab w:val="left" w:pos="2218"/>
          <w:tab w:val="left" w:pos="2693"/>
        </w:tabs>
        <w:ind w:left="1267" w:right="1267" w:hanging="432"/>
        <w:rPr>
          <w:lang w:val="fr-FR"/>
        </w:rPr>
      </w:pPr>
      <w:r w:rsidRPr="00224EA5">
        <w:rPr>
          <w:lang w:val="fr-FR"/>
        </w:rPr>
        <w:tab/>
      </w:r>
      <w:r w:rsidRPr="00224EA5">
        <w:rPr>
          <w:rStyle w:val="FootnoteReference"/>
          <w:spacing w:val="4"/>
          <w:lang w:val="fr-FR"/>
        </w:rPr>
        <w:footnoteRef/>
      </w:r>
      <w:r w:rsidRPr="00224EA5">
        <w:rPr>
          <w:lang w:val="fr-FR"/>
        </w:rPr>
        <w:tab/>
        <w:t>Les renseignements relatifs aux articles 1 et 9 de la Convention ainsi qu’aux dispositions interdisant la discrimination multiple figurent dans les deuxième et troisième rapports périodiques sur l’application de la Convention sur l’élimination de toutes les formes de discrimination à l’égard des femmes (</w:t>
      </w:r>
      <w:hyperlink r:id="rId1" w:history="1">
        <w:r w:rsidRPr="008E60B5">
          <w:rPr>
            <w:rStyle w:val="Hyperlink"/>
            <w:color w:val="0000FF"/>
            <w:u w:val="none"/>
            <w:lang w:val="fr-FR"/>
          </w:rPr>
          <w:t>CEDAW/C/SRB/2-3</w:t>
        </w:r>
      </w:hyperlink>
      <w:r w:rsidRPr="008E60B5">
        <w:rPr>
          <w:lang w:val="fr-FR"/>
        </w:rPr>
        <w:t>)</w:t>
      </w:r>
      <w:r w:rsidRPr="00224EA5">
        <w:rPr>
          <w:lang w:val="fr-FR"/>
        </w:rPr>
        <w:t>.</w:t>
      </w:r>
    </w:p>
  </w:footnote>
  <w:footnote w:id="3">
    <w:p w14:paraId="71688848" w14:textId="26D42637" w:rsidR="00A4196F" w:rsidRPr="00224EA5" w:rsidRDefault="00A4196F" w:rsidP="00224EA5">
      <w:pPr>
        <w:pStyle w:val="FootnoteText"/>
        <w:tabs>
          <w:tab w:val="right" w:pos="1195"/>
          <w:tab w:val="left" w:pos="1267"/>
          <w:tab w:val="left" w:pos="1742"/>
          <w:tab w:val="left" w:pos="2218"/>
          <w:tab w:val="left" w:pos="2693"/>
        </w:tabs>
        <w:ind w:left="1267" w:right="1267" w:hanging="432"/>
        <w:rPr>
          <w:lang w:val="fr-FR"/>
        </w:rPr>
      </w:pPr>
      <w:r w:rsidRPr="00224EA5">
        <w:rPr>
          <w:lang w:val="fr-FR"/>
        </w:rPr>
        <w:tab/>
      </w:r>
      <w:r w:rsidRPr="00224EA5">
        <w:rPr>
          <w:rStyle w:val="FootnoteReference"/>
          <w:spacing w:val="4"/>
          <w:lang w:val="fr-FR"/>
        </w:rPr>
        <w:footnoteRef/>
      </w:r>
      <w:r w:rsidRPr="00224EA5">
        <w:rPr>
          <w:lang w:val="fr-FR"/>
        </w:rPr>
        <w:tab/>
        <w:t>Initiative de l’Organisme de coordination pour l’égalité des sexes et du Ministère des finances, avec l’appui d’ONU-Femmes.</w:t>
      </w:r>
    </w:p>
  </w:footnote>
  <w:footnote w:id="4">
    <w:p w14:paraId="67BE979B" w14:textId="77777777" w:rsidR="00A4196F" w:rsidRPr="00224EA5" w:rsidRDefault="00A4196F" w:rsidP="00224EA5">
      <w:pPr>
        <w:pStyle w:val="FootnoteText"/>
        <w:tabs>
          <w:tab w:val="right" w:pos="1195"/>
          <w:tab w:val="left" w:pos="1267"/>
          <w:tab w:val="left" w:pos="1742"/>
          <w:tab w:val="left" w:pos="2218"/>
          <w:tab w:val="left" w:pos="2693"/>
        </w:tabs>
        <w:ind w:left="1267" w:right="1267" w:hanging="432"/>
      </w:pPr>
      <w:r w:rsidRPr="00224EA5">
        <w:rPr>
          <w:lang w:val="fr-FR"/>
        </w:rPr>
        <w:tab/>
      </w:r>
      <w:r w:rsidRPr="00224EA5">
        <w:rPr>
          <w:rStyle w:val="FootnoteReference"/>
          <w:spacing w:val="4"/>
          <w:sz w:val="20"/>
          <w:lang w:val="fr-FR"/>
        </w:rPr>
        <w:footnoteRef/>
      </w:r>
      <w:r w:rsidRPr="00224EA5">
        <w:rPr>
          <w:lang w:val="fr-FR"/>
        </w:rPr>
        <w:tab/>
        <w:t>Voir pièce jointe n</w:t>
      </w:r>
      <w:r w:rsidRPr="00224EA5">
        <w:rPr>
          <w:vertAlign w:val="superscript"/>
          <w:lang w:val="fr-FR"/>
        </w:rPr>
        <w:t>o</w:t>
      </w:r>
      <w:r w:rsidRPr="00224EA5">
        <w:rPr>
          <w:lang w:val="fr-FR"/>
        </w:rPr>
        <w:t> 1.</w:t>
      </w:r>
    </w:p>
  </w:footnote>
  <w:footnote w:id="5">
    <w:p w14:paraId="4356D7A1" w14:textId="77777777" w:rsidR="00A4196F" w:rsidRPr="00224EA5" w:rsidRDefault="00A4196F" w:rsidP="00224EA5">
      <w:pPr>
        <w:pStyle w:val="FootnoteText"/>
        <w:tabs>
          <w:tab w:val="right" w:pos="1195"/>
          <w:tab w:val="left" w:pos="1267"/>
          <w:tab w:val="left" w:pos="1742"/>
          <w:tab w:val="left" w:pos="2218"/>
          <w:tab w:val="left" w:pos="2693"/>
        </w:tabs>
        <w:ind w:left="1267" w:right="1267" w:hanging="432"/>
        <w:rPr>
          <w:lang w:val="fr-FR"/>
        </w:rPr>
      </w:pPr>
      <w:r w:rsidRPr="00224EA5">
        <w:rPr>
          <w:lang w:val="fr-FR"/>
        </w:rPr>
        <w:tab/>
      </w:r>
      <w:r w:rsidRPr="00224EA5">
        <w:rPr>
          <w:rStyle w:val="FootnoteReference"/>
          <w:spacing w:val="4"/>
          <w:lang w:val="fr-FR"/>
        </w:rPr>
        <w:footnoteRef/>
      </w:r>
      <w:r w:rsidRPr="00224EA5">
        <w:rPr>
          <w:lang w:val="fr-FR"/>
        </w:rPr>
        <w:tab/>
        <w:t>Des opérateurs sont disponibles du lundi au vendredi, de 7h30 à 15h30, au +381 0800200201 (appel gratuit).</w:t>
      </w:r>
    </w:p>
  </w:footnote>
  <w:footnote w:id="6">
    <w:p w14:paraId="759B1121" w14:textId="52A62ACF" w:rsidR="00A4196F" w:rsidRPr="00224EA5" w:rsidRDefault="00A4196F" w:rsidP="00224EA5">
      <w:pPr>
        <w:pStyle w:val="FootnoteText"/>
        <w:tabs>
          <w:tab w:val="right" w:pos="1195"/>
          <w:tab w:val="left" w:pos="1267"/>
          <w:tab w:val="left" w:pos="1742"/>
          <w:tab w:val="left" w:pos="2218"/>
          <w:tab w:val="left" w:pos="2693"/>
        </w:tabs>
        <w:ind w:left="1267" w:right="1267" w:hanging="432"/>
        <w:rPr>
          <w:lang w:val="fr-FR"/>
        </w:rPr>
      </w:pPr>
      <w:r w:rsidRPr="00224EA5">
        <w:rPr>
          <w:lang w:val="fr-FR"/>
        </w:rPr>
        <w:tab/>
      </w:r>
      <w:r w:rsidRPr="00224EA5">
        <w:rPr>
          <w:rStyle w:val="FootnoteReference"/>
          <w:spacing w:val="4"/>
          <w:lang w:val="fr-FR"/>
        </w:rPr>
        <w:footnoteRef/>
      </w:r>
      <w:r w:rsidRPr="00224EA5">
        <w:rPr>
          <w:lang w:val="fr-FR"/>
        </w:rPr>
        <w:tab/>
        <w:t xml:space="preserve">Le projet a été lancé en juillet 2016 et se poursuivra jusqu’en juillet 2018 pour </w:t>
      </w:r>
      <w:r>
        <w:rPr>
          <w:lang w:val="fr-FR"/>
        </w:rPr>
        <w:t xml:space="preserve">un </w:t>
      </w:r>
      <w:r w:rsidRPr="00224EA5">
        <w:rPr>
          <w:lang w:val="fr-FR"/>
        </w:rPr>
        <w:t>montant total de 940 000 dollars des États-Unis.</w:t>
      </w:r>
    </w:p>
  </w:footnote>
  <w:footnote w:id="7">
    <w:p w14:paraId="6C75FAE5" w14:textId="68811262" w:rsidR="00A4196F" w:rsidRPr="00224EA5" w:rsidRDefault="00A4196F" w:rsidP="00224EA5">
      <w:pPr>
        <w:pStyle w:val="FootnoteText"/>
        <w:tabs>
          <w:tab w:val="right" w:pos="1195"/>
          <w:tab w:val="left" w:pos="1267"/>
          <w:tab w:val="left" w:pos="1742"/>
          <w:tab w:val="left" w:pos="2218"/>
          <w:tab w:val="left" w:pos="2693"/>
        </w:tabs>
        <w:ind w:left="1267" w:right="1267" w:hanging="432"/>
        <w:rPr>
          <w:lang w:val="fr-FR"/>
        </w:rPr>
      </w:pPr>
      <w:r w:rsidRPr="00224EA5">
        <w:rPr>
          <w:lang w:val="fr-FR"/>
        </w:rPr>
        <w:tab/>
      </w:r>
      <w:r w:rsidRPr="00224EA5">
        <w:rPr>
          <w:rStyle w:val="FootnoteReference"/>
          <w:spacing w:val="4"/>
          <w:lang w:val="fr-FR"/>
        </w:rPr>
        <w:footnoteRef/>
      </w:r>
      <w:r w:rsidRPr="00224EA5">
        <w:rPr>
          <w:lang w:val="fr-FR"/>
        </w:rPr>
        <w:tab/>
        <w:t>http ://www.centarzztlj.rs/eng/index.php.</w:t>
      </w:r>
    </w:p>
  </w:footnote>
  <w:footnote w:id="8">
    <w:p w14:paraId="0F03EBDB" w14:textId="77777777" w:rsidR="00A4196F" w:rsidRPr="00224EA5" w:rsidRDefault="00A4196F" w:rsidP="00224EA5">
      <w:pPr>
        <w:pStyle w:val="FootnoteText"/>
        <w:tabs>
          <w:tab w:val="right" w:pos="1195"/>
          <w:tab w:val="left" w:pos="1267"/>
          <w:tab w:val="left" w:pos="1742"/>
          <w:tab w:val="left" w:pos="2218"/>
          <w:tab w:val="left" w:pos="2693"/>
        </w:tabs>
        <w:ind w:left="1267" w:right="1267" w:hanging="432"/>
        <w:rPr>
          <w:lang w:val="fr-FR"/>
        </w:rPr>
      </w:pPr>
      <w:r w:rsidRPr="00224EA5">
        <w:rPr>
          <w:lang w:val="fr-FR"/>
        </w:rPr>
        <w:tab/>
      </w:r>
      <w:r w:rsidRPr="00224EA5">
        <w:rPr>
          <w:rStyle w:val="FootnoteReference"/>
          <w:spacing w:val="4"/>
          <w:lang w:val="fr-FR"/>
        </w:rPr>
        <w:footnoteRef/>
      </w:r>
      <w:r w:rsidRPr="00224EA5">
        <w:rPr>
          <w:lang w:val="fr-FR"/>
        </w:rPr>
        <w:tab/>
        <w:t>Organisme de statistique du Kosovo, 2014.</w:t>
      </w:r>
    </w:p>
  </w:footnote>
  <w:footnote w:id="9">
    <w:p w14:paraId="247BEADB" w14:textId="506C63C4" w:rsidR="00A4196F" w:rsidRPr="00224EA5" w:rsidRDefault="00A4196F" w:rsidP="00224EA5">
      <w:pPr>
        <w:pStyle w:val="FootnoteText"/>
        <w:tabs>
          <w:tab w:val="right" w:pos="1195"/>
          <w:tab w:val="left" w:pos="1267"/>
          <w:tab w:val="left" w:pos="1742"/>
          <w:tab w:val="left" w:pos="2218"/>
          <w:tab w:val="left" w:pos="2693"/>
        </w:tabs>
        <w:ind w:left="1267" w:right="1267" w:hanging="432"/>
        <w:rPr>
          <w:lang w:val="fr-FR"/>
        </w:rPr>
      </w:pPr>
      <w:r w:rsidRPr="00224EA5">
        <w:rPr>
          <w:lang w:val="fr-FR"/>
        </w:rPr>
        <w:tab/>
      </w:r>
      <w:r w:rsidRPr="00224EA5">
        <w:rPr>
          <w:rStyle w:val="FootnoteReference"/>
          <w:spacing w:val="4"/>
          <w:lang w:val="fr-FR"/>
        </w:rPr>
        <w:footnoteRef/>
      </w:r>
      <w:r>
        <w:rPr>
          <w:lang w:val="fr-FR"/>
        </w:rPr>
        <w:tab/>
      </w:r>
      <w:r w:rsidRPr="003C1C06">
        <w:rPr>
          <w:lang w:val="fr-FR"/>
        </w:rPr>
        <w:t>Kosovo Human Development Report</w:t>
      </w:r>
      <w:r w:rsidRPr="00224EA5">
        <w:rPr>
          <w:lang w:val="fr-FR"/>
        </w:rPr>
        <w:t xml:space="preserve">, </w:t>
      </w:r>
      <w:r w:rsidRPr="00224EA5">
        <w:rPr>
          <w:iCs/>
          <w:lang w:val="fr-FR"/>
        </w:rPr>
        <w:t>Programme des Nations Unies pour le développement</w:t>
      </w:r>
      <w:r w:rsidRPr="00224EA5">
        <w:rPr>
          <w:lang w:val="fr-FR"/>
        </w:rPr>
        <w:t>, 2016.</w:t>
      </w:r>
    </w:p>
  </w:footnote>
  <w:footnote w:id="10">
    <w:p w14:paraId="40ED932C" w14:textId="0F800D9F" w:rsidR="00A4196F" w:rsidRPr="00224EA5" w:rsidRDefault="00A4196F" w:rsidP="00224EA5">
      <w:pPr>
        <w:pStyle w:val="FootnoteText"/>
        <w:tabs>
          <w:tab w:val="right" w:pos="1195"/>
          <w:tab w:val="left" w:pos="1267"/>
          <w:tab w:val="left" w:pos="1742"/>
          <w:tab w:val="left" w:pos="2218"/>
          <w:tab w:val="left" w:pos="2693"/>
        </w:tabs>
        <w:ind w:left="1267" w:right="1267" w:hanging="432"/>
        <w:rPr>
          <w:lang w:val="fr-FR"/>
        </w:rPr>
      </w:pPr>
      <w:r w:rsidRPr="00224EA5">
        <w:rPr>
          <w:lang w:val="fr-FR"/>
        </w:rPr>
        <w:tab/>
      </w:r>
      <w:r w:rsidRPr="00224EA5">
        <w:rPr>
          <w:rStyle w:val="FootnoteReference"/>
          <w:spacing w:val="4"/>
          <w:lang w:val="fr-FR"/>
        </w:rPr>
        <w:footnoteRef/>
      </w:r>
      <w:r w:rsidRPr="00224EA5">
        <w:rPr>
          <w:lang w:val="fr-FR"/>
        </w:rPr>
        <w:tab/>
        <w:t>Article 12 de la loi n° 20</w:t>
      </w:r>
      <w:r w:rsidRPr="00455496">
        <w:rPr>
          <w:lang w:val="fr-FR"/>
        </w:rPr>
        <w:t>04/31</w:t>
      </w:r>
      <w:r w:rsidRPr="00224EA5">
        <w:rPr>
          <w:lang w:val="fr-FR"/>
        </w:rPr>
        <w:t xml:space="preserve"> sur les soins de santé au Kosovo.</w:t>
      </w:r>
    </w:p>
  </w:footnote>
  <w:footnote w:id="11">
    <w:p w14:paraId="7533E0FD" w14:textId="67D23E4A" w:rsidR="00A4196F" w:rsidRPr="003C1C06" w:rsidRDefault="00A4196F" w:rsidP="00224EA5">
      <w:pPr>
        <w:pStyle w:val="FootnoteText"/>
        <w:tabs>
          <w:tab w:val="right" w:pos="1195"/>
          <w:tab w:val="left" w:pos="1267"/>
          <w:tab w:val="left" w:pos="1742"/>
          <w:tab w:val="left" w:pos="2218"/>
          <w:tab w:val="left" w:pos="2693"/>
        </w:tabs>
        <w:ind w:left="1267" w:right="1267" w:hanging="432"/>
        <w:rPr>
          <w:lang w:val="en-US"/>
        </w:rPr>
      </w:pPr>
      <w:r w:rsidRPr="00224EA5">
        <w:rPr>
          <w:lang w:val="fr-FR"/>
        </w:rPr>
        <w:tab/>
      </w:r>
      <w:r w:rsidRPr="00224EA5">
        <w:rPr>
          <w:rStyle w:val="FootnoteReference"/>
          <w:spacing w:val="4"/>
          <w:lang w:val="fr-FR"/>
        </w:rPr>
        <w:footnoteRef/>
      </w:r>
      <w:r w:rsidRPr="00224EA5">
        <w:rPr>
          <w:lang w:val="fr-FR"/>
        </w:rPr>
        <w:tab/>
        <w:t xml:space="preserve">C’est aussi l’une des conclusions de l’étude du </w:t>
      </w:r>
      <w:r w:rsidRPr="00224EA5">
        <w:rPr>
          <w:iCs/>
          <w:lang w:val="fr-FR"/>
        </w:rPr>
        <w:t>Centre international pour le développement des politiques migratoires</w:t>
      </w:r>
      <w:r w:rsidRPr="00224EA5">
        <w:rPr>
          <w:i/>
          <w:iCs/>
          <w:lang w:val="fr-FR"/>
        </w:rPr>
        <w:t xml:space="preserve"> </w:t>
      </w:r>
      <w:r w:rsidRPr="00224EA5">
        <w:rPr>
          <w:lang w:val="fr-FR"/>
        </w:rPr>
        <w:t xml:space="preserve">relative au système de soins de santé au Kosovo-Metohija. </w:t>
      </w:r>
      <w:r w:rsidRPr="003C1C06">
        <w:rPr>
          <w:i/>
          <w:lang w:val="en-US"/>
        </w:rPr>
        <w:t>Report on Gap and Needs Analysis of the Legal Framework, Including recommendations for Revisions and Supporting Legislation</w:t>
      </w:r>
      <w:r w:rsidRPr="003C1C06">
        <w:rPr>
          <w:lang w:val="en-US"/>
        </w:rPr>
        <w:t xml:space="preserve"> (Belgrade, juillet 2006).</w:t>
      </w:r>
    </w:p>
  </w:footnote>
  <w:footnote w:id="12">
    <w:p w14:paraId="201282A1" w14:textId="77777777" w:rsidR="00A4196F" w:rsidRPr="00207586" w:rsidRDefault="00A4196F" w:rsidP="00EE705F">
      <w:pPr>
        <w:pStyle w:val="FootnoteText"/>
        <w:tabs>
          <w:tab w:val="right" w:pos="1195"/>
          <w:tab w:val="left" w:pos="1267"/>
          <w:tab w:val="left" w:pos="1742"/>
          <w:tab w:val="left" w:pos="2218"/>
          <w:tab w:val="left" w:pos="2693"/>
        </w:tabs>
        <w:ind w:left="1267" w:right="1267" w:hanging="432"/>
      </w:pPr>
      <w:r w:rsidRPr="003C1C06">
        <w:rPr>
          <w:lang w:val="en-US"/>
        </w:rPr>
        <w:tab/>
      </w:r>
      <w:r>
        <w:rPr>
          <w:rStyle w:val="FootnoteReference"/>
          <w:lang w:val="fr-FR"/>
        </w:rPr>
        <w:footnoteRef/>
      </w:r>
      <w:r>
        <w:rPr>
          <w:lang w:val="fr-FR"/>
        </w:rPr>
        <w:tab/>
        <w:t>www.ljudskaprava.gov.rs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A4196F" w14:paraId="104FD527" w14:textId="77777777" w:rsidTr="0047282C">
      <w:trPr>
        <w:trHeight w:hRule="exact" w:val="864"/>
      </w:trPr>
      <w:tc>
        <w:tcPr>
          <w:tcW w:w="4838" w:type="dxa"/>
          <w:shd w:val="clear" w:color="auto" w:fill="auto"/>
          <w:vAlign w:val="bottom"/>
        </w:tcPr>
        <w:p w14:paraId="1A9D3AF5" w14:textId="37837779" w:rsidR="00A4196F" w:rsidRPr="0047282C" w:rsidRDefault="00A4196F" w:rsidP="0047282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62AA4">
            <w:rPr>
              <w:b/>
              <w:color w:val="000000"/>
            </w:rPr>
            <w:t>CEDAW/C/SRB/4</w:t>
          </w:r>
          <w:r>
            <w:rPr>
              <w:b/>
              <w:color w:val="000000"/>
            </w:rPr>
            <w:fldChar w:fldCharType="end"/>
          </w:r>
        </w:p>
      </w:tc>
      <w:tc>
        <w:tcPr>
          <w:tcW w:w="4920" w:type="dxa"/>
          <w:shd w:val="clear" w:color="auto" w:fill="auto"/>
          <w:vAlign w:val="bottom"/>
        </w:tcPr>
        <w:p w14:paraId="1CEB7763" w14:textId="77777777" w:rsidR="00A4196F" w:rsidRDefault="00A4196F" w:rsidP="0047282C">
          <w:pPr>
            <w:pStyle w:val="Header"/>
          </w:pPr>
        </w:p>
      </w:tc>
    </w:tr>
  </w:tbl>
  <w:p w14:paraId="61B0F7E2" w14:textId="77777777" w:rsidR="00A4196F" w:rsidRPr="0047282C" w:rsidRDefault="00A4196F" w:rsidP="0047282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A4196F" w14:paraId="525A15C1" w14:textId="77777777" w:rsidTr="0047282C">
      <w:trPr>
        <w:trHeight w:hRule="exact" w:val="864"/>
      </w:trPr>
      <w:tc>
        <w:tcPr>
          <w:tcW w:w="4838" w:type="dxa"/>
          <w:shd w:val="clear" w:color="auto" w:fill="auto"/>
          <w:vAlign w:val="bottom"/>
        </w:tcPr>
        <w:p w14:paraId="0DD13707" w14:textId="77777777" w:rsidR="00A4196F" w:rsidRDefault="00A4196F" w:rsidP="0047282C">
          <w:pPr>
            <w:pStyle w:val="Header"/>
          </w:pPr>
        </w:p>
      </w:tc>
      <w:tc>
        <w:tcPr>
          <w:tcW w:w="4920" w:type="dxa"/>
          <w:shd w:val="clear" w:color="auto" w:fill="auto"/>
          <w:vAlign w:val="bottom"/>
        </w:tcPr>
        <w:p w14:paraId="2E38C13D" w14:textId="7E433073" w:rsidR="00A4196F" w:rsidRPr="0047282C" w:rsidRDefault="00A4196F" w:rsidP="0047282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62AA4">
            <w:rPr>
              <w:b/>
              <w:color w:val="000000"/>
            </w:rPr>
            <w:t>CEDAW/C/SRB/4</w:t>
          </w:r>
          <w:r>
            <w:rPr>
              <w:b/>
              <w:color w:val="000000"/>
            </w:rPr>
            <w:fldChar w:fldCharType="end"/>
          </w:r>
        </w:p>
      </w:tc>
    </w:tr>
  </w:tbl>
  <w:p w14:paraId="650169B9" w14:textId="77777777" w:rsidR="00A4196F" w:rsidRPr="0047282C" w:rsidRDefault="00A4196F" w:rsidP="0047282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A4196F" w14:paraId="1B212EE7" w14:textId="77777777" w:rsidTr="0047282C">
      <w:trPr>
        <w:trHeight w:hRule="exact" w:val="864"/>
      </w:trPr>
      <w:tc>
        <w:tcPr>
          <w:tcW w:w="1267" w:type="dxa"/>
          <w:tcBorders>
            <w:bottom w:val="single" w:sz="4" w:space="0" w:color="auto"/>
          </w:tcBorders>
          <w:shd w:val="clear" w:color="auto" w:fill="auto"/>
          <w:vAlign w:val="bottom"/>
        </w:tcPr>
        <w:p w14:paraId="527C75C0" w14:textId="77777777" w:rsidR="00A4196F" w:rsidRDefault="00A4196F" w:rsidP="0047282C">
          <w:pPr>
            <w:pStyle w:val="Header"/>
            <w:spacing w:after="120"/>
          </w:pPr>
        </w:p>
      </w:tc>
      <w:tc>
        <w:tcPr>
          <w:tcW w:w="2059" w:type="dxa"/>
          <w:tcBorders>
            <w:bottom w:val="single" w:sz="4" w:space="0" w:color="auto"/>
          </w:tcBorders>
          <w:shd w:val="clear" w:color="auto" w:fill="auto"/>
          <w:vAlign w:val="bottom"/>
        </w:tcPr>
        <w:p w14:paraId="0BBE2F81" w14:textId="77777777" w:rsidR="00A4196F" w:rsidRPr="0047282C" w:rsidRDefault="00A4196F" w:rsidP="0047282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A3118CB" w14:textId="77777777" w:rsidR="00A4196F" w:rsidRDefault="00A4196F" w:rsidP="0047282C">
          <w:pPr>
            <w:pStyle w:val="Header"/>
            <w:spacing w:after="120"/>
          </w:pPr>
        </w:p>
      </w:tc>
      <w:tc>
        <w:tcPr>
          <w:tcW w:w="6466" w:type="dxa"/>
          <w:gridSpan w:val="3"/>
          <w:tcBorders>
            <w:bottom w:val="single" w:sz="4" w:space="0" w:color="auto"/>
          </w:tcBorders>
          <w:shd w:val="clear" w:color="auto" w:fill="auto"/>
          <w:vAlign w:val="bottom"/>
        </w:tcPr>
        <w:p w14:paraId="6890EEAC" w14:textId="77777777" w:rsidR="00A4196F" w:rsidRPr="0047282C" w:rsidRDefault="00A4196F" w:rsidP="0047282C">
          <w:pPr>
            <w:spacing w:after="80" w:line="240" w:lineRule="auto"/>
            <w:jc w:val="right"/>
            <w:rPr>
              <w:position w:val="-4"/>
            </w:rPr>
          </w:pPr>
          <w:r>
            <w:rPr>
              <w:position w:val="-4"/>
              <w:sz w:val="40"/>
            </w:rPr>
            <w:t>CEDAW</w:t>
          </w:r>
          <w:r>
            <w:rPr>
              <w:position w:val="-4"/>
            </w:rPr>
            <w:t>/C/SRB/4</w:t>
          </w:r>
        </w:p>
      </w:tc>
    </w:tr>
    <w:tr w:rsidR="00A4196F" w:rsidRPr="0047282C" w14:paraId="6F91444F" w14:textId="77777777" w:rsidTr="0047282C">
      <w:trPr>
        <w:trHeight w:hRule="exact" w:val="2880"/>
      </w:trPr>
      <w:tc>
        <w:tcPr>
          <w:tcW w:w="1267" w:type="dxa"/>
          <w:tcBorders>
            <w:top w:val="single" w:sz="4" w:space="0" w:color="auto"/>
            <w:bottom w:val="single" w:sz="12" w:space="0" w:color="auto"/>
          </w:tcBorders>
          <w:shd w:val="clear" w:color="auto" w:fill="auto"/>
        </w:tcPr>
        <w:p w14:paraId="63111567" w14:textId="464ECE42" w:rsidR="00A4196F" w:rsidRPr="0047282C" w:rsidRDefault="00A4196F" w:rsidP="0047282C">
          <w:pPr>
            <w:pStyle w:val="Header"/>
            <w:spacing w:before="120" w:line="240" w:lineRule="auto"/>
            <w:ind w:left="-72"/>
            <w:jc w:val="center"/>
          </w:pPr>
          <w:r>
            <w:t xml:space="preserve"> </w:t>
          </w:r>
          <w:r>
            <w:rPr>
              <w:noProof/>
              <w:lang w:val="fr-FR" w:eastAsia="zh-CN"/>
            </w:rPr>
            <w:drawing>
              <wp:inline distT="0" distB="0" distL="0" distR="0" wp14:anchorId="47738112" wp14:editId="352B6D4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16F072E" w14:textId="77777777" w:rsidR="00A4196F" w:rsidRPr="0047282C" w:rsidRDefault="00A4196F" w:rsidP="0047282C">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3B7345BB" w14:textId="77777777" w:rsidR="00A4196F" w:rsidRPr="00CA0011" w:rsidRDefault="00A4196F" w:rsidP="0047282C">
          <w:pPr>
            <w:pStyle w:val="Header"/>
            <w:spacing w:before="109"/>
            <w:rPr>
              <w:lang w:val="fr-FR"/>
            </w:rPr>
          </w:pPr>
        </w:p>
      </w:tc>
      <w:tc>
        <w:tcPr>
          <w:tcW w:w="3110" w:type="dxa"/>
          <w:tcBorders>
            <w:top w:val="single" w:sz="4" w:space="0" w:color="auto"/>
            <w:bottom w:val="single" w:sz="12" w:space="0" w:color="auto"/>
          </w:tcBorders>
          <w:shd w:val="clear" w:color="auto" w:fill="auto"/>
        </w:tcPr>
        <w:p w14:paraId="5046DE7D" w14:textId="77777777" w:rsidR="00A4196F" w:rsidRPr="00CA0011" w:rsidRDefault="00A4196F" w:rsidP="0047282C">
          <w:pPr>
            <w:pStyle w:val="Distribution"/>
            <w:rPr>
              <w:color w:val="000000"/>
              <w:lang w:val="fr-FR"/>
            </w:rPr>
          </w:pPr>
          <w:r w:rsidRPr="00CA0011">
            <w:rPr>
              <w:color w:val="000000"/>
              <w:lang w:val="fr-FR"/>
            </w:rPr>
            <w:t>Distr. générale</w:t>
          </w:r>
        </w:p>
        <w:p w14:paraId="49D24D28" w14:textId="77777777" w:rsidR="00A4196F" w:rsidRPr="00CA0011" w:rsidRDefault="00A4196F" w:rsidP="0047282C">
          <w:pPr>
            <w:pStyle w:val="Publication"/>
            <w:rPr>
              <w:color w:val="000000"/>
              <w:lang w:val="fr-FR"/>
            </w:rPr>
          </w:pPr>
          <w:r w:rsidRPr="00CA0011">
            <w:rPr>
              <w:color w:val="000000"/>
              <w:lang w:val="fr-FR"/>
            </w:rPr>
            <w:t>2 novembre 2017</w:t>
          </w:r>
        </w:p>
        <w:p w14:paraId="23E6D904" w14:textId="77777777" w:rsidR="00A4196F" w:rsidRPr="00CA0011" w:rsidRDefault="00A4196F" w:rsidP="0047282C">
          <w:pPr>
            <w:rPr>
              <w:lang w:val="fr-FR"/>
            </w:rPr>
          </w:pPr>
          <w:r w:rsidRPr="00CA0011">
            <w:rPr>
              <w:lang w:val="fr-FR"/>
            </w:rPr>
            <w:t>Français</w:t>
          </w:r>
        </w:p>
        <w:p w14:paraId="6A202DFD" w14:textId="5D70C0FA" w:rsidR="00A4196F" w:rsidRPr="00CA0011" w:rsidRDefault="00A4196F" w:rsidP="0047282C">
          <w:pPr>
            <w:pStyle w:val="Original"/>
            <w:rPr>
              <w:color w:val="000000"/>
              <w:lang w:val="fr-FR"/>
            </w:rPr>
          </w:pPr>
          <w:r w:rsidRPr="00CA0011">
            <w:rPr>
              <w:color w:val="000000"/>
              <w:lang w:val="fr-FR"/>
            </w:rPr>
            <w:t>Original</w:t>
          </w:r>
          <w:r>
            <w:rPr>
              <w:color w:val="000000"/>
              <w:lang w:val="fr-FR"/>
            </w:rPr>
            <w:t> :</w:t>
          </w:r>
          <w:r w:rsidRPr="00CA0011">
            <w:rPr>
              <w:color w:val="000000"/>
              <w:lang w:val="fr-FR"/>
            </w:rPr>
            <w:t xml:space="preserve"> anglais</w:t>
          </w:r>
        </w:p>
      </w:tc>
    </w:tr>
  </w:tbl>
  <w:p w14:paraId="32F67F24" w14:textId="77777777" w:rsidR="00A4196F" w:rsidRPr="00CA0011" w:rsidRDefault="00A4196F" w:rsidP="0047282C">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15290"/>
    <w:multiLevelType w:val="hybridMultilevel"/>
    <w:tmpl w:val="223A8B8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0C3926B8"/>
    <w:multiLevelType w:val="singleLevel"/>
    <w:tmpl w:val="C2A00EF8"/>
    <w:lvl w:ilvl="0">
      <w:start w:val="108"/>
      <w:numFmt w:val="decimal"/>
      <w:lvlRestart w:val="0"/>
      <w:lvlText w:val="%1."/>
      <w:lvlJc w:val="left"/>
      <w:pPr>
        <w:tabs>
          <w:tab w:val="num" w:pos="1742"/>
        </w:tabs>
        <w:ind w:left="1267" w:firstLine="0"/>
      </w:pPr>
      <w:rPr>
        <w:w w:val="100"/>
      </w:rPr>
    </w:lvl>
  </w:abstractNum>
  <w:abstractNum w:abstractNumId="3" w15:restartNumberingAfterBreak="0">
    <w:nsid w:val="0FCE7E20"/>
    <w:multiLevelType w:val="singleLevel"/>
    <w:tmpl w:val="A9DC0884"/>
    <w:lvl w:ilvl="0">
      <w:start w:val="56"/>
      <w:numFmt w:val="decimal"/>
      <w:lvlRestart w:val="0"/>
      <w:lvlText w:val="%1."/>
      <w:lvlJc w:val="left"/>
      <w:pPr>
        <w:tabs>
          <w:tab w:val="num" w:pos="1742"/>
        </w:tabs>
        <w:ind w:left="1267" w:firstLine="0"/>
      </w:pPr>
      <w:rPr>
        <w:w w:val="100"/>
      </w:rPr>
    </w:lvl>
  </w:abstractNum>
  <w:abstractNum w:abstractNumId="4" w15:restartNumberingAfterBreak="0">
    <w:nsid w:val="10C45040"/>
    <w:multiLevelType w:val="singleLevel"/>
    <w:tmpl w:val="A436553E"/>
    <w:lvl w:ilvl="0">
      <w:start w:val="4"/>
      <w:numFmt w:val="decimal"/>
      <w:lvlRestart w:val="0"/>
      <w:lvlText w:val="%1."/>
      <w:lvlJc w:val="left"/>
      <w:pPr>
        <w:tabs>
          <w:tab w:val="num" w:pos="1742"/>
        </w:tabs>
        <w:ind w:left="1267" w:firstLine="0"/>
      </w:pPr>
      <w:rPr>
        <w:w w:val="100"/>
      </w:rPr>
    </w:lvl>
  </w:abstractNum>
  <w:abstractNum w:abstractNumId="5" w15:restartNumberingAfterBreak="0">
    <w:nsid w:val="11C308FB"/>
    <w:multiLevelType w:val="singleLevel"/>
    <w:tmpl w:val="2F2C252A"/>
    <w:lvl w:ilvl="0">
      <w:start w:val="1"/>
      <w:numFmt w:val="decimal"/>
      <w:lvlRestart w:val="0"/>
      <w:lvlText w:val="%1."/>
      <w:lvlJc w:val="left"/>
      <w:pPr>
        <w:tabs>
          <w:tab w:val="num" w:pos="475"/>
        </w:tabs>
        <w:ind w:left="0" w:firstLine="0"/>
      </w:pPr>
      <w:rPr>
        <w:w w:val="100"/>
      </w:rPr>
    </w:lvl>
  </w:abstractNum>
  <w:abstractNum w:abstractNumId="6" w15:restartNumberingAfterBreak="0">
    <w:nsid w:val="12D06B23"/>
    <w:multiLevelType w:val="multilevel"/>
    <w:tmpl w:val="A7FC152E"/>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15:restartNumberingAfterBreak="0">
    <w:nsid w:val="17165B60"/>
    <w:multiLevelType w:val="singleLevel"/>
    <w:tmpl w:val="C2A00EF8"/>
    <w:lvl w:ilvl="0">
      <w:start w:val="108"/>
      <w:numFmt w:val="decimal"/>
      <w:lvlRestart w:val="0"/>
      <w:lvlText w:val="%1."/>
      <w:lvlJc w:val="left"/>
      <w:pPr>
        <w:tabs>
          <w:tab w:val="num" w:pos="1742"/>
        </w:tabs>
        <w:ind w:left="1267" w:firstLine="0"/>
      </w:pPr>
      <w:rPr>
        <w:w w:val="100"/>
      </w:rPr>
    </w:lvl>
  </w:abstractNum>
  <w:abstractNum w:abstractNumId="8" w15:restartNumberingAfterBreak="0">
    <w:nsid w:val="172F270D"/>
    <w:multiLevelType w:val="hybridMultilevel"/>
    <w:tmpl w:val="8EB064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3287F"/>
    <w:multiLevelType w:val="singleLevel"/>
    <w:tmpl w:val="15E66FC8"/>
    <w:lvl w:ilvl="0">
      <w:start w:val="45"/>
      <w:numFmt w:val="decimal"/>
      <w:lvlRestart w:val="0"/>
      <w:lvlText w:val="%1."/>
      <w:lvlJc w:val="left"/>
      <w:pPr>
        <w:tabs>
          <w:tab w:val="num" w:pos="1742"/>
        </w:tabs>
        <w:ind w:left="1267" w:firstLine="0"/>
      </w:pPr>
      <w:rPr>
        <w:b w:val="0"/>
        <w:bCs/>
        <w:i w:val="0"/>
        <w:iCs/>
        <w:w w:val="100"/>
      </w:rPr>
    </w:lvl>
  </w:abstractNum>
  <w:abstractNum w:abstractNumId="10" w15:restartNumberingAfterBreak="0">
    <w:nsid w:val="18F05B1A"/>
    <w:multiLevelType w:val="singleLevel"/>
    <w:tmpl w:val="9C5C1EC8"/>
    <w:lvl w:ilvl="0">
      <w:start w:val="138"/>
      <w:numFmt w:val="decimal"/>
      <w:lvlRestart w:val="0"/>
      <w:lvlText w:val="%1."/>
      <w:lvlJc w:val="left"/>
      <w:pPr>
        <w:tabs>
          <w:tab w:val="num" w:pos="1742"/>
        </w:tabs>
        <w:ind w:left="1267" w:firstLine="0"/>
      </w:pPr>
      <w:rPr>
        <w:w w:val="100"/>
      </w:rPr>
    </w:lvl>
  </w:abstractNum>
  <w:abstractNum w:abstractNumId="11" w15:restartNumberingAfterBreak="0">
    <w:nsid w:val="1CD7261B"/>
    <w:multiLevelType w:val="singleLevel"/>
    <w:tmpl w:val="0FFA4E9E"/>
    <w:lvl w:ilvl="0">
      <w:start w:val="65"/>
      <w:numFmt w:val="decimal"/>
      <w:lvlRestart w:val="0"/>
      <w:lvlText w:val="%1."/>
      <w:lvlJc w:val="left"/>
      <w:pPr>
        <w:tabs>
          <w:tab w:val="num" w:pos="1742"/>
        </w:tabs>
        <w:ind w:left="1267" w:firstLine="0"/>
      </w:pPr>
      <w:rPr>
        <w:b w:val="0"/>
        <w:bCs/>
        <w:i w:val="0"/>
        <w:iCs/>
        <w:w w:val="100"/>
      </w:rPr>
    </w:lvl>
  </w:abstractNum>
  <w:abstractNum w:abstractNumId="12" w15:restartNumberingAfterBreak="0">
    <w:nsid w:val="1E6C584E"/>
    <w:multiLevelType w:val="singleLevel"/>
    <w:tmpl w:val="C2A00EF8"/>
    <w:lvl w:ilvl="0">
      <w:start w:val="108"/>
      <w:numFmt w:val="decimal"/>
      <w:lvlRestart w:val="0"/>
      <w:lvlText w:val="%1."/>
      <w:lvlJc w:val="left"/>
      <w:pPr>
        <w:tabs>
          <w:tab w:val="num" w:pos="1742"/>
        </w:tabs>
        <w:ind w:left="1267" w:firstLine="0"/>
      </w:pPr>
      <w:rPr>
        <w:w w:val="100"/>
      </w:rPr>
    </w:lvl>
  </w:abstractNum>
  <w:abstractNum w:abstractNumId="13" w15:restartNumberingAfterBreak="0">
    <w:nsid w:val="2DC6528E"/>
    <w:multiLevelType w:val="singleLevel"/>
    <w:tmpl w:val="AA42380E"/>
    <w:lvl w:ilvl="0">
      <w:start w:val="93"/>
      <w:numFmt w:val="decimal"/>
      <w:lvlRestart w:val="0"/>
      <w:lvlText w:val="%1."/>
      <w:lvlJc w:val="left"/>
      <w:pPr>
        <w:tabs>
          <w:tab w:val="num" w:pos="1742"/>
        </w:tabs>
        <w:ind w:left="1267" w:firstLine="0"/>
      </w:pPr>
      <w:rPr>
        <w:w w:val="100"/>
      </w:rPr>
    </w:lvl>
  </w:abstractNum>
  <w:abstractNum w:abstractNumId="14" w15:restartNumberingAfterBreak="0">
    <w:nsid w:val="31FD640F"/>
    <w:multiLevelType w:val="singleLevel"/>
    <w:tmpl w:val="53C42148"/>
    <w:lvl w:ilvl="0">
      <w:start w:val="138"/>
      <w:numFmt w:val="decimal"/>
      <w:lvlRestart w:val="0"/>
      <w:lvlText w:val="%1."/>
      <w:lvlJc w:val="left"/>
      <w:pPr>
        <w:tabs>
          <w:tab w:val="num" w:pos="1742"/>
        </w:tabs>
        <w:ind w:left="1267" w:firstLine="0"/>
      </w:pPr>
      <w:rPr>
        <w:b w:val="0"/>
        <w:w w:val="100"/>
      </w:rPr>
    </w:lvl>
  </w:abstractNum>
  <w:abstractNum w:abstractNumId="15" w15:restartNumberingAfterBreak="0">
    <w:nsid w:val="39E54C6F"/>
    <w:multiLevelType w:val="singleLevel"/>
    <w:tmpl w:val="C01ED484"/>
    <w:lvl w:ilvl="0">
      <w:start w:val="120"/>
      <w:numFmt w:val="decimal"/>
      <w:lvlRestart w:val="0"/>
      <w:lvlText w:val="%1."/>
      <w:lvlJc w:val="left"/>
      <w:pPr>
        <w:tabs>
          <w:tab w:val="num" w:pos="1742"/>
        </w:tabs>
        <w:ind w:left="1267" w:firstLine="0"/>
      </w:pPr>
      <w:rPr>
        <w:b w:val="0"/>
        <w:bCs/>
        <w:w w:val="100"/>
      </w:rPr>
    </w:lvl>
  </w:abstractNum>
  <w:abstractNum w:abstractNumId="16" w15:restartNumberingAfterBreak="0">
    <w:nsid w:val="47B40547"/>
    <w:multiLevelType w:val="hybridMultilevel"/>
    <w:tmpl w:val="356E2E0E"/>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B2F67"/>
    <w:multiLevelType w:val="singleLevel"/>
    <w:tmpl w:val="DBCA6DFA"/>
    <w:lvl w:ilvl="0">
      <w:start w:val="171"/>
      <w:numFmt w:val="decimal"/>
      <w:lvlRestart w:val="0"/>
      <w:lvlText w:val="%1."/>
      <w:lvlJc w:val="left"/>
      <w:pPr>
        <w:tabs>
          <w:tab w:val="num" w:pos="1742"/>
        </w:tabs>
        <w:ind w:left="1267" w:firstLine="0"/>
      </w:pPr>
      <w:rPr>
        <w:w w:val="100"/>
      </w:rPr>
    </w:lvl>
  </w:abstractNum>
  <w:abstractNum w:abstractNumId="18" w15:restartNumberingAfterBreak="0">
    <w:nsid w:val="59A96616"/>
    <w:multiLevelType w:val="singleLevel"/>
    <w:tmpl w:val="50D0A792"/>
    <w:lvl w:ilvl="0">
      <w:start w:val="108"/>
      <w:numFmt w:val="decimal"/>
      <w:lvlRestart w:val="0"/>
      <w:lvlText w:val="%1."/>
      <w:lvlJc w:val="left"/>
      <w:pPr>
        <w:tabs>
          <w:tab w:val="num" w:pos="1742"/>
        </w:tabs>
        <w:ind w:left="1267" w:firstLine="0"/>
      </w:pPr>
      <w:rPr>
        <w:w w:val="100"/>
      </w:rPr>
    </w:lvl>
  </w:abstractNum>
  <w:abstractNum w:abstractNumId="19" w15:restartNumberingAfterBreak="0">
    <w:nsid w:val="5D137744"/>
    <w:multiLevelType w:val="singleLevel"/>
    <w:tmpl w:val="F0823062"/>
    <w:lvl w:ilvl="0">
      <w:start w:val="52"/>
      <w:numFmt w:val="decimal"/>
      <w:lvlRestart w:val="0"/>
      <w:lvlText w:val="%1."/>
      <w:lvlJc w:val="left"/>
      <w:pPr>
        <w:tabs>
          <w:tab w:val="num" w:pos="1742"/>
        </w:tabs>
        <w:ind w:left="1267" w:firstLine="0"/>
      </w:pPr>
      <w:rPr>
        <w:i w:val="0"/>
        <w:iCs/>
        <w:w w:val="100"/>
      </w:rPr>
    </w:lvl>
  </w:abstractNum>
  <w:abstractNum w:abstractNumId="20" w15:restartNumberingAfterBreak="0">
    <w:nsid w:val="6150749E"/>
    <w:multiLevelType w:val="singleLevel"/>
    <w:tmpl w:val="237A7F1C"/>
    <w:lvl w:ilvl="0">
      <w:start w:val="99"/>
      <w:numFmt w:val="decimal"/>
      <w:lvlRestart w:val="0"/>
      <w:lvlText w:val="%1."/>
      <w:lvlJc w:val="left"/>
      <w:pPr>
        <w:tabs>
          <w:tab w:val="num" w:pos="1742"/>
        </w:tabs>
        <w:ind w:left="1267" w:firstLine="0"/>
      </w:pPr>
      <w:rPr>
        <w:b w:val="0"/>
        <w:bCs/>
        <w:w w:val="100"/>
      </w:rPr>
    </w:lvl>
  </w:abstractNum>
  <w:abstractNum w:abstractNumId="21" w15:restartNumberingAfterBreak="0">
    <w:nsid w:val="730A0DD6"/>
    <w:multiLevelType w:val="singleLevel"/>
    <w:tmpl w:val="DD5225BE"/>
    <w:lvl w:ilvl="0">
      <w:start w:val="35"/>
      <w:numFmt w:val="decimal"/>
      <w:lvlRestart w:val="0"/>
      <w:lvlText w:val="%1."/>
      <w:lvlJc w:val="left"/>
      <w:pPr>
        <w:tabs>
          <w:tab w:val="num" w:pos="1742"/>
        </w:tabs>
        <w:ind w:left="1267" w:firstLine="0"/>
      </w:pPr>
      <w:rPr>
        <w:b w:val="0"/>
        <w:bCs/>
        <w:w w:val="100"/>
      </w:rPr>
    </w:lvl>
  </w:abstractNum>
  <w:num w:numId="1">
    <w:abstractNumId w:val="8"/>
  </w:num>
  <w:num w:numId="2">
    <w:abstractNumId w:val="16"/>
  </w:num>
  <w:num w:numId="3">
    <w:abstractNumId w:val="1"/>
  </w:num>
  <w:num w:numId="4">
    <w:abstractNumId w:val="6"/>
  </w:num>
  <w:num w:numId="5">
    <w:abstractNumId w:val="0"/>
  </w:num>
  <w:num w:numId="6">
    <w:abstractNumId w:val="5"/>
    <w:lvlOverride w:ilvl="0">
      <w:lvl w:ilvl="0">
        <w:start w:val="1"/>
        <w:numFmt w:val="decimal"/>
        <w:lvlRestart w:val="0"/>
        <w:lvlText w:val="%1."/>
        <w:lvlJc w:val="left"/>
        <w:pPr>
          <w:tabs>
            <w:tab w:val="num" w:pos="475"/>
          </w:tabs>
          <w:ind w:left="0" w:firstLine="0"/>
        </w:pPr>
        <w:rPr>
          <w:w w:val="100"/>
        </w:rPr>
      </w:lvl>
    </w:lvlOverride>
  </w:num>
  <w:num w:numId="7">
    <w:abstractNumId w:val="5"/>
    <w:lvlOverride w:ilvl="0">
      <w:lvl w:ilvl="0">
        <w:start w:val="1"/>
        <w:numFmt w:val="decimal"/>
        <w:lvlRestart w:val="0"/>
        <w:lvlText w:val="%1."/>
        <w:lvlJc w:val="left"/>
        <w:pPr>
          <w:tabs>
            <w:tab w:val="num" w:pos="475"/>
          </w:tabs>
          <w:ind w:left="0" w:firstLine="0"/>
        </w:pPr>
        <w:rPr>
          <w:b w:val="0"/>
          <w:bCs/>
          <w:w w:val="100"/>
        </w:rPr>
      </w:lvl>
    </w:lvlOverride>
  </w:num>
  <w:num w:numId="8">
    <w:abstractNumId w:val="4"/>
  </w:num>
  <w:num w:numId="9">
    <w:abstractNumId w:val="4"/>
    <w:lvlOverride w:ilvl="0">
      <w:lvl w:ilvl="0">
        <w:start w:val="4"/>
        <w:numFmt w:val="decimal"/>
        <w:lvlRestart w:val="0"/>
        <w:lvlText w:val="%1."/>
        <w:lvlJc w:val="left"/>
        <w:pPr>
          <w:tabs>
            <w:tab w:val="num" w:pos="1742"/>
          </w:tabs>
          <w:ind w:left="1267" w:firstLine="0"/>
        </w:pPr>
        <w:rPr>
          <w:w w:val="100"/>
        </w:rPr>
      </w:lvl>
    </w:lvlOverride>
  </w:num>
  <w:num w:numId="10">
    <w:abstractNumId w:val="4"/>
    <w:lvlOverride w:ilvl="0">
      <w:lvl w:ilvl="0">
        <w:start w:val="4"/>
        <w:numFmt w:val="decimal"/>
        <w:lvlRestart w:val="0"/>
        <w:lvlText w:val="%1."/>
        <w:lvlJc w:val="left"/>
        <w:pPr>
          <w:tabs>
            <w:tab w:val="num" w:pos="1742"/>
          </w:tabs>
          <w:ind w:left="1267" w:firstLine="0"/>
        </w:pPr>
        <w:rPr>
          <w:w w:val="100"/>
        </w:rPr>
      </w:lvl>
    </w:lvlOverride>
  </w:num>
  <w:num w:numId="11">
    <w:abstractNumId w:val="4"/>
    <w:lvlOverride w:ilvl="0">
      <w:lvl w:ilvl="0">
        <w:start w:val="4"/>
        <w:numFmt w:val="decimal"/>
        <w:lvlRestart w:val="0"/>
        <w:lvlText w:val="%1."/>
        <w:lvlJc w:val="left"/>
        <w:pPr>
          <w:tabs>
            <w:tab w:val="num" w:pos="1742"/>
          </w:tabs>
          <w:ind w:left="1267" w:firstLine="0"/>
        </w:pPr>
        <w:rPr>
          <w:w w:val="100"/>
        </w:rPr>
      </w:lvl>
    </w:lvlOverride>
  </w:num>
  <w:num w:numId="12">
    <w:abstractNumId w:val="4"/>
    <w:lvlOverride w:ilvl="0">
      <w:lvl w:ilvl="0">
        <w:start w:val="4"/>
        <w:numFmt w:val="decimal"/>
        <w:lvlRestart w:val="0"/>
        <w:lvlText w:val="%1."/>
        <w:lvlJc w:val="left"/>
        <w:pPr>
          <w:tabs>
            <w:tab w:val="num" w:pos="1742"/>
          </w:tabs>
          <w:ind w:left="1267" w:firstLine="0"/>
        </w:pPr>
        <w:rPr>
          <w:w w:val="100"/>
        </w:rPr>
      </w:lvl>
    </w:lvlOverride>
  </w:num>
  <w:num w:numId="13">
    <w:abstractNumId w:val="4"/>
    <w:lvlOverride w:ilvl="0">
      <w:lvl w:ilvl="0">
        <w:start w:val="4"/>
        <w:numFmt w:val="decimal"/>
        <w:lvlRestart w:val="0"/>
        <w:lvlText w:val="%1."/>
        <w:lvlJc w:val="left"/>
        <w:pPr>
          <w:tabs>
            <w:tab w:val="num" w:pos="1742"/>
          </w:tabs>
          <w:ind w:left="1267" w:firstLine="0"/>
        </w:pPr>
        <w:rPr>
          <w:w w:val="100"/>
        </w:rPr>
      </w:lvl>
    </w:lvlOverride>
  </w:num>
  <w:num w:numId="14">
    <w:abstractNumId w:val="4"/>
    <w:lvlOverride w:ilvl="0">
      <w:lvl w:ilvl="0">
        <w:start w:val="4"/>
        <w:numFmt w:val="decimal"/>
        <w:lvlRestart w:val="0"/>
        <w:lvlText w:val="%1."/>
        <w:lvlJc w:val="left"/>
        <w:pPr>
          <w:tabs>
            <w:tab w:val="num" w:pos="1742"/>
          </w:tabs>
          <w:ind w:left="1267" w:firstLine="0"/>
        </w:pPr>
        <w:rPr>
          <w:w w:val="100"/>
        </w:rPr>
      </w:lvl>
    </w:lvlOverride>
  </w:num>
  <w:num w:numId="15">
    <w:abstractNumId w:val="4"/>
    <w:lvlOverride w:ilvl="0">
      <w:lvl w:ilvl="0">
        <w:start w:val="4"/>
        <w:numFmt w:val="decimal"/>
        <w:lvlRestart w:val="0"/>
        <w:lvlText w:val="%1."/>
        <w:lvlJc w:val="left"/>
        <w:pPr>
          <w:tabs>
            <w:tab w:val="num" w:pos="1742"/>
          </w:tabs>
          <w:ind w:left="1267" w:firstLine="0"/>
        </w:pPr>
        <w:rPr>
          <w:w w:val="100"/>
        </w:rPr>
      </w:lvl>
    </w:lvlOverride>
  </w:num>
  <w:num w:numId="16">
    <w:abstractNumId w:val="4"/>
    <w:lvlOverride w:ilvl="0">
      <w:lvl w:ilvl="0">
        <w:start w:val="4"/>
        <w:numFmt w:val="decimal"/>
        <w:lvlRestart w:val="0"/>
        <w:lvlText w:val="%1."/>
        <w:lvlJc w:val="left"/>
        <w:pPr>
          <w:tabs>
            <w:tab w:val="num" w:pos="1742"/>
          </w:tabs>
          <w:ind w:left="1267" w:firstLine="0"/>
        </w:pPr>
        <w:rPr>
          <w:w w:val="100"/>
        </w:rPr>
      </w:lvl>
    </w:lvlOverride>
  </w:num>
  <w:num w:numId="17">
    <w:abstractNumId w:val="4"/>
    <w:lvlOverride w:ilvl="0">
      <w:lvl w:ilvl="0">
        <w:start w:val="4"/>
        <w:numFmt w:val="decimal"/>
        <w:lvlRestart w:val="0"/>
        <w:lvlText w:val="%1."/>
        <w:lvlJc w:val="left"/>
        <w:pPr>
          <w:tabs>
            <w:tab w:val="num" w:pos="1742"/>
          </w:tabs>
          <w:ind w:left="1267" w:firstLine="0"/>
        </w:pPr>
        <w:rPr>
          <w:w w:val="100"/>
        </w:rPr>
      </w:lvl>
    </w:lvlOverride>
  </w:num>
  <w:num w:numId="18">
    <w:abstractNumId w:val="4"/>
    <w:lvlOverride w:ilvl="0">
      <w:lvl w:ilvl="0">
        <w:start w:val="4"/>
        <w:numFmt w:val="decimal"/>
        <w:lvlRestart w:val="0"/>
        <w:lvlText w:val="%1."/>
        <w:lvlJc w:val="left"/>
        <w:pPr>
          <w:tabs>
            <w:tab w:val="num" w:pos="1742"/>
          </w:tabs>
          <w:ind w:left="1267" w:firstLine="0"/>
        </w:pPr>
        <w:rPr>
          <w:b w:val="0"/>
          <w:bCs/>
          <w:w w:val="100"/>
        </w:rPr>
      </w:lvl>
    </w:lvlOverride>
  </w:num>
  <w:num w:numId="19">
    <w:abstractNumId w:val="21"/>
  </w:num>
  <w:num w:numId="20">
    <w:abstractNumId w:val="9"/>
  </w:num>
  <w:num w:numId="21">
    <w:abstractNumId w:val="19"/>
  </w:num>
  <w:num w:numId="22">
    <w:abstractNumId w:val="3"/>
  </w:num>
  <w:num w:numId="23">
    <w:abstractNumId w:val="11"/>
  </w:num>
  <w:num w:numId="24">
    <w:abstractNumId w:val="13"/>
  </w:num>
  <w:num w:numId="25">
    <w:abstractNumId w:val="13"/>
    <w:lvlOverride w:ilvl="0">
      <w:lvl w:ilvl="0">
        <w:start w:val="93"/>
        <w:numFmt w:val="decimal"/>
        <w:lvlRestart w:val="0"/>
        <w:lvlText w:val="%1."/>
        <w:lvlJc w:val="left"/>
        <w:pPr>
          <w:tabs>
            <w:tab w:val="num" w:pos="1742"/>
          </w:tabs>
          <w:ind w:left="1267" w:firstLine="0"/>
        </w:pPr>
        <w:rPr>
          <w:b w:val="0"/>
          <w:bCs/>
          <w:i w:val="0"/>
          <w:iCs/>
          <w:w w:val="100"/>
        </w:rPr>
      </w:lvl>
    </w:lvlOverride>
  </w:num>
  <w:num w:numId="26">
    <w:abstractNumId w:val="20"/>
  </w:num>
  <w:num w:numId="27">
    <w:abstractNumId w:val="18"/>
  </w:num>
  <w:num w:numId="28">
    <w:abstractNumId w:val="18"/>
    <w:lvlOverride w:ilvl="0">
      <w:lvl w:ilvl="0">
        <w:start w:val="108"/>
        <w:numFmt w:val="decimal"/>
        <w:lvlRestart w:val="0"/>
        <w:lvlText w:val="%1."/>
        <w:lvlJc w:val="left"/>
        <w:pPr>
          <w:tabs>
            <w:tab w:val="num" w:pos="1742"/>
          </w:tabs>
          <w:ind w:left="1267" w:firstLine="0"/>
        </w:pPr>
        <w:rPr>
          <w:b w:val="0"/>
          <w:bCs/>
          <w:w w:val="100"/>
        </w:rPr>
      </w:lvl>
    </w:lvlOverride>
  </w:num>
  <w:num w:numId="29">
    <w:abstractNumId w:val="12"/>
  </w:num>
  <w:num w:numId="30">
    <w:abstractNumId w:val="2"/>
  </w:num>
  <w:num w:numId="31">
    <w:abstractNumId w:val="2"/>
    <w:lvlOverride w:ilvl="0">
      <w:lvl w:ilvl="0">
        <w:start w:val="108"/>
        <w:numFmt w:val="decimal"/>
        <w:lvlRestart w:val="0"/>
        <w:lvlText w:val="%1."/>
        <w:lvlJc w:val="left"/>
        <w:pPr>
          <w:tabs>
            <w:tab w:val="num" w:pos="1742"/>
          </w:tabs>
          <w:ind w:left="1267" w:firstLine="0"/>
        </w:pPr>
        <w:rPr>
          <w:w w:val="100"/>
        </w:rPr>
      </w:lvl>
    </w:lvlOverride>
  </w:num>
  <w:num w:numId="32">
    <w:abstractNumId w:val="7"/>
  </w:num>
  <w:num w:numId="33">
    <w:abstractNumId w:val="15"/>
  </w:num>
  <w:num w:numId="34">
    <w:abstractNumId w:val="14"/>
  </w:num>
  <w:num w:numId="35">
    <w:abstractNumId w:val="14"/>
    <w:lvlOverride w:ilvl="0">
      <w:lvl w:ilvl="0">
        <w:start w:val="138"/>
        <w:numFmt w:val="decimal"/>
        <w:lvlRestart w:val="0"/>
        <w:lvlText w:val="%1."/>
        <w:lvlJc w:val="left"/>
        <w:pPr>
          <w:tabs>
            <w:tab w:val="num" w:pos="1742"/>
          </w:tabs>
          <w:ind w:left="1267" w:firstLine="0"/>
        </w:pPr>
        <w:rPr>
          <w:w w:val="100"/>
        </w:rPr>
      </w:lvl>
    </w:lvlOverride>
  </w:num>
  <w:num w:numId="36">
    <w:abstractNumId w:val="14"/>
    <w:lvlOverride w:ilvl="0">
      <w:lvl w:ilvl="0">
        <w:start w:val="138"/>
        <w:numFmt w:val="decimal"/>
        <w:lvlRestart w:val="0"/>
        <w:lvlText w:val="%1."/>
        <w:lvlJc w:val="left"/>
        <w:pPr>
          <w:tabs>
            <w:tab w:val="num" w:pos="1742"/>
          </w:tabs>
          <w:ind w:left="1267" w:firstLine="0"/>
        </w:pPr>
        <w:rPr>
          <w:w w:val="100"/>
        </w:rPr>
      </w:lvl>
    </w:lvlOverride>
  </w:num>
  <w:num w:numId="37">
    <w:abstractNumId w:val="14"/>
    <w:lvlOverride w:ilvl="0">
      <w:lvl w:ilvl="0">
        <w:start w:val="138"/>
        <w:numFmt w:val="decimal"/>
        <w:lvlRestart w:val="0"/>
        <w:lvlText w:val="%1."/>
        <w:lvlJc w:val="left"/>
        <w:pPr>
          <w:tabs>
            <w:tab w:val="num" w:pos="1742"/>
          </w:tabs>
          <w:ind w:left="1267" w:firstLine="0"/>
        </w:pPr>
        <w:rPr>
          <w:w w:val="100"/>
        </w:rPr>
      </w:lvl>
    </w:lvlOverride>
  </w:num>
  <w:num w:numId="38">
    <w:abstractNumId w:val="10"/>
  </w:num>
  <w:num w:numId="39">
    <w:abstractNumId w:val="17"/>
  </w:num>
  <w:num w:numId="40">
    <w:abstractNumId w:val="17"/>
    <w:lvlOverride w:ilvl="0">
      <w:lvl w:ilvl="0">
        <w:start w:val="171"/>
        <w:numFmt w:val="decimal"/>
        <w:lvlRestart w:val="0"/>
        <w:lvlText w:val="%1."/>
        <w:lvlJc w:val="left"/>
        <w:pPr>
          <w:tabs>
            <w:tab w:val="num" w:pos="1742"/>
          </w:tabs>
          <w:ind w:left="1267" w:firstLine="0"/>
        </w:pPr>
        <w:rPr>
          <w:w w:val="100"/>
        </w:rPr>
      </w:lvl>
    </w:lvlOverride>
  </w:num>
  <w:num w:numId="41">
    <w:abstractNumId w:val="17"/>
    <w:lvlOverride w:ilvl="0">
      <w:lvl w:ilvl="0">
        <w:start w:val="171"/>
        <w:numFmt w:val="decimal"/>
        <w:lvlRestart w:val="0"/>
        <w:lvlText w:val="%1."/>
        <w:lvlJc w:val="left"/>
        <w:pPr>
          <w:tabs>
            <w:tab w:val="num" w:pos="1742"/>
          </w:tabs>
          <w:ind w:left="1267" w:firstLine="0"/>
        </w:pPr>
        <w:rPr>
          <w:w w:val="100"/>
        </w:rPr>
      </w:lvl>
    </w:lvlOverride>
  </w:num>
  <w:num w:numId="42">
    <w:abstractNumId w:val="17"/>
    <w:lvlOverride w:ilvl="0">
      <w:lvl w:ilvl="0">
        <w:start w:val="171"/>
        <w:numFmt w:val="decimal"/>
        <w:lvlRestart w:val="0"/>
        <w:lvlText w:val="%1."/>
        <w:lvlJc w:val="left"/>
        <w:pPr>
          <w:tabs>
            <w:tab w:val="num" w:pos="1742"/>
          </w:tabs>
          <w:ind w:left="1267" w:firstLine="0"/>
        </w:pPr>
        <w:rPr>
          <w:w w:val="100"/>
        </w:rPr>
      </w:lvl>
    </w:lvlOverride>
  </w:num>
  <w:num w:numId="43">
    <w:abstractNumId w:val="17"/>
    <w:lvlOverride w:ilvl="0">
      <w:lvl w:ilvl="0">
        <w:start w:val="171"/>
        <w:numFmt w:val="decimal"/>
        <w:lvlRestart w:val="0"/>
        <w:lvlText w:val="%1."/>
        <w:lvlJc w:val="left"/>
        <w:pPr>
          <w:tabs>
            <w:tab w:val="num" w:pos="1742"/>
          </w:tabs>
          <w:ind w:left="1267" w:firstLine="0"/>
        </w:pPr>
        <w:rPr>
          <w:w w:val="100"/>
        </w:rPr>
      </w:lvl>
    </w:lvlOverride>
  </w:num>
  <w:num w:numId="44">
    <w:abstractNumId w:val="17"/>
    <w:lvlOverride w:ilvl="0">
      <w:lvl w:ilvl="0">
        <w:start w:val="171"/>
        <w:numFmt w:val="decimal"/>
        <w:lvlRestart w:val="0"/>
        <w:lvlText w:val="%1."/>
        <w:lvlJc w:val="left"/>
        <w:pPr>
          <w:tabs>
            <w:tab w:val="num" w:pos="1742"/>
          </w:tabs>
          <w:ind w:left="1267" w:firstLine="0"/>
        </w:pPr>
        <w:rPr>
          <w:w w:val="100"/>
        </w:rPr>
      </w:lvl>
    </w:lvlOverride>
  </w:num>
  <w:num w:numId="45">
    <w:abstractNumId w:val="17"/>
    <w:lvlOverride w:ilvl="0">
      <w:lvl w:ilvl="0">
        <w:start w:val="171"/>
        <w:numFmt w:val="decimal"/>
        <w:lvlRestart w:val="0"/>
        <w:lvlText w:val="%1."/>
        <w:lvlJc w:val="left"/>
        <w:pPr>
          <w:tabs>
            <w:tab w:val="num" w:pos="1742"/>
          </w:tabs>
          <w:ind w:left="1267" w:firstLine="0"/>
        </w:pPr>
        <w:rPr>
          <w:w w:val="100"/>
        </w:rPr>
      </w:lvl>
    </w:lvlOverride>
  </w:num>
  <w:num w:numId="46">
    <w:abstractNumId w:val="17"/>
    <w:lvlOverride w:ilvl="0">
      <w:lvl w:ilvl="0">
        <w:start w:val="171"/>
        <w:numFmt w:val="decimal"/>
        <w:lvlRestart w:val="0"/>
        <w:lvlText w:val="%1."/>
        <w:lvlJc w:val="left"/>
        <w:pPr>
          <w:tabs>
            <w:tab w:val="num" w:pos="1742"/>
          </w:tabs>
          <w:ind w:left="1267" w:firstLine="0"/>
        </w:pPr>
        <w:rPr>
          <w:w w:val="100"/>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475"/>
  <w:hyphenationZone w:val="425"/>
  <w:doNotHyphenateCaps/>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19397*"/>
    <w:docVar w:name="CreationDt" w:val="18/12/2017 12:43 PM"/>
    <w:docVar w:name="DocCategory" w:val="Doc"/>
    <w:docVar w:name="DocType" w:val="Final"/>
    <w:docVar w:name="DutyStation" w:val="New York"/>
    <w:docVar w:name="FooterJN" w:val="17-19397"/>
    <w:docVar w:name="jobn" w:val="17-19397 (F)"/>
    <w:docVar w:name="jobnDT" w:val="17-19397 (F)   181217"/>
    <w:docVar w:name="jobnDTDT" w:val="17-19397 (F)   181217   181217"/>
    <w:docVar w:name="JobNo" w:val="1719397F"/>
    <w:docVar w:name="JobNo2" w:val="1736095F"/>
    <w:docVar w:name="LocalDrive" w:val="0"/>
    <w:docVar w:name="OandT" w:val=" "/>
    <w:docVar w:name="sss1" w:val="CEDAW/C/SRB/4"/>
    <w:docVar w:name="sss2" w:val="-"/>
    <w:docVar w:name="Symbol1" w:val="CEDAW/C/SRB/4"/>
    <w:docVar w:name="Symbol2" w:val="-"/>
  </w:docVars>
  <w:rsids>
    <w:rsidRoot w:val="003D1D6B"/>
    <w:rsid w:val="00002584"/>
    <w:rsid w:val="00002E6B"/>
    <w:rsid w:val="00065981"/>
    <w:rsid w:val="00071D43"/>
    <w:rsid w:val="00101B18"/>
    <w:rsid w:val="00122A56"/>
    <w:rsid w:val="00140E58"/>
    <w:rsid w:val="00146C6A"/>
    <w:rsid w:val="00162AA4"/>
    <w:rsid w:val="00166A0D"/>
    <w:rsid w:val="0017655F"/>
    <w:rsid w:val="001B7471"/>
    <w:rsid w:val="001D6A42"/>
    <w:rsid w:val="001E4B50"/>
    <w:rsid w:val="00224EA5"/>
    <w:rsid w:val="00235B0E"/>
    <w:rsid w:val="0024122C"/>
    <w:rsid w:val="002478A0"/>
    <w:rsid w:val="0026480C"/>
    <w:rsid w:val="002F030F"/>
    <w:rsid w:val="00335D87"/>
    <w:rsid w:val="00371911"/>
    <w:rsid w:val="003C1C06"/>
    <w:rsid w:val="003D0CA2"/>
    <w:rsid w:val="003D1D6B"/>
    <w:rsid w:val="00440C93"/>
    <w:rsid w:val="00455496"/>
    <w:rsid w:val="0047282C"/>
    <w:rsid w:val="0047521D"/>
    <w:rsid w:val="00475DE4"/>
    <w:rsid w:val="00480B84"/>
    <w:rsid w:val="004C1A25"/>
    <w:rsid w:val="004D7ADD"/>
    <w:rsid w:val="004E31A4"/>
    <w:rsid w:val="004F32D0"/>
    <w:rsid w:val="0051295B"/>
    <w:rsid w:val="00515991"/>
    <w:rsid w:val="005225EC"/>
    <w:rsid w:val="0053586A"/>
    <w:rsid w:val="00547FE9"/>
    <w:rsid w:val="00561689"/>
    <w:rsid w:val="00596BC8"/>
    <w:rsid w:val="005F1F5F"/>
    <w:rsid w:val="00661D46"/>
    <w:rsid w:val="0067697E"/>
    <w:rsid w:val="00690974"/>
    <w:rsid w:val="006A4A3D"/>
    <w:rsid w:val="006E3F1F"/>
    <w:rsid w:val="00702409"/>
    <w:rsid w:val="007308A6"/>
    <w:rsid w:val="007459AE"/>
    <w:rsid w:val="007531A5"/>
    <w:rsid w:val="00771C9E"/>
    <w:rsid w:val="00774414"/>
    <w:rsid w:val="007C4316"/>
    <w:rsid w:val="007D1511"/>
    <w:rsid w:val="007E2F91"/>
    <w:rsid w:val="007E572F"/>
    <w:rsid w:val="0081185B"/>
    <w:rsid w:val="0082045E"/>
    <w:rsid w:val="008222A3"/>
    <w:rsid w:val="00835192"/>
    <w:rsid w:val="0086298F"/>
    <w:rsid w:val="00883D51"/>
    <w:rsid w:val="008E60B5"/>
    <w:rsid w:val="009045E1"/>
    <w:rsid w:val="00935932"/>
    <w:rsid w:val="0097480D"/>
    <w:rsid w:val="00980CBA"/>
    <w:rsid w:val="009811F0"/>
    <w:rsid w:val="00993CB7"/>
    <w:rsid w:val="009F232B"/>
    <w:rsid w:val="00A15EC1"/>
    <w:rsid w:val="00A2494D"/>
    <w:rsid w:val="00A4196F"/>
    <w:rsid w:val="00A967DF"/>
    <w:rsid w:val="00AB0B7D"/>
    <w:rsid w:val="00AB2A86"/>
    <w:rsid w:val="00AC44CB"/>
    <w:rsid w:val="00AD5F2F"/>
    <w:rsid w:val="00AF2B1C"/>
    <w:rsid w:val="00B10DE3"/>
    <w:rsid w:val="00B144F0"/>
    <w:rsid w:val="00B234F4"/>
    <w:rsid w:val="00B257CB"/>
    <w:rsid w:val="00B858D5"/>
    <w:rsid w:val="00BA7EEE"/>
    <w:rsid w:val="00BE7311"/>
    <w:rsid w:val="00CA0011"/>
    <w:rsid w:val="00CB06FB"/>
    <w:rsid w:val="00CB63C5"/>
    <w:rsid w:val="00CC48E2"/>
    <w:rsid w:val="00CC60AD"/>
    <w:rsid w:val="00D34708"/>
    <w:rsid w:val="00D40B2F"/>
    <w:rsid w:val="00D85C91"/>
    <w:rsid w:val="00DB4AB8"/>
    <w:rsid w:val="00E23FDA"/>
    <w:rsid w:val="00E343A6"/>
    <w:rsid w:val="00E7105F"/>
    <w:rsid w:val="00E712C7"/>
    <w:rsid w:val="00EC3FD2"/>
    <w:rsid w:val="00EE37EC"/>
    <w:rsid w:val="00EE705F"/>
    <w:rsid w:val="00EF2DAB"/>
    <w:rsid w:val="00EF2DFA"/>
    <w:rsid w:val="00F5012D"/>
    <w:rsid w:val="00F73093"/>
    <w:rsid w:val="00F841A6"/>
    <w:rsid w:val="00F90894"/>
    <w:rsid w:val="00F9714F"/>
    <w:rsid w:val="00FA3D05"/>
    <w:rsid w:val="00FA5CC9"/>
    <w:rsid w:val="00FB0A2C"/>
    <w:rsid w:val="00FC59F1"/>
    <w:rsid w:val="00FC6C61"/>
    <w:rsid w:val="00FE19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A356F0"/>
  <w15:docId w15:val="{AA882100-7571-40AA-AA3D-99D9C370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4A3D"/>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6A4A3D"/>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6A4A3D"/>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6A4A3D"/>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6A4A3D"/>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6A4A3D"/>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6A4A3D"/>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6A4A3D"/>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A4A3D"/>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6A4A3D"/>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6A4A3D"/>
    <w:pPr>
      <w:keepNext/>
      <w:keepLines/>
      <w:suppressAutoHyphens/>
      <w:spacing w:line="270" w:lineRule="exact"/>
      <w:outlineLvl w:val="0"/>
    </w:pPr>
    <w:rPr>
      <w:b/>
      <w:sz w:val="24"/>
    </w:rPr>
  </w:style>
  <w:style w:type="paragraph" w:customStyle="1" w:styleId="HCH">
    <w:name w:val="_ H _CH"/>
    <w:basedOn w:val="H1"/>
    <w:next w:val="Normal"/>
    <w:qFormat/>
    <w:rsid w:val="006A4A3D"/>
    <w:pPr>
      <w:spacing w:line="300" w:lineRule="exact"/>
    </w:pPr>
    <w:rPr>
      <w:spacing w:val="-2"/>
      <w:sz w:val="28"/>
    </w:rPr>
  </w:style>
  <w:style w:type="paragraph" w:customStyle="1" w:styleId="HM">
    <w:name w:val="_ H __M"/>
    <w:basedOn w:val="HCH"/>
    <w:next w:val="Normal"/>
    <w:qFormat/>
    <w:rsid w:val="006A4A3D"/>
    <w:pPr>
      <w:spacing w:line="360" w:lineRule="exact"/>
    </w:pPr>
    <w:rPr>
      <w:spacing w:val="-3"/>
      <w:w w:val="99"/>
      <w:sz w:val="34"/>
    </w:rPr>
  </w:style>
  <w:style w:type="paragraph" w:customStyle="1" w:styleId="H23">
    <w:name w:val="_ H_2/3"/>
    <w:basedOn w:val="H1"/>
    <w:next w:val="SingleTxt"/>
    <w:qFormat/>
    <w:rsid w:val="006A4A3D"/>
    <w:pPr>
      <w:spacing w:line="240" w:lineRule="exact"/>
      <w:outlineLvl w:val="1"/>
    </w:pPr>
    <w:rPr>
      <w:spacing w:val="2"/>
      <w:sz w:val="20"/>
    </w:rPr>
  </w:style>
  <w:style w:type="paragraph" w:customStyle="1" w:styleId="H4">
    <w:name w:val="_ H_4"/>
    <w:basedOn w:val="Normal"/>
    <w:next w:val="SingleTxt"/>
    <w:qFormat/>
    <w:rsid w:val="006A4A3D"/>
    <w:pPr>
      <w:keepNext/>
      <w:keepLines/>
      <w:tabs>
        <w:tab w:val="right" w:pos="360"/>
      </w:tabs>
      <w:suppressAutoHyphens/>
      <w:outlineLvl w:val="3"/>
    </w:pPr>
    <w:rPr>
      <w:i/>
      <w:spacing w:val="3"/>
    </w:rPr>
  </w:style>
  <w:style w:type="paragraph" w:customStyle="1" w:styleId="H56">
    <w:name w:val="_ H_5/6"/>
    <w:basedOn w:val="Normal"/>
    <w:next w:val="Normal"/>
    <w:qFormat/>
    <w:rsid w:val="006A4A3D"/>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6A4A3D"/>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6A4A3D"/>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6A4A3D"/>
    <w:pPr>
      <w:spacing w:line="540" w:lineRule="exact"/>
    </w:pPr>
    <w:rPr>
      <w:spacing w:val="-8"/>
      <w:w w:val="96"/>
      <w:sz w:val="57"/>
    </w:rPr>
  </w:style>
  <w:style w:type="paragraph" w:customStyle="1" w:styleId="SS">
    <w:name w:val="__S_S"/>
    <w:basedOn w:val="HCH"/>
    <w:next w:val="Normal"/>
    <w:qFormat/>
    <w:rsid w:val="006A4A3D"/>
    <w:pPr>
      <w:ind w:left="1267" w:right="1267"/>
    </w:pPr>
  </w:style>
  <w:style w:type="paragraph" w:customStyle="1" w:styleId="SingleTxt">
    <w:name w:val="__Single Txt"/>
    <w:basedOn w:val="Normal"/>
    <w:qFormat/>
    <w:rsid w:val="006A4A3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6A4A3D"/>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6A4A3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6A4A3D"/>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6A4A3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A4A3D"/>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6A4A3D"/>
    <w:pPr>
      <w:numPr>
        <w:numId w:val="1"/>
      </w:numPr>
      <w:spacing w:after="120"/>
      <w:ind w:right="1267"/>
      <w:jc w:val="both"/>
    </w:pPr>
  </w:style>
  <w:style w:type="paragraph" w:customStyle="1" w:styleId="Bullet2">
    <w:name w:val="Bullet 2"/>
    <w:basedOn w:val="Normal"/>
    <w:qFormat/>
    <w:rsid w:val="006A4A3D"/>
    <w:pPr>
      <w:numPr>
        <w:numId w:val="2"/>
      </w:numPr>
      <w:spacing w:after="120"/>
      <w:ind w:right="1264"/>
      <w:jc w:val="both"/>
    </w:pPr>
  </w:style>
  <w:style w:type="paragraph" w:customStyle="1" w:styleId="Bullet3">
    <w:name w:val="Bullet 3"/>
    <w:basedOn w:val="SingleTxt"/>
    <w:qFormat/>
    <w:rsid w:val="006A4A3D"/>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6A4A3D"/>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6A4A3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6A4A3D"/>
    <w:pPr>
      <w:spacing w:line="210" w:lineRule="exact"/>
    </w:pPr>
    <w:rPr>
      <w:sz w:val="17"/>
      <w:szCs w:val="20"/>
    </w:rPr>
  </w:style>
  <w:style w:type="character" w:customStyle="1" w:styleId="EndnoteTextChar">
    <w:name w:val="Endnote Text Char"/>
    <w:link w:val="EndnoteText"/>
    <w:uiPriority w:val="99"/>
    <w:semiHidden/>
    <w:rsid w:val="006A4A3D"/>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6A4A3D"/>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6A4A3D"/>
    <w:rPr>
      <w:rFonts w:ascii="Times New Roman" w:eastAsiaTheme="minorHAnsi" w:hAnsi="Times New Roman" w:cs="Times New Roman"/>
      <w:b/>
      <w:spacing w:val="3"/>
      <w:w w:val="105"/>
      <w:sz w:val="17"/>
      <w:lang w:val="en-US" w:eastAsia="en-US"/>
    </w:rPr>
  </w:style>
  <w:style w:type="character" w:styleId="FootnoteReference">
    <w:name w:val="footnote reference"/>
    <w:aliases w:val="4_G"/>
    <w:uiPriority w:val="99"/>
    <w:qFormat/>
    <w:rsid w:val="006A4A3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qFormat/>
    <w:rsid w:val="006A4A3D"/>
    <w:pPr>
      <w:spacing w:line="210" w:lineRule="exact"/>
    </w:pPr>
    <w:rPr>
      <w:sz w:val="17"/>
      <w:szCs w:val="20"/>
    </w:rPr>
  </w:style>
  <w:style w:type="character" w:customStyle="1" w:styleId="FootnoteTextChar">
    <w:name w:val="Footnote Text Char"/>
    <w:aliases w:val="5_G Char"/>
    <w:link w:val="FootnoteText"/>
    <w:uiPriority w:val="99"/>
    <w:rsid w:val="006A4A3D"/>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6A4A3D"/>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6A4A3D"/>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6A4A3D"/>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6A4A3D"/>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6A4A3D"/>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6A4A3D"/>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6A4A3D"/>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6A4A3D"/>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6A4A3D"/>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6A4A3D"/>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6A4A3D"/>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6A4A3D"/>
    <w:rPr>
      <w:sz w:val="14"/>
    </w:rPr>
  </w:style>
  <w:style w:type="paragraph" w:styleId="ListParagraph">
    <w:name w:val="List Paragraph"/>
    <w:basedOn w:val="Normal"/>
    <w:uiPriority w:val="34"/>
    <w:rsid w:val="006A4A3D"/>
    <w:pPr>
      <w:ind w:left="720"/>
      <w:contextualSpacing/>
    </w:pPr>
  </w:style>
  <w:style w:type="paragraph" w:styleId="NoSpacing">
    <w:name w:val="No Spacing"/>
    <w:uiPriority w:val="1"/>
    <w:rsid w:val="006A4A3D"/>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6A4A3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6A4A3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6A4A3D"/>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6A4A3D"/>
    <w:pPr>
      <w:tabs>
        <w:tab w:val="right" w:pos="9965"/>
      </w:tabs>
      <w:spacing w:line="210" w:lineRule="exact"/>
    </w:pPr>
    <w:rPr>
      <w:spacing w:val="5"/>
      <w:w w:val="104"/>
      <w:sz w:val="17"/>
    </w:rPr>
  </w:style>
  <w:style w:type="paragraph" w:customStyle="1" w:styleId="SmallX">
    <w:name w:val="SmallX"/>
    <w:basedOn w:val="Small"/>
    <w:next w:val="Normal"/>
    <w:qFormat/>
    <w:rsid w:val="006A4A3D"/>
    <w:pPr>
      <w:spacing w:line="180" w:lineRule="exact"/>
      <w:jc w:val="right"/>
    </w:pPr>
    <w:rPr>
      <w:spacing w:val="6"/>
      <w:w w:val="106"/>
      <w:sz w:val="14"/>
    </w:rPr>
  </w:style>
  <w:style w:type="character" w:styleId="Strong">
    <w:name w:val="Strong"/>
    <w:uiPriority w:val="22"/>
    <w:rsid w:val="006A4A3D"/>
    <w:rPr>
      <w:b/>
      <w:bCs/>
    </w:rPr>
  </w:style>
  <w:style w:type="paragraph" w:customStyle="1" w:styleId="Style1">
    <w:name w:val="Style1"/>
    <w:basedOn w:val="Normal"/>
    <w:qFormat/>
    <w:rsid w:val="006A4A3D"/>
  </w:style>
  <w:style w:type="paragraph" w:customStyle="1" w:styleId="Style2">
    <w:name w:val="Style2"/>
    <w:basedOn w:val="Normal"/>
    <w:autoRedefine/>
    <w:qFormat/>
    <w:rsid w:val="006A4A3D"/>
  </w:style>
  <w:style w:type="paragraph" w:customStyle="1" w:styleId="TitleHCH">
    <w:name w:val="Title_H_CH"/>
    <w:basedOn w:val="H1"/>
    <w:next w:val="Normal"/>
    <w:qFormat/>
    <w:rsid w:val="006A4A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6A4A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6A4A3D"/>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47282C"/>
    <w:rPr>
      <w:sz w:val="16"/>
      <w:szCs w:val="16"/>
    </w:rPr>
  </w:style>
  <w:style w:type="paragraph" w:styleId="CommentText">
    <w:name w:val="annotation text"/>
    <w:basedOn w:val="Normal"/>
    <w:link w:val="CommentTextChar"/>
    <w:uiPriority w:val="99"/>
    <w:semiHidden/>
    <w:unhideWhenUsed/>
    <w:rsid w:val="0047282C"/>
    <w:pPr>
      <w:spacing w:line="240" w:lineRule="auto"/>
    </w:pPr>
    <w:rPr>
      <w:szCs w:val="20"/>
    </w:rPr>
  </w:style>
  <w:style w:type="character" w:customStyle="1" w:styleId="CommentTextChar">
    <w:name w:val="Comment Text Char"/>
    <w:basedOn w:val="DefaultParagraphFont"/>
    <w:link w:val="CommentText"/>
    <w:uiPriority w:val="99"/>
    <w:semiHidden/>
    <w:rsid w:val="0047282C"/>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47282C"/>
    <w:rPr>
      <w:b/>
      <w:bCs/>
    </w:rPr>
  </w:style>
  <w:style w:type="character" w:customStyle="1" w:styleId="CommentSubjectChar">
    <w:name w:val="Comment Subject Char"/>
    <w:basedOn w:val="CommentTextChar"/>
    <w:link w:val="CommentSubject"/>
    <w:uiPriority w:val="99"/>
    <w:semiHidden/>
    <w:rsid w:val="0047282C"/>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uiPriority w:val="59"/>
    <w:rsid w:val="00CA0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CA0011"/>
    <w:pPr>
      <w:suppressAutoHyphens/>
      <w:spacing w:after="120" w:line="240" w:lineRule="atLeast"/>
      <w:ind w:left="1134" w:right="1134"/>
      <w:jc w:val="both"/>
    </w:pPr>
    <w:rPr>
      <w:rFonts w:eastAsia="Times New Roman"/>
      <w:spacing w:val="0"/>
      <w:w w:val="100"/>
      <w:kern w:val="0"/>
      <w:szCs w:val="20"/>
      <w:lang w:val="en-GB"/>
    </w:rPr>
  </w:style>
  <w:style w:type="paragraph" w:customStyle="1" w:styleId="Bullet1G">
    <w:name w:val="_Bullet 1_G"/>
    <w:basedOn w:val="Normal"/>
    <w:qFormat/>
    <w:rsid w:val="00CA0011"/>
    <w:pPr>
      <w:numPr>
        <w:numId w:val="5"/>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qFormat/>
    <w:rsid w:val="00CA0011"/>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CA0011"/>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qFormat/>
    <w:rsid w:val="00CA0011"/>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character" w:styleId="Hyperlink">
    <w:name w:val="Hyperlink"/>
    <w:basedOn w:val="DefaultParagraphFont"/>
    <w:uiPriority w:val="99"/>
    <w:rsid w:val="00CA0011"/>
    <w:rPr>
      <w:color w:val="auto"/>
      <w:u w:val="single"/>
    </w:rPr>
  </w:style>
  <w:style w:type="character" w:customStyle="1" w:styleId="SingleTxtGChar">
    <w:name w:val="_ Single Txt_G Char"/>
    <w:link w:val="SingleTxtG"/>
    <w:locked/>
    <w:rsid w:val="00CA0011"/>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CA0011"/>
    <w:rPr>
      <w:color w:val="0000FF"/>
      <w:u w:val="single"/>
    </w:rPr>
  </w:style>
  <w:style w:type="paragraph" w:styleId="Revision">
    <w:name w:val="Revision"/>
    <w:hidden/>
    <w:uiPriority w:val="99"/>
    <w:semiHidden/>
    <w:rsid w:val="00CA0011"/>
    <w:pPr>
      <w:spacing w:after="0" w:line="240" w:lineRule="auto"/>
    </w:pPr>
    <w:rPr>
      <w:rFonts w:ascii="Calibri" w:eastAsia="Calibri" w:hAnsi="Calibri" w:cs="Times New Roman"/>
      <w:lang w:val="fr-FR" w:eastAsia="en-US"/>
    </w:rPr>
  </w:style>
  <w:style w:type="character" w:customStyle="1" w:styleId="Mention1">
    <w:name w:val="Mention1"/>
    <w:basedOn w:val="DefaultParagraphFont"/>
    <w:uiPriority w:val="99"/>
    <w:semiHidden/>
    <w:unhideWhenUsed/>
    <w:rsid w:val="00CA001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29561">
      <w:bodyDiv w:val="1"/>
      <w:marLeft w:val="0"/>
      <w:marRight w:val="0"/>
      <w:marTop w:val="0"/>
      <w:marBottom w:val="0"/>
      <w:divBdr>
        <w:top w:val="none" w:sz="0" w:space="0" w:color="auto"/>
        <w:left w:val="none" w:sz="0" w:space="0" w:color="auto"/>
        <w:bottom w:val="none" w:sz="0" w:space="0" w:color="auto"/>
        <w:right w:val="none" w:sz="0" w:space="0" w:color="auto"/>
      </w:divBdr>
    </w:div>
    <w:div w:id="179162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S/RES/1325(2000)" TargetMode="External"/><Relationship Id="rId3" Type="http://schemas.openxmlformats.org/officeDocument/2006/relationships/styles" Target="styles.xml"/><Relationship Id="rId21" Type="http://schemas.openxmlformats.org/officeDocument/2006/relationships/hyperlink" Target="https://undocs.org/fr/S/RES/1325(200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S/RES/1244(199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fr/CEDAW/C/SRB/CO/2-3" TargetMode="External"/><Relationship Id="rId20" Type="http://schemas.openxmlformats.org/officeDocument/2006/relationships/hyperlink" Target="https://undocs.org/fr/S/RES/1325(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www.sbn.rs" TargetMode="External"/><Relationship Id="rId10" Type="http://schemas.openxmlformats.org/officeDocument/2006/relationships/footer" Target="footer1.xml"/><Relationship Id="rId19" Type="http://schemas.openxmlformats.org/officeDocument/2006/relationships/hyperlink" Target="https://undocs.org/fr/S/RES/1325(200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fr/CEDAW/SRB/CO/2-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CEDAW/C/SRB/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C4E35-45F1-413E-97A6-E755818B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24022</Words>
  <Characters>128524</Characters>
  <Application>Microsoft Office Word</Application>
  <DocSecurity>0</DocSecurity>
  <Lines>2734</Lines>
  <Paragraphs>815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Es-Sbai</dc:creator>
  <cp:keywords/>
  <dc:description/>
  <cp:lastModifiedBy>Brigitte Herve</cp:lastModifiedBy>
  <cp:revision>4</cp:revision>
  <cp:lastPrinted>2017-12-21T01:16:00Z</cp:lastPrinted>
  <dcterms:created xsi:type="dcterms:W3CDTF">2017-12-21T01:16:00Z</dcterms:created>
  <dcterms:modified xsi:type="dcterms:W3CDTF">2017-12-21T01:23:00Z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1719397F</vt:lpwstr>
  </property>
  <property fmtid="{D5CDD505-2E9C-101B-9397-08002B2CF9AE}" pid="3" name="ODSRefJobNo">
    <vt:lpwstr>1736095F</vt:lpwstr>
  </property>
  <property fmtid="{D5CDD505-2E9C-101B-9397-08002B2CF9AE}" pid="4" name="Symbol1">
    <vt:lpwstr>CEDAW/C/SRB/4</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2 novembre 2017</vt:lpwstr>
  </property>
  <property fmtid="{D5CDD505-2E9C-101B-9397-08002B2CF9AE}" pid="14" name="Release Date">
    <vt:lpwstr/>
  </property>
  <property fmtid="{D5CDD505-2E9C-101B-9397-08002B2CF9AE}" pid="15" name="Title1">
    <vt:lpwstr>		Quatrième rapport périodique présenté par la Serbie _x000b_en application de l’article 18 de la Convention, attendu _x000b_en 2017*_x000d_</vt:lpwstr>
  </property>
</Properties>
</file>