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28" w:rsidRDefault="00556528" w:rsidP="00556528">
      <w:pPr>
        <w:spacing w:line="60" w:lineRule="exact"/>
        <w:rPr>
          <w:sz w:val="6"/>
        </w:rPr>
        <w:sectPr w:rsidR="00556528" w:rsidSect="00556528">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556528" w:rsidRDefault="00556528" w:rsidP="00556528">
      <w:pPr>
        <w:spacing w:line="60" w:lineRule="exact"/>
        <w:rPr>
          <w:sz w:val="6"/>
        </w:rPr>
      </w:pPr>
    </w:p>
    <w:p w:rsidR="000E0F0C" w:rsidRPr="005B37AB" w:rsidRDefault="000E0F0C" w:rsidP="000E0F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400" w:lineRule="exact"/>
        <w:ind w:left="1267" w:right="1260" w:hanging="1267"/>
        <w:rPr>
          <w:rFonts w:ascii="SimHei" w:eastAsia="SimHei" w:hint="eastAsia"/>
          <w:color w:val="FF0000"/>
          <w:sz w:val="24"/>
          <w:szCs w:val="24"/>
        </w:rPr>
      </w:pPr>
      <w:r w:rsidRPr="005B37AB">
        <w:rPr>
          <w:rFonts w:ascii="SimHei" w:eastAsia="SimHei" w:hint="eastAsia"/>
          <w:color w:val="FF0000"/>
          <w:sz w:val="24"/>
          <w:szCs w:val="24"/>
        </w:rPr>
        <w:t>消除对妇女歧视委员会</w:t>
      </w:r>
    </w:p>
    <w:p w:rsidR="000E0F0C" w:rsidRPr="005B37AB" w:rsidRDefault="000E0F0C" w:rsidP="000E0F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400" w:lineRule="exact"/>
        <w:ind w:left="1267" w:right="1260" w:hanging="1267"/>
        <w:rPr>
          <w:rFonts w:ascii="SimHei" w:eastAsia="SimHei" w:hint="eastAsia"/>
          <w:color w:val="FF0000"/>
          <w:sz w:val="24"/>
          <w:szCs w:val="24"/>
        </w:rPr>
      </w:pPr>
      <w:r w:rsidRPr="005B37AB">
        <w:rPr>
          <w:rFonts w:ascii="SimHei" w:eastAsia="SimHei" w:hint="eastAsia"/>
          <w:color w:val="FF0000"/>
          <w:sz w:val="24"/>
          <w:szCs w:val="24"/>
        </w:rPr>
        <w:t>会前工作组</w:t>
      </w:r>
    </w:p>
    <w:p w:rsidR="000E0F0C" w:rsidRPr="00C1195A" w:rsidRDefault="000E0F0C" w:rsidP="000E0F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400" w:lineRule="exact"/>
        <w:ind w:left="1267" w:right="1260" w:hanging="1267"/>
        <w:rPr>
          <w:rFonts w:ascii="SimHei" w:eastAsia="SimHei" w:hint="eastAsia"/>
          <w:color w:val="FF0000"/>
          <w:sz w:val="24"/>
          <w:szCs w:val="24"/>
        </w:rPr>
      </w:pPr>
      <w:r w:rsidRPr="00C1195A">
        <w:rPr>
          <w:rFonts w:ascii="SimHei" w:eastAsia="SimHei" w:hint="eastAsia"/>
          <w:color w:val="FF0000"/>
          <w:sz w:val="24"/>
          <w:szCs w:val="24"/>
        </w:rPr>
        <w:t>第三十七届会议</w:t>
      </w:r>
    </w:p>
    <w:p w:rsidR="000E0F0C" w:rsidRDefault="000E0F0C" w:rsidP="000E0F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400" w:lineRule="exact"/>
        <w:ind w:left="1267" w:right="1260" w:hanging="1267"/>
        <w:rPr>
          <w:rFonts w:hint="eastAsia"/>
        </w:rPr>
      </w:pPr>
      <w:r>
        <w:rPr>
          <w:rFonts w:hint="eastAsia"/>
        </w:rPr>
        <w:t>2007年1月15日至2月2日</w:t>
      </w:r>
    </w:p>
    <w:p w:rsidR="000E0F0C" w:rsidRDefault="000E0F0C" w:rsidP="00B32EA6">
      <w:pPr>
        <w:pStyle w:val="SingleTxt"/>
      </w:pPr>
    </w:p>
    <w:p w:rsidR="000E0F0C" w:rsidRDefault="000E0F0C" w:rsidP="000E0F0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与审议第三次定期报告有关的议题和问题清单的答复</w:t>
      </w:r>
    </w:p>
    <w:p w:rsidR="000E0F0C" w:rsidRPr="000E0F0C" w:rsidRDefault="000E0F0C" w:rsidP="000E0F0C">
      <w:pPr>
        <w:pStyle w:val="SingleTxt"/>
        <w:spacing w:after="0" w:line="120" w:lineRule="exact"/>
        <w:rPr>
          <w:rFonts w:hint="eastAsia"/>
          <w:sz w:val="10"/>
        </w:rPr>
      </w:pPr>
    </w:p>
    <w:p w:rsidR="000E0F0C" w:rsidRPr="000E0F0C" w:rsidRDefault="000E0F0C" w:rsidP="000E0F0C">
      <w:pPr>
        <w:pStyle w:val="SingleTxt"/>
        <w:spacing w:after="0" w:line="120" w:lineRule="exact"/>
        <w:rPr>
          <w:rFonts w:hint="eastAsia"/>
          <w:sz w:val="10"/>
        </w:rPr>
      </w:pPr>
    </w:p>
    <w:p w:rsidR="000E0F0C" w:rsidRDefault="000E0F0C" w:rsidP="000E0F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hint="eastAsia"/>
        </w:rPr>
        <w:tab/>
      </w:r>
      <w:r>
        <w:rPr>
          <w:rFonts w:hint="eastAsia"/>
        </w:rPr>
        <w:tab/>
        <w:t>苏里南</w:t>
      </w:r>
    </w:p>
    <w:p w:rsidR="000E0F0C" w:rsidRPr="000E0F0C" w:rsidRDefault="000E0F0C" w:rsidP="000E0F0C">
      <w:pPr>
        <w:pStyle w:val="SingleTxt"/>
        <w:spacing w:after="0" w:line="120" w:lineRule="exact"/>
        <w:rPr>
          <w:sz w:val="10"/>
        </w:rPr>
      </w:pPr>
    </w:p>
    <w:p w:rsidR="000E0F0C" w:rsidRPr="000E0F0C" w:rsidRDefault="000E0F0C" w:rsidP="000E0F0C">
      <w:pPr>
        <w:pStyle w:val="SingleTxt"/>
        <w:spacing w:after="0" w:line="120" w:lineRule="exact"/>
        <w:rPr>
          <w:sz w:val="10"/>
        </w:rPr>
      </w:pPr>
    </w:p>
    <w:p w:rsidR="000E0F0C" w:rsidRDefault="000E0F0C" w:rsidP="000E0F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br w:type="page"/>
      </w:r>
      <w:r>
        <w:rPr>
          <w:rFonts w:hint="eastAsia"/>
        </w:rPr>
        <w:tab/>
      </w:r>
      <w:r>
        <w:rPr>
          <w:rFonts w:hint="eastAsia"/>
        </w:rPr>
        <w:tab/>
        <w:t>与审议苏里南关于《消除对妇女一切形式歧视公约》执行情况第三次定期报告有关的议题和问题清单</w:t>
      </w:r>
    </w:p>
    <w:p w:rsidR="000E0F0C" w:rsidRPr="000E0F0C" w:rsidRDefault="000E0F0C" w:rsidP="000E0F0C">
      <w:pPr>
        <w:pStyle w:val="SingleTxt"/>
        <w:spacing w:after="0" w:line="120" w:lineRule="exact"/>
        <w:rPr>
          <w:rFonts w:hint="eastAsia"/>
          <w:sz w:val="10"/>
        </w:rPr>
      </w:pPr>
    </w:p>
    <w:p w:rsidR="000E0F0C" w:rsidRPr="000E0F0C" w:rsidRDefault="000E0F0C" w:rsidP="000E0F0C">
      <w:pPr>
        <w:pStyle w:val="SingleTxt"/>
        <w:spacing w:after="0" w:line="120" w:lineRule="exact"/>
        <w:rPr>
          <w:rFonts w:hint="eastAsia"/>
          <w:sz w:val="10"/>
        </w:rPr>
      </w:pPr>
    </w:p>
    <w:p w:rsidR="000E0F0C" w:rsidRDefault="000E0F0C" w:rsidP="000E0F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宪法、法律和国家机制</w:t>
      </w:r>
    </w:p>
    <w:p w:rsidR="000E0F0C" w:rsidRPr="000E0F0C" w:rsidRDefault="000E0F0C" w:rsidP="000E0F0C">
      <w:pPr>
        <w:pStyle w:val="SingleTxt"/>
        <w:spacing w:after="0" w:line="120" w:lineRule="exact"/>
        <w:rPr>
          <w:rFonts w:hint="eastAsia"/>
          <w:sz w:val="10"/>
        </w:rPr>
      </w:pPr>
    </w:p>
    <w:p w:rsidR="000E0F0C" w:rsidRPr="000E0F0C" w:rsidRDefault="000E0F0C" w:rsidP="000E0F0C">
      <w:pPr>
        <w:pStyle w:val="SingleTxt"/>
        <w:spacing w:after="0" w:line="120" w:lineRule="exact"/>
        <w:rPr>
          <w:rFonts w:hint="eastAsia"/>
          <w:sz w:val="10"/>
        </w:rPr>
      </w:pPr>
    </w:p>
    <w:p w:rsidR="000E0F0C" w:rsidRDefault="000E0F0C" w:rsidP="00B32EA6">
      <w:pPr>
        <w:pStyle w:val="SingleTxt"/>
        <w:rPr>
          <w:rFonts w:hint="eastAsia"/>
        </w:rPr>
      </w:pPr>
      <w:r>
        <w:rPr>
          <w:rFonts w:hint="eastAsia"/>
        </w:rPr>
        <w:t>1.</w:t>
      </w:r>
      <w:r>
        <w:tab/>
      </w:r>
      <w:r>
        <w:rPr>
          <w:rFonts w:hint="eastAsia"/>
        </w:rPr>
        <w:t>委员会在2002年结论意见中建议该缔约国采取步骤，将《公约》纳入国内法，并且建立程序，使妇女能够有效地强制实施禁止性别歧视的规定。</w:t>
      </w:r>
      <w:r w:rsidRPr="000E0F0C">
        <w:rPr>
          <w:rStyle w:val="FootnoteReference"/>
        </w:rPr>
        <w:footnoteReference w:id="1"/>
      </w:r>
      <w:r>
        <w:rPr>
          <w:rFonts w:hint="eastAsia"/>
        </w:rPr>
        <w:t xml:space="preserve"> 请指出根据该建议采取的后续行动，并且根据委员会的要求，提供关于妇女是否在国内法庭援引过《公约》和《宪法》的信息。</w:t>
      </w:r>
    </w:p>
    <w:p w:rsidR="000E0F0C" w:rsidRPr="003828DB" w:rsidRDefault="000E0F0C" w:rsidP="00B32EA6">
      <w:pPr>
        <w:pStyle w:val="SingleTxt"/>
        <w:rPr>
          <w:rFonts w:ascii="SimHei" w:eastAsia="SimHei" w:hint="eastAsia"/>
          <w:color w:val="FF0000"/>
        </w:rPr>
      </w:pPr>
      <w:r w:rsidRPr="003828DB">
        <w:rPr>
          <w:rFonts w:ascii="SimHei" w:eastAsia="SimHei" w:hint="eastAsia"/>
          <w:color w:val="FF0000"/>
        </w:rPr>
        <w:t>为了将《公约》纳入国内法，内政部采取了以下行动：</w:t>
      </w:r>
    </w:p>
    <w:p w:rsidR="000E0F0C" w:rsidRDefault="000E0F0C" w:rsidP="00B32EA6">
      <w:pPr>
        <w:pStyle w:val="SingleTxt"/>
        <w:ind w:left="2126" w:hanging="431"/>
        <w:rPr>
          <w:rFonts w:hint="eastAsia"/>
        </w:rPr>
      </w:pPr>
      <w:r>
        <w:rPr>
          <w:rFonts w:hint="eastAsia"/>
        </w:rPr>
        <w:sym w:font="Symbol" w:char="F0B7"/>
      </w:r>
      <w:r>
        <w:tab/>
      </w:r>
      <w:r>
        <w:rPr>
          <w:rFonts w:hint="eastAsia"/>
        </w:rPr>
        <w:t>出版《公约》；</w:t>
      </w:r>
    </w:p>
    <w:p w:rsidR="000E0F0C" w:rsidRDefault="000E0F0C" w:rsidP="00B32EA6">
      <w:pPr>
        <w:pStyle w:val="SingleTxt"/>
        <w:ind w:left="2126" w:hanging="431"/>
        <w:rPr>
          <w:rFonts w:hint="eastAsia"/>
        </w:rPr>
      </w:pPr>
      <w:r>
        <w:rPr>
          <w:rFonts w:hint="eastAsia"/>
        </w:rPr>
        <w:sym w:font="Symbol" w:char="F0B7"/>
      </w:r>
      <w:r>
        <w:tab/>
      </w:r>
      <w:r>
        <w:rPr>
          <w:rFonts w:hint="eastAsia"/>
        </w:rPr>
        <w:t>设立社会性别问题立法委员会。</w:t>
      </w:r>
    </w:p>
    <w:p w:rsidR="000E0F0C" w:rsidRPr="003828DB" w:rsidRDefault="000E0F0C" w:rsidP="00B32EA6">
      <w:pPr>
        <w:pStyle w:val="SingleTxt"/>
        <w:rPr>
          <w:rFonts w:ascii="SimHei" w:eastAsia="SimHei" w:hint="eastAsia"/>
          <w:color w:val="FF0000"/>
        </w:rPr>
      </w:pPr>
      <w:r w:rsidRPr="003828DB">
        <w:rPr>
          <w:rFonts w:ascii="SimHei" w:eastAsia="SimHei" w:hint="eastAsia"/>
          <w:color w:val="FF0000"/>
        </w:rPr>
        <w:t>委员会的主要任务是：</w:t>
      </w:r>
    </w:p>
    <w:p w:rsidR="000E0F0C" w:rsidRDefault="000E0F0C" w:rsidP="00B32EA6">
      <w:pPr>
        <w:pStyle w:val="SingleTxt"/>
        <w:rPr>
          <w:rFonts w:hint="eastAsia"/>
        </w:rPr>
      </w:pPr>
      <w:r>
        <w:tab/>
      </w:r>
      <w:r>
        <w:rPr>
          <w:rFonts w:hint="eastAsia"/>
        </w:rPr>
        <w:t>(a)</w:t>
      </w:r>
      <w:r>
        <w:tab/>
      </w:r>
      <w:r>
        <w:rPr>
          <w:rFonts w:hint="eastAsia"/>
        </w:rPr>
        <w:t>评估政府对妇女权利公约的政策和社会发展事态；</w:t>
      </w:r>
    </w:p>
    <w:p w:rsidR="000E0F0C" w:rsidRDefault="000E0F0C" w:rsidP="00B32EA6">
      <w:pPr>
        <w:pStyle w:val="SingleTxt"/>
        <w:rPr>
          <w:rFonts w:hint="eastAsia"/>
        </w:rPr>
      </w:pPr>
      <w:r>
        <w:tab/>
      </w:r>
      <w:r>
        <w:rPr>
          <w:rFonts w:hint="eastAsia"/>
        </w:rPr>
        <w:t>(b)</w:t>
      </w:r>
      <w:r>
        <w:tab/>
      </w:r>
      <w:r>
        <w:rPr>
          <w:rFonts w:hint="eastAsia"/>
        </w:rPr>
        <w:t>评价并酌情修订促进妇女权利和社会性别平等主流化的立法；</w:t>
      </w:r>
    </w:p>
    <w:p w:rsidR="000E0F0C" w:rsidRDefault="000E0F0C" w:rsidP="00B32EA6">
      <w:pPr>
        <w:pStyle w:val="SingleTxt"/>
        <w:rPr>
          <w:rFonts w:hint="eastAsia"/>
        </w:rPr>
      </w:pPr>
      <w:r>
        <w:tab/>
      </w:r>
      <w:r>
        <w:rPr>
          <w:rFonts w:hint="eastAsia"/>
        </w:rPr>
        <w:t>(c)</w:t>
      </w:r>
      <w:r>
        <w:tab/>
      </w:r>
      <w:r>
        <w:rPr>
          <w:rFonts w:hint="eastAsia"/>
        </w:rPr>
        <w:t>调整可视为对妇女具有歧视性的立法。</w:t>
      </w:r>
    </w:p>
    <w:p w:rsidR="000E0F0C" w:rsidRPr="003828DB" w:rsidRDefault="000E0F0C" w:rsidP="00B32EA6">
      <w:pPr>
        <w:pStyle w:val="SingleTxt"/>
        <w:rPr>
          <w:rFonts w:ascii="SimHei" w:eastAsia="SimHei" w:hint="eastAsia"/>
          <w:color w:val="FF0000"/>
        </w:rPr>
      </w:pPr>
      <w:r w:rsidRPr="003828DB">
        <w:rPr>
          <w:rFonts w:ascii="SimHei" w:eastAsia="SimHei" w:hint="eastAsia"/>
          <w:color w:val="FF0000"/>
        </w:rPr>
        <w:t>社会性别问题立法委员会向司法和警务部提出了各种立法草案，例如：</w:t>
      </w:r>
    </w:p>
    <w:p w:rsidR="000E0F0C" w:rsidRDefault="000E0F0C" w:rsidP="00B32EA6">
      <w:pPr>
        <w:pStyle w:val="SingleTxt"/>
        <w:rPr>
          <w:rFonts w:hint="eastAsia"/>
        </w:rPr>
      </w:pPr>
      <w:r>
        <w:tab/>
      </w:r>
      <w:r>
        <w:rPr>
          <w:rFonts w:hint="eastAsia"/>
        </w:rPr>
        <w:t>(a)</w:t>
      </w:r>
      <w:r>
        <w:tab/>
      </w:r>
      <w:r>
        <w:rPr>
          <w:rFonts w:hint="eastAsia"/>
        </w:rPr>
        <w:t>《人事法》若干条款修正案；</w:t>
      </w:r>
    </w:p>
    <w:p w:rsidR="000E0F0C" w:rsidRDefault="000E0F0C" w:rsidP="00B32EA6">
      <w:pPr>
        <w:pStyle w:val="SingleTxt"/>
        <w:rPr>
          <w:rFonts w:hint="eastAsia"/>
        </w:rPr>
      </w:pPr>
      <w:r>
        <w:tab/>
      </w:r>
      <w:r>
        <w:rPr>
          <w:rFonts w:hint="eastAsia"/>
        </w:rPr>
        <w:t>(b)</w:t>
      </w:r>
      <w:r>
        <w:tab/>
      </w:r>
      <w:r>
        <w:rPr>
          <w:rFonts w:hint="eastAsia"/>
        </w:rPr>
        <w:t>《旅行和临时随行法令》修正案；</w:t>
      </w:r>
    </w:p>
    <w:p w:rsidR="000E0F0C" w:rsidRDefault="000E0F0C" w:rsidP="00B32EA6">
      <w:pPr>
        <w:pStyle w:val="SingleTxt"/>
        <w:rPr>
          <w:rFonts w:hint="eastAsia"/>
        </w:rPr>
      </w:pPr>
      <w:r>
        <w:tab/>
      </w:r>
      <w:r>
        <w:rPr>
          <w:rFonts w:hint="eastAsia"/>
        </w:rPr>
        <w:t>(c)</w:t>
      </w:r>
      <w:r>
        <w:tab/>
      </w:r>
      <w:r>
        <w:rPr>
          <w:rFonts w:hint="eastAsia"/>
        </w:rPr>
        <w:t>《刑法》家庭暴力和性犯罪条款修正案；</w:t>
      </w:r>
    </w:p>
    <w:p w:rsidR="000E0F0C" w:rsidRDefault="000E0F0C" w:rsidP="00B32EA6">
      <w:pPr>
        <w:pStyle w:val="SingleTxt"/>
        <w:rPr>
          <w:rFonts w:hint="eastAsia"/>
        </w:rPr>
      </w:pPr>
      <w:r>
        <w:tab/>
      </w:r>
      <w:r>
        <w:rPr>
          <w:rFonts w:hint="eastAsia"/>
        </w:rPr>
        <w:t>(d)</w:t>
      </w:r>
      <w:r>
        <w:tab/>
      </w:r>
      <w:r>
        <w:rPr>
          <w:rFonts w:hint="eastAsia"/>
        </w:rPr>
        <w:t>提出关于跟踪问题的法律；</w:t>
      </w:r>
    </w:p>
    <w:p w:rsidR="000E0F0C" w:rsidRDefault="000E0F0C" w:rsidP="00B32EA6">
      <w:pPr>
        <w:pStyle w:val="SingleTxt"/>
        <w:rPr>
          <w:rFonts w:hint="eastAsia"/>
        </w:rPr>
      </w:pPr>
      <w:r>
        <w:tab/>
      </w:r>
      <w:r>
        <w:rPr>
          <w:rFonts w:hint="eastAsia"/>
        </w:rPr>
        <w:t>(e)</w:t>
      </w:r>
      <w:r>
        <w:tab/>
      </w:r>
      <w:r>
        <w:rPr>
          <w:rFonts w:hint="eastAsia"/>
        </w:rPr>
        <w:t>制定男女平等待遇法律并设立投诉局；</w:t>
      </w:r>
    </w:p>
    <w:p w:rsidR="000E0F0C" w:rsidRDefault="000E0F0C" w:rsidP="00B32EA6">
      <w:pPr>
        <w:pStyle w:val="SingleTxt"/>
        <w:rPr>
          <w:rFonts w:hint="eastAsia"/>
        </w:rPr>
      </w:pPr>
      <w:r>
        <w:tab/>
      </w:r>
      <w:r>
        <w:rPr>
          <w:rFonts w:hint="eastAsia"/>
        </w:rPr>
        <w:t>(f)</w:t>
      </w:r>
      <w:r>
        <w:tab/>
      </w:r>
      <w:r>
        <w:rPr>
          <w:rFonts w:hint="eastAsia"/>
        </w:rPr>
        <w:t>《国籍和居留法》、关于执行《身份证法》和《选举法》的《国家法令》修正案，该修正案矫正上述立法中的隔离规定。</w:t>
      </w:r>
    </w:p>
    <w:p w:rsidR="000E0F0C" w:rsidRDefault="000E0F0C" w:rsidP="00B32EA6">
      <w:pPr>
        <w:pStyle w:val="SingleTxt"/>
        <w:rPr>
          <w:rFonts w:hint="eastAsia"/>
        </w:rPr>
      </w:pPr>
      <w:r>
        <w:rPr>
          <w:rFonts w:hint="eastAsia"/>
        </w:rPr>
        <w:tab/>
        <w:t>目前正在审查若干上述立法，审查之后，将向部长理事会提交这些立法，供其核准。上文(b)段和(f)段（《选举法》）的修正案已经获得核准。</w:t>
      </w:r>
    </w:p>
    <w:p w:rsidR="000E0F0C" w:rsidRPr="003828DB" w:rsidRDefault="000E0F0C" w:rsidP="00B32EA6">
      <w:pPr>
        <w:pStyle w:val="SingleTxt"/>
        <w:rPr>
          <w:rFonts w:ascii="SimHei" w:eastAsia="SimHei" w:hint="eastAsia"/>
          <w:color w:val="FF0000"/>
        </w:rPr>
      </w:pPr>
      <w:r w:rsidRPr="003828DB">
        <w:rPr>
          <w:rFonts w:ascii="SimHei" w:eastAsia="SimHei" w:hint="eastAsia"/>
          <w:color w:val="FF0000"/>
        </w:rPr>
        <w:t>2000-2005年性别问题综合行动计划（综合行动计划）重视的焦点是以下各领域：</w:t>
      </w:r>
    </w:p>
    <w:p w:rsidR="000E0F0C" w:rsidRDefault="000E0F0C" w:rsidP="00B32EA6">
      <w:pPr>
        <w:pStyle w:val="SingleTxt"/>
        <w:ind w:left="2126" w:hanging="431"/>
        <w:rPr>
          <w:rFonts w:hint="eastAsia"/>
        </w:rPr>
      </w:pPr>
      <w:r>
        <w:t>-</w:t>
      </w:r>
      <w:r>
        <w:tab/>
      </w:r>
      <w:r>
        <w:rPr>
          <w:rFonts w:hint="eastAsia"/>
        </w:rPr>
        <w:t>为男子和妇女创造平等机会，并消除妇女在男子面前受到的歧视；</w:t>
      </w:r>
    </w:p>
    <w:p w:rsidR="000E0F0C" w:rsidRDefault="000E0F0C" w:rsidP="00B32EA6">
      <w:pPr>
        <w:pStyle w:val="SingleTxt"/>
        <w:ind w:left="2126" w:hanging="431"/>
        <w:rPr>
          <w:rFonts w:hint="eastAsia"/>
        </w:rPr>
      </w:pPr>
      <w:r>
        <w:t>-</w:t>
      </w:r>
      <w:r>
        <w:tab/>
      </w:r>
      <w:r>
        <w:rPr>
          <w:rFonts w:hint="eastAsia"/>
        </w:rPr>
        <w:t>承认妇女权利是特殊人权；</w:t>
      </w:r>
    </w:p>
    <w:p w:rsidR="000E0F0C" w:rsidRDefault="000E0F0C" w:rsidP="00B32EA6">
      <w:pPr>
        <w:pStyle w:val="SingleTxt"/>
        <w:ind w:left="2126" w:hanging="431"/>
        <w:rPr>
          <w:rFonts w:hint="eastAsia"/>
        </w:rPr>
      </w:pPr>
      <w:r>
        <w:t>-</w:t>
      </w:r>
      <w:r>
        <w:tab/>
      </w:r>
      <w:r>
        <w:rPr>
          <w:rFonts w:hint="eastAsia"/>
        </w:rPr>
        <w:t>消除针对妇女的一切形式暴力行为；</w:t>
      </w:r>
    </w:p>
    <w:p w:rsidR="000E0F0C" w:rsidRDefault="000E0F0C" w:rsidP="00B32EA6">
      <w:pPr>
        <w:pStyle w:val="SingleTxt"/>
        <w:ind w:left="2126" w:hanging="431"/>
        <w:rPr>
          <w:rFonts w:hint="eastAsia"/>
        </w:rPr>
      </w:pPr>
      <w:r>
        <w:t>-</w:t>
      </w:r>
      <w:r>
        <w:tab/>
      </w:r>
      <w:r>
        <w:rPr>
          <w:rFonts w:hint="eastAsia"/>
        </w:rPr>
        <w:t>在妇女于行政部门任职人数方面采取积极的区别对待做法。</w:t>
      </w:r>
    </w:p>
    <w:p w:rsidR="000E0F0C" w:rsidRDefault="000E0F0C" w:rsidP="00B32EA6">
      <w:pPr>
        <w:pStyle w:val="SingleTxt"/>
        <w:rPr>
          <w:rFonts w:hint="eastAsia"/>
        </w:rPr>
      </w:pPr>
      <w:r>
        <w:rPr>
          <w:rFonts w:hint="eastAsia"/>
        </w:rPr>
        <w:tab/>
        <w:t>性别问题综合行动计划的两个主题是，妇女人权和针对妇女的暴力行为。</w:t>
      </w:r>
    </w:p>
    <w:p w:rsidR="000E0F0C" w:rsidRDefault="000E0F0C" w:rsidP="00B32EA6">
      <w:pPr>
        <w:pStyle w:val="SingleTxt"/>
        <w:rPr>
          <w:rFonts w:hint="eastAsia"/>
        </w:rPr>
      </w:pPr>
      <w:r>
        <w:rPr>
          <w:rFonts w:hint="eastAsia"/>
        </w:rPr>
        <w:tab/>
        <w:t>目标是：</w:t>
      </w:r>
    </w:p>
    <w:p w:rsidR="000E0F0C" w:rsidRDefault="000E0F0C" w:rsidP="00B32EA6">
      <w:pPr>
        <w:pStyle w:val="SingleTxt"/>
        <w:rPr>
          <w:rFonts w:hint="eastAsia"/>
        </w:rPr>
      </w:pPr>
      <w:r>
        <w:tab/>
      </w:r>
      <w:r>
        <w:rPr>
          <w:rFonts w:hint="eastAsia"/>
        </w:rPr>
        <w:t>(a)</w:t>
      </w:r>
      <w:r>
        <w:tab/>
      </w:r>
      <w:r>
        <w:rPr>
          <w:rFonts w:hint="eastAsia"/>
        </w:rPr>
        <w:t>通过充分执行所有人权文书，尤其是通过充分执行《消除对妇女一切形式歧视公约》，促进和保护妇女人权；</w:t>
      </w:r>
    </w:p>
    <w:p w:rsidR="000E0F0C" w:rsidRDefault="000E0F0C" w:rsidP="00B32EA6">
      <w:pPr>
        <w:pStyle w:val="SingleTxt"/>
        <w:rPr>
          <w:rFonts w:hint="eastAsia"/>
        </w:rPr>
      </w:pPr>
      <w:r>
        <w:tab/>
      </w:r>
      <w:r>
        <w:rPr>
          <w:rFonts w:hint="eastAsia"/>
        </w:rPr>
        <w:t>(b)</w:t>
      </w:r>
      <w:r>
        <w:tab/>
      </w:r>
      <w:r>
        <w:rPr>
          <w:rFonts w:hint="eastAsia"/>
        </w:rPr>
        <w:t>确保在法律上和实践中实现平等和不歧视。</w:t>
      </w:r>
    </w:p>
    <w:p w:rsidR="000E0F0C" w:rsidRDefault="000E0F0C" w:rsidP="00B32EA6">
      <w:pPr>
        <w:pStyle w:val="SingleTxt"/>
        <w:rPr>
          <w:rFonts w:hint="eastAsia"/>
        </w:rPr>
      </w:pPr>
      <w:r>
        <w:rPr>
          <w:rFonts w:hint="eastAsia"/>
        </w:rPr>
        <w:tab/>
        <w:t>2006-2010年性别问题综合行动计划还在人权主题下提到以下目标：</w:t>
      </w:r>
    </w:p>
    <w:p w:rsidR="000E0F0C" w:rsidRDefault="000E0F0C" w:rsidP="00B32EA6">
      <w:pPr>
        <w:pStyle w:val="SingleTxt"/>
        <w:rPr>
          <w:rFonts w:hint="eastAsia"/>
        </w:rPr>
      </w:pPr>
      <w:r>
        <w:rPr>
          <w:rFonts w:hint="eastAsia"/>
        </w:rPr>
        <w:tab/>
        <w:t>“通过制定和执行符合国际人权公约的（经过调整的）立法和措施以及建立此种机构，提高对妇女人权的认识”。</w:t>
      </w:r>
    </w:p>
    <w:p w:rsidR="000E0F0C" w:rsidRDefault="000E0F0C" w:rsidP="00B32EA6">
      <w:pPr>
        <w:pStyle w:val="SingleTxt"/>
        <w:rPr>
          <w:rFonts w:hint="eastAsia"/>
        </w:rPr>
      </w:pPr>
      <w:r>
        <w:rPr>
          <w:rFonts w:hint="eastAsia"/>
        </w:rPr>
        <w:tab/>
        <w:t>迄今，尚没有任何妇女在国内法庭援引《公约》和《宪法》。</w:t>
      </w:r>
    </w:p>
    <w:p w:rsidR="000E0F0C" w:rsidRDefault="000E0F0C" w:rsidP="00B32EA6">
      <w:pPr>
        <w:pStyle w:val="SingleTxt"/>
        <w:rPr>
          <w:rFonts w:hint="eastAsia"/>
        </w:rPr>
      </w:pPr>
      <w:r>
        <w:rPr>
          <w:rFonts w:hint="eastAsia"/>
        </w:rPr>
        <w:t>2.</w:t>
      </w:r>
      <w:r>
        <w:tab/>
      </w:r>
      <w:r>
        <w:rPr>
          <w:rFonts w:hint="eastAsia"/>
        </w:rPr>
        <w:t>请提供信息，介绍对歧视妇女法律进行审查和修订的现状，包括但不局限于关于《刑法》、《人事法》、《事故条例》和《婚姻法》及《保险法》的修正案。</w:t>
      </w:r>
    </w:p>
    <w:p w:rsidR="000E0F0C" w:rsidRPr="003828DB" w:rsidRDefault="000E0F0C" w:rsidP="00B32EA6">
      <w:pPr>
        <w:pStyle w:val="SingleTxt"/>
        <w:rPr>
          <w:rFonts w:ascii="SimHei" w:eastAsia="SimHei" w:hint="eastAsia"/>
          <w:color w:val="FF0000"/>
        </w:rPr>
      </w:pPr>
      <w:r w:rsidRPr="003828DB">
        <w:rPr>
          <w:rFonts w:ascii="SimHei" w:eastAsia="SimHei" w:hint="eastAsia"/>
          <w:color w:val="FF0000"/>
        </w:rPr>
        <w:t>对歧视妇女法律进行审查和修订的现状：</w:t>
      </w:r>
    </w:p>
    <w:p w:rsidR="000E0F0C" w:rsidRDefault="000E0F0C" w:rsidP="00B32EA6">
      <w:pPr>
        <w:pStyle w:val="SingleTxt"/>
        <w:rPr>
          <w:rFonts w:hint="eastAsia"/>
        </w:rPr>
      </w:pPr>
      <w:r>
        <w:tab/>
      </w:r>
      <w:r>
        <w:rPr>
          <w:rFonts w:hint="eastAsia"/>
        </w:rPr>
        <w:t>(a)</w:t>
      </w:r>
      <w:r>
        <w:tab/>
      </w:r>
      <w:r w:rsidRPr="00F37267">
        <w:rPr>
          <w:rFonts w:ascii="KaiTi_GB2312" w:eastAsia="KaiTi_GB2312" w:hint="eastAsia"/>
          <w:color w:val="0000FF"/>
        </w:rPr>
        <w:t>《刑法》</w:t>
      </w:r>
      <w:r>
        <w:rPr>
          <w:rFonts w:hint="eastAsia"/>
        </w:rPr>
        <w:t>：</w:t>
      </w:r>
    </w:p>
    <w:p w:rsidR="000E0F0C" w:rsidRDefault="000E0F0C" w:rsidP="00B32EA6">
      <w:pPr>
        <w:pStyle w:val="SingleTxt"/>
        <w:rPr>
          <w:rFonts w:hint="eastAsia"/>
        </w:rPr>
      </w:pPr>
      <w:r>
        <w:tab/>
      </w:r>
      <w:r>
        <w:rPr>
          <w:rFonts w:hint="eastAsia"/>
        </w:rPr>
        <w:t>已设立一个刑法草案咨询委员会，以审查《刑法》。</w:t>
      </w:r>
    </w:p>
    <w:p w:rsidR="000E0F0C" w:rsidRDefault="000E0F0C" w:rsidP="00B32EA6">
      <w:pPr>
        <w:pStyle w:val="SingleTxt"/>
        <w:rPr>
          <w:rFonts w:hint="eastAsia"/>
        </w:rPr>
      </w:pPr>
      <w:r>
        <w:tab/>
      </w:r>
      <w:r>
        <w:rPr>
          <w:rFonts w:hint="eastAsia"/>
        </w:rPr>
        <w:t>(b)</w:t>
      </w:r>
      <w:r>
        <w:tab/>
      </w:r>
      <w:r w:rsidRPr="00F37267">
        <w:rPr>
          <w:rFonts w:ascii="KaiTi_GB2312" w:eastAsia="KaiTi_GB2312" w:hint="eastAsia"/>
          <w:color w:val="0000FF"/>
        </w:rPr>
        <w:t>《人事法》</w:t>
      </w:r>
      <w:r>
        <w:rPr>
          <w:rFonts w:hint="eastAsia"/>
        </w:rPr>
        <w:t>：</w:t>
      </w:r>
    </w:p>
    <w:p w:rsidR="000E0F0C" w:rsidRDefault="000E0F0C" w:rsidP="00B32EA6">
      <w:pPr>
        <w:pStyle w:val="SingleTxt"/>
        <w:rPr>
          <w:rFonts w:hint="eastAsia"/>
        </w:rPr>
      </w:pPr>
      <w:r>
        <w:tab/>
      </w:r>
      <w:r>
        <w:rPr>
          <w:rFonts w:hint="eastAsia"/>
        </w:rPr>
        <w:t>上次修订《人事法》的立法是2003年10月7日的《国家法》。其中对1989年豁免决议提出了一个比较具体的修订案，以确定怀孕和产假标准。</w:t>
      </w:r>
    </w:p>
    <w:p w:rsidR="000E0F0C" w:rsidRDefault="000E0F0C" w:rsidP="00B32EA6">
      <w:pPr>
        <w:pStyle w:val="SingleTxt"/>
        <w:rPr>
          <w:rFonts w:hint="eastAsia"/>
        </w:rPr>
      </w:pPr>
      <w:r>
        <w:tab/>
      </w:r>
      <w:r>
        <w:rPr>
          <w:rFonts w:hint="eastAsia"/>
        </w:rPr>
        <w:t>(c)</w:t>
      </w:r>
      <w:r>
        <w:tab/>
      </w:r>
      <w:r w:rsidRPr="00F37267">
        <w:rPr>
          <w:rFonts w:ascii="KaiTi_GB2312" w:eastAsia="KaiTi_GB2312" w:hint="eastAsia"/>
          <w:color w:val="0000FF"/>
        </w:rPr>
        <w:t>《事故条例》</w:t>
      </w:r>
      <w:r>
        <w:rPr>
          <w:rFonts w:hint="eastAsia"/>
        </w:rPr>
        <w:t>：</w:t>
      </w:r>
    </w:p>
    <w:p w:rsidR="000E0F0C" w:rsidRDefault="000E0F0C" w:rsidP="00B32EA6">
      <w:pPr>
        <w:pStyle w:val="SingleTxt"/>
        <w:rPr>
          <w:rFonts w:hint="eastAsia"/>
        </w:rPr>
      </w:pPr>
      <w:r>
        <w:rPr>
          <w:rFonts w:hint="eastAsia"/>
        </w:rPr>
        <w:tab/>
        <w:t>劳工、技术开发和环境部目前正在开展一个彻底修订《劳工法》，包括1947年《事故法》的项目。</w:t>
      </w:r>
    </w:p>
    <w:p w:rsidR="000E0F0C" w:rsidRDefault="000E0F0C" w:rsidP="00B32EA6">
      <w:pPr>
        <w:pStyle w:val="SingleTxt"/>
        <w:rPr>
          <w:rFonts w:hint="eastAsia"/>
        </w:rPr>
      </w:pPr>
      <w:r>
        <w:rPr>
          <w:rFonts w:hint="eastAsia"/>
        </w:rPr>
        <w:tab/>
        <w:t>除审查关于过时条例的立法、条例的不足和空白之外，还将审查关于歧视妇女条例的劳工立法。在这个进程中，将考虑国际劳工组织和加勒比共同体关于平等待遇的基本标准。</w:t>
      </w:r>
    </w:p>
    <w:p w:rsidR="000E0F0C" w:rsidRDefault="000E0F0C" w:rsidP="00B32EA6">
      <w:pPr>
        <w:pStyle w:val="SingleTxt"/>
        <w:rPr>
          <w:rFonts w:hint="eastAsia"/>
        </w:rPr>
      </w:pPr>
      <w:r>
        <w:tab/>
      </w:r>
      <w:r>
        <w:rPr>
          <w:rFonts w:hint="eastAsia"/>
        </w:rPr>
        <w:t>(d)</w:t>
      </w:r>
      <w:r>
        <w:tab/>
      </w:r>
      <w:r w:rsidRPr="00F37267">
        <w:rPr>
          <w:rFonts w:ascii="KaiTi_GB2312" w:eastAsia="KaiTi_GB2312" w:hint="eastAsia"/>
          <w:color w:val="0000FF"/>
        </w:rPr>
        <w:t>《婚姻法》</w:t>
      </w:r>
      <w:r>
        <w:rPr>
          <w:rFonts w:hint="eastAsia"/>
        </w:rPr>
        <w:t>：</w:t>
      </w:r>
    </w:p>
    <w:p w:rsidR="000E0F0C" w:rsidRDefault="000E0F0C" w:rsidP="00B32EA6">
      <w:pPr>
        <w:pStyle w:val="SingleTxt"/>
        <w:rPr>
          <w:rFonts w:hint="eastAsia"/>
        </w:rPr>
      </w:pPr>
      <w:r>
        <w:rPr>
          <w:rFonts w:hint="eastAsia"/>
        </w:rPr>
        <w:tab/>
        <w:t>通过2003年6月17日的决议，1973年9月10日订正《婚姻法》开始生效。订正包括关于婚姻和解除婚姻的新规则。因此，废除了《亚洲婚姻法》。</w:t>
      </w:r>
    </w:p>
    <w:p w:rsidR="000E0F0C" w:rsidRDefault="000E0F0C" w:rsidP="00B32EA6">
      <w:pPr>
        <w:pStyle w:val="SingleTxt"/>
        <w:rPr>
          <w:rFonts w:hint="eastAsia"/>
        </w:rPr>
      </w:pPr>
      <w:r>
        <w:tab/>
      </w:r>
      <w:r>
        <w:rPr>
          <w:rFonts w:hint="eastAsia"/>
        </w:rPr>
        <w:t>(e)</w:t>
      </w:r>
      <w:r>
        <w:tab/>
      </w:r>
      <w:r w:rsidRPr="00F37267">
        <w:rPr>
          <w:rFonts w:ascii="KaiTi_GB2312" w:eastAsia="KaiTi_GB2312" w:hint="eastAsia"/>
          <w:color w:val="0000FF"/>
        </w:rPr>
        <w:t>保险法</w:t>
      </w:r>
      <w:r>
        <w:rPr>
          <w:rFonts w:hint="eastAsia"/>
        </w:rPr>
        <w:t>：</w:t>
      </w:r>
    </w:p>
    <w:p w:rsidR="000E0F0C" w:rsidRPr="00404EF7" w:rsidRDefault="000E0F0C" w:rsidP="00B32EA6">
      <w:pPr>
        <w:pStyle w:val="SingleTxt"/>
        <w:rPr>
          <w:rFonts w:hint="eastAsia"/>
        </w:rPr>
      </w:pPr>
      <w:r>
        <w:rPr>
          <w:rFonts w:hint="eastAsia"/>
        </w:rPr>
        <w:tab/>
        <w:t>关于私营部门保险事务，没有现成的信息。整体而言，现在有《公务员养恤金法》、《老年津贴法》和《国家事故条例》。在下个时期里，将进行研究，以便将平等待遇列入这项立法（综合行动计划活动）。</w:t>
      </w:r>
    </w:p>
    <w:p w:rsidR="000E0F0C" w:rsidRDefault="000E0F0C" w:rsidP="00B32EA6">
      <w:pPr>
        <w:pStyle w:val="SingleTxt"/>
        <w:rPr>
          <w:rFonts w:hint="eastAsia"/>
        </w:rPr>
      </w:pPr>
      <w:r>
        <w:rPr>
          <w:rFonts w:hint="eastAsia"/>
        </w:rPr>
        <w:t>3.</w:t>
      </w:r>
      <w:r>
        <w:tab/>
      </w:r>
      <w:r>
        <w:rPr>
          <w:rFonts w:hint="eastAsia"/>
        </w:rPr>
        <w:t>报告说，将加强国家性别政策局的力量，同时，在不同部门内部建立性别事</w:t>
      </w:r>
      <w:r w:rsidRPr="003828DB">
        <w:rPr>
          <w:rFonts w:hint="eastAsia"/>
          <w:spacing w:val="4"/>
        </w:rPr>
        <w:t>务协调中心网络。请提供信息，介绍这方面的现状，并说明是否已经根据委员会在2002年结论意见中提出的建议，向国家性别政策局提供足够的人力、</w:t>
      </w:r>
      <w:r>
        <w:rPr>
          <w:rFonts w:hint="eastAsia"/>
        </w:rPr>
        <w:t>财力和物力，扩大它的影响和提高它的效力，确保有效执行政府两性平等政策和方案。</w:t>
      </w:r>
      <w:r w:rsidRPr="000E0F0C">
        <w:rPr>
          <w:rStyle w:val="FootnoteReference"/>
        </w:rPr>
        <w:footnoteReference w:id="2"/>
      </w:r>
      <w:r>
        <w:rPr>
          <w:rFonts w:hint="eastAsia"/>
        </w:rPr>
        <w:t xml:space="preserve"> 此外，请提供信息，介绍土著和其他少数族裔妇女参与国家性别政策局事务和在该局就业的情形。</w:t>
      </w:r>
    </w:p>
    <w:p w:rsidR="000E0F0C" w:rsidRPr="003828DB" w:rsidRDefault="000E0F0C" w:rsidP="00B32EA6">
      <w:pPr>
        <w:pStyle w:val="SingleTxt"/>
        <w:rPr>
          <w:rFonts w:ascii="SimHei" w:eastAsia="SimHei" w:hint="eastAsia"/>
          <w:color w:val="FF0000"/>
        </w:rPr>
      </w:pPr>
      <w:r w:rsidRPr="003828DB">
        <w:rPr>
          <w:rFonts w:ascii="SimHei" w:eastAsia="SimHei" w:hint="eastAsia"/>
          <w:color w:val="FF0000"/>
        </w:rPr>
        <w:t>加强国家性别政策局</w:t>
      </w:r>
    </w:p>
    <w:p w:rsidR="000E0F0C" w:rsidRDefault="000E0F0C" w:rsidP="00B32EA6">
      <w:pPr>
        <w:pStyle w:val="SingleTxt"/>
        <w:rPr>
          <w:rFonts w:hint="eastAsia"/>
        </w:rPr>
      </w:pPr>
      <w:r>
        <w:rPr>
          <w:rFonts w:hint="eastAsia"/>
        </w:rPr>
        <w:tab/>
        <w:t>在现行的2006-2010年性别问题综合行动计划中，主要优先事项之一是加强机构体制。目前正在开展加强机构体制的进程。在这方面采取的若干行动包括：</w:t>
      </w:r>
    </w:p>
    <w:p w:rsidR="000E0F0C" w:rsidRDefault="000E0F0C" w:rsidP="00B32EA6">
      <w:pPr>
        <w:pStyle w:val="SingleTxt"/>
        <w:rPr>
          <w:rFonts w:hint="eastAsia"/>
        </w:rPr>
      </w:pPr>
      <w:r>
        <w:tab/>
      </w:r>
      <w:r>
        <w:rPr>
          <w:rFonts w:hint="eastAsia"/>
        </w:rPr>
        <w:t>(a)</w:t>
      </w:r>
      <w:r>
        <w:tab/>
      </w:r>
      <w:r>
        <w:rPr>
          <w:rFonts w:hint="eastAsia"/>
        </w:rPr>
        <w:t>加强国家性别政策局体制；</w:t>
      </w:r>
    </w:p>
    <w:p w:rsidR="000E0F0C" w:rsidRDefault="000E0F0C" w:rsidP="00B32EA6">
      <w:pPr>
        <w:pStyle w:val="SingleTxt"/>
        <w:rPr>
          <w:rFonts w:hint="eastAsia"/>
        </w:rPr>
      </w:pPr>
      <w:r>
        <w:tab/>
      </w:r>
      <w:r>
        <w:rPr>
          <w:rFonts w:hint="eastAsia"/>
        </w:rPr>
        <w:t>(b)</w:t>
      </w:r>
      <w:r>
        <w:tab/>
      </w:r>
      <w:r>
        <w:rPr>
          <w:rFonts w:hint="eastAsia"/>
        </w:rPr>
        <w:t>建立性别事务管理制度；</w:t>
      </w:r>
    </w:p>
    <w:p w:rsidR="000E0F0C" w:rsidRDefault="000E0F0C" w:rsidP="00B32EA6">
      <w:pPr>
        <w:pStyle w:val="SingleTxt"/>
        <w:rPr>
          <w:rFonts w:hint="eastAsia"/>
        </w:rPr>
      </w:pPr>
      <w:r>
        <w:tab/>
      </w:r>
      <w:r>
        <w:rPr>
          <w:rFonts w:hint="eastAsia"/>
        </w:rPr>
        <w:t>(c)</w:t>
      </w:r>
      <w:r>
        <w:tab/>
      </w:r>
      <w:r>
        <w:rPr>
          <w:rFonts w:hint="eastAsia"/>
        </w:rPr>
        <w:t>建立性别事务数据库系统；</w:t>
      </w:r>
    </w:p>
    <w:p w:rsidR="000E0F0C" w:rsidRDefault="000E0F0C" w:rsidP="00B32EA6">
      <w:pPr>
        <w:pStyle w:val="SingleTxt"/>
        <w:rPr>
          <w:rFonts w:hint="eastAsia"/>
        </w:rPr>
      </w:pPr>
      <w:r>
        <w:tab/>
      </w:r>
      <w:r>
        <w:rPr>
          <w:rFonts w:hint="eastAsia"/>
        </w:rPr>
        <w:t>(d)</w:t>
      </w:r>
      <w:r>
        <w:tab/>
      </w:r>
      <w:r>
        <w:rPr>
          <w:rFonts w:hint="eastAsia"/>
        </w:rPr>
        <w:t>设立国家性别政策局辅助办事处：将于2006年10月在尼克里区设立一个国家性别政策局办事处。</w:t>
      </w:r>
    </w:p>
    <w:p w:rsidR="000E0F0C" w:rsidRDefault="000E0F0C" w:rsidP="00B32EA6">
      <w:pPr>
        <w:pStyle w:val="SingleTxt"/>
        <w:rPr>
          <w:rFonts w:hint="eastAsia"/>
        </w:rPr>
      </w:pPr>
      <w:r>
        <w:rPr>
          <w:rFonts w:hint="eastAsia"/>
        </w:rPr>
        <w:tab/>
      </w:r>
      <w:r w:rsidRPr="003828DB">
        <w:rPr>
          <w:rFonts w:ascii="KaiTi_GB2312" w:eastAsia="KaiTi_GB2312" w:hint="eastAsia"/>
          <w:color w:val="0000FF"/>
        </w:rPr>
        <w:t>充足人力</w:t>
      </w:r>
      <w:r>
        <w:rPr>
          <w:rFonts w:hint="eastAsia"/>
        </w:rPr>
        <w:t>：自2005年11月1日后，该局任命了代理局长。招聘专家人员是一个高度优先事项，编制新工作人员资料报告的工作已经进入最后阶段，该报告以修改后的组织结构为基础。招聘合格人员仍然是公共部门的一项挑战。</w:t>
      </w:r>
    </w:p>
    <w:p w:rsidR="000E0F0C" w:rsidRDefault="000E0F0C" w:rsidP="00B32EA6">
      <w:pPr>
        <w:pStyle w:val="SingleTxt"/>
        <w:rPr>
          <w:rFonts w:hint="eastAsia"/>
        </w:rPr>
      </w:pPr>
      <w:r>
        <w:rPr>
          <w:rFonts w:hint="eastAsia"/>
        </w:rPr>
        <w:tab/>
      </w:r>
      <w:r w:rsidRPr="003828DB">
        <w:rPr>
          <w:rFonts w:ascii="KaiTi_GB2312" w:eastAsia="KaiTi_GB2312" w:hint="eastAsia"/>
          <w:color w:val="0000FF"/>
        </w:rPr>
        <w:t>物力</w:t>
      </w:r>
      <w:r>
        <w:rPr>
          <w:rFonts w:hint="eastAsia"/>
        </w:rPr>
        <w:t>：为国家性别政策局配备了计算机和办公室家具,资金来自内政部预算和荷兰驻苏里南大使馆。已经向开发署提出申请，要求提供资金，建立性别事务数据库系统。</w:t>
      </w:r>
    </w:p>
    <w:p w:rsidR="000E0F0C" w:rsidRDefault="000E0F0C" w:rsidP="00B32EA6">
      <w:pPr>
        <w:pStyle w:val="SingleTxt"/>
        <w:rPr>
          <w:rFonts w:hint="eastAsia"/>
        </w:rPr>
      </w:pPr>
      <w:r>
        <w:rPr>
          <w:rFonts w:hint="eastAsia"/>
        </w:rPr>
        <w:tab/>
        <w:t>国家性别政策局将由以下三个主要司组成：</w:t>
      </w:r>
    </w:p>
    <w:p w:rsidR="000E0F0C" w:rsidRDefault="000E0F0C" w:rsidP="00B32EA6">
      <w:pPr>
        <w:pStyle w:val="SingleTxt"/>
        <w:rPr>
          <w:rFonts w:hint="eastAsia"/>
        </w:rPr>
      </w:pPr>
      <w:r>
        <w:rPr>
          <w:rFonts w:hint="eastAsia"/>
        </w:rPr>
        <w:tab/>
        <w:t>(a)</w:t>
      </w:r>
      <w:r>
        <w:tab/>
      </w:r>
      <w:r>
        <w:rPr>
          <w:rFonts w:hint="eastAsia"/>
        </w:rPr>
        <w:t>研究与规划；</w:t>
      </w:r>
    </w:p>
    <w:p w:rsidR="000E0F0C" w:rsidRDefault="000E0F0C" w:rsidP="00B32EA6">
      <w:pPr>
        <w:pStyle w:val="SingleTxt"/>
        <w:rPr>
          <w:rFonts w:hint="eastAsia"/>
        </w:rPr>
      </w:pPr>
      <w:r>
        <w:rPr>
          <w:rFonts w:hint="eastAsia"/>
        </w:rPr>
        <w:tab/>
        <w:t>(b)</w:t>
      </w:r>
      <w:r>
        <w:tab/>
      </w:r>
      <w:r>
        <w:rPr>
          <w:rFonts w:hint="eastAsia"/>
        </w:rPr>
        <w:t>监测与评价；</w:t>
      </w:r>
    </w:p>
    <w:p w:rsidR="000E0F0C" w:rsidRDefault="000E0F0C" w:rsidP="00B32EA6">
      <w:pPr>
        <w:pStyle w:val="SingleTxt"/>
        <w:rPr>
          <w:rFonts w:hint="eastAsia"/>
        </w:rPr>
      </w:pPr>
      <w:r>
        <w:rPr>
          <w:rFonts w:hint="eastAsia"/>
        </w:rPr>
        <w:tab/>
        <w:t>(c)</w:t>
      </w:r>
      <w:r>
        <w:tab/>
      </w:r>
      <w:r>
        <w:rPr>
          <w:rFonts w:hint="eastAsia"/>
        </w:rPr>
        <w:t>教育与宣传。</w:t>
      </w:r>
    </w:p>
    <w:p w:rsidR="000E0F0C" w:rsidRDefault="000E0F0C" w:rsidP="00B32EA6">
      <w:pPr>
        <w:pStyle w:val="SingleTxt"/>
        <w:rPr>
          <w:rFonts w:hint="eastAsia"/>
        </w:rPr>
      </w:pPr>
      <w:r>
        <w:rPr>
          <w:rFonts w:hint="eastAsia"/>
        </w:rPr>
        <w:tab/>
        <w:t>不久，将最后确定一项战略宣传计划。</w:t>
      </w:r>
    </w:p>
    <w:p w:rsidR="000E0F0C" w:rsidRDefault="000E0F0C" w:rsidP="00B32EA6">
      <w:pPr>
        <w:pStyle w:val="SingleTxt"/>
        <w:rPr>
          <w:rFonts w:hint="eastAsia"/>
        </w:rPr>
      </w:pPr>
      <w:r>
        <w:rPr>
          <w:rFonts w:hint="eastAsia"/>
        </w:rPr>
        <w:tab/>
      </w:r>
      <w:r w:rsidRPr="003828DB">
        <w:rPr>
          <w:rFonts w:ascii="KaiTi_GB2312" w:eastAsia="KaiTi_GB2312" w:hint="eastAsia"/>
          <w:color w:val="0000FF"/>
        </w:rPr>
        <w:t>财力</w:t>
      </w:r>
      <w:r>
        <w:rPr>
          <w:rFonts w:hint="eastAsia"/>
        </w:rPr>
        <w:t>：内政部在其预算中拨出了特别资金，以采取性别问题行动计划的各项行动。将向各区域和国际组织申请其他支助。</w:t>
      </w:r>
    </w:p>
    <w:p w:rsidR="000E0F0C" w:rsidRPr="003828DB" w:rsidRDefault="000E0F0C" w:rsidP="00B32EA6">
      <w:pPr>
        <w:pStyle w:val="SingleTxt"/>
        <w:rPr>
          <w:rFonts w:ascii="SimHei" w:eastAsia="SimHei" w:hint="eastAsia"/>
          <w:color w:val="FF0000"/>
        </w:rPr>
      </w:pPr>
      <w:r w:rsidRPr="003828DB">
        <w:rPr>
          <w:rFonts w:ascii="SimHei" w:eastAsia="SimHei" w:hint="eastAsia"/>
          <w:color w:val="FF0000"/>
        </w:rPr>
        <w:t>在不同部</w:t>
      </w:r>
      <w:r>
        <w:rPr>
          <w:rFonts w:ascii="SimHei" w:eastAsia="SimHei" w:hint="eastAsia"/>
          <w:color w:val="FF0000"/>
        </w:rPr>
        <w:t>委</w:t>
      </w:r>
      <w:r w:rsidRPr="003828DB">
        <w:rPr>
          <w:rFonts w:ascii="SimHei" w:eastAsia="SimHei" w:hint="eastAsia"/>
          <w:color w:val="FF0000"/>
        </w:rPr>
        <w:t>内部建立性别事务协调中心网络</w:t>
      </w:r>
    </w:p>
    <w:p w:rsidR="000E0F0C" w:rsidRDefault="000E0F0C" w:rsidP="00B32EA6">
      <w:pPr>
        <w:pStyle w:val="SingleTxt"/>
        <w:rPr>
          <w:rFonts w:hint="eastAsia"/>
        </w:rPr>
      </w:pPr>
      <w:r>
        <w:rPr>
          <w:rFonts w:hint="eastAsia"/>
        </w:rPr>
        <w:tab/>
        <w:t>内政部已经在不同部委内部建立性别事务协调中心网络。这些部委包括：</w:t>
      </w:r>
    </w:p>
    <w:p w:rsidR="000E0F0C" w:rsidRDefault="000E0F0C" w:rsidP="00B32EA6">
      <w:pPr>
        <w:pStyle w:val="SingleTxt"/>
        <w:rPr>
          <w:rFonts w:hint="eastAsia"/>
        </w:rPr>
      </w:pPr>
      <w:r>
        <w:tab/>
        <w:t>-</w:t>
      </w:r>
      <w:r>
        <w:rPr>
          <w:rFonts w:hint="eastAsia"/>
        </w:rPr>
        <w:tab/>
        <w:t>外交部；</w:t>
      </w:r>
    </w:p>
    <w:p w:rsidR="000E0F0C" w:rsidRDefault="000E0F0C" w:rsidP="00B32EA6">
      <w:pPr>
        <w:pStyle w:val="SingleTxt"/>
        <w:rPr>
          <w:rFonts w:hint="eastAsia"/>
        </w:rPr>
      </w:pPr>
      <w:r>
        <w:tab/>
        <w:t>-</w:t>
      </w:r>
      <w:r>
        <w:rPr>
          <w:rFonts w:hint="eastAsia"/>
        </w:rPr>
        <w:tab/>
        <w:t>司法和警务部；</w:t>
      </w:r>
    </w:p>
    <w:p w:rsidR="000E0F0C" w:rsidRDefault="000E0F0C" w:rsidP="00B32EA6">
      <w:pPr>
        <w:pStyle w:val="SingleTxt"/>
        <w:rPr>
          <w:rFonts w:hint="eastAsia"/>
        </w:rPr>
      </w:pPr>
      <w:r>
        <w:tab/>
        <w:t>-</w:t>
      </w:r>
      <w:r>
        <w:rPr>
          <w:rFonts w:hint="eastAsia"/>
        </w:rPr>
        <w:tab/>
        <w:t>卫生部；</w:t>
      </w:r>
    </w:p>
    <w:p w:rsidR="000E0F0C" w:rsidRDefault="000E0F0C" w:rsidP="00B32EA6">
      <w:pPr>
        <w:pStyle w:val="SingleTxt"/>
        <w:rPr>
          <w:rFonts w:hint="eastAsia"/>
        </w:rPr>
      </w:pPr>
      <w:r>
        <w:tab/>
        <w:t>-</w:t>
      </w:r>
      <w:r>
        <w:rPr>
          <w:rFonts w:hint="eastAsia"/>
        </w:rPr>
        <w:tab/>
        <w:t>规划和发展合作部；</w:t>
      </w:r>
    </w:p>
    <w:p w:rsidR="000E0F0C" w:rsidRDefault="000E0F0C" w:rsidP="00B32EA6">
      <w:pPr>
        <w:pStyle w:val="SingleTxt"/>
        <w:rPr>
          <w:rFonts w:hint="eastAsia"/>
        </w:rPr>
      </w:pPr>
      <w:r>
        <w:tab/>
        <w:t>-</w:t>
      </w:r>
      <w:r>
        <w:rPr>
          <w:rFonts w:hint="eastAsia"/>
        </w:rPr>
        <w:tab/>
        <w:t>劳工、技术开发和环境部；</w:t>
      </w:r>
    </w:p>
    <w:p w:rsidR="000E0F0C" w:rsidRDefault="000E0F0C" w:rsidP="00B32EA6">
      <w:pPr>
        <w:pStyle w:val="SingleTxt"/>
        <w:rPr>
          <w:rFonts w:hint="eastAsia"/>
        </w:rPr>
      </w:pPr>
      <w:r>
        <w:tab/>
        <w:t>-</w:t>
      </w:r>
      <w:r>
        <w:rPr>
          <w:rFonts w:hint="eastAsia"/>
        </w:rPr>
        <w:tab/>
        <w:t>自然资源部；</w:t>
      </w:r>
    </w:p>
    <w:p w:rsidR="000E0F0C" w:rsidRDefault="000E0F0C" w:rsidP="00B32EA6">
      <w:pPr>
        <w:pStyle w:val="SingleTxt"/>
        <w:rPr>
          <w:rFonts w:hint="eastAsia"/>
        </w:rPr>
      </w:pPr>
      <w:r>
        <w:tab/>
        <w:t>-</w:t>
      </w:r>
      <w:r>
        <w:rPr>
          <w:rFonts w:hint="eastAsia"/>
        </w:rPr>
        <w:tab/>
        <w:t>区域发展部；</w:t>
      </w:r>
    </w:p>
    <w:p w:rsidR="000E0F0C" w:rsidRDefault="000E0F0C" w:rsidP="00B32EA6">
      <w:pPr>
        <w:pStyle w:val="SingleTxt"/>
        <w:rPr>
          <w:rFonts w:hint="eastAsia"/>
        </w:rPr>
      </w:pPr>
      <w:r>
        <w:tab/>
        <w:t>-</w:t>
      </w:r>
      <w:r>
        <w:rPr>
          <w:rFonts w:hint="eastAsia"/>
        </w:rPr>
        <w:tab/>
        <w:t>社会事务和住房部；</w:t>
      </w:r>
    </w:p>
    <w:p w:rsidR="000E0F0C" w:rsidRDefault="000E0F0C" w:rsidP="00B32EA6">
      <w:pPr>
        <w:pStyle w:val="SingleTxt"/>
        <w:rPr>
          <w:rFonts w:hint="eastAsia"/>
        </w:rPr>
      </w:pPr>
      <w:r>
        <w:tab/>
        <w:t>-</w:t>
      </w:r>
      <w:r>
        <w:rPr>
          <w:rFonts w:hint="eastAsia"/>
        </w:rPr>
        <w:tab/>
        <w:t>教育和社区发展部；</w:t>
      </w:r>
    </w:p>
    <w:p w:rsidR="000E0F0C" w:rsidRDefault="000E0F0C" w:rsidP="00B32EA6">
      <w:pPr>
        <w:pStyle w:val="SingleTxt"/>
        <w:rPr>
          <w:rFonts w:hint="eastAsia"/>
        </w:rPr>
      </w:pPr>
      <w:r>
        <w:tab/>
        <w:t>-</w:t>
      </w:r>
      <w:r>
        <w:rPr>
          <w:rFonts w:hint="eastAsia"/>
        </w:rPr>
        <w:tab/>
        <w:t>国防部；</w:t>
      </w:r>
    </w:p>
    <w:p w:rsidR="000E0F0C" w:rsidRDefault="000E0F0C" w:rsidP="00B32EA6">
      <w:pPr>
        <w:pStyle w:val="SingleTxt"/>
        <w:rPr>
          <w:rFonts w:hint="eastAsia"/>
        </w:rPr>
      </w:pPr>
      <w:r>
        <w:tab/>
        <w:t>-</w:t>
      </w:r>
      <w:r>
        <w:rPr>
          <w:rFonts w:hint="eastAsia"/>
        </w:rPr>
        <w:tab/>
        <w:t>运输、交通和旅游部；</w:t>
      </w:r>
    </w:p>
    <w:p w:rsidR="000E0F0C" w:rsidRDefault="000E0F0C" w:rsidP="00B32EA6">
      <w:pPr>
        <w:pStyle w:val="SingleTxt"/>
        <w:rPr>
          <w:rFonts w:hint="eastAsia"/>
        </w:rPr>
      </w:pPr>
      <w:r>
        <w:tab/>
        <w:t>-</w:t>
      </w:r>
      <w:r>
        <w:rPr>
          <w:rFonts w:hint="eastAsia"/>
        </w:rPr>
        <w:tab/>
        <w:t>贸易和工业部；</w:t>
      </w:r>
    </w:p>
    <w:p w:rsidR="000E0F0C" w:rsidRDefault="000E0F0C" w:rsidP="00B32EA6">
      <w:pPr>
        <w:pStyle w:val="SingleTxt"/>
        <w:rPr>
          <w:rFonts w:hint="eastAsia"/>
        </w:rPr>
      </w:pPr>
      <w:r>
        <w:tab/>
        <w:t>-</w:t>
      </w:r>
      <w:r>
        <w:rPr>
          <w:rFonts w:hint="eastAsia"/>
        </w:rPr>
        <w:tab/>
        <w:t>农业、畜牧业和渔业部。</w:t>
      </w:r>
    </w:p>
    <w:p w:rsidR="000E0F0C" w:rsidRDefault="000E0F0C" w:rsidP="00B32EA6">
      <w:pPr>
        <w:pStyle w:val="SingleTxt"/>
        <w:rPr>
          <w:rFonts w:hint="eastAsia"/>
        </w:rPr>
      </w:pPr>
      <w:r>
        <w:rPr>
          <w:rFonts w:hint="eastAsia"/>
        </w:rPr>
        <w:tab/>
        <w:t>为了加强性别事务协调中心系统，2006-2010年性别问题综合行动计划提到了以下战略：</w:t>
      </w:r>
    </w:p>
    <w:p w:rsidR="000E0F0C" w:rsidRDefault="000E0F0C" w:rsidP="00B32EA6">
      <w:pPr>
        <w:pStyle w:val="SingleTxt"/>
        <w:rPr>
          <w:rFonts w:hint="eastAsia"/>
        </w:rPr>
      </w:pPr>
      <w:r>
        <w:rPr>
          <w:rFonts w:hint="eastAsia"/>
        </w:rPr>
        <w:tab/>
      </w:r>
      <w:r>
        <w:t>-</w:t>
      </w:r>
      <w:r>
        <w:rPr>
          <w:rFonts w:hint="eastAsia"/>
        </w:rPr>
        <w:tab/>
        <w:t>在每个部委主管阶层任命一名主管性别事务的协调员；</w:t>
      </w:r>
    </w:p>
    <w:p w:rsidR="000E0F0C" w:rsidRDefault="000E0F0C" w:rsidP="00B32EA6">
      <w:pPr>
        <w:pStyle w:val="SingleTxt"/>
        <w:rPr>
          <w:rFonts w:hint="eastAsia"/>
        </w:rPr>
      </w:pPr>
      <w:r>
        <w:rPr>
          <w:rFonts w:hint="eastAsia"/>
        </w:rPr>
        <w:tab/>
      </w:r>
      <w:r>
        <w:t>-</w:t>
      </w:r>
      <w:r>
        <w:rPr>
          <w:rFonts w:hint="eastAsia"/>
        </w:rPr>
        <w:tab/>
        <w:t>从体制方面加强各性别事务协调中心。</w:t>
      </w:r>
    </w:p>
    <w:p w:rsidR="000E0F0C" w:rsidRPr="00581342" w:rsidRDefault="000E0F0C" w:rsidP="00B32EA6">
      <w:pPr>
        <w:pStyle w:val="SingleTxt"/>
        <w:rPr>
          <w:rFonts w:ascii="SimHei" w:eastAsia="SimHei" w:hint="eastAsia"/>
          <w:color w:val="FF0000"/>
        </w:rPr>
      </w:pPr>
      <w:r w:rsidRPr="00581342">
        <w:rPr>
          <w:rFonts w:ascii="SimHei" w:eastAsia="SimHei" w:hint="eastAsia"/>
          <w:color w:val="FF0000"/>
        </w:rPr>
        <w:t>土著人民和其他少数族裔妇女的参与和就业情形</w:t>
      </w:r>
    </w:p>
    <w:p w:rsidR="000E0F0C" w:rsidRDefault="000E0F0C" w:rsidP="00B32EA6">
      <w:pPr>
        <w:pStyle w:val="SingleTxt"/>
        <w:rPr>
          <w:rFonts w:hint="eastAsia"/>
        </w:rPr>
      </w:pPr>
      <w:r>
        <w:tab/>
      </w:r>
      <w:r>
        <w:rPr>
          <w:rFonts w:hint="eastAsia"/>
        </w:rPr>
        <w:t>没有任何政策或条例禁止土著人民或其他少数族裔妇女在该局工作，也没有歧视她们的这种政策或条例。</w:t>
      </w:r>
    </w:p>
    <w:p w:rsidR="000E0F0C" w:rsidRDefault="000E0F0C" w:rsidP="00B32EA6">
      <w:pPr>
        <w:pStyle w:val="SingleTxt"/>
        <w:rPr>
          <w:rFonts w:hint="eastAsia"/>
        </w:rPr>
      </w:pPr>
      <w:r>
        <w:tab/>
      </w:r>
      <w:r>
        <w:rPr>
          <w:rFonts w:hint="eastAsia"/>
        </w:rPr>
        <w:t>土著人民通过与有关非政府组织和区域发展部合作，间接参与国家性别政策局事务。</w:t>
      </w:r>
    </w:p>
    <w:p w:rsidR="000E0F0C" w:rsidRDefault="000E0F0C" w:rsidP="00B32EA6">
      <w:pPr>
        <w:pStyle w:val="SingleTxt"/>
        <w:rPr>
          <w:rFonts w:hint="eastAsia"/>
        </w:rPr>
      </w:pPr>
      <w:r>
        <w:rPr>
          <w:rFonts w:hint="eastAsia"/>
        </w:rPr>
        <w:t>4.</w:t>
      </w:r>
      <w:r>
        <w:tab/>
      </w:r>
      <w:r>
        <w:rPr>
          <w:rFonts w:hint="eastAsia"/>
        </w:rPr>
        <w:t>请进一步提供细节，介绍2000-2005年性别问题综合行动计划和社会性别平等主流化行动计划各项方案执行情况和结果。行动计划是否体现了农村妇女和少数种族妇女关切的问题？</w:t>
      </w:r>
    </w:p>
    <w:p w:rsidR="000E0F0C" w:rsidRPr="00114FCB" w:rsidRDefault="000E0F0C" w:rsidP="00B32EA6">
      <w:pPr>
        <w:pStyle w:val="SingleTxt"/>
        <w:rPr>
          <w:rFonts w:ascii="SimHei" w:eastAsia="SimHei" w:hint="eastAsia"/>
          <w:color w:val="FF0000"/>
        </w:rPr>
      </w:pPr>
      <w:r w:rsidRPr="00114FCB">
        <w:rPr>
          <w:rFonts w:ascii="SimHei" w:eastAsia="SimHei" w:hint="eastAsia"/>
          <w:color w:val="FF0000"/>
        </w:rPr>
        <w:t>性别问题综合行动计划和社会性别平等主流化行动计划执行情况和结果</w:t>
      </w:r>
    </w:p>
    <w:p w:rsidR="000E0F0C" w:rsidRDefault="000E0F0C" w:rsidP="00B32EA6">
      <w:pPr>
        <w:pStyle w:val="SingleTxt"/>
        <w:rPr>
          <w:rFonts w:hint="eastAsia"/>
        </w:rPr>
      </w:pPr>
      <w:r>
        <w:tab/>
      </w:r>
      <w:r>
        <w:rPr>
          <w:rFonts w:hint="eastAsia"/>
        </w:rPr>
        <w:t>苏里南政府社会性别平等主流化行动计划包括23点行动。所有这些行动都纳入了2000-2005年性别问题综合行动计划。内政部出版了一份关于社会性别主流化问题的小册子，以便向各部委、各部委管理阶层和高级官员和各非政府组织分发。</w:t>
      </w:r>
    </w:p>
    <w:p w:rsidR="000E0F0C" w:rsidRPr="00114FCB" w:rsidRDefault="000E0F0C" w:rsidP="00B32EA6">
      <w:pPr>
        <w:pStyle w:val="SingleTxt"/>
        <w:rPr>
          <w:rFonts w:ascii="SimHei" w:eastAsia="SimHei"/>
          <w:color w:val="FF0000"/>
        </w:rPr>
      </w:pPr>
      <w:r w:rsidRPr="00114FCB">
        <w:rPr>
          <w:rFonts w:ascii="SimHei" w:eastAsia="SimHei" w:hint="eastAsia"/>
          <w:color w:val="FF0000"/>
        </w:rPr>
        <w:t>2000-2005年性别问题综合行动计划分为7个优先领域：</w:t>
      </w:r>
    </w:p>
    <w:p w:rsidR="000E0F0C" w:rsidRDefault="000E0F0C" w:rsidP="00B32EA6">
      <w:pPr>
        <w:pStyle w:val="SingleTxt"/>
        <w:rPr>
          <w:rFonts w:hint="eastAsia"/>
        </w:rPr>
      </w:pPr>
      <w:r>
        <w:tab/>
      </w:r>
      <w:r>
        <w:rPr>
          <w:rFonts w:hAnsi="SimSun" w:hint="eastAsia"/>
        </w:rPr>
        <w:t>㈠</w:t>
      </w:r>
      <w:r>
        <w:rPr>
          <w:rFonts w:hAnsi="SimSun"/>
        </w:rPr>
        <w:tab/>
      </w:r>
      <w:r>
        <w:rPr>
          <w:rFonts w:hint="eastAsia"/>
        </w:rPr>
        <w:t>提高妇女地位的管制、决策和机构体制；</w:t>
      </w:r>
    </w:p>
    <w:p w:rsidR="000E0F0C" w:rsidRDefault="000E0F0C" w:rsidP="00B32EA6">
      <w:pPr>
        <w:pStyle w:val="SingleTxt"/>
        <w:rPr>
          <w:rFonts w:hint="eastAsia"/>
        </w:rPr>
      </w:pPr>
      <w:r>
        <w:rPr>
          <w:rFonts w:hAnsi="SimSun"/>
        </w:rPr>
        <w:tab/>
      </w:r>
      <w:r>
        <w:rPr>
          <w:rFonts w:hAnsi="SimSun" w:hint="eastAsia"/>
        </w:rPr>
        <w:t>㈡</w:t>
      </w:r>
      <w:r>
        <w:rPr>
          <w:rFonts w:hAnsi="SimSun"/>
        </w:rPr>
        <w:tab/>
      </w:r>
      <w:r>
        <w:rPr>
          <w:rFonts w:hint="eastAsia"/>
        </w:rPr>
        <w:t>妇女人权；</w:t>
      </w:r>
    </w:p>
    <w:p w:rsidR="000E0F0C" w:rsidRDefault="000E0F0C" w:rsidP="00B32EA6">
      <w:pPr>
        <w:pStyle w:val="SingleTxt"/>
        <w:rPr>
          <w:rFonts w:hint="eastAsia"/>
        </w:rPr>
      </w:pPr>
      <w:r>
        <w:rPr>
          <w:rFonts w:hAnsi="SimSun"/>
        </w:rPr>
        <w:tab/>
      </w:r>
      <w:r>
        <w:rPr>
          <w:rFonts w:hAnsi="SimSun" w:hint="eastAsia"/>
        </w:rPr>
        <w:t>㈢</w:t>
      </w:r>
      <w:r>
        <w:rPr>
          <w:rFonts w:hAnsi="SimSun"/>
        </w:rPr>
        <w:tab/>
      </w:r>
      <w:r>
        <w:rPr>
          <w:rFonts w:hint="eastAsia"/>
        </w:rPr>
        <w:t>妇女与媒体；</w:t>
      </w:r>
    </w:p>
    <w:p w:rsidR="000E0F0C" w:rsidRDefault="000E0F0C" w:rsidP="00B32EA6">
      <w:pPr>
        <w:pStyle w:val="SingleTxt"/>
        <w:rPr>
          <w:rFonts w:hint="eastAsia"/>
        </w:rPr>
      </w:pPr>
      <w:r>
        <w:tab/>
      </w:r>
      <w:r>
        <w:rPr>
          <w:rFonts w:hAnsi="SimSun" w:hint="eastAsia"/>
        </w:rPr>
        <w:t>㈣</w:t>
      </w:r>
      <w:r>
        <w:tab/>
      </w:r>
      <w:r>
        <w:rPr>
          <w:rFonts w:hint="eastAsia"/>
        </w:rPr>
        <w:t>妇女、贫穷与经济；</w:t>
      </w:r>
    </w:p>
    <w:p w:rsidR="000E0F0C" w:rsidRDefault="000E0F0C" w:rsidP="00B32EA6">
      <w:pPr>
        <w:pStyle w:val="SingleTxt"/>
        <w:rPr>
          <w:rFonts w:hint="eastAsia"/>
        </w:rPr>
      </w:pPr>
      <w:r>
        <w:tab/>
      </w:r>
      <w:r>
        <w:rPr>
          <w:rFonts w:hAnsi="SimSun" w:hint="eastAsia"/>
        </w:rPr>
        <w:t>㈤</w:t>
      </w:r>
      <w:r>
        <w:tab/>
      </w:r>
      <w:r>
        <w:rPr>
          <w:rFonts w:hint="eastAsia"/>
        </w:rPr>
        <w:t>对妇女的暴力行为；</w:t>
      </w:r>
    </w:p>
    <w:p w:rsidR="000E0F0C" w:rsidRDefault="000E0F0C" w:rsidP="00B32EA6">
      <w:pPr>
        <w:pStyle w:val="SingleTxt"/>
        <w:rPr>
          <w:rFonts w:hint="eastAsia"/>
        </w:rPr>
      </w:pPr>
      <w:r>
        <w:tab/>
      </w:r>
      <w:r>
        <w:rPr>
          <w:rFonts w:hAnsi="SimSun" w:hint="eastAsia"/>
        </w:rPr>
        <w:t>㈥</w:t>
      </w:r>
      <w:r>
        <w:tab/>
      </w:r>
      <w:r>
        <w:rPr>
          <w:rFonts w:hint="eastAsia"/>
        </w:rPr>
        <w:t>社会性别与教育；</w:t>
      </w:r>
    </w:p>
    <w:p w:rsidR="000E0F0C" w:rsidRDefault="000E0F0C" w:rsidP="00B32EA6">
      <w:pPr>
        <w:pStyle w:val="SingleTxt"/>
        <w:rPr>
          <w:rFonts w:hint="eastAsia"/>
        </w:rPr>
      </w:pPr>
      <w:r>
        <w:tab/>
      </w:r>
      <w:r>
        <w:rPr>
          <w:rFonts w:hAnsi="SimSun" w:hint="eastAsia"/>
        </w:rPr>
        <w:t>㈦</w:t>
      </w:r>
      <w:r>
        <w:tab/>
      </w:r>
      <w:r>
        <w:rPr>
          <w:rFonts w:hint="eastAsia"/>
        </w:rPr>
        <w:t>妇女与保健。</w:t>
      </w:r>
    </w:p>
    <w:p w:rsidR="000E0F0C" w:rsidRPr="00114FCB" w:rsidRDefault="000E0F0C" w:rsidP="00B32EA6">
      <w:pPr>
        <w:pStyle w:val="SingleTxt"/>
        <w:rPr>
          <w:rFonts w:ascii="SimHei" w:eastAsia="SimHei" w:hint="eastAsia"/>
          <w:color w:val="FF0000"/>
        </w:rPr>
      </w:pPr>
      <w:r w:rsidRPr="00114FCB">
        <w:rPr>
          <w:rFonts w:ascii="SimHei" w:eastAsia="SimHei" w:hint="eastAsia"/>
          <w:color w:val="FF0000"/>
        </w:rPr>
        <w:t>在性别问题综合行动计划之下执行的各方案取得的结果：</w:t>
      </w:r>
    </w:p>
    <w:p w:rsidR="000E0F0C" w:rsidRDefault="000E0F0C" w:rsidP="00B32EA6">
      <w:pPr>
        <w:pStyle w:val="SingleTxt"/>
        <w:rPr>
          <w:rFonts w:hint="eastAsia"/>
        </w:rPr>
      </w:pPr>
      <w:r>
        <w:tab/>
      </w:r>
      <w:r>
        <w:rPr>
          <w:rFonts w:hint="eastAsia"/>
        </w:rPr>
        <w:t>(a)</w:t>
      </w:r>
      <w:r>
        <w:tab/>
      </w:r>
      <w:r>
        <w:rPr>
          <w:rFonts w:hint="eastAsia"/>
        </w:rPr>
        <w:t>社会性别问题立法委员会根据《消除对妇女一切形式歧视公约》和《贝伦杜帕拉公约》的规定，起草了关于加重惩罚财务和心理暴力、跟踪和拐卖人口行为的立法；</w:t>
      </w:r>
    </w:p>
    <w:p w:rsidR="000E0F0C" w:rsidRDefault="000E0F0C" w:rsidP="00B32EA6">
      <w:pPr>
        <w:pStyle w:val="SingleTxt"/>
        <w:rPr>
          <w:rFonts w:hint="eastAsia"/>
        </w:rPr>
      </w:pPr>
      <w:r>
        <w:tab/>
      </w:r>
      <w:r>
        <w:rPr>
          <w:rFonts w:hint="eastAsia"/>
        </w:rPr>
        <w:t>(b)</w:t>
      </w:r>
      <w:r>
        <w:tab/>
      </w:r>
      <w:r>
        <w:rPr>
          <w:rFonts w:hint="eastAsia"/>
        </w:rPr>
        <w:t>2003年6月订立了新婚姻立法，使长期分离成为新的离婚理由，并废除了《亚洲婚姻法》。此后，对负责婚礼仪式的公务员进行了培训；</w:t>
      </w:r>
    </w:p>
    <w:p w:rsidR="000E0F0C" w:rsidRDefault="000E0F0C" w:rsidP="00B32EA6">
      <w:pPr>
        <w:pStyle w:val="SingleTxt"/>
        <w:rPr>
          <w:rFonts w:hint="eastAsia"/>
        </w:rPr>
      </w:pPr>
      <w:r>
        <w:tab/>
      </w:r>
      <w:r>
        <w:rPr>
          <w:rFonts w:hint="eastAsia"/>
        </w:rPr>
        <w:t>(c)</w:t>
      </w:r>
      <w:r>
        <w:tab/>
      </w:r>
      <w:r>
        <w:rPr>
          <w:rFonts w:hint="eastAsia"/>
        </w:rPr>
        <w:t>社会事务和住房部采取步骤，在“保护儿童社会投资”方案以及“幼儿发展”方案框架内制订0-8岁儿童的儿童照顾立法；</w:t>
      </w:r>
    </w:p>
    <w:p w:rsidR="000E0F0C" w:rsidRDefault="000E0F0C" w:rsidP="00B32EA6">
      <w:pPr>
        <w:pStyle w:val="SingleTxt"/>
        <w:rPr>
          <w:rFonts w:hint="eastAsia"/>
        </w:rPr>
      </w:pPr>
      <w:r>
        <w:tab/>
      </w:r>
      <w:r>
        <w:rPr>
          <w:rFonts w:hint="eastAsia"/>
        </w:rPr>
        <w:t>(d)</w:t>
      </w:r>
      <w:r>
        <w:tab/>
      </w:r>
      <w:r>
        <w:rPr>
          <w:rFonts w:hint="eastAsia"/>
        </w:rPr>
        <w:t>警察部队在家庭暴力方面采取了重大措施，例如，建立数据监测系统、特别档案、培训警察部队单元和建立4个受害人协助分庭；</w:t>
      </w:r>
    </w:p>
    <w:p w:rsidR="000E0F0C" w:rsidRDefault="000E0F0C" w:rsidP="00B32EA6">
      <w:pPr>
        <w:pStyle w:val="SingleTxt"/>
        <w:rPr>
          <w:rFonts w:hint="eastAsia"/>
        </w:rPr>
      </w:pPr>
      <w:r>
        <w:tab/>
      </w:r>
      <w:r>
        <w:rPr>
          <w:rFonts w:hint="eastAsia"/>
        </w:rPr>
        <w:t>(e)</w:t>
      </w:r>
      <w:r>
        <w:tab/>
      </w:r>
      <w:r>
        <w:rPr>
          <w:rFonts w:hint="eastAsia"/>
        </w:rPr>
        <w:t>卫生部区域保健处不断对医生和护士长进行教育，并且为他们制定了医疗程序，以便确认和治疗家庭暴力受害人；</w:t>
      </w:r>
    </w:p>
    <w:p w:rsidR="000E0F0C" w:rsidRDefault="000E0F0C" w:rsidP="00B32EA6">
      <w:pPr>
        <w:pStyle w:val="SingleTxt"/>
        <w:rPr>
          <w:rFonts w:hint="eastAsia"/>
        </w:rPr>
      </w:pPr>
      <w:r>
        <w:tab/>
      </w:r>
      <w:r>
        <w:rPr>
          <w:rFonts w:hint="eastAsia"/>
        </w:rPr>
        <w:t>(f)</w:t>
      </w:r>
      <w:r>
        <w:tab/>
      </w:r>
      <w:r>
        <w:rPr>
          <w:rFonts w:hint="eastAsia"/>
        </w:rPr>
        <w:t>制止对妇女暴力行为基金会在4个区培训了助理咨询员，内政部提供了部分资金。为此，他们在应用社会研究方面为医生、护士和助理人员开始实施关于家庭暴力的培训单元和专门知识培训；</w:t>
      </w:r>
    </w:p>
    <w:p w:rsidR="000E0F0C" w:rsidRDefault="000E0F0C" w:rsidP="00B32EA6">
      <w:pPr>
        <w:pStyle w:val="SingleTxt"/>
        <w:rPr>
          <w:rFonts w:hint="eastAsia"/>
        </w:rPr>
      </w:pPr>
      <w:r>
        <w:tab/>
      </w:r>
      <w:r>
        <w:rPr>
          <w:rFonts w:hint="eastAsia"/>
        </w:rPr>
        <w:t>(g)</w:t>
      </w:r>
      <w:r>
        <w:tab/>
      </w:r>
      <w:r>
        <w:rPr>
          <w:rFonts w:hint="eastAsia"/>
        </w:rPr>
        <w:t>关于妇女参与决策的问题，妇女议会论坛特别进行了社会性别分析，以检查妇女参与各级政府决策的情形，促进她们参与，内政部提供了资助。这项分析显示，已有妇女在政府、国民议会、区议会和地方议会中担任行政领导职务；</w:t>
      </w:r>
    </w:p>
    <w:p w:rsidR="000E0F0C" w:rsidRDefault="000E0F0C" w:rsidP="00B32EA6">
      <w:pPr>
        <w:pStyle w:val="SingleTxt"/>
        <w:rPr>
          <w:rFonts w:hint="eastAsia"/>
        </w:rPr>
      </w:pPr>
      <w:r>
        <w:tab/>
      </w:r>
      <w:r>
        <w:rPr>
          <w:rFonts w:hint="eastAsia"/>
        </w:rPr>
        <w:t>(h)</w:t>
      </w:r>
      <w:r>
        <w:tab/>
      </w:r>
      <w:r>
        <w:rPr>
          <w:rFonts w:hint="eastAsia"/>
        </w:rPr>
        <w:t>全国妇女运动和妇女工商小组在消除贫穷和增强妇女经济力量框架内开展了各种活动，其中包括创业培训、提供信贷和促进妇女参与贸易交流市场。这两个组织还协助女企业家参加生产交流市场年度活动和商会以及厂家的其他活动。全国妇女运动组织了半年一次的‘妇女商业交易会’，内政部为此提供了相当大的财政支助；</w:t>
      </w:r>
    </w:p>
    <w:p w:rsidR="000E0F0C" w:rsidRDefault="000E0F0C" w:rsidP="00B32EA6">
      <w:pPr>
        <w:pStyle w:val="SingleTxt"/>
        <w:rPr>
          <w:rFonts w:hint="eastAsia"/>
        </w:rPr>
      </w:pPr>
      <w:r>
        <w:tab/>
      </w:r>
      <w:r>
        <w:rPr>
          <w:rFonts w:hint="eastAsia"/>
        </w:rPr>
        <w:t>(i)</w:t>
      </w:r>
      <w:r>
        <w:tab/>
      </w:r>
      <w:r>
        <w:rPr>
          <w:rFonts w:hint="eastAsia"/>
        </w:rPr>
        <w:t>内政部支持Brokopondo区的促进保健基金会，执行了一个培训项目，培训传统助产士和关键人员，以降低孕妇和婴儿死亡率；</w:t>
      </w:r>
    </w:p>
    <w:p w:rsidR="000E0F0C" w:rsidRDefault="000E0F0C" w:rsidP="00B32EA6">
      <w:pPr>
        <w:pStyle w:val="SingleTxt"/>
        <w:rPr>
          <w:rFonts w:hint="eastAsia"/>
        </w:rPr>
      </w:pPr>
      <w:r>
        <w:tab/>
      </w:r>
      <w:r>
        <w:rPr>
          <w:rFonts w:hint="eastAsia"/>
        </w:rPr>
        <w:t>(j)</w:t>
      </w:r>
      <w:r>
        <w:tab/>
      </w:r>
      <w:r>
        <w:rPr>
          <w:rFonts w:hint="eastAsia"/>
        </w:rPr>
        <w:t>苏里南于2002年批准了《美洲防止、惩罚和根除对妇女暴力行为公约》（《贝伦杜帕拉公约》）；</w:t>
      </w:r>
    </w:p>
    <w:p w:rsidR="000E0F0C" w:rsidRDefault="000E0F0C" w:rsidP="00B32EA6">
      <w:pPr>
        <w:pStyle w:val="SingleTxt"/>
        <w:rPr>
          <w:rFonts w:hint="eastAsia"/>
        </w:rPr>
      </w:pPr>
      <w:r>
        <w:tab/>
      </w:r>
      <w:r>
        <w:rPr>
          <w:rFonts w:hint="eastAsia"/>
        </w:rPr>
        <w:t>(k)</w:t>
      </w:r>
      <w:r>
        <w:tab/>
      </w:r>
      <w:r>
        <w:rPr>
          <w:rFonts w:hint="eastAsia"/>
        </w:rPr>
        <w:t>内政部制订了小册子：“什么是社会性别主流化？”，这是制定社会性别主流化方案项目的部分活动；</w:t>
      </w:r>
    </w:p>
    <w:p w:rsidR="000E0F0C" w:rsidRDefault="000E0F0C" w:rsidP="00B32EA6">
      <w:pPr>
        <w:pStyle w:val="SingleTxt"/>
        <w:rPr>
          <w:rFonts w:hint="eastAsia"/>
        </w:rPr>
      </w:pPr>
      <w:r>
        <w:tab/>
      </w:r>
      <w:r>
        <w:rPr>
          <w:rFonts w:hint="eastAsia"/>
        </w:rPr>
        <w:t>(l)</w:t>
      </w:r>
      <w:r>
        <w:tab/>
      </w:r>
      <w:r>
        <w:rPr>
          <w:rFonts w:hint="eastAsia"/>
        </w:rPr>
        <w:t>举办了社会性别问题协调人培训，即：“有效的个人领导能力”和“政策和规划过程中的社会性别问题分析”；</w:t>
      </w:r>
    </w:p>
    <w:p w:rsidR="000E0F0C" w:rsidRDefault="000E0F0C" w:rsidP="00B32EA6">
      <w:pPr>
        <w:pStyle w:val="SingleTxt"/>
        <w:rPr>
          <w:rFonts w:hint="eastAsia"/>
        </w:rPr>
      </w:pPr>
      <w:r>
        <w:tab/>
      </w:r>
      <w:r>
        <w:rPr>
          <w:rFonts w:hint="eastAsia"/>
        </w:rPr>
        <w:t>(m)</w:t>
      </w:r>
      <w:r>
        <w:tab/>
      </w:r>
      <w:r>
        <w:rPr>
          <w:rFonts w:hint="eastAsia"/>
        </w:rPr>
        <w:t>通过在挑选司法官员时优待妇女，铲除司法界两性严重不平等的现象（RAIO训练班）。2003年，9名妇女和1名男子获选参加RAIO训练班（司法官员训练班）；</w:t>
      </w:r>
    </w:p>
    <w:p w:rsidR="000E0F0C" w:rsidRDefault="000E0F0C" w:rsidP="00B32EA6">
      <w:pPr>
        <w:pStyle w:val="SingleTxt"/>
        <w:rPr>
          <w:rFonts w:hint="eastAsia"/>
        </w:rPr>
      </w:pPr>
      <w:r>
        <w:tab/>
      </w:r>
      <w:r>
        <w:rPr>
          <w:rFonts w:hint="eastAsia"/>
        </w:rPr>
        <w:t>(n)</w:t>
      </w:r>
      <w:r>
        <w:tab/>
      </w:r>
      <w:r>
        <w:rPr>
          <w:rFonts w:hint="eastAsia"/>
        </w:rPr>
        <w:t>2003年，内政部向制止对妇女暴力行为基金会提供了办公设施支助。由于组织方面的障碍，该基金会不能使用这些设施。现在，这些设施已成为国家性别政策局的辅助办事处。</w:t>
      </w:r>
    </w:p>
    <w:p w:rsidR="000E0F0C" w:rsidRDefault="000E0F0C" w:rsidP="00B32EA6">
      <w:pPr>
        <w:pStyle w:val="SingleTxt"/>
        <w:rPr>
          <w:rFonts w:hint="eastAsia"/>
        </w:rPr>
      </w:pPr>
      <w:r>
        <w:rPr>
          <w:rFonts w:hint="eastAsia"/>
        </w:rPr>
        <w:tab/>
        <w:t>性别问题综合行动计划没有具体提到农村妇女和少数种族妇女的关切，但是，这些关切被视为若干方案目标群体同等重要的问题。</w:t>
      </w:r>
    </w:p>
    <w:p w:rsidR="000E0F0C" w:rsidRPr="00114FCB" w:rsidRDefault="000E0F0C" w:rsidP="00B32EA6">
      <w:pPr>
        <w:pStyle w:val="SingleTxt"/>
        <w:rPr>
          <w:rFonts w:ascii="SimHei" w:eastAsia="SimHei" w:hint="eastAsia"/>
          <w:color w:val="FF0000"/>
        </w:rPr>
      </w:pPr>
      <w:r w:rsidRPr="00114FCB">
        <w:rPr>
          <w:rFonts w:ascii="SimHei" w:eastAsia="SimHei" w:hint="eastAsia"/>
          <w:color w:val="FF0000"/>
        </w:rPr>
        <w:t>参政与决策</w:t>
      </w:r>
    </w:p>
    <w:p w:rsidR="000E0F0C" w:rsidRDefault="000E0F0C" w:rsidP="00B32EA6">
      <w:pPr>
        <w:pStyle w:val="SingleTxt"/>
        <w:rPr>
          <w:rFonts w:hint="eastAsia"/>
        </w:rPr>
      </w:pPr>
      <w:r>
        <w:rPr>
          <w:rFonts w:hint="eastAsia"/>
        </w:rPr>
        <w:t>5.</w:t>
      </w:r>
      <w:r>
        <w:rPr>
          <w:rFonts w:hint="eastAsia"/>
        </w:rPr>
        <w:tab/>
        <w:t>报告说“在国家政治文化中，政党依然左右着政治行政机构、国家高级机构、外交部门和公务员高级管理职位候选人的提名和挑选，这始终是消除性别不平等的最大阻碍”。政府正在采取哪些行动、以处理这一挑战？</w:t>
      </w:r>
    </w:p>
    <w:p w:rsidR="000E0F0C" w:rsidRDefault="000E0F0C" w:rsidP="00B32EA6">
      <w:pPr>
        <w:pStyle w:val="SingleTxt"/>
        <w:rPr>
          <w:rFonts w:hint="eastAsia"/>
        </w:rPr>
      </w:pPr>
      <w:r>
        <w:rPr>
          <w:rFonts w:hint="eastAsia"/>
        </w:rPr>
        <w:t>6.</w:t>
      </w:r>
      <w:r>
        <w:rPr>
          <w:rFonts w:hint="eastAsia"/>
        </w:rPr>
        <w:tab/>
        <w:t>报告说“妇女参与公共和政治生活仍然受到限制”。政府是否已经考虑根据《公约》第四条第1款采取暂行特别措施，改进妇女参与政治和公共生活，特别是高层政治和公共生活，包括参与国民议会、政府、外交部门、地区机构和地方机构的情况？这些措施是否也适用于土著和其他少数种族妇女？</w:t>
      </w:r>
    </w:p>
    <w:p w:rsidR="000E0F0C" w:rsidRPr="00114FCB" w:rsidRDefault="000E0F0C" w:rsidP="00B32EA6">
      <w:pPr>
        <w:pStyle w:val="SingleTxt"/>
        <w:rPr>
          <w:rFonts w:ascii="SimHei" w:eastAsia="SimHei" w:hint="eastAsia"/>
          <w:color w:val="FF0000"/>
        </w:rPr>
      </w:pPr>
      <w:r w:rsidRPr="00114FCB">
        <w:rPr>
          <w:rFonts w:ascii="SimHei" w:eastAsia="SimHei" w:hint="eastAsia"/>
          <w:color w:val="FF0000"/>
        </w:rPr>
        <w:t>政府行动</w:t>
      </w:r>
    </w:p>
    <w:p w:rsidR="000E0F0C" w:rsidRDefault="000E0F0C" w:rsidP="00B32EA6">
      <w:pPr>
        <w:pStyle w:val="SingleTxt"/>
        <w:rPr>
          <w:rFonts w:hint="eastAsia"/>
        </w:rPr>
      </w:pPr>
      <w:r>
        <w:rPr>
          <w:rFonts w:hint="eastAsia"/>
        </w:rPr>
        <w:tab/>
        <w:t>政府2000-2005年政策声明说，妇女参与发展进程的问题将充分纳入发展政策和规划。</w:t>
      </w:r>
    </w:p>
    <w:p w:rsidR="000E0F0C" w:rsidRDefault="000E0F0C" w:rsidP="00B32EA6">
      <w:pPr>
        <w:pStyle w:val="SingleTxt"/>
        <w:rPr>
          <w:rFonts w:hint="eastAsia"/>
        </w:rPr>
      </w:pPr>
      <w:r>
        <w:rPr>
          <w:rFonts w:hint="eastAsia"/>
        </w:rPr>
        <w:tab/>
        <w:t>2000-2005年性别问题综合行动计划确认，为提高妇女地位而进行的管制、决策和建立的机构机制是一个战略领域。为此，内政部做到了以下几点：</w:t>
      </w:r>
    </w:p>
    <w:p w:rsidR="000E0F0C" w:rsidRDefault="000E0F0C" w:rsidP="00B32EA6">
      <w:pPr>
        <w:pStyle w:val="SingleTxt"/>
        <w:rPr>
          <w:rFonts w:hint="eastAsia"/>
        </w:rPr>
      </w:pPr>
      <w:r>
        <w:rPr>
          <w:rFonts w:hint="eastAsia"/>
        </w:rPr>
        <w:tab/>
        <w:t>(a)</w:t>
      </w:r>
      <w:r>
        <w:rPr>
          <w:rFonts w:hint="eastAsia"/>
        </w:rPr>
        <w:tab/>
        <w:t>在挑选接受培训的女性司法官员方面采取优待妇女做法，消除了司法界较大的两性不平等现象；</w:t>
      </w:r>
    </w:p>
    <w:p w:rsidR="000E0F0C" w:rsidRDefault="000E0F0C" w:rsidP="00B32EA6">
      <w:pPr>
        <w:pStyle w:val="SingleTxt"/>
        <w:rPr>
          <w:rFonts w:hint="eastAsia"/>
        </w:rPr>
      </w:pPr>
      <w:r>
        <w:rPr>
          <w:rFonts w:hint="eastAsia"/>
        </w:rPr>
        <w:tab/>
        <w:t>(b)</w:t>
      </w:r>
      <w:r>
        <w:rPr>
          <w:rFonts w:hint="eastAsia"/>
        </w:rPr>
        <w:tab/>
        <w:t>妇女议会论坛与“项目基金会”合作，对政治人物和议员进行了社会性别问题培训；</w:t>
      </w:r>
    </w:p>
    <w:p w:rsidR="000E0F0C" w:rsidRDefault="000E0F0C" w:rsidP="00B32EA6">
      <w:pPr>
        <w:pStyle w:val="SingleTxt"/>
        <w:rPr>
          <w:rFonts w:hint="eastAsia"/>
        </w:rPr>
      </w:pPr>
      <w:r>
        <w:rPr>
          <w:rFonts w:hint="eastAsia"/>
        </w:rPr>
        <w:tab/>
        <w:t>(c</w:t>
      </w:r>
      <w:r>
        <w:t>)</w:t>
      </w:r>
      <w:r>
        <w:rPr>
          <w:rFonts w:hint="eastAsia"/>
        </w:rPr>
        <w:tab/>
        <w:t>鼓励外交部门消除两性不平等。</w:t>
      </w:r>
    </w:p>
    <w:p w:rsidR="000E0F0C" w:rsidRDefault="000E0F0C" w:rsidP="00B32EA6">
      <w:pPr>
        <w:pStyle w:val="SingleTxt"/>
        <w:rPr>
          <w:rFonts w:hint="eastAsia"/>
        </w:rPr>
      </w:pPr>
      <w:r>
        <w:rPr>
          <w:rFonts w:hint="eastAsia"/>
        </w:rPr>
        <w:tab/>
        <w:t>内政部还为妇女议会论坛提供便利，让它进行关于实施代议机构和政府男女任职比例配额制度可能性的研究。妇女议会论坛还进行了关于妇女担任政府机构和准政府机构决策和决定职务人数的研究。妇女议会论坛还对政治人物和议员进行了社会性别问题培训。</w:t>
      </w:r>
    </w:p>
    <w:p w:rsidR="000E0F0C" w:rsidRDefault="000E0F0C" w:rsidP="00B32EA6">
      <w:pPr>
        <w:pStyle w:val="SingleTxt"/>
        <w:rPr>
          <w:rFonts w:hint="eastAsia"/>
        </w:rPr>
      </w:pPr>
      <w:r>
        <w:rPr>
          <w:rFonts w:hint="eastAsia"/>
        </w:rPr>
        <w:tab/>
        <w:t>在新的2006-2010年性别问题综合行动计划之下，将在“妇女之声与决策”主题下开展以下活动：</w:t>
      </w:r>
    </w:p>
    <w:p w:rsidR="000E0F0C" w:rsidRDefault="000E0F0C" w:rsidP="00B32EA6">
      <w:pPr>
        <w:pStyle w:val="SingleTxt"/>
        <w:rPr>
          <w:rFonts w:hint="eastAsia"/>
        </w:rPr>
      </w:pPr>
      <w:r>
        <w:rPr>
          <w:rFonts w:hint="eastAsia"/>
        </w:rPr>
        <w:tab/>
        <w:t>(a)</w:t>
      </w:r>
      <w:r>
        <w:rPr>
          <w:rFonts w:hint="eastAsia"/>
        </w:rPr>
        <w:tab/>
        <w:t>促使更多妇女进入国家高级机关，在政府、行政机构以及项目管理机构担任行政领导职务，以及在为执行各部门计划而设立的各委员会担任职务；</w:t>
      </w:r>
    </w:p>
    <w:p w:rsidR="000E0F0C" w:rsidRDefault="000E0F0C" w:rsidP="00B32EA6">
      <w:pPr>
        <w:pStyle w:val="SingleTxt"/>
        <w:rPr>
          <w:rFonts w:hint="eastAsia"/>
        </w:rPr>
      </w:pPr>
      <w:r>
        <w:rPr>
          <w:rFonts w:hint="eastAsia"/>
        </w:rPr>
        <w:tab/>
        <w:t>(b)</w:t>
      </w:r>
      <w:r>
        <w:rPr>
          <w:rFonts w:hint="eastAsia"/>
        </w:rPr>
        <w:tab/>
        <w:t>在选举过程中，处理信息和按性别分列的数据；</w:t>
      </w:r>
    </w:p>
    <w:p w:rsidR="000E0F0C" w:rsidRDefault="000E0F0C" w:rsidP="00B32EA6">
      <w:pPr>
        <w:pStyle w:val="SingleTxt"/>
        <w:rPr>
          <w:rFonts w:hint="eastAsia"/>
        </w:rPr>
      </w:pPr>
      <w:r>
        <w:rPr>
          <w:rFonts w:hint="eastAsia"/>
        </w:rPr>
        <w:tab/>
        <w:t>(c)</w:t>
      </w:r>
      <w:r>
        <w:rPr>
          <w:rFonts w:hint="eastAsia"/>
        </w:rPr>
        <w:tab/>
        <w:t>协助各政党建立具有社会性别敏感性的结构，制定具有社会性别敏感性的政党纲领；</w:t>
      </w:r>
    </w:p>
    <w:p w:rsidR="000E0F0C" w:rsidRDefault="000E0F0C" w:rsidP="00B32EA6">
      <w:pPr>
        <w:pStyle w:val="SingleTxt"/>
        <w:rPr>
          <w:rFonts w:hint="eastAsia"/>
        </w:rPr>
      </w:pPr>
      <w:r>
        <w:rPr>
          <w:rFonts w:hint="eastAsia"/>
        </w:rPr>
        <w:tab/>
        <w:t>(d)</w:t>
      </w:r>
      <w:r>
        <w:rPr>
          <w:rFonts w:hint="eastAsia"/>
        </w:rPr>
        <w:tab/>
        <w:t>监测各政党持续开展社会性别事务培训的情形，尤其是监测需要特别推动的政党开展这种培训的情形；</w:t>
      </w:r>
    </w:p>
    <w:p w:rsidR="000E0F0C" w:rsidRDefault="000E0F0C" w:rsidP="00B32EA6">
      <w:pPr>
        <w:pStyle w:val="SingleTxt"/>
        <w:rPr>
          <w:rFonts w:hint="eastAsia"/>
        </w:rPr>
      </w:pPr>
      <w:r>
        <w:rPr>
          <w:rFonts w:hint="eastAsia"/>
        </w:rPr>
        <w:tab/>
        <w:t>(e)</w:t>
      </w:r>
      <w:r>
        <w:rPr>
          <w:rFonts w:hint="eastAsia"/>
        </w:rPr>
        <w:tab/>
        <w:t>讨论妇女担任政治领导和决策职务的情形；</w:t>
      </w:r>
    </w:p>
    <w:p w:rsidR="000E0F0C" w:rsidRDefault="000E0F0C" w:rsidP="00B32EA6">
      <w:pPr>
        <w:pStyle w:val="SingleTxt"/>
        <w:rPr>
          <w:rFonts w:hint="eastAsia"/>
        </w:rPr>
      </w:pPr>
      <w:r>
        <w:rPr>
          <w:rFonts w:hint="eastAsia"/>
        </w:rPr>
        <w:tab/>
        <w:t>(f)</w:t>
      </w:r>
      <w:r>
        <w:rPr>
          <w:rFonts w:hint="eastAsia"/>
        </w:rPr>
        <w:tab/>
        <w:t>继续开展活动，促使妇女接受行政领导职务，并监测进展情况；</w:t>
      </w:r>
    </w:p>
    <w:p w:rsidR="000E0F0C" w:rsidRDefault="000E0F0C" w:rsidP="00B32EA6">
      <w:pPr>
        <w:pStyle w:val="SingleTxt"/>
        <w:rPr>
          <w:rFonts w:hint="eastAsia"/>
        </w:rPr>
      </w:pPr>
      <w:r>
        <w:rPr>
          <w:rFonts w:hint="eastAsia"/>
        </w:rPr>
        <w:tab/>
        <w:t>(g)</w:t>
      </w:r>
      <w:r>
        <w:rPr>
          <w:rFonts w:hint="eastAsia"/>
        </w:rPr>
        <w:tab/>
        <w:t>修改投票制度，以便在候选人名单和选票上标明候选人性别。</w:t>
      </w:r>
    </w:p>
    <w:p w:rsidR="0079453B" w:rsidRDefault="000E0F0C" w:rsidP="00B32EA6">
      <w:pPr>
        <w:pStyle w:val="SingleTxt"/>
      </w:pPr>
      <w:r>
        <w:rPr>
          <w:rFonts w:hint="eastAsia"/>
        </w:rPr>
        <w:tab/>
        <w:t>外交部门已经采取举措，消除两性不平等现象，即：任命更多的女性大使；现在已经任命一位苏里南驻圭亚那大使馆大使，此外，已经提名其他妇女担任驻荷兰、巴西、特立尼达和多巴哥以及印度尼西亚大使馆的职务。</w:t>
      </w:r>
    </w:p>
    <w:p w:rsidR="000E0F0C" w:rsidRDefault="0079453B" w:rsidP="00B32EA6">
      <w:pPr>
        <w:pStyle w:val="SingleTxt"/>
        <w:rPr>
          <w:rFonts w:hint="eastAsia"/>
        </w:rPr>
      </w:pPr>
      <w:r>
        <w:tab/>
      </w:r>
      <w:r w:rsidR="000E0F0C">
        <w:rPr>
          <w:rFonts w:hint="eastAsia"/>
        </w:rPr>
        <w:t>还将任命若干女性高级外交官。</w:t>
      </w:r>
    </w:p>
    <w:p w:rsidR="000E0F0C" w:rsidRDefault="000E0F0C" w:rsidP="00B32EA6">
      <w:pPr>
        <w:pStyle w:val="SingleTxt"/>
        <w:rPr>
          <w:rFonts w:hint="eastAsia"/>
        </w:rPr>
      </w:pPr>
      <w:r>
        <w:rPr>
          <w:rFonts w:hint="eastAsia"/>
        </w:rPr>
        <w:tab/>
        <w:t>2005年5月25日举行了大选。</w:t>
      </w:r>
    </w:p>
    <w:p w:rsidR="000E0F0C" w:rsidRDefault="000E0F0C" w:rsidP="00B32EA6">
      <w:pPr>
        <w:pStyle w:val="SingleTxt"/>
        <w:rPr>
          <w:rFonts w:hint="eastAsia"/>
        </w:rPr>
      </w:pPr>
      <w:r>
        <w:rPr>
          <w:rFonts w:hint="eastAsia"/>
        </w:rPr>
        <w:tab/>
        <w:t>与以前（1996年，2000年）的选举相比，国家和区域各级的女性代表增加了。多数政党都提名了女性候选人。国民议会里有13名女议员（议员总数为51人）。</w:t>
      </w:r>
    </w:p>
    <w:p w:rsidR="000E0F0C" w:rsidRDefault="000E0F0C" w:rsidP="00B32EA6">
      <w:pPr>
        <w:pStyle w:val="SingleTxt"/>
      </w:pPr>
      <w:r>
        <w:rPr>
          <w:rFonts w:hint="eastAsia"/>
        </w:rPr>
        <w:tab/>
        <w:t>下表显示妇女参选结果：</w:t>
      </w:r>
    </w:p>
    <w:tbl>
      <w:tblPr>
        <w:tblStyle w:val="TableGrid"/>
        <w:tblW w:w="7371" w:type="dxa"/>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2"/>
        <w:gridCol w:w="1622"/>
        <w:gridCol w:w="1680"/>
        <w:gridCol w:w="1807"/>
      </w:tblGrid>
      <w:tr w:rsidR="000E0F0C" w:rsidRPr="005B37AB" w:rsidTr="00B32EA6">
        <w:trPr>
          <w:cantSplit/>
          <w:tblHeader/>
        </w:trPr>
        <w:tc>
          <w:tcPr>
            <w:tcW w:w="2262" w:type="dxa"/>
            <w:tcBorders>
              <w:top w:val="single" w:sz="4" w:space="0" w:color="auto"/>
              <w:bottom w:val="single" w:sz="12" w:space="0" w:color="auto"/>
            </w:tcBorders>
            <w:shd w:val="clear" w:color="auto" w:fill="auto"/>
            <w:vAlign w:val="bottom"/>
          </w:tcPr>
          <w:p w:rsidR="000E0F0C" w:rsidRPr="005B37AB" w:rsidRDefault="000E0F0C" w:rsidP="00B32EA6">
            <w:pPr>
              <w:spacing w:before="80" w:after="80" w:line="200" w:lineRule="exact"/>
              <w:rPr>
                <w:rFonts w:ascii="KaiTi_GB2312" w:eastAsia="KaiTi_GB2312" w:hAnsi="SimSun"/>
                <w:b/>
                <w:color w:val="0000FF"/>
                <w:sz w:val="15"/>
                <w:szCs w:val="28"/>
              </w:rPr>
            </w:pPr>
          </w:p>
        </w:tc>
        <w:tc>
          <w:tcPr>
            <w:tcW w:w="1622" w:type="dxa"/>
            <w:tcBorders>
              <w:top w:val="single" w:sz="4" w:space="0" w:color="auto"/>
              <w:bottom w:val="single" w:sz="12" w:space="0" w:color="auto"/>
            </w:tcBorders>
            <w:shd w:val="clear" w:color="auto" w:fill="auto"/>
            <w:vAlign w:val="bottom"/>
          </w:tcPr>
          <w:p w:rsidR="000E0F0C" w:rsidRPr="005B37AB" w:rsidRDefault="000E0F0C" w:rsidP="00B32EA6">
            <w:pPr>
              <w:spacing w:before="80" w:after="80" w:line="200" w:lineRule="exact"/>
              <w:ind w:right="101"/>
              <w:jc w:val="right"/>
              <w:rPr>
                <w:rFonts w:ascii="KaiTi_GB2312" w:eastAsia="KaiTi_GB2312" w:hAnsi="SimSun"/>
                <w:b/>
                <w:color w:val="0000FF"/>
                <w:sz w:val="15"/>
                <w:szCs w:val="28"/>
              </w:rPr>
            </w:pPr>
            <w:r w:rsidRPr="005B37AB">
              <w:rPr>
                <w:rFonts w:ascii="KaiTi_GB2312" w:eastAsia="KaiTi_GB2312" w:hAnsi="SimSun"/>
                <w:b/>
                <w:color w:val="0000FF"/>
                <w:sz w:val="15"/>
                <w:szCs w:val="28"/>
              </w:rPr>
              <w:t>2000</w:t>
            </w:r>
          </w:p>
        </w:tc>
        <w:tc>
          <w:tcPr>
            <w:tcW w:w="1680" w:type="dxa"/>
            <w:tcBorders>
              <w:top w:val="single" w:sz="4" w:space="0" w:color="auto"/>
              <w:bottom w:val="single" w:sz="12" w:space="0" w:color="auto"/>
            </w:tcBorders>
            <w:shd w:val="clear" w:color="auto" w:fill="auto"/>
            <w:vAlign w:val="bottom"/>
          </w:tcPr>
          <w:p w:rsidR="000E0F0C" w:rsidRPr="005B37AB" w:rsidRDefault="000E0F0C" w:rsidP="00B32EA6">
            <w:pPr>
              <w:spacing w:before="80" w:after="80" w:line="200" w:lineRule="exact"/>
              <w:ind w:right="101"/>
              <w:jc w:val="right"/>
              <w:rPr>
                <w:rFonts w:ascii="KaiTi_GB2312" w:eastAsia="KaiTi_GB2312" w:hAnsi="SimSun"/>
                <w:b/>
                <w:color w:val="0000FF"/>
                <w:sz w:val="15"/>
                <w:szCs w:val="28"/>
              </w:rPr>
            </w:pPr>
            <w:r w:rsidRPr="005B37AB">
              <w:rPr>
                <w:rFonts w:ascii="KaiTi_GB2312" w:eastAsia="KaiTi_GB2312" w:hAnsi="SimSun"/>
                <w:b/>
                <w:color w:val="0000FF"/>
                <w:sz w:val="15"/>
                <w:szCs w:val="28"/>
              </w:rPr>
              <w:t>2005</w:t>
            </w:r>
          </w:p>
        </w:tc>
        <w:tc>
          <w:tcPr>
            <w:tcW w:w="1807" w:type="dxa"/>
            <w:tcBorders>
              <w:top w:val="single" w:sz="4" w:space="0" w:color="auto"/>
              <w:bottom w:val="single" w:sz="12" w:space="0" w:color="auto"/>
            </w:tcBorders>
            <w:shd w:val="clear" w:color="auto" w:fill="auto"/>
            <w:vAlign w:val="bottom"/>
          </w:tcPr>
          <w:p w:rsidR="000E0F0C" w:rsidRPr="005B37AB" w:rsidRDefault="000E0F0C" w:rsidP="00B32EA6">
            <w:pPr>
              <w:spacing w:before="80" w:after="80" w:line="200" w:lineRule="exact"/>
              <w:ind w:right="101"/>
              <w:jc w:val="right"/>
              <w:rPr>
                <w:rFonts w:ascii="KaiTi_GB2312" w:eastAsia="KaiTi_GB2312" w:hAnsi="SimSun" w:hint="eastAsia"/>
                <w:b/>
                <w:color w:val="0000FF"/>
                <w:sz w:val="15"/>
                <w:szCs w:val="28"/>
              </w:rPr>
            </w:pPr>
            <w:r w:rsidRPr="005B37AB">
              <w:rPr>
                <w:rFonts w:ascii="KaiTi_GB2312" w:eastAsia="KaiTi_GB2312" w:hAnsi="SimSun" w:hint="eastAsia"/>
                <w:b/>
                <w:color w:val="0000FF"/>
                <w:sz w:val="15"/>
                <w:szCs w:val="28"/>
              </w:rPr>
              <w:t>进步情形</w:t>
            </w:r>
          </w:p>
        </w:tc>
      </w:tr>
      <w:tr w:rsidR="000E0F0C" w:rsidRPr="005B37AB" w:rsidTr="00B32EA6">
        <w:trPr>
          <w:cantSplit/>
          <w:trHeight w:hRule="exact" w:val="115"/>
          <w:tblHeader/>
        </w:trPr>
        <w:tc>
          <w:tcPr>
            <w:tcW w:w="2262" w:type="dxa"/>
            <w:tcBorders>
              <w:top w:val="single" w:sz="12" w:space="0" w:color="auto"/>
            </w:tcBorders>
            <w:shd w:val="clear" w:color="auto" w:fill="auto"/>
            <w:vAlign w:val="bottom"/>
          </w:tcPr>
          <w:p w:rsidR="000E0F0C" w:rsidRPr="005B37AB" w:rsidRDefault="000E0F0C" w:rsidP="00B32EA6">
            <w:pPr>
              <w:spacing w:after="60" w:line="280" w:lineRule="exact"/>
              <w:rPr>
                <w:rFonts w:hAnsi="SimSun" w:hint="eastAsia"/>
                <w:b/>
                <w:color w:val="000000"/>
                <w:sz w:val="17"/>
                <w:szCs w:val="28"/>
              </w:rPr>
            </w:pPr>
          </w:p>
        </w:tc>
        <w:tc>
          <w:tcPr>
            <w:tcW w:w="1622" w:type="dxa"/>
            <w:tcBorders>
              <w:top w:val="single" w:sz="12" w:space="0" w:color="auto"/>
            </w:tcBorders>
            <w:shd w:val="clear" w:color="auto" w:fill="auto"/>
            <w:vAlign w:val="bottom"/>
          </w:tcPr>
          <w:p w:rsidR="000E0F0C" w:rsidRPr="005B37AB" w:rsidRDefault="000E0F0C" w:rsidP="00B32EA6">
            <w:pPr>
              <w:spacing w:after="60" w:line="280" w:lineRule="exact"/>
              <w:ind w:right="101"/>
              <w:jc w:val="right"/>
              <w:rPr>
                <w:rFonts w:hAnsi="SimSun"/>
                <w:b/>
                <w:color w:val="000000"/>
                <w:sz w:val="17"/>
                <w:szCs w:val="28"/>
              </w:rPr>
            </w:pPr>
          </w:p>
        </w:tc>
        <w:tc>
          <w:tcPr>
            <w:tcW w:w="1680" w:type="dxa"/>
            <w:tcBorders>
              <w:top w:val="single" w:sz="12" w:space="0" w:color="auto"/>
            </w:tcBorders>
            <w:shd w:val="clear" w:color="auto" w:fill="auto"/>
            <w:vAlign w:val="bottom"/>
          </w:tcPr>
          <w:p w:rsidR="000E0F0C" w:rsidRPr="005B37AB" w:rsidRDefault="000E0F0C" w:rsidP="00B32EA6">
            <w:pPr>
              <w:spacing w:after="60" w:line="280" w:lineRule="exact"/>
              <w:ind w:right="101"/>
              <w:jc w:val="right"/>
              <w:rPr>
                <w:rFonts w:hAnsi="SimSun"/>
                <w:b/>
                <w:color w:val="000000"/>
                <w:sz w:val="17"/>
                <w:szCs w:val="28"/>
              </w:rPr>
            </w:pPr>
          </w:p>
        </w:tc>
        <w:tc>
          <w:tcPr>
            <w:tcW w:w="1807" w:type="dxa"/>
            <w:tcBorders>
              <w:top w:val="single" w:sz="12" w:space="0" w:color="auto"/>
            </w:tcBorders>
            <w:shd w:val="clear" w:color="auto" w:fill="auto"/>
            <w:vAlign w:val="bottom"/>
          </w:tcPr>
          <w:p w:rsidR="000E0F0C" w:rsidRPr="005B37AB" w:rsidRDefault="000E0F0C" w:rsidP="00B32EA6">
            <w:pPr>
              <w:spacing w:after="60" w:line="280" w:lineRule="exact"/>
              <w:ind w:right="101"/>
              <w:jc w:val="right"/>
              <w:rPr>
                <w:rFonts w:hAnsi="SimSun"/>
                <w:b/>
                <w:color w:val="000000"/>
                <w:sz w:val="17"/>
                <w:szCs w:val="28"/>
              </w:rPr>
            </w:pPr>
          </w:p>
        </w:tc>
      </w:tr>
      <w:tr w:rsidR="000E0F0C" w:rsidRPr="00465F44" w:rsidTr="00B32EA6">
        <w:trPr>
          <w:cantSplit/>
        </w:trPr>
        <w:tc>
          <w:tcPr>
            <w:tcW w:w="2262" w:type="dxa"/>
            <w:shd w:val="clear" w:color="auto" w:fill="auto"/>
            <w:vAlign w:val="bottom"/>
          </w:tcPr>
          <w:p w:rsidR="000E0F0C" w:rsidRPr="00465F44" w:rsidRDefault="000E0F0C" w:rsidP="00B32EA6">
            <w:pPr>
              <w:tabs>
                <w:tab w:val="left" w:pos="360"/>
                <w:tab w:val="left" w:pos="720"/>
                <w:tab w:val="left" w:pos="1080"/>
                <w:tab w:val="left" w:pos="1440"/>
              </w:tabs>
              <w:spacing w:after="60" w:line="280" w:lineRule="exact"/>
              <w:rPr>
                <w:rFonts w:eastAsia="SimSun" w:hAnsi="SimSun"/>
                <w:color w:val="000000"/>
                <w:sz w:val="17"/>
                <w:szCs w:val="28"/>
              </w:rPr>
            </w:pPr>
            <w:r w:rsidRPr="00465F44">
              <w:rPr>
                <w:rFonts w:eastAsia="SimSun" w:hAnsi="SimSun" w:hint="eastAsia"/>
                <w:color w:val="000000"/>
                <w:sz w:val="17"/>
                <w:szCs w:val="28"/>
              </w:rPr>
              <w:t>政府</w:t>
            </w:r>
            <w:r w:rsidRPr="00465F44">
              <w:rPr>
                <w:rFonts w:eastAsia="SimSun" w:hAnsi="SimSun"/>
                <w:color w:val="000000"/>
                <w:sz w:val="17"/>
                <w:szCs w:val="28"/>
              </w:rPr>
              <w:t xml:space="preserve"> (</w:t>
            </w:r>
            <w:r w:rsidRPr="00465F44">
              <w:rPr>
                <w:rFonts w:eastAsia="SimSun" w:hAnsi="SimSun" w:hint="eastAsia"/>
                <w:color w:val="000000"/>
                <w:sz w:val="17"/>
                <w:szCs w:val="28"/>
              </w:rPr>
              <w:t>部长</w:t>
            </w:r>
            <w:r w:rsidRPr="00465F44">
              <w:rPr>
                <w:rFonts w:eastAsia="SimSun" w:hAnsi="SimSun"/>
                <w:color w:val="000000"/>
                <w:sz w:val="17"/>
                <w:szCs w:val="28"/>
              </w:rPr>
              <w:t>)</w:t>
            </w:r>
          </w:p>
        </w:tc>
        <w:tc>
          <w:tcPr>
            <w:tcW w:w="1622" w:type="dxa"/>
            <w:shd w:val="clear" w:color="auto" w:fill="auto"/>
            <w:vAlign w:val="bottom"/>
          </w:tcPr>
          <w:p w:rsidR="000E0F0C" w:rsidRPr="00465F44" w:rsidRDefault="000E0F0C" w:rsidP="00B32EA6">
            <w:pPr>
              <w:tabs>
                <w:tab w:val="left" w:pos="360"/>
                <w:tab w:val="left" w:pos="720"/>
                <w:tab w:val="left" w:pos="1080"/>
                <w:tab w:val="left" w:pos="1440"/>
              </w:tabs>
              <w:spacing w:after="60" w:line="280" w:lineRule="exact"/>
              <w:ind w:right="101"/>
              <w:jc w:val="right"/>
              <w:rPr>
                <w:rFonts w:eastAsia="SimSun" w:hAnsi="SimSun" w:hint="eastAsia"/>
                <w:color w:val="000000"/>
                <w:sz w:val="17"/>
                <w:szCs w:val="28"/>
              </w:rPr>
            </w:pPr>
            <w:r w:rsidRPr="00465F44">
              <w:rPr>
                <w:rFonts w:eastAsia="SimSun" w:hAnsi="SimSun"/>
                <w:color w:val="000000"/>
                <w:sz w:val="17"/>
                <w:szCs w:val="28"/>
              </w:rPr>
              <w:t>15</w:t>
            </w:r>
            <w:r>
              <w:rPr>
                <w:rFonts w:eastAsia="SimSun" w:hAnsi="SimSun" w:hint="eastAsia"/>
                <w:color w:val="000000"/>
                <w:sz w:val="17"/>
                <w:szCs w:val="28"/>
              </w:rPr>
              <w:t>％</w:t>
            </w:r>
          </w:p>
        </w:tc>
        <w:tc>
          <w:tcPr>
            <w:tcW w:w="1680" w:type="dxa"/>
            <w:shd w:val="clear" w:color="auto" w:fill="auto"/>
            <w:vAlign w:val="bottom"/>
          </w:tcPr>
          <w:p w:rsidR="000E0F0C" w:rsidRPr="00465F44" w:rsidRDefault="000E0F0C" w:rsidP="00B32EA6">
            <w:pPr>
              <w:tabs>
                <w:tab w:val="left" w:pos="360"/>
                <w:tab w:val="left" w:pos="720"/>
                <w:tab w:val="left" w:pos="1080"/>
                <w:tab w:val="left" w:pos="1440"/>
              </w:tabs>
              <w:spacing w:after="60" w:line="280" w:lineRule="exact"/>
              <w:ind w:right="101"/>
              <w:jc w:val="right"/>
              <w:rPr>
                <w:rFonts w:eastAsia="SimSun" w:hAnsi="SimSun"/>
                <w:color w:val="000000"/>
                <w:sz w:val="17"/>
                <w:szCs w:val="28"/>
              </w:rPr>
            </w:pPr>
            <w:r w:rsidRPr="00465F44">
              <w:rPr>
                <w:rFonts w:eastAsia="SimSun" w:hAnsi="SimSun"/>
                <w:color w:val="000000"/>
                <w:sz w:val="17"/>
                <w:szCs w:val="28"/>
              </w:rPr>
              <w:t>16.7</w:t>
            </w:r>
            <w:r>
              <w:rPr>
                <w:rFonts w:eastAsia="SimSun" w:hAnsi="SimSun" w:hint="eastAsia"/>
                <w:color w:val="000000"/>
                <w:sz w:val="17"/>
                <w:szCs w:val="28"/>
              </w:rPr>
              <w:t>％</w:t>
            </w:r>
          </w:p>
        </w:tc>
        <w:tc>
          <w:tcPr>
            <w:tcW w:w="1807" w:type="dxa"/>
            <w:shd w:val="clear" w:color="auto" w:fill="auto"/>
            <w:vAlign w:val="bottom"/>
          </w:tcPr>
          <w:p w:rsidR="000E0F0C" w:rsidRPr="00465F44" w:rsidRDefault="000E0F0C" w:rsidP="00B32EA6">
            <w:pPr>
              <w:tabs>
                <w:tab w:val="left" w:pos="360"/>
                <w:tab w:val="left" w:pos="720"/>
                <w:tab w:val="left" w:pos="1080"/>
                <w:tab w:val="left" w:pos="1440"/>
              </w:tabs>
              <w:spacing w:after="60" w:line="280" w:lineRule="exact"/>
              <w:ind w:right="101"/>
              <w:jc w:val="right"/>
              <w:rPr>
                <w:rFonts w:eastAsia="SimSun" w:hAnsi="SimSun"/>
                <w:color w:val="000000"/>
                <w:sz w:val="17"/>
                <w:szCs w:val="28"/>
              </w:rPr>
            </w:pPr>
            <w:r w:rsidRPr="00465F44">
              <w:rPr>
                <w:rFonts w:eastAsia="SimSun" w:hAnsi="SimSun"/>
                <w:color w:val="000000"/>
                <w:sz w:val="17"/>
                <w:szCs w:val="28"/>
              </w:rPr>
              <w:t>+ 1.7</w:t>
            </w:r>
            <w:r>
              <w:rPr>
                <w:rFonts w:eastAsia="SimSun" w:hAnsi="SimSun" w:hint="eastAsia"/>
                <w:color w:val="000000"/>
                <w:sz w:val="17"/>
                <w:szCs w:val="28"/>
              </w:rPr>
              <w:t>％</w:t>
            </w:r>
          </w:p>
        </w:tc>
      </w:tr>
      <w:tr w:rsidR="000E0F0C" w:rsidRPr="00465F44" w:rsidTr="00B32EA6">
        <w:trPr>
          <w:cantSplit/>
        </w:trPr>
        <w:tc>
          <w:tcPr>
            <w:tcW w:w="2262" w:type="dxa"/>
            <w:shd w:val="clear" w:color="auto" w:fill="auto"/>
            <w:vAlign w:val="bottom"/>
          </w:tcPr>
          <w:p w:rsidR="000E0F0C" w:rsidRPr="00465F44" w:rsidRDefault="000E0F0C" w:rsidP="00B32EA6">
            <w:pPr>
              <w:tabs>
                <w:tab w:val="left" w:pos="360"/>
                <w:tab w:val="left" w:pos="720"/>
                <w:tab w:val="left" w:pos="1080"/>
                <w:tab w:val="left" w:pos="1440"/>
              </w:tabs>
              <w:spacing w:after="60" w:line="280" w:lineRule="exact"/>
              <w:rPr>
                <w:rFonts w:eastAsia="SimSun" w:hAnsi="SimSun" w:hint="eastAsia"/>
                <w:color w:val="000000"/>
                <w:sz w:val="17"/>
                <w:szCs w:val="28"/>
              </w:rPr>
            </w:pPr>
            <w:r w:rsidRPr="00465F44">
              <w:rPr>
                <w:rFonts w:eastAsia="SimSun" w:hAnsi="SimSun" w:hint="eastAsia"/>
                <w:color w:val="000000"/>
                <w:sz w:val="17"/>
                <w:szCs w:val="28"/>
              </w:rPr>
              <w:t>议会</w:t>
            </w:r>
          </w:p>
        </w:tc>
        <w:tc>
          <w:tcPr>
            <w:tcW w:w="1622" w:type="dxa"/>
            <w:shd w:val="clear" w:color="auto" w:fill="auto"/>
            <w:vAlign w:val="bottom"/>
          </w:tcPr>
          <w:p w:rsidR="000E0F0C" w:rsidRPr="00465F44" w:rsidRDefault="000E0F0C" w:rsidP="00B32EA6">
            <w:pPr>
              <w:tabs>
                <w:tab w:val="left" w:pos="360"/>
                <w:tab w:val="left" w:pos="720"/>
                <w:tab w:val="left" w:pos="1080"/>
                <w:tab w:val="left" w:pos="1440"/>
              </w:tabs>
              <w:spacing w:after="60" w:line="280" w:lineRule="exact"/>
              <w:ind w:right="101"/>
              <w:jc w:val="right"/>
              <w:rPr>
                <w:rFonts w:eastAsia="SimSun" w:hAnsi="SimSun"/>
                <w:color w:val="000000"/>
                <w:sz w:val="17"/>
                <w:szCs w:val="28"/>
              </w:rPr>
            </w:pPr>
            <w:r w:rsidRPr="00465F44">
              <w:rPr>
                <w:rFonts w:eastAsia="SimSun" w:hAnsi="SimSun"/>
                <w:color w:val="000000"/>
                <w:sz w:val="17"/>
                <w:szCs w:val="28"/>
              </w:rPr>
              <w:t>17.6</w:t>
            </w:r>
            <w:r>
              <w:rPr>
                <w:rFonts w:eastAsia="SimSun" w:hAnsi="SimSun" w:hint="eastAsia"/>
                <w:color w:val="000000"/>
                <w:sz w:val="17"/>
                <w:szCs w:val="28"/>
              </w:rPr>
              <w:t>％</w:t>
            </w:r>
          </w:p>
        </w:tc>
        <w:tc>
          <w:tcPr>
            <w:tcW w:w="1680" w:type="dxa"/>
            <w:shd w:val="clear" w:color="auto" w:fill="auto"/>
            <w:vAlign w:val="bottom"/>
          </w:tcPr>
          <w:p w:rsidR="000E0F0C" w:rsidRPr="00465F44" w:rsidRDefault="000E0F0C" w:rsidP="00B32EA6">
            <w:pPr>
              <w:tabs>
                <w:tab w:val="left" w:pos="360"/>
                <w:tab w:val="left" w:pos="720"/>
                <w:tab w:val="left" w:pos="1080"/>
                <w:tab w:val="left" w:pos="1440"/>
              </w:tabs>
              <w:spacing w:after="60" w:line="280" w:lineRule="exact"/>
              <w:ind w:right="101"/>
              <w:jc w:val="right"/>
              <w:rPr>
                <w:rFonts w:eastAsia="SimSun" w:hAnsi="SimSun"/>
                <w:color w:val="000000"/>
                <w:sz w:val="17"/>
                <w:szCs w:val="28"/>
              </w:rPr>
            </w:pPr>
            <w:r w:rsidRPr="00465F44">
              <w:rPr>
                <w:rFonts w:eastAsia="SimSun" w:hAnsi="SimSun"/>
                <w:color w:val="000000"/>
                <w:sz w:val="17"/>
                <w:szCs w:val="28"/>
              </w:rPr>
              <w:t>25</w:t>
            </w:r>
            <w:r>
              <w:rPr>
                <w:rFonts w:eastAsia="SimSun" w:hAnsi="SimSun" w:hint="eastAsia"/>
                <w:color w:val="000000"/>
                <w:sz w:val="17"/>
                <w:szCs w:val="28"/>
              </w:rPr>
              <w:t>％</w:t>
            </w:r>
          </w:p>
        </w:tc>
        <w:tc>
          <w:tcPr>
            <w:tcW w:w="1807" w:type="dxa"/>
            <w:shd w:val="clear" w:color="auto" w:fill="auto"/>
            <w:vAlign w:val="bottom"/>
          </w:tcPr>
          <w:p w:rsidR="000E0F0C" w:rsidRPr="00465F44" w:rsidRDefault="000E0F0C" w:rsidP="00B32EA6">
            <w:pPr>
              <w:tabs>
                <w:tab w:val="left" w:pos="360"/>
                <w:tab w:val="left" w:pos="720"/>
                <w:tab w:val="left" w:pos="1080"/>
                <w:tab w:val="left" w:pos="1440"/>
              </w:tabs>
              <w:spacing w:after="60" w:line="280" w:lineRule="exact"/>
              <w:ind w:right="101"/>
              <w:jc w:val="right"/>
              <w:rPr>
                <w:rFonts w:eastAsia="SimSun" w:hAnsi="SimSun"/>
                <w:color w:val="000000"/>
                <w:sz w:val="17"/>
                <w:szCs w:val="28"/>
              </w:rPr>
            </w:pPr>
            <w:r w:rsidRPr="00465F44">
              <w:rPr>
                <w:rFonts w:eastAsia="SimSun" w:hAnsi="SimSun"/>
                <w:color w:val="000000"/>
                <w:sz w:val="17"/>
                <w:szCs w:val="28"/>
              </w:rPr>
              <w:t>+ 7.4</w:t>
            </w:r>
            <w:r>
              <w:rPr>
                <w:rFonts w:eastAsia="SimSun" w:hAnsi="SimSun" w:hint="eastAsia"/>
                <w:color w:val="000000"/>
                <w:sz w:val="17"/>
                <w:szCs w:val="28"/>
              </w:rPr>
              <w:t>％</w:t>
            </w:r>
          </w:p>
        </w:tc>
      </w:tr>
      <w:tr w:rsidR="000E0F0C" w:rsidRPr="00465F44" w:rsidTr="00B32EA6">
        <w:trPr>
          <w:cantSplit/>
        </w:trPr>
        <w:tc>
          <w:tcPr>
            <w:tcW w:w="2262" w:type="dxa"/>
            <w:shd w:val="clear" w:color="auto" w:fill="auto"/>
            <w:vAlign w:val="bottom"/>
          </w:tcPr>
          <w:p w:rsidR="000E0F0C" w:rsidRPr="00465F44" w:rsidRDefault="000E0F0C" w:rsidP="00B32EA6">
            <w:pPr>
              <w:tabs>
                <w:tab w:val="left" w:pos="360"/>
                <w:tab w:val="left" w:pos="720"/>
                <w:tab w:val="left" w:pos="1080"/>
                <w:tab w:val="left" w:pos="1440"/>
              </w:tabs>
              <w:spacing w:after="60" w:line="280" w:lineRule="exact"/>
              <w:rPr>
                <w:rFonts w:eastAsia="SimSun" w:hAnsi="SimSun" w:hint="eastAsia"/>
                <w:color w:val="000000"/>
                <w:sz w:val="17"/>
                <w:szCs w:val="28"/>
              </w:rPr>
            </w:pPr>
            <w:r w:rsidRPr="00465F44">
              <w:rPr>
                <w:rFonts w:eastAsia="SimSun" w:hAnsi="SimSun" w:hint="eastAsia"/>
                <w:color w:val="000000"/>
                <w:sz w:val="17"/>
                <w:szCs w:val="28"/>
              </w:rPr>
              <w:t>地区议会</w:t>
            </w:r>
          </w:p>
        </w:tc>
        <w:tc>
          <w:tcPr>
            <w:tcW w:w="1622" w:type="dxa"/>
            <w:shd w:val="clear" w:color="auto" w:fill="auto"/>
            <w:vAlign w:val="bottom"/>
          </w:tcPr>
          <w:p w:rsidR="000E0F0C" w:rsidRPr="00465F44" w:rsidRDefault="000E0F0C" w:rsidP="00B32EA6">
            <w:pPr>
              <w:tabs>
                <w:tab w:val="left" w:pos="360"/>
                <w:tab w:val="left" w:pos="720"/>
                <w:tab w:val="left" w:pos="1080"/>
                <w:tab w:val="left" w:pos="1440"/>
              </w:tabs>
              <w:spacing w:after="60" w:line="280" w:lineRule="exact"/>
              <w:ind w:right="101"/>
              <w:jc w:val="right"/>
              <w:rPr>
                <w:rFonts w:eastAsia="SimSun" w:hAnsi="SimSun"/>
                <w:color w:val="000000"/>
                <w:sz w:val="17"/>
                <w:szCs w:val="28"/>
              </w:rPr>
            </w:pPr>
            <w:r w:rsidRPr="00465F44">
              <w:rPr>
                <w:rFonts w:eastAsia="SimSun" w:hAnsi="SimSun"/>
                <w:color w:val="000000"/>
                <w:sz w:val="17"/>
                <w:szCs w:val="28"/>
              </w:rPr>
              <w:t>18</w:t>
            </w:r>
            <w:r>
              <w:rPr>
                <w:rFonts w:eastAsia="SimSun" w:hAnsi="SimSun" w:hint="eastAsia"/>
                <w:color w:val="000000"/>
                <w:sz w:val="17"/>
                <w:szCs w:val="28"/>
              </w:rPr>
              <w:t>％</w:t>
            </w:r>
          </w:p>
        </w:tc>
        <w:tc>
          <w:tcPr>
            <w:tcW w:w="1680" w:type="dxa"/>
            <w:shd w:val="clear" w:color="auto" w:fill="auto"/>
            <w:vAlign w:val="bottom"/>
          </w:tcPr>
          <w:p w:rsidR="000E0F0C" w:rsidRPr="00465F44" w:rsidRDefault="000E0F0C" w:rsidP="00B32EA6">
            <w:pPr>
              <w:tabs>
                <w:tab w:val="left" w:pos="360"/>
                <w:tab w:val="left" w:pos="720"/>
                <w:tab w:val="left" w:pos="1080"/>
                <w:tab w:val="left" w:pos="1440"/>
              </w:tabs>
              <w:spacing w:after="60" w:line="280" w:lineRule="exact"/>
              <w:ind w:right="101"/>
              <w:jc w:val="right"/>
              <w:rPr>
                <w:rFonts w:eastAsia="SimSun" w:hAnsi="SimSun"/>
                <w:color w:val="000000"/>
                <w:sz w:val="17"/>
                <w:szCs w:val="28"/>
              </w:rPr>
            </w:pPr>
            <w:r w:rsidRPr="00465F44">
              <w:rPr>
                <w:rFonts w:eastAsia="SimSun" w:hAnsi="SimSun"/>
                <w:color w:val="000000"/>
                <w:sz w:val="17"/>
                <w:szCs w:val="28"/>
              </w:rPr>
              <w:t>24.5</w:t>
            </w:r>
            <w:r>
              <w:rPr>
                <w:rFonts w:eastAsia="SimSun" w:hAnsi="SimSun" w:hint="eastAsia"/>
                <w:color w:val="000000"/>
                <w:sz w:val="17"/>
                <w:szCs w:val="28"/>
              </w:rPr>
              <w:t>％</w:t>
            </w:r>
          </w:p>
        </w:tc>
        <w:tc>
          <w:tcPr>
            <w:tcW w:w="1807" w:type="dxa"/>
            <w:shd w:val="clear" w:color="auto" w:fill="auto"/>
            <w:vAlign w:val="bottom"/>
          </w:tcPr>
          <w:p w:rsidR="000E0F0C" w:rsidRPr="00465F44" w:rsidRDefault="000E0F0C" w:rsidP="00B32EA6">
            <w:pPr>
              <w:tabs>
                <w:tab w:val="left" w:pos="360"/>
                <w:tab w:val="left" w:pos="720"/>
                <w:tab w:val="left" w:pos="1080"/>
                <w:tab w:val="left" w:pos="1440"/>
              </w:tabs>
              <w:spacing w:after="60" w:line="280" w:lineRule="exact"/>
              <w:ind w:right="101"/>
              <w:jc w:val="right"/>
              <w:rPr>
                <w:rFonts w:eastAsia="SimSun" w:hAnsi="SimSun"/>
                <w:color w:val="000000"/>
                <w:sz w:val="17"/>
                <w:szCs w:val="28"/>
              </w:rPr>
            </w:pPr>
            <w:r w:rsidRPr="00465F44">
              <w:rPr>
                <w:rFonts w:eastAsia="SimSun" w:hAnsi="SimSun"/>
                <w:color w:val="000000"/>
                <w:sz w:val="17"/>
                <w:szCs w:val="28"/>
              </w:rPr>
              <w:t>+ 6.5</w:t>
            </w:r>
            <w:r>
              <w:rPr>
                <w:rFonts w:eastAsia="SimSun" w:hAnsi="SimSun" w:hint="eastAsia"/>
                <w:color w:val="000000"/>
                <w:sz w:val="17"/>
                <w:szCs w:val="28"/>
              </w:rPr>
              <w:t>％</w:t>
            </w:r>
          </w:p>
        </w:tc>
      </w:tr>
      <w:tr w:rsidR="000E0F0C" w:rsidRPr="00465F44" w:rsidTr="00B32EA6">
        <w:trPr>
          <w:cantSplit/>
        </w:trPr>
        <w:tc>
          <w:tcPr>
            <w:tcW w:w="2262" w:type="dxa"/>
            <w:tcBorders>
              <w:bottom w:val="single" w:sz="4" w:space="0" w:color="auto"/>
            </w:tcBorders>
            <w:shd w:val="clear" w:color="auto" w:fill="auto"/>
            <w:vAlign w:val="bottom"/>
          </w:tcPr>
          <w:p w:rsidR="000E0F0C" w:rsidRPr="00465F44" w:rsidRDefault="000E0F0C" w:rsidP="00B32EA6">
            <w:pPr>
              <w:tabs>
                <w:tab w:val="left" w:pos="360"/>
                <w:tab w:val="left" w:pos="720"/>
                <w:tab w:val="left" w:pos="1080"/>
                <w:tab w:val="left" w:pos="1440"/>
              </w:tabs>
              <w:spacing w:after="80" w:line="280" w:lineRule="exact"/>
              <w:rPr>
                <w:rFonts w:eastAsia="SimSun" w:hAnsi="SimSun" w:hint="eastAsia"/>
                <w:color w:val="000000"/>
                <w:sz w:val="17"/>
                <w:szCs w:val="28"/>
              </w:rPr>
            </w:pPr>
            <w:r>
              <w:rPr>
                <w:rFonts w:eastAsia="SimSun" w:hAnsi="SimSun" w:hint="eastAsia"/>
                <w:color w:val="000000"/>
                <w:sz w:val="17"/>
                <w:szCs w:val="28"/>
              </w:rPr>
              <w:t>地方</w:t>
            </w:r>
            <w:r w:rsidRPr="00465F44">
              <w:rPr>
                <w:rFonts w:eastAsia="SimSun" w:hAnsi="SimSun" w:hint="eastAsia"/>
                <w:color w:val="000000"/>
                <w:sz w:val="17"/>
                <w:szCs w:val="28"/>
              </w:rPr>
              <w:t>议会</w:t>
            </w:r>
          </w:p>
        </w:tc>
        <w:tc>
          <w:tcPr>
            <w:tcW w:w="1622" w:type="dxa"/>
            <w:tcBorders>
              <w:bottom w:val="single" w:sz="4" w:space="0" w:color="auto"/>
            </w:tcBorders>
            <w:shd w:val="clear" w:color="auto" w:fill="auto"/>
            <w:vAlign w:val="bottom"/>
          </w:tcPr>
          <w:p w:rsidR="000E0F0C" w:rsidRPr="00465F44" w:rsidRDefault="000E0F0C" w:rsidP="00B32EA6">
            <w:pPr>
              <w:tabs>
                <w:tab w:val="left" w:pos="360"/>
                <w:tab w:val="left" w:pos="720"/>
                <w:tab w:val="left" w:pos="1080"/>
                <w:tab w:val="left" w:pos="1440"/>
              </w:tabs>
              <w:spacing w:after="80" w:line="280" w:lineRule="exact"/>
              <w:ind w:right="101"/>
              <w:jc w:val="right"/>
              <w:rPr>
                <w:rFonts w:eastAsia="SimSun" w:hAnsi="SimSun"/>
                <w:color w:val="000000"/>
                <w:sz w:val="17"/>
                <w:szCs w:val="28"/>
              </w:rPr>
            </w:pPr>
            <w:r w:rsidRPr="00465F44">
              <w:rPr>
                <w:rFonts w:eastAsia="SimSun" w:hAnsi="SimSun"/>
                <w:color w:val="000000"/>
                <w:sz w:val="17"/>
                <w:szCs w:val="28"/>
              </w:rPr>
              <w:t>24.7</w:t>
            </w:r>
            <w:r>
              <w:rPr>
                <w:rFonts w:eastAsia="SimSun" w:hAnsi="SimSun" w:hint="eastAsia"/>
                <w:color w:val="000000"/>
                <w:sz w:val="17"/>
                <w:szCs w:val="28"/>
              </w:rPr>
              <w:t>％</w:t>
            </w:r>
          </w:p>
        </w:tc>
        <w:tc>
          <w:tcPr>
            <w:tcW w:w="1680" w:type="dxa"/>
            <w:tcBorders>
              <w:bottom w:val="single" w:sz="4" w:space="0" w:color="auto"/>
            </w:tcBorders>
            <w:shd w:val="clear" w:color="auto" w:fill="auto"/>
            <w:vAlign w:val="bottom"/>
          </w:tcPr>
          <w:p w:rsidR="000E0F0C" w:rsidRPr="00465F44" w:rsidRDefault="000E0F0C" w:rsidP="00B32EA6">
            <w:pPr>
              <w:tabs>
                <w:tab w:val="left" w:pos="360"/>
                <w:tab w:val="left" w:pos="720"/>
                <w:tab w:val="left" w:pos="1080"/>
                <w:tab w:val="left" w:pos="1440"/>
              </w:tabs>
              <w:spacing w:after="80" w:line="280" w:lineRule="exact"/>
              <w:ind w:right="101"/>
              <w:jc w:val="right"/>
              <w:rPr>
                <w:rFonts w:eastAsia="SimSun" w:hAnsi="SimSun"/>
                <w:color w:val="000000"/>
                <w:sz w:val="17"/>
                <w:szCs w:val="28"/>
              </w:rPr>
            </w:pPr>
            <w:r w:rsidRPr="00465F44">
              <w:rPr>
                <w:rFonts w:eastAsia="SimSun" w:hAnsi="SimSun"/>
                <w:color w:val="000000"/>
                <w:sz w:val="17"/>
                <w:szCs w:val="28"/>
              </w:rPr>
              <w:t>30.6</w:t>
            </w:r>
            <w:r>
              <w:rPr>
                <w:rFonts w:eastAsia="SimSun" w:hAnsi="SimSun" w:hint="eastAsia"/>
                <w:color w:val="000000"/>
                <w:sz w:val="17"/>
                <w:szCs w:val="28"/>
              </w:rPr>
              <w:t>％</w:t>
            </w:r>
          </w:p>
        </w:tc>
        <w:tc>
          <w:tcPr>
            <w:tcW w:w="1807" w:type="dxa"/>
            <w:tcBorders>
              <w:bottom w:val="single" w:sz="4" w:space="0" w:color="auto"/>
            </w:tcBorders>
            <w:shd w:val="clear" w:color="auto" w:fill="auto"/>
            <w:vAlign w:val="bottom"/>
          </w:tcPr>
          <w:p w:rsidR="000E0F0C" w:rsidRPr="00465F44" w:rsidRDefault="000E0F0C" w:rsidP="00B32EA6">
            <w:pPr>
              <w:tabs>
                <w:tab w:val="left" w:pos="360"/>
                <w:tab w:val="left" w:pos="720"/>
                <w:tab w:val="left" w:pos="1080"/>
                <w:tab w:val="left" w:pos="1440"/>
              </w:tabs>
              <w:spacing w:after="80" w:line="280" w:lineRule="exact"/>
              <w:ind w:right="101"/>
              <w:jc w:val="right"/>
              <w:rPr>
                <w:rFonts w:eastAsia="SimSun" w:hAnsi="SimSun"/>
                <w:color w:val="000000"/>
                <w:sz w:val="17"/>
                <w:szCs w:val="28"/>
              </w:rPr>
            </w:pPr>
            <w:r w:rsidRPr="00465F44">
              <w:rPr>
                <w:rFonts w:eastAsia="SimSun" w:hAnsi="SimSun"/>
                <w:color w:val="000000"/>
                <w:sz w:val="17"/>
                <w:szCs w:val="28"/>
              </w:rPr>
              <w:t>+ 5.9</w:t>
            </w:r>
            <w:r>
              <w:rPr>
                <w:rFonts w:eastAsia="SimSun" w:hAnsi="SimSun" w:hint="eastAsia"/>
                <w:color w:val="000000"/>
                <w:sz w:val="17"/>
                <w:szCs w:val="28"/>
              </w:rPr>
              <w:t>％</w:t>
            </w:r>
          </w:p>
        </w:tc>
      </w:tr>
      <w:tr w:rsidR="000E0F0C" w:rsidRPr="00465F44" w:rsidTr="00B32EA6">
        <w:trPr>
          <w:cantSplit/>
        </w:trPr>
        <w:tc>
          <w:tcPr>
            <w:tcW w:w="2262" w:type="dxa"/>
            <w:tcBorders>
              <w:top w:val="single" w:sz="4" w:space="0" w:color="auto"/>
              <w:bottom w:val="single" w:sz="12" w:space="0" w:color="auto"/>
            </w:tcBorders>
            <w:shd w:val="clear" w:color="auto" w:fill="auto"/>
            <w:vAlign w:val="bottom"/>
          </w:tcPr>
          <w:p w:rsidR="000E0F0C" w:rsidRPr="00465F44" w:rsidRDefault="000E0F0C" w:rsidP="00B32EA6">
            <w:pPr>
              <w:tabs>
                <w:tab w:val="left" w:pos="360"/>
                <w:tab w:val="left" w:pos="720"/>
                <w:tab w:val="left" w:pos="1080"/>
                <w:tab w:val="left" w:pos="1440"/>
              </w:tabs>
              <w:spacing w:before="80" w:after="80" w:line="280" w:lineRule="exact"/>
              <w:rPr>
                <w:rFonts w:ascii="SimHei" w:eastAsia="SimHei" w:hAnsi="SimSun" w:hint="eastAsia"/>
                <w:b/>
                <w:color w:val="FF0000"/>
                <w:sz w:val="17"/>
                <w:szCs w:val="28"/>
              </w:rPr>
            </w:pPr>
            <w:r w:rsidRPr="00465F44">
              <w:rPr>
                <w:rFonts w:ascii="SimHei" w:eastAsia="SimHei" w:hAnsi="SimSun" w:hint="eastAsia"/>
                <w:b/>
                <w:color w:val="FF0000"/>
                <w:sz w:val="17"/>
                <w:szCs w:val="28"/>
              </w:rPr>
              <w:t>平均</w:t>
            </w:r>
          </w:p>
        </w:tc>
        <w:tc>
          <w:tcPr>
            <w:tcW w:w="1622" w:type="dxa"/>
            <w:tcBorders>
              <w:top w:val="single" w:sz="4" w:space="0" w:color="auto"/>
              <w:bottom w:val="single" w:sz="12" w:space="0" w:color="auto"/>
            </w:tcBorders>
            <w:shd w:val="clear" w:color="auto" w:fill="auto"/>
            <w:vAlign w:val="bottom"/>
          </w:tcPr>
          <w:p w:rsidR="000E0F0C" w:rsidRPr="00465F44" w:rsidRDefault="000E0F0C" w:rsidP="00B32EA6">
            <w:pPr>
              <w:tabs>
                <w:tab w:val="left" w:pos="360"/>
                <w:tab w:val="left" w:pos="720"/>
                <w:tab w:val="left" w:pos="1080"/>
                <w:tab w:val="left" w:pos="1440"/>
              </w:tabs>
              <w:spacing w:before="80" w:after="80" w:line="280" w:lineRule="exact"/>
              <w:ind w:right="101"/>
              <w:jc w:val="right"/>
              <w:rPr>
                <w:rFonts w:ascii="SimHei" w:eastAsia="SimHei" w:hAnsi="SimSun"/>
                <w:b/>
                <w:color w:val="FF0000"/>
                <w:sz w:val="17"/>
                <w:szCs w:val="28"/>
              </w:rPr>
            </w:pPr>
            <w:r w:rsidRPr="00465F44">
              <w:rPr>
                <w:rFonts w:ascii="SimHei" w:eastAsia="SimHei" w:hAnsi="SimSun"/>
                <w:b/>
                <w:color w:val="FF0000"/>
                <w:sz w:val="17"/>
                <w:szCs w:val="28"/>
              </w:rPr>
              <w:t>18.8</w:t>
            </w:r>
            <w:r w:rsidRPr="00F37267">
              <w:rPr>
                <w:rFonts w:ascii="SimHei" w:eastAsia="SimHei" w:hAnsi="SimSun" w:hint="eastAsia"/>
                <w:b/>
                <w:color w:val="FF0000"/>
                <w:sz w:val="17"/>
                <w:szCs w:val="28"/>
              </w:rPr>
              <w:t>％</w:t>
            </w:r>
          </w:p>
        </w:tc>
        <w:tc>
          <w:tcPr>
            <w:tcW w:w="1680" w:type="dxa"/>
            <w:tcBorders>
              <w:top w:val="single" w:sz="4" w:space="0" w:color="auto"/>
              <w:bottom w:val="single" w:sz="12" w:space="0" w:color="auto"/>
            </w:tcBorders>
            <w:shd w:val="clear" w:color="auto" w:fill="auto"/>
            <w:vAlign w:val="bottom"/>
          </w:tcPr>
          <w:p w:rsidR="000E0F0C" w:rsidRPr="00465F44" w:rsidRDefault="000E0F0C" w:rsidP="00B32EA6">
            <w:pPr>
              <w:tabs>
                <w:tab w:val="left" w:pos="360"/>
                <w:tab w:val="left" w:pos="720"/>
                <w:tab w:val="left" w:pos="1080"/>
                <w:tab w:val="left" w:pos="1440"/>
              </w:tabs>
              <w:spacing w:before="80" w:after="80" w:line="280" w:lineRule="exact"/>
              <w:ind w:right="101"/>
              <w:jc w:val="right"/>
              <w:rPr>
                <w:rFonts w:ascii="SimHei" w:eastAsia="SimHei" w:hAnsi="SimSun"/>
                <w:b/>
                <w:color w:val="FF0000"/>
                <w:sz w:val="17"/>
                <w:szCs w:val="28"/>
              </w:rPr>
            </w:pPr>
            <w:r w:rsidRPr="00465F44">
              <w:rPr>
                <w:rFonts w:ascii="SimHei" w:eastAsia="SimHei" w:hAnsi="SimSun"/>
                <w:b/>
                <w:color w:val="FF0000"/>
                <w:sz w:val="17"/>
                <w:szCs w:val="28"/>
              </w:rPr>
              <w:t>24.2</w:t>
            </w:r>
            <w:r w:rsidRPr="00F37267">
              <w:rPr>
                <w:rFonts w:ascii="SimHei" w:eastAsia="SimHei" w:hAnsi="SimSun" w:hint="eastAsia"/>
                <w:b/>
                <w:color w:val="FF0000"/>
                <w:sz w:val="17"/>
                <w:szCs w:val="28"/>
              </w:rPr>
              <w:t>％</w:t>
            </w:r>
          </w:p>
        </w:tc>
        <w:tc>
          <w:tcPr>
            <w:tcW w:w="1807" w:type="dxa"/>
            <w:tcBorders>
              <w:top w:val="single" w:sz="4" w:space="0" w:color="auto"/>
              <w:bottom w:val="single" w:sz="12" w:space="0" w:color="auto"/>
            </w:tcBorders>
            <w:shd w:val="clear" w:color="auto" w:fill="auto"/>
            <w:vAlign w:val="bottom"/>
          </w:tcPr>
          <w:p w:rsidR="000E0F0C" w:rsidRPr="00465F44" w:rsidRDefault="000E0F0C" w:rsidP="00B32EA6">
            <w:pPr>
              <w:tabs>
                <w:tab w:val="left" w:pos="360"/>
                <w:tab w:val="left" w:pos="720"/>
                <w:tab w:val="left" w:pos="1080"/>
                <w:tab w:val="left" w:pos="1440"/>
              </w:tabs>
              <w:spacing w:before="80" w:after="80" w:line="280" w:lineRule="exact"/>
              <w:ind w:right="101"/>
              <w:jc w:val="right"/>
              <w:rPr>
                <w:rFonts w:ascii="SimHei" w:eastAsia="SimHei" w:hAnsi="SimSun"/>
                <w:b/>
                <w:color w:val="FF0000"/>
                <w:sz w:val="17"/>
                <w:szCs w:val="28"/>
              </w:rPr>
            </w:pPr>
            <w:r w:rsidRPr="00465F44">
              <w:rPr>
                <w:rFonts w:ascii="SimHei" w:eastAsia="SimHei" w:hAnsi="SimSun"/>
                <w:b/>
                <w:color w:val="FF0000"/>
                <w:sz w:val="17"/>
                <w:szCs w:val="28"/>
              </w:rPr>
              <w:t>+ 4.3</w:t>
            </w:r>
            <w:r w:rsidRPr="00F37267">
              <w:rPr>
                <w:rFonts w:ascii="SimHei" w:eastAsia="SimHei" w:hAnsi="SimSun" w:hint="eastAsia"/>
                <w:b/>
                <w:color w:val="FF0000"/>
                <w:sz w:val="17"/>
                <w:szCs w:val="28"/>
              </w:rPr>
              <w:t>％</w:t>
            </w:r>
          </w:p>
        </w:tc>
      </w:tr>
    </w:tbl>
    <w:p w:rsidR="000E0F0C" w:rsidRPr="000E0F0C" w:rsidRDefault="000E0F0C" w:rsidP="000E0F0C">
      <w:pPr>
        <w:pStyle w:val="SingleTxt"/>
        <w:spacing w:after="0" w:line="120" w:lineRule="exact"/>
        <w:rPr>
          <w:rFonts w:hint="eastAsia"/>
          <w:sz w:val="10"/>
        </w:rPr>
      </w:pPr>
    </w:p>
    <w:p w:rsidR="000E0F0C" w:rsidRPr="009410F0" w:rsidRDefault="000E0F0C" w:rsidP="00B32EA6">
      <w:pPr>
        <w:pStyle w:val="SingleTxt"/>
        <w:rPr>
          <w:rFonts w:hint="eastAsia"/>
          <w:sz w:val="18"/>
          <w:szCs w:val="18"/>
        </w:rPr>
      </w:pPr>
      <w:r w:rsidRPr="009410F0">
        <w:rPr>
          <w:rFonts w:ascii="KaiTi_GB2312" w:eastAsia="KaiTi_GB2312" w:hint="eastAsia"/>
          <w:color w:val="0000FF"/>
          <w:sz w:val="18"/>
          <w:szCs w:val="18"/>
        </w:rPr>
        <w:t>资料来源</w:t>
      </w:r>
      <w:r w:rsidRPr="009410F0">
        <w:rPr>
          <w:rFonts w:hint="eastAsia"/>
          <w:sz w:val="18"/>
          <w:szCs w:val="18"/>
        </w:rPr>
        <w:t>：H. Guicherit为妇女议会论坛进行的研究。</w:t>
      </w:r>
    </w:p>
    <w:p w:rsidR="008C506A" w:rsidRPr="008C506A" w:rsidRDefault="008C506A" w:rsidP="008C506A">
      <w:pPr>
        <w:pStyle w:val="SingleTxt"/>
        <w:spacing w:after="0" w:line="120" w:lineRule="exact"/>
        <w:rPr>
          <w:rFonts w:hint="eastAsia"/>
          <w:sz w:val="10"/>
        </w:rPr>
      </w:pPr>
    </w:p>
    <w:p w:rsidR="000E0F0C" w:rsidRDefault="000E0F0C" w:rsidP="00B32EA6">
      <w:pPr>
        <w:pStyle w:val="SingleTxt"/>
        <w:rPr>
          <w:rFonts w:hint="eastAsia"/>
        </w:rPr>
      </w:pPr>
      <w:r>
        <w:rPr>
          <w:rFonts w:hint="eastAsia"/>
        </w:rPr>
        <w:tab/>
        <w:t>若干女议员来自农村地区。目前，内阁中有3名女性部长。其中一位女性部长是一个农村政党提名的。</w:t>
      </w:r>
    </w:p>
    <w:p w:rsidR="000E0F0C" w:rsidRDefault="000E0F0C" w:rsidP="00B32EA6">
      <w:pPr>
        <w:pStyle w:val="SingleTxt"/>
        <w:rPr>
          <w:rFonts w:hint="eastAsia"/>
        </w:rPr>
      </w:pPr>
      <w:r>
        <w:rPr>
          <w:rFonts w:hint="eastAsia"/>
        </w:rPr>
        <w:tab/>
        <w:t>政府采取的措施还适用于土著人民和其他少数种族妇女。</w:t>
      </w:r>
    </w:p>
    <w:p w:rsidR="000E0F0C" w:rsidRPr="00465F44" w:rsidRDefault="000E0F0C" w:rsidP="00B32EA6">
      <w:pPr>
        <w:pStyle w:val="SingleTxt"/>
        <w:rPr>
          <w:rFonts w:ascii="SimHei" w:eastAsia="SimHei" w:hint="eastAsia"/>
          <w:color w:val="FF0000"/>
        </w:rPr>
      </w:pPr>
      <w:r w:rsidRPr="00465F44">
        <w:rPr>
          <w:rFonts w:ascii="SimHei" w:eastAsia="SimHei" w:hint="eastAsia"/>
          <w:color w:val="FF0000"/>
        </w:rPr>
        <w:t>对妇女的暴力行为</w:t>
      </w:r>
    </w:p>
    <w:p w:rsidR="000E0F0C" w:rsidRDefault="000E0F0C" w:rsidP="00B32EA6">
      <w:pPr>
        <w:pStyle w:val="SingleTxt"/>
        <w:rPr>
          <w:rFonts w:hint="eastAsia"/>
        </w:rPr>
      </w:pPr>
      <w:r>
        <w:rPr>
          <w:rFonts w:hint="eastAsia"/>
        </w:rPr>
        <w:t>7.</w:t>
      </w:r>
      <w:r>
        <w:tab/>
      </w:r>
      <w:r>
        <w:rPr>
          <w:rFonts w:hint="eastAsia"/>
        </w:rPr>
        <w:t>报告提到了内政部公布的四项公约评估情况，提到了有关暴力侵犯妇女问题的建议，“即政府应当进一步解决暴力问题，为此，应以年轻妇女和女孩为主定期开展公共宣传活动，建立家庭暴力数据库，制作暴力现象及有关参与者目录，以便有可能获得适当的解决办法”。请提供信息，介绍这些建议的执行情况。</w:t>
      </w:r>
    </w:p>
    <w:p w:rsidR="000E0F0C" w:rsidRDefault="000E0F0C" w:rsidP="00B32EA6">
      <w:pPr>
        <w:pStyle w:val="SingleTxt"/>
        <w:rPr>
          <w:rFonts w:hint="eastAsia"/>
        </w:rPr>
      </w:pPr>
      <w:r>
        <w:rPr>
          <w:rFonts w:hint="eastAsia"/>
        </w:rPr>
        <w:tab/>
        <w:t>妇女权利中心与苏里南警察部队、乌得勒支警察部队和加勒比两性平等方案合作，在全国4个警察局设立了受害人协助部门：帕拉马里博1个，瓦尼卡2个和尼克里1个，他们尤其为妇女和儿童服务。这些协助部门已经开始运作，向受害人提供必要的协助。</w:t>
      </w:r>
    </w:p>
    <w:p w:rsidR="0079453B" w:rsidRDefault="000E0F0C" w:rsidP="00B32EA6">
      <w:pPr>
        <w:pStyle w:val="SingleTxt"/>
      </w:pPr>
      <w:r>
        <w:rPr>
          <w:rFonts w:hint="eastAsia"/>
        </w:rPr>
        <w:tab/>
        <w:t>妇女权利中心提出了一个培训方案，以提高对家庭暴力的认识。</w:t>
      </w:r>
    </w:p>
    <w:p w:rsidR="000E0F0C" w:rsidRPr="0079453B" w:rsidRDefault="0079453B" w:rsidP="00ED2BBA">
      <w:pPr>
        <w:pStyle w:val="SingleTxt"/>
        <w:spacing w:after="120"/>
        <w:rPr>
          <w:rFonts w:hint="eastAsia"/>
        </w:rPr>
      </w:pPr>
      <w:r>
        <w:tab/>
      </w:r>
      <w:r w:rsidR="000E0F0C" w:rsidRPr="0079453B">
        <w:rPr>
          <w:rFonts w:hint="eastAsia"/>
        </w:rPr>
        <w:t>司法和警务部分析了家庭暴力问题，制定了一项政策，目前正在执行这项政策。将执行两个重要项目：设立保护妇女特别股和一条全国热线。警察还对其工作人员进行了关于如何辅导家庭暴力受害人和教育施暴者的培训。</w:t>
      </w:r>
    </w:p>
    <w:p w:rsidR="000E0F0C" w:rsidRPr="00C67734" w:rsidRDefault="000E0F0C" w:rsidP="00ED2BBA">
      <w:pPr>
        <w:pStyle w:val="SingleTxt"/>
        <w:spacing w:after="120"/>
        <w:rPr>
          <w:rFonts w:ascii="SimHei" w:eastAsia="SimHei" w:hint="eastAsia"/>
          <w:color w:val="FF0000"/>
        </w:rPr>
      </w:pPr>
      <w:r w:rsidRPr="00C67734">
        <w:rPr>
          <w:rFonts w:ascii="SimHei" w:eastAsia="SimHei" w:hint="eastAsia"/>
          <w:color w:val="FF0000"/>
        </w:rPr>
        <w:t>数据库系统</w:t>
      </w:r>
    </w:p>
    <w:p w:rsidR="000E0F0C" w:rsidRPr="003307EA" w:rsidRDefault="000E0F0C" w:rsidP="00B32EA6">
      <w:pPr>
        <w:pStyle w:val="SingleTxt"/>
        <w:rPr>
          <w:rFonts w:ascii="SimHei" w:eastAsia="SimHei" w:hint="eastAsia"/>
          <w:color w:val="FF0000"/>
        </w:rPr>
      </w:pPr>
      <w:r w:rsidRPr="003307EA">
        <w:rPr>
          <w:rFonts w:ascii="SimHei" w:eastAsia="SimHei" w:hint="eastAsia"/>
          <w:color w:val="FF0000"/>
        </w:rPr>
        <w:tab/>
      </w:r>
      <w:r w:rsidRPr="0079453B">
        <w:rPr>
          <w:rFonts w:hint="eastAsia"/>
        </w:rPr>
        <w:t>苏里南警察部队已经建立一个数据监测系统，性别、年龄、受害人/攻击人关系、居住地区和族裔都在考虑之列。这些信息定期提交警察署长。</w:t>
      </w:r>
    </w:p>
    <w:p w:rsidR="000E0F0C" w:rsidRPr="003307EA" w:rsidRDefault="000E0F0C" w:rsidP="00B32EA6">
      <w:pPr>
        <w:pStyle w:val="SingleTxt"/>
        <w:rPr>
          <w:rFonts w:ascii="SimHei" w:eastAsia="SimHei" w:hint="eastAsia"/>
          <w:color w:val="FF0000"/>
        </w:rPr>
      </w:pPr>
      <w:r w:rsidRPr="003307EA">
        <w:rPr>
          <w:rFonts w:ascii="SimHei" w:eastAsia="SimHei" w:hint="eastAsia"/>
          <w:color w:val="FF0000"/>
        </w:rPr>
        <w:tab/>
      </w:r>
      <w:r w:rsidRPr="0079453B">
        <w:rPr>
          <w:rFonts w:hint="eastAsia"/>
        </w:rPr>
        <w:t>苏里南警察部队参加了家庭暴力问题国家网络，处理家庭暴力问题的政府和非政府组织人员——例如，援助人员、调查官员、保健人员和收容所人员——都参加了该网络。</w:t>
      </w:r>
    </w:p>
    <w:p w:rsidR="000E0F0C" w:rsidRPr="003307EA" w:rsidRDefault="000E0F0C" w:rsidP="00ED2BBA">
      <w:pPr>
        <w:pStyle w:val="SingleTxt"/>
        <w:spacing w:after="120"/>
        <w:rPr>
          <w:rFonts w:ascii="SimHei" w:eastAsia="SimHei" w:hint="eastAsia"/>
          <w:color w:val="FF0000"/>
        </w:rPr>
      </w:pPr>
      <w:r w:rsidRPr="003307EA">
        <w:rPr>
          <w:rFonts w:ascii="SimHei" w:eastAsia="SimHei" w:hint="eastAsia"/>
          <w:color w:val="FF0000"/>
        </w:rPr>
        <w:tab/>
      </w:r>
      <w:r w:rsidRPr="0079453B">
        <w:rPr>
          <w:rFonts w:hint="eastAsia"/>
        </w:rPr>
        <w:t>此外，还通过交流信息、协助和提高认识活动，与制止对妇女暴力行为基金会合作。</w:t>
      </w:r>
    </w:p>
    <w:p w:rsidR="000E0F0C" w:rsidRPr="0079453B" w:rsidRDefault="000E0F0C" w:rsidP="00B32EA6">
      <w:pPr>
        <w:pStyle w:val="SingleTxt"/>
        <w:rPr>
          <w:rFonts w:hint="eastAsia"/>
        </w:rPr>
      </w:pPr>
      <w:r w:rsidRPr="003307EA">
        <w:rPr>
          <w:rFonts w:ascii="SimHei" w:eastAsia="SimHei" w:hint="eastAsia"/>
          <w:color w:val="FF0000"/>
        </w:rPr>
        <w:tab/>
      </w:r>
      <w:r w:rsidRPr="0079453B">
        <w:rPr>
          <w:rFonts w:hint="eastAsia"/>
        </w:rPr>
        <w:t>约30％的警官接受了关于如何发现家庭暴力和认识采取有效办法必要性的</w:t>
      </w:r>
      <w:r w:rsidRPr="00CA3FE6">
        <w:rPr>
          <w:rFonts w:hint="eastAsia"/>
          <w:spacing w:val="6"/>
        </w:rPr>
        <w:t>培训。警察部队青年部和其他业务部门所有雇员——每个派出所至少一名雇员—</w:t>
      </w:r>
      <w:r w:rsidRPr="0079453B">
        <w:rPr>
          <w:rFonts w:hint="eastAsia"/>
        </w:rPr>
        <w:t>—接受了关于有效调查家庭暴力的培训。向苏里南警察部队提出了一个培训单元——处理家庭暴力的方法，这个单元将列入警察部队培训课程。警官之中至少已有8名培训员。在与荷兰警察部队合作过程中，苏里南警官有机会到荷兰进行交流访问。</w:t>
      </w:r>
    </w:p>
    <w:p w:rsidR="000E0F0C" w:rsidRPr="0079453B" w:rsidRDefault="000E0F0C" w:rsidP="00B32EA6">
      <w:pPr>
        <w:pStyle w:val="SingleTxt"/>
        <w:rPr>
          <w:rFonts w:hint="eastAsia"/>
        </w:rPr>
      </w:pPr>
      <w:r w:rsidRPr="0079453B">
        <w:rPr>
          <w:rFonts w:hint="eastAsia"/>
        </w:rPr>
        <w:tab/>
        <w:t>制止对妇女暴力行为基金会与内政部合作，在4个区至少培训了112名家庭暴力问题助理辅导员。</w:t>
      </w:r>
    </w:p>
    <w:p w:rsidR="000E0F0C" w:rsidRPr="0079453B" w:rsidRDefault="000E0F0C" w:rsidP="00B32EA6">
      <w:pPr>
        <w:pStyle w:val="SingleTxt"/>
        <w:rPr>
          <w:rFonts w:hint="eastAsia"/>
        </w:rPr>
      </w:pPr>
      <w:r w:rsidRPr="003307EA">
        <w:rPr>
          <w:rFonts w:ascii="SimHei" w:eastAsia="SimHei" w:hint="eastAsia"/>
          <w:color w:val="FF0000"/>
        </w:rPr>
        <w:tab/>
      </w:r>
      <w:r w:rsidRPr="0079453B">
        <w:rPr>
          <w:rFonts w:hint="eastAsia"/>
        </w:rPr>
        <w:t>在2006-2010年性别问题综合行动计划中，“家庭暴力和性暴力”主题下的行动之一是，通过系统地公布关于家庭暴力的数据，开展关于家庭暴力的活动，提高大众的认识。司法和警务部政策计划包括了青年和道德伦理及家庭暴力的主题。更具体地说，其中包括了以下机制：</w:t>
      </w:r>
    </w:p>
    <w:p w:rsidR="000E0F0C" w:rsidRPr="0079453B" w:rsidRDefault="000E0F0C" w:rsidP="00ED2BBA">
      <w:pPr>
        <w:pStyle w:val="SingleTxt"/>
        <w:spacing w:after="80"/>
        <w:rPr>
          <w:rFonts w:hint="eastAsia"/>
        </w:rPr>
      </w:pPr>
      <w:r w:rsidRPr="003307EA">
        <w:rPr>
          <w:rFonts w:ascii="SimHei" w:eastAsia="SimHei" w:hint="eastAsia"/>
          <w:color w:val="FF0000"/>
        </w:rPr>
        <w:tab/>
      </w:r>
      <w:r w:rsidRPr="0079453B">
        <w:rPr>
          <w:rFonts w:hint="eastAsia"/>
        </w:rPr>
        <w:t>(a)</w:t>
      </w:r>
      <w:r w:rsidRPr="0079453B">
        <w:tab/>
      </w:r>
      <w:r w:rsidRPr="0079453B">
        <w:rPr>
          <w:rFonts w:hint="eastAsia"/>
        </w:rPr>
        <w:t>“家庭暴力问题”指导小组，包括一名项目行政管理员（妇女与儿童事务局）；</w:t>
      </w:r>
    </w:p>
    <w:p w:rsidR="000E0F0C" w:rsidRPr="0079453B" w:rsidRDefault="000E0F0C" w:rsidP="00B32EA6">
      <w:pPr>
        <w:pStyle w:val="SingleTxt"/>
        <w:rPr>
          <w:rFonts w:hint="eastAsia"/>
        </w:rPr>
      </w:pPr>
      <w:r w:rsidRPr="0079453B">
        <w:rPr>
          <w:rFonts w:hint="eastAsia"/>
        </w:rPr>
        <w:tab/>
        <w:t>(b)</w:t>
      </w:r>
      <w:r w:rsidRPr="0079453B">
        <w:tab/>
      </w:r>
      <w:r w:rsidRPr="0079453B">
        <w:rPr>
          <w:rFonts w:hint="eastAsia"/>
        </w:rPr>
        <w:t>“家庭暴力问题”次级项目平台和支助；</w:t>
      </w:r>
    </w:p>
    <w:p w:rsidR="000E0F0C" w:rsidRPr="0079453B" w:rsidRDefault="000E0F0C" w:rsidP="00B32EA6">
      <w:pPr>
        <w:pStyle w:val="SingleTxt"/>
        <w:rPr>
          <w:rFonts w:hint="eastAsia"/>
        </w:rPr>
      </w:pPr>
      <w:r w:rsidRPr="0079453B">
        <w:rPr>
          <w:rFonts w:hint="eastAsia"/>
        </w:rPr>
        <w:tab/>
        <w:t>(c)</w:t>
      </w:r>
      <w:r w:rsidRPr="0079453B">
        <w:tab/>
      </w:r>
      <w:r w:rsidRPr="0079453B">
        <w:rPr>
          <w:rFonts w:hint="eastAsia"/>
        </w:rPr>
        <w:t>“家庭暴力问题”登记台；</w:t>
      </w:r>
    </w:p>
    <w:p w:rsidR="000E0F0C" w:rsidRPr="0079453B" w:rsidRDefault="000E0F0C" w:rsidP="00B32EA6">
      <w:pPr>
        <w:pStyle w:val="SingleTxt"/>
        <w:rPr>
          <w:rFonts w:hint="eastAsia"/>
        </w:rPr>
      </w:pPr>
      <w:r w:rsidRPr="0079453B">
        <w:rPr>
          <w:rFonts w:hint="eastAsia"/>
        </w:rPr>
        <w:tab/>
        <w:t>(d)</w:t>
      </w:r>
      <w:r w:rsidRPr="0079453B">
        <w:tab/>
      </w:r>
      <w:r w:rsidRPr="0079453B">
        <w:rPr>
          <w:rFonts w:hint="eastAsia"/>
        </w:rPr>
        <w:t>“家庭暴力问题”行动计划；</w:t>
      </w:r>
    </w:p>
    <w:p w:rsidR="000E0F0C" w:rsidRPr="0079453B" w:rsidRDefault="000E0F0C" w:rsidP="00B32EA6">
      <w:pPr>
        <w:pStyle w:val="SingleTxt"/>
        <w:rPr>
          <w:rFonts w:hint="eastAsia"/>
        </w:rPr>
      </w:pPr>
      <w:r w:rsidRPr="0079453B">
        <w:rPr>
          <w:rFonts w:hint="eastAsia"/>
        </w:rPr>
        <w:tab/>
        <w:t>(e)</w:t>
      </w:r>
      <w:r w:rsidRPr="0079453B">
        <w:tab/>
      </w:r>
      <w:r w:rsidRPr="0079453B">
        <w:rPr>
          <w:rFonts w:hint="eastAsia"/>
        </w:rPr>
        <w:t>社会登记/津贴；</w:t>
      </w:r>
    </w:p>
    <w:p w:rsidR="000E0F0C" w:rsidRPr="0079453B" w:rsidRDefault="000E0F0C" w:rsidP="00B32EA6">
      <w:pPr>
        <w:pStyle w:val="SingleTxt"/>
        <w:rPr>
          <w:rFonts w:hint="eastAsia"/>
        </w:rPr>
      </w:pPr>
      <w:r w:rsidRPr="0079453B">
        <w:rPr>
          <w:rFonts w:hint="eastAsia"/>
        </w:rPr>
        <w:tab/>
        <w:t>(f)</w:t>
      </w:r>
      <w:r w:rsidRPr="0079453B">
        <w:tab/>
      </w:r>
      <w:r w:rsidRPr="0079453B">
        <w:rPr>
          <w:rFonts w:hint="eastAsia"/>
        </w:rPr>
        <w:t>受害人登记台。</w:t>
      </w:r>
    </w:p>
    <w:p w:rsidR="000E0F0C" w:rsidRDefault="000E0F0C" w:rsidP="00C0066B">
      <w:pPr>
        <w:pStyle w:val="SingleTxt"/>
        <w:rPr>
          <w:rFonts w:hint="eastAsia"/>
        </w:rPr>
      </w:pPr>
      <w:r>
        <w:rPr>
          <w:rFonts w:hint="eastAsia"/>
        </w:rPr>
        <w:t>8.</w:t>
      </w:r>
      <w:r>
        <w:tab/>
      </w:r>
      <w:r>
        <w:rPr>
          <w:rFonts w:hint="eastAsia"/>
        </w:rPr>
        <w:t>委员会在2002年结论意见中敦促缔约国，根据委员会一般建议19和《消除对妇女的暴力行为宣言》，高度优先重视解决家庭和社会中对妇女的暴力问题的措施。</w:t>
      </w:r>
      <w:r w:rsidRPr="000E0F0C">
        <w:rPr>
          <w:rStyle w:val="FootnoteReference"/>
        </w:rPr>
        <w:footnoteReference w:id="3"/>
      </w:r>
      <w:r>
        <w:rPr>
          <w:rFonts w:hint="eastAsia"/>
        </w:rPr>
        <w:t xml:space="preserve"> 请提供信息，介绍为执行委员会建议而采取的步骤，并且请告诉委员会，政府的举措是否考虑到了农村、土著和其他少数族裔妇女遭受暴力的比例较高的独特情形。</w:t>
      </w:r>
    </w:p>
    <w:p w:rsidR="000E0F0C" w:rsidRPr="00712DA9" w:rsidRDefault="000E0F0C" w:rsidP="00B32EA6">
      <w:pPr>
        <w:pStyle w:val="SingleTxt"/>
        <w:rPr>
          <w:rFonts w:ascii="SimHei" w:eastAsia="SimHei" w:hint="eastAsia"/>
          <w:color w:val="FF0000"/>
        </w:rPr>
      </w:pPr>
      <w:r w:rsidRPr="00712DA9">
        <w:rPr>
          <w:rFonts w:ascii="SimHei" w:eastAsia="SimHei" w:hint="eastAsia"/>
          <w:color w:val="FF0000"/>
        </w:rPr>
        <w:t>防止家庭和社会中对妇女的暴力问题的措施</w:t>
      </w:r>
    </w:p>
    <w:p w:rsidR="000E0F0C" w:rsidRPr="0079453B" w:rsidRDefault="000E0F0C" w:rsidP="00B32EA6">
      <w:pPr>
        <w:pStyle w:val="SingleTxt"/>
        <w:rPr>
          <w:rFonts w:hint="eastAsia"/>
        </w:rPr>
      </w:pPr>
      <w:r w:rsidRPr="00EA6B36">
        <w:rPr>
          <w:rFonts w:ascii="SimHei" w:eastAsia="SimHei" w:hint="eastAsia"/>
          <w:color w:val="FF0000"/>
        </w:rPr>
        <w:tab/>
      </w:r>
      <w:r w:rsidRPr="0079453B">
        <w:rPr>
          <w:rFonts w:hint="eastAsia"/>
        </w:rPr>
        <w:t>我国《刑法》载有关于对妇女的暴力问题的多数措施，禁止对妇女的暴力行为，因此，司法和警务部关注的焦点是处理对妇女暴力问题的机构框架。获得高度优先重视的措施是，打击家庭暴力的行动和防止拐卖妇女和儿童行为的措施。</w:t>
      </w:r>
    </w:p>
    <w:p w:rsidR="000E0F0C" w:rsidRPr="0079453B" w:rsidRDefault="000E0F0C" w:rsidP="00B32EA6">
      <w:pPr>
        <w:pStyle w:val="SingleTxt"/>
        <w:rPr>
          <w:rFonts w:hint="eastAsia"/>
        </w:rPr>
      </w:pPr>
      <w:r w:rsidRPr="0079453B">
        <w:rPr>
          <w:rFonts w:hint="eastAsia"/>
        </w:rPr>
        <w:tab/>
        <w:t>2003年，司法和警务部建立了拐卖人口问题委员会，责成它为警察和其他机构制订立法措施、准则和程序。有一名专门负责家庭暴力案件的检察官，还提出了关于家庭暴力案件政策和措施的提议。</w:t>
      </w:r>
    </w:p>
    <w:p w:rsidR="0079453B" w:rsidRDefault="000E0F0C" w:rsidP="00B32EA6">
      <w:pPr>
        <w:pStyle w:val="SingleTxt"/>
      </w:pPr>
      <w:r w:rsidRPr="00EA6B36">
        <w:rPr>
          <w:rFonts w:ascii="SimHei" w:eastAsia="SimHei" w:hint="eastAsia"/>
          <w:color w:val="FF0000"/>
        </w:rPr>
        <w:tab/>
      </w:r>
      <w:r w:rsidRPr="0079453B">
        <w:rPr>
          <w:rFonts w:hint="eastAsia"/>
        </w:rPr>
        <w:t>此外，司法和警务部建立了工作场所性胁迫问题委员会。投诉处严肃审查所有投诉，并且在《人事法》范围内采取适当措施，保护受害人，惩罚行为人。该部的基本政策是，承诺促进保护妇女，积极制止任何暴力行为。</w:t>
      </w:r>
    </w:p>
    <w:p w:rsidR="000E0F0C" w:rsidRPr="00EA6B36" w:rsidRDefault="0079453B" w:rsidP="00B32EA6">
      <w:pPr>
        <w:pStyle w:val="SingleTxt"/>
        <w:rPr>
          <w:rFonts w:ascii="SimHei" w:eastAsia="SimHei" w:hint="eastAsia"/>
          <w:color w:val="FF0000"/>
        </w:rPr>
      </w:pPr>
      <w:r>
        <w:tab/>
      </w:r>
      <w:r w:rsidR="000E0F0C" w:rsidRPr="0079453B">
        <w:rPr>
          <w:rFonts w:hint="eastAsia"/>
        </w:rPr>
        <w:t>政府也参加并积极推动全国网络，以打击家庭暴力行为。</w:t>
      </w:r>
    </w:p>
    <w:p w:rsidR="000E0F0C" w:rsidRDefault="000E0F0C" w:rsidP="00B32EA6">
      <w:pPr>
        <w:pStyle w:val="SingleTxt"/>
        <w:rPr>
          <w:rFonts w:hint="eastAsia"/>
        </w:rPr>
      </w:pPr>
      <w:r>
        <w:rPr>
          <w:rFonts w:hint="eastAsia"/>
        </w:rPr>
        <w:t>9.</w:t>
      </w:r>
      <w:r>
        <w:rPr>
          <w:rFonts w:hint="eastAsia"/>
        </w:rPr>
        <w:tab/>
        <w:t>是否已经最后确定关于家庭暴力的法律？如果已经最后确定，请介绍其内容细节。</w:t>
      </w:r>
    </w:p>
    <w:p w:rsidR="000E0F0C" w:rsidRPr="00EA6B36" w:rsidRDefault="000E0F0C" w:rsidP="00B32EA6">
      <w:pPr>
        <w:pStyle w:val="SingleTxt"/>
        <w:rPr>
          <w:rFonts w:ascii="SimHei" w:eastAsia="SimHei" w:hint="eastAsia"/>
          <w:color w:val="FF0000"/>
        </w:rPr>
      </w:pPr>
      <w:r w:rsidRPr="00EA6B36">
        <w:rPr>
          <w:rFonts w:ascii="SimHei" w:eastAsia="SimHei" w:hint="eastAsia"/>
          <w:color w:val="FF0000"/>
        </w:rPr>
        <w:tab/>
      </w:r>
      <w:r w:rsidRPr="0079453B">
        <w:rPr>
          <w:rFonts w:hint="eastAsia"/>
        </w:rPr>
        <w:t>有两项关于家庭暴力问题的法律草案。一项已经纳入《刑法》修正案，另一项是妇女权利中心拟定的家庭暴力问题法律草案。已经向司法和警务部提交这些草案。</w:t>
      </w:r>
    </w:p>
    <w:p w:rsidR="000E0F0C" w:rsidRPr="00053ED0" w:rsidRDefault="000E0F0C" w:rsidP="00B32EA6">
      <w:pPr>
        <w:pStyle w:val="SingleTxt"/>
        <w:rPr>
          <w:rFonts w:ascii="SimHei" w:eastAsia="SimHei" w:hint="eastAsia"/>
          <w:color w:val="FF0000"/>
        </w:rPr>
      </w:pPr>
      <w:r>
        <w:rPr>
          <w:rFonts w:ascii="SimHei" w:eastAsia="SimHei" w:hint="eastAsia"/>
          <w:color w:val="FF0000"/>
        </w:rPr>
        <w:t>拐卖人口</w:t>
      </w:r>
      <w:r w:rsidRPr="00053ED0">
        <w:rPr>
          <w:rFonts w:ascii="SimHei" w:eastAsia="SimHei" w:hint="eastAsia"/>
          <w:color w:val="FF0000"/>
        </w:rPr>
        <w:t>和</w:t>
      </w:r>
      <w:r>
        <w:rPr>
          <w:rFonts w:ascii="SimHei" w:eastAsia="SimHei" w:hint="eastAsia"/>
          <w:color w:val="FF0000"/>
        </w:rPr>
        <w:t>利用妇女卖淫营利</w:t>
      </w:r>
    </w:p>
    <w:p w:rsidR="000E0F0C" w:rsidRDefault="000E0F0C" w:rsidP="00B32EA6">
      <w:pPr>
        <w:pStyle w:val="SingleTxt"/>
        <w:rPr>
          <w:rFonts w:hint="eastAsia"/>
        </w:rPr>
      </w:pPr>
      <w:r>
        <w:rPr>
          <w:rFonts w:hint="eastAsia"/>
        </w:rPr>
        <w:t>10.</w:t>
      </w:r>
      <w:r>
        <w:rPr>
          <w:rFonts w:hint="eastAsia"/>
        </w:rPr>
        <w:tab/>
        <w:t>报告说，将成立一个特别委员会，普遍调查拐卖人口情况；还说“该委员会将不仅为警察和机构提供指导方针、程序方面的建议，而且还将提出政策措施和立法措施”。该委员会成立没有？如果没有，将于何时成立，预计何时开始工作？政府将如何确保农村和少数民族妇女在该委员会中有发言权？</w:t>
      </w:r>
    </w:p>
    <w:p w:rsidR="000E0F0C" w:rsidRPr="00EA6B36" w:rsidRDefault="000E0F0C" w:rsidP="00B32EA6">
      <w:pPr>
        <w:pStyle w:val="SingleTxt"/>
        <w:rPr>
          <w:rFonts w:ascii="SimHei" w:eastAsia="SimHei" w:hint="eastAsia"/>
          <w:color w:val="FF0000"/>
        </w:rPr>
      </w:pPr>
      <w:r w:rsidRPr="00EA6B36">
        <w:rPr>
          <w:rFonts w:ascii="SimHei" w:eastAsia="SimHei" w:hint="eastAsia"/>
          <w:color w:val="FF0000"/>
        </w:rPr>
        <w:tab/>
      </w:r>
      <w:r w:rsidRPr="0079453B">
        <w:rPr>
          <w:rFonts w:hint="eastAsia"/>
        </w:rPr>
        <w:t>2003年，“拐卖人口问题工作组”成立，并开始制定一项行动计划，其中包括必须在行动层次和政府层次执行的措施。工作组主席是一位女性，她是检察长办公室的一名检察官。她已经成功地对一棕拐卖人口案件进行了公诉。目前，两个拐卖人口案件已经送交法院审理，另一个案件已经提交治安法庭审理。工作组正在开展关于拐卖人口问题的介绍和宣传活动。在这方面，已经发行了海报和小册子。警察部队有一个调查拐卖人口行为的特别机构。该机构有若干电话号码，人民可以通过这些号码提供关于拐卖人口行为的重要信息。最近，一项关于打击拐卖人口行为的新法律生效。此外，工作组在辅导受害人和向他们提供庇护所方面与马克西·林德基金会合作。</w:t>
      </w:r>
    </w:p>
    <w:p w:rsidR="000E0F0C" w:rsidRDefault="000E0F0C" w:rsidP="00B32EA6">
      <w:pPr>
        <w:pStyle w:val="SingleTxt"/>
        <w:rPr>
          <w:rFonts w:hint="eastAsia"/>
        </w:rPr>
      </w:pPr>
      <w:r>
        <w:rPr>
          <w:rFonts w:hint="eastAsia"/>
        </w:rPr>
        <w:t>11.</w:t>
      </w:r>
      <w:r>
        <w:rPr>
          <w:rFonts w:hint="eastAsia"/>
        </w:rPr>
        <w:tab/>
        <w:t>委员会在2002年结论意见中建议为贫穷所迫卖淫的妇女制订行动方案，并采取各种政策，确保起诉并更严格惩处剥削卖淫者的人以及参与剥削童妓的成年人。</w:t>
      </w:r>
      <w:r w:rsidRPr="000E0F0C">
        <w:rPr>
          <w:rStyle w:val="FootnoteReference"/>
        </w:rPr>
        <w:footnoteReference w:id="4"/>
      </w:r>
      <w:r>
        <w:rPr>
          <w:rFonts w:hint="eastAsia"/>
        </w:rPr>
        <w:t xml:space="preserve"> 委员会还建议该缔约国在下次报告中提供全面资料，说明卖淫及贩卖妇女和女童的情况，使委员会更好地了解苏里南境内这些问题的严重程度。</w:t>
      </w:r>
      <w:r w:rsidRPr="000E0F0C">
        <w:rPr>
          <w:rStyle w:val="FootnoteReference"/>
        </w:rPr>
        <w:footnoteReference w:id="5"/>
      </w:r>
      <w:r>
        <w:rPr>
          <w:rFonts w:hint="eastAsia"/>
        </w:rPr>
        <w:t xml:space="preserve"> 请提供信息，说明为执行委员会建议和响应委员会要求而采取的步骤。</w:t>
      </w:r>
    </w:p>
    <w:p w:rsidR="000E0F0C" w:rsidRPr="00EA6B36" w:rsidRDefault="000E0F0C" w:rsidP="00B32EA6">
      <w:pPr>
        <w:pStyle w:val="SingleTxt"/>
        <w:rPr>
          <w:rFonts w:ascii="SimHei" w:eastAsia="SimHei" w:hint="eastAsia"/>
          <w:color w:val="FF0000"/>
        </w:rPr>
      </w:pPr>
      <w:r w:rsidRPr="00EA6B36">
        <w:rPr>
          <w:rFonts w:ascii="SimHei" w:eastAsia="SimHei" w:hint="eastAsia"/>
          <w:color w:val="FF0000"/>
        </w:rPr>
        <w:tab/>
      </w:r>
      <w:r w:rsidRPr="0079453B">
        <w:rPr>
          <w:rFonts w:hint="eastAsia"/>
        </w:rPr>
        <w:t>苏里南存在卖淫现象。虽然根据《刑法》，在苏里南开妓院是非法的，但政府对妓院采取了容忍政策。如果妇女被迫卖淫，无论该妇女是未成年人或成年人，一旦向警方报告，就会采取行动。在这种情况下，受害人的证词至关重要。目前，法院正在审理一些受害人愿意与司法部门合作的案件，而治安法庭目前则在审理一桩案件。1996年，苏里南第一个拐卖人口案件定罪，2005年，第二个拐卖人口案件定罪。预计法官将在今年宣判各项待决案件。</w:t>
      </w:r>
    </w:p>
    <w:p w:rsidR="000E0F0C" w:rsidRPr="00353195" w:rsidRDefault="000E0F0C" w:rsidP="00B32EA6">
      <w:pPr>
        <w:pStyle w:val="SingleTxt"/>
        <w:rPr>
          <w:rFonts w:ascii="SimHei" w:eastAsia="SimHei" w:hint="eastAsia"/>
          <w:color w:val="FF0000"/>
        </w:rPr>
      </w:pPr>
      <w:r w:rsidRPr="00353195">
        <w:rPr>
          <w:rFonts w:ascii="SimHei" w:eastAsia="SimHei" w:hint="eastAsia"/>
          <w:color w:val="FF0000"/>
        </w:rPr>
        <w:t>定型观念和教育</w:t>
      </w:r>
    </w:p>
    <w:p w:rsidR="000E0F0C" w:rsidRDefault="000E0F0C" w:rsidP="00B32EA6">
      <w:pPr>
        <w:pStyle w:val="SingleTxt"/>
        <w:rPr>
          <w:rFonts w:hint="eastAsia"/>
        </w:rPr>
      </w:pPr>
      <w:r>
        <w:rPr>
          <w:rFonts w:hint="eastAsia"/>
        </w:rPr>
        <w:t>12.</w:t>
      </w:r>
      <w:r>
        <w:rPr>
          <w:rFonts w:hint="eastAsia"/>
        </w:rPr>
        <w:tab/>
        <w:t>报告提到洛比基金会“在实施教育方案”，包括在计划生育知识和性教育方面“发挥了重要作用”。报告说“这些活动仍与《刑法》中尚未修改的第533和</w:t>
      </w:r>
      <w:r w:rsidRPr="00353195">
        <w:rPr>
          <w:rFonts w:hint="eastAsia"/>
          <w:spacing w:val="4"/>
        </w:rPr>
        <w:t>534条相悖”。在2002年结论意见中，委员会建议废除限制计划生育活动的法律。</w:t>
      </w:r>
      <w:r w:rsidRPr="000E0F0C">
        <w:rPr>
          <w:rStyle w:val="FootnoteReference"/>
        </w:rPr>
        <w:footnoteReference w:id="6"/>
      </w:r>
      <w:r>
        <w:rPr>
          <w:rFonts w:hint="eastAsia"/>
        </w:rPr>
        <w:t xml:space="preserve"> 预期何时废除这项法律？</w:t>
      </w:r>
    </w:p>
    <w:p w:rsidR="000E0F0C" w:rsidRPr="00EA6B36" w:rsidRDefault="000E0F0C" w:rsidP="00B32EA6">
      <w:pPr>
        <w:pStyle w:val="SingleTxt"/>
        <w:rPr>
          <w:rFonts w:ascii="SimHei" w:eastAsia="SimHei" w:hint="eastAsia"/>
          <w:color w:val="FF0000"/>
        </w:rPr>
      </w:pPr>
      <w:r w:rsidRPr="00EA6B36">
        <w:rPr>
          <w:rFonts w:ascii="SimHei" w:eastAsia="SimHei" w:hint="eastAsia"/>
          <w:color w:val="FF0000"/>
        </w:rPr>
        <w:tab/>
      </w:r>
      <w:r w:rsidRPr="0079453B">
        <w:rPr>
          <w:rFonts w:hint="eastAsia"/>
        </w:rPr>
        <w:t>修订这项法律或限制计划生育的法律的工作已经纳入2005-2009年保健部门计划。</w:t>
      </w:r>
    </w:p>
    <w:p w:rsidR="000E0F0C" w:rsidRDefault="000E0F0C" w:rsidP="00B32EA6">
      <w:pPr>
        <w:pStyle w:val="SingleTxt"/>
        <w:rPr>
          <w:rFonts w:hint="eastAsia"/>
        </w:rPr>
      </w:pPr>
      <w:r>
        <w:rPr>
          <w:rFonts w:hint="eastAsia"/>
        </w:rPr>
        <w:t>13.</w:t>
      </w:r>
      <w:r>
        <w:rPr>
          <w:rFonts w:hint="eastAsia"/>
        </w:rPr>
        <w:tab/>
        <w:t>委员会在2002年结论意见中敦促该缔约国采取必要的立法或行政措施，禁止学校拒收年轻母亲和怀孕少女。请提供信息，说明为执行委员会该建议而采取的步骤。请在此类信息中包括关于农村和少数种族妇女的信息。</w:t>
      </w:r>
    </w:p>
    <w:p w:rsidR="000E0F0C" w:rsidRPr="00353195" w:rsidRDefault="000E0F0C" w:rsidP="00B32EA6">
      <w:pPr>
        <w:pStyle w:val="SingleTxt"/>
        <w:rPr>
          <w:rFonts w:ascii="SimHei" w:eastAsia="SimHei" w:hint="eastAsia"/>
          <w:color w:val="FF0000"/>
        </w:rPr>
      </w:pPr>
      <w:r w:rsidRPr="00353195">
        <w:rPr>
          <w:rFonts w:ascii="SimHei" w:eastAsia="SimHei" w:hint="eastAsia"/>
          <w:color w:val="FF0000"/>
        </w:rPr>
        <w:tab/>
      </w:r>
      <w:r w:rsidRPr="0079453B">
        <w:rPr>
          <w:rFonts w:hint="eastAsia"/>
        </w:rPr>
        <w:t>所有少龄母亲都可以返回学校。教育部青年事务司有责任让希望上学的人注册。他们还指导学生做作业、如何处理财务、如何照看子女以及向年轻母亲提供她们希望学习的电子计算机、缝纫和其他技能课程，使她们能够独立。</w:t>
      </w:r>
    </w:p>
    <w:p w:rsidR="000E0F0C" w:rsidRPr="00353195" w:rsidRDefault="000E0F0C" w:rsidP="00B32EA6">
      <w:pPr>
        <w:pStyle w:val="SingleTxt"/>
        <w:rPr>
          <w:rFonts w:ascii="SimHei" w:eastAsia="SimHei" w:hint="eastAsia"/>
          <w:color w:val="FF0000"/>
        </w:rPr>
      </w:pPr>
      <w:r w:rsidRPr="00353195">
        <w:rPr>
          <w:rFonts w:ascii="SimHei" w:eastAsia="SimHei" w:hint="eastAsia"/>
          <w:color w:val="FF0000"/>
        </w:rPr>
        <w:tab/>
      </w:r>
      <w:r w:rsidRPr="0079453B">
        <w:rPr>
          <w:rFonts w:hint="eastAsia"/>
        </w:rPr>
        <w:t>教育部检查司负责为这些年轻母亲寻找学校。</w:t>
      </w:r>
    </w:p>
    <w:p w:rsidR="000E0F0C" w:rsidRDefault="000E0F0C" w:rsidP="00B32EA6">
      <w:pPr>
        <w:pStyle w:val="SingleTxt"/>
        <w:rPr>
          <w:rFonts w:hint="eastAsia"/>
        </w:rPr>
      </w:pPr>
      <w:r>
        <w:rPr>
          <w:rFonts w:hint="eastAsia"/>
        </w:rPr>
        <w:t>14.</w:t>
      </w:r>
      <w:r>
        <w:rPr>
          <w:rFonts w:hint="eastAsia"/>
        </w:rPr>
        <w:tab/>
        <w:t>请提供信息，说明学校课程评估情况，说明学生接受公共教育是否要交学费。</w:t>
      </w:r>
    </w:p>
    <w:p w:rsidR="000E0F0C" w:rsidRPr="00EA6B36" w:rsidRDefault="000E0F0C" w:rsidP="0079453B">
      <w:pPr>
        <w:pStyle w:val="SingleTxt"/>
        <w:spacing w:line="300" w:lineRule="exact"/>
        <w:rPr>
          <w:rFonts w:ascii="SimHei" w:eastAsia="SimHei" w:hint="eastAsia"/>
          <w:color w:val="FF0000"/>
        </w:rPr>
      </w:pPr>
      <w:r w:rsidRPr="00EA6B36">
        <w:rPr>
          <w:rFonts w:ascii="SimHei" w:eastAsia="SimHei" w:hint="eastAsia"/>
          <w:color w:val="FF0000"/>
        </w:rPr>
        <w:tab/>
      </w:r>
      <w:r w:rsidRPr="0079453B">
        <w:rPr>
          <w:rFonts w:hint="eastAsia"/>
        </w:rPr>
        <w:t>已为所有小学制订全国性课程。所有小学都使用同样的教科书，在六年级结束时，将举行升入中学全国考试。</w:t>
      </w:r>
    </w:p>
    <w:p w:rsidR="000E0F0C" w:rsidRPr="0079453B" w:rsidRDefault="000E0F0C" w:rsidP="0079453B">
      <w:pPr>
        <w:pStyle w:val="SingleTxt"/>
        <w:spacing w:after="120"/>
        <w:rPr>
          <w:rFonts w:hint="eastAsia"/>
        </w:rPr>
      </w:pPr>
      <w:r w:rsidRPr="00EA6B36">
        <w:rPr>
          <w:rFonts w:ascii="SimHei" w:eastAsia="SimHei" w:hint="eastAsia"/>
          <w:color w:val="FF0000"/>
        </w:rPr>
        <w:tab/>
      </w:r>
      <w:r w:rsidRPr="0079453B">
        <w:rPr>
          <w:rFonts w:hint="eastAsia"/>
        </w:rPr>
        <w:t>中学和高中没有全国性课程，但所有年级都有固定的课程。各年级都有全国性的期末考试。</w:t>
      </w:r>
    </w:p>
    <w:p w:rsidR="000E0F0C" w:rsidRPr="00EA6B36" w:rsidRDefault="000E0F0C" w:rsidP="00B32EA6">
      <w:pPr>
        <w:pStyle w:val="SingleTxt"/>
        <w:rPr>
          <w:rFonts w:ascii="SimHei" w:eastAsia="SimHei" w:hint="eastAsia"/>
          <w:color w:val="FF0000"/>
        </w:rPr>
      </w:pPr>
      <w:r w:rsidRPr="00EA6B36">
        <w:rPr>
          <w:rFonts w:ascii="SimHei" w:eastAsia="SimHei" w:hint="eastAsia"/>
          <w:color w:val="FF0000"/>
        </w:rPr>
        <w:tab/>
      </w:r>
      <w:r w:rsidRPr="0079453B">
        <w:rPr>
          <w:rFonts w:hint="eastAsia"/>
        </w:rPr>
        <w:t>虽然苏里南实施免费教育，但每年仍然收取小额注册费。</w:t>
      </w:r>
    </w:p>
    <w:p w:rsidR="000E0F0C" w:rsidRDefault="000E0F0C" w:rsidP="00B32EA6">
      <w:pPr>
        <w:pStyle w:val="SingleTxt"/>
        <w:rPr>
          <w:rFonts w:hint="eastAsia"/>
        </w:rPr>
      </w:pPr>
      <w:r>
        <w:rPr>
          <w:rFonts w:hint="eastAsia"/>
        </w:rPr>
        <w:t>15.</w:t>
      </w:r>
      <w:r>
        <w:rPr>
          <w:rFonts w:hint="eastAsia"/>
        </w:rPr>
        <w:tab/>
        <w:t>委员会在2002年结论意见中呼吁该缔约国采取紧急措施，改变人们有关男女角色和责任的陈旧定型观念，包括针对男女以及媒体开展宣传教育活动。</w:t>
      </w:r>
      <w:r w:rsidRPr="000E0F0C">
        <w:rPr>
          <w:rStyle w:val="FootnoteReference"/>
        </w:rPr>
        <w:footnoteReference w:id="7"/>
      </w:r>
      <w:r>
        <w:rPr>
          <w:rFonts w:hint="eastAsia"/>
        </w:rPr>
        <w:t xml:space="preserve"> 请说明根据该建议采取了何种后续行动。</w:t>
      </w:r>
    </w:p>
    <w:p w:rsidR="000E0F0C" w:rsidRPr="0079453B" w:rsidRDefault="000E0F0C" w:rsidP="00B32EA6">
      <w:pPr>
        <w:pStyle w:val="SingleTxt"/>
        <w:rPr>
          <w:rFonts w:hint="eastAsia"/>
        </w:rPr>
      </w:pPr>
      <w:r w:rsidRPr="00EA6B36">
        <w:rPr>
          <w:rFonts w:ascii="SimHei" w:eastAsia="SimHei" w:hint="eastAsia"/>
          <w:color w:val="FF0000"/>
        </w:rPr>
        <w:tab/>
      </w:r>
      <w:r w:rsidRPr="0079453B">
        <w:rPr>
          <w:rFonts w:hint="eastAsia"/>
        </w:rPr>
        <w:t>法律允许男人和女人从事任何职业。</w:t>
      </w:r>
    </w:p>
    <w:p w:rsidR="000E0F0C" w:rsidRPr="0079453B" w:rsidRDefault="000E0F0C" w:rsidP="0079453B">
      <w:pPr>
        <w:pStyle w:val="SingleTxt"/>
        <w:spacing w:after="120"/>
        <w:rPr>
          <w:rFonts w:hint="eastAsia"/>
        </w:rPr>
      </w:pPr>
      <w:r w:rsidRPr="0079453B">
        <w:rPr>
          <w:rFonts w:hint="eastAsia"/>
        </w:rPr>
        <w:tab/>
        <w:t>2006-2010年性别问题综合行动计划提到各种方案，这些方案的目的是，提高学生（女童和男童）对工作机会的认识。</w:t>
      </w:r>
    </w:p>
    <w:p w:rsidR="000E0F0C" w:rsidRPr="00353195" w:rsidRDefault="000E0F0C" w:rsidP="0079453B">
      <w:pPr>
        <w:pStyle w:val="SingleTxt"/>
        <w:spacing w:after="120"/>
        <w:rPr>
          <w:rFonts w:ascii="SimHei" w:eastAsia="SimHei" w:hint="eastAsia"/>
          <w:color w:val="FF0000"/>
        </w:rPr>
      </w:pPr>
      <w:r w:rsidRPr="00353195">
        <w:rPr>
          <w:rFonts w:ascii="SimHei" w:eastAsia="SimHei" w:hint="eastAsia"/>
          <w:color w:val="FF0000"/>
        </w:rPr>
        <w:t>就业</w:t>
      </w:r>
    </w:p>
    <w:p w:rsidR="000E0F0C" w:rsidRDefault="000E0F0C" w:rsidP="0079453B">
      <w:pPr>
        <w:pStyle w:val="SingleTxt"/>
        <w:spacing w:after="120"/>
        <w:rPr>
          <w:rFonts w:hint="eastAsia"/>
        </w:rPr>
      </w:pPr>
      <w:r>
        <w:rPr>
          <w:rFonts w:hint="eastAsia"/>
        </w:rPr>
        <w:t>16.</w:t>
      </w:r>
      <w:r>
        <w:rPr>
          <w:rFonts w:hint="eastAsia"/>
        </w:rPr>
        <w:tab/>
        <w:t>请提供有关男女失业率的最新数据，还请包括有关生活在内地和土著社区的男女失业率的数据。</w:t>
      </w:r>
    </w:p>
    <w:p w:rsidR="000E0F0C" w:rsidRPr="00353195" w:rsidRDefault="000E0F0C" w:rsidP="0079453B">
      <w:pPr>
        <w:pStyle w:val="SingleTxt"/>
        <w:spacing w:after="120"/>
        <w:rPr>
          <w:rFonts w:ascii="SimHei" w:eastAsia="SimHei" w:hint="eastAsia"/>
          <w:color w:val="FF0000"/>
        </w:rPr>
      </w:pPr>
      <w:r w:rsidRPr="00353195">
        <w:rPr>
          <w:rFonts w:ascii="SimHei" w:eastAsia="SimHei" w:hint="eastAsia"/>
          <w:color w:val="FF0000"/>
        </w:rPr>
        <w:t>男女失业率最新数据</w:t>
      </w:r>
    </w:p>
    <w:p w:rsidR="000E0F0C" w:rsidRPr="0079453B" w:rsidRDefault="000E0F0C" w:rsidP="0079453B">
      <w:pPr>
        <w:pStyle w:val="SingleTxt"/>
        <w:spacing w:after="120" w:line="300" w:lineRule="exact"/>
        <w:rPr>
          <w:rFonts w:hint="eastAsia"/>
        </w:rPr>
      </w:pPr>
      <w:r w:rsidRPr="00EA6B36">
        <w:rPr>
          <w:rFonts w:ascii="SimHei" w:eastAsia="SimHei" w:hint="eastAsia"/>
          <w:color w:val="FF0000"/>
        </w:rPr>
        <w:tab/>
      </w:r>
      <w:r w:rsidRPr="0079453B">
        <w:rPr>
          <w:rFonts w:hint="eastAsia"/>
        </w:rPr>
        <w:t>一般而言，有两个主管当局负责收集和分析按性别分类的男女失业率数据，即：统计总局和劳工、技术开发和环境部。在报告所述期间，劳工、技术开发和环境部未能收集和分析有关数据。该部一直严重倚赖统计总局收集的数据。鉴于统计总局仅有1999年上半年的数据，该部没有1999年下半年之后的任何数据。</w:t>
      </w:r>
    </w:p>
    <w:p w:rsidR="000E0F0C" w:rsidRPr="0079453B" w:rsidRDefault="000E0F0C" w:rsidP="00B32EA6">
      <w:pPr>
        <w:pStyle w:val="SingleTxt"/>
        <w:rPr>
          <w:rFonts w:hint="eastAsia"/>
        </w:rPr>
      </w:pPr>
      <w:r w:rsidRPr="0079453B">
        <w:rPr>
          <w:rFonts w:hint="eastAsia"/>
        </w:rPr>
        <w:tab/>
        <w:t>表1显示帕拉马里博和瓦尼卡的失业人数。</w:t>
      </w:r>
    </w:p>
    <w:p w:rsidR="000E0F0C" w:rsidRPr="00EA6B36" w:rsidRDefault="000E0F0C" w:rsidP="0079453B">
      <w:pPr>
        <w:pStyle w:val="SingleTxt"/>
        <w:spacing w:after="120"/>
        <w:rPr>
          <w:rFonts w:ascii="SimHei" w:eastAsia="SimHei" w:hint="eastAsia"/>
          <w:color w:val="FF0000"/>
        </w:rPr>
      </w:pPr>
      <w:r w:rsidRPr="0079453B">
        <w:rPr>
          <w:rFonts w:hint="eastAsia"/>
        </w:rPr>
        <w:tab/>
        <w:t>报告所述期间的内地和土著社区男女失业率数据已经整理出来，并且列入了总数据。</w:t>
      </w:r>
    </w:p>
    <w:p w:rsidR="000E0F0C" w:rsidRPr="00353195" w:rsidRDefault="000E0F0C" w:rsidP="00B32EA6">
      <w:pPr>
        <w:pStyle w:val="SingleTxt"/>
        <w:rPr>
          <w:rFonts w:ascii="SimHei" w:eastAsia="SimHei" w:hint="eastAsia"/>
          <w:color w:val="FF0000"/>
        </w:rPr>
      </w:pPr>
      <w:r w:rsidRPr="00353195">
        <w:rPr>
          <w:rFonts w:hint="eastAsia"/>
        </w:rPr>
        <w:t>表1</w:t>
      </w:r>
      <w:r>
        <w:br/>
      </w:r>
      <w:r w:rsidRPr="00353195">
        <w:rPr>
          <w:rFonts w:ascii="SimHei" w:eastAsia="SimHei" w:hint="eastAsia"/>
          <w:color w:val="FF0000"/>
        </w:rPr>
        <w:t>1999-2002年从事经济活动人数、就业人数和失业人数以及失业率</w:t>
      </w:r>
      <w:r w:rsidRPr="00353195">
        <w:rPr>
          <w:rFonts w:ascii="SimHei" w:eastAsia="SimHei"/>
          <w:color w:val="FF0000"/>
        </w:rPr>
        <w:br/>
      </w:r>
      <w:r w:rsidRPr="00353195">
        <w:rPr>
          <w:rFonts w:ascii="SimHei" w:eastAsia="SimHei" w:hint="eastAsia"/>
          <w:color w:val="FF0000"/>
        </w:rPr>
        <w:t>(帕拉马里博和瓦尼卡)</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68"/>
        <w:gridCol w:w="1469"/>
        <w:gridCol w:w="1468"/>
        <w:gridCol w:w="1469"/>
        <w:gridCol w:w="1469"/>
      </w:tblGrid>
      <w:tr w:rsidR="000E0F0C" w:rsidRPr="00353195" w:rsidTr="00B32EA6">
        <w:trPr>
          <w:cantSplit/>
          <w:tblHeader/>
        </w:trPr>
        <w:tc>
          <w:tcPr>
            <w:tcW w:w="1468" w:type="dxa"/>
            <w:tcBorders>
              <w:top w:val="single" w:sz="4" w:space="0" w:color="auto"/>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80" w:after="80" w:line="200" w:lineRule="exact"/>
              <w:ind w:left="57" w:right="0"/>
              <w:rPr>
                <w:rFonts w:ascii="KaiTi_GB2312" w:eastAsia="KaiTi_GB2312" w:hint="eastAsia"/>
                <w:color w:val="0000FF"/>
                <w:sz w:val="15"/>
              </w:rPr>
            </w:pPr>
            <w:r w:rsidRPr="00353195">
              <w:rPr>
                <w:rFonts w:ascii="KaiTi_GB2312" w:eastAsia="KaiTi_GB2312" w:hint="eastAsia"/>
                <w:color w:val="0000FF"/>
                <w:sz w:val="15"/>
              </w:rPr>
              <w:t>年度</w:t>
            </w:r>
          </w:p>
        </w:tc>
        <w:tc>
          <w:tcPr>
            <w:tcW w:w="1469" w:type="dxa"/>
            <w:tcBorders>
              <w:top w:val="single" w:sz="4" w:space="0" w:color="auto"/>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80" w:after="80" w:line="200" w:lineRule="exact"/>
              <w:ind w:left="0" w:right="101"/>
              <w:jc w:val="right"/>
              <w:rPr>
                <w:rFonts w:ascii="KaiTi_GB2312" w:eastAsia="KaiTi_GB2312" w:hint="eastAsia"/>
                <w:color w:val="0000FF"/>
                <w:sz w:val="15"/>
              </w:rPr>
            </w:pPr>
            <w:r w:rsidRPr="00353195">
              <w:rPr>
                <w:rFonts w:ascii="KaiTi_GB2312" w:eastAsia="KaiTi_GB2312" w:hint="eastAsia"/>
                <w:color w:val="0000FF"/>
                <w:sz w:val="15"/>
              </w:rPr>
              <w:t>从事经济活动人数</w:t>
            </w:r>
          </w:p>
        </w:tc>
        <w:tc>
          <w:tcPr>
            <w:tcW w:w="1468" w:type="dxa"/>
            <w:tcBorders>
              <w:top w:val="single" w:sz="4" w:space="0" w:color="auto"/>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80" w:after="80" w:line="200" w:lineRule="exact"/>
              <w:ind w:left="0" w:right="101"/>
              <w:jc w:val="right"/>
              <w:rPr>
                <w:rFonts w:ascii="KaiTi_GB2312" w:eastAsia="KaiTi_GB2312" w:hint="eastAsia"/>
                <w:color w:val="0000FF"/>
                <w:sz w:val="15"/>
              </w:rPr>
            </w:pPr>
            <w:r w:rsidRPr="00353195">
              <w:rPr>
                <w:rFonts w:ascii="KaiTi_GB2312" w:eastAsia="KaiTi_GB2312" w:hint="eastAsia"/>
                <w:color w:val="0000FF"/>
                <w:sz w:val="15"/>
              </w:rPr>
              <w:t>就业人数</w:t>
            </w:r>
          </w:p>
        </w:tc>
        <w:tc>
          <w:tcPr>
            <w:tcW w:w="1469" w:type="dxa"/>
            <w:tcBorders>
              <w:top w:val="single" w:sz="4" w:space="0" w:color="auto"/>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80" w:after="80" w:line="200" w:lineRule="exact"/>
              <w:ind w:left="0" w:right="101"/>
              <w:jc w:val="right"/>
              <w:rPr>
                <w:rFonts w:ascii="KaiTi_GB2312" w:eastAsia="KaiTi_GB2312" w:hint="eastAsia"/>
                <w:color w:val="0000FF"/>
                <w:sz w:val="15"/>
              </w:rPr>
            </w:pPr>
            <w:r w:rsidRPr="00353195">
              <w:rPr>
                <w:rFonts w:ascii="KaiTi_GB2312" w:eastAsia="KaiTi_GB2312" w:hint="eastAsia"/>
                <w:color w:val="0000FF"/>
                <w:sz w:val="15"/>
              </w:rPr>
              <w:t>失业人数</w:t>
            </w:r>
          </w:p>
        </w:tc>
        <w:tc>
          <w:tcPr>
            <w:tcW w:w="1469" w:type="dxa"/>
            <w:tcBorders>
              <w:top w:val="single" w:sz="4" w:space="0" w:color="auto"/>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80" w:after="80" w:line="200" w:lineRule="exact"/>
              <w:ind w:left="0" w:right="101"/>
              <w:jc w:val="right"/>
              <w:rPr>
                <w:rFonts w:ascii="KaiTi_GB2312" w:eastAsia="KaiTi_GB2312" w:hint="eastAsia"/>
                <w:color w:val="0000FF"/>
                <w:sz w:val="15"/>
              </w:rPr>
            </w:pPr>
            <w:r w:rsidRPr="00353195">
              <w:rPr>
                <w:rFonts w:ascii="KaiTi_GB2312" w:eastAsia="KaiTi_GB2312" w:hint="eastAsia"/>
                <w:color w:val="0000FF"/>
                <w:sz w:val="15"/>
              </w:rPr>
              <w:t>失业率</w:t>
            </w:r>
          </w:p>
        </w:tc>
      </w:tr>
      <w:tr w:rsidR="000E0F0C" w:rsidRPr="00353195" w:rsidTr="00B32EA6">
        <w:trPr>
          <w:cantSplit/>
          <w:trHeight w:hRule="exact" w:val="115"/>
          <w:tblHeader/>
        </w:trPr>
        <w:tc>
          <w:tcPr>
            <w:tcW w:w="1468" w:type="dxa"/>
            <w:tcBorders>
              <w:top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57" w:right="0"/>
              <w:rPr>
                <w:sz w:val="17"/>
              </w:rPr>
            </w:pPr>
          </w:p>
        </w:tc>
        <w:tc>
          <w:tcPr>
            <w:tcW w:w="1469" w:type="dxa"/>
            <w:tcBorders>
              <w:top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101"/>
              <w:jc w:val="right"/>
              <w:rPr>
                <w:sz w:val="17"/>
              </w:rPr>
            </w:pPr>
          </w:p>
        </w:tc>
        <w:tc>
          <w:tcPr>
            <w:tcW w:w="1468" w:type="dxa"/>
            <w:tcBorders>
              <w:top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101"/>
              <w:jc w:val="right"/>
              <w:rPr>
                <w:sz w:val="17"/>
              </w:rPr>
            </w:pPr>
          </w:p>
        </w:tc>
        <w:tc>
          <w:tcPr>
            <w:tcW w:w="1469" w:type="dxa"/>
            <w:tcBorders>
              <w:top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101"/>
              <w:jc w:val="right"/>
              <w:rPr>
                <w:sz w:val="17"/>
              </w:rPr>
            </w:pPr>
          </w:p>
        </w:tc>
        <w:tc>
          <w:tcPr>
            <w:tcW w:w="1469" w:type="dxa"/>
            <w:tcBorders>
              <w:top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101"/>
              <w:jc w:val="right"/>
              <w:rPr>
                <w:sz w:val="17"/>
              </w:rPr>
            </w:pPr>
          </w:p>
        </w:tc>
      </w:tr>
      <w:tr w:rsidR="000E0F0C" w:rsidRPr="00353195" w:rsidTr="00B32EA6">
        <w:trPr>
          <w:cantSplit/>
        </w:trPr>
        <w:tc>
          <w:tcPr>
            <w:tcW w:w="1468"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57" w:right="0"/>
              <w:rPr>
                <w:sz w:val="17"/>
              </w:rPr>
            </w:pPr>
            <w:r w:rsidRPr="00353195">
              <w:rPr>
                <w:sz w:val="17"/>
              </w:rPr>
              <w:t>1999</w:t>
            </w:r>
          </w:p>
        </w:tc>
        <w:tc>
          <w:tcPr>
            <w:tcW w:w="1469"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105 394</w:t>
            </w:r>
          </w:p>
        </w:tc>
        <w:tc>
          <w:tcPr>
            <w:tcW w:w="1468"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92 747</w:t>
            </w:r>
          </w:p>
        </w:tc>
        <w:tc>
          <w:tcPr>
            <w:tcW w:w="1469"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12 647</w:t>
            </w:r>
          </w:p>
        </w:tc>
        <w:tc>
          <w:tcPr>
            <w:tcW w:w="1469"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12</w:t>
            </w:r>
          </w:p>
        </w:tc>
      </w:tr>
      <w:tr w:rsidR="000E0F0C" w:rsidRPr="00353195" w:rsidTr="00B32EA6">
        <w:trPr>
          <w:cantSplit/>
        </w:trPr>
        <w:tc>
          <w:tcPr>
            <w:tcW w:w="1468"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57" w:right="0"/>
              <w:rPr>
                <w:sz w:val="17"/>
              </w:rPr>
            </w:pPr>
            <w:r w:rsidRPr="00353195">
              <w:rPr>
                <w:sz w:val="17"/>
              </w:rPr>
              <w:t>2000</w:t>
            </w:r>
          </w:p>
        </w:tc>
        <w:tc>
          <w:tcPr>
            <w:tcW w:w="1469"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110 600</w:t>
            </w:r>
          </w:p>
        </w:tc>
        <w:tc>
          <w:tcPr>
            <w:tcW w:w="1468"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95 374</w:t>
            </w:r>
          </w:p>
        </w:tc>
        <w:tc>
          <w:tcPr>
            <w:tcW w:w="1469"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15 226</w:t>
            </w:r>
          </w:p>
        </w:tc>
        <w:tc>
          <w:tcPr>
            <w:tcW w:w="1469"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14</w:t>
            </w:r>
          </w:p>
        </w:tc>
      </w:tr>
      <w:tr w:rsidR="000E0F0C" w:rsidRPr="00353195" w:rsidTr="00B32EA6">
        <w:trPr>
          <w:cantSplit/>
        </w:trPr>
        <w:tc>
          <w:tcPr>
            <w:tcW w:w="1468"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57" w:right="0"/>
              <w:rPr>
                <w:sz w:val="17"/>
              </w:rPr>
            </w:pPr>
            <w:r w:rsidRPr="00353195">
              <w:rPr>
                <w:sz w:val="17"/>
              </w:rPr>
              <w:t>2001</w:t>
            </w:r>
          </w:p>
        </w:tc>
        <w:tc>
          <w:tcPr>
            <w:tcW w:w="1469"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133 447</w:t>
            </w:r>
          </w:p>
        </w:tc>
        <w:tc>
          <w:tcPr>
            <w:tcW w:w="1468"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97 872</w:t>
            </w:r>
          </w:p>
        </w:tc>
        <w:tc>
          <w:tcPr>
            <w:tcW w:w="1469"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15 575</w:t>
            </w:r>
          </w:p>
        </w:tc>
        <w:tc>
          <w:tcPr>
            <w:tcW w:w="1469"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14</w:t>
            </w:r>
          </w:p>
        </w:tc>
      </w:tr>
      <w:tr w:rsidR="000E0F0C" w:rsidRPr="00353195" w:rsidTr="00B32EA6">
        <w:trPr>
          <w:cantSplit/>
        </w:trPr>
        <w:tc>
          <w:tcPr>
            <w:tcW w:w="1468" w:type="dxa"/>
            <w:tcBorders>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57" w:right="0"/>
              <w:rPr>
                <w:sz w:val="17"/>
              </w:rPr>
            </w:pPr>
            <w:r w:rsidRPr="00353195">
              <w:rPr>
                <w:sz w:val="17"/>
              </w:rPr>
              <w:t>2002</w:t>
            </w:r>
          </w:p>
        </w:tc>
        <w:tc>
          <w:tcPr>
            <w:tcW w:w="1469" w:type="dxa"/>
            <w:tcBorders>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116 368</w:t>
            </w:r>
          </w:p>
        </w:tc>
        <w:tc>
          <w:tcPr>
            <w:tcW w:w="1468" w:type="dxa"/>
            <w:tcBorders>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105 129</w:t>
            </w:r>
          </w:p>
        </w:tc>
        <w:tc>
          <w:tcPr>
            <w:tcW w:w="1469" w:type="dxa"/>
            <w:tcBorders>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11 239</w:t>
            </w:r>
          </w:p>
        </w:tc>
        <w:tc>
          <w:tcPr>
            <w:tcW w:w="1469" w:type="dxa"/>
            <w:tcBorders>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sz w:val="17"/>
              </w:rPr>
            </w:pPr>
            <w:r w:rsidRPr="00353195">
              <w:rPr>
                <w:sz w:val="17"/>
              </w:rPr>
              <w:t>10</w:t>
            </w:r>
          </w:p>
        </w:tc>
      </w:tr>
    </w:tbl>
    <w:p w:rsidR="000E0F0C" w:rsidRPr="00353195" w:rsidRDefault="000E0F0C" w:rsidP="00B32EA6">
      <w:pPr>
        <w:pStyle w:val="SingleTxt"/>
        <w:rPr>
          <w:rFonts w:ascii="SimHei" w:eastAsia="SimHei" w:hint="eastAsia"/>
          <w:color w:val="FF0000"/>
        </w:rPr>
      </w:pPr>
      <w:r w:rsidRPr="00353195">
        <w:rPr>
          <w:rFonts w:ascii="SimHei" w:eastAsia="SimHei" w:hint="eastAsia"/>
          <w:color w:val="FF0000"/>
        </w:rPr>
        <w:t>按性别分列的劳动力参与率</w:t>
      </w:r>
    </w:p>
    <w:tbl>
      <w:tblPr>
        <w:tblStyle w:val="TableGrid"/>
        <w:tblW w:w="0" w:type="auto"/>
        <w:tblInd w:w="1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4"/>
        <w:gridCol w:w="2484"/>
        <w:gridCol w:w="2485"/>
      </w:tblGrid>
      <w:tr w:rsidR="000E0F0C" w:rsidRPr="00353195" w:rsidTr="00B32EA6">
        <w:trPr>
          <w:cantSplit/>
          <w:tblHeader/>
        </w:trPr>
        <w:tc>
          <w:tcPr>
            <w:tcW w:w="2484" w:type="dxa"/>
            <w:tcBorders>
              <w:top w:val="single" w:sz="4" w:space="0" w:color="auto"/>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80" w:after="80" w:line="200" w:lineRule="exact"/>
              <w:ind w:left="57"/>
              <w:rPr>
                <w:rFonts w:ascii="KaiTi_GB2312" w:eastAsia="KaiTi_GB2312" w:hint="eastAsia"/>
                <w:color w:val="0000FF"/>
                <w:sz w:val="15"/>
              </w:rPr>
            </w:pPr>
            <w:r w:rsidRPr="00353195">
              <w:rPr>
                <w:rFonts w:ascii="KaiTi_GB2312" w:eastAsia="KaiTi_GB2312" w:hint="eastAsia"/>
                <w:color w:val="0000FF"/>
                <w:sz w:val="15"/>
              </w:rPr>
              <w:t>活动状况</w:t>
            </w:r>
          </w:p>
        </w:tc>
        <w:tc>
          <w:tcPr>
            <w:tcW w:w="2484" w:type="dxa"/>
            <w:tcBorders>
              <w:top w:val="single" w:sz="4" w:space="0" w:color="auto"/>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80" w:after="80" w:line="200" w:lineRule="exact"/>
              <w:ind w:left="0" w:right="101"/>
              <w:jc w:val="right"/>
              <w:rPr>
                <w:rFonts w:ascii="KaiTi_GB2312" w:eastAsia="KaiTi_GB2312" w:hint="eastAsia"/>
                <w:color w:val="0000FF"/>
                <w:sz w:val="15"/>
              </w:rPr>
            </w:pPr>
            <w:r w:rsidRPr="00353195">
              <w:rPr>
                <w:rFonts w:ascii="KaiTi_GB2312" w:eastAsia="KaiTi_GB2312" w:hint="eastAsia"/>
                <w:color w:val="0000FF"/>
                <w:sz w:val="15"/>
              </w:rPr>
              <w:t>男性</w:t>
            </w:r>
          </w:p>
        </w:tc>
        <w:tc>
          <w:tcPr>
            <w:tcW w:w="2485" w:type="dxa"/>
            <w:tcBorders>
              <w:top w:val="single" w:sz="4" w:space="0" w:color="auto"/>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80" w:after="80" w:line="200" w:lineRule="exact"/>
              <w:ind w:left="0" w:right="101"/>
              <w:jc w:val="right"/>
              <w:rPr>
                <w:rFonts w:ascii="KaiTi_GB2312" w:eastAsia="KaiTi_GB2312" w:hint="eastAsia"/>
                <w:color w:val="0000FF"/>
                <w:sz w:val="15"/>
              </w:rPr>
            </w:pPr>
            <w:r w:rsidRPr="00353195">
              <w:rPr>
                <w:rFonts w:ascii="KaiTi_GB2312" w:eastAsia="KaiTi_GB2312" w:hint="eastAsia"/>
                <w:color w:val="0000FF"/>
                <w:sz w:val="15"/>
              </w:rPr>
              <w:t>女性</w:t>
            </w:r>
          </w:p>
        </w:tc>
      </w:tr>
      <w:tr w:rsidR="000E0F0C" w:rsidRPr="00353195" w:rsidTr="00B32EA6">
        <w:trPr>
          <w:cantSplit/>
          <w:trHeight w:hRule="exact" w:val="115"/>
          <w:tblHeader/>
        </w:trPr>
        <w:tc>
          <w:tcPr>
            <w:tcW w:w="2484" w:type="dxa"/>
            <w:tcBorders>
              <w:top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57"/>
              <w:rPr>
                <w:rFonts w:hint="eastAsia"/>
                <w:sz w:val="17"/>
              </w:rPr>
            </w:pPr>
          </w:p>
        </w:tc>
        <w:tc>
          <w:tcPr>
            <w:tcW w:w="2484" w:type="dxa"/>
            <w:tcBorders>
              <w:top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101"/>
              <w:jc w:val="right"/>
              <w:rPr>
                <w:rFonts w:hint="eastAsia"/>
                <w:sz w:val="17"/>
              </w:rPr>
            </w:pPr>
          </w:p>
        </w:tc>
        <w:tc>
          <w:tcPr>
            <w:tcW w:w="2485" w:type="dxa"/>
            <w:tcBorders>
              <w:top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101"/>
              <w:jc w:val="right"/>
              <w:rPr>
                <w:rFonts w:hint="eastAsia"/>
                <w:sz w:val="17"/>
              </w:rPr>
            </w:pPr>
          </w:p>
        </w:tc>
      </w:tr>
      <w:tr w:rsidR="000E0F0C" w:rsidRPr="00353195" w:rsidTr="00B32EA6">
        <w:trPr>
          <w:cantSplit/>
        </w:trPr>
        <w:tc>
          <w:tcPr>
            <w:tcW w:w="2484"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57"/>
              <w:rPr>
                <w:rFonts w:hint="eastAsia"/>
                <w:sz w:val="17"/>
              </w:rPr>
            </w:pPr>
            <w:r w:rsidRPr="00353195">
              <w:rPr>
                <w:rFonts w:hint="eastAsia"/>
                <w:sz w:val="17"/>
              </w:rPr>
              <w:t>就业人数</w:t>
            </w:r>
          </w:p>
        </w:tc>
        <w:tc>
          <w:tcPr>
            <w:tcW w:w="2484"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rFonts w:hint="eastAsia"/>
                <w:sz w:val="17"/>
              </w:rPr>
            </w:pPr>
            <w:r w:rsidRPr="00353195">
              <w:rPr>
                <w:rFonts w:hint="eastAsia"/>
                <w:sz w:val="17"/>
              </w:rPr>
              <w:t>101 919</w:t>
            </w:r>
          </w:p>
        </w:tc>
        <w:tc>
          <w:tcPr>
            <w:tcW w:w="2485"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rFonts w:hint="eastAsia"/>
                <w:sz w:val="17"/>
              </w:rPr>
            </w:pPr>
            <w:r w:rsidRPr="00353195">
              <w:rPr>
                <w:rFonts w:hint="eastAsia"/>
                <w:sz w:val="17"/>
              </w:rPr>
              <w:t>54 768</w:t>
            </w:r>
          </w:p>
        </w:tc>
      </w:tr>
      <w:tr w:rsidR="000E0F0C" w:rsidRPr="00353195" w:rsidTr="00B32EA6">
        <w:trPr>
          <w:cantSplit/>
        </w:trPr>
        <w:tc>
          <w:tcPr>
            <w:tcW w:w="2484"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57"/>
              <w:rPr>
                <w:rFonts w:hint="eastAsia"/>
                <w:sz w:val="17"/>
              </w:rPr>
            </w:pPr>
            <w:r w:rsidRPr="00353195">
              <w:rPr>
                <w:rFonts w:hint="eastAsia"/>
                <w:sz w:val="17"/>
              </w:rPr>
              <w:t>失业人数</w:t>
            </w:r>
          </w:p>
        </w:tc>
        <w:tc>
          <w:tcPr>
            <w:tcW w:w="2484"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rFonts w:hint="eastAsia"/>
                <w:sz w:val="17"/>
              </w:rPr>
            </w:pPr>
            <w:r w:rsidRPr="00353195">
              <w:rPr>
                <w:rFonts w:hint="eastAsia"/>
                <w:sz w:val="17"/>
              </w:rPr>
              <w:t>7 708</w:t>
            </w:r>
          </w:p>
        </w:tc>
        <w:tc>
          <w:tcPr>
            <w:tcW w:w="2485"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rFonts w:hint="eastAsia"/>
                <w:sz w:val="17"/>
              </w:rPr>
            </w:pPr>
            <w:r w:rsidRPr="00353195">
              <w:rPr>
                <w:rFonts w:hint="eastAsia"/>
                <w:sz w:val="17"/>
              </w:rPr>
              <w:t>8 717</w:t>
            </w:r>
          </w:p>
        </w:tc>
      </w:tr>
      <w:tr w:rsidR="000E0F0C" w:rsidRPr="00353195" w:rsidTr="00B32EA6">
        <w:trPr>
          <w:cantSplit/>
        </w:trPr>
        <w:tc>
          <w:tcPr>
            <w:tcW w:w="2484"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57"/>
              <w:rPr>
                <w:rFonts w:hint="eastAsia"/>
                <w:sz w:val="17"/>
              </w:rPr>
            </w:pPr>
            <w:r w:rsidRPr="00353195">
              <w:rPr>
                <w:rFonts w:hint="eastAsia"/>
                <w:sz w:val="17"/>
              </w:rPr>
              <w:t>劳动适龄人口</w:t>
            </w:r>
          </w:p>
        </w:tc>
        <w:tc>
          <w:tcPr>
            <w:tcW w:w="2484"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rFonts w:hint="eastAsia"/>
                <w:sz w:val="17"/>
              </w:rPr>
            </w:pPr>
            <w:r w:rsidRPr="00353195">
              <w:rPr>
                <w:rFonts w:hint="eastAsia"/>
                <w:sz w:val="17"/>
              </w:rPr>
              <w:t>154 836</w:t>
            </w:r>
          </w:p>
        </w:tc>
        <w:tc>
          <w:tcPr>
            <w:tcW w:w="2485" w:type="dxa"/>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rFonts w:hint="eastAsia"/>
                <w:sz w:val="17"/>
              </w:rPr>
            </w:pPr>
            <w:r w:rsidRPr="00353195">
              <w:rPr>
                <w:rFonts w:hint="eastAsia"/>
                <w:sz w:val="17"/>
              </w:rPr>
              <w:t>154 179</w:t>
            </w:r>
          </w:p>
        </w:tc>
      </w:tr>
      <w:tr w:rsidR="000E0F0C" w:rsidRPr="00353195" w:rsidTr="00B32EA6">
        <w:trPr>
          <w:cantSplit/>
        </w:trPr>
        <w:tc>
          <w:tcPr>
            <w:tcW w:w="2484" w:type="dxa"/>
            <w:tcBorders>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57"/>
              <w:rPr>
                <w:rFonts w:hint="eastAsia"/>
                <w:sz w:val="17"/>
              </w:rPr>
            </w:pPr>
            <w:r w:rsidRPr="00353195">
              <w:rPr>
                <w:rFonts w:hint="eastAsia"/>
                <w:sz w:val="17"/>
              </w:rPr>
              <w:t>参与率</w:t>
            </w:r>
          </w:p>
        </w:tc>
        <w:tc>
          <w:tcPr>
            <w:tcW w:w="2484" w:type="dxa"/>
            <w:tcBorders>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rFonts w:hint="eastAsia"/>
                <w:sz w:val="17"/>
              </w:rPr>
            </w:pPr>
            <w:r w:rsidRPr="00353195">
              <w:rPr>
                <w:rFonts w:hint="eastAsia"/>
                <w:sz w:val="17"/>
              </w:rPr>
              <w:t>70.8</w:t>
            </w:r>
          </w:p>
        </w:tc>
        <w:tc>
          <w:tcPr>
            <w:tcW w:w="2485" w:type="dxa"/>
            <w:tcBorders>
              <w:bottom w:val="single" w:sz="12" w:space="0" w:color="auto"/>
            </w:tcBorders>
            <w:shd w:val="clear" w:color="auto" w:fill="auto"/>
            <w:tcMar>
              <w:left w:w="0" w:type="dxa"/>
              <w:right w:w="0" w:type="dxa"/>
            </w:tcMar>
          </w:tcPr>
          <w:p w:rsidR="000E0F0C" w:rsidRPr="00353195" w:rsidRDefault="000E0F0C" w:rsidP="00B32EA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60"/>
                <w:tab w:val="left" w:pos="720"/>
                <w:tab w:val="left" w:pos="1080"/>
                <w:tab w:val="left" w:pos="1440"/>
              </w:tabs>
              <w:spacing w:after="60" w:line="280" w:lineRule="exact"/>
              <w:ind w:left="0" w:right="101"/>
              <w:jc w:val="right"/>
              <w:rPr>
                <w:rFonts w:hint="eastAsia"/>
                <w:sz w:val="17"/>
              </w:rPr>
            </w:pPr>
            <w:r w:rsidRPr="00353195">
              <w:rPr>
                <w:rFonts w:hint="eastAsia"/>
                <w:sz w:val="17"/>
              </w:rPr>
              <w:t>41.2</w:t>
            </w:r>
          </w:p>
        </w:tc>
      </w:tr>
    </w:tbl>
    <w:p w:rsidR="000E0F0C" w:rsidRPr="00353195" w:rsidRDefault="000E0F0C" w:rsidP="00B32EA6">
      <w:pPr>
        <w:pStyle w:val="SingleTxt"/>
        <w:rPr>
          <w:rFonts w:hint="eastAsia"/>
          <w:sz w:val="18"/>
          <w:szCs w:val="18"/>
        </w:rPr>
      </w:pPr>
      <w:r w:rsidRPr="00353195">
        <w:rPr>
          <w:rFonts w:ascii="KaiTi_GB2312" w:eastAsia="KaiTi_GB2312" w:hint="eastAsia"/>
          <w:color w:val="0000FF"/>
          <w:sz w:val="18"/>
          <w:szCs w:val="18"/>
        </w:rPr>
        <w:t>资料来源</w:t>
      </w:r>
      <w:r w:rsidRPr="00353195">
        <w:rPr>
          <w:rFonts w:hint="eastAsia"/>
          <w:sz w:val="18"/>
          <w:szCs w:val="18"/>
        </w:rPr>
        <w:t>: 统计总局2005年第七次人口普查。</w:t>
      </w:r>
    </w:p>
    <w:p w:rsidR="000E0F0C" w:rsidRDefault="000E0F0C" w:rsidP="00B32EA6">
      <w:pPr>
        <w:pStyle w:val="SingleTxt"/>
        <w:rPr>
          <w:rFonts w:hint="eastAsia"/>
        </w:rPr>
      </w:pPr>
      <w:r>
        <w:rPr>
          <w:rFonts w:hint="eastAsia"/>
        </w:rPr>
        <w:t>17.</w:t>
      </w:r>
      <w:r>
        <w:rPr>
          <w:rFonts w:hint="eastAsia"/>
        </w:rPr>
        <w:tab/>
        <w:t>报告说，“由于妇女基本上属于低工资群体，……[她们]的收入一般比男子少”。政府目前正采取何种措施来解决这个问题？</w:t>
      </w:r>
    </w:p>
    <w:p w:rsidR="000E0F0C" w:rsidRPr="00353195" w:rsidRDefault="000E0F0C" w:rsidP="00B32EA6">
      <w:pPr>
        <w:pStyle w:val="SingleTxt"/>
        <w:rPr>
          <w:rFonts w:ascii="SimHei" w:eastAsia="SimHei" w:hint="eastAsia"/>
          <w:color w:val="FF0000"/>
        </w:rPr>
      </w:pPr>
      <w:r w:rsidRPr="00353195">
        <w:rPr>
          <w:rFonts w:ascii="SimHei" w:eastAsia="SimHei" w:hint="eastAsia"/>
          <w:color w:val="FF0000"/>
        </w:rPr>
        <w:t>两性薪酬差距</w:t>
      </w:r>
    </w:p>
    <w:p w:rsidR="000E0F0C" w:rsidRPr="00B6666A" w:rsidRDefault="000E0F0C" w:rsidP="00B32EA6">
      <w:pPr>
        <w:pStyle w:val="SingleTxt"/>
        <w:rPr>
          <w:rFonts w:ascii="SimHei" w:eastAsia="SimHei" w:hint="eastAsia"/>
          <w:color w:val="FF0000"/>
        </w:rPr>
      </w:pPr>
      <w:r w:rsidRPr="00B6666A">
        <w:rPr>
          <w:rFonts w:ascii="SimHei" w:eastAsia="SimHei" w:hint="eastAsia"/>
          <w:color w:val="FF0000"/>
        </w:rPr>
        <w:tab/>
      </w:r>
      <w:r w:rsidRPr="0079453B">
        <w:rPr>
          <w:rFonts w:hint="eastAsia"/>
        </w:rPr>
        <w:t>劳工、技术开发和环境部承认男女就业悬殊，在过去几十年里，政府若干政策声明和（劳工、技术开发和环境部）部政策说明都正式提到这种悬殊。</w:t>
      </w:r>
    </w:p>
    <w:p w:rsidR="000E0F0C" w:rsidRPr="00B6666A" w:rsidRDefault="000E0F0C" w:rsidP="00B32EA6">
      <w:pPr>
        <w:pStyle w:val="SingleTxt"/>
        <w:rPr>
          <w:rFonts w:ascii="SimHei" w:eastAsia="SimHei" w:hint="eastAsia"/>
          <w:color w:val="FF0000"/>
        </w:rPr>
      </w:pPr>
      <w:r w:rsidRPr="00B6666A">
        <w:rPr>
          <w:rFonts w:ascii="SimHei" w:eastAsia="SimHei" w:hint="eastAsia"/>
          <w:color w:val="FF0000"/>
        </w:rPr>
        <w:tab/>
      </w:r>
      <w:r w:rsidRPr="0079453B">
        <w:rPr>
          <w:rFonts w:hint="eastAsia"/>
        </w:rPr>
        <w:t>劳工、技术开发和环境部2000-2005年政策说明就指出：</w:t>
      </w:r>
    </w:p>
    <w:p w:rsidR="000E0F0C" w:rsidRPr="0079453B" w:rsidRDefault="0079453B" w:rsidP="0079453B">
      <w:pPr>
        <w:pStyle w:val="SingleTxt"/>
        <w:ind w:left="1695"/>
        <w:rPr>
          <w:rFonts w:hint="eastAsia"/>
        </w:rPr>
      </w:pPr>
      <w:r>
        <w:tab/>
      </w:r>
      <w:r w:rsidR="000E0F0C" w:rsidRPr="0079453B">
        <w:rPr>
          <w:rFonts w:hint="eastAsia"/>
        </w:rPr>
        <w:t>“为了创造积极的薪酬环境，将在进行充分研究后规定最低工资。这将促进同工同酬和按业绩付酬。”</w:t>
      </w:r>
    </w:p>
    <w:p w:rsidR="000E0F0C" w:rsidRPr="0079453B" w:rsidRDefault="000E0F0C" w:rsidP="0079453B">
      <w:pPr>
        <w:pStyle w:val="SingleTxt"/>
        <w:spacing w:after="120"/>
        <w:rPr>
          <w:rFonts w:hint="eastAsia"/>
        </w:rPr>
      </w:pPr>
      <w:r w:rsidRPr="0079453B">
        <w:rPr>
          <w:rFonts w:hint="eastAsia"/>
        </w:rPr>
        <w:tab/>
        <w:t>此外，该政策说明提到将社会性别概念纳入劳工、技术开发和环境部每个政策领域，以便在苏里南劳工市场促进两性平等。每一项措施或活动都应包括社会性别分析，以评估对男女可能产生的影响。关于失业和小企业增长问题，妇女属于目标群体。</w:t>
      </w:r>
    </w:p>
    <w:p w:rsidR="000E0F0C" w:rsidRPr="00B6666A" w:rsidRDefault="000E0F0C" w:rsidP="00B32EA6">
      <w:pPr>
        <w:pStyle w:val="SingleTxt"/>
        <w:rPr>
          <w:rFonts w:ascii="SimHei" w:eastAsia="SimHei" w:hint="eastAsia"/>
          <w:color w:val="FF0000"/>
        </w:rPr>
      </w:pPr>
      <w:r w:rsidRPr="00B6666A">
        <w:rPr>
          <w:rFonts w:ascii="SimHei" w:eastAsia="SimHei" w:hint="eastAsia"/>
          <w:color w:val="FF0000"/>
        </w:rPr>
        <w:tab/>
      </w:r>
      <w:r w:rsidRPr="0079453B">
        <w:rPr>
          <w:rFonts w:hint="eastAsia"/>
        </w:rPr>
        <w:t>2000-2005年期间没有制定最低工资。苏里南总统2006年年度政策声明和劳工、技术开发和环境部部政策说明再次提到了建立最低工资制度的问题。根据政策说明，劳工、技术开发和环境部建立了一个三方委员会，令其就建立最低工资制度的问题向该部提出咨询意见。</w:t>
      </w:r>
    </w:p>
    <w:p w:rsidR="000E0F0C" w:rsidRPr="00353195" w:rsidRDefault="000E0F0C" w:rsidP="0079453B">
      <w:pPr>
        <w:pStyle w:val="SingleTxt"/>
        <w:spacing w:after="120"/>
        <w:rPr>
          <w:rFonts w:ascii="SimHei" w:eastAsia="SimHei" w:hint="eastAsia"/>
          <w:color w:val="FF0000"/>
        </w:rPr>
      </w:pPr>
      <w:r w:rsidRPr="00353195">
        <w:rPr>
          <w:rFonts w:ascii="SimHei" w:eastAsia="SimHei" w:hint="eastAsia"/>
          <w:color w:val="FF0000"/>
        </w:rPr>
        <w:t>保健</w:t>
      </w:r>
    </w:p>
    <w:p w:rsidR="000E0F0C" w:rsidRDefault="000E0F0C" w:rsidP="0079453B">
      <w:pPr>
        <w:pStyle w:val="SingleTxt"/>
        <w:spacing w:after="120"/>
        <w:rPr>
          <w:rFonts w:hint="eastAsia"/>
        </w:rPr>
      </w:pPr>
      <w:r>
        <w:rPr>
          <w:rFonts w:hint="eastAsia"/>
        </w:rPr>
        <w:t>18.</w:t>
      </w:r>
      <w:r>
        <w:rPr>
          <w:rFonts w:hint="eastAsia"/>
        </w:rPr>
        <w:tab/>
        <w:t>报告说“就妇女接受医疗服务而言，下列观察结果非常重要：缺少癌症常规检测（子宫颈抹片检查、乳房X线照片）；怀孕并发症表明需要改进产前护理，改进对高危妊娠的护理”。报告还说，约三分之一的人民没有医疗保险。政府目前正采取何种措施来解决这些问题？</w:t>
      </w:r>
    </w:p>
    <w:p w:rsidR="000E0F0C" w:rsidRPr="00B6666A" w:rsidRDefault="000E0F0C" w:rsidP="0079453B">
      <w:pPr>
        <w:pStyle w:val="SingleTxt"/>
        <w:spacing w:after="120"/>
        <w:rPr>
          <w:rFonts w:ascii="SimHei" w:eastAsia="SimHei" w:hint="eastAsia"/>
          <w:color w:val="FF0000"/>
        </w:rPr>
      </w:pPr>
      <w:r w:rsidRPr="00B6666A">
        <w:rPr>
          <w:rFonts w:ascii="SimHei" w:eastAsia="SimHei" w:hint="eastAsia"/>
          <w:color w:val="FF0000"/>
        </w:rPr>
        <w:t>政府行动：</w:t>
      </w:r>
    </w:p>
    <w:p w:rsidR="000E0F0C" w:rsidRPr="00B6666A" w:rsidRDefault="000E0F0C" w:rsidP="00B32EA6">
      <w:pPr>
        <w:pStyle w:val="SingleTxt"/>
        <w:rPr>
          <w:rFonts w:ascii="SimHei" w:eastAsia="SimHei" w:hint="eastAsia"/>
          <w:color w:val="FF0000"/>
        </w:rPr>
      </w:pPr>
      <w:r w:rsidRPr="00B6666A">
        <w:rPr>
          <w:rFonts w:ascii="SimHei" w:eastAsia="SimHei" w:hint="eastAsia"/>
          <w:color w:val="FF0000"/>
        </w:rPr>
        <w:tab/>
      </w:r>
      <w:r w:rsidRPr="0079453B">
        <w:rPr>
          <w:rFonts w:hint="eastAsia"/>
        </w:rPr>
        <w:t>(a)</w:t>
      </w:r>
      <w:r w:rsidRPr="0079453B">
        <w:rPr>
          <w:rFonts w:hint="eastAsia"/>
        </w:rPr>
        <w:tab/>
        <w:t>改进产妇保健——政策发展。在2005年9月世界首脑会议上，苏里南和国际社会一致认为，最迟在2015年实现全民生殖保健是实现两性平等和其他千年发展目标的关键；</w:t>
      </w:r>
    </w:p>
    <w:p w:rsidR="000E0F0C" w:rsidRPr="00B32EA6" w:rsidRDefault="000E0F0C" w:rsidP="00B32EA6">
      <w:pPr>
        <w:pStyle w:val="SingleTxt"/>
        <w:rPr>
          <w:rFonts w:hint="eastAsia"/>
        </w:rPr>
      </w:pPr>
      <w:r w:rsidRPr="00B6666A">
        <w:rPr>
          <w:rFonts w:ascii="SimHei" w:eastAsia="SimHei" w:hint="eastAsia"/>
          <w:color w:val="FF0000"/>
        </w:rPr>
        <w:tab/>
      </w:r>
      <w:r w:rsidRPr="00B32EA6">
        <w:rPr>
          <w:rFonts w:hint="eastAsia"/>
        </w:rPr>
        <w:t>(b)</w:t>
      </w:r>
      <w:r w:rsidRPr="00B32EA6">
        <w:rPr>
          <w:rFonts w:hint="eastAsia"/>
        </w:rPr>
        <w:tab/>
        <w:t>性健康和生殖健康政策确认，安全孕产是一项优先人权。已经起草一项性健康和生殖健康政策，该政策确认，安全孕产是一项优先人权。此项政策需要议会通过，需要转变为一项执行计划，该计划的主要组成部分应包括优质产妇护理。该政策已纳入保健部门计划；</w:t>
      </w:r>
    </w:p>
    <w:p w:rsidR="00B32EA6" w:rsidRDefault="000E0F0C" w:rsidP="00B32EA6">
      <w:pPr>
        <w:pStyle w:val="SingleTxt"/>
      </w:pPr>
      <w:r w:rsidRPr="00B6666A">
        <w:rPr>
          <w:rFonts w:ascii="SimHei" w:eastAsia="SimHei" w:hint="eastAsia"/>
          <w:color w:val="FF0000"/>
        </w:rPr>
        <w:tab/>
      </w:r>
      <w:r w:rsidRPr="00B32EA6">
        <w:rPr>
          <w:rFonts w:hint="eastAsia"/>
        </w:rPr>
        <w:t>(c)</w:t>
      </w:r>
      <w:r w:rsidRPr="00B32EA6">
        <w:rPr>
          <w:rFonts w:hint="eastAsia"/>
        </w:rPr>
        <w:tab/>
        <w:t>保健部门计划和保健改革项目。</w:t>
      </w:r>
    </w:p>
    <w:p w:rsidR="000E0F0C" w:rsidRPr="00B32EA6" w:rsidRDefault="00B32EA6" w:rsidP="00B32EA6">
      <w:pPr>
        <w:pStyle w:val="SingleTxt"/>
        <w:rPr>
          <w:rFonts w:hint="eastAsia"/>
        </w:rPr>
      </w:pPr>
      <w:r>
        <w:tab/>
      </w:r>
      <w:r w:rsidR="000E0F0C" w:rsidRPr="00B32EA6">
        <w:rPr>
          <w:rFonts w:hint="eastAsia"/>
        </w:rPr>
        <w:t>卫生部目前正在审查为生殖保健商品系统建立后勤系统的可能性，并且正在执行一项降低孕产妇死亡率的战略。目前正在设计一个全国保健信息系统，通过该系统，可以更好地确认和监测造成孕产妇死亡的健康问题。</w:t>
      </w:r>
    </w:p>
    <w:p w:rsidR="000E0F0C" w:rsidRDefault="000E0F0C" w:rsidP="00B32EA6">
      <w:pPr>
        <w:pStyle w:val="SingleTxt"/>
        <w:rPr>
          <w:rFonts w:hint="eastAsia"/>
        </w:rPr>
      </w:pPr>
      <w:r>
        <w:rPr>
          <w:rFonts w:hint="eastAsia"/>
        </w:rPr>
        <w:t>19.</w:t>
      </w:r>
      <w:r>
        <w:rPr>
          <w:rFonts w:hint="eastAsia"/>
        </w:rPr>
        <w:tab/>
      </w:r>
      <w:r w:rsidRPr="00A14762">
        <w:rPr>
          <w:rFonts w:hint="eastAsia"/>
          <w:spacing w:val="4"/>
        </w:rPr>
        <w:t>报告说，艾滋病毒呈阳性的妇女人数从1998年的4.1％上升到2000年的6.35％。</w:t>
      </w:r>
      <w:r>
        <w:rPr>
          <w:rFonts w:hint="eastAsia"/>
        </w:rPr>
        <w:t>委员会在2002年结论意见中敦促该缔约国处理艾滋病毒/艾滋病的性别方面问题，确保妇女和女童享有保健和社会服务的平等权利和机会，鼓励该缔约国加紧努力，提高妇女和女童的认识，并教会她们采取自我保护的方式。</w:t>
      </w:r>
      <w:r w:rsidRPr="000E0F0C">
        <w:rPr>
          <w:rStyle w:val="FootnoteReference"/>
        </w:rPr>
        <w:footnoteReference w:id="8"/>
      </w:r>
      <w:r>
        <w:rPr>
          <w:rFonts w:hint="eastAsia"/>
        </w:rPr>
        <w:t xml:space="preserve"> 请提供信息，介绍委员会该建议执行情况，并提供数据，说明艾滋病毒/艾滋病因为采矿活动而在内地少数民族妇女中传播的情况。</w:t>
      </w:r>
    </w:p>
    <w:p w:rsidR="000E0F0C" w:rsidRPr="00910805" w:rsidRDefault="000E0F0C" w:rsidP="00B32EA6">
      <w:pPr>
        <w:pStyle w:val="SingleTxt"/>
        <w:rPr>
          <w:rFonts w:ascii="SimHei" w:eastAsia="SimHei" w:hint="eastAsia"/>
          <w:color w:val="FF0000"/>
        </w:rPr>
      </w:pPr>
      <w:r w:rsidRPr="00910805">
        <w:rPr>
          <w:rFonts w:ascii="SimHei" w:eastAsia="SimHei" w:hint="eastAsia"/>
          <w:color w:val="FF0000"/>
        </w:rPr>
        <w:t>艾滋病毒/艾滋病——政策发展和全国战略计划</w:t>
      </w:r>
    </w:p>
    <w:p w:rsidR="000E0F0C" w:rsidRPr="00B32EA6" w:rsidRDefault="000E0F0C" w:rsidP="00B32EA6">
      <w:pPr>
        <w:pStyle w:val="SingleTxt"/>
        <w:rPr>
          <w:rFonts w:hint="eastAsia"/>
        </w:rPr>
      </w:pPr>
      <w:r w:rsidRPr="00B6666A">
        <w:rPr>
          <w:rFonts w:ascii="SimHei" w:eastAsia="SimHei" w:hint="eastAsia"/>
          <w:color w:val="FF0000"/>
        </w:rPr>
        <w:tab/>
      </w:r>
      <w:r w:rsidRPr="00B32EA6">
        <w:rPr>
          <w:rFonts w:hint="eastAsia"/>
        </w:rPr>
        <w:t>全国战略计划已经完成，两个全球基金提供了赠款，这极大地提高了对艾滋病毒/艾滋病作出全面反应的国家能力。全国战略计划概述了2004-2008年期间的目标、战略和活动。实现千年发展目标的具体目标包括，15-24岁年龄组艾滋病毒新感染率下降25％，艾滋病毒阳性反应孕妇人数减少25％。</w:t>
      </w:r>
    </w:p>
    <w:p w:rsidR="000E0F0C" w:rsidRPr="00B32EA6" w:rsidRDefault="000E0F0C" w:rsidP="00B32EA6">
      <w:pPr>
        <w:pStyle w:val="SingleTxt"/>
        <w:rPr>
          <w:rFonts w:hint="eastAsia"/>
        </w:rPr>
      </w:pPr>
      <w:r w:rsidRPr="00B32EA6">
        <w:rPr>
          <w:rFonts w:hint="eastAsia"/>
        </w:rPr>
        <w:tab/>
        <w:t>最近完成的多年发展计划将这些目标纳入了国家发展战略。</w:t>
      </w:r>
    </w:p>
    <w:p w:rsidR="000E0F0C" w:rsidRPr="00B32EA6" w:rsidRDefault="000E0F0C" w:rsidP="00B32EA6">
      <w:pPr>
        <w:pStyle w:val="SingleTxt"/>
        <w:rPr>
          <w:rFonts w:hint="eastAsia"/>
        </w:rPr>
      </w:pPr>
      <w:r w:rsidRPr="00B32EA6">
        <w:rPr>
          <w:rFonts w:hint="eastAsia"/>
        </w:rPr>
        <w:tab/>
        <w:t>目前正在执行各项措施，以实现这些目标，这些措施包括，扩大防止母婴传播方案，加强以禁欲、忠贞、使用保险套战略为基础的预防方案，这项战略包括推广和提供更多的保险套。</w:t>
      </w:r>
    </w:p>
    <w:p w:rsidR="000E0F0C" w:rsidRPr="00B32EA6" w:rsidRDefault="000E0F0C" w:rsidP="00B32EA6">
      <w:pPr>
        <w:pStyle w:val="SingleTxt"/>
        <w:rPr>
          <w:rFonts w:hint="eastAsia"/>
        </w:rPr>
      </w:pPr>
      <w:r w:rsidRPr="00B6666A">
        <w:rPr>
          <w:rFonts w:ascii="SimHei" w:eastAsia="SimHei" w:hint="eastAsia"/>
          <w:color w:val="FF0000"/>
        </w:rPr>
        <w:tab/>
      </w:r>
      <w:r w:rsidRPr="00B32EA6">
        <w:rPr>
          <w:rFonts w:hint="eastAsia"/>
        </w:rPr>
        <w:t>不久将收集关于艾滋病毒/艾滋病因为采矿活动而在内地少数民族妇女中传播的数据。</w:t>
      </w:r>
    </w:p>
    <w:p w:rsidR="000E0F0C" w:rsidRPr="00910805" w:rsidRDefault="000E0F0C" w:rsidP="00B32EA6">
      <w:pPr>
        <w:pStyle w:val="SingleTxt"/>
        <w:rPr>
          <w:rFonts w:ascii="SimHei" w:eastAsia="SimHei" w:hint="eastAsia"/>
          <w:color w:val="FF0000"/>
        </w:rPr>
      </w:pPr>
      <w:r w:rsidRPr="00910805">
        <w:rPr>
          <w:rFonts w:ascii="SimHei" w:eastAsia="SimHei" w:hint="eastAsia"/>
          <w:color w:val="FF0000"/>
        </w:rPr>
        <w:t>贫穷与农村妇女</w:t>
      </w:r>
    </w:p>
    <w:p w:rsidR="000E0F0C" w:rsidRDefault="000E0F0C" w:rsidP="00B32EA6">
      <w:pPr>
        <w:pStyle w:val="SingleTxt"/>
        <w:rPr>
          <w:rFonts w:hint="eastAsia"/>
        </w:rPr>
      </w:pPr>
      <w:r>
        <w:rPr>
          <w:rFonts w:hint="eastAsia"/>
        </w:rPr>
        <w:t>20.</w:t>
      </w:r>
      <w:r>
        <w:rPr>
          <w:rFonts w:hint="eastAsia"/>
        </w:rPr>
        <w:tab/>
        <w:t>报告说，妇女贫困率最高，身为一家之主的单身妇女尤甚。请提供信息，说明《2001-2005年多年发展计划》对妇女、尤其是农村妇女和少数种族妇女的影响。</w:t>
      </w:r>
    </w:p>
    <w:p w:rsidR="000E0F0C" w:rsidRPr="00B32EA6" w:rsidRDefault="000E0F0C" w:rsidP="00B32EA6">
      <w:pPr>
        <w:pStyle w:val="SingleTxt"/>
        <w:rPr>
          <w:rFonts w:hint="eastAsia"/>
        </w:rPr>
      </w:pPr>
      <w:r w:rsidRPr="00B6666A">
        <w:rPr>
          <w:rFonts w:ascii="SimHei" w:eastAsia="SimHei" w:hint="eastAsia"/>
          <w:color w:val="FF0000"/>
        </w:rPr>
        <w:tab/>
      </w:r>
      <w:r w:rsidRPr="00B32EA6">
        <w:rPr>
          <w:rFonts w:hint="eastAsia"/>
        </w:rPr>
        <w:t>我国的政策是消除贫穷，使所有公民、尤其是妇女更加富足，增强他们的福祉，这些政策的部分活动包括：提高作为所有社区发展促进者的妇女的经济和人身独立地位，在这个基础上，有效地改善其弱势地位，增加她们对社会发展的贡献。（2006-2011年多年发展计划）</w:t>
      </w:r>
    </w:p>
    <w:p w:rsidR="000E0F0C" w:rsidRDefault="000E0F0C" w:rsidP="00B32EA6">
      <w:pPr>
        <w:pStyle w:val="SingleTxt"/>
        <w:rPr>
          <w:rFonts w:hint="eastAsia"/>
        </w:rPr>
      </w:pPr>
      <w:r>
        <w:rPr>
          <w:rFonts w:hint="eastAsia"/>
        </w:rPr>
        <w:t>21.</w:t>
      </w:r>
      <w:r>
        <w:rPr>
          <w:rFonts w:hint="eastAsia"/>
        </w:rPr>
        <w:tab/>
        <w:t>请说明该国可能已在实施的国家发展计划或减贫战略，包括旨在实现《千年发展目标》的计划或战略，如何纳入性别观点，如何促进执行《消除对妇女一切形式歧视公约》。请确保在答复中包括内地及少数种族和族裔减贫数据。</w:t>
      </w:r>
    </w:p>
    <w:p w:rsidR="000E0F0C" w:rsidRPr="00B32EA6" w:rsidRDefault="000E0F0C" w:rsidP="00B32EA6">
      <w:pPr>
        <w:pStyle w:val="SingleTxt"/>
        <w:rPr>
          <w:rFonts w:hint="eastAsia"/>
        </w:rPr>
      </w:pPr>
      <w:r w:rsidRPr="00B6666A">
        <w:rPr>
          <w:rFonts w:ascii="SimHei" w:eastAsia="SimHei" w:hint="eastAsia"/>
          <w:color w:val="FF0000"/>
        </w:rPr>
        <w:tab/>
      </w:r>
      <w:r w:rsidRPr="00B32EA6">
        <w:rPr>
          <w:rFonts w:hint="eastAsia"/>
        </w:rPr>
        <w:t>针对具体性别的消除贫穷行动需要采取多层面做法。政府承诺执行《北京行动纲要》关于妇女经济独立地位的结论，即：减贫的最有效办法是，向妇女提供机会，使她们能够获得设施、资源和就业，进入市场和从事贸易，从而获得自己的收入。在消除贫穷过程中，解决一切形式的对妇女和儿童的暴力行为、向民间社会各组织提供支助和增加获得生殖保健设施服务的机会都是高度优先事项。</w:t>
      </w:r>
    </w:p>
    <w:p w:rsidR="000E0F0C" w:rsidRDefault="000E0F0C" w:rsidP="00B32EA6">
      <w:pPr>
        <w:pStyle w:val="SingleTxt"/>
        <w:rPr>
          <w:rFonts w:hint="eastAsia"/>
        </w:rPr>
      </w:pPr>
      <w:r>
        <w:rPr>
          <w:rFonts w:hint="eastAsia"/>
        </w:rPr>
        <w:t>22.</w:t>
      </w:r>
      <w:r>
        <w:rPr>
          <w:rFonts w:hint="eastAsia"/>
        </w:rPr>
        <w:tab/>
        <w:t>报告提到了农村妇女面临的若干问题（具体见</w:t>
      </w:r>
      <w:hyperlink r:id="rId13" w:history="1">
        <w:r w:rsidRPr="00DB791B">
          <w:rPr>
            <w:rStyle w:val="Hyperlink"/>
            <w:rFonts w:hint="eastAsia"/>
            <w:u w:val="none"/>
          </w:rPr>
          <w:t>CEDAW/C/SU</w:t>
        </w:r>
        <w:r>
          <w:rPr>
            <w:rStyle w:val="Hyperlink"/>
            <w:u w:val="none"/>
          </w:rPr>
          <w:t>R</w:t>
        </w:r>
        <w:r w:rsidRPr="00DB791B">
          <w:rPr>
            <w:rStyle w:val="Hyperlink"/>
            <w:rFonts w:hint="eastAsia"/>
            <w:u w:val="none"/>
          </w:rPr>
          <w:t>/3</w:t>
        </w:r>
      </w:hyperlink>
      <w:r>
        <w:rPr>
          <w:rFonts w:hint="eastAsia"/>
        </w:rPr>
        <w:t>第49、63、65、68、69、71和72页）。委员会在2002年结论意见中敦促该缔约国充分重视农村妇女，包括老年妇女，尤其是美洲印第安人和黑奴后代妇女的需求，确保她们从各个领域的政策和方案中受益，尤其是获得接受保健、教育和社会服务以及参与决策的机会。</w:t>
      </w:r>
      <w:r w:rsidRPr="000E0F0C">
        <w:rPr>
          <w:rStyle w:val="FootnoteReference"/>
        </w:rPr>
        <w:footnoteReference w:id="9"/>
      </w:r>
      <w:r>
        <w:rPr>
          <w:rFonts w:hint="eastAsia"/>
        </w:rPr>
        <w:t xml:space="preserve"> 请提供详细材料，说明根据委员会的建议采取了何种后续行动。</w:t>
      </w:r>
    </w:p>
    <w:p w:rsidR="000E0F0C" w:rsidRPr="00910805" w:rsidRDefault="000E0F0C" w:rsidP="00B32EA6">
      <w:pPr>
        <w:pStyle w:val="SingleTxt"/>
        <w:rPr>
          <w:rFonts w:ascii="SimHei" w:eastAsia="SimHei" w:hint="eastAsia"/>
          <w:color w:val="FF0000"/>
        </w:rPr>
      </w:pPr>
      <w:r w:rsidRPr="00910805">
        <w:rPr>
          <w:rFonts w:ascii="SimHei" w:eastAsia="SimHei" w:hint="eastAsia"/>
          <w:color w:val="FF0000"/>
        </w:rPr>
        <w:t>为弱势妇女制定的社会福利政策</w:t>
      </w:r>
    </w:p>
    <w:p w:rsidR="000E0F0C" w:rsidRPr="00B32EA6" w:rsidRDefault="000E0F0C" w:rsidP="00B32EA6">
      <w:pPr>
        <w:pStyle w:val="SingleTxt"/>
        <w:rPr>
          <w:rFonts w:hint="eastAsia"/>
        </w:rPr>
      </w:pPr>
      <w:r w:rsidRPr="00B6666A">
        <w:rPr>
          <w:rFonts w:ascii="SimHei" w:eastAsia="SimHei" w:hint="eastAsia"/>
          <w:color w:val="FF0000"/>
        </w:rPr>
        <w:tab/>
      </w:r>
      <w:r w:rsidRPr="00B32EA6">
        <w:rPr>
          <w:rFonts w:hint="eastAsia"/>
        </w:rPr>
        <w:t>社会事务和住房部的目标群体是社会中的弱势群体和弱者。他们是：老人、儿童、残疾人和包括有家庭责任单身弱势妇女在内的贫穷家庭。该部的目的是使社会弱者富足，促进他们的福祉，满足他们的物质和非物质需要。社会事务和住房部并未制定具体的消除贫穷方案。该部制定了一个社会供应计划，其中包括男女人士都可以申请的物质和非物质用品。</w:t>
      </w:r>
    </w:p>
    <w:p w:rsidR="000E0F0C" w:rsidRPr="00910805" w:rsidRDefault="000E0F0C" w:rsidP="00B32EA6">
      <w:pPr>
        <w:pStyle w:val="SingleTxt"/>
        <w:rPr>
          <w:rFonts w:ascii="SimHei" w:eastAsia="SimHei" w:hint="eastAsia"/>
          <w:color w:val="FF0000"/>
        </w:rPr>
      </w:pPr>
      <w:r w:rsidRPr="00910805">
        <w:rPr>
          <w:rFonts w:ascii="SimHei" w:eastAsia="SimHei" w:hint="eastAsia"/>
          <w:color w:val="FF0000"/>
        </w:rPr>
        <w:t>社会专款方案</w:t>
      </w:r>
    </w:p>
    <w:p w:rsidR="000E0F0C" w:rsidRPr="00B32EA6" w:rsidRDefault="000E0F0C" w:rsidP="00B32EA6">
      <w:pPr>
        <w:pStyle w:val="SingleTxt"/>
        <w:rPr>
          <w:rFonts w:hint="eastAsia"/>
        </w:rPr>
      </w:pPr>
      <w:r w:rsidRPr="00B6666A">
        <w:rPr>
          <w:rFonts w:ascii="SimHei" w:eastAsia="SimHei" w:hint="eastAsia"/>
          <w:color w:val="FF0000"/>
        </w:rPr>
        <w:tab/>
      </w:r>
      <w:r w:rsidRPr="00B32EA6">
        <w:rPr>
          <w:rFonts w:hint="eastAsia"/>
        </w:rPr>
        <w:t>已经通过社会事务和住房部建立一个专款方案，其主要工作重点是向贫穷家庭提供支助，使他们能够维持合理的生活标准。专款包括：</w:t>
      </w:r>
    </w:p>
    <w:p w:rsidR="000E0F0C" w:rsidRPr="00B32EA6" w:rsidRDefault="00B32EA6" w:rsidP="00B32EA6">
      <w:pPr>
        <w:pStyle w:val="SingleTxt"/>
        <w:rPr>
          <w:rFonts w:hint="eastAsia"/>
        </w:rPr>
      </w:pPr>
      <w:r>
        <w:tab/>
      </w:r>
      <w:r w:rsidR="000E0F0C" w:rsidRPr="00B32EA6">
        <w:rPr>
          <w:rFonts w:hint="eastAsia"/>
        </w:rPr>
        <w:sym w:font="Symbol" w:char="F0B7"/>
      </w:r>
      <w:r w:rsidR="000E0F0C" w:rsidRPr="00B32EA6">
        <w:tab/>
      </w:r>
      <w:r w:rsidR="000E0F0C" w:rsidRPr="00B32EA6">
        <w:rPr>
          <w:rFonts w:hint="eastAsia"/>
        </w:rPr>
        <w:t>保健卡，以确保获得医疗照顾；</w:t>
      </w:r>
    </w:p>
    <w:p w:rsidR="000E0F0C" w:rsidRPr="00B32EA6" w:rsidRDefault="00B32EA6" w:rsidP="00B32EA6">
      <w:pPr>
        <w:pStyle w:val="SingleTxt"/>
        <w:rPr>
          <w:rFonts w:hint="eastAsia"/>
        </w:rPr>
      </w:pPr>
      <w:r>
        <w:tab/>
      </w:r>
      <w:r w:rsidR="000E0F0C" w:rsidRPr="00B32EA6">
        <w:rPr>
          <w:rFonts w:hint="eastAsia"/>
        </w:rPr>
        <w:sym w:font="Symbol" w:char="F0B7"/>
      </w:r>
      <w:r w:rsidR="000E0F0C" w:rsidRPr="00B32EA6">
        <w:tab/>
      </w:r>
      <w:r w:rsidR="000E0F0C" w:rsidRPr="00B32EA6">
        <w:rPr>
          <w:rFonts w:hint="eastAsia"/>
        </w:rPr>
        <w:t>向贫穷家庭和残疾人提供财务支助；</w:t>
      </w:r>
    </w:p>
    <w:p w:rsidR="000E0F0C" w:rsidRPr="00B32EA6" w:rsidRDefault="00B32EA6" w:rsidP="00B32EA6">
      <w:pPr>
        <w:pStyle w:val="SingleTxt"/>
        <w:rPr>
          <w:rFonts w:hint="eastAsia"/>
        </w:rPr>
      </w:pPr>
      <w:r>
        <w:tab/>
      </w:r>
      <w:r w:rsidR="000E0F0C" w:rsidRPr="00B32EA6">
        <w:rPr>
          <w:rFonts w:hint="eastAsia"/>
        </w:rPr>
        <w:sym w:font="Symbol" w:char="F0B7"/>
      </w:r>
      <w:r w:rsidR="000E0F0C" w:rsidRPr="00B32EA6">
        <w:tab/>
      </w:r>
      <w:r w:rsidR="000E0F0C" w:rsidRPr="00B32EA6">
        <w:rPr>
          <w:rFonts w:hint="eastAsia"/>
        </w:rPr>
        <w:t>儿童津贴；</w:t>
      </w:r>
    </w:p>
    <w:p w:rsidR="000E0F0C" w:rsidRPr="00B32EA6" w:rsidRDefault="00B32EA6" w:rsidP="00B32EA6">
      <w:pPr>
        <w:pStyle w:val="SingleTxt"/>
        <w:rPr>
          <w:rFonts w:hint="eastAsia"/>
        </w:rPr>
      </w:pPr>
      <w:r>
        <w:tab/>
      </w:r>
      <w:r w:rsidR="000E0F0C" w:rsidRPr="00B32EA6">
        <w:rPr>
          <w:rFonts w:hint="eastAsia"/>
        </w:rPr>
        <w:sym w:font="Symbol" w:char="F0B7"/>
      </w:r>
      <w:r w:rsidR="000E0F0C" w:rsidRPr="00B32EA6">
        <w:tab/>
      </w:r>
      <w:r w:rsidR="000E0F0C" w:rsidRPr="00B32EA6">
        <w:rPr>
          <w:rFonts w:hint="eastAsia"/>
        </w:rPr>
        <w:t>老年津贴；</w:t>
      </w:r>
    </w:p>
    <w:p w:rsidR="000E0F0C" w:rsidRPr="00B32EA6" w:rsidRDefault="00B32EA6" w:rsidP="00B32EA6">
      <w:pPr>
        <w:pStyle w:val="SingleTxt"/>
        <w:rPr>
          <w:rFonts w:hint="eastAsia"/>
        </w:rPr>
      </w:pPr>
      <w:r>
        <w:tab/>
      </w:r>
      <w:r w:rsidR="000E0F0C" w:rsidRPr="00B32EA6">
        <w:rPr>
          <w:rFonts w:hint="eastAsia"/>
        </w:rPr>
        <w:sym w:font="Symbol" w:char="F0B7"/>
      </w:r>
      <w:r w:rsidR="000E0F0C" w:rsidRPr="00B32EA6">
        <w:tab/>
      </w:r>
      <w:r w:rsidR="000E0F0C" w:rsidRPr="00B32EA6">
        <w:rPr>
          <w:rFonts w:hint="eastAsia"/>
        </w:rPr>
        <w:t>向照顾老人、儿童和残疾人的机构提供补贴；</w:t>
      </w:r>
    </w:p>
    <w:p w:rsidR="000E0F0C" w:rsidRPr="00B32EA6" w:rsidRDefault="00B32EA6" w:rsidP="00B32EA6">
      <w:pPr>
        <w:pStyle w:val="SingleTxt"/>
        <w:rPr>
          <w:rFonts w:hint="eastAsia"/>
        </w:rPr>
      </w:pPr>
      <w:r>
        <w:tab/>
      </w:r>
      <w:r w:rsidR="000E0F0C" w:rsidRPr="00B32EA6">
        <w:rPr>
          <w:rFonts w:hint="eastAsia"/>
        </w:rPr>
        <w:sym w:font="Symbol" w:char="F0B7"/>
      </w:r>
      <w:r w:rsidR="000E0F0C" w:rsidRPr="00B32EA6">
        <w:tab/>
      </w:r>
      <w:r w:rsidR="000E0F0C" w:rsidRPr="00B32EA6">
        <w:rPr>
          <w:rFonts w:hint="eastAsia"/>
        </w:rPr>
        <w:t>家庭咨询和社区工作；</w:t>
      </w:r>
    </w:p>
    <w:p w:rsidR="000E0F0C" w:rsidRPr="00910805" w:rsidRDefault="000E0F0C" w:rsidP="00B32EA6">
      <w:pPr>
        <w:pStyle w:val="SingleTxt"/>
        <w:rPr>
          <w:rFonts w:ascii="SimHei" w:eastAsia="SimHei" w:hint="eastAsia"/>
          <w:color w:val="FF0000"/>
        </w:rPr>
      </w:pPr>
      <w:r w:rsidRPr="00910805">
        <w:rPr>
          <w:rFonts w:ascii="SimHei" w:eastAsia="SimHei" w:hint="eastAsia"/>
          <w:color w:val="FF0000"/>
        </w:rPr>
        <w:t>婚姻立法</w:t>
      </w:r>
    </w:p>
    <w:p w:rsidR="000E0F0C" w:rsidRDefault="000E0F0C" w:rsidP="00B32EA6">
      <w:pPr>
        <w:pStyle w:val="SingleTxt"/>
        <w:rPr>
          <w:rFonts w:hint="eastAsia"/>
        </w:rPr>
      </w:pPr>
      <w:r>
        <w:rPr>
          <w:rFonts w:hint="eastAsia"/>
        </w:rPr>
        <w:t>23.</w:t>
      </w:r>
      <w:r>
        <w:rPr>
          <w:rFonts w:hint="eastAsia"/>
        </w:rPr>
        <w:tab/>
        <w:t>委员会在2002年结论意见中对某些社区的结婚年龄非常低表示关切，敦促该缔约国根据《公约》第十五和第十六条审查婚姻法。</w:t>
      </w:r>
      <w:r w:rsidRPr="000E0F0C">
        <w:rPr>
          <w:rStyle w:val="FootnoteReference"/>
        </w:rPr>
        <w:footnoteReference w:id="10"/>
      </w:r>
      <w:r>
        <w:rPr>
          <w:rFonts w:hint="eastAsia"/>
        </w:rPr>
        <w:t xml:space="preserve"> 人权事务委员会在2004年的结论意见中也说，该缔约国应当采取步骤，修改现行婚姻立法，使之与公约一致。</w:t>
      </w:r>
      <w:r w:rsidRPr="000E0F0C">
        <w:rPr>
          <w:rStyle w:val="FootnoteReference"/>
        </w:rPr>
        <w:footnoteReference w:id="11"/>
      </w:r>
      <w:r>
        <w:rPr>
          <w:rFonts w:hint="eastAsia"/>
        </w:rPr>
        <w:t xml:space="preserve"> 请说明根据这些建议采取了何种后续行动。</w:t>
      </w:r>
    </w:p>
    <w:p w:rsidR="000E0F0C" w:rsidRPr="00B6666A" w:rsidRDefault="000E0F0C" w:rsidP="00B32EA6">
      <w:pPr>
        <w:pStyle w:val="SingleTxt"/>
        <w:rPr>
          <w:rFonts w:ascii="SimHei" w:eastAsia="SimHei" w:hint="eastAsia"/>
          <w:color w:val="FF0000"/>
        </w:rPr>
      </w:pPr>
      <w:r w:rsidRPr="00B6666A">
        <w:rPr>
          <w:rFonts w:ascii="SimHei" w:eastAsia="SimHei" w:hint="eastAsia"/>
          <w:color w:val="FF0000"/>
        </w:rPr>
        <w:tab/>
      </w:r>
      <w:r w:rsidRPr="00B32EA6">
        <w:rPr>
          <w:rFonts w:hint="eastAsia"/>
        </w:rPr>
        <w:t>2003年6月17日第4190/03号决议规定，婚姻必须符合《民法》第82条的规定。最低婚龄是，男子18岁，女子15岁。</w:t>
      </w:r>
    </w:p>
    <w:p w:rsidR="000E0F0C" w:rsidRDefault="000E0F0C" w:rsidP="00B32EA6">
      <w:pPr>
        <w:pStyle w:val="SingleTxt"/>
        <w:rPr>
          <w:rFonts w:hint="eastAsia"/>
        </w:rPr>
      </w:pPr>
      <w:r>
        <w:rPr>
          <w:rFonts w:hint="eastAsia"/>
        </w:rPr>
        <w:t>24.</w:t>
      </w:r>
      <w:r>
        <w:rPr>
          <w:rFonts w:hint="eastAsia"/>
        </w:rPr>
        <w:tab/>
        <w:t>请说明在批准加入《公约任择议定书》或接受《公约》第二十条第1款修正案方面取得的任何进展。</w:t>
      </w:r>
    </w:p>
    <w:p w:rsidR="000E0F0C" w:rsidRPr="0093244C" w:rsidRDefault="000E0F0C" w:rsidP="00B32EA6">
      <w:pPr>
        <w:pStyle w:val="SingleTxt"/>
        <w:rPr>
          <w:rFonts w:ascii="SimHei" w:eastAsia="SimHei" w:hint="eastAsia"/>
          <w:color w:val="FF0000"/>
        </w:rPr>
      </w:pPr>
      <w:r w:rsidRPr="0093244C">
        <w:rPr>
          <w:rFonts w:ascii="SimHei" w:eastAsia="SimHei" w:hint="eastAsia"/>
          <w:color w:val="FF0000"/>
        </w:rPr>
        <w:t>在批准加入《任择议定书》方面取得的进展</w:t>
      </w:r>
    </w:p>
    <w:p w:rsidR="000E0F0C" w:rsidRPr="00B32EA6" w:rsidRDefault="000E0F0C" w:rsidP="00B32EA6">
      <w:pPr>
        <w:pStyle w:val="SingleTxt"/>
        <w:rPr>
          <w:rFonts w:hint="eastAsia"/>
        </w:rPr>
      </w:pPr>
      <w:r w:rsidRPr="00B6666A">
        <w:rPr>
          <w:rFonts w:ascii="SimHei" w:eastAsia="SimHei" w:hint="eastAsia"/>
          <w:color w:val="FF0000"/>
        </w:rPr>
        <w:tab/>
      </w:r>
      <w:r w:rsidRPr="00B32EA6">
        <w:rPr>
          <w:rFonts w:hint="eastAsia"/>
        </w:rPr>
        <w:t>在联合国妇女发展基金（妇发基金）资助下，非政府组织妇女权利中心正在执行一个宣传《消除对妇女一切形式歧视公约》和《消除对妇女一切形式歧视公约任择议定书》的项目，以提高对《公约》和《任择议定书》、特别是对国家在两性平等和不歧视方面责任的重要性的认识，并加深理解。</w:t>
      </w:r>
    </w:p>
    <w:p w:rsidR="000E0F0C" w:rsidRPr="00B6666A" w:rsidRDefault="000E0F0C" w:rsidP="00B32EA6">
      <w:pPr>
        <w:pStyle w:val="SingleTxt"/>
        <w:rPr>
          <w:rFonts w:ascii="SimHei" w:eastAsia="SimHei" w:hint="eastAsia"/>
          <w:color w:val="FF0000"/>
        </w:rPr>
      </w:pPr>
      <w:r w:rsidRPr="00B6666A">
        <w:rPr>
          <w:rFonts w:ascii="SimHei" w:eastAsia="SimHei" w:hint="eastAsia"/>
          <w:color w:val="FF0000"/>
        </w:rPr>
        <w:tab/>
      </w:r>
      <w:r w:rsidRPr="00B32EA6">
        <w:rPr>
          <w:rFonts w:hint="eastAsia"/>
        </w:rPr>
        <w:t>2006年3月，妇女权利中心组织了一次大众宣传活动和关于《消除对妇女一切形式歧视公约》和《任择议定书》的培训。有关政府机构、非政府组织、司法部门、大学和媒体精英参加了为期五天的交互培训，培训的目的是使参与者成为一般妇女权利、特别是《任择议定书》的倡导者。现在，参与者正在执行其行动计划，该计划指出了政策层面的各重要优先事项。在这方面，Apintie广播电台每周广播一个“Genderoptiek”节目，在不久的将来，各日报将发表文章，并举行公开辩论。妇女权利中心准备与妇发基金巡回宣传行动合作，进行强力游说，促使苏里南政府签署和批准《任择议定书》，完成该项目。</w:t>
      </w:r>
    </w:p>
    <w:p w:rsidR="000E0F0C" w:rsidRPr="0093244C" w:rsidRDefault="000E0F0C" w:rsidP="00B32EA6">
      <w:pPr>
        <w:pStyle w:val="SingleTxt"/>
        <w:spacing w:after="0" w:line="240" w:lineRule="auto"/>
        <w:rPr>
          <w:sz w:val="20"/>
        </w:rPr>
      </w:pPr>
      <w:r>
        <w:rPr>
          <w:noProof/>
          <w:sz w:val="20"/>
        </w:rPr>
        <w:pict>
          <v:line id="_x0000_s1026" style="position:absolute;left:0;text-align:left;z-index:1;mso-position-horizontal:center" from="0,30pt" to="1in,30pt" strokeweight=".25pt"/>
        </w:pict>
      </w:r>
    </w:p>
    <w:p w:rsidR="000E0F0C" w:rsidRPr="00556528" w:rsidRDefault="000E0F0C" w:rsidP="00556528">
      <w:pPr>
        <w:pStyle w:val="SingleTxt"/>
      </w:pPr>
    </w:p>
    <w:sectPr w:rsidR="000E0F0C" w:rsidRPr="00556528" w:rsidSect="000E0F0C">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1-14T16:22:00Z" w:initials="Start">
    <w:p w:rsidR="00C1195A" w:rsidRDefault="00C1195A">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NO&gt;&gt;N0653626C&lt;&lt;ODS JOB NO&gt;&gt;</w:t>
      </w:r>
    </w:p>
    <w:p w:rsidR="00C1195A" w:rsidRDefault="00C1195A">
      <w:pPr>
        <w:pStyle w:val="CommentText"/>
      </w:pPr>
      <w:r>
        <w:t>&lt;&lt;ODS DOC SYMBOL1&gt;&gt;CEDAW/C/SUR/Q/3/Add.1&lt;&lt;ODS DOC SYMBOL1&gt;&gt;</w:t>
      </w:r>
    </w:p>
    <w:p w:rsidR="00C1195A" w:rsidRDefault="00C1195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82" w:rsidRDefault="009D7782">
      <w:r>
        <w:separator/>
      </w:r>
    </w:p>
  </w:endnote>
  <w:endnote w:type="continuationSeparator" w:id="0">
    <w:p w:rsidR="009D7782" w:rsidRDefault="009D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C1195A" w:rsidTr="00556528">
      <w:tblPrEx>
        <w:tblCellMar>
          <w:top w:w="0" w:type="dxa"/>
          <w:bottom w:w="0" w:type="dxa"/>
        </w:tblCellMar>
      </w:tblPrEx>
      <w:tc>
        <w:tcPr>
          <w:tcW w:w="5033" w:type="dxa"/>
          <w:shd w:val="clear" w:color="auto" w:fill="auto"/>
          <w:vAlign w:val="bottom"/>
        </w:tcPr>
        <w:p w:rsidR="00C1195A" w:rsidRPr="00556528" w:rsidRDefault="00C1195A" w:rsidP="00556528">
          <w:pPr>
            <w:pStyle w:val="Footer"/>
            <w:jc w:val="left"/>
          </w:pPr>
          <w:r>
            <w:fldChar w:fldCharType="begin"/>
          </w:r>
          <w:r>
            <w:instrText xml:space="preserve"> PAGE  \* MERGEFORMAT </w:instrText>
          </w:r>
          <w:r>
            <w:fldChar w:fldCharType="separate"/>
          </w:r>
          <w:r w:rsidR="002B30AD">
            <w:t>16</w:t>
          </w:r>
          <w:r>
            <w:fldChar w:fldCharType="end"/>
          </w:r>
        </w:p>
      </w:tc>
      <w:tc>
        <w:tcPr>
          <w:tcW w:w="5033" w:type="dxa"/>
          <w:shd w:val="clear" w:color="auto" w:fill="auto"/>
          <w:vAlign w:val="bottom"/>
        </w:tcPr>
        <w:p w:rsidR="00C1195A" w:rsidRPr="00556528" w:rsidRDefault="00C1195A" w:rsidP="00556528">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06-53626</w:t>
          </w:r>
          <w:r>
            <w:rPr>
              <w:b w:val="0"/>
              <w:sz w:val="14"/>
            </w:rPr>
            <w:fldChar w:fldCharType="end"/>
          </w:r>
        </w:p>
      </w:tc>
    </w:tr>
  </w:tbl>
  <w:p w:rsidR="00C1195A" w:rsidRPr="00556528" w:rsidRDefault="00C1195A" w:rsidP="00556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C1195A" w:rsidTr="00556528">
      <w:tblPrEx>
        <w:tblCellMar>
          <w:top w:w="0" w:type="dxa"/>
          <w:bottom w:w="0" w:type="dxa"/>
        </w:tblCellMar>
      </w:tblPrEx>
      <w:tc>
        <w:tcPr>
          <w:tcW w:w="5033" w:type="dxa"/>
          <w:shd w:val="clear" w:color="auto" w:fill="auto"/>
          <w:vAlign w:val="bottom"/>
        </w:tcPr>
        <w:p w:rsidR="00C1195A" w:rsidRPr="00556528" w:rsidRDefault="00C1195A" w:rsidP="00556528">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06-53626</w:t>
          </w:r>
          <w:r>
            <w:rPr>
              <w:b w:val="0"/>
              <w:sz w:val="14"/>
            </w:rPr>
            <w:fldChar w:fldCharType="end"/>
          </w:r>
        </w:p>
      </w:tc>
      <w:tc>
        <w:tcPr>
          <w:tcW w:w="5033" w:type="dxa"/>
          <w:shd w:val="clear" w:color="auto" w:fill="auto"/>
          <w:vAlign w:val="bottom"/>
        </w:tcPr>
        <w:p w:rsidR="00C1195A" w:rsidRPr="00556528" w:rsidRDefault="00C1195A" w:rsidP="00556528">
          <w:pPr>
            <w:pStyle w:val="Footer"/>
            <w:jc w:val="right"/>
          </w:pPr>
          <w:r>
            <w:fldChar w:fldCharType="begin"/>
          </w:r>
          <w:r>
            <w:instrText xml:space="preserve"> PAGE  \* MERGEFORMAT </w:instrText>
          </w:r>
          <w:r>
            <w:fldChar w:fldCharType="separate"/>
          </w:r>
          <w:r w:rsidR="002B30AD">
            <w:t>17</w:t>
          </w:r>
          <w:r>
            <w:fldChar w:fldCharType="end"/>
          </w:r>
        </w:p>
      </w:tc>
    </w:tr>
  </w:tbl>
  <w:p w:rsidR="00C1195A" w:rsidRPr="00556528" w:rsidRDefault="00C1195A" w:rsidP="00556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5A" w:rsidRDefault="00C1195A" w:rsidP="00556528">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06-53626 (C)</w:t>
    </w:r>
    <w:r>
      <w:rPr>
        <w:b w:val="0"/>
        <w:sz w:val="21"/>
      </w:rPr>
      <w:fldChar w:fldCharType="end"/>
    </w:r>
    <w:r>
      <w:rPr>
        <w:b w:val="0"/>
        <w:sz w:val="21"/>
      </w:rPr>
      <w:t xml:space="preserve">    1</w:t>
    </w:r>
    <w:r>
      <w:rPr>
        <w:rFonts w:hint="eastAsia"/>
        <w:b w:val="0"/>
        <w:sz w:val="21"/>
      </w:rPr>
      <w:t>3</w:t>
    </w:r>
    <w:r>
      <w:rPr>
        <w:b w:val="0"/>
        <w:sz w:val="21"/>
      </w:rPr>
      <w:t>1106    141106</w:t>
    </w:r>
  </w:p>
  <w:p w:rsidR="00C1195A" w:rsidRPr="00556528" w:rsidRDefault="00C1195A" w:rsidP="00556528">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*0653626*</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82" w:rsidRPr="000E0F0C" w:rsidRDefault="009D7782" w:rsidP="000E0F0C">
      <w:pPr>
        <w:pStyle w:val="Footer"/>
        <w:spacing w:after="80"/>
        <w:ind w:left="792"/>
        <w:rPr>
          <w:sz w:val="16"/>
        </w:rPr>
      </w:pPr>
      <w:r w:rsidRPr="000E0F0C">
        <w:rPr>
          <w:sz w:val="16"/>
        </w:rPr>
        <w:t>__________________</w:t>
      </w:r>
    </w:p>
  </w:footnote>
  <w:footnote w:type="continuationSeparator" w:id="0">
    <w:p w:rsidR="009D7782" w:rsidRPr="000E0F0C" w:rsidRDefault="009D7782" w:rsidP="000E0F0C">
      <w:pPr>
        <w:pStyle w:val="Footer"/>
        <w:spacing w:after="80"/>
        <w:ind w:left="792"/>
        <w:rPr>
          <w:sz w:val="16"/>
        </w:rPr>
      </w:pPr>
      <w:r w:rsidRPr="000E0F0C">
        <w:rPr>
          <w:sz w:val="16"/>
        </w:rPr>
        <w:t>__________________</w:t>
      </w:r>
    </w:p>
  </w:footnote>
  <w:footnote w:id="1">
    <w:p w:rsidR="00C1195A" w:rsidRPr="00404EF7" w:rsidRDefault="00C1195A" w:rsidP="000E0F0C">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404EF7">
        <w:rPr>
          <w:rFonts w:hint="eastAsia"/>
        </w:rPr>
        <w:t>《大会正式记录，第五十七届会议，补编第38号》（A/57/38</w:t>
      </w:r>
      <w:r>
        <w:rPr>
          <w:rFonts w:hint="eastAsia"/>
        </w:rPr>
        <w:t>0</w:t>
      </w:r>
      <w:r w:rsidRPr="00404EF7">
        <w:rPr>
          <w:rFonts w:hint="eastAsia"/>
        </w:rPr>
        <w:t>），第40段。</w:t>
      </w:r>
    </w:p>
  </w:footnote>
  <w:footnote w:id="2">
    <w:p w:rsidR="00C1195A" w:rsidRDefault="00C1195A" w:rsidP="000E0F0C">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同上，第46段。</w:t>
      </w:r>
    </w:p>
  </w:footnote>
  <w:footnote w:id="3">
    <w:p w:rsidR="00C1195A" w:rsidRDefault="00C1195A" w:rsidP="000E0F0C">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Pr>
          <w:rFonts w:hint="eastAsia"/>
        </w:rPr>
        <w:t>同上，第52段。</w:t>
      </w:r>
    </w:p>
  </w:footnote>
  <w:footnote w:id="4">
    <w:p w:rsidR="00C1195A" w:rsidRDefault="00C1195A" w:rsidP="000E0F0C">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同上，第50段。</w:t>
      </w:r>
    </w:p>
  </w:footnote>
  <w:footnote w:id="5">
    <w:p w:rsidR="00C1195A" w:rsidRDefault="00C1195A" w:rsidP="000E0F0C">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同上。</w:t>
      </w:r>
    </w:p>
  </w:footnote>
  <w:footnote w:id="6">
    <w:p w:rsidR="00C1195A" w:rsidRDefault="00C1195A" w:rsidP="000E0F0C">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同上，第64段。</w:t>
      </w:r>
    </w:p>
  </w:footnote>
  <w:footnote w:id="7">
    <w:p w:rsidR="00C1195A" w:rsidRDefault="00C1195A" w:rsidP="000E0F0C">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同上，第48段。</w:t>
      </w:r>
    </w:p>
  </w:footnote>
  <w:footnote w:id="8">
    <w:p w:rsidR="00C1195A" w:rsidRDefault="00C1195A" w:rsidP="000E0F0C">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同上，第62段。</w:t>
      </w:r>
    </w:p>
  </w:footnote>
  <w:footnote w:id="9">
    <w:p w:rsidR="00C1195A" w:rsidRDefault="00C1195A" w:rsidP="000E0F0C">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同上，第66段。</w:t>
      </w:r>
    </w:p>
  </w:footnote>
  <w:footnote w:id="10">
    <w:p w:rsidR="00C1195A" w:rsidRDefault="00C1195A" w:rsidP="000E0F0C">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同上，第67和68段。</w:t>
      </w:r>
    </w:p>
  </w:footnote>
  <w:footnote w:id="11">
    <w:p w:rsidR="00C1195A" w:rsidRDefault="00C1195A" w:rsidP="000E0F0C">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CCPR/CO/80/SUR。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1195A" w:rsidTr="00556528">
      <w:tblPrEx>
        <w:tblCellMar>
          <w:top w:w="0" w:type="dxa"/>
          <w:bottom w:w="0" w:type="dxa"/>
        </w:tblCellMar>
      </w:tblPrEx>
      <w:trPr>
        <w:trHeight w:hRule="exact" w:val="864"/>
      </w:trPr>
      <w:tc>
        <w:tcPr>
          <w:tcW w:w="4838" w:type="dxa"/>
          <w:shd w:val="clear" w:color="auto" w:fill="auto"/>
          <w:vAlign w:val="bottom"/>
        </w:tcPr>
        <w:p w:rsidR="00C1195A" w:rsidRPr="00556528" w:rsidRDefault="00C1195A" w:rsidP="00556528">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CEDAW/C/SUR/Q/3/Add.1</w:t>
          </w:r>
          <w:r>
            <w:rPr>
              <w:b/>
              <w:sz w:val="17"/>
            </w:rPr>
            <w:fldChar w:fldCharType="end"/>
          </w:r>
        </w:p>
      </w:tc>
      <w:tc>
        <w:tcPr>
          <w:tcW w:w="5033" w:type="dxa"/>
          <w:shd w:val="clear" w:color="auto" w:fill="auto"/>
          <w:vAlign w:val="bottom"/>
        </w:tcPr>
        <w:p w:rsidR="00C1195A" w:rsidRDefault="00C1195A" w:rsidP="00556528">
          <w:pPr>
            <w:pStyle w:val="Header"/>
          </w:pPr>
        </w:p>
      </w:tc>
    </w:tr>
  </w:tbl>
  <w:p w:rsidR="00C1195A" w:rsidRPr="00556528" w:rsidRDefault="00C1195A" w:rsidP="00556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1195A" w:rsidTr="00556528">
      <w:tblPrEx>
        <w:tblCellMar>
          <w:top w:w="0" w:type="dxa"/>
          <w:bottom w:w="0" w:type="dxa"/>
        </w:tblCellMar>
      </w:tblPrEx>
      <w:trPr>
        <w:trHeight w:hRule="exact" w:val="864"/>
      </w:trPr>
      <w:tc>
        <w:tcPr>
          <w:tcW w:w="4838" w:type="dxa"/>
          <w:shd w:val="clear" w:color="auto" w:fill="auto"/>
          <w:vAlign w:val="bottom"/>
        </w:tcPr>
        <w:p w:rsidR="00C1195A" w:rsidRDefault="00C1195A" w:rsidP="00556528">
          <w:pPr>
            <w:pStyle w:val="Header"/>
          </w:pPr>
        </w:p>
      </w:tc>
      <w:tc>
        <w:tcPr>
          <w:tcW w:w="5033" w:type="dxa"/>
          <w:shd w:val="clear" w:color="auto" w:fill="auto"/>
          <w:vAlign w:val="bottom"/>
        </w:tcPr>
        <w:p w:rsidR="00C1195A" w:rsidRPr="00556528" w:rsidRDefault="00C1195A" w:rsidP="00556528">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CEDAW/C/SUR/Q/3/Add.1</w:t>
          </w:r>
          <w:r>
            <w:rPr>
              <w:b/>
              <w:sz w:val="17"/>
            </w:rPr>
            <w:fldChar w:fldCharType="end"/>
          </w:r>
        </w:p>
      </w:tc>
    </w:tr>
  </w:tbl>
  <w:p w:rsidR="00C1195A" w:rsidRPr="00556528" w:rsidRDefault="00C1195A" w:rsidP="00556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C1195A" w:rsidTr="0055652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1195A" w:rsidRDefault="00C1195A" w:rsidP="00556528">
          <w:pPr>
            <w:pStyle w:val="Header"/>
            <w:spacing w:after="120"/>
          </w:pPr>
        </w:p>
      </w:tc>
      <w:tc>
        <w:tcPr>
          <w:tcW w:w="1872" w:type="dxa"/>
          <w:tcBorders>
            <w:bottom w:val="single" w:sz="4" w:space="0" w:color="auto"/>
          </w:tcBorders>
          <w:shd w:val="clear" w:color="auto" w:fill="auto"/>
          <w:vAlign w:val="bottom"/>
        </w:tcPr>
        <w:p w:rsidR="00C1195A" w:rsidRPr="00556528" w:rsidRDefault="00C1195A" w:rsidP="00556528">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C1195A" w:rsidRDefault="00C1195A" w:rsidP="00556528">
          <w:pPr>
            <w:pStyle w:val="Header"/>
            <w:spacing w:after="120"/>
          </w:pPr>
        </w:p>
      </w:tc>
      <w:tc>
        <w:tcPr>
          <w:tcW w:w="6523" w:type="dxa"/>
          <w:gridSpan w:val="3"/>
          <w:tcBorders>
            <w:bottom w:val="single" w:sz="4" w:space="0" w:color="auto"/>
          </w:tcBorders>
          <w:shd w:val="clear" w:color="auto" w:fill="auto"/>
          <w:vAlign w:val="bottom"/>
        </w:tcPr>
        <w:p w:rsidR="00C1195A" w:rsidRPr="00556528" w:rsidRDefault="00C1195A" w:rsidP="00556528">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/C/SUR/Q/3/Add.1</w:t>
          </w:r>
        </w:p>
      </w:tc>
    </w:tr>
    <w:tr w:rsidR="00C1195A" w:rsidRPr="00556528" w:rsidTr="0055652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1195A" w:rsidRDefault="00C1195A" w:rsidP="00556528">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C1195A" w:rsidRPr="00556528" w:rsidRDefault="00C1195A" w:rsidP="00556528">
          <w:pPr>
            <w:pStyle w:val="Header"/>
            <w:spacing w:before="109"/>
            <w:ind w:left="-72"/>
          </w:pPr>
        </w:p>
      </w:tc>
      <w:tc>
        <w:tcPr>
          <w:tcW w:w="5227" w:type="dxa"/>
          <w:gridSpan w:val="3"/>
          <w:tcBorders>
            <w:top w:val="single" w:sz="4" w:space="0" w:color="auto"/>
            <w:bottom w:val="single" w:sz="12" w:space="0" w:color="auto"/>
          </w:tcBorders>
          <w:shd w:val="clear" w:color="auto" w:fill="auto"/>
        </w:tcPr>
        <w:p w:rsidR="00C1195A" w:rsidRPr="00556528" w:rsidRDefault="00C1195A" w:rsidP="00556528">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C1195A" w:rsidRPr="00556528" w:rsidRDefault="00C1195A" w:rsidP="00556528">
          <w:pPr>
            <w:pStyle w:val="Header"/>
            <w:spacing w:before="109"/>
          </w:pPr>
        </w:p>
      </w:tc>
      <w:tc>
        <w:tcPr>
          <w:tcW w:w="3180" w:type="dxa"/>
          <w:gridSpan w:val="2"/>
          <w:tcBorders>
            <w:top w:val="single" w:sz="4" w:space="0" w:color="auto"/>
            <w:bottom w:val="single" w:sz="12" w:space="0" w:color="auto"/>
          </w:tcBorders>
          <w:shd w:val="clear" w:color="auto" w:fill="auto"/>
        </w:tcPr>
        <w:p w:rsidR="00C1195A" w:rsidRDefault="00C1195A" w:rsidP="00556528">
          <w:pPr>
            <w:spacing w:before="240" w:line="240" w:lineRule="exact"/>
            <w:rPr>
              <w:rFonts w:ascii="Times New Roman"/>
            </w:rPr>
          </w:pPr>
          <w:r>
            <w:rPr>
              <w:rFonts w:ascii="Times New Roman"/>
            </w:rPr>
            <w:t>Distr.: General</w:t>
          </w:r>
        </w:p>
        <w:p w:rsidR="00C1195A" w:rsidRDefault="00C1195A" w:rsidP="00556528">
          <w:pPr>
            <w:spacing w:line="240" w:lineRule="exact"/>
            <w:rPr>
              <w:rFonts w:ascii="Times New Roman"/>
            </w:rPr>
          </w:pPr>
          <w:r>
            <w:rPr>
              <w:rFonts w:ascii="Times New Roman"/>
            </w:rPr>
            <w:t>10 October 2006</w:t>
          </w:r>
        </w:p>
        <w:p w:rsidR="00C1195A" w:rsidRDefault="00C1195A" w:rsidP="00556528">
          <w:pPr>
            <w:spacing w:line="240" w:lineRule="exact"/>
            <w:rPr>
              <w:rFonts w:ascii="Times New Roman"/>
            </w:rPr>
          </w:pPr>
          <w:r>
            <w:rPr>
              <w:rFonts w:ascii="Times New Roman"/>
            </w:rPr>
            <w:t>Chinese</w:t>
          </w:r>
        </w:p>
        <w:p w:rsidR="00C1195A" w:rsidRPr="00556528" w:rsidRDefault="00C1195A" w:rsidP="00556528">
          <w:pPr>
            <w:spacing w:line="240" w:lineRule="exact"/>
            <w:rPr>
              <w:rFonts w:ascii="Times New Roman"/>
            </w:rPr>
          </w:pPr>
          <w:r>
            <w:rPr>
              <w:rFonts w:ascii="Times New Roman"/>
            </w:rPr>
            <w:t>Original: English</w:t>
          </w:r>
        </w:p>
      </w:tc>
    </w:tr>
  </w:tbl>
  <w:p w:rsidR="00C1195A" w:rsidRPr="00556528" w:rsidRDefault="00C1195A" w:rsidP="0055652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53626*"/>
    <w:docVar w:name="CreationDt" w:val="14/11/2006 14:50:10"/>
    <w:docVar w:name="DocCategory" w:val="Doc"/>
    <w:docVar w:name="DocType" w:val="Final"/>
    <w:docVar w:name="FooterJN" w:val="06-53626"/>
    <w:docVar w:name="jobn" w:val="06-53626 (C)"/>
    <w:docVar w:name="jobnDT" w:val="06-53626 (C)   141106"/>
    <w:docVar w:name="jobnDTDT" w:val="06-53626 (C)   141106   141106"/>
    <w:docVar w:name="JobNo" w:val="0653626C"/>
    <w:docVar w:name="OandT" w:val="fu"/>
    <w:docVar w:name="sss1" w:val="CEDAW/C/SUR/Q/3/Add.1"/>
    <w:docVar w:name="sss2" w:val="-"/>
    <w:docVar w:name="Symbol1" w:val="CEDAW/C/SUR/Q/3/Add.1"/>
    <w:docVar w:name="Symbol2" w:val="-"/>
  </w:docVars>
  <w:rsids>
    <w:rsidRoot w:val="003063F1"/>
    <w:rsid w:val="000125BC"/>
    <w:rsid w:val="00021A2B"/>
    <w:rsid w:val="00037B39"/>
    <w:rsid w:val="00044CA4"/>
    <w:rsid w:val="00045EFE"/>
    <w:rsid w:val="0007337D"/>
    <w:rsid w:val="000758DF"/>
    <w:rsid w:val="00076EB8"/>
    <w:rsid w:val="00095C67"/>
    <w:rsid w:val="000A31F9"/>
    <w:rsid w:val="000C1786"/>
    <w:rsid w:val="000E0F0C"/>
    <w:rsid w:val="000E240F"/>
    <w:rsid w:val="000F1058"/>
    <w:rsid w:val="001113F8"/>
    <w:rsid w:val="001212F9"/>
    <w:rsid w:val="00121328"/>
    <w:rsid w:val="0012708E"/>
    <w:rsid w:val="00141322"/>
    <w:rsid w:val="0015066B"/>
    <w:rsid w:val="00150D3A"/>
    <w:rsid w:val="00153D29"/>
    <w:rsid w:val="00161E69"/>
    <w:rsid w:val="00161F54"/>
    <w:rsid w:val="00170FBE"/>
    <w:rsid w:val="0017506F"/>
    <w:rsid w:val="001A73AA"/>
    <w:rsid w:val="001B2814"/>
    <w:rsid w:val="001B4F95"/>
    <w:rsid w:val="001C3F7F"/>
    <w:rsid w:val="001E20EC"/>
    <w:rsid w:val="001E5A51"/>
    <w:rsid w:val="00247382"/>
    <w:rsid w:val="00252E35"/>
    <w:rsid w:val="00257053"/>
    <w:rsid w:val="00266257"/>
    <w:rsid w:val="00271BE6"/>
    <w:rsid w:val="0027454D"/>
    <w:rsid w:val="00280671"/>
    <w:rsid w:val="002814F9"/>
    <w:rsid w:val="00282D17"/>
    <w:rsid w:val="002A398D"/>
    <w:rsid w:val="002A4AEF"/>
    <w:rsid w:val="002B305F"/>
    <w:rsid w:val="002B30AD"/>
    <w:rsid w:val="002B564F"/>
    <w:rsid w:val="002C2254"/>
    <w:rsid w:val="002C3BC9"/>
    <w:rsid w:val="002C54DB"/>
    <w:rsid w:val="002D0694"/>
    <w:rsid w:val="002D5503"/>
    <w:rsid w:val="002E66D5"/>
    <w:rsid w:val="002F41E2"/>
    <w:rsid w:val="003063F1"/>
    <w:rsid w:val="00320C99"/>
    <w:rsid w:val="003274A9"/>
    <w:rsid w:val="00331221"/>
    <w:rsid w:val="003649EE"/>
    <w:rsid w:val="00371BC6"/>
    <w:rsid w:val="00373A15"/>
    <w:rsid w:val="00394A02"/>
    <w:rsid w:val="003C7B20"/>
    <w:rsid w:val="003E4565"/>
    <w:rsid w:val="003E748F"/>
    <w:rsid w:val="003E7612"/>
    <w:rsid w:val="00414423"/>
    <w:rsid w:val="004424EF"/>
    <w:rsid w:val="00453BB0"/>
    <w:rsid w:val="00460162"/>
    <w:rsid w:val="004620A8"/>
    <w:rsid w:val="004A06D1"/>
    <w:rsid w:val="004A11FC"/>
    <w:rsid w:val="004C3255"/>
    <w:rsid w:val="004D1C19"/>
    <w:rsid w:val="004F29B8"/>
    <w:rsid w:val="0050413E"/>
    <w:rsid w:val="00515657"/>
    <w:rsid w:val="00521275"/>
    <w:rsid w:val="0052216F"/>
    <w:rsid w:val="005232CA"/>
    <w:rsid w:val="00523636"/>
    <w:rsid w:val="005335B9"/>
    <w:rsid w:val="00536CCE"/>
    <w:rsid w:val="005541E4"/>
    <w:rsid w:val="00556528"/>
    <w:rsid w:val="0058302A"/>
    <w:rsid w:val="005B7338"/>
    <w:rsid w:val="005C02AB"/>
    <w:rsid w:val="005D0F04"/>
    <w:rsid w:val="005D12A1"/>
    <w:rsid w:val="005F3273"/>
    <w:rsid w:val="005F34A3"/>
    <w:rsid w:val="00610CF2"/>
    <w:rsid w:val="006479F1"/>
    <w:rsid w:val="00650BEE"/>
    <w:rsid w:val="006520FA"/>
    <w:rsid w:val="0065377D"/>
    <w:rsid w:val="006740A7"/>
    <w:rsid w:val="00691524"/>
    <w:rsid w:val="006A654B"/>
    <w:rsid w:val="006E2924"/>
    <w:rsid w:val="006E7A26"/>
    <w:rsid w:val="006F2B3D"/>
    <w:rsid w:val="007319E0"/>
    <w:rsid w:val="00737B00"/>
    <w:rsid w:val="0075155C"/>
    <w:rsid w:val="00753A05"/>
    <w:rsid w:val="00761190"/>
    <w:rsid w:val="00776537"/>
    <w:rsid w:val="00783A25"/>
    <w:rsid w:val="0079453B"/>
    <w:rsid w:val="007E1B5E"/>
    <w:rsid w:val="007F2278"/>
    <w:rsid w:val="00805783"/>
    <w:rsid w:val="00806F57"/>
    <w:rsid w:val="00806F90"/>
    <w:rsid w:val="00824C19"/>
    <w:rsid w:val="008378D1"/>
    <w:rsid w:val="00846462"/>
    <w:rsid w:val="0086691F"/>
    <w:rsid w:val="00884C8F"/>
    <w:rsid w:val="008C3296"/>
    <w:rsid w:val="008C506A"/>
    <w:rsid w:val="008F2BB5"/>
    <w:rsid w:val="008F5472"/>
    <w:rsid w:val="008F5D0F"/>
    <w:rsid w:val="009122E0"/>
    <w:rsid w:val="00913351"/>
    <w:rsid w:val="00921E59"/>
    <w:rsid w:val="0096193C"/>
    <w:rsid w:val="009769E1"/>
    <w:rsid w:val="00977E0D"/>
    <w:rsid w:val="00983F7F"/>
    <w:rsid w:val="00986C04"/>
    <w:rsid w:val="009A2F76"/>
    <w:rsid w:val="009D7782"/>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95404"/>
    <w:rsid w:val="00A968C5"/>
    <w:rsid w:val="00AA3C28"/>
    <w:rsid w:val="00AB2786"/>
    <w:rsid w:val="00AD4308"/>
    <w:rsid w:val="00AF2A33"/>
    <w:rsid w:val="00B309DD"/>
    <w:rsid w:val="00B32EA6"/>
    <w:rsid w:val="00B36621"/>
    <w:rsid w:val="00B36D64"/>
    <w:rsid w:val="00B41B48"/>
    <w:rsid w:val="00B56194"/>
    <w:rsid w:val="00B61A34"/>
    <w:rsid w:val="00B64E8E"/>
    <w:rsid w:val="00B65EF3"/>
    <w:rsid w:val="00B8025A"/>
    <w:rsid w:val="00B827B1"/>
    <w:rsid w:val="00BB23A4"/>
    <w:rsid w:val="00BC2276"/>
    <w:rsid w:val="00BE365A"/>
    <w:rsid w:val="00BE47C4"/>
    <w:rsid w:val="00C0066B"/>
    <w:rsid w:val="00C052A2"/>
    <w:rsid w:val="00C06A4A"/>
    <w:rsid w:val="00C1195A"/>
    <w:rsid w:val="00C1391A"/>
    <w:rsid w:val="00C14CE6"/>
    <w:rsid w:val="00C2725D"/>
    <w:rsid w:val="00C42033"/>
    <w:rsid w:val="00CA3FE6"/>
    <w:rsid w:val="00CB2B1E"/>
    <w:rsid w:val="00CC3E8B"/>
    <w:rsid w:val="00CC4E84"/>
    <w:rsid w:val="00CD5641"/>
    <w:rsid w:val="00CE64AC"/>
    <w:rsid w:val="00CF7718"/>
    <w:rsid w:val="00D177F1"/>
    <w:rsid w:val="00D323B5"/>
    <w:rsid w:val="00D42ACC"/>
    <w:rsid w:val="00D51DC5"/>
    <w:rsid w:val="00D676D7"/>
    <w:rsid w:val="00D874E1"/>
    <w:rsid w:val="00D9586D"/>
    <w:rsid w:val="00DC2506"/>
    <w:rsid w:val="00DC49FA"/>
    <w:rsid w:val="00DD3D6B"/>
    <w:rsid w:val="00DD4467"/>
    <w:rsid w:val="00DD61C8"/>
    <w:rsid w:val="00DD772B"/>
    <w:rsid w:val="00E25442"/>
    <w:rsid w:val="00E37EEB"/>
    <w:rsid w:val="00E56DFC"/>
    <w:rsid w:val="00E710FB"/>
    <w:rsid w:val="00E806D9"/>
    <w:rsid w:val="00E82CA2"/>
    <w:rsid w:val="00E95594"/>
    <w:rsid w:val="00EA31C3"/>
    <w:rsid w:val="00EC6F21"/>
    <w:rsid w:val="00ED2BBA"/>
    <w:rsid w:val="00EE0913"/>
    <w:rsid w:val="00F01440"/>
    <w:rsid w:val="00F13305"/>
    <w:rsid w:val="00F40463"/>
    <w:rsid w:val="00F50336"/>
    <w:rsid w:val="00F62E3F"/>
    <w:rsid w:val="00F67F90"/>
    <w:rsid w:val="00F77B3E"/>
    <w:rsid w:val="00F833CB"/>
    <w:rsid w:val="00F87754"/>
    <w:rsid w:val="00F90A4B"/>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 w:type="table" w:styleId="TableGrid">
    <w:name w:val="Table Grid"/>
    <w:basedOn w:val="TableNormal"/>
    <w:rsid w:val="000E0F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E0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org/Docs/journal/asp/ws.asp?m=CEDAW/C/SUE/3"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1</Pages>
  <Words>1880</Words>
  <Characters>10716</Characters>
  <Application>Microsoft Office Word</Application>
  <DocSecurity>4</DocSecurity>
  <Lines>89</Lines>
  <Paragraphs>25</Paragraphs>
  <ScaleCrop>false</ScaleCrop>
  <Company>United Nations</Company>
  <LinksUpToDate>false</LinksUpToDate>
  <CharactersWithSpaces>12571</CharactersWithSpaces>
  <SharedDoc>false</SharedDoc>
  <HLinks>
    <vt:vector size="6" baseType="variant">
      <vt:variant>
        <vt:i4>4915227</vt:i4>
      </vt:variant>
      <vt:variant>
        <vt:i4>0</vt:i4>
      </vt:variant>
      <vt:variant>
        <vt:i4>0</vt:i4>
      </vt:variant>
      <vt:variant>
        <vt:i4>5</vt:i4>
      </vt:variant>
      <vt:variant>
        <vt:lpwstr>http://www.un.org/Docs/journal/asp/ws.asp?m=CEDAW/C/SUE/3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Lanping.Fu</dc:creator>
  <cp:keywords/>
  <dc:description/>
  <cp:lastModifiedBy>ctpu1.chao</cp:lastModifiedBy>
  <cp:revision>22</cp:revision>
  <cp:lastPrinted>2006-11-14T15:40:00Z</cp:lastPrinted>
  <dcterms:created xsi:type="dcterms:W3CDTF">2006-11-14T13:48:00Z</dcterms:created>
  <dcterms:modified xsi:type="dcterms:W3CDTF">2006-11-14T15:41:00Z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0653626</vt:lpwstr>
  </property>
  <property fmtid="{D5CDD505-2E9C-101B-9397-08002B2CF9AE}" pid="3" name="Symbol1">
    <vt:lpwstr>CEDAW/C/SUR/Q/3/Add.1</vt:lpwstr>
  </property>
  <property fmtid="{D5CDD505-2E9C-101B-9397-08002B2CF9AE}" pid="4" name="Symbol2">
    <vt:lpwstr/>
  </property>
  <property fmtid="{D5CDD505-2E9C-101B-9397-08002B2CF9AE}" pid="5" name="Translator">
    <vt:lpwstr/>
  </property>
  <property fmtid="{D5CDD505-2E9C-101B-9397-08002B2CF9AE}" pid="6" name="Operator">
    <vt:lpwstr>fu</vt:lpwstr>
  </property>
  <property fmtid="{D5CDD505-2E9C-101B-9397-08002B2CF9AE}" pid="7" name="DraftPages">
    <vt:lpwstr> </vt:lpwstr>
  </property>
  <property fmtid="{D5CDD505-2E9C-101B-9397-08002B2CF9AE}" pid="8" name="Comment">
    <vt:lpwstr/>
  </property>
</Properties>
</file>