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2273"/>
        <w:gridCol w:w="3267"/>
        <w:gridCol w:w="2819"/>
      </w:tblGrid>
      <w:tr w:rsidR="002D5AAC" w:rsidTr="006E203A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A17DFD"/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A17DFD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E203A" w:rsidP="006E203A">
            <w:pPr>
              <w:jc w:val="right"/>
            </w:pPr>
            <w:r w:rsidRPr="006E203A">
              <w:rPr>
                <w:sz w:val="40"/>
              </w:rPr>
              <w:t>CEDAW</w:t>
            </w:r>
            <w:r>
              <w:t>/C/SYC/Q/1-5</w:t>
            </w:r>
          </w:p>
        </w:tc>
      </w:tr>
      <w:tr w:rsidR="002D5AAC" w:rsidTr="006E203A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D33EE" w:rsidP="00A17DFD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365860" w:rsidP="00F617E7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40"/>
              </w:rPr>
              <w:t>Convención sobre la eliminación</w:t>
            </w:r>
            <w:r>
              <w:rPr>
                <w:b/>
                <w:sz w:val="34"/>
                <w:szCs w:val="40"/>
              </w:rPr>
              <w:br/>
              <w:t xml:space="preserve">de todas las formas de </w:t>
            </w:r>
            <w:r w:rsidR="00E36F25">
              <w:rPr>
                <w:b/>
                <w:sz w:val="34"/>
                <w:szCs w:val="40"/>
              </w:rPr>
              <w:br/>
            </w:r>
            <w:r>
              <w:rPr>
                <w:b/>
                <w:sz w:val="34"/>
                <w:szCs w:val="40"/>
              </w:rPr>
              <w:t>discriminación</w:t>
            </w:r>
            <w:r w:rsidR="00E36F25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contra la mujer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6E203A" w:rsidRDefault="006E203A" w:rsidP="00D45E8E">
            <w:pPr>
              <w:spacing w:before="240"/>
            </w:pPr>
            <w:r>
              <w:t>Distr. general</w:t>
            </w:r>
          </w:p>
          <w:p w:rsidR="006E203A" w:rsidRDefault="006E203A" w:rsidP="006E203A">
            <w:pPr>
              <w:spacing w:line="240" w:lineRule="exact"/>
            </w:pPr>
            <w:r>
              <w:t>19 de marzo de 2013</w:t>
            </w:r>
          </w:p>
          <w:p w:rsidR="006E203A" w:rsidRDefault="006E203A" w:rsidP="006E203A">
            <w:pPr>
              <w:spacing w:line="240" w:lineRule="exact"/>
            </w:pPr>
            <w:r>
              <w:t>Español</w:t>
            </w:r>
          </w:p>
          <w:p w:rsidR="002D5AAC" w:rsidRDefault="006E203A" w:rsidP="006E203A">
            <w:pPr>
              <w:spacing w:line="240" w:lineRule="exact"/>
            </w:pPr>
            <w:r>
              <w:t>Original: inglés</w:t>
            </w:r>
          </w:p>
        </w:tc>
      </w:tr>
    </w:tbl>
    <w:p w:rsidR="006E203A" w:rsidRPr="009B3468" w:rsidRDefault="006E203A" w:rsidP="006E203A">
      <w:pPr>
        <w:spacing w:before="120" w:after="240" w:line="240" w:lineRule="auto"/>
        <w:rPr>
          <w:b/>
        </w:rPr>
      </w:pPr>
      <w:r w:rsidRPr="006E203A">
        <w:rPr>
          <w:b/>
          <w:sz w:val="24"/>
          <w:szCs w:val="24"/>
        </w:rPr>
        <w:t>Comité para la Eliminación de la Discriminación contra la Mujer</w:t>
      </w:r>
      <w:r>
        <w:rPr>
          <w:b/>
        </w:rPr>
        <w:br/>
      </w:r>
      <w:r w:rsidRPr="009B3468">
        <w:rPr>
          <w:b/>
        </w:rPr>
        <w:t>56º período de sesiones</w:t>
      </w:r>
      <w:r>
        <w:rPr>
          <w:b/>
        </w:rPr>
        <w:br/>
      </w:r>
      <w:r w:rsidRPr="00186D3E">
        <w:t>30 de septiembre a 18 de octubre de 2013</w:t>
      </w:r>
      <w:r>
        <w:br/>
      </w:r>
      <w:r w:rsidRPr="00186D3E">
        <w:t>Tema 4 del programa provisional</w:t>
      </w:r>
      <w:r>
        <w:br/>
      </w:r>
      <w:r w:rsidRPr="009B3468">
        <w:rPr>
          <w:b/>
        </w:rPr>
        <w:t xml:space="preserve">Examen de los informes presentados por los Estados partes en </w:t>
      </w:r>
      <w:r>
        <w:rPr>
          <w:b/>
        </w:rPr>
        <w:br/>
      </w:r>
      <w:r w:rsidRPr="009B3468">
        <w:rPr>
          <w:b/>
        </w:rPr>
        <w:t>virtud del artículo 18 de la Convención sobre la eliminación</w:t>
      </w:r>
      <w:r>
        <w:rPr>
          <w:b/>
        </w:rPr>
        <w:br/>
      </w:r>
      <w:r w:rsidRPr="009B3468">
        <w:rPr>
          <w:b/>
        </w:rPr>
        <w:t>de todas las formas de discriminación contra la mujer</w:t>
      </w:r>
    </w:p>
    <w:p w:rsidR="006E203A" w:rsidRPr="009B3468" w:rsidRDefault="006E203A" w:rsidP="006E203A">
      <w:pPr>
        <w:pStyle w:val="HChG"/>
      </w:pPr>
      <w:r>
        <w:tab/>
      </w:r>
      <w:r>
        <w:tab/>
      </w:r>
      <w:r w:rsidRPr="009B3468">
        <w:t xml:space="preserve">Lista de cuestiones </w:t>
      </w:r>
      <w:r>
        <w:t>relativa al</w:t>
      </w:r>
      <w:r w:rsidRPr="009B3468">
        <w:t xml:space="preserve"> informe inicial e informes periódicos segundo, tercero</w:t>
      </w:r>
      <w:r>
        <w:t>, cuarto y quinto combinados de </w:t>
      </w:r>
      <w:r w:rsidRPr="009B3468">
        <w:t>Seychelles</w:t>
      </w:r>
    </w:p>
    <w:p w:rsidR="006E203A" w:rsidRPr="009B3468" w:rsidRDefault="006E203A" w:rsidP="006E203A">
      <w:pPr>
        <w:pStyle w:val="H1G"/>
      </w:pPr>
      <w:r>
        <w:tab/>
      </w:r>
      <w:r>
        <w:tab/>
      </w:r>
      <w:r w:rsidRPr="009B3468">
        <w:t>Nota del Comité</w:t>
      </w:r>
    </w:p>
    <w:p w:rsidR="006E203A" w:rsidRPr="009B3468" w:rsidRDefault="006E203A" w:rsidP="006E203A">
      <w:pPr>
        <w:pStyle w:val="SingleTxtG"/>
      </w:pPr>
      <w:r>
        <w:tab/>
      </w:r>
      <w:r w:rsidRPr="009B3468">
        <w:t>El grupo de trabajo anterior al período de sesiones examinó el informe inicial e informes periódicos segundo, tercero, cuarto y quinto combinados de Seychelles (CEDAW/C/SYC/1-5).</w:t>
      </w:r>
    </w:p>
    <w:p w:rsidR="006E203A" w:rsidRPr="009B3468" w:rsidRDefault="006E203A" w:rsidP="006E203A">
      <w:pPr>
        <w:pStyle w:val="H1G"/>
      </w:pPr>
      <w:r>
        <w:tab/>
      </w:r>
      <w:r>
        <w:tab/>
      </w:r>
      <w:r w:rsidRPr="009B3468">
        <w:t>Generalidades</w:t>
      </w:r>
    </w:p>
    <w:p w:rsidR="006E203A" w:rsidRPr="009B3468" w:rsidRDefault="006E203A" w:rsidP="006E203A">
      <w:pPr>
        <w:pStyle w:val="SingleTxtG"/>
      </w:pPr>
      <w:r w:rsidRPr="009B3468">
        <w:t>1.</w:t>
      </w:r>
      <w:r w:rsidRPr="009B3468">
        <w:tab/>
        <w:t>En el párrafo 40</w:t>
      </w:r>
      <w:r w:rsidRPr="00186D3E">
        <w:rPr>
          <w:sz w:val="18"/>
          <w:szCs w:val="18"/>
          <w:vertAlign w:val="superscript"/>
        </w:rPr>
        <w:footnoteReference w:id="1"/>
      </w:r>
      <w:r w:rsidRPr="009B3468">
        <w:t xml:space="preserve"> se indica que faltan datos sistemátic</w:t>
      </w:r>
      <w:r>
        <w:t xml:space="preserve">os y fiables </w:t>
      </w:r>
      <w:r w:rsidRPr="009B3468">
        <w:t>desglosados por sexo en las esferas fiscal, jurídica y de los negocios, el comercio, la macroeconomía, el empleo y la agricultura, o "ámbito de las oportunidades", y que el ámbito más deficiente es el denominado "ámbito de la vulnerabilidad", con escasos datos desglosados sobre la pobreza, la exclusión social, la violencia doméstica y la delincuencia</w:t>
      </w:r>
      <w:r>
        <w:t xml:space="preserve">. Sírvanse </w:t>
      </w:r>
      <w:r w:rsidRPr="009B3468">
        <w:t>indicar qué medidas se han previsto para establecer una recopilación y un análisis regulares de datos desglosados por sexo en relación con las esferas de la Convención sobre las cuales se carece de datos de este tipo.</w:t>
      </w:r>
    </w:p>
    <w:p w:rsidR="006E203A" w:rsidRPr="009B3468" w:rsidRDefault="006E203A" w:rsidP="006E203A">
      <w:pPr>
        <w:pStyle w:val="H1G"/>
      </w:pPr>
      <w:r>
        <w:tab/>
      </w:r>
      <w:r>
        <w:tab/>
      </w:r>
      <w:r w:rsidRPr="009B3468">
        <w:t>Marco constitucional, legislativo e institucional</w:t>
      </w:r>
    </w:p>
    <w:p w:rsidR="006E203A" w:rsidRPr="009B3468" w:rsidRDefault="006E203A" w:rsidP="006E203A">
      <w:pPr>
        <w:pStyle w:val="SingleTxtG"/>
      </w:pPr>
      <w:r w:rsidRPr="009B3468">
        <w:t>2.</w:t>
      </w:r>
      <w:r w:rsidRPr="009B3468">
        <w:tab/>
        <w:t>Sírvanse indicar si la Convención es directamente aplicable ante los tribunales</w:t>
      </w:r>
      <w:r>
        <w:t xml:space="preserve"> y cortes de justicia</w:t>
      </w:r>
      <w:r w:rsidRPr="009B3468">
        <w:t xml:space="preserve">. </w:t>
      </w:r>
      <w:r>
        <w:t xml:space="preserve">Indíquese </w:t>
      </w:r>
      <w:r w:rsidRPr="009B3468">
        <w:t>si las disposiciones de la Convención se integran sistemáticamente en los planes de estudio para la formación de jueces, fiscales, abogados, agentes de policía y otros funcionarios encargados de hacer cumplir la ley.</w:t>
      </w:r>
    </w:p>
    <w:p w:rsidR="006E203A" w:rsidRPr="009B3468" w:rsidRDefault="006E203A" w:rsidP="006E203A">
      <w:pPr>
        <w:pStyle w:val="H1G"/>
      </w:pPr>
      <w:r>
        <w:tab/>
      </w:r>
      <w:r>
        <w:tab/>
      </w:r>
      <w:r w:rsidRPr="009B3468">
        <w:t>Acceso a la justicia</w:t>
      </w:r>
    </w:p>
    <w:p w:rsidR="006E203A" w:rsidRPr="009B3468" w:rsidRDefault="006E203A" w:rsidP="006E203A">
      <w:pPr>
        <w:pStyle w:val="SingleTxtG"/>
      </w:pPr>
      <w:r w:rsidRPr="009B3468">
        <w:t>3.</w:t>
      </w:r>
      <w:r w:rsidRPr="009B3468">
        <w:tab/>
        <w:t>En el párrafo 646 se indica que la</w:t>
      </w:r>
      <w:r>
        <w:t>s</w:t>
      </w:r>
      <w:r w:rsidRPr="009B3468">
        <w:t xml:space="preserve"> demoras en la tramitación de las causas en los tribunales son una de las principales deficiencias del sistema judicial.</w:t>
      </w:r>
      <w:r>
        <w:t xml:space="preserve"> </w:t>
      </w:r>
      <w:r w:rsidRPr="009B3468">
        <w:t xml:space="preserve">Sírvanse indicar si el Estado parte </w:t>
      </w:r>
      <w:r>
        <w:t>considera la posibilidad de</w:t>
      </w:r>
      <w:r w:rsidRPr="009B3468">
        <w:t xml:space="preserve"> elaborar una política para el acceso efectivo de la mujer a los tribunales</w:t>
      </w:r>
      <w:r>
        <w:t xml:space="preserve"> y cortes de justicia</w:t>
      </w:r>
      <w:r w:rsidRPr="009B3468">
        <w:t>, entre otras cosas con respecto a los casos de violencia de género</w:t>
      </w:r>
      <w:r>
        <w:t xml:space="preserve"> y</w:t>
      </w:r>
      <w:r w:rsidRPr="009B3468">
        <w:t xml:space="preserve"> violencia doméstica</w:t>
      </w:r>
      <w:r>
        <w:t>, así como</w:t>
      </w:r>
      <w:r w:rsidRPr="009B3468">
        <w:t xml:space="preserve"> otras formas de discriminación contra la mujer.</w:t>
      </w:r>
    </w:p>
    <w:p w:rsidR="006E203A" w:rsidRPr="009B3468" w:rsidRDefault="006E203A" w:rsidP="006E203A">
      <w:pPr>
        <w:pStyle w:val="H1G"/>
      </w:pPr>
      <w:r>
        <w:tab/>
      </w:r>
      <w:r>
        <w:tab/>
      </w:r>
      <w:r w:rsidRPr="009B3468">
        <w:t>Mecanismos nacionales para el adelanto de la mujer</w:t>
      </w:r>
    </w:p>
    <w:p w:rsidR="006E203A" w:rsidRPr="009B3468" w:rsidRDefault="006E203A" w:rsidP="006E203A">
      <w:pPr>
        <w:pStyle w:val="SingleTxtG"/>
      </w:pPr>
      <w:r w:rsidRPr="009B3468">
        <w:t>4.</w:t>
      </w:r>
      <w:r w:rsidRPr="009B3468">
        <w:tab/>
        <w:t>El informe indica en el anexo V que los objetivos del Plan de Acción 2010-2011 aprobado por el Equip</w:t>
      </w:r>
      <w:r>
        <w:t>o Nacional para la gestión de la</w:t>
      </w:r>
      <w:r w:rsidRPr="009B3468">
        <w:t xml:space="preserve">s </w:t>
      </w:r>
      <w:r>
        <w:t>cuestiones</w:t>
      </w:r>
      <w:r w:rsidRPr="009B3468">
        <w:t xml:space="preserve"> de género incluyen la elaboración de una política nacional de género.</w:t>
      </w:r>
      <w:r>
        <w:t xml:space="preserve"> </w:t>
      </w:r>
      <w:r w:rsidRPr="009B3468">
        <w:t>Sírvanse indicar qué medidas se han adoptado para acelerar la elaboración de dicha política y señalar un calendario claro para su aprobación y aplicación.</w:t>
      </w:r>
      <w:r>
        <w:t xml:space="preserve"> Sírvanse</w:t>
      </w:r>
      <w:r w:rsidRPr="009B3468">
        <w:t xml:space="preserve"> indicar </w:t>
      </w:r>
      <w:r>
        <w:t xml:space="preserve">también </w:t>
      </w:r>
      <w:r w:rsidRPr="009B3468">
        <w:t xml:space="preserve">cómo se ha previsto coordinar, </w:t>
      </w:r>
      <w:r>
        <w:t xml:space="preserve">supervisar y </w:t>
      </w:r>
      <w:r w:rsidRPr="009B3468">
        <w:t>evaluar la aplicación de esta política.</w:t>
      </w:r>
    </w:p>
    <w:p w:rsidR="006E203A" w:rsidRPr="009B3468" w:rsidRDefault="006E203A" w:rsidP="006E203A">
      <w:pPr>
        <w:pStyle w:val="SingleTxtG"/>
      </w:pPr>
      <w:r w:rsidRPr="009B3468">
        <w:t>5.</w:t>
      </w:r>
      <w:r w:rsidRPr="009B3468">
        <w:tab/>
        <w:t>En el párrafo 116 del informe se señala que la Secretaría de Género está integrada por dos funcionarios.</w:t>
      </w:r>
      <w:r>
        <w:t xml:space="preserve"> Sírvanse</w:t>
      </w:r>
      <w:r w:rsidRPr="009B3468">
        <w:t xml:space="preserve"> indicar si el Estado parte ha previsto dotar de más personal y medios financieros a la Secretaría de Género. </w:t>
      </w:r>
      <w:r>
        <w:t>Indiquen también</w:t>
      </w:r>
      <w:r w:rsidRPr="009B3468">
        <w:t xml:space="preserve"> qué porcentaje del presupuesto del Estado se destina a los mecanismos nacionales para el ad</w:t>
      </w:r>
      <w:r>
        <w:t>elanto de la mujer, y describan</w:t>
      </w:r>
      <w:r w:rsidRPr="009B3468">
        <w:t xml:space="preserve"> con más detalle la capacidad de la Secretaría de Género para coordinar su labor con la de los distintos ministerios.</w:t>
      </w:r>
    </w:p>
    <w:p w:rsidR="006E203A" w:rsidRPr="009B3468" w:rsidRDefault="006E203A" w:rsidP="006E203A">
      <w:pPr>
        <w:pStyle w:val="H1G"/>
      </w:pPr>
      <w:r>
        <w:tab/>
      </w:r>
      <w:r>
        <w:tab/>
      </w:r>
      <w:r w:rsidRPr="009B3468">
        <w:t>Medidas especiales de carácter temporal</w:t>
      </w:r>
    </w:p>
    <w:p w:rsidR="006E203A" w:rsidRPr="009B3468" w:rsidRDefault="006E203A" w:rsidP="006E203A">
      <w:pPr>
        <w:pStyle w:val="SingleTxtG"/>
      </w:pPr>
      <w:r w:rsidRPr="009B3468">
        <w:t>6.</w:t>
      </w:r>
      <w:r w:rsidRPr="009B3468">
        <w:tab/>
        <w:t xml:space="preserve">En el párrafo 152 se señala que la adopción de medidas especiales sin programas adecuados de promoción y sensibilización podría dar lugar a consecuencias perjudiciales. </w:t>
      </w:r>
      <w:r>
        <w:t>Sírvanse</w:t>
      </w:r>
      <w:r w:rsidRPr="009B3468">
        <w:t xml:space="preserve"> indicar si el Estado parte está estudiando </w:t>
      </w:r>
      <w:r>
        <w:t xml:space="preserve">la posibilidad de </w:t>
      </w:r>
      <w:r w:rsidRPr="009B3468">
        <w:t xml:space="preserve">emprender programas de sensibilización con miras a adoptar medidas especiales de carácter temporal destinadas a acelerar el logro de una igualdad </w:t>
      </w:r>
      <w:r w:rsidRPr="006E203A">
        <w:rPr>
          <w:i/>
        </w:rPr>
        <w:t>de facto</w:t>
      </w:r>
      <w:r w:rsidRPr="009B3468">
        <w:t xml:space="preserve"> entre hombres y mujeres.</w:t>
      </w:r>
    </w:p>
    <w:p w:rsidR="006E203A" w:rsidRPr="009B3468" w:rsidRDefault="006E203A" w:rsidP="006E203A">
      <w:pPr>
        <w:pStyle w:val="H1G"/>
      </w:pPr>
      <w:r>
        <w:tab/>
      </w:r>
      <w:r>
        <w:tab/>
      </w:r>
      <w:r w:rsidRPr="009B3468">
        <w:t>Estereotipos</w:t>
      </w:r>
    </w:p>
    <w:p w:rsidR="006E203A" w:rsidRPr="009B3468" w:rsidRDefault="006E203A" w:rsidP="006E203A">
      <w:pPr>
        <w:pStyle w:val="SingleTxtG"/>
      </w:pPr>
      <w:r w:rsidRPr="009B3468">
        <w:t>7.</w:t>
      </w:r>
      <w:r w:rsidRPr="009B3468">
        <w:tab/>
        <w:t xml:space="preserve">En el párrafo 175 se indica que el Gobierno ha luchado de forma proactiva contra los estereotipos. </w:t>
      </w:r>
      <w:r>
        <w:t>Sírvanse</w:t>
      </w:r>
      <w:r w:rsidRPr="009B3468">
        <w:t xml:space="preserve"> indicar si el Estado parte ha sometido a seguimiento la aplicación de estas medidas y sus efectos, y señalar si ha previsto reforzar las medidas destinadas a eliminar los estereotipos </w:t>
      </w:r>
      <w:r>
        <w:t>sobre el</w:t>
      </w:r>
      <w:r w:rsidRPr="009B3468">
        <w:t xml:space="preserve"> papel y las responsabilidades de la mujer y el hombre en la familia y la sociedad. </w:t>
      </w:r>
    </w:p>
    <w:p w:rsidR="006E203A" w:rsidRPr="009B3468" w:rsidRDefault="006E203A" w:rsidP="006E203A">
      <w:pPr>
        <w:pStyle w:val="H1G"/>
      </w:pPr>
      <w:r>
        <w:tab/>
      </w:r>
      <w:r>
        <w:tab/>
      </w:r>
      <w:r w:rsidRPr="009B3468">
        <w:t>Violencia contra la mujer</w:t>
      </w:r>
    </w:p>
    <w:p w:rsidR="006E203A" w:rsidRPr="009B3468" w:rsidRDefault="006E203A" w:rsidP="006E203A">
      <w:pPr>
        <w:pStyle w:val="SingleTxtG"/>
      </w:pPr>
      <w:r w:rsidRPr="009B3468">
        <w:t>8.</w:t>
      </w:r>
      <w:r w:rsidRPr="009B3468">
        <w:tab/>
        <w:t>La información de que dispone el Comité revela que la tasa de condenas en casos de violación es baja.</w:t>
      </w:r>
      <w:r>
        <w:t xml:space="preserve"> </w:t>
      </w:r>
      <w:r w:rsidRPr="009B3468">
        <w:t xml:space="preserve">Sírvanse facilitar información detallada sobre la situación actual y las tendencias observadas con respecto a la violencia contra las mujeres y las niñas, en particular la violación, los abusos sexuales y la violencia doméstica, y proporcionar datos sobre el número de casos de violencia contra la mujer denunciados a la policía y llevados ante los tribunales, el número de procesamientos y de condenas a </w:t>
      </w:r>
      <w:r>
        <w:t>este respecto</w:t>
      </w:r>
      <w:r w:rsidRPr="009B3468">
        <w:t>, y el resultado de las decisiones judiciales.</w:t>
      </w:r>
      <w:r>
        <w:t xml:space="preserve"> Sírvanse </w:t>
      </w:r>
      <w:r w:rsidRPr="009B3468">
        <w:t xml:space="preserve">explicar si el Estado parte </w:t>
      </w:r>
      <w:r>
        <w:t xml:space="preserve">tiene previsto </w:t>
      </w:r>
      <w:r w:rsidRPr="009B3468">
        <w:t>recopila</w:t>
      </w:r>
      <w:r>
        <w:t>r</w:t>
      </w:r>
      <w:r w:rsidRPr="009B3468">
        <w:t xml:space="preserve"> y </w:t>
      </w:r>
      <w:r>
        <w:t>analizar de manera</w:t>
      </w:r>
      <w:r w:rsidRPr="009B3468">
        <w:t xml:space="preserve"> sistemátic</w:t>
      </w:r>
      <w:r>
        <w:t xml:space="preserve">a </w:t>
      </w:r>
      <w:r w:rsidRPr="009B3468">
        <w:t xml:space="preserve">y </w:t>
      </w:r>
      <w:r>
        <w:t>regular</w:t>
      </w:r>
      <w:r w:rsidRPr="009B3468">
        <w:t xml:space="preserve"> datos </w:t>
      </w:r>
      <w:r>
        <w:t xml:space="preserve">e </w:t>
      </w:r>
      <w:r w:rsidRPr="009B3468">
        <w:t>información acerca de todas las formas de violencia contra la mujer.</w:t>
      </w:r>
      <w:r>
        <w:t xml:space="preserve"> Sírvanse también </w:t>
      </w:r>
      <w:r w:rsidRPr="009B3468">
        <w:t>informar sobre la puesta en práctica del Plan de Acción Nacional sobre la Vio</w:t>
      </w:r>
      <w:r>
        <w:t xml:space="preserve">lencia </w:t>
      </w:r>
      <w:r w:rsidR="00C83B61">
        <w:t xml:space="preserve">basada </w:t>
      </w:r>
      <w:r>
        <w:t>en el Género 2010-</w:t>
      </w:r>
      <w:r w:rsidRPr="009B3468">
        <w:t>2011, e indicar si se ha previsto elaborar algún otro plan para los próximos años.</w:t>
      </w:r>
      <w:r>
        <w:t xml:space="preserve"> </w:t>
      </w:r>
      <w:r w:rsidRPr="009B3468">
        <w:t>Sírvanse facilitar información detallada sobre las medidas</w:t>
      </w:r>
      <w:r>
        <w:t xml:space="preserve"> adoptadas y previstas para: a) </w:t>
      </w:r>
      <w:r w:rsidRPr="009B3468">
        <w:t xml:space="preserve">promulgar textos legislativos sobre la violencia contra la mujer; b) alentar a las mujeres a denunciar los actos de violencia; c) velar por el procesamiento y la condena de </w:t>
      </w:r>
      <w:r>
        <w:t>quienes cometan tales actos; d) </w:t>
      </w:r>
      <w:r w:rsidRPr="009B3468">
        <w:t xml:space="preserve">proporcionar a las víctimas protección, vías de recurso, servicios de rehabilitación y apoyo médico y psicológico; e) luchar contra la estigmatización de las víctimas; y f) poner en práctica programas de fomento de la capacidad y </w:t>
      </w:r>
      <w:r>
        <w:t xml:space="preserve">de </w:t>
      </w:r>
      <w:r w:rsidRPr="009B3468">
        <w:t xml:space="preserve">sensibilización para los jueces, la policía y otros </w:t>
      </w:r>
      <w:r>
        <w:t>agentes del orden</w:t>
      </w:r>
      <w:r w:rsidRPr="009B3468">
        <w:t xml:space="preserve">, los abogados, los profesionales de la salud, los trabajadores sociales y </w:t>
      </w:r>
      <w:r>
        <w:t>la población</w:t>
      </w:r>
      <w:r w:rsidRPr="009B3468">
        <w:t xml:space="preserve"> en general.</w:t>
      </w:r>
    </w:p>
    <w:p w:rsidR="006E203A" w:rsidRPr="009B3468" w:rsidRDefault="006E203A" w:rsidP="006E203A">
      <w:pPr>
        <w:pStyle w:val="SingleTxtG"/>
      </w:pPr>
      <w:r w:rsidRPr="009B3468">
        <w:t>9.</w:t>
      </w:r>
      <w:r w:rsidRPr="009B3468">
        <w:tab/>
        <w:t>En el párrafo 691 se señala que la ley no reconoce la violencia doméstica como delito penal.</w:t>
      </w:r>
      <w:r>
        <w:t xml:space="preserve"> </w:t>
      </w:r>
      <w:r w:rsidRPr="009B3468">
        <w:t xml:space="preserve">Sírvanse indicar si el Estado parte </w:t>
      </w:r>
      <w:r>
        <w:t>tiene</w:t>
      </w:r>
      <w:r w:rsidRPr="009B3468">
        <w:t xml:space="preserve"> previsto enmendar la legislación de modo que la violencia doméstica esté tipificada como delito.</w:t>
      </w:r>
      <w:r>
        <w:t xml:space="preserve"> </w:t>
      </w:r>
      <w:r w:rsidRPr="009B3468">
        <w:t>Sírvanse también facilitar información sobre el seguimiento y la aplicación de la Estrategia Nacional contra la Violencia Doméstica (2008-2012), e indicar las medidas adoptadas para asegurar y promover su aplicación efectiva (párr. 71).</w:t>
      </w:r>
      <w:r>
        <w:t xml:space="preserve"> </w:t>
      </w:r>
      <w:r w:rsidRPr="009B3468">
        <w:t>Asimismo, indi</w:t>
      </w:r>
      <w:r>
        <w:t xml:space="preserve">quen </w:t>
      </w:r>
      <w:r w:rsidRPr="009B3468">
        <w:t>qué medidas se han adoptado para proporcionar vías de recurso y asistencia, por ejemplo centros de acogida</w:t>
      </w:r>
      <w:r>
        <w:t>,</w:t>
      </w:r>
      <w:r w:rsidRPr="009B3468">
        <w:t xml:space="preserve"> </w:t>
      </w:r>
      <w:r>
        <w:t xml:space="preserve">así como </w:t>
      </w:r>
      <w:r w:rsidRPr="009B3468">
        <w:t>servicios de apoyo psicológico y rehabilitación, a todas las víctimas de la violencia doméstica.</w:t>
      </w:r>
    </w:p>
    <w:p w:rsidR="006E203A" w:rsidRPr="009B3468" w:rsidRDefault="006E203A" w:rsidP="006E203A">
      <w:pPr>
        <w:pStyle w:val="H1G"/>
      </w:pPr>
      <w:r>
        <w:tab/>
      </w:r>
      <w:r>
        <w:tab/>
      </w:r>
      <w:r w:rsidRPr="009B3468">
        <w:t>Trata y explotación de la prostitución</w:t>
      </w:r>
    </w:p>
    <w:p w:rsidR="006E203A" w:rsidRPr="009B3468" w:rsidRDefault="006E203A" w:rsidP="006E203A">
      <w:pPr>
        <w:pStyle w:val="SingleTxtG"/>
      </w:pPr>
      <w:r w:rsidRPr="009B3468">
        <w:t>10.</w:t>
      </w:r>
      <w:r w:rsidRPr="009B3468">
        <w:tab/>
        <w:t>En el párrafo 196 se menciona que son punibles por ley los siguientes actos: la retención forzada</w:t>
      </w:r>
      <w:r>
        <w:t>,</w:t>
      </w:r>
      <w:r w:rsidRPr="009B3468">
        <w:t xml:space="preserve"> el secuestro de mujeres, mantener un burdel y vivir del dinero generado por la prostitución de otra persona.</w:t>
      </w:r>
      <w:r>
        <w:t xml:space="preserve"> </w:t>
      </w:r>
      <w:r w:rsidRPr="009B3468">
        <w:t xml:space="preserve">Sírvanse indicar si el Estado parte </w:t>
      </w:r>
      <w:r>
        <w:t>tiene</w:t>
      </w:r>
      <w:r w:rsidRPr="009B3468">
        <w:t xml:space="preserve"> previsto realizar un estudio para investigar el alcance, la incidencia y las causas de la trata de personas, especialmente mujeres y niñas, entre otras cosas mediante la recopilación y el análisis de datos sobre la trata de mujeres. </w:t>
      </w:r>
      <w:r>
        <w:t xml:space="preserve">Indíquese también </w:t>
      </w:r>
      <w:r w:rsidRPr="009B3468">
        <w:t xml:space="preserve">si el Estado parte </w:t>
      </w:r>
      <w:r>
        <w:t xml:space="preserve">tiene </w:t>
      </w:r>
      <w:r w:rsidRPr="009B3468">
        <w:t xml:space="preserve">previsto promulgar una ley </w:t>
      </w:r>
      <w:r>
        <w:t>y</w:t>
      </w:r>
      <w:r w:rsidRPr="009B3468">
        <w:t xml:space="preserve"> elaborar una estrategia para luchar contra la trata y la explotación de seres humanos.</w:t>
      </w:r>
    </w:p>
    <w:p w:rsidR="006E203A" w:rsidRPr="009B3468" w:rsidRDefault="006E203A" w:rsidP="006E203A">
      <w:pPr>
        <w:pStyle w:val="SingleTxtG"/>
      </w:pPr>
      <w:r w:rsidRPr="009B3468">
        <w:t>11.</w:t>
      </w:r>
      <w:r w:rsidRPr="009B3468">
        <w:tab/>
        <w:t xml:space="preserve">En el párrafo 194 del informe se hace alusión al Plan de Acción sobre problemas sociales de 2009, que incluye un estudio </w:t>
      </w:r>
      <w:r>
        <w:t>sobre</w:t>
      </w:r>
      <w:r w:rsidRPr="009B3468">
        <w:t xml:space="preserve"> la prostitución, un examen de la legislación, actividades de capacitación para las fuerzas del orden, programas educativos y servicios de rehabilitación.</w:t>
      </w:r>
      <w:r>
        <w:t xml:space="preserve"> Sírvanse facilitar información sobre el</w:t>
      </w:r>
      <w:r w:rsidRPr="009B3468">
        <w:t xml:space="preserve"> </w:t>
      </w:r>
      <w:r>
        <w:t xml:space="preserve">estado de aplicación de </w:t>
      </w:r>
      <w:r w:rsidRPr="009B3468">
        <w:t>este Plan de Acción e indicar si el estudio que incluye se ocupa del alcance, la incidencia y las causas de la prostitución.</w:t>
      </w:r>
      <w:r>
        <w:t xml:space="preserve"> Facilítese también </w:t>
      </w:r>
      <w:r w:rsidRPr="009B3468">
        <w:t xml:space="preserve">información detallada sobre las medidas adoptadas para reducir la demanda de la prostitución, incluido el turismo sexual, y para introducir programas de </w:t>
      </w:r>
      <w:r>
        <w:t>abandono de la prostitución</w:t>
      </w:r>
      <w:r w:rsidRPr="009B3468">
        <w:t xml:space="preserve"> y medidas de rehabilitación y reinserción para las mujeres que se dedican a la prostitución.</w:t>
      </w:r>
    </w:p>
    <w:p w:rsidR="006E203A" w:rsidRPr="009B3468" w:rsidRDefault="006E203A" w:rsidP="006E203A">
      <w:pPr>
        <w:pStyle w:val="SingleTxtG"/>
      </w:pPr>
      <w:r w:rsidRPr="009B3468">
        <w:t>12.</w:t>
      </w:r>
      <w:r w:rsidRPr="009B3468">
        <w:tab/>
        <w:t>Sírvanse indicar qué medidas se han adoptado para evaluar el riesgo a que se exponen las mujeres y las niñas que se dedican a actividades relacionadas con el turismo de verse involucradas en la explotación sexual con fines comerciales.</w:t>
      </w:r>
      <w:r>
        <w:t xml:space="preserve"> </w:t>
      </w:r>
      <w:r w:rsidRPr="009B3468">
        <w:t xml:space="preserve">Sírvanse indicar también qué medidas se han adoptado para prevenir y combatir la explotación sexual de mujeres y niñas y para sensibilizar a los </w:t>
      </w:r>
      <w:r>
        <w:t>agentes directamente relacionados con</w:t>
      </w:r>
      <w:r w:rsidRPr="009B3468">
        <w:t xml:space="preserve"> la industria del turismo (agencias de viajes, hoteles, bares y restaurantes).</w:t>
      </w:r>
    </w:p>
    <w:p w:rsidR="006E203A" w:rsidRPr="009B3468" w:rsidRDefault="006E203A" w:rsidP="006E203A">
      <w:pPr>
        <w:pStyle w:val="H1G"/>
      </w:pPr>
      <w:r>
        <w:tab/>
      </w:r>
      <w:r>
        <w:tab/>
      </w:r>
      <w:r w:rsidRPr="009B3468">
        <w:t>Participación en la vida política y adopción de decisiones</w:t>
      </w:r>
    </w:p>
    <w:p w:rsidR="006E203A" w:rsidRPr="009B3468" w:rsidRDefault="006E203A" w:rsidP="006E203A">
      <w:pPr>
        <w:pStyle w:val="SingleTxtG"/>
      </w:pPr>
      <w:r w:rsidRPr="009B3468">
        <w:t>13.</w:t>
      </w:r>
      <w:r w:rsidRPr="009B3468">
        <w:tab/>
        <w:t>La mayoría de los datos aportados sobre la participación de la mujer en la vida política y pública y sobre el acceso de la mujer a puestos con poder de decisión son anteriores a 2009.</w:t>
      </w:r>
      <w:r>
        <w:t xml:space="preserve"> </w:t>
      </w:r>
      <w:r w:rsidRPr="009B3468">
        <w:t>Sírvanse facilitar información actualizada a este respecto</w:t>
      </w:r>
      <w:r>
        <w:t>,</w:t>
      </w:r>
      <w:r w:rsidRPr="009B3468">
        <w:t xml:space="preserve"> </w:t>
      </w:r>
      <w:r>
        <w:t xml:space="preserve">a </w:t>
      </w:r>
      <w:r w:rsidRPr="009B3468">
        <w:t>nivel nacional y local.</w:t>
      </w:r>
    </w:p>
    <w:p w:rsidR="006E203A" w:rsidRPr="009B3468" w:rsidRDefault="006E203A" w:rsidP="006E203A">
      <w:pPr>
        <w:pStyle w:val="H1G"/>
      </w:pPr>
      <w:r>
        <w:tab/>
      </w:r>
      <w:r>
        <w:tab/>
      </w:r>
      <w:r w:rsidRPr="009B3468">
        <w:t>Educación</w:t>
      </w:r>
    </w:p>
    <w:p w:rsidR="006E203A" w:rsidRPr="009B3468" w:rsidRDefault="006E203A" w:rsidP="006E203A">
      <w:pPr>
        <w:pStyle w:val="SingleTxtG"/>
      </w:pPr>
      <w:r w:rsidRPr="009B3468">
        <w:t>14.</w:t>
      </w:r>
      <w:r w:rsidRPr="009B3468">
        <w:tab/>
        <w:t xml:space="preserve">En el párrafo 320 se señala que la mayoría de las niñas </w:t>
      </w:r>
      <w:r>
        <w:t xml:space="preserve">siguen </w:t>
      </w:r>
      <w:r w:rsidRPr="009B3468">
        <w:t>matr</w:t>
      </w:r>
      <w:r>
        <w:t xml:space="preserve">iculándose tradicionalmente </w:t>
      </w:r>
      <w:r w:rsidRPr="009B3468">
        <w:t>en escuelas de orientación femenina, por lo que siguen ocupando un limitado abanico de profesiones relacionadas con el cuidado de personas.</w:t>
      </w:r>
      <w:r>
        <w:t xml:space="preserve"> Sírvanse</w:t>
      </w:r>
      <w:r w:rsidRPr="009B3468">
        <w:t xml:space="preserve"> facilitar información sobre las medidas adoptadas y previstas para alentar a las mujeres y los hombres a escoger disciplinas formativas y educativas no tradicionales.</w:t>
      </w:r>
      <w:r>
        <w:t xml:space="preserve"> Indíquese </w:t>
      </w:r>
      <w:r w:rsidRPr="009B3468">
        <w:t>igualmente si el Estado parte ha hecho un seguimiento de la política para prevenir los embarazos de adolescentes, encaminada a la reincorporación de las madres adolescentes en las escuelas secundarias, y si ha puesto en marcha las medida</w:t>
      </w:r>
      <w:r>
        <w:t>s correctivas necesarias (párr. </w:t>
      </w:r>
      <w:r w:rsidRPr="009B3468">
        <w:t xml:space="preserve">356). Asimismo, sírvanse facilitar información actualizada sobre las medidas adoptadas para eliminar de los libros de texto, los planes de estudios y la formación de los profesores las actitudes </w:t>
      </w:r>
      <w:r>
        <w:t>estereotipadas</w:t>
      </w:r>
      <w:r w:rsidRPr="009B3468">
        <w:t xml:space="preserve"> sobre el papel y las responsabilidades de la mujer y el hombre.</w:t>
      </w:r>
    </w:p>
    <w:p w:rsidR="006E203A" w:rsidRPr="009B3468" w:rsidRDefault="006E203A" w:rsidP="006E203A">
      <w:pPr>
        <w:pStyle w:val="H1G"/>
      </w:pPr>
      <w:r>
        <w:tab/>
      </w:r>
      <w:r>
        <w:tab/>
      </w:r>
      <w:r w:rsidRPr="009B3468">
        <w:t>Empleo</w:t>
      </w:r>
    </w:p>
    <w:p w:rsidR="006E203A" w:rsidRPr="009B3468" w:rsidRDefault="006E203A" w:rsidP="006E203A">
      <w:pPr>
        <w:pStyle w:val="SingleTxtG"/>
      </w:pPr>
      <w:r w:rsidRPr="009B3468">
        <w:t>15.</w:t>
      </w:r>
      <w:r w:rsidRPr="009B3468">
        <w:tab/>
        <w:t>En los párrafos 376 y 377 se hace referencia a la falta de una definición de acoso sexual en la legislación.</w:t>
      </w:r>
      <w:r>
        <w:t xml:space="preserve"> Sírvanse</w:t>
      </w:r>
      <w:r w:rsidRPr="009B3468">
        <w:t xml:space="preserve"> indicar si el Estado parte </w:t>
      </w:r>
      <w:r>
        <w:t xml:space="preserve">considera la posibilidad de </w:t>
      </w:r>
      <w:r w:rsidRPr="009B3468">
        <w:t>adoptar disposiciones jurídicas específicas que: a) definan y prohíban el acoso sexual en el lugar de trabajo; b) obliguen a los empleadores a tomar medidas para prevenir el acoso sexual y; c) prevean la imposición de sanciones adecuadas.</w:t>
      </w:r>
      <w:r>
        <w:t xml:space="preserve"> </w:t>
      </w:r>
      <w:r w:rsidRPr="009B3468">
        <w:t xml:space="preserve">Sírvanse indicar </w:t>
      </w:r>
      <w:r>
        <w:t xml:space="preserve">también </w:t>
      </w:r>
      <w:r w:rsidRPr="009B3468">
        <w:t xml:space="preserve">si el Estado parte </w:t>
      </w:r>
      <w:r>
        <w:t>tiene</w:t>
      </w:r>
      <w:r w:rsidRPr="009B3468">
        <w:t xml:space="preserve"> previsto adoptar disposiciones jurídicas que incluyan la inversión o el alivio de la carga de la prueba en los casos de discriminación con el fin de favorecer a las empleadas, de modo que sean los empleadores quienes deban explicar por qué las mujeres ocupan puestos de menor categoría profesional, tienen menos responsabilidades o ganan un salario inferior.</w:t>
      </w:r>
    </w:p>
    <w:p w:rsidR="006E203A" w:rsidRPr="009B3468" w:rsidRDefault="006E203A" w:rsidP="006E203A">
      <w:pPr>
        <w:pStyle w:val="SingleTxtG"/>
      </w:pPr>
      <w:r w:rsidRPr="009B3468">
        <w:t>16.</w:t>
      </w:r>
      <w:r w:rsidRPr="009B3468">
        <w:tab/>
      </w:r>
      <w:r>
        <w:t xml:space="preserve">En el párrafo 386 se indica que </w:t>
      </w:r>
      <w:r w:rsidRPr="009B3468">
        <w:t>la Ley de empleo de 1995 prohíbe rescindir el contrato de una empleada embarazada.</w:t>
      </w:r>
      <w:r>
        <w:t xml:space="preserve"> </w:t>
      </w:r>
      <w:r w:rsidRPr="009B3468">
        <w:t xml:space="preserve">Sin embargo, la información que obra en poder del Comité indica que </w:t>
      </w:r>
      <w:r>
        <w:t xml:space="preserve">es frecuente que </w:t>
      </w:r>
      <w:r w:rsidRPr="009B3468">
        <w:t xml:space="preserve">los empleadores </w:t>
      </w:r>
      <w:r>
        <w:t xml:space="preserve">no respeten </w:t>
      </w:r>
      <w:r w:rsidRPr="009B3468">
        <w:t>esta disposición.</w:t>
      </w:r>
      <w:r>
        <w:t xml:space="preserve"> Sírvanse </w:t>
      </w:r>
      <w:r w:rsidRPr="009B3468">
        <w:t>indicar qué medidas se han adoptado o previsto para vigilar la aplicación de esta disposición</w:t>
      </w:r>
      <w:r>
        <w:t>,</w:t>
      </w:r>
      <w:r w:rsidRPr="009B3468">
        <w:t xml:space="preserve"> </w:t>
      </w:r>
      <w:r>
        <w:t>así como</w:t>
      </w:r>
      <w:r w:rsidRPr="009B3468">
        <w:t xml:space="preserve"> facilitar datos sobre el número de casos llevados a los tribunales en relación con este asunto</w:t>
      </w:r>
      <w:r>
        <w:t xml:space="preserve"> y </w:t>
      </w:r>
      <w:r w:rsidRPr="009B3468">
        <w:t>sobre el resultado de las decisiones judiciales.</w:t>
      </w:r>
      <w:r>
        <w:t xml:space="preserve"> Sírvanse </w:t>
      </w:r>
      <w:r w:rsidRPr="009B3468">
        <w:t xml:space="preserve">indicar </w:t>
      </w:r>
      <w:r>
        <w:t>también</w:t>
      </w:r>
      <w:r w:rsidRPr="009B3468">
        <w:t xml:space="preserve"> qué medidas se han previsto para aumentar el número y la capacidad de las guarderías </w:t>
      </w:r>
      <w:r>
        <w:t xml:space="preserve">públicas </w:t>
      </w:r>
      <w:r w:rsidRPr="009B3468">
        <w:t>(párr. 404).</w:t>
      </w:r>
      <w:r>
        <w:t xml:space="preserve"> </w:t>
      </w:r>
      <w:r w:rsidRPr="009B3468">
        <w:t>Asimismo, sírvanse facilitar información sobre las medidas adoptadas para asegurar la aplicación de la disposición referida a la igualdad de remuneración para hombres y mujeres por un trabajo de igual valor.</w:t>
      </w:r>
    </w:p>
    <w:p w:rsidR="006E203A" w:rsidRPr="009B3468" w:rsidRDefault="006E203A" w:rsidP="006E203A">
      <w:pPr>
        <w:pStyle w:val="H1G"/>
      </w:pPr>
      <w:r>
        <w:tab/>
      </w:r>
      <w:r>
        <w:tab/>
      </w:r>
      <w:r w:rsidRPr="009B3468">
        <w:t>Salud</w:t>
      </w:r>
    </w:p>
    <w:p w:rsidR="006E203A" w:rsidRPr="009B3468" w:rsidRDefault="006E203A" w:rsidP="006E203A">
      <w:pPr>
        <w:pStyle w:val="SingleTxtG"/>
      </w:pPr>
      <w:r w:rsidRPr="009B3468">
        <w:t>17.</w:t>
      </w:r>
      <w:r w:rsidRPr="009B3468">
        <w:tab/>
        <w:t>En los párrafos 459 y 474 se indica que la</w:t>
      </w:r>
      <w:r>
        <w:t>s</w:t>
      </w:r>
      <w:r w:rsidRPr="009B3468">
        <w:t xml:space="preserve"> tasa</w:t>
      </w:r>
      <w:r>
        <w:t>s</w:t>
      </w:r>
      <w:r w:rsidRPr="009B3468">
        <w:t xml:space="preserve"> de embarazo de adolescentes sigue</w:t>
      </w:r>
      <w:r>
        <w:t>n</w:t>
      </w:r>
      <w:r w:rsidRPr="009B3468">
        <w:t xml:space="preserve"> siendo significativamente alta</w:t>
      </w:r>
      <w:r>
        <w:t>s</w:t>
      </w:r>
      <w:r w:rsidRPr="009B3468">
        <w:t>, y que las muchachas de 15 a 17 años deben obtener el consentimiento de sus padres para acceder a los contraceptivos y someterse a pruebas para la detección del VIH.</w:t>
      </w:r>
      <w:r>
        <w:t xml:space="preserve"> </w:t>
      </w:r>
      <w:r w:rsidRPr="009B3468">
        <w:t>En el párrafo 475 del informe se alude además a la elaboración de una política nacional sobre salud sexual y reproductiva.</w:t>
      </w:r>
      <w:r>
        <w:t xml:space="preserve"> Sírvanse </w:t>
      </w:r>
      <w:r w:rsidRPr="009B3468">
        <w:t>indicar si esta política está ya terminada y si contiene disposiciones para el acceso asequible a los contraceptivos, introduce la educación sobre la salud y los derechos sexuales y reproductivos en los planes de estudios escolares, vela por que todas las mujeres y niñas tengan un acceso adecuado a los servicios de salud sexual y reproductiva, y permite a los adolescentes acceder a los contraceptivos y someterse a pruebas para la detección del VIH sin tener que obtener el consentimiento de sus padres.</w:t>
      </w:r>
    </w:p>
    <w:p w:rsidR="006E203A" w:rsidRPr="009B3468" w:rsidRDefault="006E203A" w:rsidP="006E203A">
      <w:pPr>
        <w:pStyle w:val="H1G"/>
      </w:pPr>
      <w:r>
        <w:tab/>
      </w:r>
      <w:r>
        <w:tab/>
      </w:r>
      <w:r w:rsidRPr="009B3468">
        <w:t>Desastres naturales</w:t>
      </w:r>
    </w:p>
    <w:p w:rsidR="006E203A" w:rsidRPr="009B3468" w:rsidRDefault="006E203A" w:rsidP="006E203A">
      <w:pPr>
        <w:pStyle w:val="SingleTxtG"/>
      </w:pPr>
      <w:r w:rsidRPr="009B3468">
        <w:t>18.</w:t>
      </w:r>
      <w:r w:rsidRPr="009B3468">
        <w:tab/>
        <w:t xml:space="preserve">En el párrafo 603 se indica que </w:t>
      </w:r>
      <w:r>
        <w:t xml:space="preserve">en los documentos a que se hace referencia en él </w:t>
      </w:r>
      <w:r w:rsidRPr="009B3468">
        <w:t xml:space="preserve">no se </w:t>
      </w:r>
      <w:r>
        <w:t xml:space="preserve">mencionan ni analizan adecuadamente </w:t>
      </w:r>
      <w:r w:rsidRPr="009B3468">
        <w:t>los efectos del cambio climático relacionados específicamente con el género en las esferas de la energía, el agua, la seguridad alimentaria y la gestión de desastres</w:t>
      </w:r>
      <w:r>
        <w:t>. Sírvanse</w:t>
      </w:r>
      <w:r w:rsidRPr="009B3468">
        <w:t xml:space="preserve"> indicar si el Estado parte </w:t>
      </w:r>
      <w:r>
        <w:t xml:space="preserve">prevé </w:t>
      </w:r>
      <w:r w:rsidRPr="009B3468">
        <w:t>incorporar una perspectiva de género a su gestión de los desastres naturales y a las estrategias de socorro y recuperación.</w:t>
      </w:r>
    </w:p>
    <w:p w:rsidR="006E203A" w:rsidRPr="009B3468" w:rsidRDefault="006E203A" w:rsidP="006E203A">
      <w:pPr>
        <w:pStyle w:val="H1G"/>
      </w:pPr>
      <w:r>
        <w:tab/>
      </w:r>
      <w:r>
        <w:tab/>
      </w:r>
      <w:r w:rsidRPr="009B3468">
        <w:t>Matrimonio y relaciones familiares</w:t>
      </w:r>
    </w:p>
    <w:p w:rsidR="006E203A" w:rsidRPr="009B3468" w:rsidRDefault="006E203A" w:rsidP="006E203A">
      <w:pPr>
        <w:pStyle w:val="SingleTxtG"/>
      </w:pPr>
      <w:r w:rsidRPr="009B3468">
        <w:t>19.</w:t>
      </w:r>
      <w:r w:rsidRPr="009B3468">
        <w:tab/>
        <w:t xml:space="preserve">Sírvanse indicar si el Estado parte </w:t>
      </w:r>
      <w:r>
        <w:t>tiene</w:t>
      </w:r>
      <w:r w:rsidRPr="009B3468">
        <w:t xml:space="preserve"> previsto eliminar de su legislación todas las disposiciones discriminatorias, entre otras las que: a) establecen edades mínimas distintas para contraer matrimonio </w:t>
      </w:r>
      <w:r>
        <w:t>para los niños y las niñas (artículo</w:t>
      </w:r>
      <w:r w:rsidRPr="009B3468">
        <w:t xml:space="preserve"> S 40 de la Ley por la que se regula el estado civil); b) </w:t>
      </w:r>
      <w:r>
        <w:t>asignan</w:t>
      </w:r>
      <w:r w:rsidRPr="009B3468">
        <w:t xml:space="preserve"> al marido la responsabilidad principal de sufr</w:t>
      </w:r>
      <w:r>
        <w:t>agar los gastos familiares (artículo</w:t>
      </w:r>
      <w:r w:rsidRPr="009B3468">
        <w:t xml:space="preserve"> 214, párr</w:t>
      </w:r>
      <w:r>
        <w:t>afo</w:t>
      </w:r>
      <w:r w:rsidRPr="009B3468">
        <w:t xml:space="preserve"> 2, del Código Civil); y c) dan preferencia al padre en lo que respecta a</w:t>
      </w:r>
      <w:r>
        <w:t>:</w:t>
      </w:r>
      <w:r w:rsidRPr="009B3468">
        <w:t xml:space="preserve"> i) la administración de los bienes de los hijos (art</w:t>
      </w:r>
      <w:r>
        <w:t>ículo</w:t>
      </w:r>
      <w:r w:rsidRPr="009B3468">
        <w:t xml:space="preserve"> 389 del Código Civil), ii) el consentimiento </w:t>
      </w:r>
      <w:r>
        <w:t>para e</w:t>
      </w:r>
      <w:r w:rsidRPr="009B3468">
        <w:t xml:space="preserve">l matrimonio de </w:t>
      </w:r>
      <w:r>
        <w:t>los hijos (artículos</w:t>
      </w:r>
      <w:r w:rsidRPr="009B3468">
        <w:t xml:space="preserve"> 46 </w:t>
      </w:r>
      <w:r>
        <w:t xml:space="preserve">1) y 47 </w:t>
      </w:r>
      <w:r w:rsidRPr="009B3468">
        <w:t xml:space="preserve">1) de la Ley por la que se regula el estado civil), y </w:t>
      </w:r>
      <w:r>
        <w:t>i</w:t>
      </w:r>
      <w:r w:rsidRPr="009B3468">
        <w:t>ii) el domicilio de los hijos.</w:t>
      </w:r>
      <w:r>
        <w:t xml:space="preserve"> </w:t>
      </w:r>
      <w:r w:rsidRPr="009B3468">
        <w:t xml:space="preserve">Sírvanse indicar asimismo si el Estado parte </w:t>
      </w:r>
      <w:r>
        <w:t>tiene</w:t>
      </w:r>
      <w:r w:rsidRPr="009B3468">
        <w:t xml:space="preserve"> previsto aprobar leyes sobre las </w:t>
      </w:r>
      <w:r>
        <w:t>uniones</w:t>
      </w:r>
      <w:r w:rsidRPr="009B3468">
        <w:t xml:space="preserve"> de hecho, con el fin de ofrecer protección y reparación a las mujeres en caso de separación.</w:t>
      </w:r>
    </w:p>
    <w:p w:rsidR="006E203A" w:rsidRPr="009B3468" w:rsidRDefault="006E203A" w:rsidP="006E203A">
      <w:pPr>
        <w:pStyle w:val="H1G"/>
      </w:pPr>
      <w:r>
        <w:tab/>
      </w:r>
      <w:r>
        <w:tab/>
      </w:r>
      <w:r w:rsidRPr="009B3468">
        <w:t>Enmienda al artículo 20, párrafo 1</w:t>
      </w:r>
    </w:p>
    <w:p w:rsidR="006E203A" w:rsidRDefault="006E203A" w:rsidP="006E203A">
      <w:pPr>
        <w:pStyle w:val="SingleTxtG"/>
        <w:spacing w:after="240"/>
      </w:pPr>
      <w:r w:rsidRPr="009B3468">
        <w:t>20.</w:t>
      </w:r>
      <w:r w:rsidRPr="009B3468">
        <w:tab/>
      </w:r>
      <w:r>
        <w:t>Sírvanse</w:t>
      </w:r>
      <w:r w:rsidRPr="009B3468">
        <w:t xml:space="preserve"> informar de todo avance realizado con respecto a la aceptación de la enmienda al artículo 20, párrafo 1, de la Convención.</w:t>
      </w:r>
    </w:p>
    <w:p w:rsidR="006F35EE" w:rsidRPr="000E0EE5" w:rsidRDefault="000E0EE5" w:rsidP="000E0EE5">
      <w:pPr>
        <w:pStyle w:val="SingleTxtG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1075E9" w:rsidRDefault="00381C24" w:rsidP="001075E9"/>
    <w:sectPr w:rsidR="00381C24" w:rsidRPr="001075E9" w:rsidSect="006E203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149" w:rsidRDefault="00565149">
      <w:r>
        <w:separator/>
      </w:r>
    </w:p>
  </w:endnote>
  <w:endnote w:type="continuationSeparator" w:id="0">
    <w:p w:rsidR="00565149" w:rsidRDefault="00565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3A" w:rsidRPr="006E203A" w:rsidRDefault="006E203A" w:rsidP="006E203A">
    <w:pPr>
      <w:pStyle w:val="Footer"/>
      <w:tabs>
        <w:tab w:val="right" w:pos="9638"/>
      </w:tabs>
    </w:pPr>
    <w:r w:rsidRPr="006E203A">
      <w:rPr>
        <w:b/>
        <w:sz w:val="18"/>
      </w:rPr>
      <w:fldChar w:fldCharType="begin"/>
    </w:r>
    <w:r w:rsidRPr="006E203A">
      <w:rPr>
        <w:b/>
        <w:sz w:val="18"/>
      </w:rPr>
      <w:instrText xml:space="preserve"> PAGE  \* MERGEFORMAT </w:instrText>
    </w:r>
    <w:r w:rsidRPr="006E203A">
      <w:rPr>
        <w:b/>
        <w:sz w:val="18"/>
      </w:rPr>
      <w:fldChar w:fldCharType="separate"/>
    </w:r>
    <w:r w:rsidR="00044278">
      <w:rPr>
        <w:b/>
        <w:noProof/>
        <w:sz w:val="18"/>
      </w:rPr>
      <w:t>4</w:t>
    </w:r>
    <w:r w:rsidRPr="006E203A">
      <w:rPr>
        <w:b/>
        <w:sz w:val="18"/>
      </w:rPr>
      <w:fldChar w:fldCharType="end"/>
    </w:r>
    <w:r>
      <w:rPr>
        <w:b/>
        <w:sz w:val="18"/>
      </w:rPr>
      <w:tab/>
    </w:r>
    <w:r>
      <w:t>GE.13-42056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3A" w:rsidRPr="006E203A" w:rsidRDefault="006E203A" w:rsidP="006E203A">
    <w:pPr>
      <w:pStyle w:val="Footer"/>
      <w:tabs>
        <w:tab w:val="right" w:pos="9638"/>
      </w:tabs>
      <w:rPr>
        <w:b/>
        <w:sz w:val="18"/>
      </w:rPr>
    </w:pPr>
    <w:r>
      <w:t>GE.13-42056</w:t>
    </w:r>
    <w:r>
      <w:tab/>
    </w:r>
    <w:r w:rsidRPr="006E203A">
      <w:rPr>
        <w:b/>
        <w:sz w:val="18"/>
      </w:rPr>
      <w:fldChar w:fldCharType="begin"/>
    </w:r>
    <w:r w:rsidRPr="006E203A">
      <w:rPr>
        <w:b/>
        <w:sz w:val="18"/>
      </w:rPr>
      <w:instrText xml:space="preserve"> PAGE  \* MERGEFORMAT </w:instrText>
    </w:r>
    <w:r w:rsidRPr="006E203A">
      <w:rPr>
        <w:b/>
        <w:sz w:val="18"/>
      </w:rPr>
      <w:fldChar w:fldCharType="separate"/>
    </w:r>
    <w:r w:rsidR="00044278">
      <w:rPr>
        <w:b/>
        <w:noProof/>
        <w:sz w:val="18"/>
      </w:rPr>
      <w:t>5</w:t>
    </w:r>
    <w:r w:rsidRPr="006E203A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6D" w:rsidRPr="006E203A" w:rsidRDefault="006E203A">
    <w:r>
      <w:t>GE.</w:t>
    </w:r>
    <w:r w:rsidR="00693D6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7.25pt;margin-top:742.05pt;width:85.5pt;height:18pt;z-index:1;mso-position-horizontal-relative:margin;mso-position-vertical-relative:page" wrapcoords="18189 0 0 9900 -189 12600 -189 17100 758 19800 19516 19800 20274 19800 21032 14400 21600 14400 21600 8100 20653 0 18189 0">
          <v:imagedata r:id="rId1" o:title="recycle_Spanish"/>
          <w10:wrap anchorx="margin" anchory="page"/>
          <w10:anchorlock/>
        </v:shape>
      </w:pict>
    </w:r>
    <w:r w:rsidR="007F790A">
      <w:t>13-42056  (S)    080413    10</w:t>
    </w:r>
    <w:r>
      <w:t>0413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149" w:rsidRPr="001075E9" w:rsidRDefault="0056514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65149" w:rsidRDefault="00565149" w:rsidP="001B04E7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E203A" w:rsidRPr="0039266D" w:rsidRDefault="006E203A" w:rsidP="006E203A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E16466">
        <w:t>Salvo indicación contrari</w:t>
      </w:r>
      <w:r>
        <w:t>a</w:t>
      </w:r>
      <w:r w:rsidRPr="00E16466">
        <w:t>, los números de los párrafos se refieren</w:t>
      </w:r>
      <w:r>
        <w:t xml:space="preserve"> al </w:t>
      </w:r>
      <w:r w:rsidRPr="00E16466">
        <w:t>informe inicial e informes periódicos segundo, tercero, cuarto y quinto combinados de Seychelles</w:t>
      </w:r>
      <w:r>
        <w:t xml:space="preserve"> </w:t>
      </w:r>
      <w:r w:rsidRPr="0039266D">
        <w:t>(CEDAW/C/SYC/1-5).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3A" w:rsidRPr="006E203A" w:rsidRDefault="006E203A">
    <w:pPr>
      <w:pStyle w:val="Header"/>
    </w:pPr>
    <w:r>
      <w:t>CEDAW/C/SYC/Q/1-5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3A" w:rsidRPr="006E203A" w:rsidRDefault="006E203A" w:rsidP="006E203A">
    <w:pPr>
      <w:pStyle w:val="Header"/>
      <w:jc w:val="right"/>
    </w:pPr>
    <w:r>
      <w:t>CEDAW/C/SYC/Q/1-5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801"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D6D"/>
    <w:rsid w:val="00001656"/>
    <w:rsid w:val="00006BB9"/>
    <w:rsid w:val="00044278"/>
    <w:rsid w:val="000B57E7"/>
    <w:rsid w:val="000E0EE5"/>
    <w:rsid w:val="000F09DF"/>
    <w:rsid w:val="000F61B2"/>
    <w:rsid w:val="001075E9"/>
    <w:rsid w:val="00155C74"/>
    <w:rsid w:val="00160FF7"/>
    <w:rsid w:val="00180183"/>
    <w:rsid w:val="0018060E"/>
    <w:rsid w:val="00196389"/>
    <w:rsid w:val="001B04E7"/>
    <w:rsid w:val="001C7A89"/>
    <w:rsid w:val="001F35CC"/>
    <w:rsid w:val="001F78A8"/>
    <w:rsid w:val="0022765D"/>
    <w:rsid w:val="0028026A"/>
    <w:rsid w:val="002A2EFC"/>
    <w:rsid w:val="002C0E18"/>
    <w:rsid w:val="002C33BB"/>
    <w:rsid w:val="002D5AAC"/>
    <w:rsid w:val="00301299"/>
    <w:rsid w:val="00322004"/>
    <w:rsid w:val="003402C2"/>
    <w:rsid w:val="00365860"/>
    <w:rsid w:val="00381C24"/>
    <w:rsid w:val="003958D0"/>
    <w:rsid w:val="003D2598"/>
    <w:rsid w:val="003E3860"/>
    <w:rsid w:val="00411DE8"/>
    <w:rsid w:val="0041418E"/>
    <w:rsid w:val="00454E07"/>
    <w:rsid w:val="0047036F"/>
    <w:rsid w:val="004C7964"/>
    <w:rsid w:val="0050108D"/>
    <w:rsid w:val="00561C11"/>
    <w:rsid w:val="00565149"/>
    <w:rsid w:val="00572E19"/>
    <w:rsid w:val="005E2105"/>
    <w:rsid w:val="005F0B42"/>
    <w:rsid w:val="00655A21"/>
    <w:rsid w:val="006808A9"/>
    <w:rsid w:val="006928EB"/>
    <w:rsid w:val="00693D6D"/>
    <w:rsid w:val="006A4CE0"/>
    <w:rsid w:val="006B5350"/>
    <w:rsid w:val="006C1A4E"/>
    <w:rsid w:val="006D558F"/>
    <w:rsid w:val="006E203A"/>
    <w:rsid w:val="006F35EE"/>
    <w:rsid w:val="007021FF"/>
    <w:rsid w:val="007076CB"/>
    <w:rsid w:val="007221CA"/>
    <w:rsid w:val="00724B4E"/>
    <w:rsid w:val="00773DE4"/>
    <w:rsid w:val="00774ECC"/>
    <w:rsid w:val="007967DF"/>
    <w:rsid w:val="007F790A"/>
    <w:rsid w:val="0081068B"/>
    <w:rsid w:val="00810DFC"/>
    <w:rsid w:val="00812E97"/>
    <w:rsid w:val="0081591E"/>
    <w:rsid w:val="008223FD"/>
    <w:rsid w:val="00834B71"/>
    <w:rsid w:val="0086445C"/>
    <w:rsid w:val="0087010F"/>
    <w:rsid w:val="00895AAE"/>
    <w:rsid w:val="008A08D7"/>
    <w:rsid w:val="008A13F9"/>
    <w:rsid w:val="00906890"/>
    <w:rsid w:val="00951972"/>
    <w:rsid w:val="00963777"/>
    <w:rsid w:val="009F3AAE"/>
    <w:rsid w:val="00A028FD"/>
    <w:rsid w:val="00A17DFD"/>
    <w:rsid w:val="00A6214A"/>
    <w:rsid w:val="00A917B3"/>
    <w:rsid w:val="00AB4B51"/>
    <w:rsid w:val="00AC5B8D"/>
    <w:rsid w:val="00B10CC7"/>
    <w:rsid w:val="00B302C9"/>
    <w:rsid w:val="00B45F9C"/>
    <w:rsid w:val="00B52259"/>
    <w:rsid w:val="00B62458"/>
    <w:rsid w:val="00BD33EE"/>
    <w:rsid w:val="00BE10C4"/>
    <w:rsid w:val="00C3381F"/>
    <w:rsid w:val="00C60F0C"/>
    <w:rsid w:val="00C805C9"/>
    <w:rsid w:val="00C81889"/>
    <w:rsid w:val="00C83B61"/>
    <w:rsid w:val="00CA1679"/>
    <w:rsid w:val="00CF4750"/>
    <w:rsid w:val="00D45E8E"/>
    <w:rsid w:val="00D90138"/>
    <w:rsid w:val="00D90D44"/>
    <w:rsid w:val="00DC4C3F"/>
    <w:rsid w:val="00DF29B2"/>
    <w:rsid w:val="00E121B8"/>
    <w:rsid w:val="00E14BCD"/>
    <w:rsid w:val="00E36F25"/>
    <w:rsid w:val="00E73F76"/>
    <w:rsid w:val="00EE4E94"/>
    <w:rsid w:val="00EF1360"/>
    <w:rsid w:val="00EF3220"/>
    <w:rsid w:val="00F10730"/>
    <w:rsid w:val="00F617E7"/>
    <w:rsid w:val="00F94155"/>
    <w:rsid w:val="00FD2EF7"/>
    <w:rsid w:val="00FD4AD6"/>
    <w:rsid w:val="00F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AAE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rsid w:val="00895AAE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95AA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95A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95A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95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95A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95AA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895AA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95A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895AAE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95AAE"/>
  </w:style>
  <w:style w:type="paragraph" w:customStyle="1" w:styleId="HMG">
    <w:name w:val="_ H __M_G"/>
    <w:basedOn w:val="Normal"/>
    <w:next w:val="Normal"/>
    <w:rsid w:val="00895AA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895AA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895AA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95AA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95AA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95AA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895AAE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95AAE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95AAE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95AAE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95AA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895AAE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895AAE"/>
    <w:pPr>
      <w:numPr>
        <w:numId w:val="2"/>
      </w:numPr>
      <w:spacing w:after="120"/>
      <w:ind w:right="1134"/>
      <w:jc w:val="both"/>
    </w:pPr>
  </w:style>
  <w:style w:type="numbering" w:styleId="111111">
    <w:name w:val="Outline List 2"/>
    <w:basedOn w:val="NoList"/>
    <w:semiHidden/>
    <w:rsid w:val="00895AAE"/>
    <w:pPr>
      <w:numPr>
        <w:numId w:val="3"/>
      </w:numPr>
    </w:pPr>
  </w:style>
  <w:style w:type="numbering" w:styleId="1ai">
    <w:name w:val="Outline List 1"/>
    <w:basedOn w:val="NoList"/>
    <w:semiHidden/>
    <w:rsid w:val="00895AAE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895AAE"/>
  </w:style>
  <w:style w:type="numbering" w:styleId="ArticleSection">
    <w:name w:val="Outline List 3"/>
    <w:basedOn w:val="NoList"/>
    <w:semiHidden/>
    <w:rsid w:val="00895AAE"/>
    <w:pPr>
      <w:numPr>
        <w:numId w:val="5"/>
      </w:numPr>
    </w:pPr>
  </w:style>
  <w:style w:type="paragraph" w:styleId="Closing">
    <w:name w:val="Closing"/>
    <w:basedOn w:val="Normal"/>
    <w:semiHidden/>
    <w:rsid w:val="00895AAE"/>
    <w:pPr>
      <w:ind w:left="4252"/>
    </w:pPr>
  </w:style>
  <w:style w:type="character" w:styleId="HTMLCite">
    <w:name w:val="HTML Cite"/>
    <w:basedOn w:val="DefaultParagraphFont"/>
    <w:semiHidden/>
    <w:rsid w:val="00895AAE"/>
    <w:rPr>
      <w:i/>
      <w:iCs/>
    </w:rPr>
  </w:style>
  <w:style w:type="character" w:styleId="HTMLCode">
    <w:name w:val="HTML Code"/>
    <w:basedOn w:val="DefaultParagraphFont"/>
    <w:semiHidden/>
    <w:rsid w:val="00895AAE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895AAE"/>
    <w:pPr>
      <w:spacing w:after="120"/>
      <w:ind w:left="283"/>
    </w:pPr>
  </w:style>
  <w:style w:type="paragraph" w:styleId="ListContinue2">
    <w:name w:val="List Continue 2"/>
    <w:basedOn w:val="Normal"/>
    <w:semiHidden/>
    <w:rsid w:val="00895AAE"/>
    <w:pPr>
      <w:spacing w:after="120"/>
      <w:ind w:left="566"/>
    </w:pPr>
  </w:style>
  <w:style w:type="paragraph" w:styleId="ListContinue3">
    <w:name w:val="List Continue 3"/>
    <w:basedOn w:val="Normal"/>
    <w:semiHidden/>
    <w:rsid w:val="00895AAE"/>
    <w:pPr>
      <w:spacing w:after="120"/>
      <w:ind w:left="849"/>
    </w:pPr>
  </w:style>
  <w:style w:type="paragraph" w:styleId="ListContinue4">
    <w:name w:val="List Continue 4"/>
    <w:basedOn w:val="Normal"/>
    <w:semiHidden/>
    <w:rsid w:val="00895AAE"/>
    <w:pPr>
      <w:spacing w:after="120"/>
      <w:ind w:left="1132"/>
    </w:pPr>
  </w:style>
  <w:style w:type="paragraph" w:styleId="ListContinue5">
    <w:name w:val="List Continue 5"/>
    <w:basedOn w:val="Normal"/>
    <w:semiHidden/>
    <w:rsid w:val="00895AAE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895AAE"/>
    <w:rPr>
      <w:i/>
      <w:iCs/>
    </w:rPr>
  </w:style>
  <w:style w:type="paragraph" w:styleId="HTMLAddress">
    <w:name w:val="HTML Address"/>
    <w:basedOn w:val="Normal"/>
    <w:semiHidden/>
    <w:rsid w:val="00895AAE"/>
    <w:rPr>
      <w:i/>
      <w:iCs/>
    </w:rPr>
  </w:style>
  <w:style w:type="paragraph" w:styleId="EnvelopeAddress">
    <w:name w:val="envelope address"/>
    <w:basedOn w:val="Normal"/>
    <w:semiHidden/>
    <w:rsid w:val="00895AA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895AAE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895A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895AAE"/>
  </w:style>
  <w:style w:type="paragraph" w:styleId="Header">
    <w:name w:val="header"/>
    <w:aliases w:val="6_G"/>
    <w:basedOn w:val="Normal"/>
    <w:next w:val="Normal"/>
    <w:rsid w:val="00895AAE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Emphasis">
    <w:name w:val="Emphasis"/>
    <w:basedOn w:val="DefaultParagraphFont"/>
    <w:qFormat/>
    <w:rsid w:val="00895AAE"/>
    <w:rPr>
      <w:i/>
      <w:iCs/>
    </w:rPr>
  </w:style>
  <w:style w:type="paragraph" w:styleId="Date">
    <w:name w:val="Date"/>
    <w:basedOn w:val="Normal"/>
    <w:next w:val="Normal"/>
    <w:semiHidden/>
    <w:rsid w:val="00895AAE"/>
  </w:style>
  <w:style w:type="paragraph" w:styleId="Signature">
    <w:name w:val="Signature"/>
    <w:basedOn w:val="Normal"/>
    <w:semiHidden/>
    <w:rsid w:val="00895AAE"/>
    <w:pPr>
      <w:ind w:left="4252"/>
    </w:pPr>
  </w:style>
  <w:style w:type="paragraph" w:styleId="E-mailSignature">
    <w:name w:val="E-mail Signature"/>
    <w:basedOn w:val="Normal"/>
    <w:semiHidden/>
    <w:rsid w:val="00895AAE"/>
  </w:style>
  <w:style w:type="character" w:styleId="Hyperlink">
    <w:name w:val="Hyperlink"/>
    <w:basedOn w:val="DefaultParagraphFont"/>
    <w:semiHidden/>
    <w:rsid w:val="00895AA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95AAE"/>
    <w:rPr>
      <w:color w:val="800080"/>
      <w:u w:val="single"/>
    </w:rPr>
  </w:style>
  <w:style w:type="paragraph" w:styleId="HTMLPreformatted">
    <w:name w:val="HTML Preformatted"/>
    <w:basedOn w:val="Normal"/>
    <w:semiHidden/>
    <w:rsid w:val="00895AAE"/>
    <w:rPr>
      <w:rFonts w:ascii="Courier New" w:hAnsi="Courier New" w:cs="Courier New"/>
    </w:rPr>
  </w:style>
  <w:style w:type="paragraph" w:styleId="List">
    <w:name w:val="List"/>
    <w:basedOn w:val="Normal"/>
    <w:semiHidden/>
    <w:rsid w:val="00895AAE"/>
    <w:pPr>
      <w:ind w:left="283" w:hanging="283"/>
    </w:pPr>
  </w:style>
  <w:style w:type="paragraph" w:styleId="List2">
    <w:name w:val="List 2"/>
    <w:basedOn w:val="Normal"/>
    <w:semiHidden/>
    <w:rsid w:val="00895AAE"/>
    <w:pPr>
      <w:ind w:left="566" w:hanging="283"/>
    </w:pPr>
  </w:style>
  <w:style w:type="paragraph" w:styleId="List3">
    <w:name w:val="List 3"/>
    <w:basedOn w:val="Normal"/>
    <w:semiHidden/>
    <w:rsid w:val="00895AAE"/>
    <w:pPr>
      <w:ind w:left="849" w:hanging="283"/>
    </w:pPr>
  </w:style>
  <w:style w:type="paragraph" w:styleId="List4">
    <w:name w:val="List 4"/>
    <w:basedOn w:val="Normal"/>
    <w:semiHidden/>
    <w:rsid w:val="00895AAE"/>
    <w:pPr>
      <w:ind w:left="1132" w:hanging="283"/>
    </w:pPr>
  </w:style>
  <w:style w:type="paragraph" w:styleId="List5">
    <w:name w:val="List 5"/>
    <w:basedOn w:val="Normal"/>
    <w:semiHidden/>
    <w:rsid w:val="00895AAE"/>
    <w:pPr>
      <w:ind w:left="1415" w:hanging="283"/>
    </w:pPr>
  </w:style>
  <w:style w:type="paragraph" w:styleId="ListNumber">
    <w:name w:val="List Number"/>
    <w:basedOn w:val="Normal"/>
    <w:semiHidden/>
    <w:rsid w:val="00895AAE"/>
    <w:pPr>
      <w:numPr>
        <w:numId w:val="6"/>
      </w:numPr>
    </w:pPr>
  </w:style>
  <w:style w:type="paragraph" w:styleId="ListNumber2">
    <w:name w:val="List Number 2"/>
    <w:basedOn w:val="Normal"/>
    <w:semiHidden/>
    <w:rsid w:val="00895AAE"/>
    <w:pPr>
      <w:numPr>
        <w:numId w:val="7"/>
      </w:numPr>
    </w:pPr>
  </w:style>
  <w:style w:type="paragraph" w:styleId="ListNumber3">
    <w:name w:val="List Number 3"/>
    <w:basedOn w:val="Normal"/>
    <w:semiHidden/>
    <w:rsid w:val="00895AAE"/>
    <w:pPr>
      <w:numPr>
        <w:numId w:val="8"/>
      </w:numPr>
    </w:pPr>
  </w:style>
  <w:style w:type="paragraph" w:styleId="ListNumber4">
    <w:name w:val="List Number 4"/>
    <w:basedOn w:val="Normal"/>
    <w:semiHidden/>
    <w:rsid w:val="00895AAE"/>
    <w:pPr>
      <w:numPr>
        <w:numId w:val="9"/>
      </w:numPr>
    </w:pPr>
  </w:style>
  <w:style w:type="paragraph" w:styleId="ListNumber5">
    <w:name w:val="List Number 5"/>
    <w:basedOn w:val="Normal"/>
    <w:semiHidden/>
    <w:rsid w:val="00895AAE"/>
    <w:pPr>
      <w:numPr>
        <w:numId w:val="10"/>
      </w:numPr>
    </w:pPr>
  </w:style>
  <w:style w:type="paragraph" w:styleId="ListBullet">
    <w:name w:val="List Bullet"/>
    <w:basedOn w:val="Normal"/>
    <w:semiHidden/>
    <w:rsid w:val="00895AAE"/>
    <w:pPr>
      <w:numPr>
        <w:numId w:val="11"/>
      </w:numPr>
    </w:pPr>
  </w:style>
  <w:style w:type="paragraph" w:styleId="ListBullet2">
    <w:name w:val="List Bullet 2"/>
    <w:basedOn w:val="Normal"/>
    <w:semiHidden/>
    <w:rsid w:val="00895AAE"/>
    <w:pPr>
      <w:numPr>
        <w:numId w:val="12"/>
      </w:numPr>
    </w:pPr>
  </w:style>
  <w:style w:type="paragraph" w:styleId="ListBullet3">
    <w:name w:val="List Bullet 3"/>
    <w:basedOn w:val="Normal"/>
    <w:semiHidden/>
    <w:rsid w:val="00895AAE"/>
    <w:pPr>
      <w:numPr>
        <w:numId w:val="13"/>
      </w:numPr>
    </w:pPr>
  </w:style>
  <w:style w:type="paragraph" w:styleId="ListBullet4">
    <w:name w:val="List Bullet 4"/>
    <w:basedOn w:val="Normal"/>
    <w:semiHidden/>
    <w:rsid w:val="00895AAE"/>
    <w:pPr>
      <w:numPr>
        <w:numId w:val="14"/>
      </w:numPr>
    </w:pPr>
  </w:style>
  <w:style w:type="paragraph" w:styleId="ListBullet5">
    <w:name w:val="List Bullet 5"/>
    <w:basedOn w:val="Normal"/>
    <w:semiHidden/>
    <w:rsid w:val="00895AAE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895AAE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895AAE"/>
    <w:rPr>
      <w:sz w:val="24"/>
      <w:szCs w:val="24"/>
    </w:rPr>
  </w:style>
  <w:style w:type="character" w:styleId="LineNumber">
    <w:name w:val="line number"/>
    <w:basedOn w:val="DefaultParagraphFont"/>
    <w:semiHidden/>
    <w:rsid w:val="00895AAE"/>
  </w:style>
  <w:style w:type="character" w:styleId="PageNumber">
    <w:name w:val="page number"/>
    <w:aliases w:val="7_G"/>
    <w:basedOn w:val="DefaultParagraphFont"/>
    <w:rsid w:val="00895AAE"/>
    <w:rPr>
      <w:b/>
      <w:sz w:val="18"/>
    </w:rPr>
  </w:style>
  <w:style w:type="paragraph" w:styleId="Footer">
    <w:name w:val="footer"/>
    <w:aliases w:val="3_G"/>
    <w:basedOn w:val="Normal"/>
    <w:next w:val="Normal"/>
    <w:rsid w:val="00895AAE"/>
    <w:rPr>
      <w:sz w:val="16"/>
    </w:rPr>
  </w:style>
  <w:style w:type="character" w:styleId="FootnoteReference">
    <w:name w:val="footnote reference"/>
    <w:aliases w:val="4_G"/>
    <w:basedOn w:val="DefaultParagraphFont"/>
    <w:rsid w:val="00895AAE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895AAE"/>
  </w:style>
  <w:style w:type="paragraph" w:styleId="EnvelopeReturn">
    <w:name w:val="envelope return"/>
    <w:basedOn w:val="Normal"/>
    <w:semiHidden/>
    <w:rsid w:val="00895AAE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895AAE"/>
  </w:style>
  <w:style w:type="paragraph" w:styleId="BodyTextIndent2">
    <w:name w:val="Body Text Indent 2"/>
    <w:basedOn w:val="Normal"/>
    <w:semiHidden/>
    <w:rsid w:val="00895AA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95AAE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895AAE"/>
    <w:pPr>
      <w:spacing w:after="120"/>
      <w:ind w:left="283"/>
    </w:pPr>
  </w:style>
  <w:style w:type="paragraph" w:styleId="NormalIndent">
    <w:name w:val="Normal Indent"/>
    <w:basedOn w:val="Normal"/>
    <w:semiHidden/>
    <w:rsid w:val="00895AAE"/>
    <w:pPr>
      <w:ind w:left="567"/>
    </w:pPr>
  </w:style>
  <w:style w:type="paragraph" w:styleId="Subtitle">
    <w:name w:val="Subtitle"/>
    <w:basedOn w:val="Normal"/>
    <w:qFormat/>
    <w:rsid w:val="00895AA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895AAE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95AAE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95AAE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895AAE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95AAE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95AAE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95AAE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895AAE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95AAE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95AAE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95AAE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95AAE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">
    <w:name w:val="Table Grid"/>
    <w:basedOn w:val="TableNormal"/>
    <w:semiHidden/>
    <w:rsid w:val="00895AAE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95AAE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95AAE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95AAE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95AAE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95AAE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95AAE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95AAE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95AAE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895AAE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95AAE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95AAE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95AAE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95AAE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95AAE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95AAE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95AAE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95AAE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95AAE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95AAE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895AAE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rsid w:val="00895AAE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895AAE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895AAE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95AAE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95AAE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95AAE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95AAE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95AAE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895AAE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95AAE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95AAE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895AAE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895AAE"/>
    <w:pPr>
      <w:spacing w:after="120"/>
      <w:ind w:left="1440" w:right="1440"/>
    </w:pPr>
  </w:style>
  <w:style w:type="character" w:styleId="Strong">
    <w:name w:val="Strong"/>
    <w:basedOn w:val="DefaultParagraphFont"/>
    <w:qFormat/>
    <w:rsid w:val="00895AAE"/>
    <w:rPr>
      <w:b/>
      <w:bCs/>
    </w:rPr>
  </w:style>
  <w:style w:type="paragraph" w:styleId="BodyText">
    <w:name w:val="Body Text"/>
    <w:basedOn w:val="Normal"/>
    <w:semiHidden/>
    <w:rsid w:val="00895AAE"/>
    <w:pPr>
      <w:spacing w:after="120"/>
    </w:pPr>
  </w:style>
  <w:style w:type="paragraph" w:styleId="BodyText2">
    <w:name w:val="Body Text 2"/>
    <w:basedOn w:val="Normal"/>
    <w:semiHidden/>
    <w:rsid w:val="00895AAE"/>
    <w:pPr>
      <w:spacing w:after="120" w:line="480" w:lineRule="auto"/>
    </w:pPr>
  </w:style>
  <w:style w:type="paragraph" w:styleId="BodyText3">
    <w:name w:val="Body Text 3"/>
    <w:basedOn w:val="Normal"/>
    <w:semiHidden/>
    <w:rsid w:val="00895AA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95AAE"/>
    <w:pPr>
      <w:ind w:firstLine="210"/>
    </w:pPr>
  </w:style>
  <w:style w:type="paragraph" w:styleId="BodyTextFirstIndent2">
    <w:name w:val="Body Text First Indent 2"/>
    <w:basedOn w:val="BodyTextIndent"/>
    <w:semiHidden/>
    <w:rsid w:val="00895AAE"/>
    <w:pPr>
      <w:ind w:firstLine="210"/>
    </w:pPr>
  </w:style>
  <w:style w:type="paragraph" w:styleId="FootnoteText">
    <w:name w:val="footnote text"/>
    <w:aliases w:val="5_G"/>
    <w:basedOn w:val="Normal"/>
    <w:rsid w:val="00895AA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895AAE"/>
  </w:style>
  <w:style w:type="paragraph" w:styleId="PlainText">
    <w:name w:val="Plain Text"/>
    <w:basedOn w:val="Normal"/>
    <w:semiHidden/>
    <w:rsid w:val="00895AAE"/>
    <w:rPr>
      <w:rFonts w:ascii="Courier New" w:hAnsi="Courier New" w:cs="Courier New"/>
    </w:rPr>
  </w:style>
  <w:style w:type="paragraph" w:styleId="Title">
    <w:name w:val="Title"/>
    <w:basedOn w:val="Normal"/>
    <w:qFormat/>
    <w:rsid w:val="00895A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895A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CEDAW.dot</Template>
  <TotalTime>0</TotalTime>
  <Pages>5</Pages>
  <Words>2178</Words>
  <Characters>11985</Characters>
  <Application>Microsoft Office Outlook</Application>
  <DocSecurity>4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CEDAW/C/SYC/Q/1-5 - 13-42056</vt:lpstr>
    </vt:vector>
  </TitlesOfParts>
  <Company/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CEDAW/C/SYC/Q/1-5 - 13-42056</dc:title>
  <dc:subject>FINAL</dc:subject>
  <dc:creator>mabel</dc:creator>
  <cp:keywords/>
  <dc:description/>
  <cp:lastModifiedBy>María de la Plaza</cp:lastModifiedBy>
  <cp:revision>2</cp:revision>
  <cp:lastPrinted>2008-01-16T09:37:00Z</cp:lastPrinted>
  <dcterms:created xsi:type="dcterms:W3CDTF">2013-04-10T07:50:00Z</dcterms:created>
  <dcterms:modified xsi:type="dcterms:W3CDTF">2013-04-10T07:50:00Z</dcterms:modified>
</cp:coreProperties>
</file>