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C6540E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E3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E3233" w:rsidRDefault="005E3233" w:rsidP="005E3233">
            <w:pPr>
              <w:jc w:val="right"/>
              <w:rPr>
                <w:lang w:val="en-US"/>
              </w:rPr>
            </w:pPr>
            <w:r w:rsidRPr="005E3233">
              <w:rPr>
                <w:sz w:val="40"/>
                <w:lang w:val="en-US"/>
              </w:rPr>
              <w:t>CRPD</w:t>
            </w:r>
            <w:r w:rsidRPr="005E3233">
              <w:rPr>
                <w:lang w:val="en-US"/>
              </w:rPr>
              <w:t>/C/CYP/CO/1/Add.1</w:t>
            </w:r>
          </w:p>
        </w:tc>
      </w:tr>
      <w:tr w:rsidR="002D5AAC" w:rsidRPr="00C6540E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E3233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E3233" w:rsidRDefault="005E3233" w:rsidP="005E3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5E3233" w:rsidRDefault="005E3233" w:rsidP="005E3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E3233" w:rsidRPr="008934D2" w:rsidRDefault="005E3233" w:rsidP="005E3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>
              <w:rPr>
                <w:lang w:val="en-US"/>
              </w:rPr>
              <w:t>, Russian and Spanish only</w:t>
            </w:r>
          </w:p>
        </w:tc>
      </w:tr>
    </w:tbl>
    <w:p w:rsidR="00CB16AE" w:rsidRPr="00CB16AE" w:rsidRDefault="00CB16AE" w:rsidP="00CB16AE">
      <w:pPr>
        <w:spacing w:before="120"/>
        <w:rPr>
          <w:b/>
          <w:sz w:val="24"/>
          <w:szCs w:val="24"/>
        </w:rPr>
      </w:pPr>
      <w:r w:rsidRPr="00CB16AE">
        <w:rPr>
          <w:b/>
          <w:bCs/>
          <w:sz w:val="24"/>
          <w:szCs w:val="24"/>
        </w:rPr>
        <w:t>Комитет по правам инвалидов</w:t>
      </w:r>
    </w:p>
    <w:p w:rsidR="00CB16AE" w:rsidRPr="005477E9" w:rsidRDefault="00CB16AE" w:rsidP="00CB16AE">
      <w:pPr>
        <w:pStyle w:val="HChGR"/>
      </w:pPr>
      <w:r>
        <w:tab/>
      </w:r>
      <w:r>
        <w:tab/>
        <w:t>Заключительные замечания по первоначальному докладу Кипра</w:t>
      </w:r>
    </w:p>
    <w:p w:rsidR="00CB16AE" w:rsidRPr="005477E9" w:rsidRDefault="00CB16AE" w:rsidP="00CB16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</w:t>
      </w:r>
    </w:p>
    <w:p w:rsidR="00CB16AE" w:rsidRPr="005477E9" w:rsidRDefault="00CB16AE" w:rsidP="00CB16AE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Информация, полученная от Кипра по последующим мерам в связи с заключительными замечаниями</w:t>
      </w:r>
      <w:r w:rsidRPr="0075478E">
        <w:rPr>
          <w:b w:val="0"/>
          <w:bCs/>
          <w:sz w:val="20"/>
          <w:lang w:val="ru-RU"/>
        </w:rPr>
        <w:footnoteReference w:customMarkFollows="1" w:id="1"/>
        <w:t>*</w:t>
      </w:r>
    </w:p>
    <w:p w:rsidR="00CB16AE" w:rsidRDefault="00CB16AE" w:rsidP="00CB16AE">
      <w:pPr>
        <w:pStyle w:val="SingleTxtG"/>
        <w:jc w:val="right"/>
        <w:rPr>
          <w:lang w:val="ru-RU"/>
        </w:rPr>
      </w:pPr>
      <w:r>
        <w:rPr>
          <w:lang w:val="ru-RU"/>
        </w:rPr>
        <w:t>[Дата получения: 18 мая 2018 года]</w:t>
      </w:r>
    </w:p>
    <w:p w:rsidR="00CB16AE" w:rsidRDefault="00CB16AE" w:rsidP="00CB16AE">
      <w:pPr>
        <w:suppressAutoHyphens w:val="0"/>
        <w:spacing w:after="200" w:line="276" w:lineRule="auto"/>
        <w:rPr>
          <w:lang w:eastAsia="zh-CN"/>
        </w:rPr>
      </w:pPr>
      <w:r>
        <w:br w:type="page"/>
      </w:r>
    </w:p>
    <w:p w:rsidR="00CB16AE" w:rsidRPr="005477E9" w:rsidRDefault="00CB16AE" w:rsidP="00CB16AE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Информационная записка в связи с пунктами 26, 28, 58 заключительных замечаний Комитета Организации Объединенн</w:t>
      </w:r>
      <w:r w:rsidR="00A2061B">
        <w:rPr>
          <w:bCs/>
          <w:lang w:val="ru-RU"/>
        </w:rPr>
        <w:t>ых Наций по правам инвалидов по </w:t>
      </w:r>
      <w:r>
        <w:rPr>
          <w:bCs/>
          <w:lang w:val="ru-RU"/>
        </w:rPr>
        <w:t>первоначальному докладу Кипра</w:t>
      </w:r>
    </w:p>
    <w:p w:rsidR="00CB16AE" w:rsidRPr="005477E9" w:rsidRDefault="00CB16AE" w:rsidP="00CB16AE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Пункт 26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i/>
          <w:iCs/>
          <w:lang w:val="ru-RU"/>
        </w:rPr>
        <w:t xml:space="preserve">«Комитет рекомендует государству-участнику активизировать свои усилия по улучшению доступности, в том числе путем увеличения объема людских, технических и финансовых ресурсов и применения </w:t>
      </w:r>
      <w:proofErr w:type="spellStart"/>
      <w:r>
        <w:rPr>
          <w:i/>
          <w:iCs/>
          <w:lang w:val="ru-RU"/>
        </w:rPr>
        <w:t>международно</w:t>
      </w:r>
      <w:proofErr w:type="spellEnd"/>
      <w:r>
        <w:rPr>
          <w:i/>
          <w:iCs/>
          <w:lang w:val="ru-RU"/>
        </w:rPr>
        <w:t xml:space="preserve"> признанных стандартов, с тем чтобы обеспечить доступность общественных и частных внутренних и внешних объектов, информационно-коммуникационных технологий и аварийно-спасательных служб, а также профессионального </w:t>
      </w:r>
      <w:proofErr w:type="spellStart"/>
      <w:r>
        <w:rPr>
          <w:i/>
          <w:iCs/>
          <w:lang w:val="ru-RU"/>
        </w:rPr>
        <w:t>сурдоперевода</w:t>
      </w:r>
      <w:proofErr w:type="spellEnd"/>
      <w:r>
        <w:rPr>
          <w:i/>
          <w:iCs/>
          <w:lang w:val="ru-RU"/>
        </w:rPr>
        <w:t xml:space="preserve"> и стимулирующих и альтернативных способов общения как в сельских, так и в городских районах.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Кроме того, Комитет рекомендует государству-участнику значительно укрепить мониторинг соблюдения этих правил, а также систематически применять санкции за несоблюдение.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При этом государство-участник должно руководствоваться целями в области устойчивого развития, в частности задачей 11.7, а также замечанием общего порядка № 2 (2014)».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Кипр активизировал свои усилия по улучшению доступности общественных и частных природных и антропогенных объектов, информационно-коммуникационных технологий и альтернативных способов общения, а также аварийно-спасательных служб. </w:t>
      </w:r>
    </w:p>
    <w:p w:rsidR="00CB16AE" w:rsidRPr="0025592D" w:rsidRDefault="00CB16AE" w:rsidP="00CB16AE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Что касается доступности общественных и частных природных и антропогенных объектов, то в июле 2017 года в Официальном вестнике Республики были опубликованы следующие нормативно-правовые документы: </w:t>
      </w:r>
      <w:r>
        <w:rPr>
          <w:lang w:val="ru-RU"/>
        </w:rPr>
        <w:br/>
        <w:t xml:space="preserve">а) Закон № 111 (I)/2017, вносящий поправки в Закон о контроле за уличными и строительными работами; и b) Правила № 248/2017, вносящие поправки в Правила контроля за уличными и строительными работами и расширяющие и модернизирующие правило № 61H «Использование зданий инвалидами». </w:t>
      </w:r>
      <w:r>
        <w:rPr>
          <w:lang w:val="ru-RU"/>
        </w:rPr>
        <w:br/>
        <w:t>Правила № 248/2017 содержат всеобъемлющий и актуальный нормативный текст, посвященный техническим характеристикам и требованиям к дорогам и зданиям в целях обеспечения безопасного доступа к ним и их использования всеми лицами, включая инвалидов. Новая законодательная основа определяет общие принципы проектирования как жилых, так и нежилых зданий, тротуаров, пешеходных зон и площадей.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Департамент общественных работ продолжает обеспечивать, чтобы все новые проекты, подпадающие под его юрисдикцию (здания, занимаемые государственными службами, основные дороги городской сети, междугородние и сельские дороги, велосипедные маршруты и т. д.), отвечали всем применимым законам, касающимся доступности для инвалидов. Кроме того, предпринимаются усилия для того, чтобы, в зависимости от имеющихся государственных средств, существующие общественные здания, в особенности государственные учреждения, стали доступными в тех случаях, когда этого позволяет конструкция, а также для постепенного повышения доступности для всех существующих дорог, находящихся в ведении Департамента.</w:t>
      </w:r>
    </w:p>
    <w:p w:rsidR="00CB16AE" w:rsidRPr="009A0253" w:rsidRDefault="00CB16AE" w:rsidP="00CB16AE">
      <w:pPr>
        <w:pStyle w:val="SingleTxtG"/>
        <w:rPr>
          <w:i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Что касается доступности информационно-коммуникационных технологий и альтернативных форм общения, то Кипрский комитет по телевидению и радиовещанию (ККТР) неоднократно связывался с телевизионными и радиовещательными организациями в связи с положениями пункта 3 статьи 30В </w:t>
      </w:r>
      <w:r w:rsidRPr="00AD2752">
        <w:rPr>
          <w:lang w:val="ru-RU"/>
        </w:rPr>
        <w:t>Закон</w:t>
      </w:r>
      <w:r>
        <w:rPr>
          <w:lang w:val="ru-RU"/>
        </w:rPr>
        <w:t>а</w:t>
      </w:r>
      <w:r w:rsidRPr="00AD2752">
        <w:rPr>
          <w:lang w:val="ru-RU"/>
        </w:rPr>
        <w:t xml:space="preserve"> о радио- и телевизионных организациях </w:t>
      </w:r>
      <w:r>
        <w:rPr>
          <w:lang w:val="ru-RU"/>
        </w:rPr>
        <w:t xml:space="preserve">1998–2017 годов. </w:t>
      </w:r>
      <w:r w:rsidRPr="00A2061B">
        <w:rPr>
          <w:iCs/>
          <w:lang w:val="ru-RU"/>
        </w:rPr>
        <w:t>Эта с</w:t>
      </w:r>
      <w:r w:rsidR="009A0253" w:rsidRPr="00A2061B">
        <w:rPr>
          <w:iCs/>
          <w:lang w:val="ru-RU"/>
        </w:rPr>
        <w:t xml:space="preserve">татья гласит: </w:t>
      </w:r>
      <w:r w:rsidR="009A0253">
        <w:rPr>
          <w:i/>
          <w:iCs/>
          <w:lang w:val="ru-RU"/>
        </w:rPr>
        <w:t>«</w:t>
      </w:r>
      <w:r>
        <w:rPr>
          <w:i/>
          <w:iCs/>
          <w:lang w:val="ru-RU"/>
        </w:rPr>
        <w:t xml:space="preserve">После консультаций с </w:t>
      </w:r>
      <w:r w:rsidRPr="00AD2752">
        <w:rPr>
          <w:i/>
          <w:iCs/>
          <w:lang w:val="ru-RU"/>
        </w:rPr>
        <w:t>Государственным советом по телевидению и радиовещанию</w:t>
      </w:r>
      <w:r>
        <w:rPr>
          <w:i/>
          <w:iCs/>
          <w:lang w:val="ru-RU"/>
        </w:rPr>
        <w:t xml:space="preserve"> поставщики </w:t>
      </w:r>
      <w:proofErr w:type="spellStart"/>
      <w:r>
        <w:rPr>
          <w:i/>
          <w:iCs/>
          <w:lang w:val="ru-RU"/>
        </w:rPr>
        <w:t>медийных</w:t>
      </w:r>
      <w:proofErr w:type="spellEnd"/>
      <w:r>
        <w:rPr>
          <w:i/>
          <w:iCs/>
          <w:lang w:val="ru-RU"/>
        </w:rPr>
        <w:t xml:space="preserve"> услуг в течение одного года с момента вступления в силу настоящего раздела представляют Совету график с указанием конкретных методов постепенного увеличения,</w:t>
      </w:r>
      <w:r w:rsidRPr="00AD275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 меньшей мере на 5%, доли программ, доступных для лиц с нарушениями зрения или слуха, помимо выпусков новостей, в своей сетке вещания</w:t>
      </w:r>
      <w:r w:rsidR="009A0253">
        <w:rPr>
          <w:i/>
          <w:iCs/>
          <w:lang w:val="ru-RU"/>
        </w:rPr>
        <w:t>»</w:t>
      </w:r>
      <w:r>
        <w:rPr>
          <w:i/>
          <w:iCs/>
          <w:lang w:val="ru-RU"/>
        </w:rPr>
        <w:t>.</w:t>
      </w:r>
      <w:r>
        <w:rPr>
          <w:lang w:val="ru-RU"/>
        </w:rPr>
        <w:t xml:space="preserve"> Помимо этого, эти организации применяют лишь положения пункта 2 ст</w:t>
      </w:r>
      <w:r w:rsidR="009A0253">
        <w:rPr>
          <w:lang w:val="ru-RU"/>
        </w:rPr>
        <w:t xml:space="preserve">атьи 30В, в котором говорится: </w:t>
      </w:r>
      <w:r w:rsidR="009A0253" w:rsidRPr="009A0253">
        <w:rPr>
          <w:i/>
          <w:lang w:val="ru-RU"/>
        </w:rPr>
        <w:t>«</w:t>
      </w:r>
      <w:r w:rsidRPr="009A0253">
        <w:rPr>
          <w:i/>
          <w:iCs/>
          <w:lang w:val="ru-RU"/>
        </w:rPr>
        <w:t>Любая радио- или телевизионная организация обязана в период с 18 ч 00 мин до 22 ч 00 мин демонстрировать специальный выпуск новостей, доступный для глухих, длительностью, по крайней мере, в пять минут: при этом визуально он должен занимать не меньше половины телевизионного экрана</w:t>
      </w:r>
      <w:r w:rsidR="009A0253" w:rsidRPr="009A0253">
        <w:rPr>
          <w:i/>
          <w:lang w:val="ru-RU"/>
        </w:rPr>
        <w:t>»</w:t>
      </w:r>
      <w:r w:rsidRPr="009A0253">
        <w:rPr>
          <w:i/>
          <w:lang w:val="ru-RU"/>
        </w:rPr>
        <w:t>.</w:t>
      </w:r>
    </w:p>
    <w:p w:rsidR="00CB16AE" w:rsidRPr="005477E9" w:rsidRDefault="00CB16AE" w:rsidP="00CB16AE">
      <w:pPr>
        <w:pStyle w:val="SingleTxtG"/>
        <w:rPr>
          <w:lang w:val="ru-RU"/>
        </w:rPr>
      </w:pPr>
      <w:r w:rsidRPr="009662DE">
        <w:rPr>
          <w:lang w:val="ru-RU"/>
        </w:rPr>
        <w:t>5.</w:t>
      </w:r>
      <w:r w:rsidRPr="009662DE">
        <w:rPr>
          <w:lang w:val="ru-RU"/>
        </w:rPr>
        <w:tab/>
        <w:t>На последнем совещании, проведенном 23 апреля 2018 года в офисе Кипрского</w:t>
      </w:r>
      <w:r>
        <w:rPr>
          <w:lang w:val="ru-RU"/>
        </w:rPr>
        <w:t xml:space="preserve"> комитета по телевидению и радиовещанию, соответствующие организации обсудили возможные способы привлечения европейских фондов для оказания телевизионным организациям помощи по внесению необходимых корректировок в их программы и приняли решение координировать и продолжать работу над предложением по принятию дальнейших мер доступности, особенно для людей с нарушениями слуха и зрения.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Кроме того, Бюро печати и информации</w:t>
      </w:r>
      <w:r w:rsidR="009A0253">
        <w:rPr>
          <w:lang w:val="ru-RU"/>
        </w:rPr>
        <w:t xml:space="preserve"> –</w:t>
      </w:r>
      <w:r>
        <w:rPr>
          <w:lang w:val="ru-RU"/>
        </w:rPr>
        <w:t xml:space="preserve"> правительственное учреждение, отвечающее за средства коммуникации и осуществление Закона о печати, </w:t>
      </w:r>
      <w:r w:rsidR="009A0253">
        <w:rPr>
          <w:lang w:val="ru-RU"/>
        </w:rPr>
        <w:t>–</w:t>
      </w:r>
      <w:r>
        <w:rPr>
          <w:lang w:val="ru-RU"/>
        </w:rPr>
        <w:t xml:space="preserve"> </w:t>
      </w:r>
      <w:r w:rsidR="009A0253">
        <w:rPr>
          <w:lang w:val="ru-RU"/>
        </w:rPr>
        <w:t>в </w:t>
      </w:r>
      <w:r>
        <w:rPr>
          <w:lang w:val="ru-RU"/>
        </w:rPr>
        <w:t>настоящее время изучает пути выполнения всех необходимых требований. Ряд государственных служб продолжают модернизировать свои веб-сайты в координации с Департаментом по делам Службы информационных технологий и в соответствии со стандартами доступности веб-сайтов.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Что касается доступности аварийно-спасательных служб, то Силы гражданской обороны, будучи правительственным органом, отвечающим за службы экстренной помощи, принимают следующие меры: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a)</w:t>
      </w:r>
      <w:r w:rsidR="00CB16AE">
        <w:rPr>
          <w:lang w:val="ru-RU"/>
        </w:rPr>
        <w:tab/>
        <w:t>информируют, при любой возможности, своих членов (сотрудников, волонтер</w:t>
      </w:r>
      <w:r>
        <w:rPr>
          <w:lang w:val="ru-RU"/>
        </w:rPr>
        <w:t>ов, военнообязанных) о проекте «</w:t>
      </w:r>
      <w:proofErr w:type="spellStart"/>
      <w:r w:rsidR="00CB16AE">
        <w:rPr>
          <w:lang w:val="ru-RU"/>
        </w:rPr>
        <w:t>Трипос</w:t>
      </w:r>
      <w:proofErr w:type="spellEnd"/>
      <w:r>
        <w:rPr>
          <w:lang w:val="ru-RU"/>
        </w:rPr>
        <w:t>»</w:t>
      </w:r>
      <w:r w:rsidR="00CB16AE">
        <w:rPr>
          <w:lang w:val="ru-RU"/>
        </w:rPr>
        <w:t>, который касается работы с инвалидами в чрезвычайных ситуациях. В то же время Силы представляют службам, участвующим в осуществлении этого плана (полиция, пожарные и служба скорой помощи), обновленную информацию в целях улучшения координации;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b)</w:t>
      </w:r>
      <w:r w:rsidR="00CB16AE">
        <w:rPr>
          <w:lang w:val="ru-RU"/>
        </w:rPr>
        <w:tab/>
        <w:t>проводят тренинги для руководителей с целью совершенствования их обучения и подготовки по работе с инвалидами в чрезвычайных ситуациях;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9A0253">
        <w:rPr>
          <w:lang w:val="ru-RU"/>
        </w:rPr>
        <w:tab/>
      </w:r>
      <w:r>
        <w:rPr>
          <w:lang w:val="ru-RU"/>
        </w:rPr>
        <w:t>c)</w:t>
      </w:r>
      <w:r>
        <w:rPr>
          <w:lang w:val="ru-RU"/>
        </w:rPr>
        <w:tab/>
        <w:t xml:space="preserve">в 2017 году была проведена пресс-конференция и информационно-просветительская кампания, направленные на информирование инвалидов о возможности их включения в Реестр Сил обороны в </w:t>
      </w:r>
      <w:r w:rsidR="009A0253">
        <w:rPr>
          <w:lang w:val="ru-RU"/>
        </w:rPr>
        <w:t>целях их раннего выявления и, в </w:t>
      </w:r>
      <w:r>
        <w:rPr>
          <w:lang w:val="ru-RU"/>
        </w:rPr>
        <w:t>случае необходимости, оказания им соответствующей помощи;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d)</w:t>
      </w:r>
      <w:r w:rsidR="00CB16AE">
        <w:rPr>
          <w:lang w:val="ru-RU"/>
        </w:rPr>
        <w:tab/>
        <w:t>в программу подготовки для военнообязанных в 2018 году были включены курсы по планам гражданской о</w:t>
      </w:r>
      <w:r>
        <w:rPr>
          <w:lang w:val="ru-RU"/>
        </w:rPr>
        <w:t>бороны, в том числе по проекту «</w:t>
      </w:r>
      <w:proofErr w:type="spellStart"/>
      <w:r w:rsidR="00CB16AE">
        <w:rPr>
          <w:lang w:val="ru-RU"/>
        </w:rPr>
        <w:t>Трипос</w:t>
      </w:r>
      <w:proofErr w:type="spellEnd"/>
      <w:r>
        <w:rPr>
          <w:lang w:val="ru-RU"/>
        </w:rPr>
        <w:t>»</w:t>
      </w:r>
      <w:r w:rsidR="00CB16AE">
        <w:rPr>
          <w:lang w:val="ru-RU"/>
        </w:rPr>
        <w:t>. Кроме того, в ходе соответствующего обучения учащимся раздается форма по вопросам инвалидности, с тем чтобы они могли надлежащим образом информировать о ней своих окружающих и распространять среди них</w:t>
      </w:r>
      <w:r w:rsidR="00CB16AE" w:rsidRPr="00F73D1B">
        <w:rPr>
          <w:lang w:val="ru-RU"/>
        </w:rPr>
        <w:t xml:space="preserve"> </w:t>
      </w:r>
      <w:r w:rsidR="00CB16AE">
        <w:rPr>
          <w:lang w:val="ru-RU"/>
        </w:rPr>
        <w:t>эту форму;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e)</w:t>
      </w:r>
      <w:r w:rsidR="00CB16AE">
        <w:rPr>
          <w:lang w:val="ru-RU"/>
        </w:rPr>
        <w:tab/>
        <w:t>необходимая информация предоставляется инвалидам через веб-сайт Сил, где они могут скачать соответствующую форму и заполнить ее надлежащим образом;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f)</w:t>
      </w:r>
      <w:r w:rsidR="00CB16AE">
        <w:rPr>
          <w:lang w:val="ru-RU"/>
        </w:rPr>
        <w:tab/>
        <w:t>уполномоченные на то сотрудники Сил гражданской обороны продолжают вести электронный реестр, который включает в себя информацию, предоставляемую инвалидами на добровольной основе. Надлежащим образом заполненный реестр облегчает выявление инвалидов и оказание им помощи в случае стихийных бедствий или других чрезвычайных ситуаций.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Кроме того, Департамент электромеханического обслуживания модернизировал Центр управления экстренными вызовами, функционирующий в рамках полиции, с тем чтобы он мог принимать экстренные сообщения с помощью соответствующего приложения для телефонов и коротких текстовых сообщений.</w:t>
      </w:r>
    </w:p>
    <w:p w:rsidR="00CB16AE" w:rsidRPr="005477E9" w:rsidRDefault="00CB16AE" w:rsidP="00CB16AE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Пункт 28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i/>
          <w:iCs/>
          <w:lang w:val="ru-RU"/>
        </w:rPr>
        <w:t>«</w:t>
      </w:r>
      <w:r w:rsidR="00CB16AE">
        <w:rPr>
          <w:i/>
          <w:iCs/>
          <w:lang w:val="ru-RU"/>
        </w:rPr>
        <w:t>Комитет рекомендует государству-участнику, руководствуясь замечанием общего порядка № 2 (2014) и задачей 11.7 целей в области устойчивого развития, обеспечить доступ к безопасным, недорогим, доступным и устойчивым средствам транспорта для всех, включая инвалидов, независимо от типа инвалидности.</w:t>
      </w:r>
      <w:r w:rsidR="00CB16AE">
        <w:rPr>
          <w:lang w:val="ru-RU"/>
        </w:rPr>
        <w:t xml:space="preserve"> </w:t>
      </w:r>
      <w:r w:rsidR="00CB16AE">
        <w:rPr>
          <w:i/>
          <w:iCs/>
          <w:lang w:val="ru-RU"/>
        </w:rPr>
        <w:t>В частности, он рекомендует государству-участнику обеспечить интеграцию всех новых государственных транспортных средств в систему общественного транспорта за счет обеспечения их полной доступности и запрета на взимание платы за провоз в такси и других видах общественного транспорта инвалидных коляс</w:t>
      </w:r>
      <w:r>
        <w:rPr>
          <w:i/>
          <w:iCs/>
          <w:lang w:val="ru-RU"/>
        </w:rPr>
        <w:t>ок и других необходимых средств»</w:t>
      </w:r>
      <w:r w:rsidR="00CB16AE">
        <w:rPr>
          <w:i/>
          <w:iCs/>
          <w:lang w:val="ru-RU"/>
        </w:rPr>
        <w:t>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Департамент общественных работ, в рамках улучшения доступа к общественному пассажирскому транспорту, разработал и внедрил следующие меры: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a)</w:t>
      </w:r>
      <w:r w:rsidR="00CB16AE">
        <w:rPr>
          <w:lang w:val="ru-RU"/>
        </w:rPr>
        <w:tab/>
        <w:t xml:space="preserve">ИТС </w:t>
      </w:r>
      <w:r>
        <w:rPr>
          <w:lang w:val="ru-RU"/>
        </w:rPr>
        <w:t>–</w:t>
      </w:r>
      <w:r w:rsidR="00CB16AE">
        <w:rPr>
          <w:lang w:val="ru-RU"/>
        </w:rPr>
        <w:t xml:space="preserve"> проект по внедрению </w:t>
      </w:r>
      <w:proofErr w:type="spellStart"/>
      <w:r w:rsidR="00CB16AE">
        <w:rPr>
          <w:lang w:val="ru-RU"/>
        </w:rPr>
        <w:t>телематических</w:t>
      </w:r>
      <w:proofErr w:type="spellEnd"/>
      <w:r w:rsidR="00CB16AE">
        <w:rPr>
          <w:lang w:val="ru-RU"/>
        </w:rPr>
        <w:t xml:space="preserve"> средств в каждом автобусе на всей территории Кипра</w:t>
      </w:r>
      <w:r>
        <w:rPr>
          <w:lang w:val="ru-RU"/>
        </w:rPr>
        <w:t xml:space="preserve"> –</w:t>
      </w:r>
      <w:r w:rsidR="00CB16AE">
        <w:rPr>
          <w:lang w:val="ru-RU"/>
        </w:rPr>
        <w:t xml:space="preserve"> включает обеспечение доступа к информации для инвалидов посредством:</w:t>
      </w:r>
      <w:r w:rsidR="00CB16AE" w:rsidRPr="00BA135C">
        <w:rPr>
          <w:lang w:val="ru-RU"/>
        </w:rPr>
        <w:t xml:space="preserve"> </w:t>
      </w:r>
      <w:r w:rsidR="00CB16AE">
        <w:rPr>
          <w:lang w:val="ru-RU"/>
        </w:rPr>
        <w:t xml:space="preserve">i) веб-сайта уровня АА, </w:t>
      </w:r>
      <w:proofErr w:type="spellStart"/>
      <w:r w:rsidR="00CB16AE">
        <w:rPr>
          <w:lang w:val="ru-RU"/>
        </w:rPr>
        <w:t>ii</w:t>
      </w:r>
      <w:proofErr w:type="spellEnd"/>
      <w:r w:rsidR="00CB16AE">
        <w:rPr>
          <w:lang w:val="ru-RU"/>
        </w:rPr>
        <w:t xml:space="preserve">) мобильного приложения для персонализированной информации, </w:t>
      </w:r>
      <w:proofErr w:type="spellStart"/>
      <w:r w:rsidR="00CB16AE">
        <w:rPr>
          <w:lang w:val="ru-RU"/>
        </w:rPr>
        <w:t>iii</w:t>
      </w:r>
      <w:proofErr w:type="spellEnd"/>
      <w:r w:rsidR="00CB16AE">
        <w:rPr>
          <w:lang w:val="ru-RU"/>
        </w:rPr>
        <w:t xml:space="preserve">) объявлений об автобусном сообщении, </w:t>
      </w:r>
      <w:r>
        <w:rPr>
          <w:lang w:val="ru-RU"/>
        </w:rPr>
        <w:br/>
      </w:r>
      <w:proofErr w:type="spellStart"/>
      <w:r w:rsidR="00CB16AE">
        <w:rPr>
          <w:lang w:val="ru-RU"/>
        </w:rPr>
        <w:t>iv</w:t>
      </w:r>
      <w:proofErr w:type="spellEnd"/>
      <w:r w:rsidR="00CB16AE">
        <w:rPr>
          <w:lang w:val="ru-RU"/>
        </w:rPr>
        <w:t>) 30 электронных информационных знаков на отдельных остановках</w:t>
      </w:r>
      <w:r w:rsidR="00A2061B">
        <w:rPr>
          <w:lang w:val="ru-RU"/>
        </w:rPr>
        <w:t>;</w:t>
      </w:r>
      <w:r w:rsidR="00CB16AE">
        <w:rPr>
          <w:lang w:val="ru-RU"/>
        </w:rPr>
        <w:t xml:space="preserve"> v) возмо</w:t>
      </w:r>
      <w:r>
        <w:rPr>
          <w:lang w:val="ru-RU"/>
        </w:rPr>
        <w:t>жности включения режима поиска «</w:t>
      </w:r>
      <w:r w:rsidR="00CB16AE">
        <w:rPr>
          <w:lang w:val="ru-RU"/>
        </w:rPr>
        <w:t>необходимого автобуса</w:t>
      </w:r>
      <w:r>
        <w:rPr>
          <w:lang w:val="ru-RU"/>
        </w:rPr>
        <w:t>»</w:t>
      </w:r>
      <w:r w:rsidR="00CB16AE">
        <w:rPr>
          <w:lang w:val="ru-RU"/>
        </w:rPr>
        <w:t xml:space="preserve"> и использования тревожной кнопки;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lang w:val="ru-RU"/>
        </w:rPr>
        <w:tab/>
      </w:r>
      <w:r w:rsidR="00CB16AE">
        <w:rPr>
          <w:lang w:val="ru-RU"/>
        </w:rPr>
        <w:tab/>
        <w:t>b)</w:t>
      </w:r>
      <w:r w:rsidR="00CB16AE">
        <w:rPr>
          <w:lang w:val="ru-RU"/>
        </w:rPr>
        <w:tab/>
        <w:t>обновление платформы</w:t>
      </w:r>
      <w:r>
        <w:rPr>
          <w:lang w:val="ru-RU"/>
        </w:rPr>
        <w:t xml:space="preserve"> «</w:t>
      </w:r>
      <w:proofErr w:type="spellStart"/>
      <w:r w:rsidR="00CB16AE">
        <w:rPr>
          <w:lang w:val="ru-RU"/>
        </w:rPr>
        <w:t>Diavlos</w:t>
      </w:r>
      <w:proofErr w:type="spellEnd"/>
      <w:r>
        <w:rPr>
          <w:lang w:val="ru-RU"/>
        </w:rPr>
        <w:t>»</w:t>
      </w:r>
      <w:r w:rsidR="00CB16AE">
        <w:rPr>
          <w:lang w:val="ru-RU"/>
        </w:rPr>
        <w:t xml:space="preserve"> через совместно финансируемую систему</w:t>
      </w:r>
      <w:r>
        <w:rPr>
          <w:lang w:val="ru-RU"/>
        </w:rPr>
        <w:t xml:space="preserve"> «</w:t>
      </w:r>
      <w:proofErr w:type="spellStart"/>
      <w:r w:rsidR="00CB16AE">
        <w:rPr>
          <w:lang w:val="ru-RU"/>
        </w:rPr>
        <w:t>Crocodile</w:t>
      </w:r>
      <w:proofErr w:type="spellEnd"/>
      <w:r>
        <w:rPr>
          <w:lang w:val="ru-RU"/>
        </w:rPr>
        <w:t xml:space="preserve"> I-II»</w:t>
      </w:r>
      <w:r w:rsidR="00CB16AE">
        <w:rPr>
          <w:lang w:val="ru-RU"/>
        </w:rPr>
        <w:t xml:space="preserve"> включает в себя модернизацию веб-сайта до уровня АА для передачи данных о дорожном движении и парковке.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Департамент дорожного транспорта принял Закон 1972 года об автотранспортных средствах и дорожном движении (Закон 86/1972, в соответствии с которым инвалиды освобождаются от сборов и налогов при регистрации своих автомобилей. Они также освобождаются от платы за осмотр транспортного средства, если оно представляется для периодического технического осмотра в любой из центров Управления автотранспортными средствами (ТОМ)). Следует отметить, что инвалиды могут получить водительские права, если они способны управлять транспортным средством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если это средство, в соответствующих случаях, приспособлено к их инвалидности.</w:t>
      </w:r>
    </w:p>
    <w:p w:rsidR="00CB16AE" w:rsidRPr="005477E9" w:rsidRDefault="00CB16AE" w:rsidP="00CB16AE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Пункт 58</w:t>
      </w:r>
    </w:p>
    <w:p w:rsidR="00CB16AE" w:rsidRPr="005477E9" w:rsidRDefault="009A0253" w:rsidP="00CB16AE">
      <w:pPr>
        <w:pStyle w:val="SingleTxtG"/>
        <w:rPr>
          <w:lang w:val="ru-RU"/>
        </w:rPr>
      </w:pPr>
      <w:r>
        <w:rPr>
          <w:i/>
          <w:iCs/>
          <w:lang w:val="ru-RU"/>
        </w:rPr>
        <w:t>«</w:t>
      </w:r>
      <w:r w:rsidR="00CB16AE">
        <w:rPr>
          <w:i/>
          <w:iCs/>
          <w:lang w:val="ru-RU"/>
        </w:rPr>
        <w:t>Комитет рекомендует государству-участнику оперативно принять поправки к законодательству, с тем чтобы гарантировать всем инвалидам право голосовать и выставлять свою кандидатуру на выборах, а также осуществлять сбор достоверных и дезагрегированных данных в отношении осуществления этих прав</w:t>
      </w:r>
      <w:r>
        <w:rPr>
          <w:i/>
          <w:iCs/>
          <w:lang w:val="ru-RU"/>
        </w:rPr>
        <w:t>»</w:t>
      </w:r>
      <w:r w:rsidR="00CB16AE">
        <w:rPr>
          <w:i/>
          <w:iCs/>
          <w:lang w:val="ru-RU"/>
        </w:rPr>
        <w:t>.</w:t>
      </w:r>
      <w:r w:rsidR="00CB16AE">
        <w:rPr>
          <w:lang w:val="ru-RU"/>
        </w:rPr>
        <w:t xml:space="preserve"> 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Не существует никаких ограничений права голоса, а возможности для осуществления этого права предоставляются как в рамках предусмотренных законодательством прав, так и посредством внесения соответствующих коррективов на практике. Что касается права быть избранным, то и здесь для инвалидов, в общем, не существует каких-либо ограничений, за исключением лиц с психическими расстройствами, не позволяющими им выполнять свои обязанности,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президента, вице-президента Республики или члена парламента, в соответствии со статьями 40 и 64 Конституции, внесение изменений в которые не предвидится.</w:t>
      </w:r>
    </w:p>
    <w:p w:rsidR="00CB16AE" w:rsidRPr="005477E9" w:rsidRDefault="00CB16AE" w:rsidP="00CB16AE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 xml:space="preserve">Наконец, что касается вопроса о сборе данных об осуществлении этих конкретных прав инвалидов, то здесь наблюдается полное отсутствие данных о какой-либо из категорий избирателей </w:t>
      </w:r>
      <w:r w:rsidR="009A0253">
        <w:rPr>
          <w:lang w:val="ru-RU"/>
        </w:rPr>
        <w:t>–</w:t>
      </w:r>
      <w:r>
        <w:rPr>
          <w:lang w:val="ru-RU"/>
        </w:rPr>
        <w:t xml:space="preserve"> недостаток, обусловленный недостаточной компьютеризацией, помимо возрастного и полового состава избирателей.</w:t>
      </w:r>
    </w:p>
    <w:p w:rsidR="00CB16AE" w:rsidRDefault="00CB16AE" w:rsidP="00CB16A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CB16AE" w:rsidRDefault="00381C24" w:rsidP="002E5067"/>
    <w:sectPr w:rsidR="00381C24" w:rsidRPr="00CB16AE" w:rsidSect="005E32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5B" w:rsidRPr="00A312BC" w:rsidRDefault="00BC385B" w:rsidP="00A312BC"/>
  </w:endnote>
  <w:endnote w:type="continuationSeparator" w:id="0">
    <w:p w:rsidR="00BC385B" w:rsidRPr="00A312BC" w:rsidRDefault="00BC38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3" w:rsidRPr="005E3233" w:rsidRDefault="005E3233">
    <w:pPr>
      <w:pStyle w:val="a8"/>
    </w:pPr>
    <w:r w:rsidRPr="005E3233">
      <w:rPr>
        <w:b/>
        <w:sz w:val="18"/>
      </w:rPr>
      <w:fldChar w:fldCharType="begin"/>
    </w:r>
    <w:r w:rsidRPr="005E3233">
      <w:rPr>
        <w:b/>
        <w:sz w:val="18"/>
      </w:rPr>
      <w:instrText xml:space="preserve"> PAGE  \* MERGEFORMAT </w:instrText>
    </w:r>
    <w:r w:rsidRPr="005E3233">
      <w:rPr>
        <w:b/>
        <w:sz w:val="18"/>
      </w:rPr>
      <w:fldChar w:fldCharType="separate"/>
    </w:r>
    <w:r w:rsidR="00C6540E">
      <w:rPr>
        <w:b/>
        <w:noProof/>
        <w:sz w:val="18"/>
      </w:rPr>
      <w:t>4</w:t>
    </w:r>
    <w:r w:rsidRPr="005E3233">
      <w:rPr>
        <w:b/>
        <w:sz w:val="18"/>
      </w:rPr>
      <w:fldChar w:fldCharType="end"/>
    </w:r>
    <w:r>
      <w:rPr>
        <w:b/>
        <w:sz w:val="18"/>
      </w:rPr>
      <w:tab/>
    </w:r>
    <w:r>
      <w:t>GE.18-22098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3" w:rsidRPr="005E3233" w:rsidRDefault="005E3233" w:rsidP="005E3233">
    <w:pPr>
      <w:pStyle w:val="a8"/>
      <w:tabs>
        <w:tab w:val="clear" w:pos="9639"/>
        <w:tab w:val="right" w:pos="9638"/>
      </w:tabs>
      <w:rPr>
        <w:b/>
        <w:sz w:val="18"/>
      </w:rPr>
    </w:pPr>
    <w:r>
      <w:t>GE.18-22098</w:t>
    </w:r>
    <w:r>
      <w:tab/>
    </w:r>
    <w:r w:rsidRPr="005E3233">
      <w:rPr>
        <w:b/>
        <w:sz w:val="18"/>
      </w:rPr>
      <w:fldChar w:fldCharType="begin"/>
    </w:r>
    <w:r w:rsidRPr="005E3233">
      <w:rPr>
        <w:b/>
        <w:sz w:val="18"/>
      </w:rPr>
      <w:instrText xml:space="preserve"> PAGE  \* MERGEFORMAT </w:instrText>
    </w:r>
    <w:r w:rsidRPr="005E3233">
      <w:rPr>
        <w:b/>
        <w:sz w:val="18"/>
      </w:rPr>
      <w:fldChar w:fldCharType="separate"/>
    </w:r>
    <w:r w:rsidR="00C6540E">
      <w:rPr>
        <w:b/>
        <w:noProof/>
        <w:sz w:val="18"/>
      </w:rPr>
      <w:t>3</w:t>
    </w:r>
    <w:r w:rsidRPr="005E32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E3233" w:rsidRDefault="005E3233" w:rsidP="005E323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22098  (</w:t>
    </w:r>
    <w:proofErr w:type="gramEnd"/>
    <w:r>
      <w:t>R)</w:t>
    </w:r>
    <w:r>
      <w:rPr>
        <w:lang w:val="en-US"/>
      </w:rPr>
      <w:t xml:space="preserve">  020119  020119</w:t>
    </w:r>
    <w:r>
      <w:br/>
    </w:r>
    <w:r w:rsidRPr="005E3233">
      <w:rPr>
        <w:rFonts w:ascii="C39T30Lfz" w:hAnsi="C39T30Lfz"/>
        <w:kern w:val="14"/>
        <w:sz w:val="56"/>
      </w:rPr>
      <w:t></w:t>
    </w:r>
    <w:r w:rsidRPr="005E3233">
      <w:rPr>
        <w:rFonts w:ascii="C39T30Lfz" w:hAnsi="C39T30Lfz"/>
        <w:kern w:val="14"/>
        <w:sz w:val="56"/>
      </w:rPr>
      <w:t></w:t>
    </w:r>
    <w:r w:rsidRPr="005E3233">
      <w:rPr>
        <w:rFonts w:ascii="C39T30Lfz" w:hAnsi="C39T30Lfz"/>
        <w:kern w:val="14"/>
        <w:sz w:val="56"/>
      </w:rPr>
      <w:t></w:t>
    </w:r>
    <w:r w:rsidRPr="005E3233">
      <w:rPr>
        <w:rFonts w:ascii="C39T30Lfz" w:hAnsi="C39T30Lfz"/>
        <w:kern w:val="14"/>
        <w:sz w:val="56"/>
      </w:rPr>
      <w:t></w:t>
    </w:r>
    <w:r w:rsidRPr="005E3233">
      <w:rPr>
        <w:rFonts w:ascii="C39T30Lfz" w:hAnsi="C39T30Lfz"/>
        <w:kern w:val="14"/>
        <w:sz w:val="56"/>
      </w:rPr>
      <w:t></w:t>
    </w:r>
    <w:r w:rsidRPr="005E3233">
      <w:rPr>
        <w:rFonts w:ascii="C39T30Lfz" w:hAnsi="C39T30Lfz"/>
        <w:kern w:val="14"/>
        <w:sz w:val="56"/>
      </w:rPr>
      <w:t></w:t>
    </w:r>
    <w:r w:rsidRPr="005E3233">
      <w:rPr>
        <w:rFonts w:ascii="C39T30Lfz" w:hAnsi="C39T30Lfz"/>
        <w:kern w:val="14"/>
        <w:sz w:val="56"/>
      </w:rPr>
      <w:t></w:t>
    </w:r>
    <w:r w:rsidRPr="005E3233">
      <w:rPr>
        <w:rFonts w:ascii="C39T30Lfz" w:hAnsi="C39T30Lfz"/>
        <w:kern w:val="14"/>
        <w:sz w:val="56"/>
      </w:rPr>
      <w:t></w:t>
    </w:r>
    <w:r w:rsidRPr="005E323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CYP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CYP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5B" w:rsidRPr="001075E9" w:rsidRDefault="00BC38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385B" w:rsidRDefault="00BC38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16AE" w:rsidRPr="005477E9" w:rsidRDefault="00CB16AE" w:rsidP="00CB16AE">
      <w:pPr>
        <w:pStyle w:val="ad"/>
      </w:pPr>
      <w:r>
        <w:tab/>
      </w:r>
      <w:r w:rsidRPr="00CB16AE">
        <w:rPr>
          <w:sz w:val="20"/>
        </w:rPr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3" w:rsidRPr="005E3233" w:rsidRDefault="00C6540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CRPD/C/CYP/CO/1/Add.1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3" w:rsidRPr="005E3233" w:rsidRDefault="00C6540E" w:rsidP="005E323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CRPD/C/CYP/CO/1/Add.1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5B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113A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E3233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0253"/>
    <w:rsid w:val="009A24AC"/>
    <w:rsid w:val="00A14DA8"/>
    <w:rsid w:val="00A2061B"/>
    <w:rsid w:val="00A312BC"/>
    <w:rsid w:val="00A84021"/>
    <w:rsid w:val="00A84D35"/>
    <w:rsid w:val="00A917B3"/>
    <w:rsid w:val="00AB4B51"/>
    <w:rsid w:val="00AC12E8"/>
    <w:rsid w:val="00AC5632"/>
    <w:rsid w:val="00B10CC7"/>
    <w:rsid w:val="00B36DF7"/>
    <w:rsid w:val="00B539E7"/>
    <w:rsid w:val="00B62458"/>
    <w:rsid w:val="00B739FE"/>
    <w:rsid w:val="00BC18B2"/>
    <w:rsid w:val="00BC385B"/>
    <w:rsid w:val="00BD33EE"/>
    <w:rsid w:val="00BE3ED8"/>
    <w:rsid w:val="00C106D6"/>
    <w:rsid w:val="00C60F0C"/>
    <w:rsid w:val="00C6540E"/>
    <w:rsid w:val="00C67932"/>
    <w:rsid w:val="00C805C9"/>
    <w:rsid w:val="00C92939"/>
    <w:rsid w:val="00CA1679"/>
    <w:rsid w:val="00CB151C"/>
    <w:rsid w:val="00CB16AE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D5BD6"/>
    <w:rsid w:val="00EE25F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CCFAB5-ECC8-4CC4-B4E6-AD58A92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CB16A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rsid w:val="00CB16A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rsid w:val="00CB16A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rsid w:val="00CB16AE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CB16AE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9AFF-6B7A-49FE-A672-AFCA9CA3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CRPD/C/CYP/CO/1/Add.1</vt:lpstr>
      <vt:lpstr>A/</vt:lpstr>
      <vt:lpstr>A/</vt:lpstr>
    </vt:vector>
  </TitlesOfParts>
  <Company>DCM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CRPD/C/CYP/CO/1/Add.1</dc:title>
  <dc:subject/>
  <dc:creator>Ekaterina SALYNSKAYA</dc:creator>
  <cp:keywords/>
  <cp:lastModifiedBy>Ekaterina Salynskaya</cp:lastModifiedBy>
  <cp:revision>3</cp:revision>
  <cp:lastPrinted>2019-01-02T12:28:00Z</cp:lastPrinted>
  <dcterms:created xsi:type="dcterms:W3CDTF">2019-01-02T12:28:00Z</dcterms:created>
  <dcterms:modified xsi:type="dcterms:W3CDTF">2019-01-02T12:29:00Z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