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0149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14980" w:rsidP="00014980">
            <w:pPr>
              <w:jc w:val="right"/>
            </w:pPr>
            <w:r w:rsidRPr="00014980">
              <w:rPr>
                <w:sz w:val="40"/>
              </w:rPr>
              <w:t>CERD</w:t>
            </w:r>
            <w:r>
              <w:t>/C/BLR/Q/20-23</w:t>
            </w:r>
          </w:p>
        </w:tc>
      </w:tr>
      <w:tr w:rsidR="002D5AAC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14980" w:rsidP="00213632">
            <w:pPr>
              <w:spacing w:before="240"/>
            </w:pPr>
            <w:r>
              <w:t>Distr. general</w:t>
            </w:r>
          </w:p>
          <w:p w:rsidR="00014980" w:rsidRDefault="00014980" w:rsidP="00014980">
            <w:pPr>
              <w:spacing w:line="240" w:lineRule="exact"/>
            </w:pPr>
            <w:r>
              <w:t>4 de octubre de 2017</w:t>
            </w:r>
          </w:p>
          <w:p w:rsidR="00014980" w:rsidRDefault="00014980" w:rsidP="00014980">
            <w:pPr>
              <w:spacing w:line="240" w:lineRule="exact"/>
            </w:pPr>
            <w:r>
              <w:t>Español</w:t>
            </w:r>
          </w:p>
          <w:p w:rsidR="00014980" w:rsidRDefault="00014980" w:rsidP="00014980">
            <w:pPr>
              <w:spacing w:line="240" w:lineRule="exact"/>
            </w:pPr>
            <w:r>
              <w:t>Original: inglés</w:t>
            </w:r>
          </w:p>
          <w:p w:rsidR="00014980" w:rsidRDefault="00014980" w:rsidP="00014980">
            <w:pPr>
              <w:spacing w:line="240" w:lineRule="exact"/>
            </w:pPr>
            <w:r>
              <w:t>Español, francés, inglés y ruso únicamente</w:t>
            </w:r>
          </w:p>
        </w:tc>
      </w:tr>
    </w:tbl>
    <w:p w:rsidR="006E3AC6" w:rsidRPr="00542079" w:rsidRDefault="006E3AC6" w:rsidP="006E3AC6">
      <w:pPr>
        <w:spacing w:before="120"/>
        <w:rPr>
          <w:b/>
          <w:sz w:val="24"/>
        </w:rPr>
      </w:pPr>
      <w:r w:rsidRPr="00542079">
        <w:rPr>
          <w:b/>
          <w:sz w:val="24"/>
        </w:rPr>
        <w:t>Comité para la Eliminación de la Discriminación Racial</w:t>
      </w:r>
    </w:p>
    <w:p w:rsidR="006E3AC6" w:rsidRPr="006E3AC6" w:rsidRDefault="006E3AC6" w:rsidP="006E3AC6">
      <w:pPr>
        <w:rPr>
          <w:b/>
        </w:rPr>
      </w:pPr>
      <w:r w:rsidRPr="006E3AC6">
        <w:rPr>
          <w:b/>
        </w:rPr>
        <w:t>94º período de sesiones</w:t>
      </w:r>
    </w:p>
    <w:p w:rsidR="006E3AC6" w:rsidRPr="001A35DC" w:rsidRDefault="006E3AC6" w:rsidP="006E3AC6">
      <w:r w:rsidRPr="001A35DC">
        <w:t>20 de noviembre a 8 de diciembre de 2017</w:t>
      </w:r>
    </w:p>
    <w:p w:rsidR="006E3AC6" w:rsidRPr="001A35DC" w:rsidRDefault="006E3AC6" w:rsidP="006E3AC6">
      <w:r w:rsidRPr="001A35DC">
        <w:t>Tema 4 del programa provisional</w:t>
      </w:r>
    </w:p>
    <w:p w:rsidR="006E3AC6" w:rsidRPr="006E3AC6" w:rsidRDefault="006E3AC6" w:rsidP="006E3AC6">
      <w:pPr>
        <w:rPr>
          <w:b/>
        </w:rPr>
      </w:pPr>
      <w:r w:rsidRPr="006E3AC6">
        <w:rPr>
          <w:b/>
        </w:rPr>
        <w:t>Examen de los informes, las observaciones y</w:t>
      </w:r>
      <w:r w:rsidR="00542079">
        <w:rPr>
          <w:b/>
        </w:rPr>
        <w:br/>
      </w:r>
      <w:r w:rsidRPr="006E3AC6">
        <w:rPr>
          <w:b/>
        </w:rPr>
        <w:t>la información</w:t>
      </w:r>
      <w:r w:rsidR="00542079">
        <w:rPr>
          <w:b/>
        </w:rPr>
        <w:t xml:space="preserve"> </w:t>
      </w:r>
      <w:r w:rsidRPr="006E3AC6">
        <w:rPr>
          <w:b/>
        </w:rPr>
        <w:t>presentados por los Estados</w:t>
      </w:r>
      <w:r w:rsidR="00542079">
        <w:rPr>
          <w:b/>
        </w:rPr>
        <w:br/>
      </w:r>
      <w:r w:rsidRPr="006E3AC6">
        <w:rPr>
          <w:b/>
        </w:rPr>
        <w:t>partes en virtud</w:t>
      </w:r>
      <w:r w:rsidR="00542079">
        <w:rPr>
          <w:b/>
        </w:rPr>
        <w:t xml:space="preserve"> </w:t>
      </w:r>
      <w:r w:rsidRPr="006E3AC6">
        <w:rPr>
          <w:b/>
        </w:rPr>
        <w:t>del artículo 9 de la Convención</w:t>
      </w:r>
    </w:p>
    <w:p w:rsidR="006E3AC6" w:rsidRPr="001A35DC" w:rsidRDefault="006E3AC6" w:rsidP="006E3AC6">
      <w:pPr>
        <w:pStyle w:val="HChG"/>
      </w:pPr>
      <w:r>
        <w:tab/>
      </w:r>
      <w:r>
        <w:tab/>
      </w:r>
      <w:r w:rsidRPr="001A35DC">
        <w:t>Lista de temas relativa a los informes periódicos 20º a 23º combinados de Belarús</w:t>
      </w:r>
    </w:p>
    <w:p w:rsidR="006E3AC6" w:rsidRPr="001A35DC" w:rsidRDefault="006E3AC6" w:rsidP="006E3AC6">
      <w:pPr>
        <w:pStyle w:val="H1G"/>
      </w:pPr>
      <w:r>
        <w:tab/>
      </w:r>
      <w:r>
        <w:tab/>
      </w:r>
      <w:r w:rsidRPr="001A35DC">
        <w:t>Nota del Relator para el país</w:t>
      </w:r>
    </w:p>
    <w:p w:rsidR="006E3AC6" w:rsidRPr="001A35DC" w:rsidRDefault="006E3AC6" w:rsidP="006E3AC6">
      <w:pPr>
        <w:pStyle w:val="SingleTxtG"/>
      </w:pPr>
      <w:r w:rsidRPr="001A35DC">
        <w:t>1.</w:t>
      </w:r>
      <w:r>
        <w:tab/>
      </w:r>
      <w:r w:rsidRPr="001A35DC"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Esta lista no es exhaustiva; durante el diálogo con el Estado parte podrán abordarse otros asuntos. No se requieren respuestas por escrito.</w:t>
      </w:r>
    </w:p>
    <w:p w:rsidR="006E3AC6" w:rsidRPr="001A35DC" w:rsidRDefault="006E3AC6" w:rsidP="006E3AC6">
      <w:pPr>
        <w:pStyle w:val="H23G"/>
      </w:pPr>
      <w:r>
        <w:tab/>
      </w:r>
      <w:r>
        <w:tab/>
      </w:r>
      <w:r w:rsidRPr="001A35DC">
        <w:t>Marco jurídico, institucional y de políticas públicas contra la discriminación racial</w:t>
      </w:r>
      <w:r>
        <w:t> </w:t>
      </w:r>
      <w:r w:rsidRPr="001A35DC">
        <w:t>(arts. 1 a 7)</w:t>
      </w:r>
    </w:p>
    <w:p w:rsidR="006E3AC6" w:rsidRPr="001A35DC" w:rsidRDefault="006E3AC6" w:rsidP="006E3AC6">
      <w:pPr>
        <w:pStyle w:val="SingleTxtG"/>
      </w:pPr>
      <w:r w:rsidRPr="001A35DC">
        <w:t>2.</w:t>
      </w:r>
      <w:r>
        <w:tab/>
      </w:r>
      <w:r w:rsidRPr="001A35DC">
        <w:t>Datos estadísticos, desglosados por origen étnico, sobre el disfrute de los derechos económicos, sociales y culturales, incluido el acceso a la atención de la salud y a los servicios sociales, la educación y la vivienda (CERD/C/BLR/20-23, párrs. 29 y 30).</w:t>
      </w:r>
    </w:p>
    <w:p w:rsidR="006E3AC6" w:rsidRPr="001A35DC" w:rsidRDefault="006E3AC6" w:rsidP="006E3AC6">
      <w:pPr>
        <w:pStyle w:val="SingleTxtG"/>
      </w:pPr>
      <w:r w:rsidRPr="001A35DC">
        <w:t>3.</w:t>
      </w:r>
      <w:r>
        <w:tab/>
      </w:r>
      <w:r w:rsidRPr="001A35DC">
        <w:t>Medidas adoptadas para aprobar un instrumento legislativo en el que se defina la discriminación racial en consonancia con el artículo 1 de la Convención (CERD/C/BLR/CO/18-19, párr. 8).</w:t>
      </w:r>
    </w:p>
    <w:p w:rsidR="006E3AC6" w:rsidRPr="001A35DC" w:rsidRDefault="006E3AC6" w:rsidP="006E3AC6">
      <w:pPr>
        <w:pStyle w:val="SingleTxtG"/>
      </w:pPr>
      <w:r w:rsidRPr="001A35DC">
        <w:t>4.</w:t>
      </w:r>
      <w:r>
        <w:tab/>
      </w:r>
      <w:r w:rsidRPr="001A35DC">
        <w:t>Medidas adoptadas para aprobar y aplicar instrumentos legislativos que prohíban la instigación a la discriminación racial, ilegalicen las organizaciones racistas, repriman el discurso de odio y dispongan que la motivación racista en actos de violencia constituye una circunstancia agravante en la determinación de las sanciones (CERD/C/BLR/CO/18-19, párr. 9).</w:t>
      </w:r>
    </w:p>
    <w:p w:rsidR="006E3AC6" w:rsidRPr="001A35DC" w:rsidRDefault="006E3AC6" w:rsidP="006E3AC6">
      <w:pPr>
        <w:pStyle w:val="SingleTxtG"/>
      </w:pPr>
      <w:r w:rsidRPr="001A35DC">
        <w:t>5.</w:t>
      </w:r>
      <w:r>
        <w:tab/>
      </w:r>
      <w:r w:rsidRPr="001A35DC">
        <w:t>Ejemplos de aplicación de la Ley de Lucha contra el Extremismo y de la Ley de Lucha contra el Terrorismo; medidas adoptadas para garantizar que se respete la Convención cuando se aplican esas Leyes; ejemplos y resultados de las decisiones adoptadas por las comisiones nacionales y provinciales de expertos encargadas de identificar el material informativo de carácter extremista (CERD/C/BLR/CO/18-19, párr.</w:t>
      </w:r>
      <w:r w:rsidR="00542079">
        <w:t> </w:t>
      </w:r>
      <w:r w:rsidRPr="001A35DC">
        <w:t>10; CERD/C/BLR/20-23, párrs. 15 y 142 a 154; CERD/C/BLR/CO/18-19/Add.1, párrs. 1 a 7).</w:t>
      </w:r>
    </w:p>
    <w:p w:rsidR="006E3AC6" w:rsidRPr="001A35DC" w:rsidRDefault="006E3AC6" w:rsidP="006E3AC6">
      <w:pPr>
        <w:pStyle w:val="SingleTxtG"/>
      </w:pPr>
      <w:r w:rsidRPr="001A35DC">
        <w:lastRenderedPageBreak/>
        <w:t>6.</w:t>
      </w:r>
      <w:r>
        <w:tab/>
      </w:r>
      <w:r w:rsidRPr="001A35DC">
        <w:t>Datos estadísticos sobre el número y el resultado de las denuncias de discriminación racial presentadas en virtud del artículo 14 del Código de Trabajo (CERD/C/BLR/CO/18</w:t>
      </w:r>
      <w:r w:rsidR="00542079">
        <w:noBreakHyphen/>
      </w:r>
      <w:r w:rsidRPr="001A35DC">
        <w:t>19, párr. 11; CERD/C/BLR/20-23, párrs. 155 a 158).</w:t>
      </w:r>
    </w:p>
    <w:p w:rsidR="006E3AC6" w:rsidRPr="001A35DC" w:rsidRDefault="006E3AC6" w:rsidP="006E3AC6">
      <w:pPr>
        <w:pStyle w:val="SingleTxtG"/>
      </w:pPr>
      <w:r w:rsidRPr="001A35DC">
        <w:t>7.</w:t>
      </w:r>
      <w:r>
        <w:tab/>
      </w:r>
      <w:r w:rsidRPr="001A35DC">
        <w:t>Información exhaustiva sobre el número y el tipo de delitos enjuiciados por motivos raciales, así como sobre las condenas y sentencias impuestas y las medidas de resarcimiento ofrecidas a las víctimas (CERD/C/BLR/CO/18-19, párr. 12; CERD/C/BLR/20-23, párrs.</w:t>
      </w:r>
      <w:r w:rsidR="00542079">
        <w:t> </w:t>
      </w:r>
      <w:r w:rsidRPr="001A35DC">
        <w:t>159 a 162).</w:t>
      </w:r>
    </w:p>
    <w:p w:rsidR="006E3AC6" w:rsidRPr="001A35DC" w:rsidRDefault="006E3AC6" w:rsidP="006E3AC6">
      <w:pPr>
        <w:pStyle w:val="SingleTxtG"/>
      </w:pPr>
      <w:r w:rsidRPr="001A35DC">
        <w:t>8.</w:t>
      </w:r>
      <w:r>
        <w:tab/>
      </w:r>
      <w:r w:rsidRPr="001A35DC">
        <w:t>Número y tipo de casos en los que los jueces hayan invocado directamente la Convención (CERD/C/BLR/CO/18-19, párr. 12).</w:t>
      </w:r>
    </w:p>
    <w:p w:rsidR="006E3AC6" w:rsidRPr="001A35DC" w:rsidRDefault="006E3AC6" w:rsidP="006E3AC6">
      <w:pPr>
        <w:pStyle w:val="SingleTxtG"/>
      </w:pPr>
      <w:r w:rsidRPr="001A35DC">
        <w:t>9.</w:t>
      </w:r>
      <w:r>
        <w:tab/>
      </w:r>
      <w:r w:rsidRPr="001A35DC">
        <w:t>Información sobre cualesquiera mecanismos de denuncia de que dispongan las víctimas de la discriminación racial, así como el número de denuncias presentadas; e información sobre el acceso a asistencia letrada (CERD/C/BLR/CO/18-19, párr. 12).</w:t>
      </w:r>
    </w:p>
    <w:p w:rsidR="006E3AC6" w:rsidRPr="001A35DC" w:rsidRDefault="006E3AC6" w:rsidP="006E3AC6">
      <w:pPr>
        <w:pStyle w:val="SingleTxtG"/>
      </w:pPr>
      <w:r w:rsidRPr="001A35DC">
        <w:t>10.</w:t>
      </w:r>
      <w:r>
        <w:tab/>
      </w:r>
      <w:r w:rsidRPr="001A35DC">
        <w:t>Medidas adoptadas para aprobar instrumentos legislativos que prevean una indemnización por actos de discriminación racial; e información sobre el número y el resultado de las reclamaciones de esa clase de indemnizaciones (CERD/C/BLR/CO/18-19, párr. 13; CERD/C/BLR/20-23, párrs. 163 a 168).</w:t>
      </w:r>
    </w:p>
    <w:p w:rsidR="006E3AC6" w:rsidRPr="001A35DC" w:rsidRDefault="006E3AC6" w:rsidP="006E3AC6">
      <w:pPr>
        <w:pStyle w:val="SingleTxtG"/>
      </w:pPr>
      <w:r w:rsidRPr="001A35DC">
        <w:t>11.</w:t>
      </w:r>
      <w:r>
        <w:tab/>
      </w:r>
      <w:r w:rsidRPr="001A35DC">
        <w:t>Medidas adoptadas para garantizar la independencia, imparcialidad y eficacia de los órganos judiciales, a fin de asegurarse de que sean capaces proteger a las víctimas de la discriminación racial (CERD/C/BLR/CO/18-19, párr. 14; CERD/C/BLR/20-23, párrs. 169 a 172).</w:t>
      </w:r>
    </w:p>
    <w:p w:rsidR="006E3AC6" w:rsidRPr="001A35DC" w:rsidRDefault="006E3AC6" w:rsidP="006E3AC6">
      <w:pPr>
        <w:pStyle w:val="SingleTxtG"/>
      </w:pPr>
      <w:r w:rsidRPr="001A35DC">
        <w:t>12.</w:t>
      </w:r>
      <w:r>
        <w:tab/>
      </w:r>
      <w:r w:rsidRPr="001A35DC">
        <w:t>Medidas adoptadas con miras a establecer una institución nacional de derechos humanos totalmente independiente, de conformidad con los principios relativos al estatuto de las instituciones nacionales de promoción y protección de los derechos humanos (Principios de París) (CERD/C/BLR/CO/18-19, párr. 15; CERD/C/BLR/20-23, párrs. 173 a</w:t>
      </w:r>
      <w:r w:rsidR="00542079">
        <w:t> </w:t>
      </w:r>
      <w:r w:rsidRPr="001A35DC">
        <w:t>175; CERD/C/BLR/CO/18-19/Add.1, párrs. 8 a 15).</w:t>
      </w:r>
    </w:p>
    <w:p w:rsidR="006E3AC6" w:rsidRPr="001A35DC" w:rsidRDefault="006E3AC6" w:rsidP="006E3AC6">
      <w:pPr>
        <w:pStyle w:val="H23G"/>
      </w:pPr>
      <w:r>
        <w:tab/>
      </w:r>
      <w:r>
        <w:tab/>
      </w:r>
      <w:r w:rsidRPr="001A35DC">
        <w:t>Situación de los romaníes y otras minorías étnicas (arts. 2 a 7)</w:t>
      </w:r>
    </w:p>
    <w:p w:rsidR="006E3AC6" w:rsidRPr="001A35DC" w:rsidRDefault="006E3AC6" w:rsidP="006E3AC6">
      <w:pPr>
        <w:pStyle w:val="SingleTxtG"/>
      </w:pPr>
      <w:r w:rsidRPr="001A35DC">
        <w:t>13.</w:t>
      </w:r>
      <w:r>
        <w:tab/>
      </w:r>
      <w:r w:rsidRPr="001A35DC">
        <w:t>Medidas adoptadas para prevenir, vigilar y reprimir todo tipo de discurso de odio racial, instigación al odio racial y discriminación contra los romaníes, los polacos y otras minorías étnicas, incluida la discriminación en la aplicación de la ley y en el acceso a la educación, el empleo, la vivienda, los documentos de identidad, los lugares públicos y los servicios sociales y de otra índole (CERD/C/BLR/CO/18-19, párr. 16; CERD/C/BLR/20</w:t>
      </w:r>
      <w:r w:rsidR="00542079">
        <w:noBreakHyphen/>
      </w:r>
      <w:r w:rsidRPr="001A35DC">
        <w:t>23, párrs. 176 a 179).</w:t>
      </w:r>
    </w:p>
    <w:p w:rsidR="006E3AC6" w:rsidRPr="001A35DC" w:rsidRDefault="006E3AC6" w:rsidP="006E3AC6">
      <w:pPr>
        <w:pStyle w:val="H23G"/>
      </w:pPr>
      <w:r>
        <w:tab/>
      </w:r>
      <w:r>
        <w:tab/>
      </w:r>
      <w:r w:rsidRPr="001A35DC">
        <w:t>Situación de los no ciudadanos, incluidos los trabajadores migrantes, los</w:t>
      </w:r>
      <w:r>
        <w:t> </w:t>
      </w:r>
      <w:r w:rsidRPr="001A35DC">
        <w:t>solicitantes</w:t>
      </w:r>
      <w:r>
        <w:t> </w:t>
      </w:r>
      <w:r w:rsidRPr="001A35DC">
        <w:t>de asilo y los refugiados (arts. 5 a 7)</w:t>
      </w:r>
    </w:p>
    <w:p w:rsidR="006E3AC6" w:rsidRPr="001A35DC" w:rsidRDefault="006E3AC6" w:rsidP="006E3AC6">
      <w:pPr>
        <w:pStyle w:val="SingleTxtG"/>
      </w:pPr>
      <w:r w:rsidRPr="001A35DC">
        <w:t>14.</w:t>
      </w:r>
      <w:r>
        <w:tab/>
      </w:r>
      <w:r w:rsidRPr="001A35DC">
        <w:t>Adecuación de la protección legislativa y humanitaria destinada a los solicitantes de asilo, los refugiados y los migrantes que necesiten protección internacional (CERD/C/BLR/20-23, párrs. 75 a 95).</w:t>
      </w:r>
    </w:p>
    <w:p w:rsidR="006E3AC6" w:rsidRPr="001A35DC" w:rsidRDefault="006E3AC6" w:rsidP="006E3AC6">
      <w:pPr>
        <w:pStyle w:val="SingleTxtG"/>
      </w:pPr>
      <w:r w:rsidRPr="001A35DC">
        <w:t>15.</w:t>
      </w:r>
      <w:r>
        <w:tab/>
      </w:r>
      <w:r w:rsidRPr="001A35DC">
        <w:t>Cambios introducidos recientemente en la Ley de Lucha contra la Trata de Personas; medidas adoptadas para prevenir, identificar y reprimir la trata de personas, proteger y asistir a las víctimas de la trata e investigar, enjuiciar y castigar, de forma inmediata y rigurosa, a los responsables (CERD/C/BLR/CO/18-19, párr. 17; CERD/C/BLR/20-23, párrs. 180 a 205; CERD/C/BLR/CO/18-19/Add.1, párrs. 16 a 39).</w:t>
      </w:r>
    </w:p>
    <w:p w:rsidR="006E3AC6" w:rsidRPr="001A35DC" w:rsidRDefault="006E3AC6" w:rsidP="006E3AC6">
      <w:pPr>
        <w:pStyle w:val="SingleTxtG"/>
      </w:pPr>
      <w:r w:rsidRPr="001A35DC">
        <w:t>16.</w:t>
      </w:r>
      <w:r>
        <w:tab/>
      </w:r>
      <w:r w:rsidRPr="001A35DC">
        <w:t>Formación sobre la Convención impartida a los agentes del orden y a los funcionarios judiciales; medidas adoptadas para evaluar la eficacia de dicha formación (CERD/C/BLR/CO/18-19, párr. 18; CERD/C/BLR/20-23, párrs. 206 a 215).</w:t>
      </w:r>
    </w:p>
    <w:p w:rsidR="00381C24" w:rsidRPr="006E3AC6" w:rsidRDefault="006E3AC6" w:rsidP="006E3AC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E3AC6" w:rsidSect="000149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38" w:rsidRPr="00D43FF0" w:rsidRDefault="00C76838" w:rsidP="00D43FF0">
      <w:pPr>
        <w:pStyle w:val="Piedepgina"/>
      </w:pPr>
    </w:p>
  </w:endnote>
  <w:endnote w:type="continuationSeparator" w:id="0">
    <w:p w:rsidR="00C76838" w:rsidRPr="00D43FF0" w:rsidRDefault="00C76838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80" w:rsidRPr="00014980" w:rsidRDefault="00014980" w:rsidP="00014980">
    <w:pPr>
      <w:pStyle w:val="Piedepgina"/>
      <w:tabs>
        <w:tab w:val="right" w:pos="9638"/>
      </w:tabs>
    </w:pPr>
    <w:r w:rsidRPr="00014980">
      <w:rPr>
        <w:b/>
        <w:sz w:val="18"/>
      </w:rPr>
      <w:fldChar w:fldCharType="begin"/>
    </w:r>
    <w:r w:rsidRPr="00014980">
      <w:rPr>
        <w:b/>
        <w:sz w:val="18"/>
      </w:rPr>
      <w:instrText xml:space="preserve"> PAGE  \* MERGEFORMAT </w:instrText>
    </w:r>
    <w:r w:rsidRPr="00014980">
      <w:rPr>
        <w:b/>
        <w:sz w:val="18"/>
      </w:rPr>
      <w:fldChar w:fldCharType="separate"/>
    </w:r>
    <w:r w:rsidR="00DE24F0">
      <w:rPr>
        <w:b/>
        <w:noProof/>
        <w:sz w:val="18"/>
      </w:rPr>
      <w:t>2</w:t>
    </w:r>
    <w:r w:rsidRPr="00014980">
      <w:rPr>
        <w:b/>
        <w:sz w:val="18"/>
      </w:rPr>
      <w:fldChar w:fldCharType="end"/>
    </w:r>
    <w:r>
      <w:rPr>
        <w:b/>
        <w:sz w:val="18"/>
      </w:rPr>
      <w:tab/>
    </w:r>
    <w:r>
      <w:t>GE.17-17419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80" w:rsidRPr="00014980" w:rsidRDefault="00014980" w:rsidP="00014980">
    <w:pPr>
      <w:pStyle w:val="Piedepgina"/>
      <w:tabs>
        <w:tab w:val="right" w:pos="9638"/>
      </w:tabs>
      <w:rPr>
        <w:b/>
        <w:sz w:val="18"/>
      </w:rPr>
    </w:pPr>
    <w:r>
      <w:t>GE.17-17419</w:t>
    </w:r>
    <w:r>
      <w:tab/>
    </w:r>
    <w:r w:rsidRPr="00014980">
      <w:rPr>
        <w:b/>
        <w:sz w:val="18"/>
      </w:rPr>
      <w:fldChar w:fldCharType="begin"/>
    </w:r>
    <w:r w:rsidRPr="00014980">
      <w:rPr>
        <w:b/>
        <w:sz w:val="18"/>
      </w:rPr>
      <w:instrText xml:space="preserve"> PAGE  \* MERGEFORMAT </w:instrText>
    </w:r>
    <w:r w:rsidRPr="00014980">
      <w:rPr>
        <w:b/>
        <w:sz w:val="18"/>
      </w:rPr>
      <w:fldChar w:fldCharType="separate"/>
    </w:r>
    <w:r w:rsidR="00542079">
      <w:rPr>
        <w:b/>
        <w:noProof/>
        <w:sz w:val="18"/>
      </w:rPr>
      <w:t>2</w:t>
    </w:r>
    <w:r w:rsidRPr="000149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014980" w:rsidRDefault="00014980" w:rsidP="0001498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17-17419  (S)</w:t>
    </w:r>
    <w:r w:rsidR="00A118D0">
      <w:rPr>
        <w:sz w:val="20"/>
      </w:rPr>
      <w:t xml:space="preserve">    311017    311017</w:t>
    </w:r>
    <w:r>
      <w:rPr>
        <w:sz w:val="20"/>
      </w:rPr>
      <w:br/>
    </w:r>
    <w:r w:rsidRPr="00014980">
      <w:rPr>
        <w:rFonts w:ascii="C39T30Lfz" w:hAnsi="C39T30Lfz"/>
        <w:sz w:val="56"/>
      </w:rPr>
      <w:t></w:t>
    </w:r>
    <w:r w:rsidRPr="00014980">
      <w:rPr>
        <w:rFonts w:ascii="C39T30Lfz" w:hAnsi="C39T30Lfz"/>
        <w:sz w:val="56"/>
      </w:rPr>
      <w:t></w:t>
    </w:r>
    <w:r w:rsidRPr="00014980">
      <w:rPr>
        <w:rFonts w:ascii="C39T30Lfz" w:hAnsi="C39T30Lfz"/>
        <w:sz w:val="56"/>
      </w:rPr>
      <w:t></w:t>
    </w:r>
    <w:r w:rsidRPr="00014980">
      <w:rPr>
        <w:rFonts w:ascii="C39T30Lfz" w:hAnsi="C39T30Lfz"/>
        <w:sz w:val="56"/>
      </w:rPr>
      <w:t></w:t>
    </w:r>
    <w:r w:rsidRPr="00014980">
      <w:rPr>
        <w:rFonts w:ascii="C39T30Lfz" w:hAnsi="C39T30Lfz"/>
        <w:sz w:val="56"/>
      </w:rPr>
      <w:t></w:t>
    </w:r>
    <w:r w:rsidRPr="00014980">
      <w:rPr>
        <w:rFonts w:ascii="C39T30Lfz" w:hAnsi="C39T30Lfz"/>
        <w:sz w:val="56"/>
      </w:rPr>
      <w:t></w:t>
    </w:r>
    <w:r w:rsidRPr="00014980">
      <w:rPr>
        <w:rFonts w:ascii="C39T30Lfz" w:hAnsi="C39T30Lfz"/>
        <w:sz w:val="56"/>
      </w:rPr>
      <w:t></w:t>
    </w:r>
    <w:r w:rsidRPr="00014980">
      <w:rPr>
        <w:rFonts w:ascii="C39T30Lfz" w:hAnsi="C39T30Lfz"/>
        <w:sz w:val="56"/>
      </w:rPr>
      <w:t></w:t>
    </w:r>
    <w:r w:rsidRPr="0001498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BLR/Q/20-2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BLR/Q/20-2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38" w:rsidRPr="001075E9" w:rsidRDefault="00C768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6838" w:rsidRDefault="00C76838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80" w:rsidRPr="00014980" w:rsidRDefault="00DE24F0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CERD/C/BLR/Q/20-23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80" w:rsidRPr="00014980" w:rsidRDefault="00DE24F0" w:rsidP="0001498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CERD/C/BLR/Q/20-23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8"/>
    <w:rsid w:val="00006BB9"/>
    <w:rsid w:val="000107A1"/>
    <w:rsid w:val="00014980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57EFF"/>
    <w:rsid w:val="00381C24"/>
    <w:rsid w:val="003958D0"/>
    <w:rsid w:val="004031F0"/>
    <w:rsid w:val="00454E07"/>
    <w:rsid w:val="00471CB3"/>
    <w:rsid w:val="0050108D"/>
    <w:rsid w:val="0051740C"/>
    <w:rsid w:val="00542079"/>
    <w:rsid w:val="00572E19"/>
    <w:rsid w:val="005E2441"/>
    <w:rsid w:val="005F0B42"/>
    <w:rsid w:val="00634841"/>
    <w:rsid w:val="00655A21"/>
    <w:rsid w:val="0067198A"/>
    <w:rsid w:val="006725B3"/>
    <w:rsid w:val="006808A9"/>
    <w:rsid w:val="00682812"/>
    <w:rsid w:val="006D631C"/>
    <w:rsid w:val="006E3AC6"/>
    <w:rsid w:val="006F152D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18D0"/>
    <w:rsid w:val="00A17DFD"/>
    <w:rsid w:val="00A414EF"/>
    <w:rsid w:val="00A4674B"/>
    <w:rsid w:val="00A917B3"/>
    <w:rsid w:val="00AB4B51"/>
    <w:rsid w:val="00B066FC"/>
    <w:rsid w:val="00B10CC7"/>
    <w:rsid w:val="00B40B56"/>
    <w:rsid w:val="00B62458"/>
    <w:rsid w:val="00B778C8"/>
    <w:rsid w:val="00BA3587"/>
    <w:rsid w:val="00BB36EA"/>
    <w:rsid w:val="00BD33EE"/>
    <w:rsid w:val="00C60F0C"/>
    <w:rsid w:val="00C63C2A"/>
    <w:rsid w:val="00C76838"/>
    <w:rsid w:val="00C805C9"/>
    <w:rsid w:val="00C907F0"/>
    <w:rsid w:val="00CA1679"/>
    <w:rsid w:val="00CC15A3"/>
    <w:rsid w:val="00D05347"/>
    <w:rsid w:val="00D43FF0"/>
    <w:rsid w:val="00D51B42"/>
    <w:rsid w:val="00D90138"/>
    <w:rsid w:val="00DA26B8"/>
    <w:rsid w:val="00DD4E25"/>
    <w:rsid w:val="00DE24F0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6E5DC5-B99A-4B50-A46D-24BF431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,Cuadro_G"/>
    <w:basedOn w:val="SingleTxtG"/>
    <w:next w:val="SingleTxtG"/>
    <w:link w:val="Ttulo1Car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link w:val="Ttulo2Car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link w:val="EncabezadoCar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qFormat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qFormat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qFormat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uiPriority w:val="99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styleId="nfasisintenso">
    <w:name w:val="Intense Emphasis"/>
    <w:uiPriority w:val="21"/>
    <w:rsid w:val="006E3AC6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6E3A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3AC6"/>
    <w:rPr>
      <w:b/>
      <w:bCs/>
      <w:i/>
      <w:iCs/>
      <w:color w:val="4F81BD"/>
      <w:lang w:val="es-ES" w:eastAsia="es-ES"/>
    </w:rPr>
  </w:style>
  <w:style w:type="character" w:customStyle="1" w:styleId="Ttulo1Car">
    <w:name w:val="Título 1 Car"/>
    <w:aliases w:val="Table_G Car,Cuadro_G Car"/>
    <w:basedOn w:val="Fuentedeprrafopredeter"/>
    <w:link w:val="Ttulo1"/>
    <w:rsid w:val="006E3AC6"/>
    <w:rPr>
      <w:rFonts w:cs="Arial"/>
      <w:bCs/>
      <w:szCs w:val="32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rsid w:val="006E3AC6"/>
    <w:rPr>
      <w:b/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rsid w:val="006E3AC6"/>
    <w:rPr>
      <w:sz w:val="16"/>
      <w:lang w:val="es-ES" w:eastAsia="es-ES"/>
    </w:rPr>
  </w:style>
  <w:style w:type="paragraph" w:customStyle="1" w:styleId="ParaNoG">
    <w:name w:val="_ParaNo._G"/>
    <w:basedOn w:val="SingleTxtG"/>
    <w:rsid w:val="006E3AC6"/>
    <w:pPr>
      <w:numPr>
        <w:numId w:val="18"/>
      </w:numPr>
      <w:suppressAutoHyphens/>
    </w:pPr>
    <w:rPr>
      <w:rFonts w:eastAsia="SimSun"/>
      <w:lang w:val="en-GB" w:eastAsia="zh-CN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6E3AC6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rsid w:val="006E3AC6"/>
    <w:rPr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3AC6"/>
    <w:rPr>
      <w:rFonts w:cs="Arial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3AC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6E3AC6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6E3AC6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6E3AC6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6E3AC6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6E3AC6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6E3AC6"/>
    <w:rPr>
      <w:rFonts w:ascii="Arial" w:hAnsi="Arial" w:cs="Arial"/>
      <w:sz w:val="22"/>
      <w:szCs w:val="22"/>
      <w:lang w:val="es-ES" w:eastAsia="es-ES"/>
    </w:rPr>
  </w:style>
  <w:style w:type="character" w:styleId="Ttulodellibro">
    <w:name w:val="Book Title"/>
    <w:basedOn w:val="Fuentedeprrafopredeter"/>
    <w:uiPriority w:val="33"/>
    <w:rsid w:val="006E3AC6"/>
    <w:rPr>
      <w:b/>
      <w:bCs/>
      <w:smallCaps/>
      <w:spacing w:val="5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AC6"/>
    <w:pPr>
      <w:suppressAutoHyphens/>
      <w:spacing w:line="240" w:lineRule="auto"/>
    </w:pPr>
    <w:rPr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AC6"/>
    <w:rPr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E3AC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AC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CERD/C/BLR/Q/20-23</dc:title>
  <dc:subject/>
  <dc:creator>Juan-Carlos KOROL</dc:creator>
  <cp:keywords/>
  <cp:lastModifiedBy>Maria Luisa ZEBALLOS MORENO</cp:lastModifiedBy>
  <cp:revision>3</cp:revision>
  <cp:lastPrinted>2017-10-31T15:38:00Z</cp:lastPrinted>
  <dcterms:created xsi:type="dcterms:W3CDTF">2017-10-31T15:38:00Z</dcterms:created>
  <dcterms:modified xsi:type="dcterms:W3CDTF">2017-10-31T15:38:00Z</dcterms:modified>
</cp:coreProperties>
</file>