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C33211F" w14:textId="77777777" w:rsidTr="00CA1AEA">
        <w:trPr>
          <w:cantSplit/>
          <w:trHeight w:hRule="exact" w:val="851"/>
        </w:trPr>
        <w:tc>
          <w:tcPr>
            <w:tcW w:w="1276" w:type="dxa"/>
            <w:tcBorders>
              <w:bottom w:val="single" w:sz="4" w:space="0" w:color="auto"/>
            </w:tcBorders>
            <w:vAlign w:val="bottom"/>
          </w:tcPr>
          <w:p w14:paraId="38658895" w14:textId="77777777" w:rsidR="00165C15" w:rsidRDefault="00165C15" w:rsidP="00CA1AEA">
            <w:pPr>
              <w:spacing w:after="80"/>
            </w:pPr>
          </w:p>
        </w:tc>
        <w:tc>
          <w:tcPr>
            <w:tcW w:w="2268" w:type="dxa"/>
            <w:tcBorders>
              <w:bottom w:val="single" w:sz="4" w:space="0" w:color="auto"/>
            </w:tcBorders>
            <w:vAlign w:val="bottom"/>
          </w:tcPr>
          <w:p w14:paraId="2A35902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E6E6DA" w14:textId="77777777" w:rsidR="00165C15" w:rsidRPr="00D47EEA" w:rsidRDefault="00550B78" w:rsidP="00550B78">
            <w:pPr>
              <w:suppressAutoHyphens w:val="0"/>
              <w:spacing w:after="20" w:line="240" w:lineRule="atLeast"/>
              <w:jc w:val="right"/>
            </w:pPr>
            <w:r w:rsidRPr="00550B78">
              <w:rPr>
                <w:sz w:val="40"/>
              </w:rPr>
              <w:t>CCPR</w:t>
            </w:r>
            <w:r>
              <w:t>/C/128/D/3012/2017</w:t>
            </w:r>
          </w:p>
        </w:tc>
      </w:tr>
      <w:tr w:rsidR="00165C15" w14:paraId="520381B0" w14:textId="77777777" w:rsidTr="00CA1AEA">
        <w:trPr>
          <w:cantSplit/>
          <w:trHeight w:hRule="exact" w:val="2835"/>
        </w:trPr>
        <w:tc>
          <w:tcPr>
            <w:tcW w:w="1276" w:type="dxa"/>
            <w:tcBorders>
              <w:top w:val="single" w:sz="4" w:space="0" w:color="auto"/>
              <w:bottom w:val="single" w:sz="12" w:space="0" w:color="auto"/>
            </w:tcBorders>
          </w:tcPr>
          <w:p w14:paraId="408A79A1" w14:textId="77777777" w:rsidR="00165C15" w:rsidRDefault="00165C15" w:rsidP="00CA1AEA">
            <w:pPr>
              <w:spacing w:before="120"/>
            </w:pPr>
            <w:r>
              <w:rPr>
                <w:noProof/>
                <w:lang w:eastAsia="en-GB"/>
              </w:rPr>
              <w:drawing>
                <wp:inline distT="0" distB="0" distL="0" distR="0" wp14:anchorId="7D042991" wp14:editId="23BB9B0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68E763"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228188E6" w14:textId="77777777" w:rsidR="00165C15" w:rsidRDefault="00550B78" w:rsidP="00550B78">
            <w:pPr>
              <w:suppressAutoHyphens w:val="0"/>
              <w:spacing w:before="240"/>
            </w:pPr>
            <w:r>
              <w:t>Distr.: General</w:t>
            </w:r>
          </w:p>
          <w:p w14:paraId="5E6DA16A" w14:textId="77777777" w:rsidR="00550B78" w:rsidRDefault="00550B78" w:rsidP="00550B78">
            <w:pPr>
              <w:suppressAutoHyphens w:val="0"/>
            </w:pPr>
            <w:r>
              <w:t>17 June 2020</w:t>
            </w:r>
          </w:p>
          <w:p w14:paraId="2ED652C0" w14:textId="77777777" w:rsidR="00550B78" w:rsidRDefault="00550B78" w:rsidP="00550B78">
            <w:pPr>
              <w:suppressAutoHyphens w:val="0"/>
            </w:pPr>
          </w:p>
          <w:p w14:paraId="6F315129" w14:textId="77777777" w:rsidR="00550B78" w:rsidRDefault="00550B78" w:rsidP="00550B78">
            <w:pPr>
              <w:suppressAutoHyphens w:val="0"/>
              <w:spacing w:line="240" w:lineRule="atLeast"/>
            </w:pPr>
            <w:r>
              <w:t>Original: English</w:t>
            </w:r>
          </w:p>
        </w:tc>
      </w:tr>
    </w:tbl>
    <w:p w14:paraId="5DE418E2" w14:textId="77777777" w:rsidR="00550B78" w:rsidRPr="00181974" w:rsidRDefault="00550B78" w:rsidP="00550B78">
      <w:pPr>
        <w:spacing w:before="120"/>
        <w:rPr>
          <w:b/>
          <w:sz w:val="24"/>
          <w:szCs w:val="24"/>
        </w:rPr>
      </w:pPr>
      <w:r w:rsidRPr="00181974">
        <w:rPr>
          <w:b/>
          <w:sz w:val="24"/>
          <w:szCs w:val="24"/>
        </w:rPr>
        <w:t>Human Rights Committee</w:t>
      </w:r>
    </w:p>
    <w:p w14:paraId="129B7497" w14:textId="77777777" w:rsidR="00550B78" w:rsidRPr="008A61D2" w:rsidRDefault="00550B78" w:rsidP="00550B78">
      <w:pPr>
        <w:pStyle w:val="HChG"/>
      </w:pPr>
      <w:r w:rsidRPr="008A61D2">
        <w:tab/>
      </w:r>
      <w:r w:rsidRPr="008A61D2">
        <w:tab/>
      </w:r>
      <w:r w:rsidRPr="00685DC7">
        <w:t>Decision adopted by the Committee under the Optional Protocol, concerning</w:t>
      </w:r>
      <w:r w:rsidRPr="00BC1248">
        <w:rPr>
          <w:szCs w:val="28"/>
        </w:rPr>
        <w:t xml:space="preserve"> </w:t>
      </w:r>
      <w:r>
        <w:t>c</w:t>
      </w:r>
      <w:r w:rsidRPr="008A61D2">
        <w:t xml:space="preserve">ommunication No. </w:t>
      </w:r>
      <w:r>
        <w:t>3012</w:t>
      </w:r>
      <w:r w:rsidRPr="008A61D2">
        <w:t>/201</w:t>
      </w:r>
      <w:r>
        <w:t>7</w:t>
      </w:r>
      <w:r w:rsidRPr="00BD2A9E">
        <w:rPr>
          <w:b w:val="0"/>
          <w:sz w:val="20"/>
        </w:rPr>
        <w:footnoteReference w:customMarkFollows="1" w:id="1"/>
        <w:t>*</w:t>
      </w:r>
      <w:r w:rsidRPr="00BD2A9E">
        <w:rPr>
          <w:b w:val="0"/>
          <w:position w:val="6"/>
          <w:sz w:val="18"/>
        </w:rPr>
        <w:t>,</w:t>
      </w:r>
      <w:r>
        <w:rPr>
          <w:b w:val="0"/>
          <w:sz w:val="20"/>
        </w:rPr>
        <w:t xml:space="preserve"> </w:t>
      </w:r>
      <w:r w:rsidRPr="00BD2A9E">
        <w:rPr>
          <w:b w:val="0"/>
          <w:sz w:val="20"/>
        </w:rPr>
        <w:footnoteReference w:customMarkFollows="1" w:id="2"/>
        <w:t>**</w:t>
      </w:r>
    </w:p>
    <w:p w14:paraId="70D47A34" w14:textId="77777777" w:rsidR="00550B78" w:rsidRPr="000378CB" w:rsidRDefault="00550B78" w:rsidP="000378CB">
      <w:pPr>
        <w:pStyle w:val="SingleTxtG"/>
        <w:ind w:left="4536" w:hanging="3402"/>
        <w:jc w:val="left"/>
      </w:pPr>
      <w:r w:rsidRPr="000378CB">
        <w:rPr>
          <w:i/>
          <w:iCs/>
        </w:rPr>
        <w:t>Communication submitted by:</w:t>
      </w:r>
      <w:r w:rsidRPr="000378CB">
        <w:tab/>
        <w:t xml:space="preserve">D.A.M. </w:t>
      </w:r>
    </w:p>
    <w:p w14:paraId="22610352" w14:textId="77777777" w:rsidR="00550B78" w:rsidRPr="000378CB" w:rsidRDefault="00550B78" w:rsidP="000378CB">
      <w:pPr>
        <w:pStyle w:val="SingleTxtG"/>
        <w:ind w:left="4536" w:hanging="3402"/>
        <w:jc w:val="left"/>
      </w:pPr>
      <w:r w:rsidRPr="000378CB">
        <w:rPr>
          <w:i/>
          <w:iCs/>
        </w:rPr>
        <w:t>Alleged victim:</w:t>
      </w:r>
      <w:r w:rsidRPr="000378CB">
        <w:tab/>
        <w:t>The author</w:t>
      </w:r>
    </w:p>
    <w:p w14:paraId="7EC91FF3" w14:textId="77777777" w:rsidR="00550B78" w:rsidRPr="000378CB" w:rsidRDefault="00550B78" w:rsidP="000378CB">
      <w:pPr>
        <w:pStyle w:val="SingleTxtG"/>
        <w:ind w:left="4536" w:hanging="3402"/>
        <w:jc w:val="left"/>
      </w:pPr>
      <w:r w:rsidRPr="000378CB">
        <w:rPr>
          <w:i/>
          <w:iCs/>
        </w:rPr>
        <w:t>State party:</w:t>
      </w:r>
      <w:r w:rsidRPr="000378CB">
        <w:tab/>
        <w:t>Sweden</w:t>
      </w:r>
    </w:p>
    <w:p w14:paraId="04DBB234" w14:textId="77777777" w:rsidR="00550B78" w:rsidRPr="000378CB" w:rsidRDefault="00550B78" w:rsidP="000378CB">
      <w:pPr>
        <w:pStyle w:val="SingleTxtG"/>
        <w:ind w:left="4536" w:hanging="3402"/>
        <w:jc w:val="left"/>
      </w:pPr>
      <w:r w:rsidRPr="000378CB">
        <w:rPr>
          <w:i/>
          <w:iCs/>
        </w:rPr>
        <w:t>Date of communication:</w:t>
      </w:r>
      <w:r w:rsidRPr="000378CB">
        <w:tab/>
        <w:t>4 July 2017 (initial submission)</w:t>
      </w:r>
    </w:p>
    <w:p w14:paraId="7B50315B" w14:textId="480E9860" w:rsidR="00550B78" w:rsidRPr="000378CB" w:rsidRDefault="00550B78" w:rsidP="000378CB">
      <w:pPr>
        <w:pStyle w:val="SingleTxtG"/>
        <w:ind w:left="4536" w:hanging="3402"/>
        <w:jc w:val="left"/>
      </w:pPr>
      <w:r w:rsidRPr="000378CB">
        <w:rPr>
          <w:i/>
          <w:iCs/>
        </w:rPr>
        <w:t>Document references:</w:t>
      </w:r>
      <w:r w:rsidRPr="000378CB">
        <w:tab/>
      </w:r>
      <w:bookmarkStart w:id="2" w:name="_Hlk42614746"/>
      <w:r w:rsidRPr="000378CB">
        <w:t>Decision taken pursuant to rule 92 of the Committee</w:t>
      </w:r>
      <w:r w:rsidR="00072615" w:rsidRPr="000378CB">
        <w:t>’</w:t>
      </w:r>
      <w:r w:rsidRPr="000378CB">
        <w:t>s rules of procedure, transmitted to the State party on 27 July 2017 (not issued in document form)</w:t>
      </w:r>
    </w:p>
    <w:bookmarkEnd w:id="2"/>
    <w:p w14:paraId="4E82604D" w14:textId="77777777" w:rsidR="00550B78" w:rsidRPr="000378CB" w:rsidRDefault="00550B78" w:rsidP="000378CB">
      <w:pPr>
        <w:pStyle w:val="SingleTxtG"/>
        <w:ind w:left="4536" w:hanging="3402"/>
        <w:jc w:val="left"/>
      </w:pPr>
      <w:r w:rsidRPr="000378CB">
        <w:rPr>
          <w:i/>
          <w:iCs/>
        </w:rPr>
        <w:t>Date of adoption of decision:</w:t>
      </w:r>
      <w:r w:rsidRPr="000378CB">
        <w:tab/>
        <w:t>13 M</w:t>
      </w:r>
      <w:bookmarkStart w:id="3" w:name="_GoBack"/>
      <w:bookmarkEnd w:id="3"/>
      <w:r w:rsidRPr="000378CB">
        <w:t>arch 2020</w:t>
      </w:r>
    </w:p>
    <w:p w14:paraId="7AB547B4" w14:textId="77777777" w:rsidR="00550B78" w:rsidRPr="000378CB" w:rsidRDefault="00550B78" w:rsidP="000378CB">
      <w:pPr>
        <w:pStyle w:val="SingleTxtG"/>
        <w:ind w:left="4536" w:hanging="3402"/>
        <w:jc w:val="left"/>
      </w:pPr>
      <w:r w:rsidRPr="000378CB">
        <w:rPr>
          <w:i/>
          <w:iCs/>
        </w:rPr>
        <w:t>Subject matter:</w:t>
      </w:r>
      <w:r w:rsidRPr="000378CB">
        <w:tab/>
        <w:t xml:space="preserve">Deportation from Sweden to Somalia </w:t>
      </w:r>
    </w:p>
    <w:p w14:paraId="178CCD83" w14:textId="77777777" w:rsidR="00550B78" w:rsidRPr="000378CB" w:rsidRDefault="00550B78" w:rsidP="000378CB">
      <w:pPr>
        <w:pStyle w:val="SingleTxtG"/>
        <w:ind w:left="4536" w:hanging="3402"/>
        <w:jc w:val="left"/>
      </w:pPr>
      <w:r w:rsidRPr="000378CB">
        <w:rPr>
          <w:i/>
          <w:iCs/>
        </w:rPr>
        <w:t>Procedural issue:</w:t>
      </w:r>
      <w:r w:rsidRPr="000378CB">
        <w:tab/>
        <w:t>Level of substantiation of claims</w:t>
      </w:r>
    </w:p>
    <w:p w14:paraId="0FB4DDA7" w14:textId="77777777" w:rsidR="00550B78" w:rsidRPr="000378CB" w:rsidRDefault="00550B78" w:rsidP="000378CB">
      <w:pPr>
        <w:pStyle w:val="SingleTxtG"/>
        <w:ind w:left="4536" w:hanging="3402"/>
        <w:jc w:val="left"/>
      </w:pPr>
      <w:r w:rsidRPr="000378CB">
        <w:rPr>
          <w:i/>
          <w:iCs/>
        </w:rPr>
        <w:t>Substantive issues:</w:t>
      </w:r>
      <w:r w:rsidRPr="000378CB">
        <w:tab/>
        <w:t xml:space="preserve">Risk of torture and other cruel, inhuman or degrading treatment or punishment; non-refoulement </w:t>
      </w:r>
    </w:p>
    <w:p w14:paraId="28A818F3" w14:textId="77777777" w:rsidR="00550B78" w:rsidRPr="000378CB" w:rsidRDefault="00550B78" w:rsidP="000378CB">
      <w:pPr>
        <w:pStyle w:val="SingleTxtG"/>
        <w:ind w:left="4536" w:hanging="3402"/>
        <w:jc w:val="left"/>
      </w:pPr>
      <w:r w:rsidRPr="000378CB">
        <w:rPr>
          <w:i/>
          <w:iCs/>
        </w:rPr>
        <w:t>Article of the Covenant:</w:t>
      </w:r>
      <w:r w:rsidRPr="000378CB">
        <w:tab/>
        <w:t>7</w:t>
      </w:r>
    </w:p>
    <w:p w14:paraId="53D1EE7B" w14:textId="77777777" w:rsidR="00550B78" w:rsidRPr="000378CB" w:rsidRDefault="00550B78" w:rsidP="000378CB">
      <w:pPr>
        <w:pStyle w:val="SingleTxtG"/>
        <w:spacing w:after="240"/>
        <w:ind w:left="4536" w:hanging="3402"/>
        <w:jc w:val="left"/>
      </w:pPr>
      <w:r w:rsidRPr="000378CB">
        <w:rPr>
          <w:i/>
          <w:iCs/>
        </w:rPr>
        <w:t>Article of the Optional Protocol:</w:t>
      </w:r>
      <w:r w:rsidRPr="000378CB">
        <w:tab/>
        <w:t>2</w:t>
      </w:r>
    </w:p>
    <w:p w14:paraId="37B6B41C" w14:textId="40BF20DC" w:rsidR="00550B78" w:rsidRPr="007008C4" w:rsidRDefault="00550B78" w:rsidP="00550B78">
      <w:pPr>
        <w:pStyle w:val="SingleTxtG"/>
      </w:pPr>
      <w:r w:rsidRPr="007008C4">
        <w:t>1.1</w:t>
      </w:r>
      <w:r w:rsidRPr="007008C4">
        <w:tab/>
        <w:t xml:space="preserve">The author of the communication is </w:t>
      </w:r>
      <w:r>
        <w:t>D.A.M.,</w:t>
      </w:r>
      <w:r w:rsidRPr="007008C4">
        <w:t xml:space="preserve"> </w:t>
      </w:r>
      <w:r>
        <w:t>a national of Somalia born on 11 September 1982 in Mogadishu</w:t>
      </w:r>
      <w:r w:rsidRPr="007008C4">
        <w:t xml:space="preserve">. </w:t>
      </w:r>
      <w:r>
        <w:t xml:space="preserve">She is </w:t>
      </w:r>
      <w:r w:rsidRPr="00410B5A">
        <w:t xml:space="preserve">subject to </w:t>
      </w:r>
      <w:r>
        <w:t xml:space="preserve">a </w:t>
      </w:r>
      <w:r w:rsidRPr="00410B5A">
        <w:t xml:space="preserve">deportation </w:t>
      </w:r>
      <w:r>
        <w:t>order to Somalia following the Swedish authorities</w:t>
      </w:r>
      <w:r w:rsidR="00072615">
        <w:t>’</w:t>
      </w:r>
      <w:r>
        <w:t xml:space="preserve"> rejection of </w:t>
      </w:r>
      <w:r w:rsidRPr="00410B5A">
        <w:t xml:space="preserve">her </w:t>
      </w:r>
      <w:r>
        <w:t xml:space="preserve">asylum </w:t>
      </w:r>
      <w:r w:rsidRPr="00410B5A">
        <w:t>application</w:t>
      </w:r>
      <w:r>
        <w:t>.</w:t>
      </w:r>
      <w:r w:rsidRPr="007008C4">
        <w:t xml:space="preserve"> </w:t>
      </w:r>
      <w:r>
        <w:t xml:space="preserve">She claims that the State party has violated her rights under article </w:t>
      </w:r>
      <w:r w:rsidRPr="007008C4">
        <w:t xml:space="preserve">7 of the Covenant. The author is </w:t>
      </w:r>
      <w:r>
        <w:t xml:space="preserve">not </w:t>
      </w:r>
      <w:r w:rsidRPr="007008C4">
        <w:t>represented by counsel.</w:t>
      </w:r>
      <w:r>
        <w:t xml:space="preserve"> T</w:t>
      </w:r>
      <w:r w:rsidRPr="007008C4">
        <w:t xml:space="preserve">he </w:t>
      </w:r>
      <w:r>
        <w:t xml:space="preserve">Optional Protocol </w:t>
      </w:r>
      <w:r w:rsidRPr="008D0211">
        <w:t xml:space="preserve">entered into force for the </w:t>
      </w:r>
      <w:r w:rsidRPr="007008C4">
        <w:t xml:space="preserve">State party on </w:t>
      </w:r>
      <w:r>
        <w:t>23</w:t>
      </w:r>
      <w:r w:rsidRPr="00CF1D9E">
        <w:t xml:space="preserve"> </w:t>
      </w:r>
      <w:r>
        <w:t>March 1976</w:t>
      </w:r>
      <w:r w:rsidRPr="007008C4">
        <w:t xml:space="preserve">. </w:t>
      </w:r>
    </w:p>
    <w:p w14:paraId="77285E53" w14:textId="3E312D27" w:rsidR="00550B78" w:rsidRPr="00091C53" w:rsidRDefault="00550B78" w:rsidP="00550B78">
      <w:pPr>
        <w:pStyle w:val="SingleTxtG"/>
      </w:pPr>
      <w:r w:rsidRPr="007008C4">
        <w:t>1.2</w:t>
      </w:r>
      <w:r w:rsidRPr="007008C4">
        <w:tab/>
      </w:r>
      <w:bookmarkStart w:id="4" w:name="_Hlk42615140"/>
      <w:r w:rsidRPr="007008C4">
        <w:t xml:space="preserve">On </w:t>
      </w:r>
      <w:r>
        <w:t xml:space="preserve">27 July 2017, </w:t>
      </w:r>
      <w:r w:rsidRPr="008C16B0">
        <w:t xml:space="preserve">pursuant to </w:t>
      </w:r>
      <w:r w:rsidRPr="003676C7">
        <w:t>rule 9</w:t>
      </w:r>
      <w:r>
        <w:t>4</w:t>
      </w:r>
      <w:r w:rsidRPr="008C16B0">
        <w:t xml:space="preserve"> of </w:t>
      </w:r>
      <w:r>
        <w:t xml:space="preserve">its </w:t>
      </w:r>
      <w:r w:rsidRPr="008C16B0">
        <w:t>rules of procedure</w:t>
      </w:r>
      <w:r>
        <w:t>,</w:t>
      </w:r>
      <w:r w:rsidRPr="00EA74E3">
        <w:t xml:space="preserve"> </w:t>
      </w:r>
      <w:r w:rsidRPr="008C16B0">
        <w:t>the Committee</w:t>
      </w:r>
      <w:r>
        <w:t>, acting th</w:t>
      </w:r>
      <w:r w:rsidR="00225E73">
        <w:t>r</w:t>
      </w:r>
      <w:r>
        <w:t>ough its</w:t>
      </w:r>
      <w:r w:rsidRPr="00EA74E3">
        <w:t xml:space="preserve"> Special Rapporteur on new communications and interim measures</w:t>
      </w:r>
      <w:r>
        <w:t xml:space="preserve">, requested the State party to refrain from returning the author to Somalia while her case was </w:t>
      </w:r>
      <w:r w:rsidRPr="008C16B0">
        <w:t>under cons</w:t>
      </w:r>
      <w:r>
        <w:t>ideration by the Committee</w:t>
      </w:r>
      <w:r w:rsidRPr="00583A0D">
        <w:t>.</w:t>
      </w:r>
    </w:p>
    <w:bookmarkEnd w:id="4"/>
    <w:p w14:paraId="62B79348" w14:textId="77777777" w:rsidR="00550B78" w:rsidRPr="000B4BB8" w:rsidRDefault="00550B78" w:rsidP="00550B78">
      <w:pPr>
        <w:pStyle w:val="H23G"/>
      </w:pPr>
      <w:r w:rsidRPr="007008C4">
        <w:lastRenderedPageBreak/>
        <w:tab/>
      </w:r>
      <w:r w:rsidRPr="007008C4">
        <w:tab/>
      </w:r>
      <w:r w:rsidRPr="000B4BB8">
        <w:t>The facts as submitted by the author</w:t>
      </w:r>
    </w:p>
    <w:p w14:paraId="379A182F" w14:textId="1B0E62B2" w:rsidR="00550B78" w:rsidRPr="00CF1D9E" w:rsidRDefault="00550B78" w:rsidP="00550B78">
      <w:pPr>
        <w:pStyle w:val="SingleTxtG"/>
        <w:rPr>
          <w:lang w:val="en-US"/>
        </w:rPr>
      </w:pPr>
      <w:r w:rsidRPr="000B4BB8">
        <w:t>2.1</w:t>
      </w:r>
      <w:r w:rsidRPr="000B4BB8">
        <w:tab/>
      </w:r>
      <w:r w:rsidRPr="00CF1D9E">
        <w:t xml:space="preserve">The author </w:t>
      </w:r>
      <w:r>
        <w:t>resided</w:t>
      </w:r>
      <w:r w:rsidRPr="00CF1D9E">
        <w:t xml:space="preserve"> in Mas</w:t>
      </w:r>
      <w:r>
        <w:t>a</w:t>
      </w:r>
      <w:r w:rsidRPr="00CF1D9E">
        <w:t>gaway, Somalia. Her husband work</w:t>
      </w:r>
      <w:r>
        <w:t>ed</w:t>
      </w:r>
      <w:r w:rsidRPr="00CF1D9E">
        <w:t xml:space="preserve"> as a driver for </w:t>
      </w:r>
      <w:r>
        <w:t>a foreign humanitarian organization</w:t>
      </w:r>
      <w:r w:rsidRPr="00CF1D9E">
        <w:t xml:space="preserve">. In 2012, </w:t>
      </w:r>
      <w:r>
        <w:t>A</w:t>
      </w:r>
      <w:r w:rsidRPr="00CF1D9E">
        <w:t>l-Shabaab started threatening the author</w:t>
      </w:r>
      <w:r w:rsidR="00072615">
        <w:t>’</w:t>
      </w:r>
      <w:r w:rsidRPr="00CF1D9E">
        <w:t xml:space="preserve">s husband </w:t>
      </w:r>
      <w:r>
        <w:t>in relation to</w:t>
      </w:r>
      <w:r w:rsidRPr="00CF1D9E">
        <w:t xml:space="preserve"> his </w:t>
      </w:r>
      <w:r>
        <w:t>work</w:t>
      </w:r>
      <w:r w:rsidRPr="00CF1D9E">
        <w:t>.</w:t>
      </w:r>
      <w:r>
        <w:t xml:space="preserve"> A</w:t>
      </w:r>
      <w:r w:rsidRPr="00CF1D9E">
        <w:t>t first</w:t>
      </w:r>
      <w:r>
        <w:t xml:space="preserve">, he </w:t>
      </w:r>
      <w:r w:rsidRPr="00CF1D9E">
        <w:t>did not take the threats seriously. In March 2013, the author</w:t>
      </w:r>
      <w:r w:rsidR="00072615">
        <w:t>’</w:t>
      </w:r>
      <w:r w:rsidRPr="00CF1D9E">
        <w:t>s brother</w:t>
      </w:r>
      <w:r>
        <w:t>-</w:t>
      </w:r>
      <w:r w:rsidRPr="00CF1D9E">
        <w:t>in-law borrowed her husband</w:t>
      </w:r>
      <w:r w:rsidR="00072615">
        <w:t>’</w:t>
      </w:r>
      <w:r w:rsidRPr="00CF1D9E">
        <w:t>s car</w:t>
      </w:r>
      <w:r>
        <w:t xml:space="preserve"> and was stopped and killed by</w:t>
      </w:r>
      <w:r w:rsidRPr="00CF1D9E">
        <w:t xml:space="preserve"> </w:t>
      </w:r>
      <w:r>
        <w:t>Al-</w:t>
      </w:r>
      <w:r w:rsidRPr="00CF1D9E">
        <w:t>Shabaab. The author and her hu</w:t>
      </w:r>
      <w:r>
        <w:t>sband then decided to leave the area.</w:t>
      </w:r>
      <w:r w:rsidRPr="00CF1D9E">
        <w:t xml:space="preserve"> </w:t>
      </w:r>
      <w:r>
        <w:t>T</w:t>
      </w:r>
      <w:r w:rsidRPr="00CF1D9E">
        <w:t>he author was six</w:t>
      </w:r>
      <w:r>
        <w:t xml:space="preserve"> </w:t>
      </w:r>
      <w:r w:rsidRPr="00CF1D9E">
        <w:t xml:space="preserve">months pregnant at the time. </w:t>
      </w:r>
      <w:r>
        <w:t>O</w:t>
      </w:r>
      <w:r w:rsidRPr="00CF1D9E">
        <w:t>n their way, the author reali</w:t>
      </w:r>
      <w:r>
        <w:t>z</w:t>
      </w:r>
      <w:r w:rsidRPr="00CF1D9E">
        <w:t>ed that she had forgotten some pregnancy medication at home. She returned home</w:t>
      </w:r>
      <w:r>
        <w:t>,</w:t>
      </w:r>
      <w:r w:rsidRPr="00CF1D9E">
        <w:t xml:space="preserve"> </w:t>
      </w:r>
      <w:r>
        <w:t>where</w:t>
      </w:r>
      <w:r w:rsidRPr="00CF1D9E">
        <w:t xml:space="preserve"> </w:t>
      </w:r>
      <w:r>
        <w:t xml:space="preserve">some </w:t>
      </w:r>
      <w:r w:rsidRPr="00CF1D9E">
        <w:t xml:space="preserve">members of </w:t>
      </w:r>
      <w:r>
        <w:t>Al-</w:t>
      </w:r>
      <w:r w:rsidRPr="00CF1D9E">
        <w:t>Shabaab</w:t>
      </w:r>
      <w:r>
        <w:t xml:space="preserve"> were </w:t>
      </w:r>
      <w:r w:rsidRPr="00CF1D9E">
        <w:t>waiting. The</w:t>
      </w:r>
      <w:r>
        <w:t>y</w:t>
      </w:r>
      <w:r w:rsidRPr="00CF1D9E">
        <w:t xml:space="preserve"> took her to </w:t>
      </w:r>
      <w:r>
        <w:t xml:space="preserve">an unknown place </w:t>
      </w:r>
      <w:r w:rsidRPr="00CF1D9E">
        <w:t xml:space="preserve">where she was </w:t>
      </w:r>
      <w:r>
        <w:t>held</w:t>
      </w:r>
      <w:r w:rsidRPr="00CF1D9E">
        <w:t xml:space="preserve"> for a week. They threatened to kill her and told her </w:t>
      </w:r>
      <w:r>
        <w:t xml:space="preserve">that she would be forced </w:t>
      </w:r>
      <w:r w:rsidRPr="00CF1D9E">
        <w:t xml:space="preserve">to </w:t>
      </w:r>
      <w:r>
        <w:t xml:space="preserve">marry </w:t>
      </w:r>
      <w:r w:rsidRPr="00CF1D9E">
        <w:t xml:space="preserve">a member of </w:t>
      </w:r>
      <w:r>
        <w:t>Al-</w:t>
      </w:r>
      <w:r w:rsidRPr="00CF1D9E">
        <w:t xml:space="preserve">Shabaab. </w:t>
      </w:r>
      <w:r w:rsidRPr="000D7CC7">
        <w:t>One day, the guards received a call</w:t>
      </w:r>
      <w:r w:rsidRPr="00CF1D9E">
        <w:t xml:space="preserve"> and left the </w:t>
      </w:r>
      <w:r>
        <w:t>place</w:t>
      </w:r>
      <w:r w:rsidRPr="00CF1D9E">
        <w:t xml:space="preserve"> where the author was </w:t>
      </w:r>
      <w:r>
        <w:t>held.</w:t>
      </w:r>
      <w:r w:rsidRPr="00CF1D9E">
        <w:t xml:space="preserve"> </w:t>
      </w:r>
      <w:r>
        <w:t>When t</w:t>
      </w:r>
      <w:r w:rsidRPr="00CF1D9E">
        <w:t>he author scream</w:t>
      </w:r>
      <w:r>
        <w:t>ed</w:t>
      </w:r>
      <w:r w:rsidRPr="00CF1D9E">
        <w:t xml:space="preserve"> for help</w:t>
      </w:r>
      <w:r>
        <w:t>, s</w:t>
      </w:r>
      <w:r w:rsidRPr="00CF1D9E">
        <w:t>ome herders</w:t>
      </w:r>
      <w:r>
        <w:t xml:space="preserve"> </w:t>
      </w:r>
      <w:r w:rsidRPr="00CF1D9E">
        <w:t>let her out and directed her to the</w:t>
      </w:r>
      <w:r>
        <w:t xml:space="preserve"> nearest road. She paid a truck </w:t>
      </w:r>
      <w:r w:rsidRPr="00CF1D9E">
        <w:t xml:space="preserve">driver 600 shillings to take her to </w:t>
      </w:r>
      <w:r>
        <w:t>her uncle</w:t>
      </w:r>
      <w:r w:rsidR="00072615">
        <w:t>’</w:t>
      </w:r>
      <w:r>
        <w:t xml:space="preserve">s </w:t>
      </w:r>
      <w:r w:rsidRPr="00CF1D9E">
        <w:t>house</w:t>
      </w:r>
      <w:r>
        <w:t xml:space="preserve"> </w:t>
      </w:r>
      <w:r w:rsidRPr="00CF1D9E">
        <w:t xml:space="preserve">in Mogadishu. </w:t>
      </w:r>
      <w:r>
        <w:t>Once there,</w:t>
      </w:r>
      <w:r w:rsidRPr="00CF1D9E">
        <w:t xml:space="preserve"> she was taken to a hospital </w:t>
      </w:r>
      <w:r>
        <w:t>where she learned</w:t>
      </w:r>
      <w:r w:rsidRPr="00CF1D9E">
        <w:t xml:space="preserve"> that she had suffered a miscarriage. </w:t>
      </w:r>
      <w:r>
        <w:t>H</w:t>
      </w:r>
      <w:r w:rsidRPr="00CF1D9E">
        <w:t xml:space="preserve">er </w:t>
      </w:r>
      <w:r>
        <w:t>uncle</w:t>
      </w:r>
      <w:r w:rsidR="00072615">
        <w:t>’</w:t>
      </w:r>
      <w:r>
        <w:t xml:space="preserve">s </w:t>
      </w:r>
      <w:r w:rsidRPr="00CF1D9E">
        <w:t>son</w:t>
      </w:r>
      <w:r>
        <w:t xml:space="preserve"> w</w:t>
      </w:r>
      <w:r w:rsidRPr="00CF1D9E">
        <w:t xml:space="preserve">as a member of </w:t>
      </w:r>
      <w:r>
        <w:t>Al-</w:t>
      </w:r>
      <w:r w:rsidRPr="00CF1D9E">
        <w:t>Shabaab</w:t>
      </w:r>
      <w:r>
        <w:t>, and</w:t>
      </w:r>
      <w:r w:rsidRPr="00CF1D9E">
        <w:t xml:space="preserve"> </w:t>
      </w:r>
      <w:r>
        <w:t xml:space="preserve">he </w:t>
      </w:r>
      <w:r w:rsidRPr="00CF1D9E">
        <w:t xml:space="preserve">pressured his father </w:t>
      </w:r>
      <w:r>
        <w:t xml:space="preserve">to reveal </w:t>
      </w:r>
      <w:r w:rsidRPr="00CF1D9E">
        <w:t>the author</w:t>
      </w:r>
      <w:r w:rsidR="00072615">
        <w:t>’</w:t>
      </w:r>
      <w:r w:rsidRPr="00CF1D9E">
        <w:t>s and her husband</w:t>
      </w:r>
      <w:r w:rsidR="00072615">
        <w:t>’</w:t>
      </w:r>
      <w:r w:rsidRPr="00CF1D9E">
        <w:t xml:space="preserve">s whereabouts. </w:t>
      </w:r>
      <w:r>
        <w:t>Her uncle</w:t>
      </w:r>
      <w:r w:rsidRPr="00CF1D9E">
        <w:t xml:space="preserve"> therefore arranged </w:t>
      </w:r>
      <w:r>
        <w:t>for her departure from</w:t>
      </w:r>
      <w:r w:rsidRPr="00CF1D9E">
        <w:t xml:space="preserve"> Somalia</w:t>
      </w:r>
      <w:r>
        <w:t>, and she left the country</w:t>
      </w:r>
      <w:r w:rsidRPr="00CF1D9E">
        <w:t xml:space="preserve"> in March 2013</w:t>
      </w:r>
      <w:r>
        <w:t xml:space="preserve">. She </w:t>
      </w:r>
      <w:r w:rsidRPr="00CF1D9E">
        <w:t>arrived in Turkey</w:t>
      </w:r>
      <w:r>
        <w:t>, where she worked</w:t>
      </w:r>
      <w:r w:rsidRPr="00CF1D9E">
        <w:t xml:space="preserve"> until September 2014 in order to </w:t>
      </w:r>
      <w:r>
        <w:t xml:space="preserve">save money to </w:t>
      </w:r>
      <w:r w:rsidRPr="00CF1D9E">
        <w:t xml:space="preserve">pay a smuggler </w:t>
      </w:r>
      <w:r>
        <w:t>for her</w:t>
      </w:r>
      <w:r w:rsidRPr="00CF1D9E">
        <w:t xml:space="preserve"> </w:t>
      </w:r>
      <w:r>
        <w:t>onward travel.</w:t>
      </w:r>
      <w:r w:rsidRPr="00CF1D9E">
        <w:t xml:space="preserve"> </w:t>
      </w:r>
      <w:r>
        <w:t xml:space="preserve">Subsequently, she travelled from </w:t>
      </w:r>
      <w:r w:rsidRPr="00CF1D9E">
        <w:t>Turkey</w:t>
      </w:r>
      <w:r>
        <w:t xml:space="preserve"> to Greece and then on to Denmark. In </w:t>
      </w:r>
      <w:r w:rsidRPr="00CF1D9E">
        <w:t>November 2014</w:t>
      </w:r>
      <w:r>
        <w:t>,</w:t>
      </w:r>
      <w:r w:rsidRPr="00CF1D9E">
        <w:t xml:space="preserve"> </w:t>
      </w:r>
      <w:r>
        <w:t>s</w:t>
      </w:r>
      <w:r w:rsidRPr="00CF1D9E">
        <w:t>he arrived in</w:t>
      </w:r>
      <w:r>
        <w:t xml:space="preserve"> Sweden</w:t>
      </w:r>
      <w:r w:rsidRPr="00CF1D9E">
        <w:t xml:space="preserve"> and applied for asylum.</w:t>
      </w:r>
    </w:p>
    <w:p w14:paraId="2D9E938C" w14:textId="4B398944" w:rsidR="00550B78" w:rsidRDefault="00550B78" w:rsidP="00550B78">
      <w:pPr>
        <w:pStyle w:val="SingleTxtG"/>
      </w:pPr>
      <w:r w:rsidRPr="000B4BB8">
        <w:t>2.2</w:t>
      </w:r>
      <w:r w:rsidRPr="000B4BB8">
        <w:tab/>
      </w:r>
      <w:r>
        <w:t>On 29 November 2016, t</w:t>
      </w:r>
      <w:r w:rsidRPr="000772BE">
        <w:t xml:space="preserve">he </w:t>
      </w:r>
      <w:r w:rsidRPr="009023D6">
        <w:t>Swedish</w:t>
      </w:r>
      <w:r w:rsidRPr="000772BE">
        <w:t xml:space="preserve"> Migration Agency</w:t>
      </w:r>
      <w:r>
        <w:t xml:space="preserve"> rejected the author</w:t>
      </w:r>
      <w:r w:rsidR="00072615">
        <w:t>’</w:t>
      </w:r>
      <w:r>
        <w:t>s asylum application, finding that although she could not return to Masagaway because of the presence of Al-Shaabab, she could still reside in Mogadishu.</w:t>
      </w:r>
      <w:r w:rsidRPr="000772BE">
        <w:t xml:space="preserve"> </w:t>
      </w:r>
      <w:r>
        <w:t xml:space="preserve">Her subsequent appeals before the Migration Court and the Migration Court of Appeal were all rejected, and she thus claims to have exhausted all available domestic remedies. </w:t>
      </w:r>
    </w:p>
    <w:p w14:paraId="378F3ED9" w14:textId="77777777" w:rsidR="00550B78" w:rsidRDefault="00550B78" w:rsidP="00550B78">
      <w:pPr>
        <w:pStyle w:val="SingleTxtG"/>
      </w:pPr>
      <w:r>
        <w:t>2.3</w:t>
      </w:r>
      <w:r>
        <w:tab/>
        <w:t>The author submits that she has a throat infection and needs an operation. She also claims that she cannot have the operation or receive medical assistance because she is not legally residing in the State party.</w:t>
      </w:r>
    </w:p>
    <w:p w14:paraId="0D6ACE45" w14:textId="77777777" w:rsidR="00550B78" w:rsidRPr="00C9147E" w:rsidRDefault="00550B78" w:rsidP="00550B78">
      <w:pPr>
        <w:pStyle w:val="H23G"/>
        <w:rPr>
          <w:highlight w:val="lightGray"/>
        </w:rPr>
      </w:pPr>
      <w:r w:rsidRPr="007008C4">
        <w:tab/>
      </w:r>
      <w:r w:rsidRPr="007008C4">
        <w:tab/>
      </w:r>
      <w:r w:rsidRPr="00130BC9">
        <w:t>The complaint</w:t>
      </w:r>
    </w:p>
    <w:p w14:paraId="5577F2D3" w14:textId="21B4FD7F" w:rsidR="00550B78" w:rsidRPr="00EE701B" w:rsidRDefault="00550B78" w:rsidP="00550B78">
      <w:pPr>
        <w:pStyle w:val="SingleTxtG"/>
      </w:pPr>
      <w:r w:rsidRPr="00EE701B">
        <w:t>3.1</w:t>
      </w:r>
      <w:r w:rsidRPr="00EE701B">
        <w:tab/>
        <w:t xml:space="preserve">The author claims that </w:t>
      </w:r>
      <w:r>
        <w:rPr>
          <w:lang w:val="en-US"/>
        </w:rPr>
        <w:t>if returned to Somalia,</w:t>
      </w:r>
      <w:r w:rsidRPr="004E6B5A">
        <w:rPr>
          <w:lang w:val="en-US"/>
        </w:rPr>
        <w:t xml:space="preserve"> </w:t>
      </w:r>
      <w:r>
        <w:rPr>
          <w:lang w:val="en-US"/>
        </w:rPr>
        <w:t>she would face a serious risk of harm from Al-Shabaab</w:t>
      </w:r>
      <w:r>
        <w:t xml:space="preserve">, </w:t>
      </w:r>
      <w:r>
        <w:rPr>
          <w:lang w:val="en-US"/>
        </w:rPr>
        <w:t>in violation of</w:t>
      </w:r>
      <w:r w:rsidRPr="00EE701B">
        <w:t xml:space="preserve"> her </w:t>
      </w:r>
      <w:r>
        <w:t xml:space="preserve">rights under article </w:t>
      </w:r>
      <w:r w:rsidRPr="00EE701B">
        <w:t>7 of the Covenant</w:t>
      </w:r>
      <w:r>
        <w:t>, as</w:t>
      </w:r>
      <w:r>
        <w:rPr>
          <w:lang w:val="en-US"/>
        </w:rPr>
        <w:t xml:space="preserve"> she was previously kidnapped by Al-Shabaab because of her husband</w:t>
      </w:r>
      <w:r w:rsidR="00072615">
        <w:rPr>
          <w:lang w:val="en-US"/>
        </w:rPr>
        <w:t>’</w:t>
      </w:r>
      <w:r>
        <w:rPr>
          <w:lang w:val="en-US"/>
        </w:rPr>
        <w:t>s work.</w:t>
      </w:r>
      <w:r w:rsidRPr="004E6B5A">
        <w:rPr>
          <w:lang w:val="en-US"/>
        </w:rPr>
        <w:t xml:space="preserve"> </w:t>
      </w:r>
    </w:p>
    <w:p w14:paraId="75AB669C" w14:textId="77777777" w:rsidR="00550B78" w:rsidRDefault="00550B78" w:rsidP="00550B78">
      <w:pPr>
        <w:pStyle w:val="SingleTxtG"/>
      </w:pPr>
      <w:r>
        <w:rPr>
          <w:lang w:val="en-US"/>
        </w:rPr>
        <w:t>3.2</w:t>
      </w:r>
      <w:r>
        <w:rPr>
          <w:lang w:val="en-US"/>
        </w:rPr>
        <w:tab/>
        <w:t xml:space="preserve">The author claims that she does not have a male network in Mogadishu and does not know if her uncle is still alive. She contends that, although the Swedish authorities found Mogadishu to be a safe place for her, her uncle would not have advised her to leave Somalia if Mogadishu had been safe. </w:t>
      </w:r>
    </w:p>
    <w:p w14:paraId="4B8C6655" w14:textId="0450ECB6" w:rsidR="00550B78" w:rsidRPr="007008C4" w:rsidRDefault="00550B78" w:rsidP="00550B78">
      <w:pPr>
        <w:pStyle w:val="H23G"/>
      </w:pPr>
      <w:r w:rsidRPr="007008C4">
        <w:tab/>
      </w:r>
      <w:r w:rsidRPr="007008C4">
        <w:tab/>
        <w:t>State party</w:t>
      </w:r>
      <w:r w:rsidR="00072615">
        <w:t>’</w:t>
      </w:r>
      <w:r w:rsidRPr="007008C4">
        <w:t xml:space="preserve">s observations on admissibility and </w:t>
      </w:r>
      <w:r>
        <w:t xml:space="preserve">the </w:t>
      </w:r>
      <w:r w:rsidRPr="007008C4">
        <w:t>merits</w:t>
      </w:r>
    </w:p>
    <w:p w14:paraId="643EA7DD" w14:textId="1D531AAB" w:rsidR="00550B78" w:rsidRDefault="00550B78" w:rsidP="00550B78">
      <w:pPr>
        <w:pStyle w:val="SingleTxtG"/>
      </w:pPr>
      <w:r w:rsidRPr="00DC5184">
        <w:t>4.1</w:t>
      </w:r>
      <w:r w:rsidRPr="00DC5184">
        <w:tab/>
      </w:r>
      <w:r w:rsidRPr="00E445A7">
        <w:t xml:space="preserve">On </w:t>
      </w:r>
      <w:r>
        <w:t>2</w:t>
      </w:r>
      <w:r w:rsidRPr="00E445A7">
        <w:t xml:space="preserve"> </w:t>
      </w:r>
      <w:r>
        <w:t>March</w:t>
      </w:r>
      <w:r w:rsidRPr="00E445A7">
        <w:t xml:space="preserve"> 201</w:t>
      </w:r>
      <w:r>
        <w:t>8</w:t>
      </w:r>
      <w:r w:rsidRPr="00E445A7">
        <w:t>, the State party submitted its observations on</w:t>
      </w:r>
      <w:r>
        <w:t xml:space="preserve"> </w:t>
      </w:r>
      <w:r w:rsidRPr="00E445A7">
        <w:t xml:space="preserve">admissibility and </w:t>
      </w:r>
      <w:r>
        <w:t xml:space="preserve">the </w:t>
      </w:r>
      <w:r w:rsidRPr="00E445A7">
        <w:t>merits of the author</w:t>
      </w:r>
      <w:r w:rsidR="00072615">
        <w:t>’</w:t>
      </w:r>
      <w:r w:rsidRPr="00E445A7">
        <w:t>s communication.</w:t>
      </w:r>
      <w:r w:rsidRPr="00DB075E">
        <w:t xml:space="preserve"> </w:t>
      </w:r>
    </w:p>
    <w:p w14:paraId="52BAB315" w14:textId="77777777" w:rsidR="00550B78" w:rsidRDefault="00550B78" w:rsidP="00550B78">
      <w:pPr>
        <w:pStyle w:val="SingleTxtG"/>
      </w:pPr>
      <w:r>
        <w:t>4.2</w:t>
      </w:r>
      <w:r>
        <w:tab/>
        <w:t>The State party notes that the</w:t>
      </w:r>
      <w:r w:rsidRPr="009023D6">
        <w:t xml:space="preserve"> </w:t>
      </w:r>
      <w:r w:rsidRPr="00E445A7">
        <w:t>author</w:t>
      </w:r>
      <w:r w:rsidRPr="009023D6">
        <w:t xml:space="preserve"> applied for asylum in Sweden on 19 November 2014. The Swedish Migration Agency rejected her application on</w:t>
      </w:r>
      <w:r>
        <w:t xml:space="preserve"> </w:t>
      </w:r>
      <w:r w:rsidRPr="009023D6">
        <w:t xml:space="preserve">29 November 2016. </w:t>
      </w:r>
      <w:r>
        <w:t xml:space="preserve">She </w:t>
      </w:r>
      <w:r w:rsidRPr="009023D6">
        <w:t>appealed to the Migration Court, which rejected he</w:t>
      </w:r>
      <w:r>
        <w:t>r</w:t>
      </w:r>
      <w:r w:rsidRPr="009023D6">
        <w:t xml:space="preserve"> appeal</w:t>
      </w:r>
      <w:r w:rsidRPr="00245AAD">
        <w:t xml:space="preserve"> </w:t>
      </w:r>
      <w:r w:rsidRPr="009023D6">
        <w:t xml:space="preserve">on 26 April 2017. On 14 June 2017, the Migration Court of Appeal refused </w:t>
      </w:r>
      <w:r>
        <w:t xml:space="preserve">her </w:t>
      </w:r>
      <w:r w:rsidRPr="009023D6">
        <w:t xml:space="preserve">leave to appeal and the decision to expel the </w:t>
      </w:r>
      <w:r w:rsidRPr="00E445A7">
        <w:t>author</w:t>
      </w:r>
      <w:r w:rsidRPr="009023D6">
        <w:t xml:space="preserve"> became final and non-appealable</w:t>
      </w:r>
      <w:r>
        <w:t xml:space="preserve">. </w:t>
      </w:r>
    </w:p>
    <w:p w14:paraId="5F7518C0" w14:textId="7276A659" w:rsidR="00550B78" w:rsidRDefault="00550B78" w:rsidP="00550B78">
      <w:pPr>
        <w:pStyle w:val="SingleTxtG"/>
      </w:pPr>
      <w:r>
        <w:t>4.3</w:t>
      </w:r>
      <w:r>
        <w:tab/>
      </w:r>
      <w:r w:rsidRPr="001F226D">
        <w:t xml:space="preserve">The </w:t>
      </w:r>
      <w:r>
        <w:t>State party also notes that, i</w:t>
      </w:r>
      <w:r w:rsidRPr="009023D6">
        <w:t xml:space="preserve">n order to determine the identity and place of habitual residence of the </w:t>
      </w:r>
      <w:r>
        <w:t>author</w:t>
      </w:r>
      <w:r w:rsidRPr="009023D6">
        <w:t xml:space="preserve">, a language analysis was conducted on 12 September 2016. The result of the language analysis, which was communicated </w:t>
      </w:r>
      <w:r>
        <w:t>to</w:t>
      </w:r>
      <w:r w:rsidRPr="009023D6">
        <w:t xml:space="preserve"> the </w:t>
      </w:r>
      <w:r>
        <w:t>author</w:t>
      </w:r>
      <w:r w:rsidRPr="009023D6">
        <w:t xml:space="preserve"> on 19 September 2016, corroborated </w:t>
      </w:r>
      <w:r>
        <w:t>her statements</w:t>
      </w:r>
      <w:r w:rsidRPr="009023D6">
        <w:t xml:space="preserve"> about her origin and place of habitual residence</w:t>
      </w:r>
      <w:r>
        <w:t>, namely</w:t>
      </w:r>
      <w:r w:rsidRPr="009023D6">
        <w:t xml:space="preserve"> that she was born in Mogadis</w:t>
      </w:r>
      <w:r>
        <w:t>hu and resided in Masagaway</w:t>
      </w:r>
      <w:r w:rsidRPr="009023D6">
        <w:t xml:space="preserve"> in the province of Shabelle Dhexe in central Somalia. The Migration </w:t>
      </w:r>
      <w:r>
        <w:t xml:space="preserve">Agency </w:t>
      </w:r>
      <w:r w:rsidRPr="009023D6">
        <w:t xml:space="preserve">consequently assessed the </w:t>
      </w:r>
      <w:r>
        <w:t>author</w:t>
      </w:r>
      <w:r w:rsidR="00072615">
        <w:t>’</w:t>
      </w:r>
      <w:r w:rsidRPr="009023D6">
        <w:t>s case against the conditions prevailing in M</w:t>
      </w:r>
      <w:r>
        <w:t>a</w:t>
      </w:r>
      <w:r w:rsidRPr="009023D6">
        <w:t>sagaway and Mogadishu</w:t>
      </w:r>
      <w:r w:rsidRPr="001F226D">
        <w:t>.</w:t>
      </w:r>
      <w:r>
        <w:t xml:space="preserve"> </w:t>
      </w:r>
    </w:p>
    <w:p w14:paraId="2A435BB6" w14:textId="77777777" w:rsidR="00550B78" w:rsidRDefault="00550B78" w:rsidP="00550B78">
      <w:pPr>
        <w:pStyle w:val="SingleTxtG"/>
        <w:rPr>
          <w:highlight w:val="lightGray"/>
        </w:rPr>
      </w:pPr>
      <w:r>
        <w:t>4.4</w:t>
      </w:r>
      <w:r>
        <w:tab/>
      </w:r>
      <w:r w:rsidRPr="009023D6">
        <w:t xml:space="preserve">On 27 June 2017, after the decision to expel </w:t>
      </w:r>
      <w:r>
        <w:t xml:space="preserve">her </w:t>
      </w:r>
      <w:r w:rsidRPr="009023D6">
        <w:t>bec</w:t>
      </w:r>
      <w:r>
        <w:t>a</w:t>
      </w:r>
      <w:r w:rsidRPr="009023D6">
        <w:t xml:space="preserve">me final, the </w:t>
      </w:r>
      <w:r>
        <w:t>author</w:t>
      </w:r>
      <w:r w:rsidRPr="009023D6">
        <w:t xml:space="preserve"> </w:t>
      </w:r>
      <w:r>
        <w:t>claimed</w:t>
      </w:r>
      <w:r w:rsidRPr="009023D6">
        <w:t xml:space="preserve"> before the Migration </w:t>
      </w:r>
      <w:r>
        <w:t xml:space="preserve">Agency </w:t>
      </w:r>
      <w:r w:rsidRPr="009023D6">
        <w:t xml:space="preserve">that she was ill and had a tumour in her throat. However, she did not present any medical certificate in support of this claim. </w:t>
      </w:r>
      <w:r>
        <w:t>She</w:t>
      </w:r>
      <w:r w:rsidRPr="009023D6">
        <w:t xml:space="preserve"> has since submitted to the Committee medical statements</w:t>
      </w:r>
      <w:r>
        <w:t xml:space="preserve"> indicating </w:t>
      </w:r>
      <w:r w:rsidRPr="009023D6">
        <w:t xml:space="preserve">that </w:t>
      </w:r>
      <w:r>
        <w:t>she</w:t>
      </w:r>
      <w:r w:rsidRPr="009023D6">
        <w:t xml:space="preserve"> has </w:t>
      </w:r>
      <w:r>
        <w:t xml:space="preserve">a </w:t>
      </w:r>
      <w:r w:rsidRPr="009023D6">
        <w:t>benign</w:t>
      </w:r>
      <w:r w:rsidRPr="009023D6" w:rsidDel="002E7E8E">
        <w:t xml:space="preserve"> </w:t>
      </w:r>
      <w:r w:rsidRPr="009023D6">
        <w:t xml:space="preserve">struma on the right side </w:t>
      </w:r>
      <w:r w:rsidRPr="009023D6">
        <w:lastRenderedPageBreak/>
        <w:t>of her throat</w:t>
      </w:r>
      <w:r>
        <w:t xml:space="preserve"> </w:t>
      </w:r>
      <w:r w:rsidRPr="009023D6">
        <w:t>and that no further medical treatment or follow-up visits to medical facilities have been deemed necessary.</w:t>
      </w:r>
    </w:p>
    <w:p w14:paraId="75222669" w14:textId="442A573A" w:rsidR="00550B78" w:rsidRPr="007008C4" w:rsidRDefault="00550B78" w:rsidP="00550B78">
      <w:pPr>
        <w:pStyle w:val="SingleTxtG"/>
      </w:pPr>
      <w:r>
        <w:t>4.5</w:t>
      </w:r>
      <w:r w:rsidRPr="007008C4">
        <w:tab/>
      </w:r>
      <w:r>
        <w:t xml:space="preserve">As to the admissibility of the communication, the State party submits that </w:t>
      </w:r>
      <w:r w:rsidRPr="006237C5">
        <w:t>the</w:t>
      </w:r>
      <w:r>
        <w:t xml:space="preserve"> author</w:t>
      </w:r>
      <w:r w:rsidR="00072615">
        <w:t>’</w:t>
      </w:r>
      <w:r>
        <w:t>s claim</w:t>
      </w:r>
      <w:r w:rsidRPr="006237C5">
        <w:t xml:space="preserve"> that she risks being </w:t>
      </w:r>
      <w:r>
        <w:t>subjected to treatment contrary to</w:t>
      </w:r>
      <w:r w:rsidRPr="006237C5">
        <w:t xml:space="preserve"> the Covenant fails to attain the basic level of substantiation required. </w:t>
      </w:r>
      <w:r>
        <w:t>It considers that</w:t>
      </w:r>
      <w:r w:rsidRPr="006237C5">
        <w:t xml:space="preserve"> the communication is manifestly unfounded</w:t>
      </w:r>
      <w:r>
        <w:t xml:space="preserve"> and should therefore</w:t>
      </w:r>
      <w:r w:rsidRPr="006237C5">
        <w:t xml:space="preserve"> </w:t>
      </w:r>
      <w:r>
        <w:t xml:space="preserve">be held </w:t>
      </w:r>
      <w:r w:rsidRPr="006237C5">
        <w:t>inadmissible pursuant to article 3 of the Optional Protocol and rule 9</w:t>
      </w:r>
      <w:r>
        <w:t>9</w:t>
      </w:r>
      <w:r w:rsidRPr="006237C5">
        <w:t xml:space="preserve"> (b) of the Committee</w:t>
      </w:r>
      <w:r w:rsidR="00072615">
        <w:t>’</w:t>
      </w:r>
      <w:r w:rsidRPr="006237C5">
        <w:t xml:space="preserve">s rules of procedure. </w:t>
      </w:r>
    </w:p>
    <w:p w14:paraId="3A288D6B" w14:textId="42D23292" w:rsidR="00550B78" w:rsidRDefault="00550B78" w:rsidP="00550B78">
      <w:pPr>
        <w:pStyle w:val="SingleTxtG"/>
      </w:pPr>
      <w:r>
        <w:t>4.6</w:t>
      </w:r>
      <w:r w:rsidRPr="007008C4">
        <w:tab/>
      </w:r>
      <w:r>
        <w:t>On the merits, the State party notes that</w:t>
      </w:r>
      <w:r w:rsidRPr="00F76912">
        <w:t xml:space="preserve"> </w:t>
      </w:r>
      <w:r>
        <w:t xml:space="preserve">in order to find a violation of article 7 of the Covenant, </w:t>
      </w:r>
      <w:r w:rsidRPr="00F76912">
        <w:t xml:space="preserve">it must be established that </w:t>
      </w:r>
      <w:r>
        <w:t xml:space="preserve">if returned, </w:t>
      </w:r>
      <w:r w:rsidRPr="00F76912">
        <w:t xml:space="preserve">the </w:t>
      </w:r>
      <w:r>
        <w:t>author</w:t>
      </w:r>
      <w:r w:rsidRPr="00F76912">
        <w:t xml:space="preserve"> </w:t>
      </w:r>
      <w:r>
        <w:t xml:space="preserve">would </w:t>
      </w:r>
      <w:r w:rsidRPr="00F76912">
        <w:t xml:space="preserve">face a real risk of being subjected to </w:t>
      </w:r>
      <w:r>
        <w:t>the type of treatment</w:t>
      </w:r>
      <w:r w:rsidRPr="00F76912">
        <w:t xml:space="preserve"> </w:t>
      </w:r>
      <w:r>
        <w:t xml:space="preserve">that is prohibited in </w:t>
      </w:r>
      <w:r w:rsidRPr="00F76912">
        <w:t>article 7.</w:t>
      </w:r>
      <w:r w:rsidRPr="00072615">
        <w:rPr>
          <w:rStyle w:val="FootnoteReference"/>
        </w:rPr>
        <w:footnoteReference w:id="3"/>
      </w:r>
      <w:r w:rsidRPr="00072615">
        <w:rPr>
          <w:rStyle w:val="FootnoteReference"/>
          <w:vertAlign w:val="baseline"/>
        </w:rPr>
        <w:t xml:space="preserve"> </w:t>
      </w:r>
      <w:r>
        <w:t>T</w:t>
      </w:r>
      <w:r w:rsidRPr="00F76912">
        <w:t>h</w:t>
      </w:r>
      <w:r>
        <w:t xml:space="preserve">e risk </w:t>
      </w:r>
      <w:r w:rsidRPr="00F76912">
        <w:t xml:space="preserve">must </w:t>
      </w:r>
      <w:r>
        <w:t>also</w:t>
      </w:r>
      <w:r w:rsidRPr="00F76912">
        <w:t xml:space="preserve"> be the necessary and foreseeable consequence of the forced return</w:t>
      </w:r>
      <w:r>
        <w:t>.</w:t>
      </w:r>
      <w:r w:rsidRPr="00072615">
        <w:rPr>
          <w:rStyle w:val="FootnoteReference"/>
        </w:rPr>
        <w:footnoteReference w:id="4"/>
      </w:r>
      <w:r w:rsidRPr="00072615">
        <w:rPr>
          <w:rStyle w:val="FootnoteReference"/>
          <w:vertAlign w:val="baseline"/>
        </w:rPr>
        <w:t xml:space="preserve"> </w:t>
      </w:r>
      <w:r w:rsidRPr="00B477D2">
        <w:t>The Committee</w:t>
      </w:r>
      <w:r w:rsidR="00072615">
        <w:t>’</w:t>
      </w:r>
      <w:r w:rsidRPr="00B477D2">
        <w:t xml:space="preserve">s jurisprudence indicates a high threshold </w:t>
      </w:r>
      <w:r>
        <w:t>as to the</w:t>
      </w:r>
      <w:r w:rsidRPr="00B477D2">
        <w:t xml:space="preserve"> substantial grounds </w:t>
      </w:r>
      <w:r>
        <w:t>required to establish</w:t>
      </w:r>
      <w:r w:rsidRPr="00B477D2">
        <w:t xml:space="preserve"> that a real risk of irreparable harm exists, such as noted in article 7. </w:t>
      </w:r>
      <w:r>
        <w:t>A</w:t>
      </w:r>
      <w:r w:rsidRPr="00B477D2">
        <w:t xml:space="preserve">ll relevant facts and circumstances must be considered, including the general human rights situation in the </w:t>
      </w:r>
      <w:r>
        <w:t>author</w:t>
      </w:r>
      <w:r w:rsidR="00072615">
        <w:t>’</w:t>
      </w:r>
      <w:r w:rsidRPr="00B477D2">
        <w:t xml:space="preserve">s country of origin. </w:t>
      </w:r>
      <w:r>
        <w:t>The State party notes that g</w:t>
      </w:r>
      <w:r w:rsidRPr="00B477D2">
        <w:t>reat weight should be given to the assessme</w:t>
      </w:r>
      <w:r>
        <w:t>nt conducted by the State party,</w:t>
      </w:r>
      <w:r w:rsidRPr="00072615">
        <w:rPr>
          <w:rStyle w:val="FootnoteReference"/>
        </w:rPr>
        <w:footnoteReference w:id="5"/>
      </w:r>
      <w:r w:rsidRPr="00072615">
        <w:rPr>
          <w:rStyle w:val="FootnoteReference"/>
          <w:vertAlign w:val="baseline"/>
        </w:rPr>
        <w:t xml:space="preserve"> </w:t>
      </w:r>
      <w:r>
        <w:t>and that i</w:t>
      </w:r>
      <w:r w:rsidRPr="00B477D2">
        <w:t xml:space="preserve">t is generally for the </w:t>
      </w:r>
      <w:r>
        <w:t xml:space="preserve">domestic </w:t>
      </w:r>
      <w:r w:rsidRPr="00B477D2">
        <w:t>courts to evaluate the facts and evidence, unless the evaluation was clearly arbitrary or amounted to a denial of justice</w:t>
      </w:r>
      <w:r>
        <w:t>.</w:t>
      </w:r>
      <w:r w:rsidRPr="00072615">
        <w:rPr>
          <w:rStyle w:val="FootnoteReference"/>
        </w:rPr>
        <w:footnoteReference w:id="6"/>
      </w:r>
      <w:r w:rsidRPr="00072615">
        <w:rPr>
          <w:rStyle w:val="FootnoteReference"/>
          <w:vertAlign w:val="baseline"/>
        </w:rPr>
        <w:t xml:space="preserve"> </w:t>
      </w:r>
      <w:r>
        <w:t xml:space="preserve">The State party explains </w:t>
      </w:r>
      <w:r w:rsidRPr="00047D1B">
        <w:t>that</w:t>
      </w:r>
      <w:r>
        <w:t>,</w:t>
      </w:r>
      <w:r w:rsidRPr="00047D1B">
        <w:t xml:space="preserve"> </w:t>
      </w:r>
      <w:r>
        <w:t xml:space="preserve">as </w:t>
      </w:r>
      <w:r w:rsidRPr="00047D1B">
        <w:t>the Swedish Aliens Act reflect</w:t>
      </w:r>
      <w:r>
        <w:t>s</w:t>
      </w:r>
      <w:r w:rsidRPr="00047D1B">
        <w:t xml:space="preserve"> the same principles</w:t>
      </w:r>
      <w:r>
        <w:t xml:space="preserve"> that are</w:t>
      </w:r>
      <w:r w:rsidRPr="00047D1B">
        <w:t xml:space="preserve"> </w:t>
      </w:r>
      <w:r>
        <w:t>contained in article 7 of the Covenant, t</w:t>
      </w:r>
      <w:r w:rsidRPr="00047D1B">
        <w:t xml:space="preserve">he Swedish </w:t>
      </w:r>
      <w:r>
        <w:t xml:space="preserve">migration </w:t>
      </w:r>
      <w:r w:rsidRPr="00047D1B">
        <w:t>authorities</w:t>
      </w:r>
      <w:r>
        <w:t xml:space="preserve"> </w:t>
      </w:r>
      <w:r w:rsidRPr="00047D1B">
        <w:t xml:space="preserve">apply the same kind of test when considering an asylum </w:t>
      </w:r>
      <w:r>
        <w:t xml:space="preserve">application </w:t>
      </w:r>
      <w:r w:rsidRPr="00047D1B">
        <w:t>as</w:t>
      </w:r>
      <w:r>
        <w:t xml:space="preserve"> </w:t>
      </w:r>
      <w:r w:rsidRPr="00047D1B">
        <w:t>the Committee.</w:t>
      </w:r>
      <w:r>
        <w:t xml:space="preserve"> It emphasizes</w:t>
      </w:r>
      <w:r w:rsidRPr="00047D1B">
        <w:t xml:space="preserve"> that </w:t>
      </w:r>
      <w:r>
        <w:t>its migration</w:t>
      </w:r>
      <w:r w:rsidRPr="00047D1B">
        <w:t xml:space="preserve"> authorities are in a very good position to assess the information submitted by an asylum seeker and </w:t>
      </w:r>
      <w:r>
        <w:t xml:space="preserve">to </w:t>
      </w:r>
      <w:r w:rsidRPr="00047D1B">
        <w:t xml:space="preserve">appraise the credibility of his or her </w:t>
      </w:r>
      <w:r>
        <w:t>claims</w:t>
      </w:r>
      <w:r w:rsidRPr="00047D1B">
        <w:t xml:space="preserve">. </w:t>
      </w:r>
    </w:p>
    <w:p w14:paraId="40C624B4" w14:textId="10080241" w:rsidR="00550B78" w:rsidRDefault="00550B78" w:rsidP="00550B78">
      <w:pPr>
        <w:pStyle w:val="SingleTxtG"/>
      </w:pPr>
      <w:r>
        <w:t>4.7</w:t>
      </w:r>
      <w:r>
        <w:tab/>
        <w:t>T</w:t>
      </w:r>
      <w:r w:rsidRPr="00047D1B">
        <w:t xml:space="preserve">he </w:t>
      </w:r>
      <w:r>
        <w:t>State party notes</w:t>
      </w:r>
      <w:r w:rsidRPr="00047D1B">
        <w:t xml:space="preserve"> that</w:t>
      </w:r>
      <w:r>
        <w:t xml:space="preserve"> in the present case, the </w:t>
      </w:r>
      <w:r w:rsidRPr="009023D6">
        <w:t>Migration</w:t>
      </w:r>
      <w:r w:rsidRPr="00047D1B">
        <w:t xml:space="preserve"> Agency and the Migration Court thorough</w:t>
      </w:r>
      <w:r>
        <w:t>ly</w:t>
      </w:r>
      <w:r w:rsidRPr="00047D1B">
        <w:t xml:space="preserve"> examin</w:t>
      </w:r>
      <w:r>
        <w:t>ed</w:t>
      </w:r>
      <w:r w:rsidRPr="00047D1B">
        <w:t xml:space="preserve"> the </w:t>
      </w:r>
      <w:r>
        <w:t>author</w:t>
      </w:r>
      <w:r w:rsidR="00072615">
        <w:t>’</w:t>
      </w:r>
      <w:r w:rsidRPr="00047D1B">
        <w:t xml:space="preserve">s </w:t>
      </w:r>
      <w:r>
        <w:t>claims.</w:t>
      </w:r>
      <w:r w:rsidRPr="00047D1B">
        <w:t xml:space="preserve"> The </w:t>
      </w:r>
      <w:r w:rsidRPr="009023D6">
        <w:t>Migration</w:t>
      </w:r>
      <w:r w:rsidRPr="00047D1B">
        <w:t xml:space="preserve"> Agency held a</w:t>
      </w:r>
      <w:r>
        <w:t>n introductory interview with the author</w:t>
      </w:r>
      <w:r w:rsidRPr="00047D1B">
        <w:t xml:space="preserve"> on 19 November 2014</w:t>
      </w:r>
      <w:r>
        <w:t>. T</w:t>
      </w:r>
      <w:r w:rsidRPr="00047D1B">
        <w:t xml:space="preserve">he minutes </w:t>
      </w:r>
      <w:r>
        <w:t>of</w:t>
      </w:r>
      <w:r w:rsidRPr="00047D1B">
        <w:t xml:space="preserve"> </w:t>
      </w:r>
      <w:r>
        <w:t>the interview</w:t>
      </w:r>
      <w:r w:rsidRPr="00047D1B">
        <w:t xml:space="preserve"> were communicated to </w:t>
      </w:r>
      <w:r>
        <w:t>the author</w:t>
      </w:r>
      <w:r w:rsidR="00072615">
        <w:t>’</w:t>
      </w:r>
      <w:r>
        <w:t>s</w:t>
      </w:r>
      <w:r w:rsidRPr="009A48C5">
        <w:t xml:space="preserve"> </w:t>
      </w:r>
      <w:r w:rsidRPr="00047D1B">
        <w:t xml:space="preserve">counsel on 19 March 2015. On 29 June 2015, </w:t>
      </w:r>
      <w:r>
        <w:t>the author was again</w:t>
      </w:r>
      <w:r w:rsidRPr="00047D1B">
        <w:t xml:space="preserve"> interview</w:t>
      </w:r>
      <w:r>
        <w:t>ed</w:t>
      </w:r>
      <w:r w:rsidRPr="00047D1B">
        <w:t xml:space="preserve"> for </w:t>
      </w:r>
      <w:r>
        <w:t>about</w:t>
      </w:r>
      <w:r w:rsidRPr="00047D1B">
        <w:t xml:space="preserve"> two hours in the presence of </w:t>
      </w:r>
      <w:r>
        <w:t>her</w:t>
      </w:r>
      <w:r w:rsidRPr="00047D1B">
        <w:t xml:space="preserve"> counsel. The minutes </w:t>
      </w:r>
      <w:r>
        <w:t>of</w:t>
      </w:r>
      <w:r w:rsidRPr="00047D1B">
        <w:t xml:space="preserve"> th</w:t>
      </w:r>
      <w:r>
        <w:t>at</w:t>
      </w:r>
      <w:r w:rsidRPr="00047D1B">
        <w:t xml:space="preserve"> interview were communicated to </w:t>
      </w:r>
      <w:r>
        <w:t>the author</w:t>
      </w:r>
      <w:r w:rsidR="00072615">
        <w:t>’</w:t>
      </w:r>
      <w:r>
        <w:t>s</w:t>
      </w:r>
      <w:r w:rsidRPr="00047D1B">
        <w:t xml:space="preserve"> counsel on 1 July 2015. </w:t>
      </w:r>
      <w:r>
        <w:t>During b</w:t>
      </w:r>
      <w:r w:rsidRPr="00047D1B">
        <w:t>oth interviews</w:t>
      </w:r>
      <w:r>
        <w:t>, interpreters were present and</w:t>
      </w:r>
      <w:r w:rsidRPr="00047D1B">
        <w:t xml:space="preserve"> the </w:t>
      </w:r>
      <w:r>
        <w:t>author</w:t>
      </w:r>
      <w:r w:rsidRPr="00047D1B">
        <w:t xml:space="preserve"> confirmed that she understood</w:t>
      </w:r>
      <w:r>
        <w:t xml:space="preserve"> them</w:t>
      </w:r>
      <w:r w:rsidRPr="00047D1B">
        <w:t xml:space="preserve"> well.</w:t>
      </w:r>
      <w:r>
        <w:t xml:space="preserve"> </w:t>
      </w:r>
      <w:r w:rsidRPr="00047D1B">
        <w:t xml:space="preserve">Through her counsel, the </w:t>
      </w:r>
      <w:r>
        <w:t>author</w:t>
      </w:r>
      <w:r w:rsidRPr="00047D1B">
        <w:t xml:space="preserve"> has been invited to submit written observations on the </w:t>
      </w:r>
      <w:r>
        <w:t xml:space="preserve">aforementioned </w:t>
      </w:r>
      <w:r w:rsidRPr="00047D1B">
        <w:t>minutes</w:t>
      </w:r>
      <w:r>
        <w:t>,</w:t>
      </w:r>
      <w:r w:rsidRPr="00047D1B">
        <w:t xml:space="preserve"> and to make written appeals. </w:t>
      </w:r>
      <w:r>
        <w:t>The author</w:t>
      </w:r>
      <w:r w:rsidRPr="00047D1B">
        <w:t xml:space="preserve"> had several opportunities to explain the relevant facts and circumstances in support of her claim and to argue her case before </w:t>
      </w:r>
      <w:r>
        <w:t>the Migration Agency</w:t>
      </w:r>
      <w:r w:rsidRPr="00047D1B">
        <w:t xml:space="preserve"> and the Migration Court.</w:t>
      </w:r>
      <w:r>
        <w:t xml:space="preserve"> Both t</w:t>
      </w:r>
      <w:r w:rsidRPr="00047D1B">
        <w:t xml:space="preserve">he </w:t>
      </w:r>
      <w:r>
        <w:t xml:space="preserve">Migration </w:t>
      </w:r>
      <w:r w:rsidRPr="00047D1B">
        <w:t xml:space="preserve">Agency and the Migration Court had sufficient information to ensure that they had a solid basis for making a well-informed, transparent and reasonable risk assessment concerning the </w:t>
      </w:r>
      <w:r>
        <w:t>author</w:t>
      </w:r>
      <w:r w:rsidR="00072615">
        <w:t>’</w:t>
      </w:r>
      <w:r>
        <w:t xml:space="preserve">s need for protection. </w:t>
      </w:r>
      <w:r w:rsidRPr="00047D1B">
        <w:t xml:space="preserve">In </w:t>
      </w:r>
      <w:r>
        <w:t>view</w:t>
      </w:r>
      <w:r w:rsidRPr="00047D1B">
        <w:t xml:space="preserve"> of </w:t>
      </w:r>
      <w:r>
        <w:t>the foregoing</w:t>
      </w:r>
      <w:r w:rsidRPr="00047D1B">
        <w:t xml:space="preserve"> and the fact that </w:t>
      </w:r>
      <w:r>
        <w:t>the Migration Agency</w:t>
      </w:r>
      <w:r w:rsidRPr="00047D1B">
        <w:t xml:space="preserve"> and the</w:t>
      </w:r>
      <w:r>
        <w:t xml:space="preserve"> Migration</w:t>
      </w:r>
      <w:r w:rsidRPr="00047D1B">
        <w:t xml:space="preserve"> </w:t>
      </w:r>
      <w:r>
        <w:t>Court</w:t>
      </w:r>
      <w:r w:rsidRPr="00047D1B">
        <w:t xml:space="preserve"> are speciali</w:t>
      </w:r>
      <w:r>
        <w:t>z</w:t>
      </w:r>
      <w:r w:rsidRPr="00047D1B">
        <w:t xml:space="preserve">ed bodies with expertise in asylum law and practice, the </w:t>
      </w:r>
      <w:r>
        <w:t>State party finds</w:t>
      </w:r>
      <w:r w:rsidRPr="00047D1B">
        <w:t xml:space="preserve"> no reason to conclude that the</w:t>
      </w:r>
      <w:r>
        <w:t>ir</w:t>
      </w:r>
      <w:r w:rsidRPr="00047D1B">
        <w:t xml:space="preserve"> </w:t>
      </w:r>
      <w:r>
        <w:t>findings</w:t>
      </w:r>
      <w:r w:rsidRPr="00047D1B">
        <w:t xml:space="preserve"> were inadequate or arbitrary</w:t>
      </w:r>
      <w:r>
        <w:t>,</w:t>
      </w:r>
      <w:r w:rsidRPr="00047D1B">
        <w:t xml:space="preserve"> or amounted to a denial of justice. </w:t>
      </w:r>
    </w:p>
    <w:p w14:paraId="0C7AD746" w14:textId="5C72C33A" w:rsidR="00550B78" w:rsidRDefault="00550B78" w:rsidP="00550B78">
      <w:pPr>
        <w:pStyle w:val="SingleTxtG"/>
      </w:pPr>
      <w:r>
        <w:t>4.8</w:t>
      </w:r>
      <w:r>
        <w:tab/>
        <w:t>As regards the author</w:t>
      </w:r>
      <w:r w:rsidR="00072615">
        <w:t>’</w:t>
      </w:r>
      <w:r>
        <w:t xml:space="preserve">s risk </w:t>
      </w:r>
      <w:r w:rsidRPr="001F0C25">
        <w:t>of torture or other ill-treatment</w:t>
      </w:r>
      <w:r>
        <w:t xml:space="preserve"> upon her return to Somalia, the State party submits</w:t>
      </w:r>
      <w:r w:rsidRPr="001F0C25">
        <w:t xml:space="preserve"> that </w:t>
      </w:r>
      <w:r>
        <w:t>the</w:t>
      </w:r>
      <w:r w:rsidRPr="001F0C25">
        <w:t xml:space="preserve"> risk must be assessed on grounds</w:t>
      </w:r>
      <w:r>
        <w:t xml:space="preserve"> </w:t>
      </w:r>
      <w:r w:rsidRPr="001F0C25">
        <w:t xml:space="preserve">that go beyond mere theory or suspicion. </w:t>
      </w:r>
      <w:r>
        <w:t>T</w:t>
      </w:r>
      <w:r w:rsidRPr="001F0C25">
        <w:t xml:space="preserve">he </w:t>
      </w:r>
      <w:r>
        <w:t xml:space="preserve">author should </w:t>
      </w:r>
      <w:r w:rsidRPr="001F0C25">
        <w:t xml:space="preserve">substantiate </w:t>
      </w:r>
      <w:r>
        <w:t>her</w:t>
      </w:r>
      <w:r w:rsidRPr="001F0C25">
        <w:t xml:space="preserve"> </w:t>
      </w:r>
      <w:r>
        <w:t>claim</w:t>
      </w:r>
      <w:r w:rsidRPr="001F0C25">
        <w:t xml:space="preserve"> by presenting an arguable case</w:t>
      </w:r>
      <w:r>
        <w:t xml:space="preserve"> and</w:t>
      </w:r>
      <w:r w:rsidRPr="001F0C25">
        <w:t xml:space="preserve"> establishing that she runs a personal, foreseeable and real risk of being subjected to treatment </w:t>
      </w:r>
      <w:r>
        <w:t xml:space="preserve">contrary to </w:t>
      </w:r>
      <w:r w:rsidRPr="001F0C25">
        <w:t>article 7</w:t>
      </w:r>
      <w:r>
        <w:t xml:space="preserve"> of the Covenant</w:t>
      </w:r>
      <w:r w:rsidRPr="001F0C25">
        <w:t>. A</w:t>
      </w:r>
      <w:r>
        <w:t xml:space="preserve">fter an individual assessment, </w:t>
      </w:r>
      <w:r w:rsidRPr="001F0C25">
        <w:t xml:space="preserve">the </w:t>
      </w:r>
      <w:r>
        <w:t>migration</w:t>
      </w:r>
      <w:r w:rsidRPr="001F0C25">
        <w:t xml:space="preserve"> </w:t>
      </w:r>
      <w:r>
        <w:t>authorities</w:t>
      </w:r>
      <w:r w:rsidRPr="001F0C25">
        <w:t xml:space="preserve"> found that the </w:t>
      </w:r>
      <w:r>
        <w:t>author</w:t>
      </w:r>
      <w:r w:rsidR="00072615">
        <w:t>’</w:t>
      </w:r>
      <w:r w:rsidRPr="001F0C25">
        <w:t xml:space="preserve">s asylum </w:t>
      </w:r>
      <w:r>
        <w:t xml:space="preserve">claim </w:t>
      </w:r>
      <w:r w:rsidRPr="001F0C25">
        <w:t>contain</w:t>
      </w:r>
      <w:r>
        <w:t>ed</w:t>
      </w:r>
      <w:r w:rsidRPr="001F0C25">
        <w:t xml:space="preserve"> </w:t>
      </w:r>
      <w:r>
        <w:t>several</w:t>
      </w:r>
      <w:r w:rsidRPr="001F0C25">
        <w:t xml:space="preserve"> contradictory elements and implausible circumstances. The Agency</w:t>
      </w:r>
      <w:r>
        <w:t xml:space="preserve"> noted</w:t>
      </w:r>
      <w:r w:rsidRPr="001F0C25">
        <w:t xml:space="preserve"> that</w:t>
      </w:r>
      <w:r>
        <w:t>,</w:t>
      </w:r>
      <w:r w:rsidRPr="001F0C25">
        <w:t xml:space="preserve"> </w:t>
      </w:r>
      <w:r>
        <w:t xml:space="preserve">despite the opportunities she was given to speak freely, </w:t>
      </w:r>
      <w:r w:rsidRPr="001F0C25">
        <w:t xml:space="preserve">the </w:t>
      </w:r>
      <w:r>
        <w:t>author</w:t>
      </w:r>
      <w:r w:rsidRPr="001F0C25">
        <w:t xml:space="preserve"> ha</w:t>
      </w:r>
      <w:r>
        <w:t>d</w:t>
      </w:r>
      <w:r w:rsidRPr="001F0C25">
        <w:t xml:space="preserve"> provided a vague account </w:t>
      </w:r>
      <w:r>
        <w:t xml:space="preserve">that was </w:t>
      </w:r>
      <w:r w:rsidRPr="001F0C25">
        <w:t xml:space="preserve">lacking in detail </w:t>
      </w:r>
      <w:r>
        <w:t>about</w:t>
      </w:r>
      <w:r w:rsidRPr="001F0C25">
        <w:t xml:space="preserve"> </w:t>
      </w:r>
      <w:r>
        <w:t>the incidents that</w:t>
      </w:r>
      <w:r w:rsidRPr="001F0C25">
        <w:t xml:space="preserve"> </w:t>
      </w:r>
      <w:r>
        <w:t>had allegedly occurred in Somalia. In particular, the Migration Agency</w:t>
      </w:r>
      <w:r w:rsidRPr="00496E90">
        <w:t xml:space="preserve"> took into consideration </w:t>
      </w:r>
      <w:r>
        <w:t xml:space="preserve">the fact </w:t>
      </w:r>
      <w:r w:rsidRPr="00496E90">
        <w:t>that the author was unable to account for the circumstances</w:t>
      </w:r>
      <w:r>
        <w:t xml:space="preserve"> surrounding </w:t>
      </w:r>
      <w:r w:rsidRPr="001F0C25">
        <w:t xml:space="preserve">her </w:t>
      </w:r>
      <w:r>
        <w:t>detention by Al-</w:t>
      </w:r>
      <w:r w:rsidRPr="001F0C25">
        <w:t>Shabaab</w:t>
      </w:r>
      <w:r>
        <w:t xml:space="preserve"> and her subsequent escape</w:t>
      </w:r>
      <w:r w:rsidRPr="001F0C25">
        <w:t>.</w:t>
      </w:r>
      <w:r>
        <w:t xml:space="preserve"> It thus concluded that she had failed to substantiate </w:t>
      </w:r>
      <w:r w:rsidRPr="00496E90">
        <w:t>h</w:t>
      </w:r>
      <w:r>
        <w:t>er</w:t>
      </w:r>
      <w:r w:rsidRPr="00496E90">
        <w:t xml:space="preserve"> grounds for asylum</w:t>
      </w:r>
      <w:r>
        <w:t xml:space="preserve"> and that her statements were not credible</w:t>
      </w:r>
      <w:r w:rsidRPr="001F0C25">
        <w:t>. Th</w:t>
      </w:r>
      <w:r>
        <w:t>at</w:t>
      </w:r>
      <w:r w:rsidRPr="001F0C25">
        <w:t xml:space="preserve"> conclusion was also </w:t>
      </w:r>
      <w:r>
        <w:t>supported by</w:t>
      </w:r>
      <w:r w:rsidRPr="001F0C25">
        <w:t xml:space="preserve"> </w:t>
      </w:r>
      <w:r w:rsidRPr="001F0C25">
        <w:lastRenderedPageBreak/>
        <w:t xml:space="preserve">country information </w:t>
      </w:r>
      <w:r>
        <w:t xml:space="preserve">indicating </w:t>
      </w:r>
      <w:r w:rsidRPr="001F0C25">
        <w:t xml:space="preserve">that </w:t>
      </w:r>
      <w:r w:rsidRPr="000772BE">
        <w:t xml:space="preserve">Somalis working for </w:t>
      </w:r>
      <w:r>
        <w:t>humanitarian organizations</w:t>
      </w:r>
      <w:r w:rsidRPr="000772BE">
        <w:t xml:space="preserve"> were not seen as opponents to </w:t>
      </w:r>
      <w:r>
        <w:t>Al-</w:t>
      </w:r>
      <w:r w:rsidRPr="000772BE">
        <w:t>Shabaab</w:t>
      </w:r>
      <w:r>
        <w:t>,</w:t>
      </w:r>
      <w:r w:rsidRPr="000772BE">
        <w:t xml:space="preserve"> </w:t>
      </w:r>
      <w:r>
        <w:t>while</w:t>
      </w:r>
      <w:r w:rsidRPr="000772BE">
        <w:t xml:space="preserve"> local staff</w:t>
      </w:r>
      <w:r>
        <w:t xml:space="preserve"> of the African Union</w:t>
      </w:r>
      <w:r w:rsidRPr="008F04CA">
        <w:t xml:space="preserve"> </w:t>
      </w:r>
      <w:r>
        <w:t>Mission in Somalia and the United Nations</w:t>
      </w:r>
      <w:r w:rsidRPr="000772BE">
        <w:t xml:space="preserve"> were kn</w:t>
      </w:r>
      <w:r>
        <w:t>own to be targeted by the group</w:t>
      </w:r>
      <w:r w:rsidRPr="001F0C25">
        <w:t>.</w:t>
      </w:r>
      <w:r>
        <w:t xml:space="preserve"> Notwithstanding the negative credibility finding of the author</w:t>
      </w:r>
      <w:r w:rsidR="00072615">
        <w:t>’</w:t>
      </w:r>
      <w:r>
        <w:t>s claims, the Migration Agency noted that she would not be able to safely return to Masagaway owing to the security conditions, and continued to assess whether an internal flight alternative would be relevant and plausible.</w:t>
      </w:r>
    </w:p>
    <w:p w14:paraId="5FA14FA6" w14:textId="77777777" w:rsidR="00550B78" w:rsidRDefault="00550B78" w:rsidP="00550B78">
      <w:pPr>
        <w:pStyle w:val="SingleTxtG"/>
      </w:pPr>
      <w:r>
        <w:t>4.9</w:t>
      </w:r>
      <w:r>
        <w:tab/>
      </w:r>
      <w:r w:rsidRPr="00673BA3">
        <w:t xml:space="preserve">The State party </w:t>
      </w:r>
      <w:r>
        <w:t>submits that, given</w:t>
      </w:r>
      <w:r w:rsidRPr="00837729">
        <w:t xml:space="preserve"> that the security situation in Somalia varies </w:t>
      </w:r>
      <w:r>
        <w:t>in</w:t>
      </w:r>
      <w:r w:rsidRPr="00837729">
        <w:t xml:space="preserve"> different parts of the country, a threat level may be limited to a certain location, </w:t>
      </w:r>
      <w:r>
        <w:t xml:space="preserve">and </w:t>
      </w:r>
      <w:r w:rsidRPr="00837729">
        <w:t xml:space="preserve">there </w:t>
      </w:r>
      <w:r>
        <w:t>may be</w:t>
      </w:r>
      <w:r w:rsidRPr="00837729">
        <w:t xml:space="preserve"> an internal flight alternative. </w:t>
      </w:r>
      <w:r>
        <w:t>It notes that w</w:t>
      </w:r>
      <w:r w:rsidRPr="00837729">
        <w:t>hen determining whether such an alternative is relevant, circumstances such as sex, age, health and the availability of support networks must be taken into consideration.</w:t>
      </w:r>
      <w:r w:rsidRPr="008548B0">
        <w:t xml:space="preserve"> </w:t>
      </w:r>
      <w:r>
        <w:t xml:space="preserve">It considers that </w:t>
      </w:r>
      <w:r w:rsidRPr="00342B05">
        <w:t xml:space="preserve">the situation is not such as to put everyone in any part of </w:t>
      </w:r>
      <w:r>
        <w:t>Somalia at</w:t>
      </w:r>
      <w:r w:rsidRPr="00342B05">
        <w:t xml:space="preserve"> risk of being treated in a way that would entail a violation of the Covenant. </w:t>
      </w:r>
      <w:r>
        <w:t xml:space="preserve">It also notes that, in cases where </w:t>
      </w:r>
      <w:r w:rsidRPr="00837729">
        <w:t xml:space="preserve">an internal </w:t>
      </w:r>
      <w:r>
        <w:t>flight alternative in Mogadishu</w:t>
      </w:r>
      <w:r w:rsidRPr="00837729">
        <w:t xml:space="preserve"> </w:t>
      </w:r>
      <w:r>
        <w:t>is</w:t>
      </w:r>
      <w:r w:rsidRPr="00837729">
        <w:t xml:space="preserve"> deemed relevant, the reasonableness of the proposed internal flight must be assessed.</w:t>
      </w:r>
    </w:p>
    <w:p w14:paraId="4A798E7D" w14:textId="02957B05" w:rsidR="00550B78" w:rsidRDefault="00550B78" w:rsidP="00550B78">
      <w:pPr>
        <w:pStyle w:val="SingleTxtG"/>
      </w:pPr>
      <w:r>
        <w:t>4.10</w:t>
      </w:r>
      <w:r>
        <w:tab/>
      </w:r>
      <w:r w:rsidRPr="00811D19">
        <w:t>In the present case, the State party</w:t>
      </w:r>
      <w:r w:rsidR="00072615">
        <w:t>’</w:t>
      </w:r>
      <w:r w:rsidRPr="00811D19">
        <w:t>s authorities first assessed the human rights and security situation in the habitual place of residence of the author, Masagaway, in the province of Shabelle Dhexe.</w:t>
      </w:r>
      <w:r w:rsidRPr="00342B05">
        <w:t xml:space="preserve"> </w:t>
      </w:r>
      <w:r>
        <w:t>They concluded</w:t>
      </w:r>
      <w:r w:rsidRPr="00342B05">
        <w:t xml:space="preserve"> that </w:t>
      </w:r>
      <w:r>
        <w:t>Al-</w:t>
      </w:r>
      <w:r w:rsidRPr="00342B05">
        <w:t xml:space="preserve">Shabaab </w:t>
      </w:r>
      <w:r>
        <w:t>was</w:t>
      </w:r>
      <w:r w:rsidRPr="00342B05">
        <w:t xml:space="preserve"> in control of </w:t>
      </w:r>
      <w:r>
        <w:t>the area</w:t>
      </w:r>
      <w:r w:rsidRPr="00342B05">
        <w:t xml:space="preserve"> and that </w:t>
      </w:r>
      <w:r>
        <w:t>the author</w:t>
      </w:r>
      <w:r w:rsidRPr="00342B05">
        <w:t xml:space="preserve"> would </w:t>
      </w:r>
      <w:r>
        <w:t xml:space="preserve">therefore </w:t>
      </w:r>
      <w:r w:rsidRPr="00342B05">
        <w:t xml:space="preserve">be </w:t>
      </w:r>
      <w:r>
        <w:t>un</w:t>
      </w:r>
      <w:r w:rsidRPr="00342B05">
        <w:t xml:space="preserve">able to use a safe travel route </w:t>
      </w:r>
      <w:r>
        <w:t>back there</w:t>
      </w:r>
      <w:r w:rsidRPr="00342B05">
        <w:t xml:space="preserve">. </w:t>
      </w:r>
      <w:r>
        <w:t>Consequently</w:t>
      </w:r>
      <w:r w:rsidRPr="00D056F6">
        <w:t>, Mogadishu</w:t>
      </w:r>
      <w:r>
        <w:t>, where the author was born and raised,</w:t>
      </w:r>
      <w:r w:rsidRPr="00D056F6">
        <w:t xml:space="preserve"> was identified as an internal flight alternative</w:t>
      </w:r>
      <w:r w:rsidRPr="00342B05">
        <w:t xml:space="preserve">. </w:t>
      </w:r>
      <w:r>
        <w:t xml:space="preserve">In this respect, the State party refers to the jurisprudence of </w:t>
      </w:r>
      <w:r w:rsidRPr="00D13A38">
        <w:t>the Eur</w:t>
      </w:r>
      <w:r>
        <w:t xml:space="preserve">opean Court of Human Rights which, with reference to the </w:t>
      </w:r>
      <w:r w:rsidRPr="00D13A38">
        <w:t>Convention</w:t>
      </w:r>
      <w:r>
        <w:t xml:space="preserve"> </w:t>
      </w:r>
      <w:r w:rsidRPr="00C644EA">
        <w:t>for the Protection of Human Rights and Fundamental Freedoms</w:t>
      </w:r>
      <w:r>
        <w:t xml:space="preserve"> (European Convention on Human Rights), has indicated </w:t>
      </w:r>
      <w:r w:rsidRPr="00D13A38">
        <w:t xml:space="preserve">that </w:t>
      </w:r>
      <w:r w:rsidR="00072615">
        <w:t>“</w:t>
      </w:r>
      <w:r>
        <w:t>a</w:t>
      </w:r>
      <w:r w:rsidRPr="00D13A38">
        <w:t xml:space="preserve">rticle 3 does not, as such, preclude </w:t>
      </w:r>
      <w:r>
        <w:t xml:space="preserve">Contracting </w:t>
      </w:r>
      <w:r w:rsidRPr="00D13A38">
        <w:t>States from placing reliance on the existence of an internal flight alternative in their assessment of an individual</w:t>
      </w:r>
      <w:r w:rsidR="00072615">
        <w:t>’</w:t>
      </w:r>
      <w:r w:rsidRPr="00D13A38">
        <w:t>s claim that a return to his or her country of origin would expose him or her to a real risk of being subjected to treatment proscribed by that provision</w:t>
      </w:r>
      <w:r w:rsidR="00072615">
        <w:t>”</w:t>
      </w:r>
      <w:r>
        <w:t>.</w:t>
      </w:r>
      <w:r w:rsidRPr="00072615">
        <w:rPr>
          <w:rStyle w:val="FootnoteReference"/>
        </w:rPr>
        <w:footnoteReference w:id="7"/>
      </w:r>
      <w:r w:rsidRPr="00072615">
        <w:rPr>
          <w:rStyle w:val="FootnoteReference"/>
          <w:vertAlign w:val="baseline"/>
        </w:rPr>
        <w:t xml:space="preserve"> </w:t>
      </w:r>
      <w:r>
        <w:t xml:space="preserve">The State party notes that the European Court ruled that, in order to rely on the internal flight alterative, States must ensure that </w:t>
      </w:r>
      <w:r w:rsidR="00072615">
        <w:t>“</w:t>
      </w:r>
      <w:r>
        <w:t xml:space="preserve">the </w:t>
      </w:r>
      <w:r w:rsidRPr="000756DA">
        <w:t>person to be expelled must be able to travel to the area concerned, g</w:t>
      </w:r>
      <w:r>
        <w:t>ain admittance and settle there</w:t>
      </w:r>
      <w:r w:rsidR="00072615">
        <w:t>”</w:t>
      </w:r>
      <w:r>
        <w:t>.</w:t>
      </w:r>
      <w:r w:rsidRPr="00072615">
        <w:rPr>
          <w:rStyle w:val="FootnoteReference"/>
        </w:rPr>
        <w:footnoteReference w:id="8"/>
      </w:r>
      <w:r w:rsidRPr="00072615">
        <w:rPr>
          <w:rStyle w:val="FootnoteReference"/>
          <w:vertAlign w:val="baseline"/>
        </w:rPr>
        <w:t xml:space="preserve"> </w:t>
      </w:r>
      <w:r>
        <w:t>The State party also takes note of the relevant jurisprudence of the Committee against Torture.</w:t>
      </w:r>
      <w:r w:rsidRPr="00072615">
        <w:rPr>
          <w:rStyle w:val="FootnoteReference"/>
        </w:rPr>
        <w:footnoteReference w:id="9"/>
      </w:r>
      <w:r w:rsidRPr="00072615">
        <w:rPr>
          <w:rStyle w:val="FootnoteReference"/>
        </w:rPr>
        <w:t xml:space="preserve"> </w:t>
      </w:r>
    </w:p>
    <w:p w14:paraId="345C1C90" w14:textId="20965421" w:rsidR="00550B78" w:rsidRDefault="00550B78" w:rsidP="00550B78">
      <w:pPr>
        <w:pStyle w:val="SingleTxtG"/>
      </w:pPr>
      <w:r>
        <w:t>4.11</w:t>
      </w:r>
      <w:r>
        <w:tab/>
        <w:t xml:space="preserve">With regard to the situation in Mogadishu, the State party observes </w:t>
      </w:r>
      <w:r w:rsidRPr="000756DA">
        <w:t xml:space="preserve">that it is not such as to put everyone who is present </w:t>
      </w:r>
      <w:r>
        <w:t>there</w:t>
      </w:r>
      <w:r w:rsidRPr="000756DA">
        <w:t xml:space="preserve"> at real risk of treatment contrary to </w:t>
      </w:r>
      <w:r>
        <w:t>a</w:t>
      </w:r>
      <w:r w:rsidRPr="000756DA">
        <w:t xml:space="preserve">rticle 3 of the </w:t>
      </w:r>
      <w:r>
        <w:t xml:space="preserve">European </w:t>
      </w:r>
      <w:r w:rsidRPr="000756DA">
        <w:t>Convention</w:t>
      </w:r>
      <w:r w:rsidRPr="00514FEB">
        <w:t xml:space="preserve"> </w:t>
      </w:r>
      <w:r>
        <w:t>on Human Rights.</w:t>
      </w:r>
      <w:r w:rsidRPr="00F206E9">
        <w:t xml:space="preserve"> </w:t>
      </w:r>
      <w:r>
        <w:t>As regards</w:t>
      </w:r>
      <w:r w:rsidRPr="00F206E9">
        <w:t xml:space="preserve"> the </w:t>
      </w:r>
      <w:r>
        <w:t>author</w:t>
      </w:r>
      <w:r w:rsidR="00072615">
        <w:t>’</w:t>
      </w:r>
      <w:r>
        <w:t>s</w:t>
      </w:r>
      <w:r w:rsidRPr="00F206E9">
        <w:t xml:space="preserve"> personal situation, the </w:t>
      </w:r>
      <w:r>
        <w:t>State party</w:t>
      </w:r>
      <w:r w:rsidRPr="00F206E9">
        <w:t xml:space="preserve"> </w:t>
      </w:r>
      <w:r>
        <w:t>notes</w:t>
      </w:r>
      <w:r w:rsidRPr="00F206E9">
        <w:t xml:space="preserve"> that she was born in Mogadishu and was </w:t>
      </w:r>
      <w:r>
        <w:t>raised in the Hawiye Abgaal clan, which is also her husband</w:t>
      </w:r>
      <w:r w:rsidR="00072615">
        <w:t>’</w:t>
      </w:r>
      <w:r>
        <w:t>s clan, while she</w:t>
      </w:r>
      <w:r w:rsidRPr="000054C9">
        <w:t xml:space="preserve"> </w:t>
      </w:r>
      <w:r w:rsidRPr="00F206E9">
        <w:t xml:space="preserve">belongs to the Arab Rer Saleh clan. </w:t>
      </w:r>
      <w:r>
        <w:t>The author</w:t>
      </w:r>
      <w:r w:rsidR="00072615">
        <w:t>’</w:t>
      </w:r>
      <w:r>
        <w:t>s m</w:t>
      </w:r>
      <w:r w:rsidRPr="000772BE">
        <w:t>other lived</w:t>
      </w:r>
      <w:r>
        <w:t xml:space="preserve"> in Mogadishu</w:t>
      </w:r>
      <w:r w:rsidRPr="000772BE">
        <w:t xml:space="preserve"> </w:t>
      </w:r>
      <w:r>
        <w:t>until she died</w:t>
      </w:r>
      <w:r w:rsidRPr="000772BE">
        <w:t>.</w:t>
      </w:r>
      <w:r>
        <w:t xml:space="preserve"> A</w:t>
      </w:r>
      <w:r w:rsidRPr="00F206E9">
        <w:t>ccording to country information,</w:t>
      </w:r>
      <w:r>
        <w:t xml:space="preserve"> while</w:t>
      </w:r>
      <w:r w:rsidRPr="00F206E9">
        <w:t xml:space="preserve"> all clans are represented in Mogadishu</w:t>
      </w:r>
      <w:r>
        <w:t xml:space="preserve">, </w:t>
      </w:r>
      <w:r w:rsidRPr="00F206E9">
        <w:t xml:space="preserve">the majority of the population </w:t>
      </w:r>
      <w:r>
        <w:t>are members of the Abgaal Hawiye clan.</w:t>
      </w:r>
      <w:r w:rsidRPr="00F206E9">
        <w:t xml:space="preserve"> </w:t>
      </w:r>
      <w:r>
        <w:t>Furthermore, the author has</w:t>
      </w:r>
      <w:r w:rsidRPr="00F206E9">
        <w:t xml:space="preserve"> a male </w:t>
      </w:r>
      <w:r>
        <w:t>relative, her uncle,</w:t>
      </w:r>
      <w:r w:rsidRPr="00F206E9">
        <w:t xml:space="preserve"> in Mogadishu, who </w:t>
      </w:r>
      <w:r>
        <w:t>pai</w:t>
      </w:r>
      <w:r w:rsidRPr="00F206E9">
        <w:t>d for her m</w:t>
      </w:r>
      <w:r>
        <w:t>edical treatment</w:t>
      </w:r>
      <w:r w:rsidRPr="00F206E9">
        <w:t xml:space="preserve"> and</w:t>
      </w:r>
      <w:r>
        <w:t xml:space="preserve"> arranged for </w:t>
      </w:r>
      <w:r w:rsidRPr="00F206E9">
        <w:t xml:space="preserve">her </w:t>
      </w:r>
      <w:r>
        <w:t>departure from</w:t>
      </w:r>
      <w:r w:rsidRPr="00F206E9">
        <w:t xml:space="preserve"> Somalia</w:t>
      </w:r>
      <w:r>
        <w:t>, including</w:t>
      </w:r>
      <w:r w:rsidRPr="00813225">
        <w:t xml:space="preserve"> </w:t>
      </w:r>
      <w:r>
        <w:t>by</w:t>
      </w:r>
      <w:r w:rsidRPr="00F206E9">
        <w:t xml:space="preserve"> sell</w:t>
      </w:r>
      <w:r>
        <w:t>ing</w:t>
      </w:r>
      <w:r w:rsidRPr="00F206E9">
        <w:t xml:space="preserve"> her mother</w:t>
      </w:r>
      <w:r w:rsidR="00072615">
        <w:t>’</w:t>
      </w:r>
      <w:r w:rsidRPr="00F206E9">
        <w:t>s house</w:t>
      </w:r>
      <w:r>
        <w:t xml:space="preserve"> and finding a smuggler</w:t>
      </w:r>
      <w:r w:rsidRPr="00F206E9">
        <w:t>.</w:t>
      </w:r>
      <w:r>
        <w:t xml:space="preserve"> T</w:t>
      </w:r>
      <w:r w:rsidRPr="00813225">
        <w:t xml:space="preserve">he </w:t>
      </w:r>
      <w:r>
        <w:t>State party</w:t>
      </w:r>
      <w:r w:rsidR="00072615">
        <w:t>’</w:t>
      </w:r>
      <w:r>
        <w:t>s</w:t>
      </w:r>
      <w:r w:rsidRPr="00813225">
        <w:t xml:space="preserve"> authorities</w:t>
      </w:r>
      <w:r>
        <w:t xml:space="preserve"> therefore</w:t>
      </w:r>
      <w:r w:rsidRPr="00813225">
        <w:t xml:space="preserve"> found </w:t>
      </w:r>
      <w:r>
        <w:t>that the author</w:t>
      </w:r>
      <w:r w:rsidR="00072615">
        <w:t>’</w:t>
      </w:r>
      <w:r>
        <w:t xml:space="preserve">s </w:t>
      </w:r>
      <w:r w:rsidRPr="00813225">
        <w:t xml:space="preserve">claim </w:t>
      </w:r>
      <w:r>
        <w:t>that</w:t>
      </w:r>
      <w:r w:rsidRPr="00813225">
        <w:t xml:space="preserve"> she lacked any male network to be </w:t>
      </w:r>
      <w:r>
        <w:t xml:space="preserve">unsubstantiated and not credible and thus held that she had failed to substantiate a risk of persecution upon her return to Mogadishu. </w:t>
      </w:r>
      <w:r w:rsidRPr="00F206E9">
        <w:t xml:space="preserve">The </w:t>
      </w:r>
      <w:r>
        <w:t>State party finds no reason to</w:t>
      </w:r>
      <w:r w:rsidRPr="00F206E9">
        <w:t xml:space="preserve"> question th</w:t>
      </w:r>
      <w:r>
        <w:t>is</w:t>
      </w:r>
      <w:r w:rsidRPr="00F206E9">
        <w:t xml:space="preserve"> assessment. </w:t>
      </w:r>
      <w:r>
        <w:t xml:space="preserve">Furthermore, while </w:t>
      </w:r>
      <w:r w:rsidRPr="00F206E9">
        <w:t xml:space="preserve">the </w:t>
      </w:r>
      <w:r>
        <w:t>author</w:t>
      </w:r>
      <w:r w:rsidRPr="00F206E9">
        <w:t xml:space="preserve"> provided </w:t>
      </w:r>
      <w:r>
        <w:t>no</w:t>
      </w:r>
      <w:r w:rsidRPr="00F206E9">
        <w:t xml:space="preserve"> information about her husband an</w:t>
      </w:r>
      <w:r>
        <w:t>d her children, the State party considers</w:t>
      </w:r>
      <w:r w:rsidRPr="00F206E9">
        <w:t xml:space="preserve"> it unlikely that </w:t>
      </w:r>
      <w:r>
        <w:t>she is unaware of her</w:t>
      </w:r>
      <w:r w:rsidRPr="00F206E9">
        <w:t xml:space="preserve"> family</w:t>
      </w:r>
      <w:r w:rsidR="00072615">
        <w:t>’</w:t>
      </w:r>
      <w:r w:rsidRPr="00F206E9">
        <w:t xml:space="preserve">s whereabouts, </w:t>
      </w:r>
      <w:r>
        <w:t xml:space="preserve">or </w:t>
      </w:r>
      <w:r w:rsidRPr="00F206E9">
        <w:t xml:space="preserve">unable to obtain </w:t>
      </w:r>
      <w:r>
        <w:t>any</w:t>
      </w:r>
      <w:r w:rsidRPr="00F206E9">
        <w:t xml:space="preserve"> information about her family or at least provide accounts </w:t>
      </w:r>
      <w:r>
        <w:t xml:space="preserve">of </w:t>
      </w:r>
      <w:r w:rsidRPr="00F206E9">
        <w:t xml:space="preserve">her search for </w:t>
      </w:r>
      <w:r>
        <w:t>information</w:t>
      </w:r>
      <w:r w:rsidRPr="00F206E9">
        <w:t xml:space="preserve"> </w:t>
      </w:r>
      <w:r>
        <w:t>by contacting her</w:t>
      </w:r>
      <w:r w:rsidRPr="00F206E9">
        <w:t xml:space="preserve"> relatives and clan members</w:t>
      </w:r>
      <w:r>
        <w:t xml:space="preserve"> in Somalia</w:t>
      </w:r>
      <w:r w:rsidRPr="00F206E9">
        <w:t>.</w:t>
      </w:r>
    </w:p>
    <w:p w14:paraId="4CC0A145" w14:textId="4CC6CF44" w:rsidR="00550B78" w:rsidRDefault="00550B78" w:rsidP="00550B78">
      <w:pPr>
        <w:pStyle w:val="SingleTxtG"/>
      </w:pPr>
      <w:r>
        <w:t>4.12</w:t>
      </w:r>
      <w:r>
        <w:tab/>
        <w:t>The State party notes that</w:t>
      </w:r>
      <w:r w:rsidRPr="00A16A61">
        <w:t xml:space="preserve"> the </w:t>
      </w:r>
      <w:r>
        <w:t>author</w:t>
      </w:r>
      <w:r w:rsidRPr="00A16A61">
        <w:t xml:space="preserve"> </w:t>
      </w:r>
      <w:r>
        <w:t>has raised a new claim</w:t>
      </w:r>
      <w:r w:rsidRPr="00A16A61">
        <w:t xml:space="preserve"> </w:t>
      </w:r>
      <w:r>
        <w:t>b</w:t>
      </w:r>
      <w:r w:rsidRPr="00A16A61">
        <w:t>efore the Committee</w:t>
      </w:r>
      <w:r>
        <w:t>,</w:t>
      </w:r>
      <w:r w:rsidRPr="00A16A61">
        <w:t xml:space="preserve"> that she cann</w:t>
      </w:r>
      <w:r>
        <w:t>ot return to her uncle</w:t>
      </w:r>
      <w:r w:rsidRPr="00A16A61">
        <w:t xml:space="preserve"> in Mogadishu </w:t>
      </w:r>
      <w:r>
        <w:t xml:space="preserve">because </w:t>
      </w:r>
      <w:r w:rsidRPr="00A16A61">
        <w:t>his son</w:t>
      </w:r>
      <w:r>
        <w:t xml:space="preserve"> is a member of Al-</w:t>
      </w:r>
      <w:r>
        <w:lastRenderedPageBreak/>
        <w:t>Shabaab. It points out</w:t>
      </w:r>
      <w:r w:rsidRPr="00A16A61">
        <w:t xml:space="preserve"> that</w:t>
      </w:r>
      <w:r>
        <w:t xml:space="preserve"> she</w:t>
      </w:r>
      <w:r w:rsidRPr="00A16A61">
        <w:t xml:space="preserve"> has not submitted an</w:t>
      </w:r>
      <w:r>
        <w:t>y</w:t>
      </w:r>
      <w:r w:rsidRPr="00A16A61">
        <w:t xml:space="preserve"> explanation </w:t>
      </w:r>
      <w:r>
        <w:t>for</w:t>
      </w:r>
      <w:r w:rsidRPr="00A16A61">
        <w:t xml:space="preserve"> </w:t>
      </w:r>
      <w:r>
        <w:t xml:space="preserve">her failure to raise this claim during the domestic asylum proceedings. The State party considers </w:t>
      </w:r>
      <w:r w:rsidRPr="00A16A61">
        <w:t xml:space="preserve">it reasonable to expect </w:t>
      </w:r>
      <w:r>
        <w:t>the author</w:t>
      </w:r>
      <w:r w:rsidRPr="00A16A61">
        <w:t xml:space="preserve"> not to omit such a fundamental </w:t>
      </w:r>
      <w:r>
        <w:t>element</w:t>
      </w:r>
      <w:r w:rsidRPr="00A16A61">
        <w:t xml:space="preserve"> of her claim during the </w:t>
      </w:r>
      <w:r>
        <w:t>asylum</w:t>
      </w:r>
      <w:r w:rsidRPr="00A16A61">
        <w:t xml:space="preserve"> proceedings. </w:t>
      </w:r>
      <w:r>
        <w:t>It therefore</w:t>
      </w:r>
      <w:r w:rsidRPr="00A16A61">
        <w:t xml:space="preserve"> </w:t>
      </w:r>
      <w:r>
        <w:t>finds</w:t>
      </w:r>
      <w:r w:rsidRPr="0094362D">
        <w:t xml:space="preserve"> </w:t>
      </w:r>
      <w:r>
        <w:t>the author</w:t>
      </w:r>
      <w:r w:rsidR="00072615">
        <w:t>’</w:t>
      </w:r>
      <w:r>
        <w:t>s</w:t>
      </w:r>
      <w:r w:rsidRPr="0094362D">
        <w:t xml:space="preserve"> </w:t>
      </w:r>
      <w:r>
        <w:t xml:space="preserve">new </w:t>
      </w:r>
      <w:r w:rsidRPr="0094362D">
        <w:t>claim</w:t>
      </w:r>
      <w:r>
        <w:t xml:space="preserve"> to be</w:t>
      </w:r>
      <w:r w:rsidRPr="0094362D">
        <w:t xml:space="preserve"> an </w:t>
      </w:r>
      <w:r w:rsidR="00072615">
        <w:t>“</w:t>
      </w:r>
      <w:r w:rsidRPr="0094362D">
        <w:t>escalation</w:t>
      </w:r>
      <w:r w:rsidR="00072615">
        <w:t>”</w:t>
      </w:r>
      <w:r w:rsidRPr="0094362D">
        <w:t xml:space="preserve"> of her asylum account and strongly questions </w:t>
      </w:r>
      <w:r>
        <w:t>its</w:t>
      </w:r>
      <w:r w:rsidRPr="0094362D">
        <w:t xml:space="preserve"> </w:t>
      </w:r>
      <w:r>
        <w:t xml:space="preserve">credibility. </w:t>
      </w:r>
    </w:p>
    <w:p w14:paraId="14F7AF8F" w14:textId="2CA3079C" w:rsidR="00550B78" w:rsidRDefault="00550B78" w:rsidP="00550B78">
      <w:pPr>
        <w:pStyle w:val="SingleTxtG"/>
      </w:pPr>
      <w:r>
        <w:t>4.13</w:t>
      </w:r>
      <w:r>
        <w:tab/>
        <w:t>In the light of the foregoing, t</w:t>
      </w:r>
      <w:r w:rsidRPr="003663C9">
        <w:t xml:space="preserve">he </w:t>
      </w:r>
      <w:r>
        <w:t>State party considers</w:t>
      </w:r>
      <w:r w:rsidRPr="003663C9">
        <w:t xml:space="preserve"> that </w:t>
      </w:r>
      <w:r>
        <w:t>its</w:t>
      </w:r>
      <w:r w:rsidRPr="003663C9">
        <w:t xml:space="preserve"> </w:t>
      </w:r>
      <w:r>
        <w:t xml:space="preserve">migration authorities have thoroughly examined </w:t>
      </w:r>
      <w:r w:rsidRPr="003663C9">
        <w:t xml:space="preserve">the </w:t>
      </w:r>
      <w:r>
        <w:t>author</w:t>
      </w:r>
      <w:r w:rsidR="00072615">
        <w:t>’</w:t>
      </w:r>
      <w:r>
        <w:t>s</w:t>
      </w:r>
      <w:r w:rsidRPr="003663C9">
        <w:t xml:space="preserve"> </w:t>
      </w:r>
      <w:r>
        <w:t>claims, and that her protection claims are not credible</w:t>
      </w:r>
      <w:r w:rsidRPr="003663C9">
        <w:t xml:space="preserve">. </w:t>
      </w:r>
      <w:r>
        <w:t>It</w:t>
      </w:r>
      <w:r w:rsidRPr="003663C9">
        <w:t xml:space="preserve"> </w:t>
      </w:r>
      <w:r>
        <w:t>contends</w:t>
      </w:r>
      <w:r w:rsidRPr="003663C9">
        <w:t xml:space="preserve"> that, by </w:t>
      </w:r>
      <w:r>
        <w:t>presenting</w:t>
      </w:r>
      <w:r w:rsidRPr="003663C9">
        <w:t xml:space="preserve"> </w:t>
      </w:r>
      <w:r>
        <w:t>additional</w:t>
      </w:r>
      <w:r w:rsidRPr="003663C9">
        <w:t xml:space="preserve"> information and details </w:t>
      </w:r>
      <w:r>
        <w:t>only at a later stage before the Committee</w:t>
      </w:r>
      <w:r w:rsidRPr="003663C9">
        <w:t xml:space="preserve">, the </w:t>
      </w:r>
      <w:r>
        <w:t>author</w:t>
      </w:r>
      <w:r w:rsidRPr="003663C9">
        <w:t xml:space="preserve"> has escalated her asylum account</w:t>
      </w:r>
      <w:r>
        <w:t xml:space="preserve">, undermining her </w:t>
      </w:r>
      <w:r w:rsidRPr="003663C9">
        <w:t xml:space="preserve">credibility. </w:t>
      </w:r>
      <w:r>
        <w:t>The State party asserts</w:t>
      </w:r>
      <w:r w:rsidRPr="003663C9">
        <w:t xml:space="preserve"> that</w:t>
      </w:r>
      <w:r>
        <w:t xml:space="preserve"> its</w:t>
      </w:r>
      <w:r w:rsidRPr="003663C9">
        <w:t xml:space="preserve"> migration authorities have provided evidence that Mogadishu is both a relevant and reasonable internal flight alternative for the </w:t>
      </w:r>
      <w:r>
        <w:t>author</w:t>
      </w:r>
      <w:r w:rsidRPr="003663C9">
        <w:t xml:space="preserve">. </w:t>
      </w:r>
      <w:r>
        <w:t>Furthermore, the State party notes that t</w:t>
      </w:r>
      <w:r w:rsidRPr="003663C9">
        <w:t xml:space="preserve">he </w:t>
      </w:r>
      <w:r>
        <w:t>author</w:t>
      </w:r>
      <w:r w:rsidRPr="003663C9">
        <w:t xml:space="preserve"> has not </w:t>
      </w:r>
      <w:r>
        <w:t>indicated</w:t>
      </w:r>
      <w:r w:rsidRPr="003663C9">
        <w:t xml:space="preserve"> any risk of persecution by the State or its agents </w:t>
      </w:r>
      <w:r>
        <w:t>that</w:t>
      </w:r>
      <w:r w:rsidRPr="003663C9">
        <w:t xml:space="preserve"> would mean that internal flight to Mogadishu might not be considered relevant or reasonable.</w:t>
      </w:r>
      <w:r>
        <w:t xml:space="preserve"> It </w:t>
      </w:r>
      <w:r w:rsidRPr="003663C9">
        <w:t xml:space="preserve">contends that due consideration has been given to the </w:t>
      </w:r>
      <w:r>
        <w:t>author</w:t>
      </w:r>
      <w:r w:rsidR="00072615">
        <w:t>’</w:t>
      </w:r>
      <w:r w:rsidRPr="003663C9">
        <w:t xml:space="preserve">s personal situation including her sex, age, health and the availability of support networks in Mogadishu. </w:t>
      </w:r>
      <w:r>
        <w:t>She</w:t>
      </w:r>
      <w:r w:rsidRPr="003663C9">
        <w:t xml:space="preserve"> has been deemed to have relevant support networks consisting of clan support, both from the Darod and Hawiye Abgaal clan on either side of her parents, and the support of a male network, her </w:t>
      </w:r>
      <w:r>
        <w:t xml:space="preserve">uncle. Lastly, the State party </w:t>
      </w:r>
      <w:r w:rsidRPr="003663C9">
        <w:t>points out that</w:t>
      </w:r>
      <w:r>
        <w:t>,</w:t>
      </w:r>
      <w:r w:rsidRPr="003663C9">
        <w:t xml:space="preserve"> </w:t>
      </w:r>
      <w:r>
        <w:t xml:space="preserve">as </w:t>
      </w:r>
      <w:r w:rsidRPr="003663C9">
        <w:t>there is an international airport in Mogadishu</w:t>
      </w:r>
      <w:r>
        <w:t>,</w:t>
      </w:r>
      <w:r w:rsidRPr="003663C9">
        <w:t xml:space="preserve"> </w:t>
      </w:r>
      <w:r>
        <w:t>the author is able</w:t>
      </w:r>
      <w:r w:rsidRPr="003663C9">
        <w:t xml:space="preserve"> to return to Mogadishu without having to travel by herself </w:t>
      </w:r>
      <w:r>
        <w:t>with</w:t>
      </w:r>
      <w:r w:rsidRPr="003663C9">
        <w:t>in Somalia</w:t>
      </w:r>
      <w:r>
        <w:t>, and that she</w:t>
      </w:r>
      <w:r w:rsidRPr="0038447E">
        <w:t xml:space="preserve"> has </w:t>
      </w:r>
      <w:r>
        <w:t>failed to</w:t>
      </w:r>
      <w:r w:rsidRPr="0038447E">
        <w:t xml:space="preserve"> substantiate </w:t>
      </w:r>
      <w:r>
        <w:t xml:space="preserve">a real risk of being subjected to torture or other ill-treatment </w:t>
      </w:r>
      <w:r w:rsidRPr="0024087E">
        <w:t>upon her return to Mogadishu.</w:t>
      </w:r>
    </w:p>
    <w:p w14:paraId="7D16AC1B" w14:textId="524BBDB4" w:rsidR="00550B78" w:rsidRPr="007008C4" w:rsidRDefault="00550B78" w:rsidP="00550B78">
      <w:pPr>
        <w:pStyle w:val="H23G"/>
        <w:ind w:left="0" w:firstLine="0"/>
      </w:pPr>
      <w:r w:rsidRPr="007008C4">
        <w:tab/>
      </w:r>
      <w:r w:rsidRPr="007008C4">
        <w:tab/>
        <w:t>Author</w:t>
      </w:r>
      <w:r w:rsidR="00072615">
        <w:t>’</w:t>
      </w:r>
      <w:r w:rsidRPr="007008C4">
        <w:t>s comments on the State party</w:t>
      </w:r>
      <w:r w:rsidR="00072615">
        <w:t>’</w:t>
      </w:r>
      <w:r w:rsidRPr="007008C4">
        <w:t>s observations</w:t>
      </w:r>
      <w:r>
        <w:t xml:space="preserve"> </w:t>
      </w:r>
      <w:r w:rsidRPr="007008C4">
        <w:t xml:space="preserve">on admissibility and </w:t>
      </w:r>
      <w:r>
        <w:t xml:space="preserve">the </w:t>
      </w:r>
      <w:r w:rsidRPr="007008C4">
        <w:t xml:space="preserve">merits </w:t>
      </w:r>
    </w:p>
    <w:p w14:paraId="69D5799F" w14:textId="6B9AE3B8" w:rsidR="00550B78" w:rsidRDefault="00550B78" w:rsidP="00550B78">
      <w:pPr>
        <w:pStyle w:val="SingleTxtG"/>
      </w:pPr>
      <w:r w:rsidRPr="007008C4">
        <w:t>5.</w:t>
      </w:r>
      <w:r w:rsidRPr="007008C4">
        <w:tab/>
      </w:r>
      <w:r>
        <w:t>On 8 March and 31 August 2019</w:t>
      </w:r>
      <w:r w:rsidRPr="00AC49D1">
        <w:t xml:space="preserve">, the author </w:t>
      </w:r>
      <w:r>
        <w:t>submitted that she was encountering difficulties, as she missed her family, especially her children.</w:t>
      </w:r>
      <w:r w:rsidRPr="006A51FC">
        <w:t xml:space="preserve"> </w:t>
      </w:r>
      <w:r>
        <w:t>She also stated that she had no further comments on the State party</w:t>
      </w:r>
      <w:r w:rsidR="00072615">
        <w:t>’</w:t>
      </w:r>
      <w:r>
        <w:t xml:space="preserve">s observations. </w:t>
      </w:r>
    </w:p>
    <w:p w14:paraId="3DA7C5AB" w14:textId="2CCC59D7" w:rsidR="00550B78" w:rsidRPr="007008C4" w:rsidRDefault="00550B78" w:rsidP="00550B78">
      <w:pPr>
        <w:pStyle w:val="H23G"/>
      </w:pPr>
      <w:r w:rsidRPr="007008C4">
        <w:tab/>
      </w:r>
      <w:r w:rsidRPr="007008C4">
        <w:tab/>
        <w:t>State party</w:t>
      </w:r>
      <w:r w:rsidR="00072615">
        <w:t>’</w:t>
      </w:r>
      <w:r w:rsidRPr="007008C4">
        <w:t>s additional observations</w:t>
      </w:r>
    </w:p>
    <w:p w14:paraId="68570317" w14:textId="2B123EF0" w:rsidR="00550B78" w:rsidRDefault="00550B78" w:rsidP="00550B78">
      <w:pPr>
        <w:pStyle w:val="SingleTxtG"/>
      </w:pPr>
      <w:r w:rsidRPr="007008C4">
        <w:t>6.1</w:t>
      </w:r>
      <w:r w:rsidRPr="007008C4">
        <w:tab/>
      </w:r>
      <w:r>
        <w:t>In a</w:t>
      </w:r>
      <w:r w:rsidRPr="00C31453">
        <w:t xml:space="preserve"> letter dated </w:t>
      </w:r>
      <w:r>
        <w:t>13</w:t>
      </w:r>
      <w:r w:rsidRPr="00C31453">
        <w:t xml:space="preserve"> </w:t>
      </w:r>
      <w:r>
        <w:t>November</w:t>
      </w:r>
      <w:r w:rsidRPr="00C31453">
        <w:t xml:space="preserve"> 201</w:t>
      </w:r>
      <w:r>
        <w:t>9</w:t>
      </w:r>
      <w:r w:rsidRPr="00C31453">
        <w:t>, the State party provide</w:t>
      </w:r>
      <w:r>
        <w:t>d</w:t>
      </w:r>
      <w:r w:rsidRPr="00C31453">
        <w:t xml:space="preserve"> additional observations.</w:t>
      </w:r>
      <w:r>
        <w:t xml:space="preserve"> It notes </w:t>
      </w:r>
      <w:r w:rsidRPr="00C31453">
        <w:t xml:space="preserve">that </w:t>
      </w:r>
      <w:r>
        <w:t>the author</w:t>
      </w:r>
      <w:r w:rsidR="00072615">
        <w:t>’</w:t>
      </w:r>
      <w:r>
        <w:t xml:space="preserve">s submissions dated 8 March and 31 August 2019 provide that </w:t>
      </w:r>
      <w:r w:rsidRPr="00D925F3">
        <w:t>she is a mother who is alone in Sweden, that she misses her children</w:t>
      </w:r>
      <w:r>
        <w:t>,</w:t>
      </w:r>
      <w:r w:rsidRPr="00D925F3">
        <w:t xml:space="preserve"> and that she cannot wait any longer without her family</w:t>
      </w:r>
      <w:r>
        <w:t>.</w:t>
      </w:r>
      <w:r w:rsidRPr="00C31453">
        <w:t xml:space="preserve"> </w:t>
      </w:r>
      <w:r>
        <w:t xml:space="preserve">It also notes </w:t>
      </w:r>
      <w:r w:rsidRPr="00C31453">
        <w:t xml:space="preserve">that </w:t>
      </w:r>
      <w:r>
        <w:t>in her initial complaint before the Migration Agency, the</w:t>
      </w:r>
      <w:r w:rsidRPr="00C31453">
        <w:t xml:space="preserve"> author </w:t>
      </w:r>
      <w:r>
        <w:t>claimed that she had a son and three daughters whose place of residence seemed to be Masagaway, where she used to live with her family. The author then filled out a form in which she indicated that she was unaware of the whereabouts of her children. D</w:t>
      </w:r>
      <w:r w:rsidRPr="00D925F3">
        <w:t>uring the</w:t>
      </w:r>
      <w:r>
        <w:t xml:space="preserve"> </w:t>
      </w:r>
      <w:r w:rsidRPr="00D925F3">
        <w:t xml:space="preserve">asylum </w:t>
      </w:r>
      <w:r>
        <w:t>proceedings, she</w:t>
      </w:r>
      <w:r w:rsidRPr="00D925F3">
        <w:t xml:space="preserve"> stated that she did not know what had happened to her husband and her children. In a submission dated 10 September 2015</w:t>
      </w:r>
      <w:r>
        <w:t xml:space="preserve"> to the domestic authorities</w:t>
      </w:r>
      <w:r w:rsidRPr="00D925F3">
        <w:t xml:space="preserve">, she </w:t>
      </w:r>
      <w:r>
        <w:t>indicated</w:t>
      </w:r>
      <w:r w:rsidRPr="00D925F3">
        <w:t xml:space="preserve"> that </w:t>
      </w:r>
      <w:r>
        <w:t xml:space="preserve">while </w:t>
      </w:r>
      <w:r w:rsidRPr="00D925F3">
        <w:t>her husband and her family were on the run</w:t>
      </w:r>
      <w:r>
        <w:t>,</w:t>
      </w:r>
      <w:r w:rsidRPr="00D925F3">
        <w:t xml:space="preserve"> she did not know where they were. </w:t>
      </w:r>
      <w:r>
        <w:t>She also stated that her</w:t>
      </w:r>
      <w:r w:rsidRPr="00D925F3">
        <w:t xml:space="preserve"> only relative was a cousin in Mogadishu</w:t>
      </w:r>
      <w:r>
        <w:t xml:space="preserve">; </w:t>
      </w:r>
      <w:r w:rsidRPr="00D925F3">
        <w:t>she ha</w:t>
      </w:r>
      <w:r>
        <w:t>d</w:t>
      </w:r>
      <w:r w:rsidRPr="00D925F3">
        <w:t xml:space="preserve"> four brothers and a younger sister with whom she </w:t>
      </w:r>
      <w:r>
        <w:t>had</w:t>
      </w:r>
      <w:r w:rsidRPr="00D925F3">
        <w:t xml:space="preserve"> lost contact when they </w:t>
      </w:r>
      <w:r>
        <w:t xml:space="preserve">had </w:t>
      </w:r>
      <w:r w:rsidRPr="00D925F3">
        <w:t xml:space="preserve">fled the war </w:t>
      </w:r>
      <w:r>
        <w:t>between</w:t>
      </w:r>
      <w:r w:rsidRPr="00D925F3">
        <w:t xml:space="preserve"> 1999</w:t>
      </w:r>
      <w:r>
        <w:t xml:space="preserve"> and </w:t>
      </w:r>
      <w:r w:rsidRPr="00D925F3">
        <w:t>2000</w:t>
      </w:r>
      <w:r>
        <w:t>; that a</w:t>
      </w:r>
      <w:r w:rsidRPr="00D925F3">
        <w:t>n older aunt still live</w:t>
      </w:r>
      <w:r>
        <w:t>d</w:t>
      </w:r>
      <w:r w:rsidRPr="00D925F3">
        <w:t xml:space="preserve"> in Ma</w:t>
      </w:r>
      <w:r>
        <w:t xml:space="preserve">sagaway; and that a cousin </w:t>
      </w:r>
      <w:r w:rsidRPr="00D925F3">
        <w:t>on her father</w:t>
      </w:r>
      <w:r w:rsidR="00072615">
        <w:t>’</w:t>
      </w:r>
      <w:r w:rsidRPr="00D925F3">
        <w:t xml:space="preserve">s side </w:t>
      </w:r>
      <w:r>
        <w:t>was</w:t>
      </w:r>
      <w:r w:rsidRPr="00D925F3">
        <w:t xml:space="preserve"> </w:t>
      </w:r>
      <w:r>
        <w:t xml:space="preserve">living </w:t>
      </w:r>
      <w:r w:rsidRPr="00D925F3">
        <w:t>in Karan</w:t>
      </w:r>
      <w:r>
        <w:t>,</w:t>
      </w:r>
      <w:r w:rsidRPr="00D925F3">
        <w:t xml:space="preserve"> where her father live</w:t>
      </w:r>
      <w:r>
        <w:t>d</w:t>
      </w:r>
      <w:r w:rsidRPr="00D925F3">
        <w:t xml:space="preserve"> until he died. </w:t>
      </w:r>
    </w:p>
    <w:p w14:paraId="6D1E7E9E" w14:textId="4236C3C3" w:rsidR="00550B78" w:rsidRDefault="00550B78" w:rsidP="00550B78">
      <w:pPr>
        <w:pStyle w:val="SingleTxtG"/>
      </w:pPr>
      <w:r>
        <w:t>6.2</w:t>
      </w:r>
      <w:r>
        <w:tab/>
      </w:r>
      <w:r w:rsidRPr="00D925F3">
        <w:t xml:space="preserve">In </w:t>
      </w:r>
      <w:r>
        <w:t>view of the foregoing</w:t>
      </w:r>
      <w:r w:rsidRPr="00D925F3">
        <w:t xml:space="preserve">, the </w:t>
      </w:r>
      <w:r>
        <w:t xml:space="preserve">State party reiterates that </w:t>
      </w:r>
      <w:r w:rsidRPr="003970B3">
        <w:t xml:space="preserve">the </w:t>
      </w:r>
      <w:r>
        <w:t>author</w:t>
      </w:r>
      <w:r w:rsidR="00072615">
        <w:t>’</w:t>
      </w:r>
      <w:r>
        <w:t>s</w:t>
      </w:r>
      <w:r w:rsidRPr="003970B3">
        <w:t xml:space="preserve"> account</w:t>
      </w:r>
      <w:r>
        <w:t>s</w:t>
      </w:r>
      <w:r w:rsidRPr="003970B3">
        <w:t xml:space="preserve"> contain a number of contradictory elements and implausible circumstances and that she provided a vague account, lacking in detail, about what happened to her and her family in Somalia</w:t>
      </w:r>
      <w:r>
        <w:t xml:space="preserve">. The State party </w:t>
      </w:r>
      <w:r w:rsidRPr="003970B3">
        <w:t xml:space="preserve">notes that the </w:t>
      </w:r>
      <w:r>
        <w:t>author</w:t>
      </w:r>
      <w:r w:rsidRPr="003970B3">
        <w:t xml:space="preserve"> has not provide</w:t>
      </w:r>
      <w:r>
        <w:t>d</w:t>
      </w:r>
      <w:r w:rsidRPr="003970B3">
        <w:t xml:space="preserve"> any information about what happened to her husband and her children</w:t>
      </w:r>
      <w:r>
        <w:t>,</w:t>
      </w:r>
      <w:r w:rsidRPr="003970B3">
        <w:t xml:space="preserve"> even though they seem to </w:t>
      </w:r>
      <w:r>
        <w:t>be in</w:t>
      </w:r>
      <w:r w:rsidRPr="003970B3">
        <w:t xml:space="preserve"> contact </w:t>
      </w:r>
      <w:r>
        <w:t xml:space="preserve">with her, </w:t>
      </w:r>
      <w:r w:rsidRPr="003970B3">
        <w:t xml:space="preserve">with the ultimate aim of reuniting with the </w:t>
      </w:r>
      <w:r>
        <w:t xml:space="preserve">author </w:t>
      </w:r>
      <w:r w:rsidRPr="003970B3">
        <w:t>in Sweden.</w:t>
      </w:r>
    </w:p>
    <w:p w14:paraId="45EC5781" w14:textId="77777777" w:rsidR="00550B78" w:rsidRDefault="00550B78" w:rsidP="00550B78">
      <w:pPr>
        <w:pStyle w:val="SingleTxtG"/>
      </w:pPr>
      <w:r>
        <w:t>6.3</w:t>
      </w:r>
      <w:r>
        <w:tab/>
        <w:t>The State party repeats</w:t>
      </w:r>
      <w:r w:rsidRPr="003970B3">
        <w:t xml:space="preserve"> that Mogadishu is both a relevant and reasonable internal flight alternative for the </w:t>
      </w:r>
      <w:r>
        <w:t>author,</w:t>
      </w:r>
      <w:r w:rsidRPr="003970B3">
        <w:t xml:space="preserve"> where she has been deemed to have relevant support networks consisting of clan support. </w:t>
      </w:r>
      <w:r>
        <w:t>It</w:t>
      </w:r>
      <w:r w:rsidRPr="003970B3">
        <w:t xml:space="preserve"> </w:t>
      </w:r>
      <w:r>
        <w:t>submits</w:t>
      </w:r>
      <w:r w:rsidRPr="003970B3">
        <w:t xml:space="preserve"> that the </w:t>
      </w:r>
      <w:r>
        <w:t>author</w:t>
      </w:r>
      <w:r w:rsidRPr="003970B3">
        <w:t xml:space="preserve"> should be able to receive support from her husband and her children with whom she seems to</w:t>
      </w:r>
      <w:r>
        <w:t xml:space="preserve"> be in contact. Accordingly, by returning</w:t>
      </w:r>
      <w:r w:rsidRPr="003970B3">
        <w:t xml:space="preserve"> the </w:t>
      </w:r>
      <w:r>
        <w:t>author</w:t>
      </w:r>
      <w:r w:rsidRPr="003970B3">
        <w:t xml:space="preserve"> </w:t>
      </w:r>
      <w:r>
        <w:t>to Mogadishu, Sweden would not violate</w:t>
      </w:r>
      <w:r w:rsidRPr="003970B3">
        <w:t xml:space="preserve"> </w:t>
      </w:r>
      <w:r>
        <w:t xml:space="preserve">its </w:t>
      </w:r>
      <w:r w:rsidRPr="003970B3">
        <w:t>obligation under article 7 of the Covenant</w:t>
      </w:r>
      <w:r>
        <w:t>.</w:t>
      </w:r>
    </w:p>
    <w:p w14:paraId="16E5BD1E" w14:textId="77777777" w:rsidR="00550B78" w:rsidRPr="00F31E84" w:rsidRDefault="00550B78" w:rsidP="00550B78">
      <w:pPr>
        <w:pStyle w:val="H23G"/>
      </w:pPr>
      <w:r w:rsidRPr="007008C4">
        <w:lastRenderedPageBreak/>
        <w:tab/>
      </w:r>
      <w:r w:rsidRPr="007008C4">
        <w:tab/>
      </w:r>
      <w:r w:rsidRPr="00F31E84">
        <w:t>Issues and proceedings before the Committee</w:t>
      </w:r>
    </w:p>
    <w:p w14:paraId="0694E5CB" w14:textId="77777777" w:rsidR="00550B78" w:rsidRPr="00F31E84" w:rsidRDefault="00550B78" w:rsidP="00550B78">
      <w:pPr>
        <w:pStyle w:val="H4G"/>
      </w:pPr>
      <w:r w:rsidRPr="00F31E84">
        <w:tab/>
      </w:r>
      <w:r w:rsidRPr="00F31E84">
        <w:tab/>
        <w:t>Consideration of admissibility</w:t>
      </w:r>
    </w:p>
    <w:p w14:paraId="19405193" w14:textId="77777777" w:rsidR="00550B78" w:rsidRPr="00F31E84" w:rsidRDefault="00550B78" w:rsidP="00550B78">
      <w:pPr>
        <w:pStyle w:val="SingleTxtG"/>
      </w:pPr>
      <w:r w:rsidRPr="00F31E84">
        <w:t>7.1</w:t>
      </w:r>
      <w:r w:rsidRPr="00F31E84">
        <w:tab/>
        <w:t>Before considering any claim contained in a communication, the Committee must decide, in accordance with rule 97 of its rules of procedure, whether the communication is admissible under the Optional Protocol.</w:t>
      </w:r>
    </w:p>
    <w:p w14:paraId="53862A0D" w14:textId="77777777" w:rsidR="00550B78" w:rsidRPr="008D15E5" w:rsidRDefault="00550B78" w:rsidP="00550B78">
      <w:pPr>
        <w:pStyle w:val="SingleTxtG"/>
      </w:pPr>
      <w:r w:rsidRPr="00F31E84">
        <w:t>7.2</w:t>
      </w:r>
      <w:r w:rsidRPr="00F31E84">
        <w:tab/>
        <w:t>The Committee has ascertained, as required under article 5 (2) (a) of the Optional Protocol, that the same matter is not being examined under another procedure of international investigation or settlement.</w:t>
      </w:r>
    </w:p>
    <w:p w14:paraId="5D0810A9" w14:textId="21FA33E6" w:rsidR="00550B78" w:rsidRPr="008D15E5" w:rsidRDefault="00550B78" w:rsidP="00550B78">
      <w:pPr>
        <w:pStyle w:val="SingleTxtG"/>
      </w:pPr>
      <w:r w:rsidRPr="008D15E5">
        <w:t>7.3</w:t>
      </w:r>
      <w:r w:rsidRPr="008D15E5">
        <w:tab/>
        <w:t>The Committee notes the author</w:t>
      </w:r>
      <w:r w:rsidR="00072615">
        <w:t>’</w:t>
      </w:r>
      <w:r w:rsidRPr="008D15E5">
        <w:t xml:space="preserve">s claim that she has exhausted all the effective domestic remedies available to her. In the absence of any objection </w:t>
      </w:r>
      <w:r>
        <w:t>from</w:t>
      </w:r>
      <w:r w:rsidRPr="008D15E5">
        <w:t xml:space="preserve"> the State party in this connection, the Committee considers that the requirements of article 5 (2) (b) of the Optional Protocol have been met.</w:t>
      </w:r>
    </w:p>
    <w:p w14:paraId="1973F85E" w14:textId="21FC8143" w:rsidR="00550B78" w:rsidRDefault="00550B78" w:rsidP="00550B78">
      <w:pPr>
        <w:pStyle w:val="SingleTxtG"/>
        <w:rPr>
          <w:lang w:val="en-US"/>
        </w:rPr>
      </w:pPr>
      <w:r w:rsidRPr="008D15E5">
        <w:t>7.4</w:t>
      </w:r>
      <w:r w:rsidRPr="008D15E5">
        <w:tab/>
        <w:t>The Committee note</w:t>
      </w:r>
      <w:r>
        <w:t>s</w:t>
      </w:r>
      <w:r w:rsidRPr="008D15E5">
        <w:t xml:space="preserve"> the author</w:t>
      </w:r>
      <w:r w:rsidR="00072615">
        <w:t>’</w:t>
      </w:r>
      <w:r w:rsidRPr="008D15E5">
        <w:t>s claim that</w:t>
      </w:r>
      <w:r>
        <w:t xml:space="preserve"> she would face torture or cruel, inhuman, or degrading treatment or punishment by Al-Shabaab if returned to Somalia, owing to her husband</w:t>
      </w:r>
      <w:r w:rsidR="00072615">
        <w:t>’</w:t>
      </w:r>
      <w:r>
        <w:t xml:space="preserve">s previous work for a </w:t>
      </w:r>
      <w:r w:rsidRPr="00BD2A9E">
        <w:t>humanitarian</w:t>
      </w:r>
      <w:r w:rsidRPr="008D0211">
        <w:t xml:space="preserve"> organization</w:t>
      </w:r>
      <w:r w:rsidRPr="008D15E5">
        <w:t xml:space="preserve">. </w:t>
      </w:r>
      <w:r>
        <w:t>She submits that she was threatened, abducted and detained by Al-Shabaab, resulting in her departure from Somalia</w:t>
      </w:r>
      <w:r w:rsidRPr="008D15E5">
        <w:rPr>
          <w:lang w:val="en-US"/>
        </w:rPr>
        <w:t>.</w:t>
      </w:r>
      <w:r>
        <w:rPr>
          <w:lang w:val="en-US"/>
        </w:rPr>
        <w:t xml:space="preserve"> The Committee also takes note of her claim that she has no male network in Somalia, which would further expose her to a risk of being subjected to treatment contrary to article 7 of the Covenant in case of return to her country of origin.</w:t>
      </w:r>
    </w:p>
    <w:p w14:paraId="110BE0E1" w14:textId="654E1770" w:rsidR="00550B78" w:rsidRDefault="00550B78" w:rsidP="00550B78">
      <w:pPr>
        <w:pStyle w:val="SingleTxtG"/>
        <w:rPr>
          <w:lang w:val="en-US"/>
        </w:rPr>
      </w:pPr>
      <w:r>
        <w:rPr>
          <w:lang w:val="en-US"/>
        </w:rPr>
        <w:t>7.5</w:t>
      </w:r>
      <w:r>
        <w:rPr>
          <w:lang w:val="en-US"/>
        </w:rPr>
        <w:tab/>
        <w:t xml:space="preserve">The Committee observes that the Swedish Migration Agency considered </w:t>
      </w:r>
      <w:r>
        <w:t>the author</w:t>
      </w:r>
      <w:r w:rsidR="00072615">
        <w:t>’</w:t>
      </w:r>
      <w:r>
        <w:t>s accounts of the events that had allegedly taken place in Somalia to be vague, lacking in detail and contradictory. In particular, the Migration Agency pointed out that the author was unable to account for the circumstances of her detention and escape from Al-Shabaab.</w:t>
      </w:r>
      <w:r w:rsidRPr="002340B4">
        <w:rPr>
          <w:lang w:val="en-US"/>
        </w:rPr>
        <w:t xml:space="preserve"> The</w:t>
      </w:r>
      <w:r>
        <w:rPr>
          <w:lang w:val="en-US"/>
        </w:rPr>
        <w:t xml:space="preserve"> Agency did not therefore accept that she had been abducted by Al-Shabaab on the basis of her husband</w:t>
      </w:r>
      <w:r w:rsidR="00072615">
        <w:rPr>
          <w:lang w:val="en-US"/>
        </w:rPr>
        <w:t>’</w:t>
      </w:r>
      <w:r>
        <w:rPr>
          <w:lang w:val="en-US"/>
        </w:rPr>
        <w:t xml:space="preserve">s work for the </w:t>
      </w:r>
      <w:r w:rsidRPr="00BD2A9E">
        <w:t xml:space="preserve">humanitarian </w:t>
      </w:r>
      <w:r w:rsidRPr="008D0211">
        <w:t>organization</w:t>
      </w:r>
      <w:r>
        <w:rPr>
          <w:lang w:val="en-US"/>
        </w:rPr>
        <w:t>. The</w:t>
      </w:r>
      <w:r w:rsidRPr="002340B4">
        <w:rPr>
          <w:lang w:val="en-US"/>
        </w:rPr>
        <w:t xml:space="preserve"> Committee observes that</w:t>
      </w:r>
      <w:r>
        <w:rPr>
          <w:lang w:val="en-US"/>
        </w:rPr>
        <w:t>,</w:t>
      </w:r>
      <w:r w:rsidRPr="002340B4">
        <w:rPr>
          <w:lang w:val="en-US"/>
        </w:rPr>
        <w:t xml:space="preserve"> </w:t>
      </w:r>
      <w:r>
        <w:rPr>
          <w:lang w:val="en-US"/>
        </w:rPr>
        <w:t>notwithstanding</w:t>
      </w:r>
      <w:r w:rsidRPr="002340B4">
        <w:rPr>
          <w:lang w:val="en-US"/>
        </w:rPr>
        <w:t xml:space="preserve"> </w:t>
      </w:r>
      <w:r>
        <w:rPr>
          <w:lang w:val="en-US"/>
        </w:rPr>
        <w:t>its</w:t>
      </w:r>
      <w:r w:rsidRPr="002340B4">
        <w:rPr>
          <w:lang w:val="en-US"/>
        </w:rPr>
        <w:t xml:space="preserve"> negative credibility findings, </w:t>
      </w:r>
      <w:r>
        <w:rPr>
          <w:lang w:val="en-US"/>
        </w:rPr>
        <w:t>the Agency</w:t>
      </w:r>
      <w:r w:rsidRPr="002340B4">
        <w:rPr>
          <w:lang w:val="en-US"/>
        </w:rPr>
        <w:t xml:space="preserve"> continued to assess whether an internal flight alternative might be relevant and plausible for the author. </w:t>
      </w:r>
      <w:r>
        <w:rPr>
          <w:lang w:val="en-US"/>
        </w:rPr>
        <w:t>In that regard, the Committee notes that the Agency examined the security circumstances in two places of the author</w:t>
      </w:r>
      <w:r w:rsidR="00072615">
        <w:rPr>
          <w:lang w:val="en-US"/>
        </w:rPr>
        <w:t>’</w:t>
      </w:r>
      <w:r>
        <w:rPr>
          <w:lang w:val="en-US"/>
        </w:rPr>
        <w:t>s habitual residences, Mogadishu and Masagaway, and identified Mogadishu as an internal flight alternative for her. The Agency also took into account the fact that the clans of her parents and her husband are represented in Mogadishu. The Agency noted that the author had an uncle in Mogadishu, who had actively supported her, including by paying for her medical treatment and selling her mother</w:t>
      </w:r>
      <w:r w:rsidR="00072615">
        <w:rPr>
          <w:lang w:val="en-US"/>
        </w:rPr>
        <w:t>’</w:t>
      </w:r>
      <w:r>
        <w:rPr>
          <w:lang w:val="en-US"/>
        </w:rPr>
        <w:t>s house to fund her departure from Somalia, and that her allegations that she does not have any male network in Somalia were therefore not substantiated. Furthermore, the Committee notes that in her additional observations submitted to it, the author has not provided any new information regarding her uncle. In addition, the Committee notes the State party</w:t>
      </w:r>
      <w:r w:rsidR="00072615">
        <w:rPr>
          <w:lang w:val="en-US"/>
        </w:rPr>
        <w:t>’</w:t>
      </w:r>
      <w:r>
        <w:rPr>
          <w:lang w:val="en-US"/>
        </w:rPr>
        <w:t>s contention that, during the domestic asylum proceedings, the author did not raise the claim that her uncle</w:t>
      </w:r>
      <w:r w:rsidR="00072615">
        <w:rPr>
          <w:lang w:val="en-US"/>
        </w:rPr>
        <w:t>’</w:t>
      </w:r>
      <w:r>
        <w:rPr>
          <w:lang w:val="en-US"/>
        </w:rPr>
        <w:t>s son was a member of Al-Shabaab and had requested his father to reveal her whereabouts, and that this situation would prevent her from returning to her uncle in Mogadishu. The Committee also notes the State party</w:t>
      </w:r>
      <w:r w:rsidR="00072615">
        <w:rPr>
          <w:lang w:val="en-US"/>
        </w:rPr>
        <w:t>’</w:t>
      </w:r>
      <w:r>
        <w:rPr>
          <w:lang w:val="en-US"/>
        </w:rPr>
        <w:t>s contention that the author has not provided any explanations as to her failure to raise this central claim during the domestic proceedings, thereby undermining her credibility. In this regard, the Committee notes that the author has not substantiated her claim that her uncle may no longer be alive. In view of the above, the Committee considers that the information available demonstrates that the authorities of the State party have carried out a thorough assessment of the author</w:t>
      </w:r>
      <w:r w:rsidR="00072615">
        <w:rPr>
          <w:lang w:val="en-US"/>
        </w:rPr>
        <w:t>’</w:t>
      </w:r>
      <w:r>
        <w:rPr>
          <w:lang w:val="en-US"/>
        </w:rPr>
        <w:t>s asylum application. The information before it does not enable the Committee to conclude that the author would be at serious risk of a violation of her rights under article 7 of the Covenant in case of return.</w:t>
      </w:r>
    </w:p>
    <w:p w14:paraId="0FBECA18" w14:textId="3A8B988B" w:rsidR="00550B78" w:rsidRDefault="00550B78" w:rsidP="00550B78">
      <w:pPr>
        <w:pStyle w:val="SingleTxtG"/>
        <w:rPr>
          <w:lang w:val="en-US"/>
        </w:rPr>
      </w:pPr>
      <w:r>
        <w:rPr>
          <w:lang w:val="en-US"/>
        </w:rPr>
        <w:t>7.6</w:t>
      </w:r>
      <w:r>
        <w:rPr>
          <w:lang w:val="en-US"/>
        </w:rPr>
        <w:tab/>
      </w:r>
      <w:r>
        <w:t>T</w:t>
      </w:r>
      <w:r w:rsidRPr="004325C5">
        <w:t xml:space="preserve">he Committee </w:t>
      </w:r>
      <w:r w:rsidRPr="00320D85">
        <w:t>considers</w:t>
      </w:r>
      <w:r>
        <w:t xml:space="preserve"> that, while the author</w:t>
      </w:r>
      <w:r w:rsidRPr="004325C5">
        <w:t xml:space="preserve"> disagree</w:t>
      </w:r>
      <w:r>
        <w:t>s</w:t>
      </w:r>
      <w:r w:rsidRPr="004325C5">
        <w:t xml:space="preserve"> with the factual conclusions of the State party</w:t>
      </w:r>
      <w:r w:rsidR="00072615">
        <w:t>’</w:t>
      </w:r>
      <w:r w:rsidRPr="004325C5">
        <w:t xml:space="preserve">s authorities, the information </w:t>
      </w:r>
      <w:r>
        <w:t>available</w:t>
      </w:r>
      <w:r w:rsidRPr="004325C5">
        <w:t xml:space="preserve"> does not indicate that those findings are manifestly unreasonable.</w:t>
      </w:r>
      <w:r w:rsidRPr="00072615">
        <w:rPr>
          <w:rStyle w:val="FootnoteReference"/>
        </w:rPr>
        <w:footnoteReference w:id="10"/>
      </w:r>
      <w:r w:rsidRPr="00072615">
        <w:rPr>
          <w:rStyle w:val="FootnoteReference"/>
          <w:vertAlign w:val="baseline"/>
        </w:rPr>
        <w:t xml:space="preserve"> </w:t>
      </w:r>
      <w:r>
        <w:t xml:space="preserve">It also </w:t>
      </w:r>
      <w:r w:rsidRPr="004325C5">
        <w:t>considers that the author</w:t>
      </w:r>
      <w:r>
        <w:t xml:space="preserve"> has</w:t>
      </w:r>
      <w:r w:rsidRPr="004325C5">
        <w:t xml:space="preserve"> not establis</w:t>
      </w:r>
      <w:r>
        <w:t>hed a sufficient basis for her</w:t>
      </w:r>
      <w:r w:rsidRPr="004325C5">
        <w:t xml:space="preserve"> cl</w:t>
      </w:r>
      <w:r>
        <w:t>aim that the evaluation of her</w:t>
      </w:r>
      <w:r w:rsidRPr="004325C5">
        <w:t xml:space="preserve"> asylum application by the</w:t>
      </w:r>
      <w:r>
        <w:t xml:space="preserve"> Swedish</w:t>
      </w:r>
      <w:r w:rsidRPr="004325C5">
        <w:t xml:space="preserve"> authorities was clearly arbitrary or amounted to a </w:t>
      </w:r>
      <w:r>
        <w:t xml:space="preserve">manifest error or </w:t>
      </w:r>
      <w:r w:rsidRPr="004325C5">
        <w:t>denial of justice.</w:t>
      </w:r>
      <w:r w:rsidRPr="00072615">
        <w:rPr>
          <w:rStyle w:val="FootnoteReference"/>
        </w:rPr>
        <w:footnoteReference w:id="11"/>
      </w:r>
      <w:r w:rsidRPr="00072615">
        <w:rPr>
          <w:rStyle w:val="FootnoteReference"/>
        </w:rPr>
        <w:t xml:space="preserve"> </w:t>
      </w:r>
    </w:p>
    <w:p w14:paraId="255BB098" w14:textId="0C76BDF0" w:rsidR="00550B78" w:rsidRDefault="00550B78" w:rsidP="00550B78">
      <w:pPr>
        <w:pStyle w:val="SingleTxtG"/>
      </w:pPr>
      <w:r>
        <w:lastRenderedPageBreak/>
        <w:t>7.7</w:t>
      </w:r>
      <w:r>
        <w:tab/>
      </w:r>
      <w:r w:rsidRPr="00496E90">
        <w:t>The Committee recalls that the obligation not to remove an individual contrary to a State party</w:t>
      </w:r>
      <w:r w:rsidR="00072615">
        <w:t>’</w:t>
      </w:r>
      <w:r w:rsidRPr="00496E90">
        <w:t>s obligations under the Covenant applies at the time of removal and that, in cases of imminent deportation, the material point in time for assessing this issue must be that of its own consideration of the case.</w:t>
      </w:r>
      <w:r w:rsidRPr="00072615">
        <w:rPr>
          <w:rStyle w:val="FootnoteReference"/>
        </w:rPr>
        <w:footnoteReference w:id="12"/>
      </w:r>
      <w:r w:rsidRPr="00072615">
        <w:rPr>
          <w:rStyle w:val="FootnoteReference"/>
          <w:vertAlign w:val="baseline"/>
        </w:rPr>
        <w:t xml:space="preserve"> </w:t>
      </w:r>
      <w:r w:rsidRPr="00496E90">
        <w:t>Accordingly, in the context of the communications procedure under the Optional Protocol, in assessing the facts submitted by the parties</w:t>
      </w:r>
      <w:r w:rsidRPr="00496E90" w:rsidDel="00A656E4">
        <w:t xml:space="preserve"> </w:t>
      </w:r>
      <w:r w:rsidRPr="00496E90">
        <w:t>for consideration, the Committee must also take into account new developments that may have an impact on the risks that an author</w:t>
      </w:r>
      <w:r>
        <w:t xml:space="preserve"> who is </w:t>
      </w:r>
      <w:r w:rsidRPr="00496E90">
        <w:t xml:space="preserve">subject to removal may face. </w:t>
      </w:r>
      <w:r w:rsidRPr="00F64567">
        <w:t xml:space="preserve">In the present case, the information in the public domain has </w:t>
      </w:r>
      <w:r>
        <w:t>indicated the prevalence of human rights violations</w:t>
      </w:r>
      <w:r w:rsidRPr="007277E6">
        <w:t xml:space="preserve"> </w:t>
      </w:r>
      <w:r w:rsidRPr="00F64567">
        <w:t xml:space="preserve">in </w:t>
      </w:r>
      <w:r w:rsidRPr="007277E6">
        <w:t>Somalia.</w:t>
      </w:r>
      <w:r w:rsidRPr="00072615">
        <w:rPr>
          <w:rStyle w:val="FootnoteReference"/>
        </w:rPr>
        <w:footnoteReference w:id="13"/>
      </w:r>
      <w:r w:rsidRPr="00072615">
        <w:rPr>
          <w:rStyle w:val="FootnoteReference"/>
          <w:vertAlign w:val="baseline"/>
        </w:rPr>
        <w:t xml:space="preserve"> </w:t>
      </w:r>
      <w:r w:rsidRPr="00F64567">
        <w:t>However, on the basis of the information in the case file, the Committee is not in a position to assess the extent to which the current situation in her country of origin may impact the author</w:t>
      </w:r>
      <w:r w:rsidR="00072615">
        <w:t>’</w:t>
      </w:r>
      <w:r w:rsidRPr="00F64567">
        <w:t>s personal risk</w:t>
      </w:r>
      <w:r w:rsidRPr="00496E90">
        <w:t xml:space="preserve">. In this context, the Committee recalls that it remains the responsibility of the State party to continuously assess the risk that any individual would face in case of return to another country before the State takes any final action regarding his or her deportation or removal. </w:t>
      </w:r>
    </w:p>
    <w:p w14:paraId="499281B2" w14:textId="63339CB4" w:rsidR="00550B78" w:rsidRDefault="00550B78" w:rsidP="00550B78">
      <w:pPr>
        <w:pStyle w:val="SingleTxtG"/>
      </w:pPr>
      <w:r>
        <w:rPr>
          <w:lang w:val="en-US"/>
        </w:rPr>
        <w:t>7.8</w:t>
      </w:r>
      <w:r>
        <w:rPr>
          <w:lang w:val="en-US"/>
        </w:rPr>
        <w:tab/>
        <w:t xml:space="preserve">Therefore, </w:t>
      </w:r>
      <w:r w:rsidRPr="00474BB4">
        <w:t>without prejudice to the continuing responsibility of the State party to take into account the present situation of the country to which the author would be deported</w:t>
      </w:r>
      <w:r w:rsidRPr="002340B4">
        <w:rPr>
          <w:lang w:val="en-US"/>
        </w:rPr>
        <w:t xml:space="preserve">, </w:t>
      </w:r>
      <w:r>
        <w:t xml:space="preserve">the Committee considers that, </w:t>
      </w:r>
      <w:r w:rsidRPr="003D7615">
        <w:t>in the light of the available information regarding the author</w:t>
      </w:r>
      <w:r w:rsidR="00072615">
        <w:t>’</w:t>
      </w:r>
      <w:r w:rsidRPr="003D7615">
        <w:t>s personal circumstances,</w:t>
      </w:r>
      <w:r w:rsidRPr="004325C5">
        <w:t xml:space="preserve"> the author</w:t>
      </w:r>
      <w:r w:rsidR="00072615">
        <w:t>’</w:t>
      </w:r>
      <w:r>
        <w:t xml:space="preserve">s </w:t>
      </w:r>
      <w:r w:rsidRPr="004325C5">
        <w:t>claims under article 7 of the Covenant are insufficiently substantiated and are therefore inadmissible under article 2 of the Optional Protocol.</w:t>
      </w:r>
      <w:r w:rsidRPr="00B63471">
        <w:t xml:space="preserve"> </w:t>
      </w:r>
    </w:p>
    <w:p w14:paraId="148678A3" w14:textId="77777777" w:rsidR="00550B78" w:rsidRPr="003C08BE" w:rsidRDefault="00550B78" w:rsidP="00550B78">
      <w:pPr>
        <w:pStyle w:val="SingleTxtG"/>
      </w:pPr>
      <w:r>
        <w:t>8.</w:t>
      </w:r>
      <w:r>
        <w:tab/>
      </w:r>
      <w:r w:rsidRPr="003C08BE">
        <w:t>The Committee therefore decides:</w:t>
      </w:r>
    </w:p>
    <w:p w14:paraId="05CEB912" w14:textId="747694AB" w:rsidR="00550B78" w:rsidRPr="003C08BE" w:rsidRDefault="00550B78" w:rsidP="00550B78">
      <w:pPr>
        <w:pStyle w:val="SingleTxtG"/>
      </w:pPr>
      <w:r w:rsidRPr="003C08BE">
        <w:tab/>
        <w:t>(a)</w:t>
      </w:r>
      <w:r w:rsidRPr="003C08BE">
        <w:tab/>
        <w:t>That the communication is inadmissible under article 2 of the Optional Protocol;</w:t>
      </w:r>
    </w:p>
    <w:p w14:paraId="669E8F53" w14:textId="7DBAE598" w:rsidR="00550B78" w:rsidRDefault="00550B78" w:rsidP="00550B78">
      <w:pPr>
        <w:pStyle w:val="SingleTxtG"/>
      </w:pPr>
      <w:r w:rsidRPr="003C08BE">
        <w:tab/>
        <w:t>(b)</w:t>
      </w:r>
      <w:r w:rsidRPr="003C08BE">
        <w:tab/>
        <w:t xml:space="preserve">That the </w:t>
      </w:r>
      <w:r>
        <w:t xml:space="preserve">present </w:t>
      </w:r>
      <w:r w:rsidRPr="003C08BE">
        <w:t xml:space="preserve">decision shall be </w:t>
      </w:r>
      <w:r>
        <w:t>transmitted</w:t>
      </w:r>
      <w:r w:rsidRPr="003C08BE">
        <w:t xml:space="preserve"> to the State party and to the author.</w:t>
      </w:r>
    </w:p>
    <w:p w14:paraId="0114260B" w14:textId="3344883A" w:rsidR="00A23459" w:rsidRPr="00A23459" w:rsidRDefault="00550B78" w:rsidP="00550B78">
      <w:pPr>
        <w:pStyle w:val="SingleTxtG"/>
        <w:suppressAutoHyphens/>
        <w:spacing w:before="240" w:after="0"/>
        <w:jc w:val="center"/>
        <w:rPr>
          <w:rFonts w:eastAsiaTheme="minorEastAsia"/>
        </w:rPr>
      </w:pPr>
      <w:r>
        <w:rPr>
          <w:u w:val="single"/>
        </w:rPr>
        <w:tab/>
      </w:r>
      <w:r>
        <w:rPr>
          <w:u w:val="single"/>
        </w:rPr>
        <w:tab/>
      </w:r>
      <w:r>
        <w:rPr>
          <w:u w:val="single"/>
        </w:rPr>
        <w:tab/>
      </w:r>
    </w:p>
    <w:sectPr w:rsidR="00A23459" w:rsidRPr="00A2345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9BED" w14:textId="77777777" w:rsidR="00AC7744" w:rsidRPr="00B903E5" w:rsidRDefault="00AC7744" w:rsidP="00B903E5">
      <w:pPr>
        <w:pStyle w:val="Footer"/>
      </w:pPr>
    </w:p>
  </w:endnote>
  <w:endnote w:type="continuationSeparator" w:id="0">
    <w:p w14:paraId="4997C457" w14:textId="77777777" w:rsidR="00AC7744" w:rsidRPr="00B903E5" w:rsidRDefault="00AC774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13AF" w14:textId="2E75D166" w:rsidR="00550B78" w:rsidRDefault="00550B78" w:rsidP="00550B78">
    <w:pPr>
      <w:pStyle w:val="Footer"/>
      <w:tabs>
        <w:tab w:val="right" w:pos="9638"/>
      </w:tabs>
    </w:pPr>
    <w:r w:rsidRPr="00550B78">
      <w:rPr>
        <w:b/>
        <w:bCs/>
        <w:sz w:val="18"/>
      </w:rPr>
      <w:fldChar w:fldCharType="begin"/>
    </w:r>
    <w:r w:rsidRPr="00550B78">
      <w:rPr>
        <w:b/>
        <w:bCs/>
        <w:sz w:val="18"/>
      </w:rPr>
      <w:instrText xml:space="preserve"> PAGE  \* MERGEFORMAT </w:instrText>
    </w:r>
    <w:r w:rsidRPr="00550B78">
      <w:rPr>
        <w:b/>
        <w:bCs/>
        <w:sz w:val="18"/>
      </w:rPr>
      <w:fldChar w:fldCharType="separate"/>
    </w:r>
    <w:r w:rsidR="008D0726">
      <w:rPr>
        <w:b/>
        <w:bCs/>
        <w:noProof/>
        <w:sz w:val="18"/>
      </w:rPr>
      <w:t>2</w:t>
    </w:r>
    <w:r w:rsidRPr="00550B7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C03A" w14:textId="164F227B" w:rsidR="00550B78" w:rsidRDefault="00550B78" w:rsidP="00550B78">
    <w:pPr>
      <w:pStyle w:val="Footer"/>
      <w:tabs>
        <w:tab w:val="right" w:pos="9638"/>
      </w:tabs>
    </w:pPr>
    <w:r>
      <w:tab/>
    </w:r>
    <w:r w:rsidRPr="00550B78">
      <w:rPr>
        <w:b/>
        <w:bCs/>
        <w:sz w:val="18"/>
      </w:rPr>
      <w:fldChar w:fldCharType="begin"/>
    </w:r>
    <w:r w:rsidRPr="00550B78">
      <w:rPr>
        <w:b/>
        <w:bCs/>
        <w:sz w:val="18"/>
      </w:rPr>
      <w:instrText xml:space="preserve"> PAGE  \* MERGEFORMAT </w:instrText>
    </w:r>
    <w:r w:rsidRPr="00550B78">
      <w:rPr>
        <w:b/>
        <w:bCs/>
        <w:sz w:val="18"/>
      </w:rPr>
      <w:fldChar w:fldCharType="separate"/>
    </w:r>
    <w:r w:rsidR="008D0726">
      <w:rPr>
        <w:b/>
        <w:bCs/>
        <w:noProof/>
        <w:sz w:val="18"/>
      </w:rPr>
      <w:t>3</w:t>
    </w:r>
    <w:r w:rsidRPr="00550B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0DD3" w14:textId="731DBE99" w:rsidR="001724C2" w:rsidRDefault="001724C2" w:rsidP="001724C2">
    <w:pPr>
      <w:pStyle w:val="Footer"/>
    </w:pPr>
    <w:r>
      <w:rPr>
        <w:noProof/>
      </w:rPr>
      <w:drawing>
        <wp:anchor distT="0" distB="0" distL="114300" distR="114300" simplePos="0" relativeHeight="251659264" behindDoc="1" locked="1" layoutInCell="1" allowOverlap="1" wp14:anchorId="4362434A" wp14:editId="2BBC553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25E672" w14:textId="34F392BF" w:rsidR="001724C2" w:rsidRDefault="001724C2" w:rsidP="001724C2">
    <w:pPr>
      <w:pStyle w:val="Footer"/>
      <w:ind w:right="1134"/>
      <w:rPr>
        <w:sz w:val="20"/>
      </w:rPr>
    </w:pPr>
    <w:r>
      <w:rPr>
        <w:sz w:val="20"/>
      </w:rPr>
      <w:t>GE.20-07995(E)</w:t>
    </w:r>
  </w:p>
  <w:p w14:paraId="7F516EFE" w14:textId="364062C9" w:rsidR="001724C2" w:rsidRPr="001724C2" w:rsidRDefault="001724C2" w:rsidP="001724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608E2DB" wp14:editId="6CFBCC7A">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DB92" w14:textId="77777777" w:rsidR="00AC7744" w:rsidRPr="00B903E5" w:rsidRDefault="00AC7744" w:rsidP="00B903E5">
      <w:pPr>
        <w:tabs>
          <w:tab w:val="right" w:pos="2155"/>
        </w:tabs>
        <w:spacing w:after="80"/>
        <w:ind w:left="680"/>
      </w:pPr>
      <w:r>
        <w:rPr>
          <w:u w:val="single"/>
        </w:rPr>
        <w:tab/>
      </w:r>
    </w:p>
  </w:footnote>
  <w:footnote w:type="continuationSeparator" w:id="0">
    <w:p w14:paraId="637CF594" w14:textId="77777777" w:rsidR="00AC7744" w:rsidRPr="00B903E5" w:rsidRDefault="00AC7744" w:rsidP="00B903E5">
      <w:pPr>
        <w:tabs>
          <w:tab w:val="right" w:pos="2155"/>
        </w:tabs>
        <w:spacing w:after="80"/>
        <w:ind w:left="680"/>
      </w:pPr>
      <w:r>
        <w:rPr>
          <w:u w:val="single"/>
        </w:rPr>
        <w:tab/>
      </w:r>
    </w:p>
  </w:footnote>
  <w:footnote w:id="1">
    <w:p w14:paraId="09E1B013" w14:textId="77777777" w:rsidR="00550B78" w:rsidRPr="000258C3" w:rsidRDefault="00550B78" w:rsidP="00550B78">
      <w:pPr>
        <w:pStyle w:val="FootnoteText"/>
      </w:pPr>
      <w:r w:rsidRPr="000258C3">
        <w:tab/>
      </w:r>
      <w:r w:rsidRPr="000258C3">
        <w:rPr>
          <w:sz w:val="20"/>
        </w:rPr>
        <w:t>*</w:t>
      </w:r>
      <w:r w:rsidRPr="000258C3">
        <w:rPr>
          <w:sz w:val="20"/>
        </w:rPr>
        <w:tab/>
      </w:r>
      <w:r w:rsidRPr="000258C3">
        <w:t>Adopted by the Committee at its 128th session (2–27 March 2020).</w:t>
      </w:r>
    </w:p>
  </w:footnote>
  <w:footnote w:id="2">
    <w:p w14:paraId="322C831F" w14:textId="77777777" w:rsidR="00550B78" w:rsidRPr="000258C3" w:rsidRDefault="00550B78" w:rsidP="00550B78">
      <w:pPr>
        <w:pStyle w:val="FootnoteText"/>
      </w:pPr>
      <w:r w:rsidRPr="000258C3">
        <w:tab/>
      </w:r>
      <w:r w:rsidRPr="000258C3">
        <w:rPr>
          <w:sz w:val="20"/>
        </w:rPr>
        <w:t>**</w:t>
      </w:r>
      <w:r w:rsidRPr="000258C3">
        <w:rPr>
          <w:sz w:val="20"/>
        </w:rPr>
        <w:tab/>
      </w:r>
      <w:bookmarkStart w:id="0" w:name="OLE_LINK1"/>
      <w:bookmarkStart w:id="1" w:name="OLE_LINK2"/>
      <w:r w:rsidRPr="000258C3">
        <w:rPr>
          <w:spacing w:val="-1"/>
          <w:szCs w:val="18"/>
        </w:rPr>
        <w:t xml:space="preserve">The following members of the Committee participated in the examination of the communication: </w:t>
      </w:r>
      <w:bookmarkEnd w:id="0"/>
      <w:bookmarkEnd w:id="1"/>
      <w:r w:rsidRPr="000258C3">
        <w:rPr>
          <w:spacing w:val="-1"/>
          <w:szCs w:val="18"/>
        </w:rPr>
        <w:t xml:space="preserve">Yadh Ben Achour, Arif Bulkan, Ahmed Amin Fathalla, Christof Heyns, Bamariam Koita, Marcia V.J. Kran, Duncan Laki Muhumuza, Photini Pazartzis, Vasilka Sancin, </w:t>
      </w:r>
      <w:r w:rsidRPr="000258C3">
        <w:rPr>
          <w:spacing w:val="-1"/>
        </w:rPr>
        <w:t xml:space="preserve">José Manuel Santos Pais, </w:t>
      </w:r>
      <w:r w:rsidRPr="000258C3">
        <w:t xml:space="preserve">Yuval Shany, Hélène Tigroudja </w:t>
      </w:r>
      <w:r w:rsidRPr="000258C3">
        <w:rPr>
          <w:spacing w:val="-1"/>
          <w:szCs w:val="18"/>
        </w:rPr>
        <w:t>and Gentian Zyberi</w:t>
      </w:r>
      <w:r w:rsidRPr="000258C3">
        <w:rPr>
          <w:spacing w:val="-1"/>
        </w:rPr>
        <w:t>.</w:t>
      </w:r>
    </w:p>
  </w:footnote>
  <w:footnote w:id="3">
    <w:p w14:paraId="70AF1B45" w14:textId="6C2D6CE3"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In this regard, the State party recalls the Committee</w:t>
      </w:r>
      <w:r w:rsidR="00072615">
        <w:t>’</w:t>
      </w:r>
      <w:r w:rsidRPr="000258C3">
        <w:t>s jurisprudence that State</w:t>
      </w:r>
      <w:r w:rsidR="00225E73">
        <w:t>s</w:t>
      </w:r>
      <w:r w:rsidRPr="000258C3">
        <w:t xml:space="preserve"> parties must not expose individuals to the danger of torture or cruel, inhuman or degrading treatment or punishment upon return to another country by way of their extradition, expulsion or refoulement, as it indicated in its general comment No. 20 (1992) on the prohibition of torture or other cruel, inhuman or degrading treatment or punishment, para. 9; </w:t>
      </w:r>
      <w:r w:rsidRPr="000258C3">
        <w:rPr>
          <w:i/>
        </w:rPr>
        <w:t>A.C. v. Netherlands</w:t>
      </w:r>
      <w:r w:rsidRPr="000258C3">
        <w:t xml:space="preserve"> (CCPR/C/93/D/1494/2006), para. 8.2; and </w:t>
      </w:r>
      <w:r w:rsidRPr="000258C3">
        <w:rPr>
          <w:i/>
        </w:rPr>
        <w:t>P.K. v. Canada</w:t>
      </w:r>
      <w:r w:rsidRPr="000258C3">
        <w:t xml:space="preserve"> (CCPR/C/89/D/1234/2003), para. 7.2.</w:t>
      </w:r>
    </w:p>
  </w:footnote>
  <w:footnote w:id="4">
    <w:p w14:paraId="08B60C33"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rPr>
          <w:i/>
        </w:rPr>
        <w:t>A.R.J. v. Australia</w:t>
      </w:r>
      <w:r w:rsidRPr="000258C3">
        <w:t xml:space="preserve"> (CCPR/C/60/D/692/1996), paras. 6.6, 6.8 and 6.14. </w:t>
      </w:r>
    </w:p>
  </w:footnote>
  <w:footnote w:id="5">
    <w:p w14:paraId="4AFEA3D1"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BD2A9E">
        <w:rPr>
          <w:i/>
        </w:rPr>
        <w:t>Khan v. Canada</w:t>
      </w:r>
      <w:r w:rsidRPr="00BD2A9E">
        <w:t xml:space="preserve"> (CCPR/C/87/D/1302/2004), para. </w:t>
      </w:r>
      <w:r w:rsidRPr="000258C3">
        <w:t xml:space="preserve">5.4. </w:t>
      </w:r>
    </w:p>
  </w:footnote>
  <w:footnote w:id="6">
    <w:p w14:paraId="25DF77F9"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rPr>
          <w:i/>
        </w:rPr>
        <w:t>Nakrash and Liu v. Sweden</w:t>
      </w:r>
      <w:r w:rsidRPr="000258C3">
        <w:t xml:space="preserve"> (CCPR/C/94/D/1540/2007), paras. 7.3–7.4; and </w:t>
      </w:r>
      <w:r w:rsidRPr="000258C3">
        <w:rPr>
          <w:i/>
        </w:rPr>
        <w:t>X v. Sweden</w:t>
      </w:r>
      <w:r w:rsidRPr="000258C3">
        <w:t xml:space="preserve"> (CCPR/C/103/D/1833/2008), para. 9.2. </w:t>
      </w:r>
    </w:p>
  </w:footnote>
  <w:footnote w:id="7">
    <w:p w14:paraId="090A4648"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 xml:space="preserve">European Court of Human Rights, </w:t>
      </w:r>
      <w:r w:rsidRPr="000258C3">
        <w:rPr>
          <w:i/>
        </w:rPr>
        <w:t>Salah Sheekh v. the Netherlands</w:t>
      </w:r>
      <w:r w:rsidRPr="000258C3">
        <w:t xml:space="preserve"> (application No. 1948/04), judgment of 11 January 2007, para. 141. See also </w:t>
      </w:r>
      <w:r w:rsidRPr="000258C3">
        <w:rPr>
          <w:i/>
        </w:rPr>
        <w:t>Chahal v. the United</w:t>
      </w:r>
      <w:r w:rsidRPr="000258C3">
        <w:t xml:space="preserve"> </w:t>
      </w:r>
      <w:r w:rsidRPr="000258C3">
        <w:rPr>
          <w:i/>
        </w:rPr>
        <w:t xml:space="preserve">Kingdom </w:t>
      </w:r>
      <w:r w:rsidRPr="00BD2A9E">
        <w:rPr>
          <w:iCs/>
        </w:rPr>
        <w:t xml:space="preserve">(application No. </w:t>
      </w:r>
      <w:r w:rsidRPr="000258C3">
        <w:rPr>
          <w:iCs/>
        </w:rPr>
        <w:t>22414</w:t>
      </w:r>
      <w:r w:rsidRPr="00BD2A9E">
        <w:rPr>
          <w:iCs/>
        </w:rPr>
        <w:t>/</w:t>
      </w:r>
      <w:r w:rsidRPr="000258C3">
        <w:rPr>
          <w:iCs/>
        </w:rPr>
        <w:t>93</w:t>
      </w:r>
      <w:r w:rsidRPr="00BD2A9E">
        <w:rPr>
          <w:iCs/>
        </w:rPr>
        <w:t>)</w:t>
      </w:r>
      <w:r w:rsidRPr="000258C3">
        <w:t xml:space="preserve">, 15 November 1996, para. 98; </w:t>
      </w:r>
      <w:r w:rsidRPr="000258C3">
        <w:rPr>
          <w:i/>
        </w:rPr>
        <w:t>Sufi and Elmi v.</w:t>
      </w:r>
      <w:r w:rsidRPr="000258C3">
        <w:t xml:space="preserve"> </w:t>
      </w:r>
      <w:r w:rsidRPr="000258C3">
        <w:rPr>
          <w:i/>
        </w:rPr>
        <w:t>the</w:t>
      </w:r>
      <w:r w:rsidRPr="000258C3">
        <w:t xml:space="preserve"> </w:t>
      </w:r>
      <w:r w:rsidRPr="000258C3">
        <w:rPr>
          <w:i/>
        </w:rPr>
        <w:t>United Kingdom</w:t>
      </w:r>
      <w:r w:rsidRPr="000258C3">
        <w:t xml:space="preserve">, (application Nos. 8319/07 and 11449/07), 28 June 2011, para. 266; and </w:t>
      </w:r>
      <w:r w:rsidRPr="000258C3">
        <w:rPr>
          <w:i/>
        </w:rPr>
        <w:t>N.M.B. v. Sweden</w:t>
      </w:r>
      <w:r w:rsidRPr="000258C3">
        <w:t xml:space="preserve"> (application No. 68335/10), judgment of 27 June 2013, para. 37.</w:t>
      </w:r>
    </w:p>
  </w:footnote>
  <w:footnote w:id="8">
    <w:p w14:paraId="6A36DBD2"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 xml:space="preserve">European Court of Human Rights, </w:t>
      </w:r>
      <w:r w:rsidRPr="000258C3">
        <w:rPr>
          <w:i/>
        </w:rPr>
        <w:t>Salah Sheekh v. the Netherlands</w:t>
      </w:r>
      <w:r w:rsidRPr="000258C3">
        <w:t>, para. 141.</w:t>
      </w:r>
    </w:p>
  </w:footnote>
  <w:footnote w:id="9">
    <w:p w14:paraId="559BF2CF"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rPr>
          <w:i/>
        </w:rPr>
        <w:t>H.M.H.I. v. Australia</w:t>
      </w:r>
      <w:r w:rsidRPr="000258C3">
        <w:t xml:space="preserve"> (CAT/C/28/D/177/2001), para. 6.6; </w:t>
      </w:r>
      <w:r w:rsidRPr="000258C3">
        <w:rPr>
          <w:i/>
        </w:rPr>
        <w:t xml:space="preserve">B.S.S. v. Canada </w:t>
      </w:r>
      <w:r w:rsidRPr="000258C3">
        <w:t xml:space="preserve">(CAT/C/32/D/183/2001), para. 11.5; and </w:t>
      </w:r>
      <w:r w:rsidRPr="000258C3">
        <w:rPr>
          <w:i/>
        </w:rPr>
        <w:t>N.S. v. Canada</w:t>
      </w:r>
      <w:r w:rsidRPr="000258C3">
        <w:t xml:space="preserve"> (CAT/C/59/D/582/2014), para. 9.6.</w:t>
      </w:r>
    </w:p>
  </w:footnote>
  <w:footnote w:id="10">
    <w:p w14:paraId="5ABEE223"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rPr>
          <w:i/>
        </w:rPr>
        <w:t>R.G. et al. v. Denmark</w:t>
      </w:r>
      <w:r w:rsidRPr="000258C3">
        <w:t xml:space="preserve"> (CCPR/C/115/D/2351/2014), para. 7.7. </w:t>
      </w:r>
    </w:p>
  </w:footnote>
  <w:footnote w:id="11">
    <w:p w14:paraId="67F64AFA"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 xml:space="preserve">For example, </w:t>
      </w:r>
      <w:r w:rsidRPr="000258C3">
        <w:rPr>
          <w:i/>
        </w:rPr>
        <w:t xml:space="preserve">A v. Denmark </w:t>
      </w:r>
      <w:r w:rsidRPr="000258C3">
        <w:t xml:space="preserve">(CCPR/C/116/D/2357/2014), para. 7.4. </w:t>
      </w:r>
    </w:p>
  </w:footnote>
  <w:footnote w:id="12">
    <w:p w14:paraId="6EA75918"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 xml:space="preserve">For example, </w:t>
      </w:r>
      <w:r w:rsidRPr="000258C3">
        <w:rPr>
          <w:i/>
        </w:rPr>
        <w:t xml:space="preserve">S.Z. v. Denmark </w:t>
      </w:r>
      <w:r w:rsidRPr="00BD2A9E">
        <w:rPr>
          <w:iCs/>
        </w:rPr>
        <w:t>(CCPR/C/</w:t>
      </w:r>
      <w:r w:rsidRPr="000258C3">
        <w:t>120/D/2625/2015</w:t>
      </w:r>
      <w:r w:rsidRPr="000258C3">
        <w:rPr>
          <w:iCs/>
        </w:rPr>
        <w:t>)</w:t>
      </w:r>
      <w:r w:rsidRPr="000258C3">
        <w:t xml:space="preserve">, para. 7.9. </w:t>
      </w:r>
    </w:p>
  </w:footnote>
  <w:footnote w:id="13">
    <w:p w14:paraId="2511ECB9" w14:textId="77777777" w:rsidR="00550B78" w:rsidRPr="000258C3" w:rsidRDefault="00550B78" w:rsidP="00550B78">
      <w:pPr>
        <w:pStyle w:val="FootnoteText"/>
      </w:pPr>
      <w:r w:rsidRPr="000258C3">
        <w:tab/>
      </w:r>
      <w:r w:rsidRPr="00072615">
        <w:rPr>
          <w:rStyle w:val="FootnoteReference"/>
        </w:rPr>
        <w:footnoteRef/>
      </w:r>
      <w:r w:rsidRPr="00072615">
        <w:rPr>
          <w:rStyle w:val="FootnoteReference"/>
        </w:rPr>
        <w:tab/>
      </w:r>
      <w:r w:rsidRPr="000258C3">
        <w:t>For example, A/HRC/42/62.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E1E7" w14:textId="77777777" w:rsidR="00550B78" w:rsidRDefault="00550B78" w:rsidP="00550B78">
    <w:pPr>
      <w:pStyle w:val="Header"/>
    </w:pPr>
    <w:r>
      <w:t>CCPR/C/128/D/3012/2017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9DAD" w14:textId="77777777" w:rsidR="00550B78" w:rsidRDefault="00550B78" w:rsidP="00550B78">
    <w:pPr>
      <w:pStyle w:val="Header"/>
      <w:jc w:val="right"/>
    </w:pPr>
    <w:r>
      <w:t>CCPR/C/128/D/3012/2017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8C"/>
    <w:rsid w:val="000378CB"/>
    <w:rsid w:val="00046E92"/>
    <w:rsid w:val="00053A8C"/>
    <w:rsid w:val="0006523D"/>
    <w:rsid w:val="00072615"/>
    <w:rsid w:val="00131D7A"/>
    <w:rsid w:val="00165C15"/>
    <w:rsid w:val="001724C2"/>
    <w:rsid w:val="00225E73"/>
    <w:rsid w:val="00247E2C"/>
    <w:rsid w:val="002A21F9"/>
    <w:rsid w:val="002D6C53"/>
    <w:rsid w:val="002F5595"/>
    <w:rsid w:val="00334F6A"/>
    <w:rsid w:val="00342AC8"/>
    <w:rsid w:val="003B4550"/>
    <w:rsid w:val="003D41D5"/>
    <w:rsid w:val="00461253"/>
    <w:rsid w:val="00472FED"/>
    <w:rsid w:val="005042C2"/>
    <w:rsid w:val="00550B78"/>
    <w:rsid w:val="00574087"/>
    <w:rsid w:val="005D65FD"/>
    <w:rsid w:val="00671529"/>
    <w:rsid w:val="007268F9"/>
    <w:rsid w:val="007327A0"/>
    <w:rsid w:val="007C52B0"/>
    <w:rsid w:val="00817E57"/>
    <w:rsid w:val="008D0726"/>
    <w:rsid w:val="008D3450"/>
    <w:rsid w:val="00911B77"/>
    <w:rsid w:val="009411B4"/>
    <w:rsid w:val="009D0139"/>
    <w:rsid w:val="009F5CDC"/>
    <w:rsid w:val="00A23459"/>
    <w:rsid w:val="00A775CF"/>
    <w:rsid w:val="00AC7744"/>
    <w:rsid w:val="00B06045"/>
    <w:rsid w:val="00B53AA5"/>
    <w:rsid w:val="00B903E5"/>
    <w:rsid w:val="00C35A27"/>
    <w:rsid w:val="00CA1AEA"/>
    <w:rsid w:val="00E02C2B"/>
    <w:rsid w:val="00E2352C"/>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149FD17"/>
  <w15:docId w15:val="{F95EB8A1-4F39-4FA4-BBBD-8371230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B78"/>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550B78"/>
    <w:pPr>
      <w:spacing w:after="0"/>
      <w:ind w:right="0"/>
      <w:jc w:val="left"/>
      <w:outlineLvl w:val="0"/>
    </w:pPr>
  </w:style>
  <w:style w:type="paragraph" w:styleId="Heading2">
    <w:name w:val="heading 2"/>
    <w:basedOn w:val="Normal"/>
    <w:next w:val="Normal"/>
    <w:link w:val="Heading2Char"/>
    <w:semiHidden/>
    <w:rsid w:val="00550B78"/>
    <w:pPr>
      <w:outlineLvl w:val="1"/>
    </w:pPr>
  </w:style>
  <w:style w:type="paragraph" w:styleId="Heading3">
    <w:name w:val="heading 3"/>
    <w:basedOn w:val="Normal"/>
    <w:next w:val="Normal"/>
    <w:link w:val="Heading3Char"/>
    <w:semiHidden/>
    <w:rsid w:val="00550B78"/>
    <w:pPr>
      <w:outlineLvl w:val="2"/>
    </w:pPr>
  </w:style>
  <w:style w:type="paragraph" w:styleId="Heading4">
    <w:name w:val="heading 4"/>
    <w:basedOn w:val="Normal"/>
    <w:next w:val="Normal"/>
    <w:link w:val="Heading4Char"/>
    <w:semiHidden/>
    <w:rsid w:val="00550B78"/>
    <w:pPr>
      <w:outlineLvl w:val="3"/>
    </w:pPr>
  </w:style>
  <w:style w:type="paragraph" w:styleId="Heading5">
    <w:name w:val="heading 5"/>
    <w:basedOn w:val="Normal"/>
    <w:next w:val="Normal"/>
    <w:link w:val="Heading5Char"/>
    <w:semiHidden/>
    <w:rsid w:val="00550B78"/>
    <w:pPr>
      <w:outlineLvl w:val="4"/>
    </w:pPr>
  </w:style>
  <w:style w:type="paragraph" w:styleId="Heading6">
    <w:name w:val="heading 6"/>
    <w:basedOn w:val="Normal"/>
    <w:next w:val="Normal"/>
    <w:link w:val="Heading6Char"/>
    <w:semiHidden/>
    <w:rsid w:val="00550B78"/>
    <w:pPr>
      <w:outlineLvl w:val="5"/>
    </w:pPr>
  </w:style>
  <w:style w:type="paragraph" w:styleId="Heading7">
    <w:name w:val="heading 7"/>
    <w:basedOn w:val="Normal"/>
    <w:next w:val="Normal"/>
    <w:link w:val="Heading7Char"/>
    <w:semiHidden/>
    <w:rsid w:val="00550B78"/>
    <w:pPr>
      <w:outlineLvl w:val="6"/>
    </w:pPr>
  </w:style>
  <w:style w:type="paragraph" w:styleId="Heading8">
    <w:name w:val="heading 8"/>
    <w:basedOn w:val="Normal"/>
    <w:next w:val="Normal"/>
    <w:link w:val="Heading8Char"/>
    <w:semiHidden/>
    <w:rsid w:val="00550B78"/>
    <w:pPr>
      <w:outlineLvl w:val="7"/>
    </w:pPr>
  </w:style>
  <w:style w:type="paragraph" w:styleId="Heading9">
    <w:name w:val="heading 9"/>
    <w:basedOn w:val="Normal"/>
    <w:next w:val="Normal"/>
    <w:link w:val="Heading9Char"/>
    <w:semiHidden/>
    <w:rsid w:val="00550B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50B78"/>
    <w:pPr>
      <w:pBdr>
        <w:bottom w:val="single" w:sz="4" w:space="4" w:color="auto"/>
      </w:pBdr>
    </w:pPr>
    <w:rPr>
      <w:b/>
      <w:sz w:val="18"/>
    </w:rPr>
  </w:style>
  <w:style w:type="character" w:customStyle="1" w:styleId="HeaderChar">
    <w:name w:val="Header Char"/>
    <w:aliases w:val="6_G Char"/>
    <w:basedOn w:val="DefaultParagraphFont"/>
    <w:link w:val="Header"/>
    <w:rsid w:val="00550B78"/>
    <w:rPr>
      <w:rFonts w:ascii="Times New Roman" w:hAnsi="Times New Roman" w:cs="Times New Roman"/>
      <w:b/>
      <w:sz w:val="18"/>
      <w:szCs w:val="20"/>
    </w:rPr>
  </w:style>
  <w:style w:type="paragraph" w:styleId="Footer">
    <w:name w:val="footer"/>
    <w:aliases w:val="3_G"/>
    <w:basedOn w:val="Normal"/>
    <w:link w:val="FooterChar"/>
    <w:rsid w:val="00550B78"/>
    <w:rPr>
      <w:sz w:val="16"/>
    </w:rPr>
  </w:style>
  <w:style w:type="character" w:customStyle="1" w:styleId="FooterChar">
    <w:name w:val="Footer Char"/>
    <w:aliases w:val="3_G Char"/>
    <w:basedOn w:val="DefaultParagraphFont"/>
    <w:link w:val="Footer"/>
    <w:rsid w:val="00550B78"/>
    <w:rPr>
      <w:rFonts w:ascii="Times New Roman" w:hAnsi="Times New Roman" w:cs="Times New Roman"/>
      <w:sz w:val="16"/>
      <w:szCs w:val="20"/>
    </w:rPr>
  </w:style>
  <w:style w:type="paragraph" w:customStyle="1" w:styleId="HMG">
    <w:name w:val="_ H __M_G"/>
    <w:basedOn w:val="Normal"/>
    <w:next w:val="Normal"/>
    <w:rsid w:val="00550B7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50B7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50B7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50B7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50B7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50B7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550B78"/>
    <w:pPr>
      <w:spacing w:after="120"/>
      <w:ind w:left="1134" w:right="1134"/>
      <w:jc w:val="both"/>
    </w:pPr>
  </w:style>
  <w:style w:type="paragraph" w:customStyle="1" w:styleId="SLG">
    <w:name w:val="__S_L_G"/>
    <w:basedOn w:val="Normal"/>
    <w:next w:val="Normal"/>
    <w:rsid w:val="00550B78"/>
    <w:pPr>
      <w:keepNext/>
      <w:keepLines/>
      <w:spacing w:before="240" w:after="240" w:line="580" w:lineRule="exact"/>
      <w:ind w:left="1134" w:right="1134"/>
    </w:pPr>
    <w:rPr>
      <w:b/>
      <w:sz w:val="56"/>
    </w:rPr>
  </w:style>
  <w:style w:type="paragraph" w:customStyle="1" w:styleId="SMG">
    <w:name w:val="__S_M_G"/>
    <w:basedOn w:val="Normal"/>
    <w:next w:val="Normal"/>
    <w:rsid w:val="00550B78"/>
    <w:pPr>
      <w:keepNext/>
      <w:keepLines/>
      <w:spacing w:before="240" w:after="240" w:line="420" w:lineRule="exact"/>
      <w:ind w:left="1134" w:right="1134"/>
    </w:pPr>
    <w:rPr>
      <w:b/>
      <w:sz w:val="40"/>
    </w:rPr>
  </w:style>
  <w:style w:type="paragraph" w:customStyle="1" w:styleId="SSG">
    <w:name w:val="__S_S_G"/>
    <w:basedOn w:val="Normal"/>
    <w:next w:val="Normal"/>
    <w:rsid w:val="00550B78"/>
    <w:pPr>
      <w:keepNext/>
      <w:keepLines/>
      <w:spacing w:before="240" w:after="240" w:line="300" w:lineRule="exact"/>
      <w:ind w:left="1134" w:right="1134"/>
    </w:pPr>
    <w:rPr>
      <w:b/>
      <w:sz w:val="28"/>
    </w:rPr>
  </w:style>
  <w:style w:type="paragraph" w:customStyle="1" w:styleId="XLargeG">
    <w:name w:val="__XLarge_G"/>
    <w:basedOn w:val="Normal"/>
    <w:next w:val="Normal"/>
    <w:rsid w:val="00550B78"/>
    <w:pPr>
      <w:keepNext/>
      <w:keepLines/>
      <w:spacing w:before="240" w:after="240" w:line="420" w:lineRule="exact"/>
      <w:ind w:left="1134" w:right="1134"/>
    </w:pPr>
    <w:rPr>
      <w:b/>
      <w:sz w:val="40"/>
    </w:rPr>
  </w:style>
  <w:style w:type="paragraph" w:customStyle="1" w:styleId="Bullet1G">
    <w:name w:val="_Bullet 1_G"/>
    <w:basedOn w:val="Normal"/>
    <w:rsid w:val="00550B78"/>
    <w:pPr>
      <w:numPr>
        <w:numId w:val="8"/>
      </w:numPr>
      <w:spacing w:after="120"/>
      <w:ind w:right="1134"/>
      <w:jc w:val="both"/>
    </w:pPr>
  </w:style>
  <w:style w:type="paragraph" w:customStyle="1" w:styleId="Bullet2G">
    <w:name w:val="_Bullet 2_G"/>
    <w:basedOn w:val="Normal"/>
    <w:rsid w:val="00550B78"/>
    <w:pPr>
      <w:numPr>
        <w:numId w:val="9"/>
      </w:numPr>
      <w:spacing w:after="120"/>
      <w:ind w:right="1134"/>
      <w:jc w:val="both"/>
    </w:pPr>
  </w:style>
  <w:style w:type="paragraph" w:customStyle="1" w:styleId="ParaNoG">
    <w:name w:val="_ParaNo._G"/>
    <w:basedOn w:val="SingleTxtG"/>
    <w:rsid w:val="00550B78"/>
    <w:pPr>
      <w:numPr>
        <w:numId w:val="10"/>
      </w:numPr>
    </w:pPr>
  </w:style>
  <w:style w:type="numbering" w:styleId="111111">
    <w:name w:val="Outline List 2"/>
    <w:basedOn w:val="NoList"/>
    <w:semiHidden/>
    <w:rsid w:val="00550B78"/>
    <w:pPr>
      <w:numPr>
        <w:numId w:val="11"/>
      </w:numPr>
    </w:pPr>
  </w:style>
  <w:style w:type="numbering" w:styleId="1ai">
    <w:name w:val="Outline List 1"/>
    <w:basedOn w:val="NoList"/>
    <w:semiHidden/>
    <w:rsid w:val="00550B78"/>
    <w:pPr>
      <w:numPr>
        <w:numId w:val="6"/>
      </w:numPr>
    </w:pPr>
  </w:style>
  <w:style w:type="character" w:styleId="EndnoteReference">
    <w:name w:val="endnote reference"/>
    <w:aliases w:val="1_G"/>
    <w:rsid w:val="00550B78"/>
    <w:rPr>
      <w:rFonts w:ascii="Times New Roman" w:hAnsi="Times New Roman"/>
      <w:sz w:val="18"/>
      <w:vertAlign w:val="superscript"/>
    </w:rPr>
  </w:style>
  <w:style w:type="paragraph" w:styleId="BalloonText">
    <w:name w:val="Balloon Text"/>
    <w:basedOn w:val="Normal"/>
    <w:link w:val="BalloonTextChar"/>
    <w:uiPriority w:val="99"/>
    <w:semiHidden/>
    <w:unhideWhenUsed/>
    <w:rsid w:val="00550B78"/>
    <w:rPr>
      <w:rFonts w:ascii="Tahoma" w:hAnsi="Tahoma" w:cs="Tahoma"/>
      <w:sz w:val="16"/>
      <w:szCs w:val="16"/>
    </w:rPr>
  </w:style>
  <w:style w:type="character" w:customStyle="1" w:styleId="BalloonTextChar">
    <w:name w:val="Balloon Text Char"/>
    <w:basedOn w:val="DefaultParagraphFont"/>
    <w:link w:val="BalloonText"/>
    <w:uiPriority w:val="99"/>
    <w:semiHidden/>
    <w:rsid w:val="00550B78"/>
    <w:rPr>
      <w:rFonts w:ascii="Tahoma" w:hAnsi="Tahoma" w:cs="Tahoma"/>
      <w:sz w:val="16"/>
      <w:szCs w:val="16"/>
    </w:rPr>
  </w:style>
  <w:style w:type="paragraph" w:styleId="EndnoteText">
    <w:name w:val="endnote text"/>
    <w:aliases w:val="2_G"/>
    <w:basedOn w:val="FootnoteText"/>
    <w:link w:val="EndnoteTextChar"/>
    <w:rsid w:val="00550B78"/>
  </w:style>
  <w:style w:type="character" w:customStyle="1" w:styleId="EndnoteTextChar">
    <w:name w:val="Endnote Text Char"/>
    <w:aliases w:val="2_G Char"/>
    <w:basedOn w:val="DefaultParagraphFont"/>
    <w:link w:val="EndnoteText"/>
    <w:rsid w:val="00550B78"/>
    <w:rPr>
      <w:rFonts w:ascii="Times New Roman" w:hAnsi="Times New Roman" w:cs="Times New Roman"/>
      <w:sz w:val="18"/>
      <w:szCs w:val="20"/>
    </w:rPr>
  </w:style>
  <w:style w:type="paragraph" w:styleId="FootnoteText">
    <w:name w:val="footnote text"/>
    <w:aliases w:val="5_G"/>
    <w:basedOn w:val="Normal"/>
    <w:link w:val="FootnoteTextChar"/>
    <w:rsid w:val="00550B78"/>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550B78"/>
    <w:rPr>
      <w:rFonts w:ascii="Times New Roman" w:hAnsi="Times New Roman" w:cs="Times New Roman"/>
      <w:sz w:val="20"/>
      <w:szCs w:val="20"/>
    </w:rPr>
  </w:style>
  <w:style w:type="character" w:customStyle="1" w:styleId="Heading2Char">
    <w:name w:val="Heading 2 Char"/>
    <w:basedOn w:val="DefaultParagraphFont"/>
    <w:link w:val="Heading2"/>
    <w:semiHidden/>
    <w:rsid w:val="00550B78"/>
    <w:rPr>
      <w:rFonts w:ascii="Times New Roman" w:hAnsi="Times New Roman" w:cs="Times New Roman"/>
      <w:sz w:val="20"/>
      <w:szCs w:val="20"/>
    </w:rPr>
  </w:style>
  <w:style w:type="character" w:customStyle="1" w:styleId="Heading3Char">
    <w:name w:val="Heading 3 Char"/>
    <w:basedOn w:val="DefaultParagraphFont"/>
    <w:link w:val="Heading3"/>
    <w:semiHidden/>
    <w:rsid w:val="00550B78"/>
    <w:rPr>
      <w:rFonts w:ascii="Times New Roman" w:hAnsi="Times New Roman" w:cs="Times New Roman"/>
      <w:sz w:val="20"/>
      <w:szCs w:val="20"/>
    </w:rPr>
  </w:style>
  <w:style w:type="character" w:customStyle="1" w:styleId="Heading4Char">
    <w:name w:val="Heading 4 Char"/>
    <w:basedOn w:val="DefaultParagraphFont"/>
    <w:link w:val="Heading4"/>
    <w:semiHidden/>
    <w:rsid w:val="00550B78"/>
    <w:rPr>
      <w:rFonts w:ascii="Times New Roman" w:hAnsi="Times New Roman" w:cs="Times New Roman"/>
      <w:sz w:val="20"/>
      <w:szCs w:val="20"/>
    </w:rPr>
  </w:style>
  <w:style w:type="character" w:customStyle="1" w:styleId="Heading5Char">
    <w:name w:val="Heading 5 Char"/>
    <w:basedOn w:val="DefaultParagraphFont"/>
    <w:link w:val="Heading5"/>
    <w:semiHidden/>
    <w:rsid w:val="00550B78"/>
    <w:rPr>
      <w:rFonts w:ascii="Times New Roman" w:hAnsi="Times New Roman" w:cs="Times New Roman"/>
      <w:sz w:val="20"/>
      <w:szCs w:val="20"/>
    </w:rPr>
  </w:style>
  <w:style w:type="character" w:customStyle="1" w:styleId="Heading6Char">
    <w:name w:val="Heading 6 Char"/>
    <w:basedOn w:val="DefaultParagraphFont"/>
    <w:link w:val="Heading6"/>
    <w:semiHidden/>
    <w:rsid w:val="00550B78"/>
    <w:rPr>
      <w:rFonts w:ascii="Times New Roman" w:hAnsi="Times New Roman" w:cs="Times New Roman"/>
      <w:sz w:val="20"/>
      <w:szCs w:val="20"/>
    </w:rPr>
  </w:style>
  <w:style w:type="character" w:customStyle="1" w:styleId="Heading7Char">
    <w:name w:val="Heading 7 Char"/>
    <w:basedOn w:val="DefaultParagraphFont"/>
    <w:link w:val="Heading7"/>
    <w:semiHidden/>
    <w:rsid w:val="00550B78"/>
    <w:rPr>
      <w:rFonts w:ascii="Times New Roman" w:hAnsi="Times New Roman" w:cs="Times New Roman"/>
      <w:sz w:val="20"/>
      <w:szCs w:val="20"/>
    </w:rPr>
  </w:style>
  <w:style w:type="character" w:customStyle="1" w:styleId="Heading8Char">
    <w:name w:val="Heading 8 Char"/>
    <w:basedOn w:val="DefaultParagraphFont"/>
    <w:link w:val="Heading8"/>
    <w:semiHidden/>
    <w:rsid w:val="00550B78"/>
    <w:rPr>
      <w:rFonts w:ascii="Times New Roman" w:hAnsi="Times New Roman" w:cs="Times New Roman"/>
      <w:sz w:val="20"/>
      <w:szCs w:val="20"/>
    </w:rPr>
  </w:style>
  <w:style w:type="character" w:customStyle="1" w:styleId="Heading9Char">
    <w:name w:val="Heading 9 Char"/>
    <w:basedOn w:val="DefaultParagraphFont"/>
    <w:link w:val="Heading9"/>
    <w:semiHidden/>
    <w:rsid w:val="00550B78"/>
    <w:rPr>
      <w:rFonts w:ascii="Times New Roman" w:hAnsi="Times New Roman" w:cs="Times New Roman"/>
      <w:sz w:val="20"/>
      <w:szCs w:val="20"/>
    </w:rPr>
  </w:style>
  <w:style w:type="character" w:styleId="PageNumber">
    <w:name w:val="page number"/>
    <w:aliases w:val="7_G"/>
    <w:semiHidden/>
    <w:rsid w:val="00550B78"/>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550B7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
    <w:basedOn w:val="DefaultParagraphFont"/>
    <w:link w:val="FootnoteText"/>
    <w:rsid w:val="00550B78"/>
    <w:rPr>
      <w:rFonts w:ascii="Times New Roman" w:hAnsi="Times New Roman" w:cs="Times New Roman"/>
      <w:sz w:val="18"/>
      <w:szCs w:val="20"/>
    </w:rPr>
  </w:style>
  <w:style w:type="character" w:styleId="FootnoteReference">
    <w:name w:val="footnote reference"/>
    <w:aliases w:val="4_G"/>
    <w:rsid w:val="00550B78"/>
    <w:rPr>
      <w:rFonts w:ascii="Times New Roman" w:hAnsi="Times New Roman"/>
      <w:sz w:val="18"/>
      <w:vertAlign w:val="superscript"/>
    </w:rPr>
  </w:style>
  <w:style w:type="character" w:customStyle="1" w:styleId="SingleTxtGChar">
    <w:name w:val="_ Single Txt_G Char"/>
    <w:link w:val="SingleTxtG"/>
    <w:locked/>
    <w:rsid w:val="00550B78"/>
    <w:rPr>
      <w:rFonts w:ascii="Times New Roman" w:hAnsi="Times New Roman" w:cs="Times New Roman"/>
      <w:sz w:val="20"/>
      <w:szCs w:val="20"/>
    </w:rPr>
  </w:style>
  <w:style w:type="paragraph" w:customStyle="1" w:styleId="Default">
    <w:name w:val="Default"/>
    <w:rsid w:val="00550B7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550B78"/>
    <w:rPr>
      <w:color w:val="0000FF"/>
      <w:u w:val="single"/>
    </w:rPr>
  </w:style>
  <w:style w:type="character" w:styleId="CommentReference">
    <w:name w:val="annotation reference"/>
    <w:basedOn w:val="DefaultParagraphFont"/>
    <w:uiPriority w:val="99"/>
    <w:semiHidden/>
    <w:unhideWhenUsed/>
    <w:rsid w:val="00225E73"/>
    <w:rPr>
      <w:sz w:val="16"/>
      <w:szCs w:val="16"/>
    </w:rPr>
  </w:style>
  <w:style w:type="paragraph" w:styleId="CommentText">
    <w:name w:val="annotation text"/>
    <w:basedOn w:val="Normal"/>
    <w:link w:val="CommentTextChar"/>
    <w:uiPriority w:val="99"/>
    <w:semiHidden/>
    <w:unhideWhenUsed/>
    <w:rsid w:val="00225E73"/>
  </w:style>
  <w:style w:type="character" w:customStyle="1" w:styleId="CommentTextChar">
    <w:name w:val="Comment Text Char"/>
    <w:basedOn w:val="DefaultParagraphFont"/>
    <w:link w:val="CommentText"/>
    <w:uiPriority w:val="99"/>
    <w:semiHidden/>
    <w:rsid w:val="00225E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5E73"/>
    <w:rPr>
      <w:b/>
      <w:bCs/>
    </w:rPr>
  </w:style>
  <w:style w:type="character" w:customStyle="1" w:styleId="CommentSubjectChar">
    <w:name w:val="Comment Subject Char"/>
    <w:basedOn w:val="CommentTextChar"/>
    <w:link w:val="CommentSubject"/>
    <w:uiPriority w:val="99"/>
    <w:semiHidden/>
    <w:rsid w:val="00225E7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3A93-9DCF-4563-9330-639B5A5D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4190</Words>
  <Characters>21469</Characters>
  <Application>Microsoft Office Word</Application>
  <DocSecurity>0</DocSecurity>
  <Lines>329</Lines>
  <Paragraphs>61</Paragraphs>
  <ScaleCrop>false</ScaleCrop>
  <HeadingPairs>
    <vt:vector size="2" baseType="variant">
      <vt:variant>
        <vt:lpstr>Title</vt:lpstr>
      </vt:variant>
      <vt:variant>
        <vt:i4>1</vt:i4>
      </vt:variant>
    </vt:vector>
  </HeadingPairs>
  <TitlesOfParts>
    <vt:vector size="1" baseType="lpstr">
      <vt:lpstr>CCPR/C/128/D/3012/2017</vt:lpstr>
    </vt:vector>
  </TitlesOfParts>
  <Company>DCM</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CCPR/C/128/D/3012/2017</dc:title>
  <dc:subject>2007995</dc:subject>
  <dc:creator>AVT</dc:creator>
  <cp:keywords/>
  <dc:description/>
  <cp:lastModifiedBy>Anni Vi TIROL</cp:lastModifiedBy>
  <cp:revision>2</cp:revision>
  <dcterms:created xsi:type="dcterms:W3CDTF">2020-06-17T12:10:00Z</dcterms:created>
  <dcterms:modified xsi:type="dcterms:W3CDTF">2020-06-17T12:10:00Z</dcterms:modified>
</cp:coreProperties>
</file>