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83F58" w:rsidRDefault="00983F58" w:rsidP="00B614C4">
            <w:pPr>
              <w:spacing w:line="240" w:lineRule="atLeast"/>
              <w:jc w:val="right"/>
              <w:rPr>
                <w:sz w:val="20"/>
                <w:szCs w:val="21"/>
              </w:rPr>
            </w:pPr>
            <w:proofErr w:type="spellStart"/>
            <w:r w:rsidRPr="00983F58">
              <w:rPr>
                <w:sz w:val="40"/>
                <w:szCs w:val="21"/>
              </w:rPr>
              <w:t>CCPR</w:t>
            </w:r>
            <w:proofErr w:type="spellEnd"/>
            <w:r>
              <w:rPr>
                <w:sz w:val="20"/>
                <w:szCs w:val="21"/>
              </w:rPr>
              <w:t>/C/125/D/2536/2015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983F58" w:rsidRPr="00983F58" w:rsidRDefault="00CE1D1C" w:rsidP="00983F58">
            <w:pPr>
              <w:spacing w:before="240"/>
              <w:rPr>
                <w:sz w:val="20"/>
              </w:rPr>
            </w:pPr>
            <w:r w:rsidRPr="00983F58">
              <w:rPr>
                <w:sz w:val="20"/>
              </w:rPr>
              <w:t>Distr.:</w:t>
            </w:r>
            <w:r w:rsidR="00983F58" w:rsidRPr="00983F58">
              <w:rPr>
                <w:sz w:val="20"/>
              </w:rPr>
              <w:t xml:space="preserve"> General</w:t>
            </w:r>
          </w:p>
          <w:p w:rsidR="00CE1D1C" w:rsidRPr="00983F58" w:rsidRDefault="00983F58" w:rsidP="00983F58">
            <w:pPr>
              <w:spacing w:line="240" w:lineRule="atLeast"/>
              <w:rPr>
                <w:sz w:val="20"/>
              </w:rPr>
            </w:pPr>
            <w:r w:rsidRPr="00983F58">
              <w:rPr>
                <w:sz w:val="20"/>
              </w:rPr>
              <w:t>30 May 2019</w:t>
            </w:r>
          </w:p>
          <w:p w:rsidR="00CE1D1C" w:rsidRPr="00983F58" w:rsidRDefault="00CE1D1C" w:rsidP="00B614C4">
            <w:pPr>
              <w:spacing w:line="240" w:lineRule="atLeast"/>
              <w:rPr>
                <w:sz w:val="20"/>
              </w:rPr>
            </w:pPr>
            <w:r w:rsidRPr="00983F58">
              <w:rPr>
                <w:sz w:val="20"/>
              </w:rPr>
              <w:t>Chinese</w:t>
            </w:r>
          </w:p>
          <w:p w:rsidR="00CE1D1C" w:rsidRPr="00F124C6" w:rsidRDefault="00CE1D1C" w:rsidP="00B614C4">
            <w:pPr>
              <w:spacing w:line="240" w:lineRule="atLeast"/>
            </w:pPr>
            <w:r w:rsidRPr="00983F58">
              <w:rPr>
                <w:sz w:val="20"/>
              </w:rPr>
              <w:t>Original: English</w:t>
            </w:r>
          </w:p>
        </w:tc>
      </w:tr>
    </w:tbl>
    <w:p w:rsidR="00D968EC" w:rsidRPr="005E7718" w:rsidRDefault="00D968EC" w:rsidP="00D968EC">
      <w:pPr>
        <w:spacing w:before="120" w:line="360" w:lineRule="exact"/>
        <w:rPr>
          <w:b/>
          <w:bCs/>
          <w:sz w:val="24"/>
          <w:szCs w:val="24"/>
        </w:rPr>
      </w:pPr>
      <w:r w:rsidRPr="0063252F">
        <w:rPr>
          <w:rFonts w:eastAsia="黑体"/>
          <w:sz w:val="24"/>
          <w:szCs w:val="24"/>
        </w:rPr>
        <w:t>人权事务委员会</w:t>
      </w:r>
    </w:p>
    <w:p w:rsidR="00BA029C" w:rsidRDefault="00D968EC" w:rsidP="00D968EC">
      <w:pPr>
        <w:pStyle w:val="HChGC"/>
        <w:rPr>
          <w:snapToGrid w:val="0"/>
          <w:color w:val="0000CC"/>
        </w:rPr>
      </w:pPr>
      <w:r w:rsidRPr="00382BD8">
        <w:tab/>
      </w:r>
      <w:r w:rsidRPr="00382BD8">
        <w:tab/>
      </w:r>
      <w:r w:rsidRPr="0063252F">
        <w:t>委员会根据《任择议定书》第五条第</w:t>
      </w:r>
      <w:r w:rsidRPr="0063252F">
        <w:t>4</w:t>
      </w:r>
      <w:r w:rsidRPr="0063252F">
        <w:t>款通过的关于</w:t>
      </w:r>
      <w:r w:rsidR="00BA029C">
        <w:br/>
      </w:r>
      <w:r w:rsidRPr="0063252F">
        <w:t>第</w:t>
      </w:r>
      <w:r>
        <w:t>2536</w:t>
      </w:r>
      <w:r w:rsidRPr="0063252F">
        <w:t>/2015</w:t>
      </w:r>
      <w:r w:rsidRPr="0063252F">
        <w:t>号来文的意见</w:t>
      </w:r>
      <w:r w:rsidRPr="00BA029C">
        <w:rPr>
          <w:snapToGrid w:val="0"/>
          <w:color w:val="0000CC"/>
        </w:rPr>
        <w:footnoteReference w:customMarkFollows="1" w:id="2"/>
        <w:t>*</w:t>
      </w:r>
      <w:r w:rsidR="00BA029C">
        <w:rPr>
          <w:snapToGrid w:val="0"/>
          <w:color w:val="0000CC"/>
        </w:rPr>
        <w:t xml:space="preserve"> </w:t>
      </w:r>
      <w:r w:rsidRPr="00BA029C">
        <w:rPr>
          <w:snapToGrid w:val="0"/>
          <w:color w:val="0000CC"/>
        </w:rPr>
        <w:footnoteReference w:customMarkFollows="1" w:id="3"/>
        <w:t>**</w:t>
      </w:r>
      <w:r w:rsidRPr="00BA029C">
        <w:rPr>
          <w:color w:val="0000CC"/>
        </w:rPr>
        <w:t xml:space="preserve"> </w:t>
      </w:r>
      <w:r w:rsidRPr="00BA029C">
        <w:rPr>
          <w:snapToGrid w:val="0"/>
          <w:color w:val="0000CC"/>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756D71" w:rsidRPr="005449F5"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来文提交人：</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proofErr w:type="spellStart"/>
            <w:r w:rsidRPr="00402465">
              <w:rPr>
                <w:sz w:val="21"/>
                <w:szCs w:val="21"/>
              </w:rPr>
              <w:t>Hadji</w:t>
            </w:r>
            <w:proofErr w:type="spellEnd"/>
            <w:r w:rsidRPr="00402465">
              <w:rPr>
                <w:sz w:val="21"/>
                <w:szCs w:val="21"/>
              </w:rPr>
              <w:t xml:space="preserve"> Hamid </w:t>
            </w:r>
            <w:proofErr w:type="spellStart"/>
            <w:r w:rsidRPr="00402465">
              <w:rPr>
                <w:sz w:val="21"/>
                <w:szCs w:val="21"/>
              </w:rPr>
              <w:t>Japalali</w:t>
            </w:r>
            <w:proofErr w:type="spellEnd"/>
            <w:r w:rsidRPr="00402465">
              <w:rPr>
                <w:sz w:val="21"/>
                <w:szCs w:val="21"/>
              </w:rPr>
              <w:t xml:space="preserve"> (</w:t>
            </w:r>
            <w:r w:rsidRPr="00402465">
              <w:rPr>
                <w:rFonts w:hint="eastAsia"/>
                <w:sz w:val="21"/>
                <w:szCs w:val="21"/>
              </w:rPr>
              <w:t>由免费法律援助小组代理</w:t>
            </w:r>
            <w:r w:rsidRPr="00402465">
              <w:rPr>
                <w:sz w:val="21"/>
                <w:szCs w:val="21"/>
              </w:rPr>
              <w:t>)</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据称受害人：</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sz w:val="21"/>
                <w:szCs w:val="21"/>
              </w:rPr>
              <w:t xml:space="preserve">Bakar </w:t>
            </w:r>
            <w:proofErr w:type="spellStart"/>
            <w:r w:rsidRPr="00402465">
              <w:rPr>
                <w:sz w:val="21"/>
                <w:szCs w:val="21"/>
              </w:rPr>
              <w:t>Japalali</w:t>
            </w:r>
            <w:proofErr w:type="spellEnd"/>
            <w:r w:rsidRPr="00402465">
              <w:rPr>
                <w:rFonts w:hint="eastAsia"/>
                <w:sz w:val="21"/>
                <w:szCs w:val="21"/>
              </w:rPr>
              <w:t>和</w:t>
            </w:r>
            <w:r w:rsidRPr="00402465">
              <w:rPr>
                <w:sz w:val="21"/>
                <w:szCs w:val="21"/>
              </w:rPr>
              <w:t xml:space="preserve">Carmen </w:t>
            </w:r>
            <w:proofErr w:type="spellStart"/>
            <w:r w:rsidRPr="00402465">
              <w:rPr>
                <w:sz w:val="21"/>
                <w:szCs w:val="21"/>
              </w:rPr>
              <w:t>Baloyo-Japalali</w:t>
            </w:r>
            <w:proofErr w:type="spellEnd"/>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所涉缔约国：</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hint="eastAsia"/>
                <w:sz w:val="21"/>
                <w:szCs w:val="21"/>
              </w:rPr>
              <w:t>菲律宾</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来文日期：</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sz w:val="21"/>
                <w:szCs w:val="21"/>
              </w:rPr>
              <w:t>2014</w:t>
            </w:r>
            <w:r w:rsidRPr="00402465">
              <w:rPr>
                <w:rFonts w:hint="eastAsia"/>
                <w:sz w:val="21"/>
                <w:szCs w:val="21"/>
              </w:rPr>
              <w:t>年</w:t>
            </w:r>
            <w:r w:rsidRPr="00402465">
              <w:rPr>
                <w:rFonts w:hint="eastAsia"/>
                <w:sz w:val="21"/>
                <w:szCs w:val="21"/>
              </w:rPr>
              <w:t>9</w:t>
            </w:r>
            <w:r w:rsidRPr="00402465">
              <w:rPr>
                <w:rFonts w:hint="eastAsia"/>
                <w:sz w:val="21"/>
                <w:szCs w:val="21"/>
              </w:rPr>
              <w:t>月</w:t>
            </w:r>
            <w:r w:rsidRPr="00402465">
              <w:rPr>
                <w:rFonts w:hint="eastAsia"/>
                <w:sz w:val="21"/>
                <w:szCs w:val="21"/>
              </w:rPr>
              <w:t>1</w:t>
            </w:r>
            <w:r w:rsidRPr="00402465">
              <w:rPr>
                <w:rFonts w:hint="eastAsia"/>
                <w:sz w:val="21"/>
                <w:szCs w:val="21"/>
              </w:rPr>
              <w:t>日</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参考文件：</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sz w:val="21"/>
                <w:szCs w:val="21"/>
                <w:lang w:val="en-US"/>
              </w:rPr>
              <w:t>根据委员会议事规则第</w:t>
            </w:r>
            <w:r w:rsidRPr="00402465">
              <w:rPr>
                <w:sz w:val="21"/>
                <w:szCs w:val="21"/>
                <w:lang w:val="en-US"/>
              </w:rPr>
              <w:t>97</w:t>
            </w:r>
            <w:r w:rsidRPr="00402465">
              <w:rPr>
                <w:sz w:val="21"/>
                <w:szCs w:val="21"/>
                <w:lang w:val="en-US"/>
              </w:rPr>
              <w:t>条</w:t>
            </w:r>
            <w:proofErr w:type="gramStart"/>
            <w:r w:rsidRPr="00402465">
              <w:rPr>
                <w:sz w:val="21"/>
                <w:szCs w:val="21"/>
                <w:lang w:val="en-US"/>
              </w:rPr>
              <w:t>作出</w:t>
            </w:r>
            <w:proofErr w:type="gramEnd"/>
            <w:r w:rsidRPr="00402465">
              <w:rPr>
                <w:sz w:val="21"/>
                <w:szCs w:val="21"/>
                <w:lang w:val="en-US"/>
              </w:rPr>
              <w:t>的决定，</w:t>
            </w:r>
            <w:r w:rsidRPr="00402465">
              <w:rPr>
                <w:sz w:val="21"/>
                <w:szCs w:val="21"/>
                <w:lang w:val="en-US"/>
              </w:rPr>
              <w:t>2015</w:t>
            </w:r>
            <w:r w:rsidRPr="00402465">
              <w:rPr>
                <w:sz w:val="21"/>
                <w:szCs w:val="21"/>
                <w:lang w:val="en-US"/>
              </w:rPr>
              <w:t>年</w:t>
            </w:r>
            <w:r w:rsidRPr="00402465">
              <w:rPr>
                <w:rFonts w:hint="eastAsia"/>
                <w:sz w:val="21"/>
                <w:szCs w:val="21"/>
                <w:lang w:val="en-US"/>
              </w:rPr>
              <w:t>1</w:t>
            </w:r>
            <w:r w:rsidRPr="00402465">
              <w:rPr>
                <w:sz w:val="21"/>
                <w:szCs w:val="21"/>
                <w:lang w:val="en-US"/>
              </w:rPr>
              <w:t>月</w:t>
            </w:r>
            <w:r w:rsidRPr="00402465">
              <w:rPr>
                <w:sz w:val="21"/>
                <w:szCs w:val="21"/>
                <w:lang w:val="en-US"/>
              </w:rPr>
              <w:t>2</w:t>
            </w:r>
            <w:r w:rsidRPr="00402465">
              <w:rPr>
                <w:rFonts w:hint="eastAsia"/>
                <w:sz w:val="21"/>
                <w:szCs w:val="21"/>
                <w:lang w:val="en-US"/>
              </w:rPr>
              <w:t>0</w:t>
            </w:r>
            <w:r w:rsidRPr="00402465">
              <w:rPr>
                <w:sz w:val="21"/>
                <w:szCs w:val="21"/>
                <w:lang w:val="en-US"/>
              </w:rPr>
              <w:t>日转交缔约国</w:t>
            </w:r>
            <w:r w:rsidRPr="00402465">
              <w:rPr>
                <w:sz w:val="21"/>
                <w:szCs w:val="21"/>
                <w:lang w:val="en-US"/>
              </w:rPr>
              <w:t>(</w:t>
            </w:r>
            <w:r w:rsidRPr="00402465">
              <w:rPr>
                <w:sz w:val="21"/>
                <w:szCs w:val="21"/>
                <w:lang w:val="en-US"/>
              </w:rPr>
              <w:t>未以文件形式印发</w:t>
            </w:r>
            <w:r w:rsidRPr="00402465">
              <w:rPr>
                <w:sz w:val="21"/>
                <w:szCs w:val="21"/>
                <w:lang w:val="en-US"/>
              </w:rPr>
              <w:t>)</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意见通过日期：</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hint="eastAsia"/>
                <w:sz w:val="21"/>
                <w:szCs w:val="21"/>
              </w:rPr>
              <w:t>2</w:t>
            </w:r>
            <w:r w:rsidRPr="00402465">
              <w:rPr>
                <w:sz w:val="21"/>
                <w:szCs w:val="21"/>
              </w:rPr>
              <w:t>019</w:t>
            </w:r>
            <w:r w:rsidRPr="00402465">
              <w:rPr>
                <w:rFonts w:hint="eastAsia"/>
                <w:sz w:val="21"/>
                <w:szCs w:val="21"/>
              </w:rPr>
              <w:t>年</w:t>
            </w:r>
            <w:r w:rsidRPr="00402465">
              <w:rPr>
                <w:rFonts w:hint="eastAsia"/>
                <w:sz w:val="21"/>
                <w:szCs w:val="21"/>
              </w:rPr>
              <w:t>3</w:t>
            </w:r>
            <w:r w:rsidRPr="00402465">
              <w:rPr>
                <w:rFonts w:hint="eastAsia"/>
                <w:sz w:val="21"/>
                <w:szCs w:val="21"/>
              </w:rPr>
              <w:t>月</w:t>
            </w:r>
            <w:r w:rsidRPr="00402465">
              <w:rPr>
                <w:rFonts w:hint="eastAsia"/>
                <w:sz w:val="21"/>
                <w:szCs w:val="21"/>
              </w:rPr>
              <w:t>28</w:t>
            </w:r>
            <w:r w:rsidRPr="00402465">
              <w:rPr>
                <w:rFonts w:hint="eastAsia"/>
                <w:sz w:val="21"/>
                <w:szCs w:val="21"/>
              </w:rPr>
              <w:t>日</w:t>
            </w:r>
          </w:p>
        </w:tc>
      </w:tr>
      <w:tr w:rsidR="00756D71" w:rsidRPr="005449F5"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事由：</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hint="eastAsia"/>
                <w:sz w:val="21"/>
                <w:szCs w:val="21"/>
              </w:rPr>
              <w:t>军方法外处决</w:t>
            </w:r>
          </w:p>
        </w:tc>
      </w:tr>
      <w:tr w:rsidR="00756D71" w:rsidRPr="005449F5"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程序性问题：</w:t>
            </w:r>
          </w:p>
        </w:tc>
        <w:tc>
          <w:tcPr>
            <w:tcW w:w="4819" w:type="dxa"/>
            <w:shd w:val="clear" w:color="auto" w:fill="auto"/>
          </w:tcPr>
          <w:p w:rsidR="00756D71" w:rsidRPr="00402465" w:rsidRDefault="00756D71" w:rsidP="005F1C12">
            <w:pPr>
              <w:pStyle w:val="SingleTxtG"/>
              <w:spacing w:before="40" w:after="60" w:line="320" w:lineRule="exact"/>
              <w:ind w:left="0" w:right="-45"/>
              <w:rPr>
                <w:i/>
                <w:iCs/>
                <w:sz w:val="21"/>
                <w:szCs w:val="21"/>
              </w:rPr>
            </w:pPr>
            <w:r w:rsidRPr="005F1C12">
              <w:rPr>
                <w:rFonts w:hint="eastAsia"/>
                <w:spacing w:val="-6"/>
                <w:sz w:val="21"/>
                <w:szCs w:val="21"/>
              </w:rPr>
              <w:t>用尽国内补救办法；申诉证据不足；基于属事理由</w:t>
            </w:r>
            <w:r w:rsidRPr="00402465">
              <w:rPr>
                <w:rFonts w:hint="eastAsia"/>
                <w:sz w:val="21"/>
                <w:szCs w:val="21"/>
              </w:rPr>
              <w:t>不符</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ascii="楷体" w:eastAsia="楷体" w:hAnsi="楷体" w:hint="eastAsia"/>
                <w:iCs/>
                <w:sz w:val="21"/>
                <w:szCs w:val="21"/>
              </w:rPr>
              <w:t>实质性问题：</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hint="eastAsia"/>
                <w:sz w:val="21"/>
                <w:szCs w:val="21"/>
              </w:rPr>
              <w:t>生命权；有效补救权；公正审判</w:t>
            </w:r>
          </w:p>
        </w:tc>
      </w:tr>
      <w:tr w:rsidR="00756D71" w:rsidTr="00402465">
        <w:tc>
          <w:tcPr>
            <w:tcW w:w="2126" w:type="dxa"/>
            <w:shd w:val="clear" w:color="auto" w:fill="auto"/>
          </w:tcPr>
          <w:p w:rsidR="00756D71" w:rsidRPr="00402465" w:rsidRDefault="00756D71" w:rsidP="005F1C12">
            <w:pPr>
              <w:pStyle w:val="SingleTxtG"/>
              <w:spacing w:before="40" w:after="60" w:line="320" w:lineRule="exact"/>
              <w:ind w:left="-51" w:right="-45"/>
              <w:rPr>
                <w:sz w:val="21"/>
                <w:szCs w:val="21"/>
              </w:rPr>
            </w:pPr>
            <w:r w:rsidRPr="00402465">
              <w:rPr>
                <w:rFonts w:ascii="楷体" w:eastAsia="楷体" w:hAnsi="楷体" w:hint="eastAsia"/>
                <w:iCs/>
                <w:sz w:val="21"/>
                <w:szCs w:val="21"/>
              </w:rPr>
              <w:t>《公约》条款：</w:t>
            </w:r>
          </w:p>
        </w:tc>
        <w:tc>
          <w:tcPr>
            <w:tcW w:w="4819" w:type="dxa"/>
            <w:shd w:val="clear" w:color="auto" w:fill="auto"/>
          </w:tcPr>
          <w:p w:rsidR="00756D71" w:rsidRPr="00402465" w:rsidRDefault="00756D71" w:rsidP="005F1C12">
            <w:pPr>
              <w:pStyle w:val="SingleTxtG"/>
              <w:spacing w:before="40" w:after="60" w:line="320" w:lineRule="exact"/>
              <w:ind w:left="0" w:right="-45"/>
              <w:rPr>
                <w:sz w:val="21"/>
                <w:szCs w:val="21"/>
              </w:rPr>
            </w:pPr>
            <w:r w:rsidRPr="00402465">
              <w:rPr>
                <w:rFonts w:hint="eastAsia"/>
                <w:sz w:val="21"/>
                <w:szCs w:val="21"/>
              </w:rPr>
              <w:t>第二条第</w:t>
            </w:r>
            <w:r w:rsidRPr="00402465">
              <w:rPr>
                <w:rFonts w:hint="eastAsia"/>
                <w:sz w:val="21"/>
                <w:szCs w:val="21"/>
              </w:rPr>
              <w:t>3</w:t>
            </w:r>
            <w:r w:rsidRPr="00402465">
              <w:rPr>
                <w:rFonts w:hint="eastAsia"/>
                <w:sz w:val="21"/>
                <w:szCs w:val="21"/>
              </w:rPr>
              <w:t>款、第六条和第十四条第</w:t>
            </w:r>
            <w:r w:rsidRPr="00402465">
              <w:rPr>
                <w:rFonts w:hint="eastAsia"/>
                <w:sz w:val="21"/>
                <w:szCs w:val="21"/>
              </w:rPr>
              <w:t>1</w:t>
            </w:r>
            <w:r w:rsidRPr="00402465">
              <w:rPr>
                <w:rFonts w:hint="eastAsia"/>
                <w:sz w:val="21"/>
                <w:szCs w:val="21"/>
              </w:rPr>
              <w:t>款</w:t>
            </w:r>
          </w:p>
        </w:tc>
      </w:tr>
      <w:tr w:rsidR="00756D71" w:rsidTr="00402465">
        <w:tc>
          <w:tcPr>
            <w:tcW w:w="2126" w:type="dxa"/>
            <w:shd w:val="clear" w:color="auto" w:fill="auto"/>
          </w:tcPr>
          <w:p w:rsidR="00756D71" w:rsidRPr="00402465" w:rsidRDefault="00756D71" w:rsidP="005F1C12">
            <w:pPr>
              <w:spacing w:before="40" w:after="60"/>
              <w:ind w:left="-51" w:right="-45"/>
              <w:rPr>
                <w:szCs w:val="21"/>
              </w:rPr>
            </w:pPr>
            <w:r w:rsidRPr="00402465">
              <w:rPr>
                <w:rFonts w:ascii="楷体" w:eastAsia="楷体" w:hAnsi="楷体" w:hint="eastAsia"/>
                <w:iCs/>
                <w:szCs w:val="21"/>
              </w:rPr>
              <w:t>《任择议定书》条款：</w:t>
            </w:r>
          </w:p>
        </w:tc>
        <w:tc>
          <w:tcPr>
            <w:tcW w:w="4819" w:type="dxa"/>
            <w:shd w:val="clear" w:color="auto" w:fill="auto"/>
          </w:tcPr>
          <w:p w:rsidR="00756D71" w:rsidRPr="00402465" w:rsidRDefault="00756D71" w:rsidP="005F1C12">
            <w:pPr>
              <w:spacing w:before="40" w:after="60"/>
              <w:ind w:right="-45"/>
              <w:rPr>
                <w:szCs w:val="21"/>
              </w:rPr>
            </w:pPr>
            <w:r w:rsidRPr="00402465">
              <w:rPr>
                <w:rFonts w:hint="eastAsia"/>
                <w:szCs w:val="21"/>
              </w:rPr>
              <w:t>第二条和第五条第</w:t>
            </w:r>
            <w:r w:rsidRPr="00402465">
              <w:rPr>
                <w:rFonts w:hint="eastAsia"/>
                <w:szCs w:val="21"/>
              </w:rPr>
              <w:t>2</w:t>
            </w:r>
            <w:r w:rsidRPr="00402465">
              <w:rPr>
                <w:rFonts w:hint="eastAsia"/>
                <w:szCs w:val="21"/>
              </w:rPr>
              <w:t>款</w:t>
            </w:r>
            <w:r w:rsidRPr="00402465">
              <w:rPr>
                <w:rFonts w:hint="eastAsia"/>
                <w:szCs w:val="21"/>
              </w:rPr>
              <w:t>(</w:t>
            </w:r>
            <w:r w:rsidRPr="00402465">
              <w:rPr>
                <w:rFonts w:hint="eastAsia"/>
                <w:szCs w:val="21"/>
              </w:rPr>
              <w:t>丑</w:t>
            </w:r>
            <w:r w:rsidRPr="00402465">
              <w:rPr>
                <w:rFonts w:hint="eastAsia"/>
                <w:szCs w:val="21"/>
              </w:rPr>
              <w:t>)</w:t>
            </w:r>
            <w:r w:rsidRPr="00402465">
              <w:rPr>
                <w:rFonts w:hint="eastAsia"/>
                <w:szCs w:val="21"/>
              </w:rPr>
              <w:t>项</w:t>
            </w:r>
          </w:p>
        </w:tc>
      </w:tr>
    </w:tbl>
    <w:p w:rsidR="00D968EC" w:rsidRPr="00382BD8" w:rsidRDefault="00D968EC" w:rsidP="002977E9">
      <w:pPr>
        <w:pStyle w:val="SingleTxtGC"/>
        <w:tabs>
          <w:tab w:val="clear" w:pos="431"/>
          <w:tab w:val="clear" w:pos="1134"/>
          <w:tab w:val="clear" w:pos="1565"/>
          <w:tab w:val="clear" w:pos="1996"/>
          <w:tab w:val="clear" w:pos="2427"/>
          <w:tab w:val="left" w:pos="1701"/>
        </w:tabs>
        <w:spacing w:before="240"/>
      </w:pPr>
      <w:r w:rsidRPr="00382BD8">
        <w:t>1.</w:t>
      </w:r>
      <w:r w:rsidRPr="00382BD8">
        <w:tab/>
      </w:r>
      <w:r>
        <w:rPr>
          <w:rFonts w:hint="eastAsia"/>
        </w:rPr>
        <w:t>来文提交人</w:t>
      </w:r>
      <w:proofErr w:type="spellStart"/>
      <w:r w:rsidRPr="00382BD8">
        <w:t>Hadji</w:t>
      </w:r>
      <w:proofErr w:type="spellEnd"/>
      <w:r w:rsidRPr="00382BD8">
        <w:t xml:space="preserve"> Hamid </w:t>
      </w:r>
      <w:proofErr w:type="spellStart"/>
      <w:r w:rsidRPr="00382BD8">
        <w:t>Japalali</w:t>
      </w:r>
      <w:proofErr w:type="spellEnd"/>
      <w:r>
        <w:rPr>
          <w:rFonts w:hint="eastAsia"/>
        </w:rPr>
        <w:t>，菲律宾国民。他代表他本人和他的兄弟</w:t>
      </w:r>
      <w:r w:rsidRPr="00382BD8">
        <w:t xml:space="preserve">Bakar </w:t>
      </w:r>
      <w:proofErr w:type="spellStart"/>
      <w:r w:rsidRPr="00382BD8">
        <w:t>Japalali</w:t>
      </w:r>
      <w:proofErr w:type="spellEnd"/>
      <w:r>
        <w:rPr>
          <w:rFonts w:hint="eastAsia"/>
        </w:rPr>
        <w:t>及其妻子</w:t>
      </w:r>
      <w:r w:rsidRPr="00382BD8">
        <w:t xml:space="preserve">Carmen </w:t>
      </w:r>
      <w:proofErr w:type="spellStart"/>
      <w:r w:rsidRPr="00382BD8">
        <w:t>Baloyo-Japalali</w:t>
      </w:r>
      <w:proofErr w:type="spellEnd"/>
      <w:r>
        <w:rPr>
          <w:rFonts w:hint="eastAsia"/>
        </w:rPr>
        <w:t>提交申诉，他的兄弟及其妻子均已去世，同样均为菲律宾国民。提交人声称，</w:t>
      </w:r>
      <w:proofErr w:type="spellStart"/>
      <w:r w:rsidRPr="00382BD8">
        <w:t>Japalali</w:t>
      </w:r>
      <w:proofErr w:type="spellEnd"/>
      <w:r>
        <w:rPr>
          <w:rFonts w:hint="eastAsia"/>
        </w:rPr>
        <w:t>先生和</w:t>
      </w:r>
      <w:proofErr w:type="spellStart"/>
      <w:r w:rsidRPr="00382BD8">
        <w:t>Baloyo-Japalali</w:t>
      </w:r>
      <w:proofErr w:type="spellEnd"/>
      <w:r>
        <w:rPr>
          <w:rFonts w:hint="eastAsia"/>
        </w:rPr>
        <w:t>女士</w:t>
      </w:r>
      <w:r>
        <w:rPr>
          <w:rFonts w:hint="eastAsia"/>
        </w:rPr>
        <w:lastRenderedPageBreak/>
        <w:t>是违反《公约》第六条行为的受害者，他本人是违反与《公约》第十四条第</w:t>
      </w:r>
      <w:r>
        <w:rPr>
          <w:rFonts w:hint="eastAsia"/>
        </w:rPr>
        <w:t>1</w:t>
      </w:r>
      <w:r>
        <w:rPr>
          <w:rFonts w:hint="eastAsia"/>
        </w:rPr>
        <w:t>款一并解读的第二条第</w:t>
      </w:r>
      <w:r>
        <w:rPr>
          <w:rFonts w:hint="eastAsia"/>
        </w:rPr>
        <w:t>3</w:t>
      </w:r>
      <w:r>
        <w:rPr>
          <w:rFonts w:hint="eastAsia"/>
        </w:rPr>
        <w:t>款行为的受害者。《任择议定书》于</w:t>
      </w:r>
      <w:r>
        <w:rPr>
          <w:rFonts w:hint="eastAsia"/>
        </w:rPr>
        <w:t>1989</w:t>
      </w:r>
      <w:r>
        <w:rPr>
          <w:rFonts w:hint="eastAsia"/>
        </w:rPr>
        <w:t>年</w:t>
      </w:r>
      <w:r>
        <w:rPr>
          <w:rFonts w:hint="eastAsia"/>
        </w:rPr>
        <w:t>11</w:t>
      </w:r>
      <w:r>
        <w:rPr>
          <w:rFonts w:hint="eastAsia"/>
        </w:rPr>
        <w:t>月</w:t>
      </w:r>
      <w:r>
        <w:rPr>
          <w:rFonts w:hint="eastAsia"/>
        </w:rPr>
        <w:t>22</w:t>
      </w:r>
      <w:r>
        <w:rPr>
          <w:rFonts w:hint="eastAsia"/>
        </w:rPr>
        <w:t>日对缔约国生效。提交人由律师代理。</w:t>
      </w:r>
    </w:p>
    <w:p w:rsidR="00D968EC" w:rsidRPr="00382BD8" w:rsidRDefault="00D968EC" w:rsidP="00B81B8D">
      <w:pPr>
        <w:pStyle w:val="H23GC"/>
      </w:pPr>
      <w:r w:rsidRPr="00382BD8">
        <w:tab/>
      </w:r>
      <w:r w:rsidRPr="00382BD8">
        <w:tab/>
      </w:r>
      <w:r w:rsidRPr="00CE7984">
        <w:rPr>
          <w:rFonts w:hint="eastAsia"/>
        </w:rPr>
        <w:t>事实背景</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2.1</w:t>
      </w:r>
      <w:r w:rsidRPr="00382BD8">
        <w:tab/>
      </w:r>
      <w:r>
        <w:rPr>
          <w:rFonts w:hint="eastAsia"/>
        </w:rPr>
        <w:t>2004</w:t>
      </w:r>
      <w:r>
        <w:rPr>
          <w:rFonts w:hint="eastAsia"/>
        </w:rPr>
        <w:t>年</w:t>
      </w:r>
      <w:r>
        <w:rPr>
          <w:rFonts w:hint="eastAsia"/>
        </w:rPr>
        <w:t>9</w:t>
      </w:r>
      <w:r>
        <w:rPr>
          <w:rFonts w:hint="eastAsia"/>
        </w:rPr>
        <w:t>月</w:t>
      </w:r>
      <w:r>
        <w:rPr>
          <w:rFonts w:hint="eastAsia"/>
        </w:rPr>
        <w:t>8</w:t>
      </w:r>
      <w:r>
        <w:rPr>
          <w:rFonts w:hint="eastAsia"/>
        </w:rPr>
        <w:t>日清晨，</w:t>
      </w:r>
      <w:proofErr w:type="spellStart"/>
      <w:r w:rsidRPr="00382BD8">
        <w:t>Japalali</w:t>
      </w:r>
      <w:proofErr w:type="spellEnd"/>
      <w:r>
        <w:rPr>
          <w:rFonts w:hint="eastAsia"/>
        </w:rPr>
        <w:t>先生及其妻子</w:t>
      </w:r>
      <w:proofErr w:type="spellStart"/>
      <w:r w:rsidRPr="00382BD8">
        <w:t>Baloyo-Japalali</w:t>
      </w:r>
      <w:proofErr w:type="spellEnd"/>
      <w:r>
        <w:rPr>
          <w:rFonts w:hint="eastAsia"/>
        </w:rPr>
        <w:t>女士在家睡觉时，遭到菲律宾军方</w:t>
      </w:r>
      <w:r>
        <w:rPr>
          <w:rFonts w:hint="eastAsia"/>
        </w:rPr>
        <w:t>8</w:t>
      </w:r>
      <w:r>
        <w:rPr>
          <w:rFonts w:hint="eastAsia"/>
        </w:rPr>
        <w:t>名成员用步枪反复枪击。这</w:t>
      </w:r>
      <w:r>
        <w:rPr>
          <w:rFonts w:hint="eastAsia"/>
        </w:rPr>
        <w:t>8</w:t>
      </w:r>
      <w:r>
        <w:rPr>
          <w:rFonts w:hint="eastAsia"/>
        </w:rPr>
        <w:t>名士兵属于</w:t>
      </w:r>
      <w:r>
        <w:rPr>
          <w:rFonts w:hint="eastAsia"/>
        </w:rPr>
        <w:t>32</w:t>
      </w:r>
      <w:r>
        <w:rPr>
          <w:rFonts w:hint="eastAsia"/>
        </w:rPr>
        <w:t>名士兵组成的一个排，受调遣参加一次“打击行动”，他们是其中的四个班之一，。他们</w:t>
      </w:r>
      <w:proofErr w:type="gramStart"/>
      <w:r>
        <w:rPr>
          <w:rFonts w:hint="eastAsia"/>
        </w:rPr>
        <w:t>朝住宅</w:t>
      </w:r>
      <w:proofErr w:type="gramEnd"/>
      <w:r>
        <w:rPr>
          <w:rFonts w:hint="eastAsia"/>
        </w:rPr>
        <w:t>的枪击持续了</w:t>
      </w:r>
      <w:r>
        <w:rPr>
          <w:rFonts w:hint="eastAsia"/>
        </w:rPr>
        <w:t>10</w:t>
      </w:r>
      <w:r>
        <w:rPr>
          <w:rFonts w:hint="eastAsia"/>
        </w:rPr>
        <w:t>分钟。</w:t>
      </w:r>
      <w:proofErr w:type="spellStart"/>
      <w:r w:rsidRPr="00382BD8">
        <w:t>Baloyo-Japalali</w:t>
      </w:r>
      <w:proofErr w:type="spellEnd"/>
      <w:r>
        <w:rPr>
          <w:rFonts w:hint="eastAsia"/>
        </w:rPr>
        <w:t>女士背部中枪，当时她已受伤，倒在住宅的台阶上，正在呼救。</w:t>
      </w:r>
      <w:proofErr w:type="spellStart"/>
      <w:r>
        <w:rPr>
          <w:rFonts w:hint="eastAsia"/>
        </w:rPr>
        <w:t>Japalali</w:t>
      </w:r>
      <w:proofErr w:type="spellEnd"/>
      <w:r>
        <w:rPr>
          <w:rFonts w:hint="eastAsia"/>
        </w:rPr>
        <w:t>夫妇的邻居</w:t>
      </w:r>
      <w:proofErr w:type="spellStart"/>
      <w:r w:rsidRPr="00382BD8">
        <w:t>Rosalim</w:t>
      </w:r>
      <w:proofErr w:type="spellEnd"/>
      <w:r w:rsidRPr="00382BD8">
        <w:t xml:space="preserve"> </w:t>
      </w:r>
      <w:proofErr w:type="spellStart"/>
      <w:r w:rsidRPr="00382BD8">
        <w:t>Padama</w:t>
      </w:r>
      <w:proofErr w:type="spellEnd"/>
      <w:r>
        <w:rPr>
          <w:rFonts w:hint="eastAsia"/>
        </w:rPr>
        <w:t>和</w:t>
      </w:r>
      <w:proofErr w:type="spellStart"/>
      <w:r w:rsidRPr="00382BD8">
        <w:t>Osmalic</w:t>
      </w:r>
      <w:proofErr w:type="spellEnd"/>
      <w:r w:rsidRPr="00382BD8">
        <w:t xml:space="preserve"> </w:t>
      </w:r>
      <w:proofErr w:type="spellStart"/>
      <w:r w:rsidRPr="00382BD8">
        <w:t>Ladia</w:t>
      </w:r>
      <w:proofErr w:type="spellEnd"/>
      <w:r>
        <w:rPr>
          <w:rFonts w:hint="eastAsia"/>
        </w:rPr>
        <w:t>前来救助</w:t>
      </w:r>
      <w:proofErr w:type="spellStart"/>
      <w:r w:rsidRPr="00382BD8">
        <w:t>Baloyo-Japalali</w:t>
      </w:r>
      <w:proofErr w:type="spellEnd"/>
      <w:r>
        <w:rPr>
          <w:rFonts w:hint="eastAsia"/>
        </w:rPr>
        <w:t>女士。一名士兵说他们可以送她去医院，于是他们将她扶起，但据称士兵继续朝他们开枪，在邻居们带离</w:t>
      </w:r>
      <w:proofErr w:type="spellStart"/>
      <w:r w:rsidRPr="00382BD8">
        <w:t>Baloyo-Japalali</w:t>
      </w:r>
      <w:proofErr w:type="spellEnd"/>
      <w:r>
        <w:rPr>
          <w:rFonts w:hint="eastAsia"/>
        </w:rPr>
        <w:t>女士时击中了她的脚。</w:t>
      </w:r>
      <w:proofErr w:type="spellStart"/>
      <w:r w:rsidRPr="00382BD8">
        <w:t>Japalali</w:t>
      </w:r>
      <w:proofErr w:type="spellEnd"/>
      <w:r>
        <w:rPr>
          <w:rFonts w:hint="eastAsia"/>
        </w:rPr>
        <w:t>先生在住宅遭受枪击期间当场死亡，</w:t>
      </w:r>
      <w:proofErr w:type="spellStart"/>
      <w:r w:rsidRPr="00382BD8">
        <w:t>Baloyo-Japalali</w:t>
      </w:r>
      <w:proofErr w:type="spellEnd"/>
      <w:r>
        <w:rPr>
          <w:rFonts w:hint="eastAsia"/>
        </w:rPr>
        <w:t>女士在到达医院后不久死亡。</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2.2</w:t>
      </w:r>
      <w:r w:rsidRPr="00382BD8">
        <w:tab/>
      </w:r>
      <w:r w:rsidRPr="00831E58">
        <w:t>2004</w:t>
      </w:r>
      <w:r w:rsidRPr="00831E58">
        <w:t>年</w:t>
      </w:r>
      <w:r w:rsidRPr="00831E58">
        <w:t>9</w:t>
      </w:r>
      <w:r w:rsidRPr="00831E58">
        <w:t>月</w:t>
      </w:r>
      <w:r w:rsidRPr="00831E58">
        <w:t>21</w:t>
      </w:r>
      <w:r w:rsidRPr="00831E58">
        <w:t>日，塔古姆市检察官办公室指控设在棉兰老岛孔波斯特拉谷省</w:t>
      </w:r>
      <w:proofErr w:type="spellStart"/>
      <w:r w:rsidRPr="00831E58">
        <w:t>Mawab</w:t>
      </w:r>
      <w:proofErr w:type="spellEnd"/>
      <w:r w:rsidRPr="00831E58">
        <w:t>的菲律宾陆军第</w:t>
      </w:r>
      <w:r w:rsidRPr="00831E58">
        <w:t>44</w:t>
      </w:r>
      <w:r w:rsidRPr="00831E58">
        <w:t>师的</w:t>
      </w:r>
      <w:r w:rsidRPr="00831E58">
        <w:t>8</w:t>
      </w:r>
      <w:r w:rsidRPr="00831E58">
        <w:t>名成员犯有两项杀人罪。</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2.3</w:t>
      </w:r>
      <w:r w:rsidRPr="00382BD8">
        <w:tab/>
      </w:r>
      <w:r>
        <w:rPr>
          <w:rFonts w:hint="eastAsia"/>
        </w:rPr>
        <w:t>2013</w:t>
      </w:r>
      <w:r>
        <w:rPr>
          <w:rFonts w:hint="eastAsia"/>
        </w:rPr>
        <w:t>年</w:t>
      </w:r>
      <w:r>
        <w:rPr>
          <w:rFonts w:hint="eastAsia"/>
        </w:rPr>
        <w:t>10</w:t>
      </w:r>
      <w:r>
        <w:rPr>
          <w:rFonts w:hint="eastAsia"/>
        </w:rPr>
        <w:t>月</w:t>
      </w:r>
      <w:r>
        <w:rPr>
          <w:rFonts w:hint="eastAsia"/>
        </w:rPr>
        <w:t>23</w:t>
      </w:r>
      <w:r>
        <w:rPr>
          <w:rFonts w:hint="eastAsia"/>
        </w:rPr>
        <w:t>日，北达沃省塔古姆市地区审判法院第</w:t>
      </w:r>
      <w:r>
        <w:rPr>
          <w:rFonts w:hint="eastAsia"/>
        </w:rPr>
        <w:t>31</w:t>
      </w:r>
      <w:r>
        <w:rPr>
          <w:rFonts w:hint="eastAsia"/>
        </w:rPr>
        <w:t>法庭宣布所有被告无罪。虽然法院认定，被告造成</w:t>
      </w:r>
      <w:proofErr w:type="spellStart"/>
      <w:r w:rsidRPr="00382BD8">
        <w:t>Japalali</w:t>
      </w:r>
      <w:proofErr w:type="spellEnd"/>
      <w:r>
        <w:rPr>
          <w:rFonts w:hint="eastAsia"/>
        </w:rPr>
        <w:t>先生和</w:t>
      </w:r>
      <w:proofErr w:type="spellStart"/>
      <w:r w:rsidRPr="00382BD8">
        <w:t>Baloyo-Japalali</w:t>
      </w:r>
      <w:proofErr w:type="spellEnd"/>
      <w:r>
        <w:rPr>
          <w:rFonts w:hint="eastAsia"/>
        </w:rPr>
        <w:t>女士死亡被证明属实，但法院认为，被告是根据上级下达的合法命令行事的。法院适用了经修订的《菲律宾刑法》第</w:t>
      </w:r>
      <w:r>
        <w:rPr>
          <w:rFonts w:hint="eastAsia"/>
        </w:rPr>
        <w:t>11</w:t>
      </w:r>
      <w:r>
        <w:rPr>
          <w:rFonts w:hint="eastAsia"/>
        </w:rPr>
        <w:t>条，其中列出一系列“正当情况”。经修订的《刑法》第</w:t>
      </w:r>
      <w:r>
        <w:rPr>
          <w:rFonts w:hint="eastAsia"/>
        </w:rPr>
        <w:t>11</w:t>
      </w:r>
      <w:r>
        <w:rPr>
          <w:rFonts w:hint="eastAsia"/>
        </w:rPr>
        <w:t>条第</w:t>
      </w:r>
      <w:r>
        <w:rPr>
          <w:rFonts w:hint="eastAsia"/>
        </w:rPr>
        <w:t>6</w:t>
      </w:r>
      <w:r>
        <w:rPr>
          <w:rFonts w:hint="eastAsia"/>
        </w:rPr>
        <w:t>款规定：“下列情况不承担任何刑事责任：</w:t>
      </w:r>
      <w:r w:rsidRPr="006800EC">
        <w:rPr>
          <w:rFonts w:hint="eastAsia"/>
          <w:position w:val="-6"/>
        </w:rPr>
        <w:t>……</w:t>
      </w:r>
      <w:r>
        <w:rPr>
          <w:rFonts w:hint="eastAsia"/>
        </w:rPr>
        <w:t>任何人为服从上级出于某种合法目的所下达的命令而行事时”</w:t>
      </w:r>
      <w:r w:rsidR="00B81B8D">
        <w:rPr>
          <w:rFonts w:hint="eastAsia"/>
        </w:rPr>
        <w:t>。</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2.4</w:t>
      </w:r>
      <w:r w:rsidRPr="00382BD8">
        <w:tab/>
      </w:r>
      <w:r>
        <w:rPr>
          <w:rFonts w:hint="eastAsia"/>
        </w:rPr>
        <w:t>法院指出，在该案中，没有争议的是，被告的直属上级出于某种合法目的下达了一项命令，即核实是否存在一个武装团体，并在必要时与其交战。在确定下级是否使用合法手段执行命令时，法院注意到，市检察官认为，该班配备了步枪，并在没有受到任何挑衅的情况下向一栋简陋的棚屋开火，而且没有首先核实其中是否确实存在一个武装团体。受害者似乎正在睡觉，</w:t>
      </w:r>
      <w:proofErr w:type="spellStart"/>
      <w:r w:rsidRPr="00382BD8">
        <w:t>Japalali</w:t>
      </w:r>
      <w:proofErr w:type="spellEnd"/>
      <w:r>
        <w:rPr>
          <w:rFonts w:hint="eastAsia"/>
        </w:rPr>
        <w:t>先生的尸体被发现躺在蚊帐中证实了这一点。然而，法院认为，包括</w:t>
      </w:r>
      <w:proofErr w:type="spellStart"/>
      <w:r w:rsidRPr="00382BD8">
        <w:t>Japalali</w:t>
      </w:r>
      <w:proofErr w:type="spellEnd"/>
      <w:r>
        <w:rPr>
          <w:rFonts w:hint="eastAsia"/>
        </w:rPr>
        <w:t>先生的迷彩服和蚊帐褶皱上的血迹在内的其他要素表明，现场可能受到破坏，尸体可能是被搬进蚊帐的，并指出，士兵在枪击后没有立即保护杀人现场，两小时后调查警察到达现场才对其予以封锁。法院还认为，被告是“久经沙场的老兵”，因此很可能确实在开枪前遭到了枪击。此外，法院认为“令人费解”的是，士兵们在允许</w:t>
      </w:r>
      <w:proofErr w:type="spellStart"/>
      <w:r>
        <w:rPr>
          <w:rFonts w:hint="eastAsia"/>
        </w:rPr>
        <w:t>Ladia</w:t>
      </w:r>
      <w:proofErr w:type="spellEnd"/>
      <w:r>
        <w:rPr>
          <w:rFonts w:hint="eastAsia"/>
        </w:rPr>
        <w:t>先生和</w:t>
      </w:r>
      <w:proofErr w:type="spellStart"/>
      <w:r>
        <w:rPr>
          <w:rFonts w:hint="eastAsia"/>
        </w:rPr>
        <w:t>Padama</w:t>
      </w:r>
      <w:proofErr w:type="spellEnd"/>
      <w:r>
        <w:rPr>
          <w:rFonts w:hint="eastAsia"/>
        </w:rPr>
        <w:t>女士扶起</w:t>
      </w:r>
      <w:proofErr w:type="spellStart"/>
      <w:r w:rsidRPr="00382BD8">
        <w:t>Baloyo-Japalali</w:t>
      </w:r>
      <w:proofErr w:type="spellEnd"/>
      <w:r>
        <w:rPr>
          <w:rFonts w:hint="eastAsia"/>
        </w:rPr>
        <w:t>女士并送她去医院之后仍然继续对她开枪。这一点以及犯罪现场有不属于军方制式步枪的弹壳“致使法院”对被告的责任“产生合理怀疑”。因此，法院得出结论认为，没有充分证据排除合理怀疑证明被告有罪。</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2.5</w:t>
      </w:r>
      <w:r w:rsidRPr="00382BD8">
        <w:tab/>
      </w:r>
      <w:r>
        <w:rPr>
          <w:rFonts w:hint="eastAsia"/>
        </w:rPr>
        <w:t>提交人声称，根据《宪法》所载的禁止</w:t>
      </w:r>
      <w:proofErr w:type="gramStart"/>
      <w:r>
        <w:rPr>
          <w:rFonts w:hint="eastAsia"/>
        </w:rPr>
        <w:t>一</w:t>
      </w:r>
      <w:proofErr w:type="gramEnd"/>
      <w:r>
        <w:rPr>
          <w:rFonts w:hint="eastAsia"/>
        </w:rPr>
        <w:t>罪二审的规定，不可能根据菲律宾法律对无罪裁决提起上诉。</w:t>
      </w:r>
      <w:r w:rsidRPr="00EC6295">
        <w:rPr>
          <w:rStyle w:val="a8"/>
          <w:rFonts w:eastAsia="宋体"/>
        </w:rPr>
        <w:footnoteReference w:id="5"/>
      </w:r>
      <w:r w:rsidR="00734C60">
        <w:rPr>
          <w:rFonts w:hint="eastAsia"/>
        </w:rPr>
        <w:t xml:space="preserve"> </w:t>
      </w:r>
      <w:r>
        <w:rPr>
          <w:rFonts w:hint="eastAsia"/>
        </w:rPr>
        <w:t>因此，上诉不会有任何成功的可能。</w:t>
      </w:r>
    </w:p>
    <w:p w:rsidR="00D968EC" w:rsidRPr="00382BD8" w:rsidRDefault="00D968EC" w:rsidP="00B81B8D">
      <w:pPr>
        <w:pStyle w:val="H23GC"/>
      </w:pPr>
      <w:r w:rsidRPr="00382BD8">
        <w:tab/>
      </w:r>
      <w:r w:rsidRPr="00382BD8">
        <w:tab/>
      </w:r>
      <w:r w:rsidRPr="001D00ED">
        <w:rPr>
          <w:rFonts w:ascii="黑体" w:hAnsi="黑体" w:cs="Songti SC Regular" w:hint="eastAsia"/>
        </w:rPr>
        <w:t>申诉</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3.1</w:t>
      </w:r>
      <w:r w:rsidRPr="00382BD8">
        <w:tab/>
      </w:r>
      <w:r>
        <w:rPr>
          <w:rFonts w:hint="eastAsia"/>
        </w:rPr>
        <w:t>提交人声称，受害者根据第六条享有的权利受到侵犯。即使是上级下达的命令，这些命令也是非法的，因此导致的死亡仍然构成任意剥夺生命。他补充说，不得援引上级军官的命令作为法外处决等严重侵犯人权行为的理由。</w:t>
      </w:r>
      <w:r w:rsidRPr="00EC6295">
        <w:rPr>
          <w:rStyle w:val="a8"/>
          <w:rFonts w:eastAsia="宋体"/>
        </w:rPr>
        <w:footnoteReference w:id="6"/>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3.2</w:t>
      </w:r>
      <w:r w:rsidRPr="00382BD8">
        <w:tab/>
      </w:r>
      <w:r>
        <w:rPr>
          <w:rFonts w:hint="eastAsia"/>
        </w:rPr>
        <w:t>提交人坚称他根据《公约》第二条第</w:t>
      </w:r>
      <w:r>
        <w:rPr>
          <w:rFonts w:hint="eastAsia"/>
        </w:rPr>
        <w:t>3</w:t>
      </w:r>
      <w:r>
        <w:rPr>
          <w:rFonts w:hint="eastAsia"/>
        </w:rPr>
        <w:t>款享有的权利受到侵犯，因为他得不到有效补救，无法查明亲属死亡的真相，也无法伸张正义并获得充分赔偿。尽管他希望对无罪裁决提起上诉，但根据菲律宾法律，他不准这样做。</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3.3</w:t>
      </w:r>
      <w:r w:rsidRPr="00382BD8">
        <w:tab/>
      </w:r>
      <w:r>
        <w:rPr>
          <w:rFonts w:hint="eastAsia"/>
        </w:rPr>
        <w:t>提交人声称，他由合格、独立和无偏倚的法庭进行公正和公开审讯的权利受到侵犯，因为</w:t>
      </w:r>
      <w:proofErr w:type="gramStart"/>
      <w:r>
        <w:rPr>
          <w:rFonts w:hint="eastAsia"/>
        </w:rPr>
        <w:t>作出</w:t>
      </w:r>
      <w:proofErr w:type="gramEnd"/>
      <w:r>
        <w:rPr>
          <w:rFonts w:hint="eastAsia"/>
        </w:rPr>
        <w:t>无罪裁决的审判法院认为没有充分证据对这些士兵定罪，并以他们是服从合法命令为由为他们的行动辩护，尽管这种服从绝不能成为本案中的法外处决等严重侵犯人权行为的理由。提交人声称，这违反了与《公约》第十四条第</w:t>
      </w:r>
      <w:r>
        <w:rPr>
          <w:rFonts w:hint="eastAsia"/>
        </w:rPr>
        <w:t>1</w:t>
      </w:r>
      <w:r>
        <w:rPr>
          <w:rFonts w:hint="eastAsia"/>
        </w:rPr>
        <w:t>款一并解读的第二条第</w:t>
      </w:r>
      <w:r>
        <w:rPr>
          <w:rFonts w:hint="eastAsia"/>
        </w:rPr>
        <w:t>3</w:t>
      </w:r>
      <w:r>
        <w:rPr>
          <w:rFonts w:hint="eastAsia"/>
        </w:rPr>
        <w:t>款。</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3.4</w:t>
      </w:r>
      <w:r w:rsidRPr="00382BD8">
        <w:tab/>
      </w:r>
      <w:r>
        <w:rPr>
          <w:rFonts w:hint="eastAsia"/>
        </w:rPr>
        <w:t>提交人请委员会要求缔约国：</w:t>
      </w:r>
      <w:r>
        <w:rPr>
          <w:rFonts w:hint="eastAsia"/>
        </w:rPr>
        <w:t xml:space="preserve">(a) </w:t>
      </w:r>
      <w:r>
        <w:rPr>
          <w:rFonts w:hint="eastAsia"/>
        </w:rPr>
        <w:t>立即采取有效步骤，对受害者遭受的侵权行为予以补救，查明真相，确保伸张正义，提供适当赔偿；</w:t>
      </w:r>
      <w:r>
        <w:rPr>
          <w:rFonts w:hint="eastAsia"/>
        </w:rPr>
        <w:t xml:space="preserve">(b) </w:t>
      </w:r>
      <w:r>
        <w:rPr>
          <w:rFonts w:hint="eastAsia"/>
        </w:rPr>
        <w:t>确保今后不再发生类似的侵权行为。</w:t>
      </w:r>
    </w:p>
    <w:p w:rsidR="00D968EC" w:rsidRPr="00382BD8" w:rsidRDefault="00D968EC" w:rsidP="00B81B8D">
      <w:pPr>
        <w:pStyle w:val="H23GC"/>
      </w:pPr>
      <w:r w:rsidRPr="00382BD8">
        <w:tab/>
      </w:r>
      <w:r w:rsidRPr="00382BD8">
        <w:tab/>
      </w:r>
      <w:r w:rsidRPr="004E71B0">
        <w:rPr>
          <w:rFonts w:hint="eastAsia"/>
        </w:rPr>
        <w:t>缔约国关于</w:t>
      </w:r>
      <w:r>
        <w:rPr>
          <w:rFonts w:hint="eastAsia"/>
        </w:rPr>
        <w:t>可否受理和</w:t>
      </w:r>
      <w:r w:rsidRPr="004E71B0">
        <w:rPr>
          <w:rFonts w:hint="eastAsia"/>
        </w:rPr>
        <w:t>案情的意见</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4.1</w:t>
      </w:r>
      <w:r w:rsidRPr="00382BD8">
        <w:tab/>
      </w:r>
      <w:r>
        <w:rPr>
          <w:rFonts w:hint="eastAsia"/>
        </w:rPr>
        <w:t>缔约国在</w:t>
      </w:r>
      <w:r>
        <w:rPr>
          <w:rFonts w:hint="eastAsia"/>
        </w:rPr>
        <w:t>2015</w:t>
      </w:r>
      <w:r>
        <w:rPr>
          <w:rFonts w:hint="eastAsia"/>
        </w:rPr>
        <w:t>年</w:t>
      </w:r>
      <w:r>
        <w:rPr>
          <w:rFonts w:hint="eastAsia"/>
        </w:rPr>
        <w:t>3</w:t>
      </w:r>
      <w:r>
        <w:rPr>
          <w:rFonts w:hint="eastAsia"/>
        </w:rPr>
        <w:t>月</w:t>
      </w:r>
      <w:r>
        <w:rPr>
          <w:rFonts w:hint="eastAsia"/>
        </w:rPr>
        <w:t>20</w:t>
      </w:r>
      <w:r>
        <w:rPr>
          <w:rFonts w:hint="eastAsia"/>
        </w:rPr>
        <w:t>日的意见中指出，</w:t>
      </w:r>
      <w:r>
        <w:rPr>
          <w:rFonts w:hint="eastAsia"/>
        </w:rPr>
        <w:t>2004</w:t>
      </w:r>
      <w:r>
        <w:rPr>
          <w:rFonts w:hint="eastAsia"/>
        </w:rPr>
        <w:t>年</w:t>
      </w:r>
      <w:r>
        <w:rPr>
          <w:rFonts w:hint="eastAsia"/>
        </w:rPr>
        <w:t>9</w:t>
      </w:r>
      <w:r>
        <w:rPr>
          <w:rFonts w:hint="eastAsia"/>
        </w:rPr>
        <w:t>月的第一周，菲律宾陆军第</w:t>
      </w:r>
      <w:r>
        <w:rPr>
          <w:rFonts w:hint="eastAsia"/>
        </w:rPr>
        <w:t>44</w:t>
      </w:r>
      <w:r>
        <w:rPr>
          <w:rFonts w:hint="eastAsia"/>
        </w:rPr>
        <w:t>师接到情报部门的消息称，有人看到</w:t>
      </w:r>
      <w:proofErr w:type="spellStart"/>
      <w:r>
        <w:rPr>
          <w:rFonts w:hint="eastAsia"/>
        </w:rPr>
        <w:t>Sitio</w:t>
      </w:r>
      <w:proofErr w:type="spellEnd"/>
      <w:r>
        <w:rPr>
          <w:rFonts w:hint="eastAsia"/>
        </w:rPr>
        <w:t xml:space="preserve"> </w:t>
      </w:r>
      <w:proofErr w:type="spellStart"/>
      <w:r>
        <w:rPr>
          <w:rFonts w:hint="eastAsia"/>
        </w:rPr>
        <w:t>Talaba</w:t>
      </w:r>
      <w:proofErr w:type="spellEnd"/>
      <w:r>
        <w:rPr>
          <w:rFonts w:hint="eastAsia"/>
        </w:rPr>
        <w:t>附近出现</w:t>
      </w:r>
      <w:r>
        <w:rPr>
          <w:rFonts w:hint="eastAsia"/>
        </w:rPr>
        <w:t>30</w:t>
      </w:r>
      <w:r>
        <w:rPr>
          <w:rFonts w:hint="eastAsia"/>
        </w:rPr>
        <w:t>至</w:t>
      </w:r>
      <w:r>
        <w:rPr>
          <w:rFonts w:hint="eastAsia"/>
        </w:rPr>
        <w:t>40</w:t>
      </w:r>
      <w:r>
        <w:rPr>
          <w:rFonts w:hint="eastAsia"/>
        </w:rPr>
        <w:t>名属于菲律宾南部分离主义团体的武装人员。该师司令官接到在该地区发动一次“打击行动”的命令。</w:t>
      </w:r>
      <w:r>
        <w:rPr>
          <w:rFonts w:hint="eastAsia"/>
        </w:rPr>
        <w:t>2004</w:t>
      </w:r>
      <w:r>
        <w:rPr>
          <w:rFonts w:hint="eastAsia"/>
        </w:rPr>
        <w:t>年</w:t>
      </w:r>
      <w:r>
        <w:rPr>
          <w:rFonts w:hint="eastAsia"/>
        </w:rPr>
        <w:t>9</w:t>
      </w:r>
      <w:r>
        <w:rPr>
          <w:rFonts w:hint="eastAsia"/>
        </w:rPr>
        <w:t>月</w:t>
      </w:r>
      <w:r>
        <w:rPr>
          <w:rFonts w:hint="eastAsia"/>
        </w:rPr>
        <w:t>8</w:t>
      </w:r>
      <w:r>
        <w:rPr>
          <w:rFonts w:hint="eastAsia"/>
        </w:rPr>
        <w:t>日清晨，一个排被派往</w:t>
      </w:r>
      <w:proofErr w:type="spellStart"/>
      <w:r>
        <w:rPr>
          <w:rFonts w:hint="eastAsia"/>
        </w:rPr>
        <w:t>Sitio</w:t>
      </w:r>
      <w:proofErr w:type="spellEnd"/>
      <w:r>
        <w:rPr>
          <w:rFonts w:hint="eastAsia"/>
        </w:rPr>
        <w:t xml:space="preserve"> </w:t>
      </w:r>
      <w:proofErr w:type="spellStart"/>
      <w:r>
        <w:rPr>
          <w:rFonts w:hint="eastAsia"/>
        </w:rPr>
        <w:t>Talaba</w:t>
      </w:r>
      <w:proofErr w:type="spellEnd"/>
      <w:r>
        <w:rPr>
          <w:rFonts w:hint="eastAsia"/>
        </w:rPr>
        <w:t>，以核实是否存在一个武装团体，并在必要时与其交战。他们包围了两所住宅，其中包括</w:t>
      </w:r>
      <w:proofErr w:type="spellStart"/>
      <w:r w:rsidRPr="00382BD8">
        <w:t>Japalali</w:t>
      </w:r>
      <w:proofErr w:type="spellEnd"/>
      <w:r>
        <w:rPr>
          <w:rFonts w:hint="eastAsia"/>
        </w:rPr>
        <w:t>一家的住宅。一名军官从一扇敞开的窗户向屋内窥视，看到一名男子用枪指着他。这名军官跑回班队时，有人从住宅内开了枪。由于被要求保持警惕并在必要时与敌方交战，全班用</w:t>
      </w:r>
      <w:proofErr w:type="spellStart"/>
      <w:r>
        <w:rPr>
          <w:rFonts w:hint="eastAsia"/>
        </w:rPr>
        <w:t>M16</w:t>
      </w:r>
      <w:proofErr w:type="spellEnd"/>
      <w:r>
        <w:rPr>
          <w:rFonts w:hint="eastAsia"/>
        </w:rPr>
        <w:t xml:space="preserve"> </w:t>
      </w:r>
      <w:proofErr w:type="spellStart"/>
      <w:r>
        <w:rPr>
          <w:rFonts w:hint="eastAsia"/>
        </w:rPr>
        <w:t>Armalite</w:t>
      </w:r>
      <w:proofErr w:type="spellEnd"/>
      <w:r>
        <w:rPr>
          <w:rFonts w:hint="eastAsia"/>
        </w:rPr>
        <w:t>步枪进行了还击。</w:t>
      </w:r>
      <w:proofErr w:type="spellStart"/>
      <w:r w:rsidRPr="00382BD8">
        <w:t>Japalali</w:t>
      </w:r>
      <w:proofErr w:type="spellEnd"/>
      <w:r>
        <w:rPr>
          <w:rFonts w:hint="eastAsia"/>
        </w:rPr>
        <w:t>先生当场被杀，</w:t>
      </w:r>
      <w:proofErr w:type="spellStart"/>
      <w:r w:rsidRPr="00382BD8">
        <w:t>Baloyo-Japalali</w:t>
      </w:r>
      <w:proofErr w:type="spellEnd"/>
      <w:r>
        <w:rPr>
          <w:rFonts w:hint="eastAsia"/>
        </w:rPr>
        <w:t>女士在到达医院后不久死亡。缔约国指出，</w:t>
      </w:r>
      <w:proofErr w:type="spellStart"/>
      <w:r w:rsidRPr="00382BD8">
        <w:t>Japalali</w:t>
      </w:r>
      <w:proofErr w:type="spellEnd"/>
      <w:r>
        <w:rPr>
          <w:rFonts w:hint="eastAsia"/>
        </w:rPr>
        <w:t>先生是摩洛民族解放阵线的活跃成员，这一团体是菲律宾南部分离主义团体的一个派系。</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4.2</w:t>
      </w:r>
      <w:r w:rsidRPr="00382BD8">
        <w:tab/>
      </w:r>
      <w:r w:rsidRPr="00614A91">
        <w:t>缔约国主张来文不可受理，因为提交人并未用尽所有的国内补救办法。</w:t>
      </w:r>
      <w:r w:rsidRPr="000763DD">
        <w:t>虽然无罪判决是最终判决，基于《宪法》禁止</w:t>
      </w:r>
      <w:proofErr w:type="gramStart"/>
      <w:r w:rsidRPr="000763DD">
        <w:t>一</w:t>
      </w:r>
      <w:proofErr w:type="gramEnd"/>
      <w:r w:rsidRPr="000763DD">
        <w:t>罪二审的规定，不得根据菲律宾法律对其提起上诉，但《宪法》第</w:t>
      </w:r>
      <w:r w:rsidRPr="000763DD">
        <w:t>8</w:t>
      </w:r>
      <w:r w:rsidRPr="000763DD">
        <w:t>条第</w:t>
      </w:r>
      <w:r w:rsidRPr="000763DD">
        <w:t>1</w:t>
      </w:r>
      <w:r w:rsidRPr="000763DD">
        <w:t>款允许对刑事案件的无罪判决进行司法审查。</w:t>
      </w:r>
      <w:r w:rsidRPr="00EC6295">
        <w:rPr>
          <w:rStyle w:val="a8"/>
          <w:rFonts w:eastAsia="宋体"/>
        </w:rPr>
        <w:footnoteReference w:id="7"/>
      </w:r>
      <w:r w:rsidR="00734C60">
        <w:rPr>
          <w:rFonts w:hint="eastAsia"/>
        </w:rPr>
        <w:t xml:space="preserve"> </w:t>
      </w:r>
      <w:r w:rsidRPr="007B2DE0">
        <w:t>根据经修订的《法院规则》第</w:t>
      </w:r>
      <w:r w:rsidRPr="007B2DE0">
        <w:t>65</w:t>
      </w:r>
      <w:r w:rsidRPr="007B2DE0">
        <w:t>条，可以通过申请调卷对无罪判决进行审查，这是适用于</w:t>
      </w:r>
      <w:r>
        <w:rPr>
          <w:rFonts w:hint="eastAsia"/>
        </w:rPr>
        <w:t>“</w:t>
      </w:r>
      <w:r w:rsidRPr="007B2DE0">
        <w:t>缺乏或滥用管辖权</w:t>
      </w:r>
      <w:r>
        <w:rPr>
          <w:rFonts w:hint="eastAsia"/>
        </w:rPr>
        <w:t>”</w:t>
      </w:r>
      <w:r w:rsidRPr="007B2DE0">
        <w:t>的案件的一种特殊民事诉讼。</w:t>
      </w:r>
      <w:r w:rsidRPr="00EC6295">
        <w:rPr>
          <w:rStyle w:val="a8"/>
          <w:rFonts w:eastAsia="宋体"/>
        </w:rPr>
        <w:footnoteReference w:id="8"/>
      </w:r>
      <w:r w:rsidR="00734C60">
        <w:rPr>
          <w:rFonts w:hint="eastAsia"/>
        </w:rPr>
        <w:t xml:space="preserve"> </w:t>
      </w:r>
      <w:r w:rsidRPr="0018352F">
        <w:t>这种申请不用于重新审查刑事案件中的事实和证据。</w:t>
      </w:r>
      <w:r w:rsidRPr="00307BE4">
        <w:t>其作用仅仅是对不具有管辖权或严重滥用酌</w:t>
      </w:r>
      <w:r>
        <w:t>处权并构成滥用或缺乏管辖权的法庭、委员会或</w:t>
      </w:r>
      <w:r w:rsidRPr="008A15CF">
        <w:rPr>
          <w:rFonts w:hint="eastAsia"/>
        </w:rPr>
        <w:t>机关</w:t>
      </w:r>
      <w:r w:rsidRPr="008A15CF">
        <w:t>所审</w:t>
      </w:r>
      <w:r>
        <w:t>理的诉讼</w:t>
      </w:r>
      <w:r w:rsidRPr="00307BE4">
        <w:t>予</w:t>
      </w:r>
      <w:r w:rsidRPr="001A4CB1">
        <w:t>以撤销或修改</w:t>
      </w:r>
      <w:r w:rsidRPr="00307BE4">
        <w:t>。</w:t>
      </w:r>
      <w:r>
        <w:rPr>
          <w:rFonts w:hint="eastAsia"/>
        </w:rPr>
        <w:t>“严重滥用酌处权”一般指</w:t>
      </w:r>
      <w:proofErr w:type="gramStart"/>
      <w:r>
        <w:rPr>
          <w:rFonts w:hint="eastAsia"/>
        </w:rPr>
        <w:t>作出</w:t>
      </w:r>
      <w:proofErr w:type="gramEnd"/>
      <w:r>
        <w:rPr>
          <w:rFonts w:hint="eastAsia"/>
        </w:rPr>
        <w:t>判决时具有任意性或反复无常，等同于缺乏管辖权。</w:t>
      </w:r>
      <w:r w:rsidRPr="00DC1D5C">
        <w:t>滥用酌处权的明显和严重程度必须相当于逃避一项积极的义务，或在实际上拒绝履行法律规定的义务或以考虑到法律的方式行事，或因激情和敌意以任意和专制的方式行事。</w:t>
      </w:r>
      <w:r w:rsidRPr="00CF63CD">
        <w:t>不能仅仅因为法</w:t>
      </w:r>
      <w:r>
        <w:t>院据称误用事实和证据或根据这种证据得出错误结论，就认为该法院</w:t>
      </w:r>
      <w:r w:rsidRPr="00CF63CD">
        <w:t>严重滥用酌处权。</w:t>
      </w:r>
      <w:r w:rsidRPr="00434FD4">
        <w:t>下达</w:t>
      </w:r>
      <w:proofErr w:type="gramStart"/>
      <w:r w:rsidRPr="00434FD4">
        <w:t>调卷令仅仅</w:t>
      </w:r>
      <w:proofErr w:type="gramEnd"/>
      <w:r w:rsidRPr="00434FD4">
        <w:t>是为了纠正管辖权</w:t>
      </w:r>
      <w:r>
        <w:rPr>
          <w:rFonts w:hint="eastAsia"/>
        </w:rPr>
        <w:t>方面</w:t>
      </w:r>
      <w:r w:rsidRPr="00434FD4">
        <w:t>的错误，而不是为了纠正审判法院在结果和结论方面的失误或错误。</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4.3</w:t>
      </w:r>
      <w:r w:rsidRPr="00382BD8">
        <w:tab/>
      </w:r>
      <w:r>
        <w:rPr>
          <w:rFonts w:hint="eastAsia"/>
        </w:rPr>
        <w:t>缔约国声称，提交人可用的另一种国内补救办法是在这一罪行的刑事诉讼之外另提起一项民事诉讼。</w:t>
      </w:r>
      <w:r w:rsidRPr="003D5566">
        <w:t>对</w:t>
      </w:r>
      <w:r>
        <w:rPr>
          <w:rFonts w:hint="eastAsia"/>
        </w:rPr>
        <w:t>于</w:t>
      </w:r>
      <w:r>
        <w:t>被告在刑事诉讼中因罪行未得到排除合理怀疑的证明而</w:t>
      </w:r>
      <w:r w:rsidRPr="003D5566">
        <w:t>宣布无罪的案件，</w:t>
      </w:r>
      <w:r>
        <w:rPr>
          <w:rFonts w:hint="eastAsia"/>
        </w:rPr>
        <w:t>新《民法》第</w:t>
      </w:r>
      <w:r>
        <w:rPr>
          <w:rFonts w:hint="eastAsia"/>
        </w:rPr>
        <w:t>29</w:t>
      </w:r>
      <w:r>
        <w:rPr>
          <w:rFonts w:hint="eastAsia"/>
        </w:rPr>
        <w:t>条</w:t>
      </w:r>
      <w:r w:rsidRPr="003D5566">
        <w:t>为原告</w:t>
      </w:r>
      <w:r>
        <w:rPr>
          <w:rFonts w:hint="eastAsia"/>
        </w:rPr>
        <w:t>清楚明确地</w:t>
      </w:r>
      <w:r w:rsidRPr="003D5566">
        <w:t>规定了一种补救办法。</w:t>
      </w:r>
    </w:p>
    <w:p w:rsidR="00D968EC" w:rsidRPr="008052A6" w:rsidRDefault="00D968EC" w:rsidP="00D968EC">
      <w:pPr>
        <w:pStyle w:val="SingleTxtGC"/>
        <w:tabs>
          <w:tab w:val="clear" w:pos="431"/>
          <w:tab w:val="clear" w:pos="1134"/>
          <w:tab w:val="clear" w:pos="1565"/>
          <w:tab w:val="clear" w:pos="1996"/>
          <w:tab w:val="clear" w:pos="2427"/>
          <w:tab w:val="left" w:pos="1701"/>
        </w:tabs>
      </w:pPr>
      <w:r w:rsidRPr="00382BD8">
        <w:t>4.4</w:t>
      </w:r>
      <w:r w:rsidRPr="00382BD8">
        <w:tab/>
      </w:r>
      <w:r>
        <w:rPr>
          <w:rFonts w:hint="eastAsia"/>
        </w:rPr>
        <w:t>缔约国还声称，提交人本可以根据《</w:t>
      </w:r>
      <w:r w:rsidRPr="009C744D">
        <w:t>在司法部下设立不公正监禁或拘留受害者和暴力犯罪受害者索赔委员会的法案</w:t>
      </w:r>
      <w:r>
        <w:rPr>
          <w:rFonts w:hint="eastAsia"/>
        </w:rPr>
        <w:t>》要求赔偿。该法案允许暴力犯罪受害者申请不超过</w:t>
      </w:r>
      <w:r>
        <w:rPr>
          <w:rFonts w:hint="eastAsia"/>
        </w:rPr>
        <w:t>10</w:t>
      </w:r>
      <w:r w:rsidR="00734C60">
        <w:t>,</w:t>
      </w:r>
      <w:r>
        <w:rPr>
          <w:rFonts w:hint="eastAsia"/>
        </w:rPr>
        <w:t>000</w:t>
      </w:r>
      <w:r>
        <w:rPr>
          <w:rFonts w:hint="eastAsia"/>
        </w:rPr>
        <w:t>菲律宾比索</w:t>
      </w:r>
      <w:r>
        <w:rPr>
          <w:rFonts w:hint="eastAsia"/>
        </w:rPr>
        <w:t>(</w:t>
      </w:r>
      <w:r>
        <w:rPr>
          <w:rFonts w:hint="eastAsia"/>
        </w:rPr>
        <w:t>约</w:t>
      </w:r>
      <w:r>
        <w:rPr>
          <w:rFonts w:hint="eastAsia"/>
        </w:rPr>
        <w:t>190</w:t>
      </w:r>
      <w:r>
        <w:rPr>
          <w:rFonts w:hint="eastAsia"/>
        </w:rPr>
        <w:t>美元</w:t>
      </w:r>
      <w:r>
        <w:rPr>
          <w:rFonts w:hint="eastAsia"/>
        </w:rPr>
        <w:t>)</w:t>
      </w:r>
      <w:r>
        <w:rPr>
          <w:rFonts w:hint="eastAsia"/>
        </w:rPr>
        <w:t>的补助金，以</w:t>
      </w:r>
      <w:proofErr w:type="gramStart"/>
      <w:r>
        <w:rPr>
          <w:rFonts w:hint="eastAsia"/>
        </w:rPr>
        <w:t>报销因</w:t>
      </w:r>
      <w:proofErr w:type="gramEnd"/>
      <w:r>
        <w:rPr>
          <w:rFonts w:hint="eastAsia"/>
        </w:rPr>
        <w:t>受伤产生的费用，包括医疗和心理治疗费用。该法案第</w:t>
      </w:r>
      <w:r>
        <w:rPr>
          <w:rFonts w:hint="eastAsia"/>
        </w:rPr>
        <w:t>6</w:t>
      </w:r>
      <w:r>
        <w:rPr>
          <w:rFonts w:hint="eastAsia"/>
        </w:rPr>
        <w:t>条规定，在受害者死亡的情况下，可由其亲属提出申请。</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4.5</w:t>
      </w:r>
      <w:r w:rsidRPr="00382BD8">
        <w:tab/>
      </w:r>
      <w:r>
        <w:rPr>
          <w:rFonts w:hint="eastAsia"/>
        </w:rPr>
        <w:t>缔约国辩称，提交人</w:t>
      </w:r>
      <w:r w:rsidRPr="001E55E5">
        <w:rPr>
          <w:rFonts w:hint="eastAsia"/>
        </w:rPr>
        <w:t>默示寻求</w:t>
      </w:r>
      <w:r>
        <w:rPr>
          <w:rFonts w:hint="eastAsia"/>
        </w:rPr>
        <w:t>对最终裁决进行重新审理，以期使无罪判决得到审查、推翻或撤销。提交人寻求的救济不符合《公约》第十四条第</w:t>
      </w:r>
      <w:r>
        <w:rPr>
          <w:rFonts w:hint="eastAsia"/>
        </w:rPr>
        <w:t>7</w:t>
      </w:r>
      <w:r>
        <w:rPr>
          <w:rFonts w:hint="eastAsia"/>
        </w:rPr>
        <w:t>款，该条款保护被告不受</w:t>
      </w:r>
      <w:proofErr w:type="gramStart"/>
      <w:r>
        <w:rPr>
          <w:rFonts w:hint="eastAsia"/>
        </w:rPr>
        <w:t>一</w:t>
      </w:r>
      <w:proofErr w:type="gramEnd"/>
      <w:r>
        <w:rPr>
          <w:rFonts w:hint="eastAsia"/>
        </w:rPr>
        <w:t>罪二审。这一禁令也是菲律宾法律中的一项宪法保障，体现于</w:t>
      </w:r>
      <w:proofErr w:type="gramStart"/>
      <w:r>
        <w:rPr>
          <w:rFonts w:hint="eastAsia"/>
        </w:rPr>
        <w:t>一</w:t>
      </w:r>
      <w:proofErr w:type="gramEnd"/>
      <w:r>
        <w:rPr>
          <w:rFonts w:hint="eastAsia"/>
        </w:rPr>
        <w:t>罪</w:t>
      </w:r>
      <w:proofErr w:type="gramStart"/>
      <w:r>
        <w:rPr>
          <w:rFonts w:hint="eastAsia"/>
        </w:rPr>
        <w:t>不</w:t>
      </w:r>
      <w:proofErr w:type="gramEnd"/>
      <w:r>
        <w:rPr>
          <w:rFonts w:hint="eastAsia"/>
        </w:rPr>
        <w:t>二审原则，目的是：</w:t>
      </w:r>
      <w:r>
        <w:rPr>
          <w:rFonts w:hint="eastAsia"/>
        </w:rPr>
        <w:t xml:space="preserve">(a) </w:t>
      </w:r>
      <w:r>
        <w:rPr>
          <w:rFonts w:hint="eastAsia"/>
        </w:rPr>
        <w:t>防止国家利用刑事诉讼程序作为骚扰手段，通过大量案件的多次审判拖垮被告；</w:t>
      </w:r>
      <w:r>
        <w:rPr>
          <w:rFonts w:hint="eastAsia"/>
        </w:rPr>
        <w:t xml:space="preserve">(b) </w:t>
      </w:r>
      <w:r>
        <w:rPr>
          <w:rFonts w:hint="eastAsia"/>
        </w:rPr>
        <w:t>防止国家对已被宣告无罪的被告进行连续多次审讯，以确保定罪；</w:t>
      </w:r>
      <w:r>
        <w:rPr>
          <w:rFonts w:hint="eastAsia"/>
        </w:rPr>
        <w:t xml:space="preserve">(c) </w:t>
      </w:r>
      <w:r>
        <w:rPr>
          <w:rFonts w:hint="eastAsia"/>
        </w:rPr>
        <w:t>防止国家对已定罪的被告进行重审，以期对其处以更重的惩罚。无罪判决为最终判决的规则仅限于无罪的裁定，应理解为出于对“安宁”的需要或了解个人责任确切范围的愿望。毕竟，检方始终负有排除合理怀疑证明被告有罪的举证责任。正如菲律宾最高法院经常重申的：“放过十个可能犯有被控罪行的人，好过将一个无辜的人因其未犯的罪行而定罪”。</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4.6</w:t>
      </w:r>
      <w:r w:rsidRPr="00382BD8">
        <w:tab/>
      </w:r>
      <w:r>
        <w:rPr>
          <w:rFonts w:hint="eastAsia"/>
        </w:rPr>
        <w:t>缔约国补充说，国家法律所规定的权利是由国家创造的，受其制定和解释法律的主权权力制约。根据已决案件原则，不得再质疑法院对菲律宾凶杀法律的实质性条款所作的解释。因此，本来文应被视为不可受理，因为它将构成</w:t>
      </w:r>
      <w:proofErr w:type="gramStart"/>
      <w:r>
        <w:rPr>
          <w:rFonts w:hint="eastAsia"/>
        </w:rPr>
        <w:t>一</w:t>
      </w:r>
      <w:proofErr w:type="gramEnd"/>
      <w:r>
        <w:rPr>
          <w:rFonts w:hint="eastAsia"/>
        </w:rPr>
        <w:t>罪二审。</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4.7</w:t>
      </w:r>
      <w:r w:rsidRPr="00382BD8">
        <w:tab/>
      </w:r>
      <w:r>
        <w:rPr>
          <w:rFonts w:hint="eastAsia"/>
        </w:rPr>
        <w:t>关于案情，缔约国指出，菲律宾法律制度规定，刑事案件中存在宪法规定的无罪推定原则，正当程序保障要求不得认定被告有罪，除非国家在合法审理中通过对证人进行直接质证和交叉质证来评估问题和证据，并在此之后承担了排除合理怀疑证明被告有罪的责任。合理怀疑标准在确保相关事实的真实性方面至关重要。这一标准对于确保社区在自由社会中尊重刑法也是不可或缺的。</w:t>
      </w:r>
    </w:p>
    <w:p w:rsidR="00D968EC" w:rsidRDefault="00D968EC" w:rsidP="00D968EC">
      <w:pPr>
        <w:pStyle w:val="SingleTxtGC"/>
        <w:tabs>
          <w:tab w:val="clear" w:pos="431"/>
          <w:tab w:val="clear" w:pos="1134"/>
          <w:tab w:val="clear" w:pos="1565"/>
          <w:tab w:val="clear" w:pos="1996"/>
          <w:tab w:val="clear" w:pos="2427"/>
          <w:tab w:val="left" w:pos="1701"/>
        </w:tabs>
      </w:pPr>
      <w:r w:rsidRPr="00382BD8">
        <w:t>4.8</w:t>
      </w:r>
      <w:r w:rsidRPr="00382BD8">
        <w:tab/>
      </w:r>
      <w:r>
        <w:rPr>
          <w:rFonts w:hint="eastAsia"/>
        </w:rPr>
        <w:t>在本案中，所有正当程序要求都得到了体现：塔古姆市地区审判法院具有审议这一事项的司法权；它对被告和罪行的管辖权是合法获得的；检方和被告都有机会陈述意见；判决是在合法审理后作出的。所有被告都适当接受了全面审判，自诉人由检察官直接控制和监督。检方提出了</w:t>
      </w:r>
      <w:r>
        <w:rPr>
          <w:rFonts w:hint="eastAsia"/>
        </w:rPr>
        <w:t>12</w:t>
      </w:r>
      <w:r>
        <w:rPr>
          <w:rFonts w:hint="eastAsia"/>
        </w:rPr>
        <w:t>名证人，辩方提出</w:t>
      </w:r>
      <w:r>
        <w:rPr>
          <w:rFonts w:hint="eastAsia"/>
        </w:rPr>
        <w:t>10</w:t>
      </w:r>
      <w:r>
        <w:rPr>
          <w:rFonts w:hint="eastAsia"/>
        </w:rPr>
        <w:t>名证人。当事各方都有机会和时间提出其证据。检方未能排除所有合理怀疑证明被告有罪，因此被告被无罪释放。缔约国列举了导致这一结果的以下因素：</w:t>
      </w:r>
      <w:r>
        <w:rPr>
          <w:rFonts w:hint="eastAsia"/>
        </w:rPr>
        <w:t xml:space="preserve">(a) </w:t>
      </w:r>
      <w:r>
        <w:rPr>
          <w:rFonts w:hint="eastAsia"/>
        </w:rPr>
        <w:t>有可靠情报称受害者的住宅附近有</w:t>
      </w:r>
      <w:r>
        <w:rPr>
          <w:rFonts w:hint="eastAsia"/>
        </w:rPr>
        <w:t>30</w:t>
      </w:r>
      <w:r>
        <w:rPr>
          <w:rFonts w:hint="eastAsia"/>
        </w:rPr>
        <w:t>至</w:t>
      </w:r>
      <w:r>
        <w:rPr>
          <w:rFonts w:hint="eastAsia"/>
        </w:rPr>
        <w:t>40</w:t>
      </w:r>
      <w:r>
        <w:rPr>
          <w:rFonts w:hint="eastAsia"/>
        </w:rPr>
        <w:t>名武装人员，因此被告奉上级命令开展行动；</w:t>
      </w:r>
      <w:r>
        <w:rPr>
          <w:rFonts w:hint="eastAsia"/>
        </w:rPr>
        <w:t xml:space="preserve">(b) </w:t>
      </w:r>
      <w:r>
        <w:rPr>
          <w:rFonts w:hint="eastAsia"/>
        </w:rPr>
        <w:t>行动是在黑暗和雾气中进行的，被告在此期间遭受枪击，导致与身份不明的</w:t>
      </w:r>
      <w:r w:rsidRPr="00F22C41">
        <w:rPr>
          <w:rFonts w:hint="eastAsia"/>
          <w:spacing w:val="4"/>
        </w:rPr>
        <w:t>武装团体发生武装交火，根据事后在现场发现的弹壳所显示，</w:t>
      </w:r>
      <w:r>
        <w:rPr>
          <w:rFonts w:hint="eastAsia"/>
        </w:rPr>
        <w:t>该团体使用的武器与被告使用的武器不同；</w:t>
      </w:r>
      <w:r>
        <w:rPr>
          <w:rFonts w:hint="eastAsia"/>
        </w:rPr>
        <w:t xml:space="preserve">(c) </w:t>
      </w:r>
      <w:r>
        <w:rPr>
          <w:rFonts w:hint="eastAsia"/>
        </w:rPr>
        <w:t>提交人确认</w:t>
      </w:r>
      <w:proofErr w:type="spellStart"/>
      <w:r>
        <w:rPr>
          <w:rFonts w:hint="eastAsia"/>
        </w:rPr>
        <w:t>Japalali</w:t>
      </w:r>
      <w:proofErr w:type="spellEnd"/>
      <w:r>
        <w:rPr>
          <w:rFonts w:hint="eastAsia"/>
        </w:rPr>
        <w:t>先生是武装分离主义团体摩洛民族解放阵线的活跃成员；</w:t>
      </w:r>
      <w:r>
        <w:rPr>
          <w:rFonts w:hint="eastAsia"/>
        </w:rPr>
        <w:t xml:space="preserve">(d) </w:t>
      </w:r>
      <w:proofErr w:type="spellStart"/>
      <w:r>
        <w:rPr>
          <w:rFonts w:hint="eastAsia"/>
        </w:rPr>
        <w:t>Japalali</w:t>
      </w:r>
      <w:proofErr w:type="spellEnd"/>
      <w:r>
        <w:rPr>
          <w:rFonts w:hint="eastAsia"/>
        </w:rPr>
        <w:t>先生死亡时身穿迷彩服，这是分离主义团体成员经常穿的服装；</w:t>
      </w:r>
      <w:r>
        <w:rPr>
          <w:rFonts w:hint="eastAsia"/>
        </w:rPr>
        <w:t xml:space="preserve">(e) </w:t>
      </w:r>
      <w:r>
        <w:rPr>
          <w:rFonts w:hint="eastAsia"/>
        </w:rPr>
        <w:t>检方没有质疑关于出现涉嫌武装分离主义叛乱分子的情报或关于打击行动的命令的合法性；</w:t>
      </w:r>
      <w:r>
        <w:rPr>
          <w:rFonts w:hint="eastAsia"/>
        </w:rPr>
        <w:t xml:space="preserve">(f) </w:t>
      </w:r>
      <w:r>
        <w:rPr>
          <w:rFonts w:hint="eastAsia"/>
        </w:rPr>
        <w:t>法院注意到，没有任何迹象表明</w:t>
      </w:r>
      <w:proofErr w:type="spellStart"/>
      <w:r>
        <w:rPr>
          <w:rFonts w:hint="eastAsia"/>
        </w:rPr>
        <w:t>Japalali</w:t>
      </w:r>
      <w:proofErr w:type="spellEnd"/>
      <w:r>
        <w:rPr>
          <w:rFonts w:hint="eastAsia"/>
        </w:rPr>
        <w:t>先生膝前的血泊或蚊帐褶皱上的血迹属于他，而且蚊帐上没有弹孔；</w:t>
      </w:r>
      <w:r>
        <w:rPr>
          <w:rFonts w:hint="eastAsia"/>
        </w:rPr>
        <w:t>(g</w:t>
      </w:r>
      <w:r w:rsidRPr="00F22C41">
        <w:rPr>
          <w:rFonts w:hint="eastAsia"/>
          <w:spacing w:val="4"/>
        </w:rPr>
        <w:t xml:space="preserve">) </w:t>
      </w:r>
      <w:r w:rsidRPr="00F22C41">
        <w:rPr>
          <w:rFonts w:hint="eastAsia"/>
          <w:spacing w:val="8"/>
        </w:rPr>
        <w:t>犯罪现场受到污染或破坏，因为在警方到达之前已有平民出现在现场</w:t>
      </w:r>
      <w:r>
        <w:rPr>
          <w:rFonts w:hint="eastAsia"/>
        </w:rPr>
        <w:t>；</w:t>
      </w:r>
      <w:r>
        <w:rPr>
          <w:rFonts w:hint="eastAsia"/>
        </w:rPr>
        <w:t xml:space="preserve">(h) </w:t>
      </w:r>
      <w:r>
        <w:rPr>
          <w:rFonts w:hint="eastAsia"/>
        </w:rPr>
        <w:t>有人作证说看到</w:t>
      </w:r>
      <w:proofErr w:type="spellStart"/>
      <w:r>
        <w:rPr>
          <w:rFonts w:hint="eastAsia"/>
        </w:rPr>
        <w:t>Japalali</w:t>
      </w:r>
      <w:proofErr w:type="spellEnd"/>
      <w:r>
        <w:rPr>
          <w:rFonts w:hint="eastAsia"/>
        </w:rPr>
        <w:t>先生的尸体在地板上，而不是在蚊帐内；</w:t>
      </w:r>
      <w:r>
        <w:rPr>
          <w:rFonts w:hint="eastAsia"/>
        </w:rPr>
        <w:t>(</w:t>
      </w:r>
      <w:proofErr w:type="spellStart"/>
      <w:r>
        <w:rPr>
          <w:rFonts w:hint="eastAsia"/>
        </w:rPr>
        <w:t>i</w:t>
      </w:r>
      <w:proofErr w:type="spellEnd"/>
      <w:r>
        <w:rPr>
          <w:rFonts w:hint="eastAsia"/>
        </w:rPr>
        <w:t xml:space="preserve">) </w:t>
      </w:r>
      <w:r>
        <w:rPr>
          <w:rFonts w:hint="eastAsia"/>
        </w:rPr>
        <w:t>有人看到</w:t>
      </w:r>
      <w:proofErr w:type="spellStart"/>
      <w:r>
        <w:rPr>
          <w:rFonts w:hint="eastAsia"/>
        </w:rPr>
        <w:t>Japalali</w:t>
      </w:r>
      <w:proofErr w:type="spellEnd"/>
      <w:r>
        <w:rPr>
          <w:rFonts w:hint="eastAsia"/>
        </w:rPr>
        <w:t>先生的兄弟</w:t>
      </w:r>
      <w:proofErr w:type="spellStart"/>
      <w:r>
        <w:rPr>
          <w:rFonts w:hint="eastAsia"/>
        </w:rPr>
        <w:t>Talab</w:t>
      </w:r>
      <w:proofErr w:type="spellEnd"/>
      <w:r>
        <w:rPr>
          <w:rFonts w:hint="eastAsia"/>
        </w:rPr>
        <w:t>在警方到达前出入受害者的住所；</w:t>
      </w:r>
      <w:r>
        <w:rPr>
          <w:rFonts w:hint="eastAsia"/>
        </w:rPr>
        <w:t xml:space="preserve">(j) </w:t>
      </w:r>
      <w:r>
        <w:rPr>
          <w:rFonts w:hint="eastAsia"/>
        </w:rPr>
        <w:t>如果没有受到挑衅</w:t>
      </w:r>
      <w:proofErr w:type="gramStart"/>
      <w:r>
        <w:rPr>
          <w:rFonts w:hint="eastAsia"/>
        </w:rPr>
        <w:t>或首先</w:t>
      </w:r>
      <w:proofErr w:type="gramEnd"/>
      <w:r>
        <w:rPr>
          <w:rFonts w:hint="eastAsia"/>
        </w:rPr>
        <w:t>遭受枪击，被告是不会进行枪战的。</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4.9</w:t>
      </w:r>
      <w:r w:rsidRPr="00382BD8">
        <w:tab/>
      </w:r>
      <w:r>
        <w:rPr>
          <w:rFonts w:hint="eastAsia"/>
        </w:rPr>
        <w:t>缔约国主张，提交人是在质疑缔约国法院对事实和证据的评估以及对国内法律的适用。缔约国指出，没有证据表明地区审判法院的诉讼程序具有任意性或构成司法不公。提交人虽然对</w:t>
      </w:r>
      <w:proofErr w:type="gramStart"/>
      <w:r>
        <w:rPr>
          <w:rFonts w:hint="eastAsia"/>
        </w:rPr>
        <w:t>作出</w:t>
      </w:r>
      <w:proofErr w:type="gramEnd"/>
      <w:r>
        <w:rPr>
          <w:rFonts w:hint="eastAsia"/>
        </w:rPr>
        <w:t>无罪判决的法庭是否合格、独立和无偏倚提出质疑，但未能证实这种严重的指称。相反，缔约国指出，诉讼程序是公正的，其中不存在任何违规之处。提交人获得了程序性和实质性的正当程序。刑事诉讼中的个人原告聘请了自行选择的私人律师作为自诉人，并有充分机会提出证人</w:t>
      </w:r>
      <w:proofErr w:type="gramStart"/>
      <w:r>
        <w:rPr>
          <w:rFonts w:hint="eastAsia"/>
        </w:rPr>
        <w:t>和对辩方</w:t>
      </w:r>
      <w:proofErr w:type="gramEnd"/>
      <w:r>
        <w:rPr>
          <w:rFonts w:hint="eastAsia"/>
        </w:rPr>
        <w:t>证人进行交叉质证。提交人没有指出诉讼程序中存在任何违规之处，而只是对法院的裁决提出质疑。然而，委员会不是起诉失败的上诉法庭，也不干预国家专属管辖权范围内的事项，特别是在确定被告有罪或无罪方面。这样做会损害司法机构的独立性，违反了《联合国宪章》第二条第七款。</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4.10</w:t>
      </w:r>
      <w:r w:rsidRPr="00382BD8">
        <w:tab/>
      </w:r>
      <w:r>
        <w:rPr>
          <w:rFonts w:hint="eastAsia"/>
        </w:rPr>
        <w:t>缔约国主张，这些军官造成受害者死亡的行动既不是非法的，也不是任意的，因此没有违反《公约》第六条。</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女士是在一次合法的军事打击行动中被杀的。这次行动是由上级下达的命令，其目的和手段都是合法的。</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4.11</w:t>
      </w:r>
      <w:r w:rsidRPr="00382BD8">
        <w:tab/>
      </w:r>
      <w:r>
        <w:rPr>
          <w:rFonts w:hint="eastAsia"/>
        </w:rPr>
        <w:t>由于未能排除合理怀疑证明被告有罪，控方也未能推翻无罪推定原则。在这一背景下，宣告被告无罪不仅是被告的权利，也是法院的宪法义务。地区审判法院正确地为被告的清白伸张了正义。</w:t>
      </w:r>
    </w:p>
    <w:p w:rsidR="00D968EC" w:rsidRPr="00382BD8" w:rsidRDefault="00D968EC" w:rsidP="00D968EC">
      <w:pPr>
        <w:pStyle w:val="SingleTxtGC"/>
        <w:tabs>
          <w:tab w:val="clear" w:pos="431"/>
          <w:tab w:val="clear" w:pos="1134"/>
          <w:tab w:val="clear" w:pos="1565"/>
          <w:tab w:val="clear" w:pos="1996"/>
          <w:tab w:val="clear" w:pos="2427"/>
          <w:tab w:val="left" w:pos="1701"/>
        </w:tabs>
      </w:pPr>
      <w:r>
        <w:t>4.12</w:t>
      </w:r>
      <w:r>
        <w:tab/>
      </w:r>
      <w:r>
        <w:rPr>
          <w:rFonts w:hint="eastAsia"/>
        </w:rPr>
        <w:t>缔约国辩称，在国家法律制度内充分获得各种程序但未能如愿的诉讼当事人不得要求与其他公民不同的待遇，因为这将侵犯所有公民依法受到平等保护的权利。</w:t>
      </w:r>
    </w:p>
    <w:p w:rsidR="00D968EC" w:rsidRPr="00382BD8" w:rsidRDefault="00D968EC" w:rsidP="009B1816">
      <w:pPr>
        <w:pStyle w:val="H23GC"/>
      </w:pPr>
      <w:r w:rsidRPr="00382BD8">
        <w:tab/>
      </w:r>
      <w:r w:rsidRPr="00382BD8">
        <w:tab/>
      </w:r>
      <w:r w:rsidRPr="00A052DE">
        <w:t>提交人对缔约国关于可否受理和案情意见的评论</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5.1</w:t>
      </w:r>
      <w:r w:rsidRPr="00382BD8">
        <w:tab/>
      </w:r>
      <w:r>
        <w:rPr>
          <w:rFonts w:hint="eastAsia"/>
        </w:rPr>
        <w:t>2015</w:t>
      </w:r>
      <w:r>
        <w:rPr>
          <w:rFonts w:hint="eastAsia"/>
        </w:rPr>
        <w:t>年</w:t>
      </w:r>
      <w:r>
        <w:rPr>
          <w:rFonts w:hint="eastAsia"/>
        </w:rPr>
        <w:t>11</w:t>
      </w:r>
      <w:r>
        <w:rPr>
          <w:rFonts w:hint="eastAsia"/>
        </w:rPr>
        <w:t>月</w:t>
      </w:r>
      <w:r>
        <w:rPr>
          <w:rFonts w:hint="eastAsia"/>
        </w:rPr>
        <w:t>5</w:t>
      </w:r>
      <w:r>
        <w:rPr>
          <w:rFonts w:hint="eastAsia"/>
        </w:rPr>
        <w:t>日，提交人指出，在其案件中没有可用的有效补救办法。可以根据经修订的《法院规则》第</w:t>
      </w:r>
      <w:r>
        <w:rPr>
          <w:rFonts w:hint="eastAsia"/>
        </w:rPr>
        <w:t>65</w:t>
      </w:r>
      <w:r>
        <w:rPr>
          <w:rFonts w:hint="eastAsia"/>
        </w:rPr>
        <w:t>条申请调卷，但这种办法只允许以严重滥用酌处权构成缺乏或滥用管辖权作为唯一可能的理由。根据这种补救办法，没有机会提出法律或事实方面的错误，因为它仅限于管辖权问题。</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5.2</w:t>
      </w:r>
      <w:r w:rsidRPr="00382BD8">
        <w:tab/>
      </w:r>
      <w:r>
        <w:rPr>
          <w:rFonts w:hint="eastAsia"/>
        </w:rPr>
        <w:t>缔约国辩称，提交人本可以根据新《民法》第</w:t>
      </w:r>
      <w:r>
        <w:rPr>
          <w:rFonts w:hint="eastAsia"/>
        </w:rPr>
        <w:t>29</w:t>
      </w:r>
      <w:r>
        <w:rPr>
          <w:rFonts w:hint="eastAsia"/>
        </w:rPr>
        <w:t>条另外提起一项民事诉讼要求赔偿损失，或根据《设立索赔委员会的法案》要求赔偿，提交人对此指出，将对任意剥夺生命伸张正义等同于金钱赔偿是不可接受的。</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5.3</w:t>
      </w:r>
      <w:r w:rsidRPr="00382BD8">
        <w:tab/>
      </w:r>
      <w:r>
        <w:rPr>
          <w:rFonts w:hint="eastAsia"/>
        </w:rPr>
        <w:t>提交人指出，现有的补救办法是无效的，缔约国有义务就违反《公约》第六条的行为向他提供有效的补救办法。他补充说，不应利用被告不受</w:t>
      </w:r>
      <w:proofErr w:type="gramStart"/>
      <w:r>
        <w:rPr>
          <w:rFonts w:hint="eastAsia"/>
        </w:rPr>
        <w:t>一</w:t>
      </w:r>
      <w:proofErr w:type="gramEnd"/>
      <w:r>
        <w:rPr>
          <w:rFonts w:hint="eastAsia"/>
        </w:rPr>
        <w:t>罪二审的权利来减损任意剥夺生命行为受害者的有效补救权。</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5.4</w:t>
      </w:r>
      <w:r w:rsidRPr="00382BD8">
        <w:tab/>
      </w:r>
      <w:r>
        <w:rPr>
          <w:rFonts w:hint="eastAsia"/>
        </w:rPr>
        <w:t>提交人指出，任意剥夺生命已得到事实证实，特别是受害者在睡觉时被枪击，以及军方的小队是在未受挑衅的情况下朝棚屋开枪的，而且没有首先核实附近是否有</w:t>
      </w:r>
      <w:r>
        <w:rPr>
          <w:rFonts w:hint="eastAsia"/>
        </w:rPr>
        <w:t>30</w:t>
      </w:r>
      <w:r>
        <w:rPr>
          <w:rFonts w:hint="eastAsia"/>
        </w:rPr>
        <w:t>至</w:t>
      </w:r>
      <w:r>
        <w:rPr>
          <w:rFonts w:hint="eastAsia"/>
        </w:rPr>
        <w:t>40</w:t>
      </w:r>
      <w:r>
        <w:rPr>
          <w:rFonts w:hint="eastAsia"/>
        </w:rPr>
        <w:t>人组成的武装团体。受害者没有采取任何行动证明他们所遭受的猛烈攻击是正当的。</w:t>
      </w:r>
    </w:p>
    <w:p w:rsidR="00D968EC" w:rsidRPr="00382BD8" w:rsidRDefault="00D968EC" w:rsidP="009B1816">
      <w:pPr>
        <w:pStyle w:val="H23GC"/>
      </w:pPr>
      <w:r w:rsidRPr="00382BD8">
        <w:tab/>
      </w:r>
      <w:r w:rsidRPr="00382BD8">
        <w:tab/>
      </w:r>
      <w:r w:rsidRPr="00613E36">
        <w:t>委员会需处理的问题和议事情况</w:t>
      </w:r>
    </w:p>
    <w:p w:rsidR="00D968EC" w:rsidRPr="00382BD8" w:rsidRDefault="00D968EC" w:rsidP="009B1816">
      <w:pPr>
        <w:pStyle w:val="H4GC"/>
      </w:pPr>
      <w:r w:rsidRPr="00382BD8">
        <w:tab/>
      </w:r>
      <w:r w:rsidRPr="00382BD8">
        <w:tab/>
      </w:r>
      <w:r w:rsidRPr="00630177">
        <w:rPr>
          <w:rFonts w:hint="eastAsia"/>
        </w:rPr>
        <w:t>审议可否受理</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6.1</w:t>
      </w:r>
      <w:r w:rsidRPr="00382BD8">
        <w:tab/>
      </w:r>
      <w:r w:rsidRPr="00D43276">
        <w:rPr>
          <w:rFonts w:ascii="宋体" w:hAnsi="宋体"/>
        </w:rPr>
        <w:t>在</w:t>
      </w:r>
      <w:r w:rsidRPr="00D43276">
        <w:rPr>
          <w:rFonts w:ascii="宋体" w:hAnsi="宋体" w:cs="Lantinghei SC Heavy"/>
        </w:rPr>
        <w:t>审议</w:t>
      </w:r>
      <w:r w:rsidRPr="00D43276">
        <w:rPr>
          <w:rFonts w:ascii="宋体" w:hAnsi="宋体"/>
        </w:rPr>
        <w:t>来文所</w:t>
      </w:r>
      <w:r w:rsidRPr="00D43276">
        <w:rPr>
          <w:rFonts w:ascii="宋体" w:hAnsi="宋体" w:cs="Lantinghei SC Heavy"/>
        </w:rPr>
        <w:t>载</w:t>
      </w:r>
      <w:r w:rsidRPr="00D43276">
        <w:rPr>
          <w:rFonts w:ascii="宋体" w:hAnsi="宋体"/>
        </w:rPr>
        <w:t>的任何申</w:t>
      </w:r>
      <w:r w:rsidRPr="00D43276">
        <w:rPr>
          <w:rFonts w:ascii="宋体" w:hAnsi="宋体" w:cs="Lantinghei SC Heavy"/>
        </w:rPr>
        <w:t>诉</w:t>
      </w:r>
      <w:r w:rsidRPr="00D43276">
        <w:rPr>
          <w:rFonts w:ascii="宋体" w:hAnsi="宋体"/>
        </w:rPr>
        <w:t>之前，委</w:t>
      </w:r>
      <w:r w:rsidRPr="00D43276">
        <w:rPr>
          <w:rFonts w:ascii="宋体" w:hAnsi="宋体" w:cs="Lantinghei SC Heavy"/>
        </w:rPr>
        <w:t>员</w:t>
      </w:r>
      <w:r w:rsidRPr="00D43276">
        <w:rPr>
          <w:rFonts w:ascii="宋体" w:hAnsi="宋体"/>
        </w:rPr>
        <w:t>会必</w:t>
      </w:r>
      <w:r w:rsidRPr="00D43276">
        <w:rPr>
          <w:rFonts w:ascii="宋体" w:hAnsi="宋体" w:cs="Lantinghei SC Heavy"/>
        </w:rPr>
        <w:t>须</w:t>
      </w:r>
      <w:r w:rsidRPr="00D43276">
        <w:rPr>
          <w:rFonts w:ascii="宋体" w:hAnsi="宋体"/>
        </w:rPr>
        <w:t>根据其</w:t>
      </w:r>
      <w:r w:rsidRPr="00D43276">
        <w:rPr>
          <w:rFonts w:ascii="宋体" w:hAnsi="宋体" w:cs="Lantinghei SC Heavy"/>
        </w:rPr>
        <w:t>议</w:t>
      </w:r>
      <w:r w:rsidRPr="00D43276">
        <w:rPr>
          <w:rFonts w:ascii="宋体" w:hAnsi="宋体"/>
        </w:rPr>
        <w:t>事</w:t>
      </w:r>
      <w:r w:rsidRPr="00D43276">
        <w:rPr>
          <w:rFonts w:ascii="宋体" w:hAnsi="宋体" w:cs="Lantinghei SC Heavy"/>
        </w:rPr>
        <w:t>规则</w:t>
      </w:r>
      <w:r w:rsidRPr="00D43276">
        <w:rPr>
          <w:rFonts w:ascii="宋体" w:hAnsi="宋体"/>
        </w:rPr>
        <w:t>第</w:t>
      </w:r>
      <w:r w:rsidRPr="00A46E16">
        <w:t>93</w:t>
      </w:r>
      <w:r w:rsidRPr="00D43276">
        <w:rPr>
          <w:rFonts w:ascii="宋体" w:hAnsi="宋体"/>
        </w:rPr>
        <w:t>条，决定</w:t>
      </w:r>
      <w:r w:rsidRPr="00D43276">
        <w:rPr>
          <w:rFonts w:ascii="宋体" w:hAnsi="宋体" w:cs="Lantinghei SC Heavy"/>
        </w:rPr>
        <w:t>该</w:t>
      </w:r>
      <w:r w:rsidRPr="00D43276">
        <w:rPr>
          <w:rFonts w:ascii="宋体" w:hAnsi="宋体"/>
        </w:rPr>
        <w:t>来文是否符合《任</w:t>
      </w:r>
      <w:r w:rsidRPr="00D43276">
        <w:rPr>
          <w:rFonts w:ascii="宋体" w:hAnsi="宋体" w:cs="Lantinghei SC Heavy"/>
        </w:rPr>
        <w:t>择议</w:t>
      </w:r>
      <w:r w:rsidRPr="00D43276">
        <w:rPr>
          <w:rFonts w:ascii="宋体" w:hAnsi="宋体"/>
        </w:rPr>
        <w:t>定</w:t>
      </w:r>
      <w:r w:rsidRPr="00D43276">
        <w:rPr>
          <w:rFonts w:ascii="宋体" w:hAnsi="宋体" w:cs="Lantinghei SC Heavy"/>
        </w:rPr>
        <w:t>书</w:t>
      </w:r>
      <w:r w:rsidRPr="00D43276">
        <w:rPr>
          <w:rFonts w:ascii="宋体" w:hAnsi="宋体"/>
        </w:rPr>
        <w:t>》</w:t>
      </w:r>
      <w:r w:rsidRPr="00D43276">
        <w:rPr>
          <w:rFonts w:ascii="宋体" w:hAnsi="宋体" w:cs="Lantinghei SC Heavy"/>
        </w:rPr>
        <w:t>规</w:t>
      </w:r>
      <w:r w:rsidRPr="00D43276">
        <w:rPr>
          <w:rFonts w:ascii="宋体" w:hAnsi="宋体"/>
        </w:rPr>
        <w:t>定的受理条件。</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6.2</w:t>
      </w:r>
      <w:r w:rsidRPr="00382BD8">
        <w:tab/>
      </w:r>
      <w:r w:rsidRPr="006929DF">
        <w:rPr>
          <w:rFonts w:hint="eastAsia"/>
        </w:rPr>
        <w:t>按照《任择议定书》第五条第</w:t>
      </w:r>
      <w:r w:rsidRPr="006929DF">
        <w:t>2</w:t>
      </w:r>
      <w:r w:rsidRPr="006929DF">
        <w:rPr>
          <w:rFonts w:hint="eastAsia"/>
        </w:rPr>
        <w:t>款</w:t>
      </w:r>
      <w:r w:rsidRPr="006929DF">
        <w:t>(</w:t>
      </w:r>
      <w:r w:rsidRPr="006929DF">
        <w:rPr>
          <w:rFonts w:hint="eastAsia"/>
        </w:rPr>
        <w:t>子</w:t>
      </w:r>
      <w:r w:rsidRPr="006929DF">
        <w:t>)</w:t>
      </w:r>
      <w:r w:rsidRPr="006929DF">
        <w:rPr>
          <w:rFonts w:hint="eastAsia"/>
        </w:rPr>
        <w:t>项的要求，委员会已确定同一事项不在另一国际调查或解决程序的审查之中。</w:t>
      </w:r>
    </w:p>
    <w:p w:rsidR="00D968EC" w:rsidRDefault="00D968EC" w:rsidP="00D968EC">
      <w:pPr>
        <w:pStyle w:val="SingleTxtGC"/>
        <w:tabs>
          <w:tab w:val="clear" w:pos="431"/>
          <w:tab w:val="clear" w:pos="1134"/>
          <w:tab w:val="clear" w:pos="1565"/>
          <w:tab w:val="clear" w:pos="1996"/>
          <w:tab w:val="clear" w:pos="2427"/>
          <w:tab w:val="left" w:pos="1701"/>
        </w:tabs>
      </w:pPr>
      <w:r w:rsidRPr="00382BD8">
        <w:t>6.3</w:t>
      </w:r>
      <w:r w:rsidRPr="00382BD8">
        <w:tab/>
      </w:r>
      <w:r>
        <w:rPr>
          <w:rFonts w:hint="eastAsia"/>
        </w:rPr>
        <w:t>委员会注意到缔约国关于未用尽国内补救办法的论点，因为提交人没有根据经修订的《法院规则》第</w:t>
      </w:r>
      <w:r>
        <w:rPr>
          <w:rFonts w:hint="eastAsia"/>
        </w:rPr>
        <w:t>65</w:t>
      </w:r>
      <w:r>
        <w:rPr>
          <w:rFonts w:hint="eastAsia"/>
        </w:rPr>
        <w:t>条申请调卷，也没有根据新《民法》第</w:t>
      </w:r>
      <w:r>
        <w:rPr>
          <w:rFonts w:hint="eastAsia"/>
        </w:rPr>
        <w:t>29</w:t>
      </w:r>
      <w:r>
        <w:rPr>
          <w:rFonts w:hint="eastAsia"/>
        </w:rPr>
        <w:t>条提起民事诉讼寻求赔偿，或是根据《设立索赔委员会的法案》申请向暴力犯罪行为受害者提供的补助金。</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6.4</w:t>
      </w:r>
      <w:r w:rsidRPr="00382BD8">
        <w:tab/>
      </w:r>
      <w:r>
        <w:rPr>
          <w:rFonts w:hint="eastAsia"/>
        </w:rPr>
        <w:t>关于申请调卷的补救办法，委员会注意到，正如缔约国所承认的，这种申请仅可用于质疑审判法院的管辖权，不能用于质疑对事实和证据的评估或甚至审查法律错误。缔约国承认，塔古姆市地区审判法院所作的无罪判决是最终判决，没有上诉的可能。在这一背景下，委员会认为，仅限于质疑审判法院管辖权的补救办法在本案中几乎没有成功的可能，也无法解决提交委员会的所称侵权行为的实质问题。因此，委员会认为，调卷申请就本来文而言是无效的。</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6.5</w:t>
      </w:r>
      <w:r w:rsidRPr="00382BD8">
        <w:tab/>
      </w:r>
      <w:r>
        <w:rPr>
          <w:rFonts w:hint="eastAsia"/>
        </w:rPr>
        <w:t>关于旨在寻求赔偿的民事补救办法，委员会回顾指出，对本来文所指控的任意剥夺生命等严重罪行的赔偿不能取代国家当局调查和起诉被指控行为人的义务。</w:t>
      </w:r>
      <w:r w:rsidRPr="00EC6295">
        <w:rPr>
          <w:rStyle w:val="a8"/>
          <w:rFonts w:eastAsia="宋体"/>
        </w:rPr>
        <w:footnoteReference w:id="9"/>
      </w:r>
      <w:r w:rsidR="00650BCA">
        <w:rPr>
          <w:rFonts w:hint="eastAsia"/>
        </w:rPr>
        <w:t xml:space="preserve"> </w:t>
      </w:r>
      <w:r>
        <w:rPr>
          <w:rFonts w:hint="eastAsia"/>
        </w:rPr>
        <w:t>因此，寻求赔偿的民事诉讼本身不能被视为针对严重侵犯人权行为的有效补救办法或就向委员会提出申诉而言需要用尽的补救办法。</w:t>
      </w:r>
      <w:r w:rsidRPr="00EC6295">
        <w:rPr>
          <w:rStyle w:val="a8"/>
          <w:rFonts w:eastAsia="宋体"/>
        </w:rPr>
        <w:footnoteReference w:id="10"/>
      </w:r>
      <w:r w:rsidR="005E0FF5">
        <w:rPr>
          <w:rFonts w:hint="eastAsia"/>
        </w:rPr>
        <w:t xml:space="preserve"> </w:t>
      </w:r>
      <w:r>
        <w:rPr>
          <w:rFonts w:hint="eastAsia"/>
        </w:rPr>
        <w:t>因此委员会认为，</w:t>
      </w:r>
      <w:r w:rsidRPr="00CA0807">
        <w:rPr>
          <w:rFonts w:hint="eastAsia"/>
        </w:rPr>
        <w:t>《任择议定书》第五条第</w:t>
      </w:r>
      <w:r w:rsidRPr="00CA0807">
        <w:rPr>
          <w:rFonts w:hint="eastAsia"/>
        </w:rPr>
        <w:t>2</w:t>
      </w:r>
      <w:r w:rsidRPr="00CA0807">
        <w:rPr>
          <w:rFonts w:hint="eastAsia"/>
        </w:rPr>
        <w:t>款</w:t>
      </w:r>
      <w:r w:rsidRPr="00CA0807">
        <w:rPr>
          <w:rFonts w:hint="eastAsia"/>
        </w:rPr>
        <w:t>(</w:t>
      </w:r>
      <w:r w:rsidRPr="00CA0807">
        <w:rPr>
          <w:rFonts w:hint="eastAsia"/>
        </w:rPr>
        <w:t>丑</w:t>
      </w:r>
      <w:r w:rsidRPr="00CA0807">
        <w:rPr>
          <w:rFonts w:hint="eastAsia"/>
        </w:rPr>
        <w:t>)</w:t>
      </w:r>
      <w:r w:rsidRPr="00CA0807">
        <w:rPr>
          <w:rFonts w:hint="eastAsia"/>
        </w:rPr>
        <w:t>项的要求</w:t>
      </w:r>
      <w:r>
        <w:rPr>
          <w:rFonts w:hint="eastAsia"/>
        </w:rPr>
        <w:t>已得到</w:t>
      </w:r>
      <w:r w:rsidRPr="00CA0807">
        <w:rPr>
          <w:rFonts w:hint="eastAsia"/>
        </w:rPr>
        <w:t>满足。</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6.6</w:t>
      </w:r>
      <w:r w:rsidRPr="00382BD8">
        <w:tab/>
      </w:r>
      <w:r>
        <w:rPr>
          <w:rFonts w:hint="eastAsia"/>
        </w:rPr>
        <w:t>委员会注意到，缔约国声称，提交人希望重新审理一起刑事案件，目的是推翻无罪判决，这不符合《公约》第十四条第</w:t>
      </w:r>
      <w:r>
        <w:rPr>
          <w:rFonts w:hint="eastAsia"/>
        </w:rPr>
        <w:t>7</w:t>
      </w:r>
      <w:r>
        <w:rPr>
          <w:rFonts w:hint="eastAsia"/>
        </w:rPr>
        <w:t>款。然而，委员会注意到，提交人申诉的依据是其亲属的生命权据称受到侵犯，而且没有有效补救办法和正当程序保障来处理这种严重侵权行为。委员会认为，确定提交人的有效补救权受到侵犯是否可能与第十四条第</w:t>
      </w:r>
      <w:r>
        <w:rPr>
          <w:rFonts w:hint="eastAsia"/>
        </w:rPr>
        <w:t>7</w:t>
      </w:r>
      <w:r>
        <w:rPr>
          <w:rFonts w:hint="eastAsia"/>
        </w:rPr>
        <w:t>款的规定相冲突，这是与本案案情密切相关的问题，因此应当作为审议案情的一部分予以审查。因此委员会认为，《任择议定书》第二</w:t>
      </w:r>
      <w:r w:rsidRPr="00CA0807">
        <w:rPr>
          <w:rFonts w:hint="eastAsia"/>
        </w:rPr>
        <w:t>条的要求</w:t>
      </w:r>
      <w:r>
        <w:rPr>
          <w:rFonts w:hint="eastAsia"/>
        </w:rPr>
        <w:t>已得到</w:t>
      </w:r>
      <w:r w:rsidRPr="00CA0807">
        <w:rPr>
          <w:rFonts w:hint="eastAsia"/>
        </w:rPr>
        <w:t>满足。</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6.7</w:t>
      </w:r>
      <w:r w:rsidRPr="00382BD8">
        <w:tab/>
      </w:r>
      <w:r>
        <w:rPr>
          <w:rFonts w:hint="eastAsia"/>
        </w:rPr>
        <w:t>委员会注意到提交人根据《公约》第十四条第</w:t>
      </w:r>
      <w:r>
        <w:rPr>
          <w:rFonts w:hint="eastAsia"/>
        </w:rPr>
        <w:t>1</w:t>
      </w:r>
      <w:r>
        <w:rPr>
          <w:rFonts w:hint="eastAsia"/>
        </w:rPr>
        <w:t>款提出的申诉。然而，委员会回顾指出，《公约》第十四条第</w:t>
      </w:r>
      <w:r>
        <w:rPr>
          <w:rFonts w:hint="eastAsia"/>
        </w:rPr>
        <w:t>1</w:t>
      </w:r>
      <w:r>
        <w:rPr>
          <w:rFonts w:hint="eastAsia"/>
        </w:rPr>
        <w:t>款保护的是面临刑事指控或其权利和义务正在法律诉讼中有待确认的人的权利。委员会指出，提交人不是对造成提交人兄弟及其妻子死亡的责任人提起国家刑事诉讼的当事方。因此，委员会认为这项申诉不符合《公约》的规定，并根据《任择议定书》第三条宣布其不可受理。</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6.8</w:t>
      </w:r>
      <w:r w:rsidRPr="00382BD8">
        <w:tab/>
      </w:r>
      <w:r>
        <w:t>委员会宣布，</w:t>
      </w:r>
      <w:r w:rsidRPr="00D336D7">
        <w:t>来文似乎提出了《公约》第六条第</w:t>
      </w:r>
      <w:r w:rsidRPr="00D336D7">
        <w:t>1</w:t>
      </w:r>
      <w:r w:rsidRPr="00D336D7">
        <w:t>款单独解读和与第二条第</w:t>
      </w:r>
      <w:r w:rsidRPr="00D336D7">
        <w:t>3</w:t>
      </w:r>
      <w:r w:rsidRPr="00D336D7">
        <w:t>款一并解读范围内的问题，因此可予受理，并开始审议案情。</w:t>
      </w:r>
    </w:p>
    <w:p w:rsidR="00D968EC" w:rsidRPr="00382BD8" w:rsidRDefault="00D968EC" w:rsidP="005E0FF5">
      <w:pPr>
        <w:pStyle w:val="H4GC"/>
      </w:pPr>
      <w:r w:rsidRPr="00382BD8">
        <w:tab/>
      </w:r>
      <w:r w:rsidRPr="00382BD8">
        <w:tab/>
      </w:r>
      <w:r w:rsidRPr="00CA0807">
        <w:rPr>
          <w:rFonts w:hint="eastAsia"/>
        </w:rPr>
        <w:t>审议案情</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7.1</w:t>
      </w:r>
      <w:r w:rsidRPr="00382BD8">
        <w:tab/>
      </w:r>
      <w:r>
        <w:t>委员会</w:t>
      </w:r>
      <w:r>
        <w:rPr>
          <w:rFonts w:hint="eastAsia"/>
        </w:rPr>
        <w:t>根据</w:t>
      </w:r>
      <w:r w:rsidRPr="00CA0807">
        <w:t>《任择议定书》第五条第</w:t>
      </w:r>
      <w:r w:rsidRPr="00CA0807">
        <w:t>1</w:t>
      </w:r>
      <w:r>
        <w:t>款，</w:t>
      </w:r>
      <w:r>
        <w:rPr>
          <w:rFonts w:hint="eastAsia"/>
        </w:rPr>
        <w:t>参照</w:t>
      </w:r>
      <w:r>
        <w:t>各方提供的所有资料审议了</w:t>
      </w:r>
      <w:r w:rsidRPr="00CA0807">
        <w:t>来文。</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7.2</w:t>
      </w:r>
      <w:r w:rsidRPr="00382BD8">
        <w:tab/>
      </w:r>
      <w:r>
        <w:rPr>
          <w:rFonts w:hint="eastAsia"/>
        </w:rPr>
        <w:t>委员会注意到，提交人声称，</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女士被菲律宾军方成员任意剥夺生命，因为即使这些成员是在服从上级命令，这种命令也是非法的，并且导致了构成任意剥夺生命的死亡。委员会注意到，缔约国承认，所涉军</w:t>
      </w:r>
      <w:r>
        <w:rPr>
          <w:rFonts w:hint="eastAsia"/>
          <w:lang w:val="fr-CH"/>
        </w:rPr>
        <w:t>人</w:t>
      </w:r>
      <w:r>
        <w:rPr>
          <w:rFonts w:hint="eastAsia"/>
        </w:rPr>
        <w:t>朝</w:t>
      </w:r>
      <w:proofErr w:type="spellStart"/>
      <w:r>
        <w:rPr>
          <w:rFonts w:hint="eastAsia"/>
        </w:rPr>
        <w:t>Japalali</w:t>
      </w:r>
      <w:proofErr w:type="spellEnd"/>
      <w:r>
        <w:rPr>
          <w:rFonts w:hint="eastAsia"/>
        </w:rPr>
        <w:t>夫妇的棚屋多次开枪，导致他们死亡。委员会还注意到，缔约国辩称，这是在根据这些军人的军事上级下达的合法命令所进行的打击行动的背景下实施的，目的是核实据称存在的一伙武装分离主义叛乱分子并最终与其交战，这一命令是合法执行的，因为所涉军方班队在开火前遭到枪击。</w:t>
      </w:r>
    </w:p>
    <w:p w:rsidR="00D968EC" w:rsidRPr="001C3613" w:rsidRDefault="00D968EC" w:rsidP="00D968EC">
      <w:pPr>
        <w:pStyle w:val="SingleTxtGC"/>
        <w:tabs>
          <w:tab w:val="clear" w:pos="431"/>
          <w:tab w:val="clear" w:pos="1134"/>
          <w:tab w:val="clear" w:pos="1565"/>
          <w:tab w:val="clear" w:pos="1996"/>
          <w:tab w:val="clear" w:pos="2427"/>
          <w:tab w:val="left" w:pos="1701"/>
        </w:tabs>
      </w:pPr>
      <w:r w:rsidRPr="00382BD8">
        <w:t>7.3</w:t>
      </w:r>
      <w:r w:rsidRPr="00382BD8">
        <w:tab/>
      </w:r>
      <w:r w:rsidRPr="001C3613">
        <w:t>委员会在关于生命权的第</w:t>
      </w:r>
      <w:r w:rsidRPr="001C3613">
        <w:t>36</w:t>
      </w:r>
      <w:r w:rsidRPr="001C3613">
        <w:t>号一般性意见</w:t>
      </w:r>
      <w:r w:rsidRPr="001C3613">
        <w:t>(2018</w:t>
      </w:r>
      <w:r w:rsidRPr="001C3613">
        <w:t>年</w:t>
      </w:r>
      <w:r w:rsidRPr="001C3613">
        <w:t>)</w:t>
      </w:r>
      <w:r w:rsidRPr="001C3613">
        <w:t>中回</w:t>
      </w:r>
      <w:r>
        <w:t>顾，生命权是一项不得减损的最高权利，即使在武装冲突和</w:t>
      </w:r>
      <w:r>
        <w:rPr>
          <w:rFonts w:hint="eastAsia"/>
        </w:rPr>
        <w:t>其他</w:t>
      </w:r>
      <w:r>
        <w:t>威胁国家</w:t>
      </w:r>
      <w:r>
        <w:rPr>
          <w:rFonts w:hint="eastAsia"/>
        </w:rPr>
        <w:t>存亡</w:t>
      </w:r>
      <w:r>
        <w:t>的</w:t>
      </w:r>
      <w:r w:rsidRPr="001C3613">
        <w:t>公共紧急情况下也是如此。</w:t>
      </w:r>
      <w:r>
        <w:rPr>
          <w:rFonts w:hint="eastAsia"/>
        </w:rPr>
        <w:t>委员会还回顾指出，《公约》第六条第</w:t>
      </w:r>
      <w:r>
        <w:rPr>
          <w:rFonts w:hint="eastAsia"/>
        </w:rPr>
        <w:t>1</w:t>
      </w:r>
      <w:r>
        <w:rPr>
          <w:rFonts w:hint="eastAsia"/>
        </w:rPr>
        <w:t>款禁止任意剥夺生命，一般而言，如果剥夺生命不符合国际法或国内法，则具有任意性。然而，委员会在同一项一般性意见中还回顾指出，国内法许可的剥夺生命仍然可能具有任意性。不应将“任意性”的概念完全等同于“违反法律”，而必须给予更广泛的解释，使其包括不适当、不公正、缺乏可预见性和正当法律程序以及合理性、必要性和相称性等要素。为执法目的使用可能致命的武力是一种极端措施，应仅限于在绝对必要的情况下才可采用，以保护生命或防止迫在眉睫的威胁造成严重伤害。</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7.4</w:t>
      </w:r>
      <w:r w:rsidRPr="00382BD8">
        <w:tab/>
      </w:r>
      <w:r>
        <w:rPr>
          <w:rFonts w:hint="eastAsia"/>
        </w:rPr>
        <w:t>在本案中，委员会注意到无可争议的事实是，由于一个班的</w:t>
      </w:r>
      <w:r>
        <w:rPr>
          <w:rFonts w:hint="eastAsia"/>
        </w:rPr>
        <w:t>8</w:t>
      </w:r>
      <w:r>
        <w:rPr>
          <w:rFonts w:hint="eastAsia"/>
        </w:rPr>
        <w:t>名士兵使用步枪多次射击，致使</w:t>
      </w:r>
      <w:proofErr w:type="spellStart"/>
      <w:r>
        <w:rPr>
          <w:rFonts w:hint="eastAsia"/>
        </w:rPr>
        <w:t>Japalali</w:t>
      </w:r>
      <w:proofErr w:type="spellEnd"/>
      <w:r>
        <w:rPr>
          <w:rFonts w:hint="eastAsia"/>
        </w:rPr>
        <w:t>先生在家中被杀以及</w:t>
      </w:r>
      <w:proofErr w:type="spellStart"/>
      <w:r w:rsidRPr="00382BD8">
        <w:t>Baloyo-Japalali</w:t>
      </w:r>
      <w:proofErr w:type="spellEnd"/>
      <w:r>
        <w:rPr>
          <w:rFonts w:hint="eastAsia"/>
        </w:rPr>
        <w:t>女士在到达医院不久后死亡。虽然缔约国辩称，这一行动是因为有情报表明据称在周边地区有</w:t>
      </w:r>
      <w:r>
        <w:rPr>
          <w:rFonts w:hint="eastAsia"/>
        </w:rPr>
        <w:t>30</w:t>
      </w:r>
      <w:r>
        <w:rPr>
          <w:rFonts w:hint="eastAsia"/>
        </w:rPr>
        <w:t>至</w:t>
      </w:r>
      <w:r>
        <w:rPr>
          <w:rFonts w:hint="eastAsia"/>
        </w:rPr>
        <w:t>40</w:t>
      </w:r>
      <w:r>
        <w:rPr>
          <w:rFonts w:hint="eastAsia"/>
        </w:rPr>
        <w:t>名武装分子，而且该班在开火前遭到枪击，但委员会注意到，缔约国没有提供任何资料表明</w:t>
      </w:r>
      <w:proofErr w:type="spellStart"/>
      <w:r>
        <w:rPr>
          <w:rFonts w:hint="eastAsia"/>
        </w:rPr>
        <w:t>Japalali</w:t>
      </w:r>
      <w:proofErr w:type="spellEnd"/>
      <w:r>
        <w:rPr>
          <w:rFonts w:hint="eastAsia"/>
        </w:rPr>
        <w:t>夫妇的住宅内或其周围实际存在任何武装人员，而仅仅声称在住宅地板上发现的弹药与军方所用的不同。然而，根据委员会掌握的资料，在枪击事件发生时在该住宅内没有发现任何其他人，在刑事诉讼中也没有查明屋内有任何其他人存在，也没有提供任何其他信息表明受害者本身在事发时携带了任何武器。委员会指出，缔约国没有提供任何具体资料，说明所涉武装部队在平民居住区执行打击行动之前或期间采取了任何核查措施，以确保所用的致命武力是出于绝对必要，特别是考虑到无可争议的是，对该住宅的反复开火持续了</w:t>
      </w:r>
      <w:r>
        <w:rPr>
          <w:rFonts w:hint="eastAsia"/>
        </w:rPr>
        <w:t>10</w:t>
      </w:r>
      <w:r>
        <w:rPr>
          <w:rFonts w:hint="eastAsia"/>
        </w:rPr>
        <w:t>分钟，而且已受伤的</w:t>
      </w:r>
      <w:proofErr w:type="spellStart"/>
      <w:r w:rsidRPr="00382BD8">
        <w:t>Baloyo-Japalali</w:t>
      </w:r>
      <w:proofErr w:type="spellEnd"/>
      <w:r>
        <w:rPr>
          <w:rFonts w:hint="eastAsia"/>
        </w:rPr>
        <w:t>女士倒在住宅台阶</w:t>
      </w:r>
      <w:r w:rsidRPr="00DB0B26">
        <w:rPr>
          <w:rFonts w:hint="eastAsia"/>
        </w:rPr>
        <w:t>上呼救</w:t>
      </w:r>
      <w:r>
        <w:rPr>
          <w:rFonts w:hint="eastAsia"/>
        </w:rPr>
        <w:t>时背部中枪。在这一背景下，委员会认为，缔约国未能证明一个班的</w:t>
      </w:r>
      <w:r>
        <w:rPr>
          <w:rFonts w:hint="eastAsia"/>
        </w:rPr>
        <w:t>8</w:t>
      </w:r>
      <w:r>
        <w:rPr>
          <w:rFonts w:hint="eastAsia"/>
        </w:rPr>
        <w:t>名全副武装的士兵是如何通过不加区分地对受害者的住宅使用致命武力来应对他们所面临的实际威胁的，更未能证明这种做法是出于保护生命或防止严重伤害而绝对必要的。缔约国也没有提供任何资料表明它履行了在行动期间保护受害者生命的义务。有鉴于此，委员会认为，缔约国直接和任意剥夺了</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女士的生命，违反了《公约》第六条第</w:t>
      </w:r>
      <w:r>
        <w:rPr>
          <w:rFonts w:hint="eastAsia"/>
        </w:rPr>
        <w:t>1</w:t>
      </w:r>
      <w:r>
        <w:rPr>
          <w:rFonts w:hint="eastAsia"/>
        </w:rPr>
        <w:t>款。</w:t>
      </w:r>
      <w:r w:rsidRPr="00EC6295">
        <w:rPr>
          <w:rStyle w:val="a8"/>
          <w:rFonts w:eastAsia="宋体"/>
        </w:rPr>
        <w:footnoteReference w:id="11"/>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7.5</w:t>
      </w:r>
      <w:r w:rsidRPr="00382BD8">
        <w:tab/>
      </w:r>
      <w:r>
        <w:rPr>
          <w:rFonts w:hint="eastAsia"/>
        </w:rPr>
        <w:t>委员会注意到，提交人声称，他没有就其亲属的死亡获得真相、正义和赔偿的有效补救办法。尤其是，他辩称审判法院</w:t>
      </w:r>
      <w:proofErr w:type="gramStart"/>
      <w:r>
        <w:rPr>
          <w:rFonts w:hint="eastAsia"/>
        </w:rPr>
        <w:t>作出</w:t>
      </w:r>
      <w:proofErr w:type="gramEnd"/>
      <w:r>
        <w:rPr>
          <w:rFonts w:hint="eastAsia"/>
        </w:rPr>
        <w:t>裁决的依据是行为人遵守了上级的合法命令并以合法方式执行了这些命令，而且他没有机会对由此</w:t>
      </w:r>
      <w:proofErr w:type="gramStart"/>
      <w:r>
        <w:rPr>
          <w:rFonts w:hint="eastAsia"/>
        </w:rPr>
        <w:t>作出</w:t>
      </w:r>
      <w:proofErr w:type="gramEnd"/>
      <w:r>
        <w:rPr>
          <w:rFonts w:hint="eastAsia"/>
        </w:rPr>
        <w:t>的无罪判决提起上诉。缔约国辩称，提交人是在质疑对事实和证据的评估以及对国内法的适用，这属于国家法院的职权范围，而且重启已</w:t>
      </w:r>
      <w:proofErr w:type="gramStart"/>
      <w:r>
        <w:rPr>
          <w:rFonts w:hint="eastAsia"/>
        </w:rPr>
        <w:t>作出</w:t>
      </w:r>
      <w:proofErr w:type="gramEnd"/>
      <w:r>
        <w:rPr>
          <w:rFonts w:hint="eastAsia"/>
        </w:rPr>
        <w:t>无罪判决的诉讼程序将违反《公约》第十四条第</w:t>
      </w:r>
      <w:r>
        <w:rPr>
          <w:rFonts w:hint="eastAsia"/>
        </w:rPr>
        <w:t>7</w:t>
      </w:r>
      <w:r>
        <w:rPr>
          <w:rFonts w:hint="eastAsia"/>
        </w:rPr>
        <w:t>款和《宪法》所载的禁止</w:t>
      </w:r>
      <w:proofErr w:type="gramStart"/>
      <w:r>
        <w:rPr>
          <w:rFonts w:hint="eastAsia"/>
        </w:rPr>
        <w:t>一</w:t>
      </w:r>
      <w:proofErr w:type="gramEnd"/>
      <w:r>
        <w:rPr>
          <w:rFonts w:hint="eastAsia"/>
        </w:rPr>
        <w:t>罪二审的规定。</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7.6</w:t>
      </w:r>
      <w:r w:rsidRPr="00382BD8">
        <w:tab/>
      </w:r>
      <w:r>
        <w:rPr>
          <w:rFonts w:hint="eastAsia"/>
        </w:rPr>
        <w:t>委员会在关于在法庭和裁判所前一律平等和获得公正审判的权利的第</w:t>
      </w:r>
      <w:r>
        <w:rPr>
          <w:rFonts w:hint="eastAsia"/>
        </w:rPr>
        <w:t>32</w:t>
      </w:r>
      <w:r>
        <w:rPr>
          <w:rFonts w:hint="eastAsia"/>
        </w:rPr>
        <w:t>号一般性意见</w:t>
      </w:r>
      <w:r>
        <w:rPr>
          <w:rFonts w:hint="eastAsia"/>
        </w:rPr>
        <w:t>(2007</w:t>
      </w:r>
      <w:r>
        <w:rPr>
          <w:rFonts w:hint="eastAsia"/>
        </w:rPr>
        <w:t>年</w:t>
      </w:r>
      <w:r>
        <w:rPr>
          <w:rFonts w:hint="eastAsia"/>
        </w:rPr>
        <w:t>)</w:t>
      </w:r>
      <w:r>
        <w:rPr>
          <w:rFonts w:hint="eastAsia"/>
        </w:rPr>
        <w:t>中回顾，</w:t>
      </w:r>
      <w:r w:rsidRPr="006F2D12">
        <w:t>一般应该由《公约》缔约国法院在某一案件中复审事实和证据或复审国内法的适用，除非可</w:t>
      </w:r>
      <w:r>
        <w:t>以确定，这种评价或适用具有明显的任意性质，或相当于明显</w:t>
      </w:r>
      <w:r>
        <w:rPr>
          <w:rFonts w:hint="eastAsia"/>
        </w:rPr>
        <w:t>的错误</w:t>
      </w:r>
      <w:r>
        <w:t>或</w:t>
      </w:r>
      <w:r w:rsidRPr="006F2D12">
        <w:t>司法</w:t>
      </w:r>
      <w:r>
        <w:rPr>
          <w:rFonts w:hint="eastAsia"/>
        </w:rPr>
        <w:t>不公</w:t>
      </w:r>
      <w:r w:rsidRPr="006F2D12">
        <w:t>，或法院违反其独立性和公正义务</w:t>
      </w:r>
      <w:r w:rsidRPr="006F2D12">
        <w:t>(</w:t>
      </w:r>
      <w:r w:rsidRPr="006F2D12">
        <w:t>第</w:t>
      </w:r>
      <w:r w:rsidRPr="006F2D12">
        <w:t>26</w:t>
      </w:r>
      <w:r w:rsidRPr="006F2D12">
        <w:t>段</w:t>
      </w:r>
      <w:r w:rsidRPr="006F2D12">
        <w:t>)</w:t>
      </w:r>
      <w:r w:rsidRPr="006F2D12">
        <w:t>。</w:t>
      </w:r>
      <w:r>
        <w:rPr>
          <w:rFonts w:hint="eastAsia"/>
        </w:rPr>
        <w:t>委员会在第</w:t>
      </w:r>
      <w:r>
        <w:rPr>
          <w:rFonts w:hint="eastAsia"/>
        </w:rPr>
        <w:t>36</w:t>
      </w:r>
      <w:r>
        <w:rPr>
          <w:rFonts w:hint="eastAsia"/>
        </w:rPr>
        <w:t>号一般性意见中还回顾，对违反第六条的指控的调查必须始终是独立、公正、迅速、彻底、有效、可信和透明的，在认定存在违反行为的情况下，必须提供充分赔偿，包括考虑到案件的具体情况，采取充分的补偿、康复和抵偿措施。</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7.7</w:t>
      </w:r>
      <w:r w:rsidRPr="00382BD8">
        <w:tab/>
      </w:r>
      <w:r>
        <w:rPr>
          <w:rFonts w:hint="eastAsia"/>
        </w:rPr>
        <w:t>委员会注意到，在本案中，</w:t>
      </w:r>
      <w:r>
        <w:rPr>
          <w:rFonts w:hint="eastAsia"/>
        </w:rPr>
        <w:t>8</w:t>
      </w:r>
      <w:r>
        <w:rPr>
          <w:rFonts w:hint="eastAsia"/>
        </w:rPr>
        <w:t>名士兵受到审判并被认定造成</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女士死亡，但随后被撤销凶杀指控，理由是他们是服从上级的合法命令并以合法方式执行这些命令的。审判法院在</w:t>
      </w:r>
      <w:proofErr w:type="gramStart"/>
      <w:r>
        <w:rPr>
          <w:rFonts w:hint="eastAsia"/>
        </w:rPr>
        <w:t>作出</w:t>
      </w:r>
      <w:proofErr w:type="gramEnd"/>
      <w:r>
        <w:rPr>
          <w:rFonts w:hint="eastAsia"/>
        </w:rPr>
        <w:t>这一结论时认为，鉴于所描述的犯罪现场存在一些不一致之处，而且证人关于事件的叙述中存在一些矛盾，未能排除合理怀疑证明行为人有罪。</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7.8</w:t>
      </w:r>
      <w:r w:rsidRPr="00382BD8">
        <w:tab/>
      </w:r>
      <w:r>
        <w:rPr>
          <w:rFonts w:hint="eastAsia"/>
        </w:rPr>
        <w:t>然而，委员会注意到，缔约国没有提供任何具体资料，表明已采取充分措施确定在平民居住区使用造成任意剥夺受害者生命的致命武力是绝对必要的。委员会还注意到，缔约国没有证实对导致任意剥夺受害者生命的决定和行动进行了有效调查，并特别强调，有报告称直至致命枪击发生两小时后才封锁杀人现场。</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7.9</w:t>
      </w:r>
      <w:r w:rsidRPr="00382BD8">
        <w:tab/>
      </w:r>
      <w:r>
        <w:rPr>
          <w:rFonts w:hint="eastAsia"/>
        </w:rPr>
        <w:t>鉴于上述情况以及委员会关于缔约国任意剥夺</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女士的生命违反了《公约》第六条第</w:t>
      </w:r>
      <w:r>
        <w:rPr>
          <w:rFonts w:hint="eastAsia"/>
        </w:rPr>
        <w:t>1</w:t>
      </w:r>
      <w:r>
        <w:rPr>
          <w:rFonts w:hint="eastAsia"/>
        </w:rPr>
        <w:t>款的结论，委员会认定，提交人被剥夺了有效补救办法，无法就缔约国对其亲属死亡所负的责任查明真相和伸张正义。委员会得出结论认为，缔约国侵犯了提交人根据与《公约》第六条第</w:t>
      </w:r>
      <w:r>
        <w:rPr>
          <w:rFonts w:hint="eastAsia"/>
        </w:rPr>
        <w:t>1</w:t>
      </w:r>
      <w:r>
        <w:rPr>
          <w:rFonts w:hint="eastAsia"/>
        </w:rPr>
        <w:t>款一并解读的第二条第</w:t>
      </w:r>
      <w:r>
        <w:rPr>
          <w:rFonts w:hint="eastAsia"/>
        </w:rPr>
        <w:t>3</w:t>
      </w:r>
      <w:r>
        <w:rPr>
          <w:rFonts w:hint="eastAsia"/>
        </w:rPr>
        <w:t>款享有的权利。</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8.</w:t>
      </w:r>
      <w:r w:rsidRPr="00382BD8">
        <w:tab/>
      </w:r>
      <w:r>
        <w:rPr>
          <w:rFonts w:hint="eastAsia"/>
        </w:rPr>
        <w:t>委员会</w:t>
      </w:r>
      <w:r w:rsidRPr="00FC1438">
        <w:t>依照《任择议定书》第五条第</w:t>
      </w:r>
      <w:r w:rsidRPr="00FC1438">
        <w:t>4</w:t>
      </w:r>
      <w:r w:rsidRPr="00FC1438">
        <w:t>款行事，认为</w:t>
      </w:r>
      <w:r>
        <w:rPr>
          <w:rFonts w:hint="eastAsia"/>
        </w:rPr>
        <w:t>现有事实表明，就</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女士而言，缔约国违反了《公约》第六条第</w:t>
      </w:r>
      <w:r>
        <w:rPr>
          <w:rFonts w:hint="eastAsia"/>
        </w:rPr>
        <w:t>1</w:t>
      </w:r>
      <w:r>
        <w:rPr>
          <w:rFonts w:hint="eastAsia"/>
        </w:rPr>
        <w:t>款，就提交人而言，缔约国违反了与第六条第</w:t>
      </w:r>
      <w:r>
        <w:rPr>
          <w:rFonts w:hint="eastAsia"/>
        </w:rPr>
        <w:t>1</w:t>
      </w:r>
      <w:r>
        <w:rPr>
          <w:rFonts w:hint="eastAsia"/>
        </w:rPr>
        <w:t>款一并解读的第二条第</w:t>
      </w:r>
      <w:r>
        <w:rPr>
          <w:rFonts w:hint="eastAsia"/>
        </w:rPr>
        <w:t>3</w:t>
      </w:r>
      <w:r>
        <w:rPr>
          <w:rFonts w:hint="eastAsia"/>
        </w:rPr>
        <w:t>款。</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9.</w:t>
      </w:r>
      <w:r w:rsidRPr="00382BD8">
        <w:tab/>
      </w:r>
      <w:r w:rsidRPr="00CA0807">
        <w:t>根据《公约》第二条第</w:t>
      </w:r>
      <w:r w:rsidRPr="00CA0807">
        <w:t>3</w:t>
      </w:r>
      <w:r w:rsidRPr="00CA0807">
        <w:t>款</w:t>
      </w:r>
      <w:r w:rsidRPr="00CA0807">
        <w:t>(</w:t>
      </w:r>
      <w:r>
        <w:rPr>
          <w:rFonts w:hint="eastAsia"/>
        </w:rPr>
        <w:t>甲</w:t>
      </w:r>
      <w:r w:rsidRPr="00CA0807">
        <w:t>)</w:t>
      </w:r>
      <w:r w:rsidRPr="00CA0807">
        <w:t>项，缔约国有义务向提交人提供</w:t>
      </w:r>
      <w:r>
        <w:t>有效补救。这要求对《公约》规定权利受到侵犯的个人给予充分赔偿。</w:t>
      </w:r>
      <w:r>
        <w:rPr>
          <w:rFonts w:hint="eastAsia"/>
        </w:rPr>
        <w:t>因此，</w:t>
      </w:r>
      <w:r>
        <w:t>缔约国有义务采取</w:t>
      </w:r>
      <w:r>
        <w:rPr>
          <w:rFonts w:hint="eastAsia"/>
        </w:rPr>
        <w:t>适当</w:t>
      </w:r>
      <w:r>
        <w:t>步骤</w:t>
      </w:r>
      <w:r>
        <w:rPr>
          <w:rFonts w:hint="eastAsia"/>
        </w:rPr>
        <w:t>：</w:t>
      </w:r>
      <w:r>
        <w:rPr>
          <w:rFonts w:hint="eastAsia"/>
        </w:rPr>
        <w:t xml:space="preserve">(a) </w:t>
      </w:r>
      <w:r>
        <w:rPr>
          <w:rFonts w:hint="eastAsia"/>
        </w:rPr>
        <w:t>对军队士兵任意剥夺</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女士的生命进行彻底和有效的调查；</w:t>
      </w:r>
      <w:r>
        <w:rPr>
          <w:rFonts w:hint="eastAsia"/>
        </w:rPr>
        <w:t xml:space="preserve">(b) </w:t>
      </w:r>
      <w:r>
        <w:rPr>
          <w:rFonts w:hint="eastAsia"/>
        </w:rPr>
        <w:t>向提交人及其家人提供这一调查结果的详细信息；</w:t>
      </w:r>
      <w:r>
        <w:rPr>
          <w:rFonts w:hint="eastAsia"/>
        </w:rPr>
        <w:t xml:space="preserve">(c) </w:t>
      </w:r>
      <w:r>
        <w:rPr>
          <w:rFonts w:hint="eastAsia"/>
        </w:rPr>
        <w:t>向提交人提供充分赔偿。尽管存在《宪法》第</w:t>
      </w:r>
      <w:r>
        <w:rPr>
          <w:rFonts w:hint="eastAsia"/>
        </w:rPr>
        <w:t>3</w:t>
      </w:r>
      <w:r>
        <w:rPr>
          <w:rFonts w:hint="eastAsia"/>
        </w:rPr>
        <w:t>条第</w:t>
      </w:r>
      <w:r>
        <w:rPr>
          <w:rFonts w:hint="eastAsia"/>
        </w:rPr>
        <w:t>21</w:t>
      </w:r>
      <w:r>
        <w:rPr>
          <w:rFonts w:hint="eastAsia"/>
        </w:rPr>
        <w:t>款的规定，但缔约国应当确保这一规定不妨碍享有对法外处决等严重侵犯人权行为的有效补救权。缔约国还有义务</w:t>
      </w:r>
      <w:r w:rsidRPr="00CA0807">
        <w:t>防止今后发生类似的侵权行为。</w:t>
      </w:r>
    </w:p>
    <w:p w:rsidR="00D968EC" w:rsidRDefault="00D968EC" w:rsidP="00D968EC">
      <w:pPr>
        <w:pStyle w:val="SingleTxtGC"/>
        <w:tabs>
          <w:tab w:val="clear" w:pos="431"/>
          <w:tab w:val="clear" w:pos="1134"/>
          <w:tab w:val="clear" w:pos="1565"/>
          <w:tab w:val="clear" w:pos="1996"/>
          <w:tab w:val="clear" w:pos="2427"/>
          <w:tab w:val="left" w:pos="1701"/>
        </w:tabs>
      </w:pPr>
      <w:r w:rsidRPr="00382BD8">
        <w:t>10.</w:t>
      </w:r>
      <w:r w:rsidRPr="00382BD8">
        <w:tab/>
      </w:r>
      <w:r w:rsidRPr="00FE54C5">
        <w:t>缔约国加入《</w:t>
      </w:r>
      <w:r>
        <w:t>任择议定书》，即已承认委员会有权确定是否存在违反《公约》的情况</w:t>
      </w:r>
      <w:r>
        <w:rPr>
          <w:rFonts w:hint="eastAsia"/>
        </w:rPr>
        <w:t>，</w:t>
      </w:r>
      <w:r w:rsidRPr="00CA0807">
        <w:t>而且根据《公约》第二条规定，缔约国也已承诺确保其</w:t>
      </w:r>
      <w:r>
        <w:rPr>
          <w:rFonts w:hint="eastAsia"/>
        </w:rPr>
        <w:t>境内和</w:t>
      </w:r>
      <w:r w:rsidRPr="00CA0807">
        <w:t>受其管辖的</w:t>
      </w:r>
      <w:r>
        <w:rPr>
          <w:rFonts w:hint="eastAsia"/>
        </w:rPr>
        <w:t>所有</w:t>
      </w:r>
      <w:proofErr w:type="gramStart"/>
      <w:r w:rsidRPr="00CA0807">
        <w:t>个</w:t>
      </w:r>
      <w:proofErr w:type="gramEnd"/>
      <w:r w:rsidRPr="00CA0807">
        <w:t>人均享有《公约》</w:t>
      </w:r>
      <w:r>
        <w:t>承认的权利</w:t>
      </w:r>
      <w:r>
        <w:rPr>
          <w:rFonts w:hint="eastAsia"/>
        </w:rPr>
        <w:t>。鉴此，</w:t>
      </w:r>
      <w:r w:rsidRPr="00CA0807">
        <w:t>委员会</w:t>
      </w:r>
      <w:r>
        <w:rPr>
          <w:rFonts w:hint="eastAsia"/>
        </w:rPr>
        <w:t>希望</w:t>
      </w:r>
      <w:r w:rsidRPr="00CA0807">
        <w:t>缔约国在</w:t>
      </w:r>
      <w:r w:rsidRPr="00CA0807">
        <w:t>180</w:t>
      </w:r>
      <w:r w:rsidRPr="00CA0807">
        <w:t>天内提供资料，说明</w:t>
      </w:r>
      <w:r>
        <w:rPr>
          <w:rFonts w:hint="eastAsia"/>
        </w:rPr>
        <w:t>采取措施</w:t>
      </w:r>
      <w:r w:rsidRPr="00CA0807">
        <w:t>落实</w:t>
      </w:r>
      <w:r w:rsidRPr="00CA0807">
        <w:rPr>
          <w:rFonts w:hint="eastAsia"/>
        </w:rPr>
        <w:t>本</w:t>
      </w:r>
      <w:r w:rsidRPr="00CA0807">
        <w:t>意见的</w:t>
      </w:r>
      <w:r>
        <w:rPr>
          <w:rFonts w:hint="eastAsia"/>
        </w:rPr>
        <w:t>情况</w:t>
      </w:r>
      <w:r w:rsidRPr="00CA0807">
        <w:t>。此外</w:t>
      </w:r>
      <w:r w:rsidRPr="00CA0807">
        <w:rPr>
          <w:rFonts w:hint="eastAsia"/>
        </w:rPr>
        <w:t>，</w:t>
      </w:r>
      <w:r w:rsidRPr="00CA0807">
        <w:t>还请缔约国公布</w:t>
      </w:r>
      <w:r>
        <w:rPr>
          <w:rFonts w:hint="eastAsia"/>
        </w:rPr>
        <w:t>本意见，</w:t>
      </w:r>
      <w:r w:rsidRPr="00CA0807">
        <w:t>并</w:t>
      </w:r>
      <w:r>
        <w:rPr>
          <w:rFonts w:hint="eastAsia"/>
        </w:rPr>
        <w:t>以缔约国的官方语言</w:t>
      </w:r>
      <w:r w:rsidRPr="00CA0807">
        <w:rPr>
          <w:rFonts w:hint="eastAsia"/>
        </w:rPr>
        <w:t>广泛传播</w:t>
      </w:r>
      <w:r w:rsidRPr="00CA0807">
        <w:t>。</w:t>
      </w:r>
    </w:p>
    <w:p w:rsidR="00D968EC" w:rsidRPr="00382BD8" w:rsidRDefault="00D968EC" w:rsidP="008B79A3">
      <w:pPr>
        <w:pStyle w:val="HChGC"/>
      </w:pPr>
      <w:r>
        <w:br w:type="page"/>
      </w:r>
      <w:r w:rsidRPr="00813279">
        <w:rPr>
          <w:rFonts w:ascii="黑体" w:hAnsi="黑体" w:cs="Songti SC Regular" w:hint="eastAsia"/>
        </w:rPr>
        <w:t>附</w:t>
      </w:r>
      <w:r w:rsidRPr="00813279">
        <w:rPr>
          <w:rFonts w:ascii="黑体" w:hAnsi="黑体" w:hint="eastAsia"/>
        </w:rPr>
        <w:t>件</w:t>
      </w:r>
    </w:p>
    <w:p w:rsidR="00D968EC" w:rsidRPr="00382BD8" w:rsidRDefault="00D968EC" w:rsidP="008B79A3">
      <w:pPr>
        <w:pStyle w:val="HChGC"/>
      </w:pPr>
      <w:r w:rsidRPr="00382BD8">
        <w:tab/>
      </w:r>
      <w:r w:rsidRPr="00382BD8">
        <w:tab/>
      </w:r>
      <w:r>
        <w:rPr>
          <w:rFonts w:hint="eastAsia"/>
        </w:rPr>
        <w:t>委员会委员</w:t>
      </w:r>
      <w:r w:rsidRPr="00BA15A4">
        <w:rPr>
          <w:rFonts w:hint="eastAsia"/>
        </w:rPr>
        <w:t>根</w:t>
      </w:r>
      <w:bookmarkStart w:id="0" w:name="_GoBack"/>
      <w:bookmarkEnd w:id="0"/>
      <w:r w:rsidRPr="00BA15A4">
        <w:rPr>
          <w:rFonts w:hint="eastAsia"/>
        </w:rPr>
        <w:t>提安</w:t>
      </w:r>
      <w:r w:rsidR="00F533EF" w:rsidRPr="00F533EF">
        <w:rPr>
          <w:rFonts w:eastAsiaTheme="minorEastAsia" w:hint="eastAsia"/>
        </w:rPr>
        <w:t>·</w:t>
      </w:r>
      <w:r w:rsidRPr="00BA15A4">
        <w:rPr>
          <w:rFonts w:hint="eastAsia"/>
        </w:rPr>
        <w:t>齐伯利</w:t>
      </w:r>
      <w:r w:rsidRPr="00CA0807">
        <w:rPr>
          <w:rFonts w:hint="eastAsia"/>
        </w:rPr>
        <w:t>的个人意见</w:t>
      </w:r>
      <w:r w:rsidR="002C6BFD">
        <w:rPr>
          <w:rFonts w:hint="eastAsia"/>
        </w:rPr>
        <w:t>(</w:t>
      </w:r>
      <w:r w:rsidRPr="00CA0807">
        <w:rPr>
          <w:rFonts w:hint="eastAsia"/>
        </w:rPr>
        <w:t>赞同</w:t>
      </w:r>
      <w:r w:rsidR="002C6BFD">
        <w:rPr>
          <w:rFonts w:hint="eastAsia"/>
        </w:rPr>
        <w:t>)</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1.</w:t>
      </w:r>
      <w:r w:rsidRPr="00382BD8">
        <w:tab/>
      </w:r>
      <w:r>
        <w:rPr>
          <w:rFonts w:hint="eastAsia"/>
        </w:rPr>
        <w:t>虽然我赞同委员会的结论，即就</w:t>
      </w:r>
      <w:r w:rsidRPr="00382BD8">
        <w:t xml:space="preserve">Bakar </w:t>
      </w:r>
      <w:proofErr w:type="spellStart"/>
      <w:r w:rsidRPr="00382BD8">
        <w:t>Japalali</w:t>
      </w:r>
      <w:proofErr w:type="spellEnd"/>
      <w:r>
        <w:rPr>
          <w:rFonts w:hint="eastAsia"/>
        </w:rPr>
        <w:t>和</w:t>
      </w:r>
      <w:r w:rsidRPr="00382BD8">
        <w:t xml:space="preserve">Carmen </w:t>
      </w:r>
      <w:proofErr w:type="spellStart"/>
      <w:r w:rsidRPr="00382BD8">
        <w:t>Baloyo-Japalali</w:t>
      </w:r>
      <w:proofErr w:type="spellEnd"/>
      <w:r>
        <w:rPr>
          <w:rFonts w:hint="eastAsia"/>
        </w:rPr>
        <w:t>而言，存在违反《公约》第六条第</w:t>
      </w:r>
      <w:r>
        <w:rPr>
          <w:rFonts w:hint="eastAsia"/>
        </w:rPr>
        <w:t>1</w:t>
      </w:r>
      <w:r>
        <w:rPr>
          <w:rFonts w:hint="eastAsia"/>
        </w:rPr>
        <w:t>款的行为，就提交人而言，存在违反与第六条第</w:t>
      </w:r>
      <w:r>
        <w:rPr>
          <w:rFonts w:hint="eastAsia"/>
        </w:rPr>
        <w:t>1</w:t>
      </w:r>
      <w:r>
        <w:rPr>
          <w:rFonts w:hint="eastAsia"/>
        </w:rPr>
        <w:t>款一并解读的第二条第</w:t>
      </w:r>
      <w:r>
        <w:rPr>
          <w:rFonts w:hint="eastAsia"/>
        </w:rPr>
        <w:t>3</w:t>
      </w:r>
      <w:r>
        <w:rPr>
          <w:rFonts w:hint="eastAsia"/>
        </w:rPr>
        <w:t>款的行为</w:t>
      </w:r>
      <w:r>
        <w:rPr>
          <w:rFonts w:hint="eastAsia"/>
        </w:rPr>
        <w:t>(</w:t>
      </w:r>
      <w:r>
        <w:rPr>
          <w:rFonts w:hint="eastAsia"/>
        </w:rPr>
        <w:t>第</w:t>
      </w:r>
      <w:r>
        <w:rPr>
          <w:rFonts w:hint="eastAsia"/>
        </w:rPr>
        <w:t>8</w:t>
      </w:r>
      <w:r>
        <w:rPr>
          <w:rFonts w:hint="eastAsia"/>
        </w:rPr>
        <w:t>段</w:t>
      </w:r>
      <w:r>
        <w:rPr>
          <w:rFonts w:hint="eastAsia"/>
        </w:rPr>
        <w:t>)</w:t>
      </w:r>
      <w:r>
        <w:rPr>
          <w:rFonts w:hint="eastAsia"/>
        </w:rPr>
        <w:t>，但本赞同意见的目的是简要讨论国际人道主义法关于在攻击中采取预防措施、区分和相称性的基本原则的可适用性。委员会在关于生命权的第</w:t>
      </w:r>
      <w:r>
        <w:rPr>
          <w:rFonts w:hint="eastAsia"/>
        </w:rPr>
        <w:t>36</w:t>
      </w:r>
      <w:r>
        <w:rPr>
          <w:rFonts w:hint="eastAsia"/>
        </w:rPr>
        <w:t>号一般性意见</w:t>
      </w:r>
      <w:r>
        <w:rPr>
          <w:rFonts w:hint="eastAsia"/>
        </w:rPr>
        <w:t>(2018</w:t>
      </w:r>
      <w:r>
        <w:rPr>
          <w:rFonts w:hint="eastAsia"/>
        </w:rPr>
        <w:t>年</w:t>
      </w:r>
      <w:r>
        <w:rPr>
          <w:rFonts w:hint="eastAsia"/>
        </w:rPr>
        <w:t>)</w:t>
      </w:r>
      <w:r>
        <w:rPr>
          <w:rFonts w:hint="eastAsia"/>
        </w:rPr>
        <w:t>中解释第六条与《公约》其他条款和其他法律制度之间的关系时指出，和《公约》的其他条款一样，第六条在适用国际人道主义法规则的武装冲突情况中也仍然适用，包括适用于敌对行动。本案源自一次军事行动，这次行动发生的背景是菲律宾武装部队与作为菲律宾南部分离主义团体派别之一的摩洛民族解放阵线之间的非国际性武装冲突。这次军事行动导致</w:t>
      </w:r>
      <w:proofErr w:type="spellStart"/>
      <w:r>
        <w:rPr>
          <w:rFonts w:hint="eastAsia"/>
        </w:rPr>
        <w:t>Japalali</w:t>
      </w:r>
      <w:proofErr w:type="spellEnd"/>
      <w:r>
        <w:rPr>
          <w:rFonts w:hint="eastAsia"/>
        </w:rPr>
        <w:t>先生和</w:t>
      </w:r>
      <w:proofErr w:type="spellStart"/>
      <w:r w:rsidRPr="00382BD8">
        <w:t>Baloyo-Japalali</w:t>
      </w:r>
      <w:proofErr w:type="spellEnd"/>
      <w:r>
        <w:rPr>
          <w:rFonts w:hint="eastAsia"/>
        </w:rPr>
        <w:t>女士被杀</w:t>
      </w:r>
      <w:r>
        <w:rPr>
          <w:rFonts w:hint="eastAsia"/>
        </w:rPr>
        <w:t>(</w:t>
      </w:r>
      <w:r>
        <w:rPr>
          <w:rFonts w:hint="eastAsia"/>
        </w:rPr>
        <w:t>第</w:t>
      </w:r>
      <w:r>
        <w:rPr>
          <w:rFonts w:hint="eastAsia"/>
        </w:rPr>
        <w:t>2.1</w:t>
      </w:r>
      <w:r>
        <w:rPr>
          <w:rFonts w:hint="eastAsia"/>
        </w:rPr>
        <w:t>段</w:t>
      </w:r>
      <w:r>
        <w:rPr>
          <w:rFonts w:hint="eastAsia"/>
        </w:rPr>
        <w:t>)</w:t>
      </w:r>
      <w:r>
        <w:rPr>
          <w:rFonts w:hint="eastAsia"/>
        </w:rPr>
        <w:t>。本案事实所表明并且众所周知的是，菲律宾南部存在武装冲突，自</w:t>
      </w:r>
      <w:proofErr w:type="gramStart"/>
      <w:r>
        <w:rPr>
          <w:rFonts w:hint="eastAsia"/>
        </w:rPr>
        <w:t>1970</w:t>
      </w:r>
      <w:proofErr w:type="gramEnd"/>
      <w:r>
        <w:rPr>
          <w:rFonts w:hint="eastAsia"/>
        </w:rPr>
        <w:t>年代以来一直以各种程度持续不断。据该国自己承认，</w:t>
      </w:r>
      <w:proofErr w:type="spellStart"/>
      <w:r>
        <w:rPr>
          <w:rFonts w:hint="eastAsia"/>
        </w:rPr>
        <w:t>Japalali</w:t>
      </w:r>
      <w:proofErr w:type="spellEnd"/>
      <w:r>
        <w:rPr>
          <w:rFonts w:hint="eastAsia"/>
        </w:rPr>
        <w:t>夫妇是在合法军事打击行动中被杀的</w:t>
      </w:r>
      <w:r>
        <w:rPr>
          <w:rFonts w:hint="eastAsia"/>
        </w:rPr>
        <w:t>(</w:t>
      </w:r>
      <w:r>
        <w:rPr>
          <w:rFonts w:hint="eastAsia"/>
        </w:rPr>
        <w:t>第</w:t>
      </w:r>
      <w:r>
        <w:rPr>
          <w:rFonts w:hint="eastAsia"/>
        </w:rPr>
        <w:t>4.10</w:t>
      </w:r>
      <w:r>
        <w:rPr>
          <w:rFonts w:hint="eastAsia"/>
        </w:rPr>
        <w:t>段</w:t>
      </w:r>
      <w:r>
        <w:rPr>
          <w:rFonts w:hint="eastAsia"/>
        </w:rPr>
        <w:t>)</w:t>
      </w:r>
      <w:r>
        <w:rPr>
          <w:rFonts w:hint="eastAsia"/>
        </w:rPr>
        <w:t>。</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2.</w:t>
      </w:r>
      <w:r w:rsidRPr="00382BD8">
        <w:tab/>
      </w:r>
      <w:r>
        <w:rPr>
          <w:rFonts w:hint="eastAsia"/>
        </w:rPr>
        <w:t>值得注意的是，委员会指出，缔约国没有提供具体资料，说明所涉武装部队在在平民居住区执行打击行动之前或期间采取了任何核查措施，以确保所用的致命武力是出于绝对必要，特别是考虑到无可争议的是，对该住宅的反复开火持续了</w:t>
      </w:r>
      <w:r>
        <w:rPr>
          <w:rFonts w:hint="eastAsia"/>
        </w:rPr>
        <w:t>10</w:t>
      </w:r>
      <w:r>
        <w:rPr>
          <w:rFonts w:hint="eastAsia"/>
        </w:rPr>
        <w:t>分钟，而且已受伤的</w:t>
      </w:r>
      <w:proofErr w:type="spellStart"/>
      <w:r w:rsidRPr="00382BD8">
        <w:t>Baloyo-Japalali</w:t>
      </w:r>
      <w:proofErr w:type="spellEnd"/>
      <w:r>
        <w:rPr>
          <w:rFonts w:hint="eastAsia"/>
        </w:rPr>
        <w:t>女士倒在住宅台阶</w:t>
      </w:r>
      <w:r w:rsidRPr="00DB0B26">
        <w:rPr>
          <w:rFonts w:hint="eastAsia"/>
        </w:rPr>
        <w:t>上呼救</w:t>
      </w:r>
      <w:r>
        <w:rPr>
          <w:rFonts w:hint="eastAsia"/>
        </w:rPr>
        <w:t>时背部中枪</w:t>
      </w:r>
      <w:r>
        <w:rPr>
          <w:rFonts w:hint="eastAsia"/>
        </w:rPr>
        <w:t>(</w:t>
      </w:r>
      <w:r>
        <w:rPr>
          <w:rFonts w:hint="eastAsia"/>
        </w:rPr>
        <w:t>第</w:t>
      </w:r>
      <w:r>
        <w:rPr>
          <w:rFonts w:hint="eastAsia"/>
        </w:rPr>
        <w:t>7.3</w:t>
      </w:r>
      <w:r>
        <w:rPr>
          <w:rFonts w:hint="eastAsia"/>
        </w:rPr>
        <w:t>段</w:t>
      </w:r>
      <w:r>
        <w:rPr>
          <w:rFonts w:hint="eastAsia"/>
        </w:rPr>
        <w:t>)</w:t>
      </w:r>
      <w:r>
        <w:rPr>
          <w:rFonts w:hint="eastAsia"/>
        </w:rPr>
        <w:t>。</w:t>
      </w:r>
    </w:p>
    <w:p w:rsidR="00D968EC" w:rsidRPr="00382BD8" w:rsidRDefault="00D968EC" w:rsidP="002C6BFD">
      <w:pPr>
        <w:pStyle w:val="H4GC"/>
      </w:pPr>
      <w:r w:rsidRPr="00382BD8">
        <w:tab/>
      </w:r>
      <w:r w:rsidRPr="00382BD8">
        <w:tab/>
      </w:r>
      <w:r w:rsidRPr="00E75786">
        <w:rPr>
          <w:rFonts w:cs="Songti SC Regular" w:hint="eastAsia"/>
        </w:rPr>
        <w:t>预</w:t>
      </w:r>
      <w:r w:rsidRPr="00E75786">
        <w:rPr>
          <w:rFonts w:hint="eastAsia"/>
        </w:rPr>
        <w:t>防、</w:t>
      </w:r>
      <w:r w:rsidRPr="00E75786">
        <w:rPr>
          <w:rFonts w:cs="Songti SC Regular" w:hint="eastAsia"/>
        </w:rPr>
        <w:t>区</w:t>
      </w:r>
      <w:r w:rsidRPr="00E75786">
        <w:rPr>
          <w:rFonts w:hint="eastAsia"/>
        </w:rPr>
        <w:t>分和相称性原则</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3.</w:t>
      </w:r>
      <w:r w:rsidRPr="00382BD8">
        <w:tab/>
      </w:r>
      <w:r>
        <w:rPr>
          <w:rFonts w:hint="eastAsia"/>
        </w:rPr>
        <w:t>委员会提到的核查措施</w:t>
      </w:r>
      <w:r>
        <w:rPr>
          <w:rFonts w:hint="eastAsia"/>
        </w:rPr>
        <w:t>(</w:t>
      </w:r>
      <w:r>
        <w:rPr>
          <w:rFonts w:hint="eastAsia"/>
        </w:rPr>
        <w:t>第</w:t>
      </w:r>
      <w:r>
        <w:rPr>
          <w:rFonts w:hint="eastAsia"/>
        </w:rPr>
        <w:t>7.3</w:t>
      </w:r>
      <w:r>
        <w:rPr>
          <w:rFonts w:hint="eastAsia"/>
        </w:rPr>
        <w:t>段</w:t>
      </w:r>
      <w:r>
        <w:rPr>
          <w:rFonts w:hint="eastAsia"/>
        </w:rPr>
        <w:t>)</w:t>
      </w:r>
      <w:r>
        <w:rPr>
          <w:rFonts w:hint="eastAsia"/>
        </w:rPr>
        <w:t>指的是任何武装部队为确保军事行动仅针对合法目标而必须采取的预防性措施。</w:t>
      </w:r>
      <w:r w:rsidRPr="00D44870">
        <w:t>国际人道主义法规定，在开展军事行动时，必须时刻注意让平民和民用物体免受伤害。</w:t>
      </w:r>
      <w:r>
        <w:rPr>
          <w:rFonts w:hint="eastAsia"/>
        </w:rPr>
        <w:t>本着这一精神，委员会第</w:t>
      </w:r>
      <w:r>
        <w:rPr>
          <w:rFonts w:hint="eastAsia"/>
        </w:rPr>
        <w:t>36</w:t>
      </w:r>
      <w:r>
        <w:rPr>
          <w:rFonts w:hint="eastAsia"/>
        </w:rPr>
        <w:t>号一般性意见规定，不符合国际人道主义法并对平民和受国际人道主义法保护的其他人的生命构成威胁的做法，包括针对平民、民用物体和平民生存所必需的物品，以及不加区分的袭击、未能适用预防和相称性原则以及使用人盾，都同样违反《公约》第六条。在解释缔约国有义务提供关于军事行动的具体资料时，第</w:t>
      </w:r>
      <w:r>
        <w:rPr>
          <w:rFonts w:hint="eastAsia"/>
        </w:rPr>
        <w:t>36</w:t>
      </w:r>
      <w:r>
        <w:rPr>
          <w:rFonts w:hint="eastAsia"/>
        </w:rPr>
        <w:t>号一般性意见规定，缔约国通常应当披露使用致命武力攻击个人或物体并预计导致剥夺生命的标准，包括具体攻击的法律依据、确定军事目标和战斗人员或直接参与敌对行动者的过程、使用相关战争手段和方式的情况以及是否考虑过采取危害较小的替代办法。</w:t>
      </w:r>
    </w:p>
    <w:p w:rsidR="00D968EC" w:rsidRPr="00382BD8" w:rsidRDefault="00D968EC" w:rsidP="00D968EC">
      <w:pPr>
        <w:pStyle w:val="SingleTxtGC"/>
        <w:tabs>
          <w:tab w:val="clear" w:pos="431"/>
          <w:tab w:val="clear" w:pos="1134"/>
          <w:tab w:val="clear" w:pos="1565"/>
          <w:tab w:val="clear" w:pos="1996"/>
          <w:tab w:val="clear" w:pos="2427"/>
          <w:tab w:val="left" w:pos="1701"/>
        </w:tabs>
      </w:pPr>
      <w:r w:rsidRPr="00382BD8">
        <w:t>4.</w:t>
      </w:r>
      <w:r w:rsidRPr="00382BD8">
        <w:tab/>
      </w:r>
      <w:r>
        <w:rPr>
          <w:rFonts w:hint="eastAsia"/>
        </w:rPr>
        <w:t>如果情况允许，必须就可能影响平民的军事行动发出事先警告。缔约国没有发出这种警告，也没有提供任何理由说明为何无法发出这种警告。此外，如果攻击显然是被禁止的，则必须取消该攻击。已受伤的</w:t>
      </w:r>
      <w:proofErr w:type="spellStart"/>
      <w:r w:rsidRPr="00382BD8">
        <w:t>Baloyo-Japalali</w:t>
      </w:r>
      <w:proofErr w:type="spellEnd"/>
      <w:r>
        <w:rPr>
          <w:rFonts w:hint="eastAsia"/>
        </w:rPr>
        <w:t>女士倒在住宅台阶</w:t>
      </w:r>
      <w:r w:rsidRPr="00DB0B26">
        <w:rPr>
          <w:rFonts w:hint="eastAsia"/>
        </w:rPr>
        <w:t>上呼救</w:t>
      </w:r>
      <w:r>
        <w:rPr>
          <w:rFonts w:hint="eastAsia"/>
        </w:rPr>
        <w:t>时背部中枪。这种情况表明，国际人道主义法关于预防和区分的基本原则遭到违反。菲律宾陆军武装部队的这种严重过失使该国在第六条方面负有责任。</w:t>
      </w:r>
    </w:p>
    <w:p w:rsidR="00D968EC" w:rsidRPr="00382BD8" w:rsidRDefault="00D968EC" w:rsidP="002C6BFD">
      <w:pPr>
        <w:pStyle w:val="H4GC"/>
      </w:pPr>
      <w:r w:rsidRPr="00382BD8">
        <w:tab/>
      </w:r>
      <w:r w:rsidRPr="00382BD8">
        <w:tab/>
      </w:r>
      <w:r w:rsidRPr="001C48F4">
        <w:rPr>
          <w:rFonts w:ascii="楷体" w:eastAsia="楷体" w:hAnsi="楷体" w:hint="eastAsia"/>
        </w:rPr>
        <w:t>调查</w:t>
      </w:r>
    </w:p>
    <w:p w:rsidR="00D968EC" w:rsidRDefault="00D968EC" w:rsidP="00D968EC">
      <w:pPr>
        <w:pStyle w:val="SingleTxtGC"/>
        <w:tabs>
          <w:tab w:val="clear" w:pos="431"/>
          <w:tab w:val="clear" w:pos="1134"/>
          <w:tab w:val="clear" w:pos="1565"/>
          <w:tab w:val="clear" w:pos="1996"/>
          <w:tab w:val="clear" w:pos="2427"/>
          <w:tab w:val="left" w:pos="1701"/>
        </w:tabs>
      </w:pPr>
      <w:r w:rsidRPr="00382BD8">
        <w:t>5.</w:t>
      </w:r>
      <w:r w:rsidRPr="00382BD8">
        <w:tab/>
      </w:r>
      <w:r>
        <w:rPr>
          <w:rFonts w:hint="eastAsia"/>
        </w:rPr>
        <w:t>本案的另一个重要方面涉及对使用武力导致</w:t>
      </w:r>
      <w:proofErr w:type="spellStart"/>
      <w:r>
        <w:rPr>
          <w:rFonts w:hint="eastAsia"/>
        </w:rPr>
        <w:t>Japalali</w:t>
      </w:r>
      <w:proofErr w:type="spellEnd"/>
      <w:r>
        <w:rPr>
          <w:rFonts w:hint="eastAsia"/>
        </w:rPr>
        <w:t>夫妇死亡进行调查的情况。士兵在枪击后没有立即保护杀人现场，枪击发生两小时后调查警察到达现场才对其予以封锁</w:t>
      </w:r>
      <w:r>
        <w:rPr>
          <w:rFonts w:hint="eastAsia"/>
        </w:rPr>
        <w:t>(</w:t>
      </w:r>
      <w:r>
        <w:rPr>
          <w:rFonts w:hint="eastAsia"/>
        </w:rPr>
        <w:t>第</w:t>
      </w:r>
      <w:r>
        <w:rPr>
          <w:rFonts w:hint="eastAsia"/>
        </w:rPr>
        <w:t>2.4</w:t>
      </w:r>
      <w:r>
        <w:rPr>
          <w:rFonts w:hint="eastAsia"/>
        </w:rPr>
        <w:t>和第</w:t>
      </w:r>
      <w:r>
        <w:rPr>
          <w:rFonts w:hint="eastAsia"/>
        </w:rPr>
        <w:t>7.8</w:t>
      </w:r>
      <w:r>
        <w:rPr>
          <w:rFonts w:hint="eastAsia"/>
        </w:rPr>
        <w:t>段</w:t>
      </w:r>
      <w:r>
        <w:rPr>
          <w:rFonts w:hint="eastAsia"/>
        </w:rPr>
        <w:t>)</w:t>
      </w:r>
      <w:r>
        <w:rPr>
          <w:rFonts w:hint="eastAsia"/>
        </w:rPr>
        <w:t>。第</w:t>
      </w:r>
      <w:r>
        <w:rPr>
          <w:rFonts w:hint="eastAsia"/>
        </w:rPr>
        <w:t>36</w:t>
      </w:r>
      <w:r>
        <w:rPr>
          <w:rFonts w:hint="eastAsia"/>
        </w:rPr>
        <w:t>号一般性意见规定，缔约国还必须根据相关国际标准对在武装冲突情况下据称或涉嫌违反第六条的行为进行调查。委员会注意到，缔约国没有证实对导致任意剥夺受害者生命的决定和行动进行了有效调查，并特别强调，有报告称直至致命枪击发生两小时后才封锁杀人现场</w:t>
      </w:r>
      <w:r>
        <w:rPr>
          <w:rFonts w:hint="eastAsia"/>
        </w:rPr>
        <w:t>(</w:t>
      </w:r>
      <w:r>
        <w:rPr>
          <w:rFonts w:hint="eastAsia"/>
        </w:rPr>
        <w:t>第</w:t>
      </w:r>
      <w:r>
        <w:rPr>
          <w:rFonts w:hint="eastAsia"/>
        </w:rPr>
        <w:t>7.8</w:t>
      </w:r>
      <w:r>
        <w:rPr>
          <w:rFonts w:hint="eastAsia"/>
        </w:rPr>
        <w:t>段</w:t>
      </w:r>
      <w:r>
        <w:rPr>
          <w:rFonts w:hint="eastAsia"/>
        </w:rPr>
        <w:t>)</w:t>
      </w:r>
      <w:r>
        <w:rPr>
          <w:rFonts w:hint="eastAsia"/>
        </w:rPr>
        <w:t>。因此，我赞同委员会的结论，即提交人根据与《公约》第六条第</w:t>
      </w:r>
      <w:r>
        <w:rPr>
          <w:rFonts w:hint="eastAsia"/>
        </w:rPr>
        <w:t>1</w:t>
      </w:r>
      <w:r>
        <w:rPr>
          <w:rFonts w:hint="eastAsia"/>
        </w:rPr>
        <w:t>款一并解读的第二条第</w:t>
      </w:r>
      <w:r>
        <w:rPr>
          <w:rFonts w:hint="eastAsia"/>
        </w:rPr>
        <w:t>3</w:t>
      </w:r>
      <w:r>
        <w:rPr>
          <w:rFonts w:hint="eastAsia"/>
        </w:rPr>
        <w:t>款享有的有效补救权受到了侵犯。</w:t>
      </w:r>
    </w:p>
    <w:p w:rsidR="00983F58" w:rsidRPr="002C6BFD" w:rsidRDefault="002C6BFD" w:rsidP="002C6BF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83F58" w:rsidRPr="002C6BF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32" w:rsidRPr="000D319F" w:rsidRDefault="00A50132" w:rsidP="000D319F">
      <w:pPr>
        <w:pStyle w:val="af0"/>
        <w:spacing w:after="240"/>
        <w:ind w:left="907"/>
        <w:rPr>
          <w:rFonts w:asciiTheme="majorBidi" w:eastAsia="宋体" w:hAnsiTheme="majorBidi" w:cstheme="majorBidi"/>
          <w:sz w:val="21"/>
          <w:szCs w:val="21"/>
          <w:lang w:val="en-US"/>
        </w:rPr>
      </w:pPr>
    </w:p>
    <w:p w:rsidR="00A50132" w:rsidRPr="000D319F" w:rsidRDefault="00A5013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50132" w:rsidRPr="000D319F" w:rsidRDefault="00A50132" w:rsidP="000D319F">
      <w:pPr>
        <w:pStyle w:val="af0"/>
      </w:pPr>
    </w:p>
  </w:endnote>
  <w:endnote w:type="continuationNotice" w:id="1">
    <w:p w:rsidR="00A50132" w:rsidRDefault="00A501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ongti SC Regular">
    <w:charset w:val="50"/>
    <w:family w:val="auto"/>
    <w:pitch w:val="variable"/>
    <w:sig w:usb0="00000287" w:usb1="080F0000" w:usb2="00000010" w:usb3="00000000" w:csb0="0004009F" w:csb1="00000000"/>
  </w:font>
  <w:font w:name="Lantinghei SC Heavy">
    <w:charset w:val="00"/>
    <w:family w:val="auto"/>
    <w:pitch w:val="variable"/>
    <w:sig w:usb0="00000003" w:usb1="08000000" w:usb2="00000000"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83F58" w:rsidRDefault="00983F58" w:rsidP="00983F5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71982">
      <w:rPr>
        <w:rStyle w:val="af2"/>
        <w:noProof/>
      </w:rPr>
      <w:t>10</w:t>
    </w:r>
    <w:r>
      <w:rPr>
        <w:rStyle w:val="af2"/>
      </w:rPr>
      <w:fldChar w:fldCharType="end"/>
    </w:r>
    <w:r>
      <w:rPr>
        <w:rStyle w:val="af2"/>
      </w:rPr>
      <w:tab/>
    </w:r>
    <w:proofErr w:type="spellStart"/>
    <w:r w:rsidRPr="00983F58">
      <w:rPr>
        <w:rStyle w:val="af2"/>
        <w:b w:val="0"/>
        <w:snapToGrid w:val="0"/>
        <w:sz w:val="16"/>
      </w:rPr>
      <w:t>GE.19</w:t>
    </w:r>
    <w:proofErr w:type="spellEnd"/>
    <w:r w:rsidRPr="00983F58">
      <w:rPr>
        <w:rStyle w:val="af2"/>
        <w:b w:val="0"/>
        <w:snapToGrid w:val="0"/>
        <w:sz w:val="16"/>
      </w:rPr>
      <w:t>-08816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83F58" w:rsidRDefault="00983F58" w:rsidP="00983F58">
    <w:pPr>
      <w:pStyle w:val="af0"/>
      <w:tabs>
        <w:tab w:val="clear" w:pos="431"/>
        <w:tab w:val="right" w:pos="9638"/>
      </w:tabs>
      <w:rPr>
        <w:rStyle w:val="af2"/>
      </w:rPr>
    </w:pPr>
    <w:proofErr w:type="spellStart"/>
    <w:r>
      <w:t>GE.19</w:t>
    </w:r>
    <w:proofErr w:type="spellEnd"/>
    <w:r>
      <w:t>-08816</w:t>
    </w:r>
    <w:r>
      <w:tab/>
    </w:r>
    <w:r>
      <w:rPr>
        <w:rStyle w:val="af2"/>
      </w:rPr>
      <w:fldChar w:fldCharType="begin"/>
    </w:r>
    <w:r>
      <w:rPr>
        <w:rStyle w:val="af2"/>
      </w:rPr>
      <w:instrText xml:space="preserve"> PAGE  \* MERGEFORMAT </w:instrText>
    </w:r>
    <w:r>
      <w:rPr>
        <w:rStyle w:val="af2"/>
      </w:rPr>
      <w:fldChar w:fldCharType="separate"/>
    </w:r>
    <w:r w:rsidR="00C71982">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983F58" w:rsidP="006800E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-08816</w:t>
    </w:r>
    <w:r w:rsidR="00731A42" w:rsidRPr="00EE277A">
      <w:rPr>
        <w:sz w:val="20"/>
        <w:lang w:eastAsia="zh-CN"/>
      </w:rPr>
      <w:t xml:space="preserve"> (C)</w:t>
    </w:r>
    <w:r w:rsidR="00EA7E67">
      <w:rPr>
        <w:sz w:val="20"/>
        <w:lang w:eastAsia="zh-CN"/>
      </w:rPr>
      <w:tab/>
    </w:r>
    <w:r w:rsidR="00756D71">
      <w:rPr>
        <w:sz w:val="20"/>
        <w:lang w:eastAsia="zh-CN"/>
      </w:rPr>
      <w:t>2806</w:t>
    </w:r>
    <w:r w:rsidR="00EA7E67">
      <w:rPr>
        <w:sz w:val="20"/>
        <w:lang w:eastAsia="zh-CN"/>
      </w:rPr>
      <w:t>1</w:t>
    </w:r>
    <w:r w:rsidR="004E473D">
      <w:rPr>
        <w:rFonts w:eastAsiaTheme="minorEastAsia"/>
        <w:sz w:val="20"/>
        <w:lang w:eastAsia="zh-CN"/>
      </w:rPr>
      <w:t>9</w:t>
    </w:r>
    <w:r w:rsidR="00731A42">
      <w:rPr>
        <w:sz w:val="20"/>
        <w:lang w:eastAsia="zh-CN"/>
      </w:rPr>
      <w:tab/>
    </w:r>
    <w:r w:rsidR="00756D71">
      <w:rPr>
        <w:sz w:val="20"/>
        <w:lang w:eastAsia="zh-CN"/>
      </w:rPr>
      <w:t>2</w:t>
    </w:r>
    <w:r w:rsidR="006800EC">
      <w:rPr>
        <w:sz w:val="20"/>
        <w:lang w:eastAsia="zh-CN"/>
      </w:rPr>
      <w:t>5</w:t>
    </w:r>
    <w:r w:rsidR="00731A42">
      <w:rPr>
        <w:sz w:val="20"/>
        <w:lang w:eastAsia="zh-CN"/>
      </w:rPr>
      <w:t>0</w:t>
    </w:r>
    <w:r w:rsidR="00756D71">
      <w:rPr>
        <w:sz w:val="20"/>
        <w:lang w:eastAsia="zh-CN"/>
      </w:rPr>
      <w:t>7</w:t>
    </w:r>
    <w:r w:rsidR="00731A42">
      <w:rPr>
        <w:sz w:val="20"/>
        <w:lang w:eastAsia="zh-CN"/>
      </w:rPr>
      <w:t>1</w:t>
    </w:r>
    <w:r w:rsidR="004E473D">
      <w:rPr>
        <w:rFonts w:eastAsiaTheme="minorEastAsia"/>
        <w:sz w:val="20"/>
        <w:lang w:eastAsia="zh-CN"/>
      </w:rPr>
      <w:t>9</w:t>
    </w:r>
  </w:p>
  <w:p w:rsidR="00056632" w:rsidRPr="00487939" w:rsidRDefault="00983F5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536/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36/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32" w:rsidRPr="000157B1" w:rsidRDefault="00A501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50132" w:rsidRPr="000157B1" w:rsidRDefault="00A501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50132" w:rsidRDefault="00A50132"/>
  </w:footnote>
  <w:footnote w:id="2">
    <w:p w:rsidR="00D968EC" w:rsidRPr="00C452D7" w:rsidRDefault="00D968EC" w:rsidP="00D968EC">
      <w:pPr>
        <w:pStyle w:val="a6"/>
      </w:pPr>
      <w:r w:rsidRPr="00D968EC">
        <w:rPr>
          <w:rStyle w:val="a8"/>
          <w:rFonts w:eastAsia="宋体"/>
          <w:szCs w:val="21"/>
          <w:vertAlign w:val="baseline"/>
        </w:rPr>
        <w:tab/>
        <w:t>*</w:t>
      </w:r>
      <w:r w:rsidRPr="00D968EC">
        <w:rPr>
          <w:rStyle w:val="a8"/>
          <w:rFonts w:eastAsia="宋体"/>
          <w:szCs w:val="21"/>
          <w:vertAlign w:val="baseline"/>
        </w:rPr>
        <w:tab/>
      </w:r>
      <w:r>
        <w:t>委员会第一二</w:t>
      </w:r>
      <w:r>
        <w:rPr>
          <w:rFonts w:hint="eastAsia"/>
        </w:rPr>
        <w:t>五</w:t>
      </w:r>
      <w:r w:rsidRPr="009D59DC">
        <w:t>届会议</w:t>
      </w:r>
      <w:r>
        <w:t>(201</w:t>
      </w:r>
      <w:r>
        <w:rPr>
          <w:rFonts w:hint="eastAsia"/>
        </w:rPr>
        <w:t>9</w:t>
      </w:r>
      <w:r w:rsidRPr="009D59DC">
        <w:t>年</w:t>
      </w:r>
      <w:r>
        <w:rPr>
          <w:rFonts w:hint="eastAsia"/>
        </w:rPr>
        <w:t>3</w:t>
      </w:r>
      <w:r w:rsidRPr="009D59DC">
        <w:t>月</w:t>
      </w:r>
      <w:r>
        <w:rPr>
          <w:rFonts w:hint="eastAsia"/>
        </w:rPr>
        <w:t>4</w:t>
      </w:r>
      <w:r w:rsidRPr="009D59DC">
        <w:t>日至</w:t>
      </w:r>
      <w:r>
        <w:t>2</w:t>
      </w:r>
      <w:r>
        <w:rPr>
          <w:rFonts w:hint="eastAsia"/>
        </w:rPr>
        <w:t>9</w:t>
      </w:r>
      <w:r w:rsidRPr="009D59DC">
        <w:t>日</w:t>
      </w:r>
      <w:r w:rsidRPr="009D59DC">
        <w:t>)</w:t>
      </w:r>
      <w:r w:rsidRPr="009D59DC">
        <w:t>通过。</w:t>
      </w:r>
    </w:p>
  </w:footnote>
  <w:footnote w:id="3">
    <w:p w:rsidR="00D968EC" w:rsidRPr="00C452D7" w:rsidRDefault="00D968EC" w:rsidP="00D968EC">
      <w:pPr>
        <w:pStyle w:val="a6"/>
      </w:pPr>
      <w:r w:rsidRPr="00D968EC">
        <w:rPr>
          <w:rStyle w:val="a8"/>
          <w:rFonts w:eastAsia="宋体"/>
          <w:szCs w:val="21"/>
          <w:vertAlign w:val="baseline"/>
        </w:rPr>
        <w:tab/>
        <w:t>**</w:t>
      </w:r>
      <w:r w:rsidRPr="00D968EC">
        <w:rPr>
          <w:rStyle w:val="a8"/>
          <w:rFonts w:eastAsia="宋体"/>
          <w:szCs w:val="21"/>
          <w:vertAlign w:val="baseline"/>
        </w:rPr>
        <w:tab/>
      </w:r>
      <w:r w:rsidRPr="00D65393">
        <w:rPr>
          <w:bCs/>
        </w:rPr>
        <w:t>参加审查本来文的委员会委员有：塔尼亚</w:t>
      </w:r>
      <w:r w:rsidR="00BA029C">
        <w:rPr>
          <w:rFonts w:hint="eastAsia"/>
        </w:rPr>
        <w:t>·</w:t>
      </w:r>
      <w:r w:rsidRPr="00D65393">
        <w:rPr>
          <w:bCs/>
        </w:rPr>
        <w:t>玛丽亚</w:t>
      </w:r>
      <w:r w:rsidR="00BA029C">
        <w:rPr>
          <w:rFonts w:hint="eastAsia"/>
        </w:rPr>
        <w:t>·</w:t>
      </w:r>
      <w:r>
        <w:rPr>
          <w:bCs/>
        </w:rPr>
        <w:t>阿</w:t>
      </w:r>
      <w:r>
        <w:rPr>
          <w:rFonts w:hint="eastAsia"/>
          <w:bCs/>
        </w:rPr>
        <w:t>布多</w:t>
      </w:r>
      <w:r w:rsidR="00942804">
        <w:rPr>
          <w:rFonts w:hint="eastAsia"/>
        </w:rPr>
        <w:t>·</w:t>
      </w:r>
      <w:r>
        <w:rPr>
          <w:bCs/>
        </w:rPr>
        <w:t>罗</w:t>
      </w:r>
      <w:r>
        <w:rPr>
          <w:rFonts w:hint="eastAsia"/>
          <w:bCs/>
        </w:rPr>
        <w:t>乔利</w:t>
      </w:r>
      <w:r w:rsidRPr="00D65393">
        <w:rPr>
          <w:bCs/>
        </w:rPr>
        <w:t>、亚兹</w:t>
      </w:r>
      <w:r w:rsidR="00942804">
        <w:rPr>
          <w:rFonts w:hint="eastAsia"/>
        </w:rPr>
        <w:t>·</w:t>
      </w:r>
      <w:r w:rsidRPr="00D65393">
        <w:rPr>
          <w:bCs/>
        </w:rPr>
        <w:t>本</w:t>
      </w:r>
      <w:r w:rsidR="00942804">
        <w:rPr>
          <w:rFonts w:hint="eastAsia"/>
        </w:rPr>
        <w:t>·</w:t>
      </w:r>
      <w:r w:rsidRPr="00D65393">
        <w:rPr>
          <w:bCs/>
        </w:rPr>
        <w:t>阿舒尔、伊尔泽</w:t>
      </w:r>
      <w:r w:rsidR="00942804">
        <w:rPr>
          <w:rFonts w:hint="eastAsia"/>
        </w:rPr>
        <w:t>·</w:t>
      </w:r>
      <w:r w:rsidRPr="00D65393">
        <w:rPr>
          <w:bCs/>
        </w:rPr>
        <w:t>布兰兹</w:t>
      </w:r>
      <w:r w:rsidR="00942804">
        <w:rPr>
          <w:rFonts w:hint="eastAsia"/>
        </w:rPr>
        <w:t>·</w:t>
      </w:r>
      <w:r w:rsidRPr="00D65393">
        <w:rPr>
          <w:bCs/>
        </w:rPr>
        <w:t>科里斯、</w:t>
      </w:r>
      <w:r w:rsidRPr="00BA4EFA">
        <w:t>克里斯托弗</w:t>
      </w:r>
      <w:r w:rsidR="00942804">
        <w:rPr>
          <w:rFonts w:hint="eastAsia"/>
        </w:rPr>
        <w:t>·</w:t>
      </w:r>
      <w:r w:rsidRPr="00BA4EFA">
        <w:t>阿里夫</w:t>
      </w:r>
      <w:r w:rsidR="00942804">
        <w:rPr>
          <w:rFonts w:hint="eastAsia"/>
        </w:rPr>
        <w:t>·</w:t>
      </w:r>
      <w:r w:rsidRPr="00BA4EFA">
        <w:t>布尔坎</w:t>
      </w:r>
      <w:r w:rsidRPr="00D65393">
        <w:rPr>
          <w:bCs/>
        </w:rPr>
        <w:t>、艾哈迈德</w:t>
      </w:r>
      <w:r w:rsidR="00942804">
        <w:rPr>
          <w:rFonts w:hint="eastAsia"/>
        </w:rPr>
        <w:t>·</w:t>
      </w:r>
      <w:r w:rsidRPr="00D65393">
        <w:rPr>
          <w:bCs/>
        </w:rPr>
        <w:t>阿明</w:t>
      </w:r>
      <w:r w:rsidR="00942804">
        <w:rPr>
          <w:rFonts w:hint="eastAsia"/>
        </w:rPr>
        <w:t>·</w:t>
      </w:r>
      <w:r w:rsidRPr="00D65393">
        <w:rPr>
          <w:bCs/>
        </w:rPr>
        <w:t>法萨拉、</w:t>
      </w:r>
      <w:r>
        <w:rPr>
          <w:rFonts w:hint="eastAsia"/>
        </w:rPr>
        <w:t>古谷修一</w:t>
      </w:r>
      <w:r>
        <w:rPr>
          <w:bCs/>
        </w:rPr>
        <w:t>、</w:t>
      </w:r>
      <w:r>
        <w:rPr>
          <w:rFonts w:hint="eastAsia"/>
          <w:bCs/>
        </w:rPr>
        <w:t>克</w:t>
      </w:r>
      <w:r w:rsidRPr="00D65393">
        <w:rPr>
          <w:bCs/>
        </w:rPr>
        <w:t>里斯托夫</w:t>
      </w:r>
      <w:r w:rsidR="00942804">
        <w:rPr>
          <w:rFonts w:hint="eastAsia"/>
        </w:rPr>
        <w:t>·</w:t>
      </w:r>
      <w:r>
        <w:rPr>
          <w:bCs/>
        </w:rPr>
        <w:t>海恩斯、巴</w:t>
      </w:r>
      <w:r>
        <w:rPr>
          <w:rFonts w:hint="eastAsia"/>
          <w:bCs/>
        </w:rPr>
        <w:t>马里阿</w:t>
      </w:r>
      <w:r w:rsidRPr="00D65393">
        <w:rPr>
          <w:bCs/>
        </w:rPr>
        <w:t>姆</w:t>
      </w:r>
      <w:r w:rsidR="00942804">
        <w:rPr>
          <w:rFonts w:hint="eastAsia"/>
        </w:rPr>
        <w:t>·</w:t>
      </w:r>
      <w:r w:rsidRPr="00D65393">
        <w:rPr>
          <w:bCs/>
        </w:rPr>
        <w:t>科伊塔、马西娅</w:t>
      </w:r>
      <w:r w:rsidR="00942804">
        <w:rPr>
          <w:rFonts w:hint="eastAsia"/>
        </w:rPr>
        <w:t>·</w:t>
      </w:r>
      <w:proofErr w:type="spellStart"/>
      <w:r w:rsidRPr="00D65393">
        <w:rPr>
          <w:bCs/>
        </w:rPr>
        <w:t>V·J</w:t>
      </w:r>
      <w:proofErr w:type="spellEnd"/>
      <w:r w:rsidR="00942804">
        <w:rPr>
          <w:rFonts w:hint="eastAsia"/>
        </w:rPr>
        <w:t>·</w:t>
      </w:r>
      <w:r w:rsidRPr="00D65393">
        <w:rPr>
          <w:bCs/>
        </w:rPr>
        <w:t>克兰、</w:t>
      </w:r>
      <w:r>
        <w:rPr>
          <w:rFonts w:hint="eastAsia"/>
          <w:bCs/>
        </w:rPr>
        <w:t>邓肯</w:t>
      </w:r>
      <w:r w:rsidR="00942804">
        <w:rPr>
          <w:rFonts w:hint="eastAsia"/>
        </w:rPr>
        <w:t>·</w:t>
      </w:r>
      <w:r>
        <w:rPr>
          <w:rFonts w:hint="eastAsia"/>
          <w:bCs/>
        </w:rPr>
        <w:t>莱基</w:t>
      </w:r>
      <w:r w:rsidR="00942804">
        <w:rPr>
          <w:rFonts w:hint="eastAsia"/>
        </w:rPr>
        <w:t>·</w:t>
      </w:r>
      <w:r>
        <w:rPr>
          <w:rFonts w:hint="eastAsia"/>
          <w:bCs/>
        </w:rPr>
        <w:t>穆胡穆扎</w:t>
      </w:r>
      <w:r>
        <w:rPr>
          <w:rFonts w:hint="eastAsia"/>
        </w:rPr>
        <w:t>、福蒂妮</w:t>
      </w:r>
      <w:r w:rsidR="00942804">
        <w:rPr>
          <w:rFonts w:hint="eastAsia"/>
        </w:rPr>
        <w:t>·</w:t>
      </w:r>
      <w:r>
        <w:rPr>
          <w:rFonts w:hint="eastAsia"/>
          <w:bCs/>
        </w:rPr>
        <w:t>帕扎尔齐斯</w:t>
      </w:r>
      <w:r>
        <w:rPr>
          <w:rFonts w:hint="eastAsia"/>
        </w:rPr>
        <w:t>、埃尔南</w:t>
      </w:r>
      <w:r w:rsidR="00942804">
        <w:rPr>
          <w:rFonts w:hint="eastAsia"/>
        </w:rPr>
        <w:t>·</w:t>
      </w:r>
      <w:r>
        <w:rPr>
          <w:rFonts w:hint="eastAsia"/>
          <w:bCs/>
        </w:rPr>
        <w:t>克萨达</w:t>
      </w:r>
      <w:r w:rsidR="00942804">
        <w:rPr>
          <w:rFonts w:hint="eastAsia"/>
        </w:rPr>
        <w:t>·</w:t>
      </w:r>
      <w:r>
        <w:rPr>
          <w:rFonts w:hint="eastAsia"/>
          <w:bCs/>
        </w:rPr>
        <w:t>卡夫雷拉</w:t>
      </w:r>
      <w:r>
        <w:rPr>
          <w:rFonts w:hint="eastAsia"/>
        </w:rPr>
        <w:t>、瓦西尔卡·桑钦</w:t>
      </w:r>
      <w:r w:rsidRPr="00662C7F">
        <w:rPr>
          <w:bCs/>
        </w:rPr>
        <w:t>、</w:t>
      </w:r>
      <w:r w:rsidRPr="00D65393">
        <w:rPr>
          <w:bCs/>
        </w:rPr>
        <w:t>何塞</w:t>
      </w:r>
      <w:r w:rsidR="00942804">
        <w:rPr>
          <w:rFonts w:hint="eastAsia"/>
        </w:rPr>
        <w:t>·</w:t>
      </w:r>
      <w:r w:rsidRPr="00D65393">
        <w:rPr>
          <w:bCs/>
        </w:rPr>
        <w:t>曼努埃尔</w:t>
      </w:r>
      <w:r w:rsidR="00942804">
        <w:rPr>
          <w:rFonts w:hint="eastAsia"/>
        </w:rPr>
        <w:t>·</w:t>
      </w:r>
      <w:r w:rsidRPr="00D65393">
        <w:rPr>
          <w:bCs/>
        </w:rPr>
        <w:t>桑托斯</w:t>
      </w:r>
      <w:r w:rsidR="00942804">
        <w:rPr>
          <w:rFonts w:hint="eastAsia"/>
        </w:rPr>
        <w:t>·</w:t>
      </w:r>
      <w:r w:rsidRPr="00D65393">
        <w:rPr>
          <w:bCs/>
        </w:rPr>
        <w:t>派斯、尤瓦尔</w:t>
      </w:r>
      <w:r w:rsidR="00942804">
        <w:rPr>
          <w:rFonts w:hint="eastAsia"/>
        </w:rPr>
        <w:t>·</w:t>
      </w:r>
      <w:r w:rsidRPr="00D65393">
        <w:rPr>
          <w:bCs/>
        </w:rPr>
        <w:t>沙尼</w:t>
      </w:r>
      <w:r>
        <w:rPr>
          <w:rFonts w:hint="eastAsia"/>
          <w:bCs/>
        </w:rPr>
        <w:t>、埃莱娜</w:t>
      </w:r>
      <w:r w:rsidR="00942804">
        <w:rPr>
          <w:rFonts w:hint="eastAsia"/>
        </w:rPr>
        <w:t>·</w:t>
      </w:r>
      <w:proofErr w:type="gramStart"/>
      <w:r>
        <w:rPr>
          <w:rFonts w:hint="eastAsia"/>
          <w:bCs/>
        </w:rPr>
        <w:t>提格乎德</w:t>
      </w:r>
      <w:proofErr w:type="gramEnd"/>
      <w:r>
        <w:rPr>
          <w:rFonts w:hint="eastAsia"/>
          <w:bCs/>
        </w:rPr>
        <w:t>加</w:t>
      </w:r>
      <w:r>
        <w:rPr>
          <w:rFonts w:hint="eastAsia"/>
        </w:rPr>
        <w:t>、安德烈亚斯</w:t>
      </w:r>
      <w:r w:rsidR="00942804">
        <w:rPr>
          <w:rFonts w:hint="eastAsia"/>
        </w:rPr>
        <w:t>·</w:t>
      </w:r>
      <w:r>
        <w:rPr>
          <w:rFonts w:hint="eastAsia"/>
          <w:bCs/>
        </w:rPr>
        <w:t>齐默尔曼</w:t>
      </w:r>
      <w:r>
        <w:rPr>
          <w:rFonts w:hint="eastAsia"/>
        </w:rPr>
        <w:t>、根提安</w:t>
      </w:r>
      <w:r w:rsidR="00942804">
        <w:rPr>
          <w:rFonts w:hint="eastAsia"/>
        </w:rPr>
        <w:t>·</w:t>
      </w:r>
      <w:r>
        <w:rPr>
          <w:rFonts w:hint="eastAsia"/>
          <w:bCs/>
        </w:rPr>
        <w:t>齐伯利</w:t>
      </w:r>
      <w:r w:rsidRPr="00D65393">
        <w:rPr>
          <w:bCs/>
        </w:rPr>
        <w:t>。</w:t>
      </w:r>
    </w:p>
  </w:footnote>
  <w:footnote w:id="4">
    <w:p w:rsidR="00D968EC" w:rsidRPr="00C452D7" w:rsidRDefault="00D968EC" w:rsidP="00D968EC">
      <w:pPr>
        <w:pStyle w:val="a6"/>
      </w:pPr>
      <w:r w:rsidRPr="00D968EC">
        <w:rPr>
          <w:rStyle w:val="a8"/>
          <w:rFonts w:eastAsia="宋体"/>
          <w:szCs w:val="21"/>
          <w:vertAlign w:val="baseline"/>
        </w:rPr>
        <w:tab/>
        <w:t>***</w:t>
      </w:r>
      <w:r w:rsidRPr="00D968EC">
        <w:rPr>
          <w:rStyle w:val="a8"/>
          <w:rFonts w:eastAsia="宋体"/>
          <w:szCs w:val="21"/>
          <w:vertAlign w:val="baseline"/>
        </w:rPr>
        <w:tab/>
      </w:r>
      <w:r w:rsidRPr="00D65393">
        <w:rPr>
          <w:bCs/>
        </w:rPr>
        <w:t>委员会委员</w:t>
      </w:r>
      <w:r>
        <w:rPr>
          <w:rFonts w:hint="eastAsia"/>
        </w:rPr>
        <w:t>根提安</w:t>
      </w:r>
      <w:r w:rsidR="00006467">
        <w:rPr>
          <w:rFonts w:hint="eastAsia"/>
        </w:rPr>
        <w:t>·</w:t>
      </w:r>
      <w:r>
        <w:rPr>
          <w:rFonts w:hint="eastAsia"/>
          <w:bCs/>
        </w:rPr>
        <w:t>齐伯利</w:t>
      </w:r>
      <w:r w:rsidRPr="00D65393">
        <w:rPr>
          <w:bCs/>
        </w:rPr>
        <w:t>的个人意见</w:t>
      </w:r>
      <w:r w:rsidRPr="00D65393">
        <w:rPr>
          <w:bCs/>
        </w:rPr>
        <w:t>(</w:t>
      </w:r>
      <w:r>
        <w:rPr>
          <w:rFonts w:hint="eastAsia"/>
          <w:bCs/>
        </w:rPr>
        <w:t>赞同</w:t>
      </w:r>
      <w:r w:rsidRPr="00D65393">
        <w:rPr>
          <w:bCs/>
        </w:rPr>
        <w:t>)</w:t>
      </w:r>
      <w:r w:rsidRPr="00D65393">
        <w:rPr>
          <w:bCs/>
        </w:rPr>
        <w:t>附于本意见之后。</w:t>
      </w:r>
    </w:p>
  </w:footnote>
  <w:footnote w:id="5">
    <w:p w:rsidR="00D968EC" w:rsidRPr="00BA4364" w:rsidRDefault="00D968EC" w:rsidP="00D968EC">
      <w:pPr>
        <w:pStyle w:val="a6"/>
      </w:pPr>
      <w:r w:rsidRPr="00BA4364">
        <w:tab/>
      </w:r>
      <w:r w:rsidRPr="00EC6295">
        <w:rPr>
          <w:rStyle w:val="a8"/>
          <w:rFonts w:eastAsia="宋体"/>
        </w:rPr>
        <w:footnoteRef/>
      </w:r>
      <w:r>
        <w:tab/>
      </w:r>
      <w:r>
        <w:rPr>
          <w:rFonts w:hint="eastAsia"/>
        </w:rPr>
        <w:t>《宪法》第</w:t>
      </w:r>
      <w:r>
        <w:rPr>
          <w:rFonts w:hint="eastAsia"/>
        </w:rPr>
        <w:t>3</w:t>
      </w:r>
      <w:r>
        <w:rPr>
          <w:rFonts w:hint="eastAsia"/>
        </w:rPr>
        <w:t>条第</w:t>
      </w:r>
      <w:r>
        <w:rPr>
          <w:rFonts w:hint="eastAsia"/>
        </w:rPr>
        <w:t>21</w:t>
      </w:r>
      <w:r>
        <w:rPr>
          <w:rFonts w:hint="eastAsia"/>
        </w:rPr>
        <w:t>款规定：“任何人不得因同一罪行两次受到处罚。</w:t>
      </w:r>
      <w:r w:rsidRPr="006D547D">
        <w:t>如果一项行为受</w:t>
      </w:r>
      <w:r>
        <w:t>到一项法律和一项法令的惩罚，根据其中任何一项予以定罪或宣告无罪</w:t>
      </w:r>
      <w:r w:rsidRPr="006D547D">
        <w:t>即构成不准对同一行为再次起诉的理由</w:t>
      </w:r>
      <w:r>
        <w:rPr>
          <w:rFonts w:hint="eastAsia"/>
        </w:rPr>
        <w:t>”</w:t>
      </w:r>
      <w:r w:rsidR="00B81B8D">
        <w:rPr>
          <w:rFonts w:hint="eastAsia"/>
        </w:rPr>
        <w:t>。</w:t>
      </w:r>
    </w:p>
  </w:footnote>
  <w:footnote w:id="6">
    <w:p w:rsidR="00D968EC" w:rsidRPr="00BA4364" w:rsidRDefault="00D968EC" w:rsidP="00D968EC">
      <w:pPr>
        <w:pStyle w:val="a6"/>
      </w:pPr>
      <w:r w:rsidRPr="00BA4364">
        <w:tab/>
      </w:r>
      <w:r w:rsidRPr="00EC6295">
        <w:rPr>
          <w:rStyle w:val="a8"/>
          <w:rFonts w:eastAsia="宋体"/>
        </w:rPr>
        <w:footnoteRef/>
      </w:r>
      <w:r>
        <w:tab/>
      </w:r>
      <w:r w:rsidRPr="000314DA">
        <w:t>在这方面，提交人援引了《禁止酷刑和其他残忍、不人道或有辱人格的待遇或处罚公约》第</w:t>
      </w:r>
      <w:r w:rsidRPr="000314DA">
        <w:t>2</w:t>
      </w:r>
      <w:r w:rsidRPr="000314DA">
        <w:t>条第</w:t>
      </w:r>
      <w:r w:rsidRPr="000314DA">
        <w:t>3</w:t>
      </w:r>
      <w:r w:rsidRPr="000314DA">
        <w:t>款、《保护所有人免遭强迫失踪国际公约》第六条第二款以及《有效防止和调查法外处决、任意处决和即审即决事件的原则》。</w:t>
      </w:r>
    </w:p>
  </w:footnote>
  <w:footnote w:id="7">
    <w:p w:rsidR="00D968EC" w:rsidRPr="00BA4364" w:rsidRDefault="00D968EC" w:rsidP="00D968EC">
      <w:pPr>
        <w:pStyle w:val="a6"/>
      </w:pPr>
      <w:r w:rsidRPr="00BA4364">
        <w:tab/>
      </w:r>
      <w:r w:rsidRPr="00EC6295">
        <w:rPr>
          <w:rStyle w:val="a8"/>
          <w:rFonts w:eastAsia="宋体"/>
        </w:rPr>
        <w:footnoteRef/>
      </w:r>
      <w:r w:rsidRPr="00BA4364">
        <w:tab/>
      </w:r>
      <w:r>
        <w:rPr>
          <w:rFonts w:hint="eastAsia"/>
        </w:rPr>
        <w:t>《宪法》第</w:t>
      </w:r>
      <w:r>
        <w:rPr>
          <w:rFonts w:hint="eastAsia"/>
        </w:rPr>
        <w:t>8</w:t>
      </w:r>
      <w:r>
        <w:rPr>
          <w:rFonts w:hint="eastAsia"/>
        </w:rPr>
        <w:t>条第</w:t>
      </w:r>
      <w:r>
        <w:rPr>
          <w:rFonts w:hint="eastAsia"/>
        </w:rPr>
        <w:t>1</w:t>
      </w:r>
      <w:r>
        <w:rPr>
          <w:rFonts w:hint="eastAsia"/>
        </w:rPr>
        <w:t>款规定：“司法权包括法院有义务解决涉及在法律上可要求和</w:t>
      </w:r>
      <w:proofErr w:type="gramStart"/>
      <w:r>
        <w:rPr>
          <w:rFonts w:hint="eastAsia"/>
        </w:rPr>
        <w:t>可</w:t>
      </w:r>
      <w:proofErr w:type="gramEnd"/>
      <w:r>
        <w:rPr>
          <w:rFonts w:hint="eastAsia"/>
        </w:rPr>
        <w:t>执行的权利的具体争端，以及确定是否存在任何政府部门或机构严重滥用酌处权构成缺乏或滥用管辖权的情况”</w:t>
      </w:r>
      <w:r w:rsidR="00F27922">
        <w:rPr>
          <w:rFonts w:hint="eastAsia"/>
        </w:rPr>
        <w:t>。</w:t>
      </w:r>
    </w:p>
  </w:footnote>
  <w:footnote w:id="8">
    <w:p w:rsidR="00D968EC" w:rsidRPr="00BA4364" w:rsidRDefault="00D968EC" w:rsidP="005D66B7">
      <w:pPr>
        <w:pStyle w:val="a6"/>
      </w:pPr>
      <w:r w:rsidRPr="00BA4364">
        <w:tab/>
      </w:r>
      <w:r w:rsidRPr="00EC6295">
        <w:rPr>
          <w:rStyle w:val="a8"/>
          <w:rFonts w:eastAsia="宋体"/>
        </w:rPr>
        <w:footnoteRef/>
      </w:r>
      <w:r>
        <w:tab/>
      </w:r>
      <w:r>
        <w:rPr>
          <w:rFonts w:hint="eastAsia"/>
        </w:rPr>
        <w:t>经修订的《法院规则》第</w:t>
      </w:r>
      <w:r>
        <w:rPr>
          <w:rFonts w:hint="eastAsia"/>
        </w:rPr>
        <w:t>65</w:t>
      </w:r>
      <w:r>
        <w:rPr>
          <w:rFonts w:hint="eastAsia"/>
        </w:rPr>
        <w:t>条第</w:t>
      </w:r>
      <w:r>
        <w:rPr>
          <w:rFonts w:hint="eastAsia"/>
        </w:rPr>
        <w:t>1</w:t>
      </w:r>
      <w:r>
        <w:rPr>
          <w:rFonts w:hint="eastAsia"/>
        </w:rPr>
        <w:t>款涉及调卷申请，其中规定：“如果</w:t>
      </w:r>
      <w:r w:rsidRPr="00DC0D6C">
        <w:t>任何</w:t>
      </w:r>
      <w:r w:rsidRPr="005D66B7">
        <w:rPr>
          <w:rFonts w:hint="eastAsia"/>
          <w:position w:val="-6"/>
        </w:rPr>
        <w:t>……</w:t>
      </w:r>
      <w:r w:rsidRPr="00DC0D6C">
        <w:t>行使司法职能或准司法职能的法庭、</w:t>
      </w:r>
      <w:r w:rsidRPr="005D66B7">
        <w:rPr>
          <w:rFonts w:hint="eastAsia"/>
          <w:position w:val="-6"/>
        </w:rPr>
        <w:t>……</w:t>
      </w:r>
      <w:r w:rsidRPr="00DC0D6C">
        <w:t>委员会</w:t>
      </w:r>
      <w:proofErr w:type="gramStart"/>
      <w:r w:rsidRPr="00DC0D6C">
        <w:t>或</w:t>
      </w:r>
      <w:proofErr w:type="gramEnd"/>
      <w:r w:rsidR="005D66B7" w:rsidRPr="005D66B7">
        <w:rPr>
          <w:rFonts w:hint="eastAsia"/>
          <w:position w:val="-6"/>
        </w:rPr>
        <w:t>……</w:t>
      </w:r>
      <w:r w:rsidRPr="00DC0D6C">
        <w:t>官员在不具有或滥用管辖权的情况下</w:t>
      </w:r>
      <w:r>
        <w:rPr>
          <w:rFonts w:hint="eastAsia"/>
        </w:rPr>
        <w:t>行事，</w:t>
      </w:r>
      <w:r>
        <w:t>或</w:t>
      </w:r>
      <w:r w:rsidRPr="00DC0D6C">
        <w:t>严重</w:t>
      </w:r>
      <w:r w:rsidRPr="00E25F2D">
        <w:rPr>
          <w:spacing w:val="-4"/>
        </w:rPr>
        <w:t>滥用酌处权构成缺乏或滥用管辖权，以</w:t>
      </w:r>
      <w:r w:rsidRPr="00DC0D6C">
        <w:t>及</w:t>
      </w:r>
      <w:r w:rsidR="005D66B7" w:rsidRPr="005D66B7">
        <w:rPr>
          <w:rFonts w:hint="eastAsia"/>
          <w:position w:val="-6"/>
        </w:rPr>
        <w:t>……</w:t>
      </w:r>
      <w:r>
        <w:t>在正常法律程序中</w:t>
      </w:r>
      <w:r>
        <w:rPr>
          <w:rFonts w:hint="eastAsia"/>
        </w:rPr>
        <w:t>无法</w:t>
      </w:r>
      <w:r w:rsidRPr="00DC0D6C">
        <w:t>上诉或</w:t>
      </w:r>
      <w:r>
        <w:rPr>
          <w:rFonts w:hint="eastAsia"/>
        </w:rPr>
        <w:t>没有</w:t>
      </w:r>
      <w:r w:rsidRPr="00DC0D6C">
        <w:t>任何简单、迅速和充分的补救办法时，</w:t>
      </w:r>
      <w:r w:rsidR="005D66B7" w:rsidRPr="005D66B7">
        <w:rPr>
          <w:rFonts w:hint="eastAsia"/>
          <w:position w:val="-6"/>
        </w:rPr>
        <w:t>……</w:t>
      </w:r>
      <w:r>
        <w:rPr>
          <w:rFonts w:hint="eastAsia"/>
        </w:rPr>
        <w:t>因此而</w:t>
      </w:r>
      <w:r w:rsidRPr="00DC0D6C">
        <w:t>受侵害者可以向适当法院提出经核实的申请，</w:t>
      </w:r>
      <w:r w:rsidR="005D66B7" w:rsidRPr="005D66B7">
        <w:rPr>
          <w:rFonts w:hint="eastAsia"/>
          <w:position w:val="-6"/>
        </w:rPr>
        <w:t>……</w:t>
      </w:r>
      <w:r w:rsidRPr="00DC0D6C">
        <w:t>明确指称事实并</w:t>
      </w:r>
      <w:r w:rsidR="005D66B7" w:rsidRPr="005D66B7">
        <w:rPr>
          <w:rFonts w:hint="eastAsia"/>
          <w:position w:val="-6"/>
        </w:rPr>
        <w:t>……</w:t>
      </w:r>
      <w:r w:rsidRPr="00DC0D6C">
        <w:t>请求宣布判决</w:t>
      </w:r>
      <w:r w:rsidR="005D66B7" w:rsidRPr="005D66B7">
        <w:rPr>
          <w:rFonts w:hint="eastAsia"/>
          <w:position w:val="-6"/>
        </w:rPr>
        <w:t>……</w:t>
      </w:r>
      <w:r>
        <w:t>无效或</w:t>
      </w:r>
      <w:r>
        <w:rPr>
          <w:rFonts w:hint="eastAsia"/>
        </w:rPr>
        <w:t>对</w:t>
      </w:r>
      <w:r w:rsidRPr="00DC0D6C">
        <w:t>这种法庭、委员会或官员</w:t>
      </w:r>
      <w:r>
        <w:rPr>
          <w:rFonts w:hint="eastAsia"/>
        </w:rPr>
        <w:t>所审理</w:t>
      </w:r>
      <w:r w:rsidRPr="00DC0D6C">
        <w:t>的诉讼</w:t>
      </w:r>
      <w:r>
        <w:rPr>
          <w:rFonts w:hint="eastAsia"/>
        </w:rPr>
        <w:t>予以修改”</w:t>
      </w:r>
      <w:r w:rsidR="00F27922">
        <w:rPr>
          <w:rFonts w:hint="eastAsia"/>
        </w:rPr>
        <w:t>。</w:t>
      </w:r>
    </w:p>
  </w:footnote>
  <w:footnote w:id="9">
    <w:p w:rsidR="00D968EC" w:rsidRPr="00BA4364" w:rsidRDefault="00D968EC" w:rsidP="00D968EC">
      <w:pPr>
        <w:pStyle w:val="a6"/>
      </w:pPr>
      <w:r w:rsidRPr="00BA4364">
        <w:tab/>
      </w:r>
      <w:r w:rsidRPr="00EC6295">
        <w:rPr>
          <w:rStyle w:val="a8"/>
          <w:rFonts w:eastAsia="宋体"/>
        </w:rPr>
        <w:footnoteRef/>
      </w:r>
      <w:r w:rsidRPr="00BA4364">
        <w:tab/>
      </w:r>
      <w:r>
        <w:rPr>
          <w:rFonts w:hint="eastAsia"/>
        </w:rPr>
        <w:t>例如，见</w:t>
      </w:r>
      <w:proofErr w:type="spellStart"/>
      <w:r w:rsidRPr="006608C2">
        <w:rPr>
          <w:spacing w:val="-4"/>
        </w:rPr>
        <w:t>Maharjan</w:t>
      </w:r>
      <w:proofErr w:type="spellEnd"/>
      <w:r w:rsidRPr="006608C2">
        <w:rPr>
          <w:rFonts w:hint="eastAsia"/>
          <w:spacing w:val="-4"/>
        </w:rPr>
        <w:t>诉尼泊尔案</w:t>
      </w:r>
      <w:r w:rsidRPr="006608C2">
        <w:rPr>
          <w:spacing w:val="-4"/>
        </w:rPr>
        <w:t>(</w:t>
      </w:r>
      <w:proofErr w:type="spellStart"/>
      <w:r w:rsidRPr="006608C2">
        <w:rPr>
          <w:spacing w:val="-4"/>
        </w:rPr>
        <w:t>CCPR</w:t>
      </w:r>
      <w:proofErr w:type="spellEnd"/>
      <w:r w:rsidRPr="006608C2">
        <w:rPr>
          <w:spacing w:val="-4"/>
        </w:rPr>
        <w:t>/C/105/D/1863/2009)</w:t>
      </w:r>
      <w:r w:rsidRPr="006608C2">
        <w:rPr>
          <w:rFonts w:hint="eastAsia"/>
          <w:spacing w:val="-4"/>
        </w:rPr>
        <w:t>，第</w:t>
      </w:r>
      <w:r w:rsidRPr="006608C2">
        <w:rPr>
          <w:rFonts w:hint="eastAsia"/>
          <w:spacing w:val="-4"/>
        </w:rPr>
        <w:t>7.6</w:t>
      </w:r>
      <w:r>
        <w:rPr>
          <w:rFonts w:hint="eastAsia"/>
        </w:rPr>
        <w:t>段；</w:t>
      </w:r>
      <w:proofErr w:type="spellStart"/>
      <w:r w:rsidRPr="00650BCA">
        <w:t>Benaziza</w:t>
      </w:r>
      <w:proofErr w:type="spellEnd"/>
      <w:r w:rsidRPr="00650BCA">
        <w:rPr>
          <w:rFonts w:hint="eastAsia"/>
        </w:rPr>
        <w:t>诉阿尔及利亚案</w:t>
      </w:r>
      <w:r w:rsidRPr="00650BCA">
        <w:t>(</w:t>
      </w:r>
      <w:proofErr w:type="spellStart"/>
      <w:r w:rsidRPr="00650BCA">
        <w:t>CCPR</w:t>
      </w:r>
      <w:proofErr w:type="spellEnd"/>
      <w:r w:rsidRPr="00650BCA">
        <w:t>/C/99/D/1588/2007)</w:t>
      </w:r>
      <w:r w:rsidRPr="00650BCA">
        <w:rPr>
          <w:rFonts w:hint="eastAsia"/>
        </w:rPr>
        <w:t>，第</w:t>
      </w:r>
      <w:r w:rsidRPr="00650BCA">
        <w:rPr>
          <w:rFonts w:hint="eastAsia"/>
        </w:rPr>
        <w:t>8.3</w:t>
      </w:r>
      <w:r w:rsidRPr="00650BCA">
        <w:rPr>
          <w:rFonts w:hint="eastAsia"/>
        </w:rPr>
        <w:t>段；</w:t>
      </w:r>
      <w:proofErr w:type="spellStart"/>
      <w:r w:rsidRPr="00650BCA">
        <w:t>Purna</w:t>
      </w:r>
      <w:proofErr w:type="spellEnd"/>
      <w:r w:rsidRPr="00650BCA">
        <w:t xml:space="preserve"> Maya</w:t>
      </w:r>
      <w:r w:rsidRPr="00650BCA">
        <w:rPr>
          <w:rFonts w:hint="eastAsia"/>
        </w:rPr>
        <w:t>诉尼泊尔案</w:t>
      </w:r>
      <w:r w:rsidRPr="00650BCA">
        <w:t>(</w:t>
      </w:r>
      <w:proofErr w:type="spellStart"/>
      <w:r w:rsidRPr="00650BCA">
        <w:t>CCPR</w:t>
      </w:r>
      <w:proofErr w:type="spellEnd"/>
      <w:r w:rsidRPr="00650BCA">
        <w:t>/C/119/D/2245/2013)</w:t>
      </w:r>
      <w:r w:rsidRPr="00650BCA">
        <w:rPr>
          <w:rFonts w:hint="eastAsia"/>
        </w:rPr>
        <w:t>，第</w:t>
      </w:r>
      <w:r w:rsidRPr="00650BCA">
        <w:rPr>
          <w:rFonts w:hint="eastAsia"/>
        </w:rPr>
        <w:t>11.6</w:t>
      </w:r>
      <w:r w:rsidRPr="00650BCA">
        <w:rPr>
          <w:rFonts w:hint="eastAsia"/>
        </w:rPr>
        <w:t>段。</w:t>
      </w:r>
    </w:p>
  </w:footnote>
  <w:footnote w:id="10">
    <w:p w:rsidR="00D968EC" w:rsidRPr="00BA4364" w:rsidRDefault="00D968EC" w:rsidP="00D968EC">
      <w:pPr>
        <w:pStyle w:val="a6"/>
      </w:pPr>
      <w:r w:rsidRPr="00BA4364">
        <w:tab/>
      </w:r>
      <w:r w:rsidRPr="00EC6295">
        <w:rPr>
          <w:rStyle w:val="a8"/>
          <w:rFonts w:eastAsia="宋体"/>
        </w:rPr>
        <w:footnoteRef/>
      </w:r>
      <w:r w:rsidRPr="00BA4364">
        <w:tab/>
      </w:r>
      <w:r w:rsidRPr="004C18EC">
        <w:t>见《严重违反国际人权法和严重违反国际人道主义法行为受害人获得补救和赔偿的权利基本原则和导则》，原则</w:t>
      </w:r>
      <w:r w:rsidRPr="004C18EC">
        <w:t>19</w:t>
      </w:r>
      <w:proofErr w:type="gramStart"/>
      <w:r w:rsidRPr="004C18EC">
        <w:t>至</w:t>
      </w:r>
      <w:r>
        <w:rPr>
          <w:rFonts w:hint="eastAsia"/>
        </w:rPr>
        <w:t>原则</w:t>
      </w:r>
      <w:proofErr w:type="gramEnd"/>
      <w:r w:rsidRPr="004C18EC">
        <w:t>23</w:t>
      </w:r>
      <w:r>
        <w:t>，其中</w:t>
      </w:r>
      <w:r>
        <w:rPr>
          <w:rFonts w:hint="eastAsia"/>
        </w:rPr>
        <w:t>包括</w:t>
      </w:r>
      <w:r>
        <w:t>恢复原状、补偿、康复、抵偿以及保证不</w:t>
      </w:r>
      <w:r>
        <w:rPr>
          <w:rFonts w:hint="eastAsia"/>
        </w:rPr>
        <w:t>再发生，作为</w:t>
      </w:r>
      <w:r w:rsidRPr="004C18EC">
        <w:t>对严重违反国际人权法行为的充分和有效</w:t>
      </w:r>
      <w:r>
        <w:t>赔偿</w:t>
      </w:r>
      <w:r w:rsidRPr="004C18EC">
        <w:t>。</w:t>
      </w:r>
    </w:p>
  </w:footnote>
  <w:footnote w:id="11">
    <w:p w:rsidR="00D968EC" w:rsidRPr="00BA4364" w:rsidRDefault="00D968EC" w:rsidP="00D968EC">
      <w:pPr>
        <w:pStyle w:val="a6"/>
      </w:pPr>
      <w:r w:rsidRPr="00BA4364">
        <w:tab/>
      </w:r>
      <w:r w:rsidRPr="00EC6295">
        <w:rPr>
          <w:rStyle w:val="a8"/>
          <w:rFonts w:eastAsia="宋体"/>
        </w:rPr>
        <w:footnoteRef/>
      </w:r>
      <w:r w:rsidRPr="00BA4364">
        <w:tab/>
      </w:r>
      <w:r>
        <w:rPr>
          <w:rFonts w:hint="eastAsia"/>
        </w:rPr>
        <w:t>在这方面，见</w:t>
      </w:r>
      <w:proofErr w:type="spellStart"/>
      <w:r w:rsidRPr="00C07C2A">
        <w:t>Mezine</w:t>
      </w:r>
      <w:proofErr w:type="spellEnd"/>
      <w:r w:rsidRPr="005E0FF5">
        <w:rPr>
          <w:rFonts w:hint="eastAsia"/>
        </w:rPr>
        <w:t>诉阿尔及利亚案</w:t>
      </w:r>
      <w:r w:rsidRPr="00C07C2A">
        <w:t>(</w:t>
      </w:r>
      <w:proofErr w:type="spellStart"/>
      <w:r w:rsidRPr="00C07C2A">
        <w:t>CCPR</w:t>
      </w:r>
      <w:proofErr w:type="spellEnd"/>
      <w:r w:rsidRPr="00C07C2A">
        <w:t>/C/106/D/1779/2008)</w:t>
      </w:r>
      <w:r>
        <w:rPr>
          <w:rFonts w:hint="eastAsia"/>
        </w:rPr>
        <w:t>，第</w:t>
      </w:r>
      <w:r>
        <w:rPr>
          <w:rFonts w:hint="eastAsia"/>
        </w:rPr>
        <w:t>8.4</w:t>
      </w:r>
      <w:r>
        <w:rPr>
          <w:rFonts w:hint="eastAsia"/>
        </w:rPr>
        <w:t>段；</w:t>
      </w:r>
      <w:proofErr w:type="spellStart"/>
      <w:r w:rsidRPr="00C07C2A">
        <w:t>Bousseloub</w:t>
      </w:r>
      <w:proofErr w:type="spellEnd"/>
      <w:r w:rsidRPr="005E0FF5">
        <w:rPr>
          <w:rFonts w:hint="eastAsia"/>
        </w:rPr>
        <w:t>诉阿尔及利亚案</w:t>
      </w:r>
      <w:r w:rsidRPr="00BA4364">
        <w:t>(</w:t>
      </w:r>
      <w:proofErr w:type="spellStart"/>
      <w:r w:rsidRPr="00BA4364">
        <w:t>CCPR</w:t>
      </w:r>
      <w:proofErr w:type="spellEnd"/>
      <w:r w:rsidRPr="00BA4364">
        <w:t>/C/111/D/1974/2010)</w:t>
      </w:r>
      <w:r>
        <w:rPr>
          <w:rFonts w:hint="eastAsia"/>
        </w:rPr>
        <w:t>，第</w:t>
      </w:r>
      <w:r>
        <w:rPr>
          <w:rFonts w:hint="eastAsia"/>
        </w:rPr>
        <w:t>7.4</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83F58" w:rsidP="00983F58">
    <w:pPr>
      <w:pStyle w:val="af3"/>
    </w:pPr>
    <w:proofErr w:type="spellStart"/>
    <w:r>
      <w:t>CCPR</w:t>
    </w:r>
    <w:proofErr w:type="spellEnd"/>
    <w:r>
      <w:t>/C/125/D/2536/2015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83F58" w:rsidP="00983F58">
    <w:pPr>
      <w:pStyle w:val="af3"/>
      <w:jc w:val="right"/>
    </w:pPr>
    <w:proofErr w:type="spellStart"/>
    <w:r>
      <w:t>CCPR</w:t>
    </w:r>
    <w:proofErr w:type="spellEnd"/>
    <w:r>
      <w:t>/C/125/D/2536/2015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32"/>
    <w:rsid w:val="00006467"/>
    <w:rsid w:val="00011483"/>
    <w:rsid w:val="000235C9"/>
    <w:rsid w:val="0004025D"/>
    <w:rsid w:val="0004554F"/>
    <w:rsid w:val="000D319F"/>
    <w:rsid w:val="000E4D0E"/>
    <w:rsid w:val="000F5EB8"/>
    <w:rsid w:val="00144B69"/>
    <w:rsid w:val="00153E86"/>
    <w:rsid w:val="00172E04"/>
    <w:rsid w:val="00177DEE"/>
    <w:rsid w:val="001B1BD1"/>
    <w:rsid w:val="001C3EF2"/>
    <w:rsid w:val="001D17F6"/>
    <w:rsid w:val="00204B42"/>
    <w:rsid w:val="0021265F"/>
    <w:rsid w:val="002231C3"/>
    <w:rsid w:val="0024417F"/>
    <w:rsid w:val="00250F8D"/>
    <w:rsid w:val="002977E9"/>
    <w:rsid w:val="002C6BFD"/>
    <w:rsid w:val="002E1C97"/>
    <w:rsid w:val="002F5834"/>
    <w:rsid w:val="003006AB"/>
    <w:rsid w:val="00326EBF"/>
    <w:rsid w:val="00327FE4"/>
    <w:rsid w:val="003333CC"/>
    <w:rsid w:val="003971E1"/>
    <w:rsid w:val="003D1089"/>
    <w:rsid w:val="00402465"/>
    <w:rsid w:val="00427F63"/>
    <w:rsid w:val="00434D38"/>
    <w:rsid w:val="00494EB8"/>
    <w:rsid w:val="004C4A0A"/>
    <w:rsid w:val="004D0A00"/>
    <w:rsid w:val="004E473D"/>
    <w:rsid w:val="004F348E"/>
    <w:rsid w:val="00501220"/>
    <w:rsid w:val="005D66B7"/>
    <w:rsid w:val="005E0FF5"/>
    <w:rsid w:val="005E403A"/>
    <w:rsid w:val="005E4086"/>
    <w:rsid w:val="005F1C12"/>
    <w:rsid w:val="00604D91"/>
    <w:rsid w:val="006257FE"/>
    <w:rsid w:val="00650BCA"/>
    <w:rsid w:val="006608C2"/>
    <w:rsid w:val="00670DEE"/>
    <w:rsid w:val="006800EC"/>
    <w:rsid w:val="00680656"/>
    <w:rsid w:val="006B1119"/>
    <w:rsid w:val="006D3757"/>
    <w:rsid w:val="006D37EB"/>
    <w:rsid w:val="006E3E46"/>
    <w:rsid w:val="006E71B1"/>
    <w:rsid w:val="006F1404"/>
    <w:rsid w:val="0070593B"/>
    <w:rsid w:val="00705D89"/>
    <w:rsid w:val="00731A42"/>
    <w:rsid w:val="00734C60"/>
    <w:rsid w:val="00755487"/>
    <w:rsid w:val="00756D71"/>
    <w:rsid w:val="00767E69"/>
    <w:rsid w:val="0077079A"/>
    <w:rsid w:val="00771504"/>
    <w:rsid w:val="007A5599"/>
    <w:rsid w:val="00856233"/>
    <w:rsid w:val="00860F27"/>
    <w:rsid w:val="008B0560"/>
    <w:rsid w:val="008B2BFA"/>
    <w:rsid w:val="008B79A3"/>
    <w:rsid w:val="008D31F4"/>
    <w:rsid w:val="008E6A3F"/>
    <w:rsid w:val="00923557"/>
    <w:rsid w:val="00927B62"/>
    <w:rsid w:val="00936F03"/>
    <w:rsid w:val="00942804"/>
    <w:rsid w:val="00943B69"/>
    <w:rsid w:val="00944CB3"/>
    <w:rsid w:val="0096722F"/>
    <w:rsid w:val="00983F58"/>
    <w:rsid w:val="00986624"/>
    <w:rsid w:val="009B09D7"/>
    <w:rsid w:val="009B1816"/>
    <w:rsid w:val="009D35ED"/>
    <w:rsid w:val="00A03CB6"/>
    <w:rsid w:val="00A1364C"/>
    <w:rsid w:val="00A21076"/>
    <w:rsid w:val="00A24E89"/>
    <w:rsid w:val="00A31BA8"/>
    <w:rsid w:val="00A3739A"/>
    <w:rsid w:val="00A50132"/>
    <w:rsid w:val="00A52DAF"/>
    <w:rsid w:val="00A84072"/>
    <w:rsid w:val="00B16570"/>
    <w:rsid w:val="00B23B03"/>
    <w:rsid w:val="00B43EB7"/>
    <w:rsid w:val="00B53320"/>
    <w:rsid w:val="00B614C4"/>
    <w:rsid w:val="00B81B8D"/>
    <w:rsid w:val="00BA029C"/>
    <w:rsid w:val="00BC6522"/>
    <w:rsid w:val="00C121D5"/>
    <w:rsid w:val="00C17349"/>
    <w:rsid w:val="00C351AA"/>
    <w:rsid w:val="00C4019B"/>
    <w:rsid w:val="00C70852"/>
    <w:rsid w:val="00C71982"/>
    <w:rsid w:val="00C7253F"/>
    <w:rsid w:val="00C90707"/>
    <w:rsid w:val="00CE1D1C"/>
    <w:rsid w:val="00D26A05"/>
    <w:rsid w:val="00D9309B"/>
    <w:rsid w:val="00D968EC"/>
    <w:rsid w:val="00D97B98"/>
    <w:rsid w:val="00DC671F"/>
    <w:rsid w:val="00DE4DA7"/>
    <w:rsid w:val="00E02C13"/>
    <w:rsid w:val="00E25F2D"/>
    <w:rsid w:val="00E33B38"/>
    <w:rsid w:val="00E442A1"/>
    <w:rsid w:val="00E47FE5"/>
    <w:rsid w:val="00E574AF"/>
    <w:rsid w:val="00EA7E67"/>
    <w:rsid w:val="00EE084A"/>
    <w:rsid w:val="00F22C41"/>
    <w:rsid w:val="00F24E6D"/>
    <w:rsid w:val="00F27922"/>
    <w:rsid w:val="00F533EF"/>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D5537"/>
  <w15:docId w15:val="{3D5A2E29-8853-4830-91CF-6E0E11FA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D968E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D968E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D968E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D968E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D968E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D968E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D968EC"/>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D968EC"/>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D968E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D968EC"/>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D968E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D968EC"/>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D968EC"/>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D968EC"/>
    <w:pPr>
      <w:numPr>
        <w:numId w:val="10"/>
      </w:numPr>
    </w:pPr>
  </w:style>
  <w:style w:type="numbering" w:styleId="111111">
    <w:name w:val="Outline List 2"/>
    <w:basedOn w:val="a2"/>
    <w:semiHidden/>
    <w:rsid w:val="00D968EC"/>
    <w:pPr>
      <w:numPr>
        <w:numId w:val="12"/>
      </w:numPr>
    </w:pPr>
  </w:style>
  <w:style w:type="numbering" w:styleId="1111110">
    <w:name w:val="Outline List 1"/>
    <w:basedOn w:val="a2"/>
    <w:semiHidden/>
    <w:rsid w:val="00D968EC"/>
    <w:pPr>
      <w:numPr>
        <w:numId w:val="13"/>
      </w:numPr>
    </w:pPr>
  </w:style>
  <w:style w:type="character" w:styleId="afa">
    <w:name w:val="Book Title"/>
    <w:basedOn w:val="a0"/>
    <w:uiPriority w:val="33"/>
    <w:rsid w:val="00D968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2B85-DB8E-4DBC-A8E6-4966AACB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10049</Words>
  <Characters>11051</Characters>
  <Application>Microsoft Office Word</Application>
  <DocSecurity>0</DocSecurity>
  <Lines>363</Lines>
  <Paragraphs>93</Paragraphs>
  <ScaleCrop>false</ScaleCrop>
  <Company>DCM</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CCPR/C/125/D/2536/2015</dc:title>
  <dc:subject>1908816</dc:subject>
  <dc:creator>WUJS</dc:creator>
  <cp:keywords/>
  <dc:description/>
  <cp:lastModifiedBy>Hui Tian</cp:lastModifiedBy>
  <cp:revision>2</cp:revision>
  <cp:lastPrinted>2014-05-09T11:28:00Z</cp:lastPrinted>
  <dcterms:created xsi:type="dcterms:W3CDTF">2019-07-25T12:37:00Z</dcterms:created>
  <dcterms:modified xsi:type="dcterms:W3CDTF">2019-07-25T12:37:00Z</dcterms:modified>
</cp:coreProperties>
</file>