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ED7442" w:rsidTr="009867A8">
        <w:trPr>
          <w:trHeight w:hRule="exact" w:val="851"/>
        </w:trPr>
        <w:tc>
          <w:tcPr>
            <w:tcW w:w="1274" w:type="dxa"/>
            <w:tcBorders>
              <w:bottom w:val="single" w:sz="4" w:space="0" w:color="auto"/>
            </w:tcBorders>
          </w:tcPr>
          <w:p w:rsidR="006B3E27" w:rsidRPr="00C51903" w:rsidRDefault="006B3E27" w:rsidP="009867A8">
            <w:pPr>
              <w:jc w:val="center"/>
              <w:rPr>
                <w:rFonts w:hint="cs"/>
                <w:sz w:val="56"/>
                <w:szCs w:val="56"/>
                <w:rtl/>
                <w:lang w:bidi="ar-DZ"/>
              </w:rPr>
            </w:pPr>
          </w:p>
        </w:tc>
        <w:tc>
          <w:tcPr>
            <w:tcW w:w="4537" w:type="dxa"/>
            <w:tcBorders>
              <w:bottom w:val="single" w:sz="4" w:space="0" w:color="auto"/>
            </w:tcBorders>
            <w:vAlign w:val="bottom"/>
          </w:tcPr>
          <w:p w:rsidR="006B3E27" w:rsidRPr="00517BC9" w:rsidRDefault="006B3E27" w:rsidP="009867A8">
            <w:pPr>
              <w:spacing w:after="80" w:line="480" w:lineRule="exact"/>
              <w:jc w:val="left"/>
              <w:rPr>
                <w:sz w:val="40"/>
                <w:szCs w:val="40"/>
                <w:rtl/>
              </w:rPr>
            </w:pPr>
            <w:r w:rsidRPr="00517BC9">
              <w:rPr>
                <w:rFonts w:hint="cs"/>
                <w:sz w:val="40"/>
                <w:szCs w:val="40"/>
                <w:rtl/>
              </w:rPr>
              <w:t>الأمم</w:t>
            </w:r>
            <w:r w:rsidR="009872E6">
              <w:rPr>
                <w:rFonts w:hint="cs"/>
                <w:sz w:val="40"/>
                <w:szCs w:val="40"/>
                <w:rtl/>
              </w:rPr>
              <w:t xml:space="preserve"> </w:t>
            </w:r>
            <w:r w:rsidRPr="00517BC9">
              <w:rPr>
                <w:rFonts w:hint="cs"/>
                <w:sz w:val="40"/>
                <w:szCs w:val="40"/>
                <w:rtl/>
              </w:rPr>
              <w:t>المتحدة</w:t>
            </w:r>
          </w:p>
        </w:tc>
        <w:tc>
          <w:tcPr>
            <w:tcW w:w="3828" w:type="dxa"/>
            <w:tcBorders>
              <w:bottom w:val="single" w:sz="4" w:space="0" w:color="auto"/>
            </w:tcBorders>
            <w:vAlign w:val="bottom"/>
          </w:tcPr>
          <w:p w:rsidR="006B3E27" w:rsidRPr="00CB6622" w:rsidRDefault="00C51903" w:rsidP="006E2C11">
            <w:pPr>
              <w:bidi w:val="0"/>
              <w:spacing w:after="20"/>
              <w:jc w:val="left"/>
              <w:rPr>
                <w:szCs w:val="20"/>
              </w:rPr>
            </w:pPr>
            <w:r w:rsidRPr="00C51903">
              <w:rPr>
                <w:sz w:val="40"/>
                <w:szCs w:val="20"/>
              </w:rPr>
              <w:t>CCPR</w:t>
            </w:r>
            <w:r>
              <w:rPr>
                <w:szCs w:val="20"/>
              </w:rPr>
              <w:t>/C/125/D/2494/2014</w:t>
            </w:r>
          </w:p>
        </w:tc>
      </w:tr>
      <w:tr w:rsidR="006B3E27" w:rsidRPr="00ED7442" w:rsidTr="009867A8">
        <w:trPr>
          <w:trHeight w:hRule="exact" w:val="2835"/>
        </w:trPr>
        <w:tc>
          <w:tcPr>
            <w:tcW w:w="1274" w:type="dxa"/>
            <w:tcBorders>
              <w:top w:val="single" w:sz="4" w:space="0" w:color="auto"/>
              <w:bottom w:val="single" w:sz="12" w:space="0" w:color="auto"/>
            </w:tcBorders>
          </w:tcPr>
          <w:p w:rsidR="006B3E27" w:rsidRPr="00ED7442" w:rsidRDefault="0059622A" w:rsidP="009867A8">
            <w:pPr>
              <w:jc w:val="center"/>
              <w:rPr>
                <w:sz w:val="56"/>
                <w:szCs w:val="56"/>
                <w:rtl/>
              </w:rPr>
            </w:pPr>
            <w:r w:rsidRPr="00ED7442">
              <w:rPr>
                <w:noProof/>
                <w:sz w:val="56"/>
                <w:szCs w:val="56"/>
              </w:rPr>
              <w:drawing>
                <wp:inline distT="0" distB="0" distL="0" distR="0" wp14:anchorId="29DE4E62" wp14:editId="5071CDE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7" w:type="dxa"/>
            <w:tcBorders>
              <w:top w:val="single" w:sz="4" w:space="0" w:color="auto"/>
              <w:bottom w:val="single" w:sz="12" w:space="0" w:color="auto"/>
            </w:tcBorders>
          </w:tcPr>
          <w:p w:rsidR="006B3E27" w:rsidRPr="00ED7442" w:rsidRDefault="00ED7442" w:rsidP="009867A8">
            <w:pPr>
              <w:spacing w:before="120" w:after="40" w:line="640" w:lineRule="exact"/>
              <w:jc w:val="left"/>
              <w:rPr>
                <w:b/>
                <w:bCs/>
                <w:sz w:val="56"/>
                <w:szCs w:val="56"/>
              </w:rPr>
            </w:pPr>
            <w:r w:rsidRPr="00ED7442">
              <w:rPr>
                <w:rFonts w:hint="cs"/>
                <w:b/>
                <w:bCs/>
                <w:sz w:val="56"/>
                <w:szCs w:val="56"/>
                <w:rtl/>
              </w:rPr>
              <w:t>العهد</w:t>
            </w:r>
            <w:r w:rsidR="009872E6">
              <w:rPr>
                <w:rFonts w:hint="cs"/>
                <w:b/>
                <w:bCs/>
                <w:sz w:val="56"/>
                <w:szCs w:val="56"/>
                <w:rtl/>
              </w:rPr>
              <w:t xml:space="preserve"> </w:t>
            </w:r>
            <w:r w:rsidRPr="00ED7442">
              <w:rPr>
                <w:rFonts w:hint="cs"/>
                <w:b/>
                <w:bCs/>
                <w:sz w:val="56"/>
                <w:szCs w:val="56"/>
                <w:rtl/>
              </w:rPr>
              <w:t>الدولي</w:t>
            </w:r>
            <w:r w:rsidR="009872E6">
              <w:rPr>
                <w:rFonts w:hint="cs"/>
                <w:b/>
                <w:bCs/>
                <w:sz w:val="56"/>
                <w:szCs w:val="56"/>
                <w:rtl/>
              </w:rPr>
              <w:t xml:space="preserve"> </w:t>
            </w:r>
            <w:r w:rsidRPr="00ED7442">
              <w:rPr>
                <w:rFonts w:hint="cs"/>
                <w:b/>
                <w:bCs/>
                <w:sz w:val="56"/>
                <w:szCs w:val="56"/>
                <w:rtl/>
              </w:rPr>
              <w:t>الخاص</w:t>
            </w:r>
            <w:r w:rsidR="009872E6">
              <w:rPr>
                <w:rFonts w:hint="cs"/>
                <w:b/>
                <w:bCs/>
                <w:sz w:val="56"/>
                <w:szCs w:val="56"/>
                <w:rtl/>
              </w:rPr>
              <w:t xml:space="preserve"> </w:t>
            </w:r>
            <w:r w:rsidRPr="00ED7442">
              <w:rPr>
                <w:rFonts w:hint="cs"/>
                <w:b/>
                <w:bCs/>
                <w:sz w:val="56"/>
                <w:szCs w:val="56"/>
                <w:rtl/>
              </w:rPr>
              <w:t>بالحقوق</w:t>
            </w:r>
            <w:r w:rsidR="009872E6">
              <w:rPr>
                <w:rFonts w:hint="cs"/>
                <w:b/>
                <w:bCs/>
                <w:sz w:val="56"/>
                <w:szCs w:val="56"/>
                <w:rtl/>
              </w:rPr>
              <w:t xml:space="preserve"> </w:t>
            </w:r>
            <w:r w:rsidRPr="00ED7442">
              <w:rPr>
                <w:rFonts w:hint="cs"/>
                <w:b/>
                <w:bCs/>
                <w:sz w:val="56"/>
                <w:szCs w:val="56"/>
                <w:rtl/>
              </w:rPr>
              <w:t>المدنية</w:t>
            </w:r>
            <w:r w:rsidR="009872E6">
              <w:rPr>
                <w:rFonts w:hint="cs"/>
                <w:b/>
                <w:bCs/>
                <w:sz w:val="56"/>
                <w:szCs w:val="56"/>
                <w:rtl/>
              </w:rPr>
              <w:t xml:space="preserve"> </w:t>
            </w:r>
            <w:r w:rsidRPr="00ED7442">
              <w:rPr>
                <w:rFonts w:hint="cs"/>
                <w:b/>
                <w:bCs/>
                <w:sz w:val="56"/>
                <w:szCs w:val="56"/>
                <w:rtl/>
              </w:rPr>
              <w:t>والسياسية</w:t>
            </w:r>
          </w:p>
        </w:tc>
        <w:tc>
          <w:tcPr>
            <w:tcW w:w="3828" w:type="dxa"/>
            <w:tcBorders>
              <w:top w:val="single" w:sz="4" w:space="0" w:color="auto"/>
              <w:bottom w:val="single" w:sz="12" w:space="0" w:color="auto"/>
            </w:tcBorders>
          </w:tcPr>
          <w:p w:rsidR="006B3E27" w:rsidRDefault="006E2C11" w:rsidP="006E2C11">
            <w:pPr>
              <w:bidi w:val="0"/>
              <w:spacing w:before="240"/>
              <w:jc w:val="left"/>
              <w:rPr>
                <w:szCs w:val="20"/>
              </w:rPr>
            </w:pPr>
            <w:r>
              <w:rPr>
                <w:szCs w:val="20"/>
              </w:rPr>
              <w:t>Distr.:</w:t>
            </w:r>
            <w:r w:rsidR="009872E6">
              <w:rPr>
                <w:szCs w:val="20"/>
              </w:rPr>
              <w:t xml:space="preserve"> </w:t>
            </w:r>
            <w:r>
              <w:rPr>
                <w:szCs w:val="20"/>
              </w:rPr>
              <w:t>General</w:t>
            </w:r>
          </w:p>
          <w:p w:rsidR="006E2C11" w:rsidRDefault="009872E6" w:rsidP="006E2C11">
            <w:pPr>
              <w:bidi w:val="0"/>
              <w:jc w:val="left"/>
              <w:rPr>
                <w:szCs w:val="20"/>
              </w:rPr>
            </w:pPr>
            <w:r>
              <w:rPr>
                <w:szCs w:val="20"/>
              </w:rPr>
              <w:t xml:space="preserve">17 May </w:t>
            </w:r>
            <w:r w:rsidR="006E2C11">
              <w:rPr>
                <w:szCs w:val="20"/>
              </w:rPr>
              <w:t>2019</w:t>
            </w:r>
          </w:p>
          <w:p w:rsidR="006E2C11" w:rsidRDefault="006E2C11" w:rsidP="006E2C11">
            <w:pPr>
              <w:bidi w:val="0"/>
              <w:jc w:val="left"/>
              <w:rPr>
                <w:szCs w:val="20"/>
              </w:rPr>
            </w:pPr>
            <w:r>
              <w:rPr>
                <w:szCs w:val="20"/>
              </w:rPr>
              <w:t>Arabic</w:t>
            </w:r>
          </w:p>
          <w:p w:rsidR="006E2C11" w:rsidRPr="00CB6622" w:rsidRDefault="006E2C11" w:rsidP="006E2C11">
            <w:pPr>
              <w:bidi w:val="0"/>
              <w:jc w:val="left"/>
              <w:rPr>
                <w:szCs w:val="20"/>
              </w:rPr>
            </w:pPr>
            <w:r>
              <w:rPr>
                <w:szCs w:val="20"/>
              </w:rPr>
              <w:t>Original:</w:t>
            </w:r>
            <w:r w:rsidR="009872E6">
              <w:rPr>
                <w:szCs w:val="20"/>
              </w:rPr>
              <w:t xml:space="preserve"> </w:t>
            </w:r>
            <w:r>
              <w:rPr>
                <w:szCs w:val="20"/>
              </w:rPr>
              <w:t>English</w:t>
            </w:r>
          </w:p>
        </w:tc>
      </w:tr>
    </w:tbl>
    <w:p w:rsidR="009872E6" w:rsidRPr="009872E6" w:rsidRDefault="009872E6" w:rsidP="009872E6">
      <w:pPr>
        <w:spacing w:before="120" w:line="380" w:lineRule="exact"/>
        <w:rPr>
          <w:b/>
          <w:bCs/>
          <w:sz w:val="36"/>
          <w:szCs w:val="36"/>
          <w:lang w:val="ar-SA" w:eastAsia="zh-TW"/>
        </w:rPr>
      </w:pPr>
      <w:r w:rsidRPr="009872E6">
        <w:rPr>
          <w:b/>
          <w:bCs/>
          <w:sz w:val="36"/>
          <w:szCs w:val="36"/>
          <w:rtl/>
        </w:rPr>
        <w:t>اللجنة</w:t>
      </w:r>
      <w:r>
        <w:rPr>
          <w:b/>
          <w:bCs/>
          <w:sz w:val="36"/>
          <w:szCs w:val="36"/>
          <w:rtl/>
        </w:rPr>
        <w:t xml:space="preserve"> </w:t>
      </w:r>
      <w:r w:rsidRPr="009872E6">
        <w:rPr>
          <w:b/>
          <w:bCs/>
          <w:sz w:val="36"/>
          <w:szCs w:val="36"/>
          <w:rtl/>
        </w:rPr>
        <w:t>المعنية</w:t>
      </w:r>
      <w:r>
        <w:rPr>
          <w:b/>
          <w:bCs/>
          <w:sz w:val="36"/>
          <w:szCs w:val="36"/>
          <w:rtl/>
        </w:rPr>
        <w:t xml:space="preserve"> </w:t>
      </w:r>
      <w:r w:rsidRPr="009872E6">
        <w:rPr>
          <w:b/>
          <w:bCs/>
          <w:sz w:val="36"/>
          <w:szCs w:val="36"/>
          <w:rtl/>
        </w:rPr>
        <w:t>بحقوق</w:t>
      </w:r>
      <w:r>
        <w:rPr>
          <w:b/>
          <w:bCs/>
          <w:sz w:val="36"/>
          <w:szCs w:val="36"/>
          <w:rtl/>
        </w:rPr>
        <w:t xml:space="preserve"> </w:t>
      </w:r>
      <w:r w:rsidRPr="009872E6">
        <w:rPr>
          <w:b/>
          <w:bCs/>
          <w:sz w:val="36"/>
          <w:szCs w:val="36"/>
          <w:rtl/>
        </w:rPr>
        <w:t>الإنسان</w:t>
      </w:r>
    </w:p>
    <w:p w:rsidR="009872E6" w:rsidRDefault="009872E6" w:rsidP="009872E6">
      <w:pPr>
        <w:pStyle w:val="HChGA"/>
        <w:rPr>
          <w:rtl/>
          <w:lang w:val="ar-SA" w:eastAsia="zh-TW"/>
        </w:rPr>
      </w:pPr>
      <w:r>
        <w:rPr>
          <w:rtl/>
        </w:rPr>
        <w:tab/>
      </w:r>
      <w:r>
        <w:rPr>
          <w:rtl/>
        </w:rPr>
        <w:tab/>
        <w:t>الآراء التي اعتمدتها اللجنة بموجب المادة ٥(٤) من البروتوكول الاختياري، بشأن البلاغ رقم ٢٤٩٤/٢٠١٤</w:t>
      </w:r>
      <w:r w:rsidRPr="009872E6">
        <w:rPr>
          <w:rStyle w:val="FootnoteReference"/>
          <w:sz w:val="20"/>
          <w:vertAlign w:val="baseline"/>
          <w:rtl/>
          <w:lang w:val="ar-SA" w:eastAsia="zh-TW"/>
        </w:rPr>
        <w:footnoteReference w:customMarkFollows="1" w:id="1"/>
        <w:t>*</w:t>
      </w:r>
      <w:r>
        <w:rPr>
          <w:rFonts w:hint="cs"/>
          <w:rtl/>
          <w:lang w:val="ar-SA" w:eastAsia="zh-TW"/>
        </w:rPr>
        <w:t xml:space="preserve"> </w:t>
      </w:r>
      <w:r w:rsidRPr="009872E6">
        <w:rPr>
          <w:rStyle w:val="FootnoteReference"/>
          <w:sz w:val="20"/>
          <w:vertAlign w:val="baseline"/>
          <w:rtl/>
          <w:lang w:val="ar-SA" w:eastAsia="zh-TW"/>
        </w:rPr>
        <w:footnoteReference w:customMarkFollows="1" w:id="2"/>
        <w:t>**</w:t>
      </w:r>
    </w:p>
    <w:p w:rsidR="009872E6" w:rsidRDefault="009872E6" w:rsidP="009872E6">
      <w:pPr>
        <w:pStyle w:val="SingleTxtGA"/>
        <w:ind w:left="1928"/>
        <w:rPr>
          <w:rtl/>
          <w:lang w:val="ar-SA" w:eastAsia="zh-TW"/>
        </w:rPr>
      </w:pPr>
      <w:r>
        <w:rPr>
          <w:i/>
          <w:iCs/>
          <w:rtl/>
        </w:rPr>
        <w:t>المقدم من:</w:t>
      </w:r>
      <w:r>
        <w:rPr>
          <w:rtl/>
        </w:rPr>
        <w:tab/>
      </w:r>
      <w:r>
        <w:rPr>
          <w:rtl/>
        </w:rPr>
        <w:tab/>
      </w:r>
      <w:r>
        <w:rPr>
          <w:rtl/>
        </w:rPr>
        <w:tab/>
        <w:t xml:space="preserve">س. ف. (يمثله المحامي </w:t>
      </w:r>
      <w:proofErr w:type="spellStart"/>
      <w:r>
        <w:rPr>
          <w:rtl/>
        </w:rPr>
        <w:t>نيلس</w:t>
      </w:r>
      <w:proofErr w:type="spellEnd"/>
      <w:r>
        <w:rPr>
          <w:rFonts w:hint="cs"/>
          <w:rtl/>
        </w:rPr>
        <w:t xml:space="preserve"> </w:t>
      </w:r>
      <w:r>
        <w:rPr>
          <w:rtl/>
        </w:rPr>
        <w:t>-</w:t>
      </w:r>
      <w:r>
        <w:rPr>
          <w:rFonts w:hint="cs"/>
          <w:rtl/>
        </w:rPr>
        <w:t xml:space="preserve"> </w:t>
      </w:r>
      <w:r>
        <w:rPr>
          <w:rtl/>
        </w:rPr>
        <w:t>إريك هانسن)</w:t>
      </w:r>
    </w:p>
    <w:p w:rsidR="009872E6" w:rsidRPr="009872E6" w:rsidRDefault="009872E6" w:rsidP="009872E6">
      <w:pPr>
        <w:pStyle w:val="SingleTxtGA"/>
        <w:ind w:left="1928"/>
        <w:rPr>
          <w:rtl/>
          <w:lang w:val="ar-SA" w:eastAsia="zh-TW"/>
        </w:rPr>
      </w:pPr>
      <w:r>
        <w:rPr>
          <w:i/>
          <w:iCs/>
          <w:rtl/>
        </w:rPr>
        <w:t>الشخص المدعى أنه ضحية:</w:t>
      </w:r>
      <w:r>
        <w:rPr>
          <w:i/>
          <w:iCs/>
          <w:rtl/>
        </w:rPr>
        <w:tab/>
      </w:r>
      <w:r w:rsidRPr="009872E6">
        <w:rPr>
          <w:rFonts w:hint="cs"/>
          <w:rtl/>
        </w:rPr>
        <w:t>ص</w:t>
      </w:r>
      <w:r w:rsidRPr="009872E6">
        <w:rPr>
          <w:rtl/>
        </w:rPr>
        <w:t>احب</w:t>
      </w:r>
      <w:r>
        <w:rPr>
          <w:rtl/>
        </w:rPr>
        <w:t xml:space="preserve"> </w:t>
      </w:r>
      <w:r w:rsidRPr="009872E6">
        <w:rPr>
          <w:rtl/>
        </w:rPr>
        <w:t>البلاغ</w:t>
      </w:r>
    </w:p>
    <w:p w:rsidR="009872E6" w:rsidRDefault="009872E6" w:rsidP="009872E6">
      <w:pPr>
        <w:pStyle w:val="SingleTxtGA"/>
        <w:ind w:left="1928"/>
        <w:rPr>
          <w:rtl/>
          <w:lang w:val="ar-SA" w:eastAsia="zh-TW"/>
        </w:rPr>
      </w:pPr>
      <w:r>
        <w:rPr>
          <w:i/>
          <w:iCs/>
          <w:rtl/>
        </w:rPr>
        <w:t>الدولة الطرف:</w:t>
      </w:r>
      <w:r>
        <w:rPr>
          <w:i/>
          <w:iCs/>
          <w:rtl/>
        </w:rPr>
        <w:tab/>
      </w:r>
      <w:r>
        <w:rPr>
          <w:i/>
          <w:iCs/>
          <w:rtl/>
        </w:rPr>
        <w:tab/>
      </w:r>
      <w:r>
        <w:rPr>
          <w:i/>
          <w:iCs/>
          <w:rtl/>
        </w:rPr>
        <w:tab/>
      </w:r>
      <w:r>
        <w:rPr>
          <w:rtl/>
        </w:rPr>
        <w:t>الدانمرك</w:t>
      </w:r>
    </w:p>
    <w:p w:rsidR="009872E6" w:rsidRPr="009872E6" w:rsidRDefault="009872E6" w:rsidP="009872E6">
      <w:pPr>
        <w:pStyle w:val="SingleTxtGA"/>
        <w:ind w:left="4649" w:hanging="2721"/>
        <w:rPr>
          <w:spacing w:val="-4"/>
          <w:rtl/>
          <w:lang w:val="ar-SA" w:eastAsia="zh-TW"/>
        </w:rPr>
      </w:pPr>
      <w:r w:rsidRPr="009872E6">
        <w:rPr>
          <w:i/>
          <w:iCs/>
          <w:spacing w:val="-4"/>
          <w:rtl/>
        </w:rPr>
        <w:t>تاريخ</w:t>
      </w:r>
      <w:r>
        <w:rPr>
          <w:i/>
          <w:iCs/>
          <w:spacing w:val="-4"/>
          <w:rtl/>
        </w:rPr>
        <w:t xml:space="preserve"> </w:t>
      </w:r>
      <w:r w:rsidRPr="009872E6">
        <w:rPr>
          <w:i/>
          <w:iCs/>
          <w:spacing w:val="-4"/>
          <w:rtl/>
        </w:rPr>
        <w:t>تقديم</w:t>
      </w:r>
      <w:r>
        <w:rPr>
          <w:i/>
          <w:iCs/>
          <w:spacing w:val="-4"/>
          <w:rtl/>
        </w:rPr>
        <w:t xml:space="preserve"> </w:t>
      </w:r>
      <w:r w:rsidRPr="009872E6">
        <w:rPr>
          <w:i/>
          <w:iCs/>
          <w:spacing w:val="-4"/>
          <w:rtl/>
        </w:rPr>
        <w:t>البلاغ:</w:t>
      </w:r>
      <w:r w:rsidRPr="009872E6">
        <w:rPr>
          <w:i/>
          <w:iCs/>
          <w:spacing w:val="-4"/>
          <w:rtl/>
        </w:rPr>
        <w:tab/>
      </w:r>
      <w:r w:rsidRPr="009872E6">
        <w:rPr>
          <w:i/>
          <w:iCs/>
          <w:spacing w:val="-4"/>
          <w:rtl/>
        </w:rPr>
        <w:tab/>
      </w:r>
      <w:r w:rsidRPr="009872E6">
        <w:rPr>
          <w:spacing w:val="-4"/>
          <w:rtl/>
        </w:rPr>
        <w:t>٢٨</w:t>
      </w:r>
      <w:r>
        <w:rPr>
          <w:spacing w:val="-4"/>
          <w:rtl/>
        </w:rPr>
        <w:t xml:space="preserve"> </w:t>
      </w:r>
      <w:r w:rsidRPr="009872E6">
        <w:rPr>
          <w:spacing w:val="-4"/>
          <w:rtl/>
        </w:rPr>
        <w:t>تموز/يوليه</w:t>
      </w:r>
      <w:r>
        <w:rPr>
          <w:spacing w:val="-4"/>
          <w:rtl/>
        </w:rPr>
        <w:t xml:space="preserve"> </w:t>
      </w:r>
      <w:r w:rsidRPr="009872E6">
        <w:rPr>
          <w:spacing w:val="-4"/>
          <w:rtl/>
        </w:rPr>
        <w:t>٢٠١٤</w:t>
      </w:r>
      <w:r>
        <w:rPr>
          <w:spacing w:val="-4"/>
          <w:rtl/>
        </w:rPr>
        <w:t xml:space="preserve"> </w:t>
      </w:r>
      <w:r w:rsidRPr="009872E6">
        <w:rPr>
          <w:spacing w:val="-4"/>
          <w:rtl/>
        </w:rPr>
        <w:t>(تاريخ</w:t>
      </w:r>
      <w:r>
        <w:rPr>
          <w:spacing w:val="-4"/>
          <w:rtl/>
        </w:rPr>
        <w:t xml:space="preserve"> </w:t>
      </w:r>
      <w:r w:rsidRPr="009872E6">
        <w:rPr>
          <w:spacing w:val="-4"/>
          <w:rtl/>
        </w:rPr>
        <w:t>تقديم</w:t>
      </w:r>
      <w:r>
        <w:rPr>
          <w:spacing w:val="-4"/>
          <w:rtl/>
        </w:rPr>
        <w:t xml:space="preserve"> </w:t>
      </w:r>
      <w:r w:rsidRPr="009872E6">
        <w:rPr>
          <w:spacing w:val="-4"/>
          <w:rtl/>
        </w:rPr>
        <w:t>الرسالة</w:t>
      </w:r>
      <w:r>
        <w:rPr>
          <w:spacing w:val="-4"/>
          <w:rtl/>
        </w:rPr>
        <w:t xml:space="preserve"> </w:t>
      </w:r>
      <w:r w:rsidRPr="009872E6">
        <w:rPr>
          <w:spacing w:val="-4"/>
          <w:rtl/>
        </w:rPr>
        <w:t>الأولى)</w:t>
      </w:r>
    </w:p>
    <w:p w:rsidR="009872E6" w:rsidRPr="009872E6" w:rsidRDefault="009872E6" w:rsidP="009872E6">
      <w:pPr>
        <w:pStyle w:val="SingleTxtGA"/>
        <w:ind w:left="4649" w:hanging="2721"/>
        <w:rPr>
          <w:spacing w:val="-4"/>
          <w:rtl/>
          <w:lang w:val="ar-SA" w:eastAsia="zh-TW"/>
        </w:rPr>
      </w:pPr>
      <w:r w:rsidRPr="009872E6">
        <w:rPr>
          <w:i/>
          <w:iCs/>
          <w:rtl/>
          <w:lang w:bidi="ar-DZ"/>
        </w:rPr>
        <w:t>الوثائق</w:t>
      </w:r>
      <w:r>
        <w:rPr>
          <w:i/>
          <w:iCs/>
          <w:rtl/>
          <w:lang w:bidi="ar-DZ"/>
        </w:rPr>
        <w:t xml:space="preserve"> </w:t>
      </w:r>
      <w:r w:rsidRPr="009872E6">
        <w:rPr>
          <w:i/>
          <w:iCs/>
          <w:rtl/>
          <w:lang w:bidi="ar-DZ"/>
        </w:rPr>
        <w:t>المرجعية:</w:t>
      </w:r>
      <w:r w:rsidRPr="009872E6">
        <w:rPr>
          <w:i/>
          <w:iCs/>
          <w:rtl/>
          <w:lang w:bidi="ar-DZ"/>
        </w:rPr>
        <w:tab/>
      </w:r>
      <w:r>
        <w:rPr>
          <w:rtl/>
          <w:lang w:bidi="ar-DZ"/>
        </w:rPr>
        <w:tab/>
      </w:r>
      <w:r>
        <w:rPr>
          <w:rtl/>
          <w:lang w:bidi="ar-DZ"/>
        </w:rPr>
        <w:tab/>
      </w:r>
      <w:r w:rsidRPr="009872E6">
        <w:rPr>
          <w:spacing w:val="-4"/>
          <w:rtl/>
        </w:rPr>
        <w:t>القرار</w:t>
      </w:r>
      <w:r>
        <w:rPr>
          <w:spacing w:val="-4"/>
          <w:rtl/>
        </w:rPr>
        <w:t xml:space="preserve"> </w:t>
      </w:r>
      <w:r w:rsidRPr="009872E6">
        <w:rPr>
          <w:spacing w:val="-4"/>
          <w:rtl/>
        </w:rPr>
        <w:t>المتخذ</w:t>
      </w:r>
      <w:r>
        <w:rPr>
          <w:spacing w:val="-4"/>
          <w:rtl/>
        </w:rPr>
        <w:t xml:space="preserve"> </w:t>
      </w:r>
      <w:r w:rsidRPr="009872E6">
        <w:rPr>
          <w:spacing w:val="-4"/>
          <w:rtl/>
        </w:rPr>
        <w:t>بموجب</w:t>
      </w:r>
      <w:r>
        <w:rPr>
          <w:spacing w:val="-4"/>
          <w:rtl/>
        </w:rPr>
        <w:t xml:space="preserve"> </w:t>
      </w:r>
      <w:r w:rsidRPr="009872E6">
        <w:rPr>
          <w:spacing w:val="-4"/>
          <w:rtl/>
        </w:rPr>
        <w:t>المادة</w:t>
      </w:r>
      <w:r>
        <w:rPr>
          <w:spacing w:val="-4"/>
          <w:rtl/>
        </w:rPr>
        <w:t xml:space="preserve"> </w:t>
      </w:r>
      <w:r w:rsidRPr="009872E6">
        <w:rPr>
          <w:spacing w:val="-4"/>
          <w:rtl/>
        </w:rPr>
        <w:t>٩٧</w:t>
      </w:r>
      <w:r>
        <w:rPr>
          <w:spacing w:val="-4"/>
          <w:rtl/>
        </w:rPr>
        <w:t xml:space="preserve"> </w:t>
      </w:r>
      <w:r w:rsidRPr="009872E6">
        <w:rPr>
          <w:spacing w:val="-4"/>
          <w:rtl/>
        </w:rPr>
        <w:t>من</w:t>
      </w:r>
      <w:r>
        <w:rPr>
          <w:spacing w:val="-4"/>
          <w:rtl/>
        </w:rPr>
        <w:t xml:space="preserve"> </w:t>
      </w:r>
      <w:r w:rsidRPr="009872E6">
        <w:rPr>
          <w:spacing w:val="-4"/>
          <w:rtl/>
        </w:rPr>
        <w:t>النظام</w:t>
      </w:r>
      <w:r>
        <w:rPr>
          <w:spacing w:val="-4"/>
          <w:rtl/>
        </w:rPr>
        <w:t xml:space="preserve"> </w:t>
      </w:r>
      <w:r w:rsidRPr="009872E6">
        <w:rPr>
          <w:spacing w:val="-4"/>
          <w:rtl/>
        </w:rPr>
        <w:t>الداخلي</w:t>
      </w:r>
      <w:r>
        <w:rPr>
          <w:spacing w:val="-4"/>
          <w:rtl/>
        </w:rPr>
        <w:t xml:space="preserve"> </w:t>
      </w:r>
      <w:r w:rsidRPr="009872E6">
        <w:rPr>
          <w:spacing w:val="-4"/>
          <w:rtl/>
        </w:rPr>
        <w:t>للجنة،</w:t>
      </w:r>
      <w:r>
        <w:rPr>
          <w:spacing w:val="-4"/>
          <w:rtl/>
        </w:rPr>
        <w:t xml:space="preserve"> </w:t>
      </w:r>
      <w:r w:rsidRPr="009872E6">
        <w:rPr>
          <w:spacing w:val="-4"/>
          <w:rtl/>
        </w:rPr>
        <w:t>والمحال</w:t>
      </w:r>
      <w:r>
        <w:rPr>
          <w:spacing w:val="-4"/>
          <w:rtl/>
        </w:rPr>
        <w:t xml:space="preserve"> </w:t>
      </w:r>
      <w:r w:rsidRPr="009872E6">
        <w:rPr>
          <w:spacing w:val="-4"/>
          <w:rtl/>
        </w:rPr>
        <w:t>إلى</w:t>
      </w:r>
      <w:r>
        <w:rPr>
          <w:spacing w:val="-4"/>
          <w:rtl/>
        </w:rPr>
        <w:t xml:space="preserve"> </w:t>
      </w:r>
      <w:r w:rsidRPr="009872E6">
        <w:rPr>
          <w:spacing w:val="-4"/>
          <w:rtl/>
        </w:rPr>
        <w:t>الدولة</w:t>
      </w:r>
      <w:r>
        <w:rPr>
          <w:spacing w:val="-4"/>
          <w:rtl/>
        </w:rPr>
        <w:t xml:space="preserve"> </w:t>
      </w:r>
      <w:r w:rsidRPr="009872E6">
        <w:rPr>
          <w:spacing w:val="-4"/>
          <w:rtl/>
        </w:rPr>
        <w:t>الطرف</w:t>
      </w:r>
      <w:r>
        <w:rPr>
          <w:spacing w:val="-4"/>
          <w:rtl/>
        </w:rPr>
        <w:t xml:space="preserve"> </w:t>
      </w:r>
      <w:r w:rsidRPr="009872E6">
        <w:rPr>
          <w:spacing w:val="-4"/>
          <w:rtl/>
        </w:rPr>
        <w:t>في</w:t>
      </w:r>
      <w:r>
        <w:rPr>
          <w:spacing w:val="-4"/>
          <w:rtl/>
        </w:rPr>
        <w:t xml:space="preserve"> </w:t>
      </w:r>
      <w:r w:rsidRPr="009872E6">
        <w:rPr>
          <w:spacing w:val="-4"/>
          <w:rtl/>
        </w:rPr>
        <w:t>٩</w:t>
      </w:r>
      <w:r>
        <w:rPr>
          <w:spacing w:val="-4"/>
          <w:rtl/>
        </w:rPr>
        <w:t xml:space="preserve"> </w:t>
      </w:r>
      <w:r w:rsidRPr="009872E6">
        <w:rPr>
          <w:spacing w:val="-4"/>
          <w:rtl/>
        </w:rPr>
        <w:t>كانون</w:t>
      </w:r>
      <w:r>
        <w:rPr>
          <w:spacing w:val="-4"/>
          <w:rtl/>
        </w:rPr>
        <w:t xml:space="preserve"> </w:t>
      </w:r>
      <w:r w:rsidRPr="009872E6">
        <w:rPr>
          <w:spacing w:val="-4"/>
          <w:rtl/>
        </w:rPr>
        <w:t>الأول/ديسمبر</w:t>
      </w:r>
      <w:r>
        <w:rPr>
          <w:spacing w:val="-4"/>
          <w:rtl/>
        </w:rPr>
        <w:t xml:space="preserve"> </w:t>
      </w:r>
      <w:r w:rsidRPr="009872E6">
        <w:rPr>
          <w:spacing w:val="-4"/>
          <w:rtl/>
        </w:rPr>
        <w:t>٢٠١٤</w:t>
      </w:r>
      <w:r>
        <w:rPr>
          <w:spacing w:val="-4"/>
          <w:rtl/>
        </w:rPr>
        <w:t xml:space="preserve"> </w:t>
      </w:r>
      <w:r w:rsidRPr="009872E6">
        <w:rPr>
          <w:spacing w:val="-4"/>
          <w:rtl/>
        </w:rPr>
        <w:t>(لم</w:t>
      </w:r>
      <w:r>
        <w:rPr>
          <w:spacing w:val="-4"/>
          <w:rtl/>
        </w:rPr>
        <w:t xml:space="preserve"> </w:t>
      </w:r>
      <w:r w:rsidRPr="009872E6">
        <w:rPr>
          <w:spacing w:val="-4"/>
          <w:rtl/>
        </w:rPr>
        <w:t>يصدر</w:t>
      </w:r>
      <w:r>
        <w:rPr>
          <w:spacing w:val="-4"/>
          <w:rtl/>
        </w:rPr>
        <w:t xml:space="preserve"> </w:t>
      </w:r>
      <w:r w:rsidRPr="009872E6">
        <w:rPr>
          <w:spacing w:val="-4"/>
          <w:rtl/>
        </w:rPr>
        <w:t>في</w:t>
      </w:r>
      <w:r>
        <w:rPr>
          <w:spacing w:val="-4"/>
          <w:rtl/>
        </w:rPr>
        <w:t xml:space="preserve"> </w:t>
      </w:r>
      <w:r w:rsidRPr="009872E6">
        <w:rPr>
          <w:spacing w:val="-4"/>
          <w:rtl/>
        </w:rPr>
        <w:t>شكل</w:t>
      </w:r>
      <w:r>
        <w:rPr>
          <w:spacing w:val="-4"/>
          <w:rtl/>
        </w:rPr>
        <w:t xml:space="preserve"> </w:t>
      </w:r>
      <w:r w:rsidRPr="009872E6">
        <w:rPr>
          <w:spacing w:val="-4"/>
          <w:rtl/>
        </w:rPr>
        <w:t>وثيقة)</w:t>
      </w:r>
    </w:p>
    <w:p w:rsidR="009872E6" w:rsidRDefault="009872E6" w:rsidP="009872E6">
      <w:pPr>
        <w:pStyle w:val="SingleTxtGA"/>
        <w:ind w:left="1928"/>
        <w:rPr>
          <w:rtl/>
          <w:lang w:val="ar-SA" w:eastAsia="zh-TW"/>
        </w:rPr>
      </w:pPr>
      <w:r w:rsidRPr="009872E6">
        <w:rPr>
          <w:rFonts w:hint="cs"/>
          <w:i/>
          <w:iCs/>
          <w:rtl/>
          <w:lang w:bidi="ar-DZ"/>
        </w:rPr>
        <w:t>ت</w:t>
      </w:r>
      <w:r w:rsidRPr="009872E6">
        <w:rPr>
          <w:i/>
          <w:iCs/>
          <w:rtl/>
          <w:lang w:bidi="ar-DZ"/>
        </w:rPr>
        <w:t>اريخ</w:t>
      </w:r>
      <w:r>
        <w:rPr>
          <w:i/>
          <w:iCs/>
          <w:rtl/>
          <w:lang w:bidi="ar-DZ"/>
        </w:rPr>
        <w:t xml:space="preserve"> </w:t>
      </w:r>
      <w:r w:rsidRPr="009872E6">
        <w:rPr>
          <w:i/>
          <w:iCs/>
          <w:rtl/>
          <w:lang w:bidi="ar-DZ"/>
        </w:rPr>
        <w:t>اعتماد</w:t>
      </w:r>
      <w:r>
        <w:rPr>
          <w:i/>
          <w:iCs/>
          <w:rtl/>
          <w:lang w:bidi="ar-DZ"/>
        </w:rPr>
        <w:t xml:space="preserve"> </w:t>
      </w:r>
      <w:r w:rsidRPr="009872E6">
        <w:rPr>
          <w:i/>
          <w:iCs/>
          <w:rtl/>
          <w:lang w:bidi="ar-DZ"/>
        </w:rPr>
        <w:t>الآراء:</w:t>
      </w:r>
      <w:r w:rsidRPr="009872E6">
        <w:rPr>
          <w:i/>
          <w:iCs/>
          <w:rtl/>
          <w:lang w:bidi="ar-DZ"/>
        </w:rPr>
        <w:tab/>
      </w:r>
      <w:r>
        <w:rPr>
          <w:rtl/>
          <w:lang w:bidi="ar-DZ"/>
        </w:rPr>
        <w:tab/>
      </w:r>
      <w:r>
        <w:rPr>
          <w:rtl/>
        </w:rPr>
        <w:t xml:space="preserve">١٤ آذار/مارس ٢٠١٩ </w:t>
      </w:r>
    </w:p>
    <w:p w:rsidR="009872E6" w:rsidRDefault="009872E6" w:rsidP="009872E6">
      <w:pPr>
        <w:pStyle w:val="SingleTxtGA"/>
        <w:ind w:left="1928"/>
        <w:rPr>
          <w:rtl/>
          <w:lang w:eastAsia="zh-TW" w:bidi="ar-DZ"/>
        </w:rPr>
      </w:pPr>
      <w:r w:rsidRPr="009872E6">
        <w:rPr>
          <w:i/>
          <w:iCs/>
          <w:rtl/>
          <w:lang w:bidi="ar-DZ"/>
        </w:rPr>
        <w:t>الموضوع:</w:t>
      </w:r>
      <w:r>
        <w:rPr>
          <w:i/>
          <w:iCs/>
          <w:rtl/>
          <w:lang w:bidi="ar-DZ"/>
        </w:rPr>
        <w:t xml:space="preserve"> </w:t>
      </w:r>
      <w:r w:rsidRPr="009872E6">
        <w:rPr>
          <w:i/>
          <w:iCs/>
          <w:rtl/>
          <w:lang w:bidi="ar-DZ"/>
        </w:rPr>
        <w:tab/>
      </w:r>
      <w:r>
        <w:rPr>
          <w:rtl/>
          <w:lang w:bidi="ar-DZ"/>
        </w:rPr>
        <w:tab/>
      </w:r>
      <w:r>
        <w:rPr>
          <w:rtl/>
          <w:lang w:bidi="ar-DZ"/>
        </w:rPr>
        <w:tab/>
        <w:t>الترحيل إلى جمهورية إيران الإسلامية</w:t>
      </w:r>
    </w:p>
    <w:p w:rsidR="009872E6" w:rsidRPr="00816A6A" w:rsidRDefault="009872E6" w:rsidP="009872E6">
      <w:pPr>
        <w:pStyle w:val="SingleTxtGA"/>
        <w:ind w:left="4649" w:hanging="2721"/>
        <w:rPr>
          <w:spacing w:val="-4"/>
          <w:rtl/>
          <w:lang w:val="en-GB" w:eastAsia="zh-CN"/>
        </w:rPr>
      </w:pPr>
      <w:r>
        <w:rPr>
          <w:i/>
          <w:iCs/>
          <w:rtl/>
          <w:lang w:bidi="ar-DZ"/>
        </w:rPr>
        <w:t>المسائل الإجرائية:</w:t>
      </w:r>
      <w:r w:rsidRPr="009872E6">
        <w:rPr>
          <w:i/>
          <w:iCs/>
          <w:lang w:bidi="ar-DZ"/>
        </w:rPr>
        <w:tab/>
      </w:r>
      <w:r w:rsidRPr="009872E6">
        <w:rPr>
          <w:i/>
          <w:iCs/>
          <w:lang w:bidi="ar-DZ"/>
        </w:rPr>
        <w:tab/>
      </w:r>
      <w:r w:rsidRPr="00816A6A">
        <w:rPr>
          <w:spacing w:val="-4"/>
          <w:lang w:val="fr-CH"/>
        </w:rPr>
        <w:tab/>
      </w:r>
      <w:r w:rsidRPr="00816A6A">
        <w:rPr>
          <w:i/>
          <w:iCs/>
          <w:spacing w:val="-4"/>
          <w:rtl/>
        </w:rPr>
        <w:t>الاختصاص الموضوعي</w:t>
      </w:r>
      <w:r w:rsidRPr="00816A6A">
        <w:rPr>
          <w:spacing w:val="-4"/>
          <w:rtl/>
        </w:rPr>
        <w:t>؛ ومستوى إثبات الادعاءات بأدلة</w:t>
      </w:r>
    </w:p>
    <w:p w:rsidR="009872E6" w:rsidRPr="009872E6" w:rsidRDefault="009872E6" w:rsidP="009872E6">
      <w:pPr>
        <w:pStyle w:val="SingleTxtGA"/>
        <w:ind w:left="4649" w:hanging="2721"/>
        <w:rPr>
          <w:spacing w:val="-6"/>
          <w:rtl/>
          <w:lang w:bidi="ar-DZ"/>
        </w:rPr>
      </w:pPr>
      <w:r>
        <w:rPr>
          <w:i/>
          <w:iCs/>
          <w:rtl/>
          <w:lang w:bidi="ar-DZ"/>
        </w:rPr>
        <w:t>المسائل الموضوعية:</w:t>
      </w:r>
      <w:r>
        <w:rPr>
          <w:rtl/>
          <w:lang w:bidi="ar-DZ"/>
        </w:rPr>
        <w:tab/>
      </w:r>
      <w:r w:rsidRPr="009872E6">
        <w:rPr>
          <w:spacing w:val="-6"/>
          <w:rtl/>
          <w:lang w:bidi="ar-DZ"/>
        </w:rPr>
        <w:tab/>
      </w:r>
      <w:r w:rsidRPr="009872E6">
        <w:rPr>
          <w:spacing w:val="-6"/>
          <w:rtl/>
        </w:rPr>
        <w:t>خطر</w:t>
      </w:r>
      <w:r>
        <w:rPr>
          <w:spacing w:val="-6"/>
          <w:rtl/>
        </w:rPr>
        <w:t xml:space="preserve"> </w:t>
      </w:r>
      <w:r w:rsidRPr="009872E6">
        <w:rPr>
          <w:spacing w:val="-6"/>
          <w:rtl/>
        </w:rPr>
        <w:t>التعرض</w:t>
      </w:r>
      <w:r>
        <w:rPr>
          <w:spacing w:val="-6"/>
          <w:rtl/>
        </w:rPr>
        <w:t xml:space="preserve"> </w:t>
      </w:r>
      <w:r w:rsidRPr="009872E6">
        <w:rPr>
          <w:spacing w:val="-6"/>
          <w:rtl/>
        </w:rPr>
        <w:t>للتعذيب</w:t>
      </w:r>
      <w:r>
        <w:rPr>
          <w:spacing w:val="-6"/>
          <w:rtl/>
        </w:rPr>
        <w:t xml:space="preserve"> </w:t>
      </w:r>
      <w:r w:rsidRPr="009872E6">
        <w:rPr>
          <w:spacing w:val="-6"/>
          <w:rtl/>
        </w:rPr>
        <w:t>أو</w:t>
      </w:r>
      <w:r>
        <w:rPr>
          <w:spacing w:val="-6"/>
          <w:rtl/>
        </w:rPr>
        <w:t xml:space="preserve"> </w:t>
      </w:r>
      <w:r w:rsidRPr="009872E6">
        <w:rPr>
          <w:spacing w:val="-6"/>
          <w:rtl/>
        </w:rPr>
        <w:t>للمعاملة</w:t>
      </w:r>
      <w:r>
        <w:rPr>
          <w:spacing w:val="-6"/>
          <w:rtl/>
        </w:rPr>
        <w:t xml:space="preserve"> </w:t>
      </w:r>
      <w:r w:rsidRPr="009872E6">
        <w:rPr>
          <w:spacing w:val="-6"/>
          <w:rtl/>
        </w:rPr>
        <w:t>أو</w:t>
      </w:r>
      <w:r>
        <w:rPr>
          <w:spacing w:val="-6"/>
          <w:rtl/>
        </w:rPr>
        <w:t xml:space="preserve"> </w:t>
      </w:r>
      <w:r w:rsidRPr="009872E6">
        <w:rPr>
          <w:spacing w:val="-6"/>
          <w:rtl/>
        </w:rPr>
        <w:t>العقوبة</w:t>
      </w:r>
      <w:r>
        <w:rPr>
          <w:spacing w:val="-6"/>
          <w:rtl/>
        </w:rPr>
        <w:t xml:space="preserve"> </w:t>
      </w:r>
      <w:r w:rsidRPr="009872E6">
        <w:rPr>
          <w:spacing w:val="-6"/>
          <w:rtl/>
        </w:rPr>
        <w:t>القاسية</w:t>
      </w:r>
      <w:r>
        <w:rPr>
          <w:spacing w:val="-6"/>
          <w:rtl/>
        </w:rPr>
        <w:t xml:space="preserve"> </w:t>
      </w:r>
      <w:r w:rsidRPr="009872E6">
        <w:rPr>
          <w:spacing w:val="-6"/>
          <w:rtl/>
        </w:rPr>
        <w:t>أو</w:t>
      </w:r>
      <w:r>
        <w:rPr>
          <w:spacing w:val="-6"/>
          <w:rtl/>
        </w:rPr>
        <w:t xml:space="preserve"> </w:t>
      </w:r>
      <w:r w:rsidRPr="009872E6">
        <w:rPr>
          <w:spacing w:val="-6"/>
          <w:rtl/>
        </w:rPr>
        <w:t>اللاإنسانية</w:t>
      </w:r>
      <w:r>
        <w:rPr>
          <w:spacing w:val="-6"/>
          <w:rtl/>
        </w:rPr>
        <w:t xml:space="preserve"> </w:t>
      </w:r>
      <w:r w:rsidRPr="009872E6">
        <w:rPr>
          <w:spacing w:val="-6"/>
          <w:rtl/>
        </w:rPr>
        <w:t>أو</w:t>
      </w:r>
      <w:r>
        <w:rPr>
          <w:spacing w:val="-6"/>
          <w:rtl/>
        </w:rPr>
        <w:t xml:space="preserve"> </w:t>
      </w:r>
      <w:r w:rsidRPr="009872E6">
        <w:rPr>
          <w:spacing w:val="-6"/>
          <w:rtl/>
        </w:rPr>
        <w:t>المهينة؛</w:t>
      </w:r>
      <w:r>
        <w:rPr>
          <w:spacing w:val="-6"/>
          <w:rtl/>
        </w:rPr>
        <w:t xml:space="preserve"> </w:t>
      </w:r>
      <w:r w:rsidRPr="009872E6">
        <w:rPr>
          <w:spacing w:val="-6"/>
          <w:rtl/>
        </w:rPr>
        <w:t>وعدم</w:t>
      </w:r>
      <w:r>
        <w:rPr>
          <w:spacing w:val="-6"/>
          <w:rtl/>
        </w:rPr>
        <w:t xml:space="preserve"> </w:t>
      </w:r>
      <w:r w:rsidRPr="009872E6">
        <w:rPr>
          <w:spacing w:val="-6"/>
          <w:rtl/>
        </w:rPr>
        <w:t>الإعادة</w:t>
      </w:r>
      <w:r>
        <w:rPr>
          <w:spacing w:val="-6"/>
          <w:rtl/>
        </w:rPr>
        <w:t xml:space="preserve"> </w:t>
      </w:r>
      <w:r w:rsidRPr="009872E6">
        <w:rPr>
          <w:spacing w:val="-6"/>
          <w:rtl/>
        </w:rPr>
        <w:t>القسرية</w:t>
      </w:r>
    </w:p>
    <w:p w:rsidR="009872E6" w:rsidRDefault="009872E6" w:rsidP="009872E6">
      <w:pPr>
        <w:pStyle w:val="SingleTxtGA"/>
        <w:ind w:left="1928"/>
        <w:rPr>
          <w:i/>
          <w:iCs/>
          <w:rtl/>
          <w:lang w:val="en-GB" w:eastAsia="zh-CN"/>
        </w:rPr>
      </w:pPr>
      <w:r>
        <w:rPr>
          <w:i/>
          <w:iCs/>
          <w:rtl/>
          <w:lang w:bidi="ar-DZ"/>
        </w:rPr>
        <w:t>مواد العهد</w:t>
      </w:r>
      <w:r w:rsidRPr="009872E6">
        <w:rPr>
          <w:i/>
          <w:iCs/>
          <w:rtl/>
          <w:lang w:bidi="ar-DZ"/>
        </w:rPr>
        <w:t>:</w:t>
      </w:r>
      <w:r>
        <w:rPr>
          <w:i/>
          <w:iCs/>
          <w:rtl/>
          <w:lang w:bidi="ar-DZ"/>
        </w:rPr>
        <w:tab/>
      </w:r>
      <w:r>
        <w:rPr>
          <w:i/>
          <w:iCs/>
          <w:rtl/>
          <w:lang w:bidi="ar-DZ"/>
        </w:rPr>
        <w:tab/>
      </w:r>
      <w:r>
        <w:rPr>
          <w:rtl/>
        </w:rPr>
        <w:tab/>
        <w:t>2 و6 و7 و13 و14 و26</w:t>
      </w:r>
    </w:p>
    <w:p w:rsidR="009872E6" w:rsidRDefault="009872E6" w:rsidP="009872E6">
      <w:pPr>
        <w:pStyle w:val="SingleTxtGA"/>
        <w:ind w:left="1928"/>
        <w:rPr>
          <w:rtl/>
          <w:lang w:val="ar-SA" w:eastAsia="zh-TW"/>
        </w:rPr>
      </w:pPr>
      <w:r>
        <w:rPr>
          <w:i/>
          <w:iCs/>
          <w:rtl/>
          <w:lang w:bidi="ar-DZ"/>
        </w:rPr>
        <w:t>مادة البروتوكول الاختياري</w:t>
      </w:r>
      <w:r>
        <w:rPr>
          <w:i/>
          <w:iCs/>
          <w:rtl/>
        </w:rPr>
        <w:t>:</w:t>
      </w:r>
      <w:r>
        <w:rPr>
          <w:lang w:val="fr-CH"/>
        </w:rPr>
        <w:tab/>
      </w:r>
      <w:r>
        <w:rPr>
          <w:lang w:val="fr-CH"/>
        </w:rPr>
        <w:tab/>
      </w:r>
      <w:r>
        <w:rPr>
          <w:rtl/>
        </w:rPr>
        <w:t>٢</w:t>
      </w:r>
    </w:p>
    <w:p w:rsidR="009872E6" w:rsidRDefault="009872E6" w:rsidP="00FE4A26">
      <w:pPr>
        <w:pStyle w:val="SingleTxtGA"/>
        <w:spacing w:line="400" w:lineRule="exact"/>
        <w:rPr>
          <w:rtl/>
          <w:lang w:val="ar-SA" w:eastAsia="zh-TW"/>
        </w:rPr>
      </w:pPr>
      <w:r>
        <w:rPr>
          <w:rtl/>
        </w:rPr>
        <w:lastRenderedPageBreak/>
        <w:t>١</w:t>
      </w:r>
      <w:r w:rsidRPr="00E269D1">
        <w:rPr>
          <w:spacing w:val="-6"/>
          <w:rtl/>
        </w:rPr>
        <w:t>-١</w:t>
      </w:r>
      <w:r w:rsidRPr="00E269D1">
        <w:rPr>
          <w:spacing w:val="-6"/>
          <w:rtl/>
        </w:rPr>
        <w:tab/>
        <w:t>صاحب البلاغ هو س.</w:t>
      </w:r>
      <w:r w:rsidRPr="00E269D1">
        <w:rPr>
          <w:rFonts w:hint="cs"/>
          <w:spacing w:val="-6"/>
          <w:rtl/>
        </w:rPr>
        <w:t xml:space="preserve"> </w:t>
      </w:r>
      <w:r w:rsidRPr="00E269D1">
        <w:rPr>
          <w:spacing w:val="-6"/>
          <w:rtl/>
        </w:rPr>
        <w:t>ف.، من مواطني جمهورية إيران الإسلامية، المولود في 7 كانون الثاني/</w:t>
      </w:r>
      <w:r>
        <w:rPr>
          <w:rtl/>
        </w:rPr>
        <w:t>يناير 1960. وكان وقت تقديم البلاغ عرضةً للترحيل إلى جمهورية إيران الإسلامية بعد أن رفضت سلطات الدانمرك طلبه الحصول على مركز اللاجئ.</w:t>
      </w:r>
      <w:r>
        <w:rPr>
          <w:rFonts w:hint="cs"/>
          <w:rtl/>
        </w:rPr>
        <w:t xml:space="preserve"> </w:t>
      </w:r>
      <w:r>
        <w:rPr>
          <w:rtl/>
        </w:rPr>
        <w:t>وقد ادَّعي أن الدانمرك، بترحيله قسراً إلى جمهورية إيران الإسلامية، ستنتهك حقوقه التي تكفلها المادتان 6 و7 من العهد.</w:t>
      </w:r>
      <w:r>
        <w:rPr>
          <w:rFonts w:hint="cs"/>
          <w:rtl/>
        </w:rPr>
        <w:t xml:space="preserve"> </w:t>
      </w:r>
      <w:r>
        <w:rPr>
          <w:rtl/>
        </w:rPr>
        <w:t>وادعي أيضاً أن السلطات الدانمركية انتهكت حقوقه التي تكفلها المواد ٢ و١٣ و14 و26 من العهد فيما يتعلق بجلسة النظر في قضية لجوئه.</w:t>
      </w:r>
      <w:r>
        <w:rPr>
          <w:rFonts w:hint="cs"/>
          <w:rtl/>
        </w:rPr>
        <w:t xml:space="preserve"> </w:t>
      </w:r>
      <w:r>
        <w:rPr>
          <w:rtl/>
        </w:rPr>
        <w:t>وقد دخل البروتوكول الاختياري حيز النفاذ بالنسبة إلى الدولة الطرف في ٢٣ آذار/مارس ١٩٧٦.</w:t>
      </w:r>
      <w:r>
        <w:rPr>
          <w:rFonts w:hint="cs"/>
          <w:rtl/>
        </w:rPr>
        <w:t xml:space="preserve"> </w:t>
      </w:r>
      <w:r>
        <w:rPr>
          <w:rtl/>
        </w:rPr>
        <w:t>ويمثّل صاحب البلاغ محام.</w:t>
      </w:r>
    </w:p>
    <w:p w:rsidR="009872E6" w:rsidRDefault="009872E6" w:rsidP="00FE4A26">
      <w:pPr>
        <w:pStyle w:val="SingleTxtGA"/>
        <w:spacing w:line="400" w:lineRule="exact"/>
        <w:rPr>
          <w:rtl/>
          <w:lang w:val="ar-SA" w:eastAsia="zh-TW" w:bidi="ar-DZ"/>
        </w:rPr>
      </w:pPr>
      <w:r>
        <w:rPr>
          <w:rtl/>
        </w:rPr>
        <w:t>١-٢</w:t>
      </w:r>
      <w:r>
        <w:rPr>
          <w:rtl/>
        </w:rPr>
        <w:tab/>
        <w:t>وفي 30 تموز/يوليه 2014، قرّر المقرر الخاص المعني بالبلاغات الجديدة والتدابير المؤقتة، عملاً بالمادة 92 من النظام الداخلي للجنة، عدم إصدار طلب لاتخاذ تدابير مؤقتة.</w:t>
      </w:r>
    </w:p>
    <w:p w:rsidR="009872E6" w:rsidRDefault="009872E6" w:rsidP="009872E6">
      <w:pPr>
        <w:pStyle w:val="H23GA"/>
        <w:rPr>
          <w:rtl/>
          <w:lang w:val="ar-SA" w:eastAsia="zh-TW"/>
        </w:rPr>
      </w:pPr>
      <w:r>
        <w:rPr>
          <w:rtl/>
        </w:rPr>
        <w:tab/>
      </w:r>
      <w:r>
        <w:rPr>
          <w:rtl/>
        </w:rPr>
        <w:tab/>
        <w:t>الوقائع كما عرضها صاحب البلاغ</w:t>
      </w:r>
    </w:p>
    <w:p w:rsidR="009872E6" w:rsidRDefault="009872E6" w:rsidP="00FE4A26">
      <w:pPr>
        <w:pStyle w:val="SingleTxtGA"/>
        <w:spacing w:line="400" w:lineRule="exact"/>
        <w:rPr>
          <w:rtl/>
          <w:lang w:val="ar-SA" w:eastAsia="zh-TW"/>
        </w:rPr>
      </w:pPr>
      <w:r>
        <w:rPr>
          <w:rtl/>
        </w:rPr>
        <w:t>٢-١</w:t>
      </w:r>
      <w:r>
        <w:rPr>
          <w:rtl/>
        </w:rPr>
        <w:tab/>
        <w:t>فرَّ صاحب البلاغ من جمهورية إيران الإسلامية في عام 1998</w:t>
      </w:r>
      <w:r w:rsidR="00FE4A26">
        <w:rPr>
          <w:rStyle w:val="FootnoteReference"/>
          <w:rFonts w:eastAsiaTheme="majorEastAsia"/>
          <w:rtl/>
        </w:rPr>
        <w:t>(</w:t>
      </w:r>
      <w:r w:rsidR="00FE4A26">
        <w:rPr>
          <w:rStyle w:val="FootnoteReference"/>
          <w:rFonts w:eastAsiaTheme="majorEastAsia"/>
          <w:rtl/>
        </w:rPr>
        <w:footnoteReference w:id="3"/>
      </w:r>
      <w:r w:rsidR="00FE4A26">
        <w:rPr>
          <w:rStyle w:val="FootnoteReference"/>
          <w:rFonts w:eastAsiaTheme="majorEastAsia"/>
          <w:rtl/>
        </w:rPr>
        <w:t>)</w:t>
      </w:r>
      <w:r>
        <w:rPr>
          <w:rFonts w:hint="cs"/>
          <w:rtl/>
          <w:lang w:val="fr-CH"/>
        </w:rPr>
        <w:t xml:space="preserve">. </w:t>
      </w:r>
      <w:r>
        <w:rPr>
          <w:rtl/>
        </w:rPr>
        <w:t>ودخل الدانمرك في</w:t>
      </w:r>
      <w:r w:rsidR="00FE4A26">
        <w:rPr>
          <w:rFonts w:hint="cs"/>
          <w:rtl/>
        </w:rPr>
        <w:t> </w:t>
      </w:r>
      <w:r>
        <w:rPr>
          <w:rtl/>
        </w:rPr>
        <w:t>23 نيسان/أبريل 1998 دون وثائق سفر صالحة. وفي اليوم التالي طلب اللجوء.</w:t>
      </w:r>
      <w:r>
        <w:rPr>
          <w:rFonts w:hint="cs"/>
          <w:rtl/>
        </w:rPr>
        <w:t xml:space="preserve"> </w:t>
      </w:r>
      <w:r>
        <w:rPr>
          <w:rtl/>
        </w:rPr>
        <w:t>وفي</w:t>
      </w:r>
      <w:r>
        <w:rPr>
          <w:rFonts w:hint="cs"/>
          <w:rtl/>
        </w:rPr>
        <w:t xml:space="preserve"> </w:t>
      </w:r>
      <w:r>
        <w:rPr>
          <w:rtl/>
        </w:rPr>
        <w:t>6 تشرين الثاني/نوفمبر 1998، رفضت دائرة الهجرة الدانمركية طلبه.</w:t>
      </w:r>
      <w:r>
        <w:rPr>
          <w:rFonts w:hint="cs"/>
          <w:rtl/>
        </w:rPr>
        <w:t xml:space="preserve"> </w:t>
      </w:r>
    </w:p>
    <w:p w:rsidR="009872E6" w:rsidRPr="009872E6" w:rsidRDefault="009872E6" w:rsidP="00FE4A26">
      <w:pPr>
        <w:pStyle w:val="SingleTxtGA"/>
        <w:spacing w:line="400" w:lineRule="exact"/>
        <w:rPr>
          <w:rtl/>
          <w:lang w:val="ar-SA" w:eastAsia="zh-TW"/>
        </w:rPr>
      </w:pPr>
      <w:r>
        <w:rPr>
          <w:rtl/>
        </w:rPr>
        <w:t>٢-٢</w:t>
      </w:r>
      <w:r>
        <w:rPr>
          <w:rtl/>
        </w:rPr>
        <w:tab/>
        <w:t>وفي ٢٦ كانون الثاني/يناير ١٩٩٩، رفض مجلس طعون اللاجئين طعن صاحب البلاغ، واحتج بأن البيانات التي أدلى بها تبدو ملفقة وتفتقر إلى أي منطق وإلى الاتساق في نقاط معينة.</w:t>
      </w:r>
      <w:r>
        <w:rPr>
          <w:rFonts w:hint="cs"/>
          <w:rtl/>
        </w:rPr>
        <w:t xml:space="preserve"> </w:t>
      </w:r>
      <w:r>
        <w:rPr>
          <w:rtl/>
        </w:rPr>
        <w:t>ورأى المجلس أن صاحب البلاغ غير معرض لخطر الاضطهاد إذا أعيد إلى جمهورية إيران الإسلامية.</w:t>
      </w:r>
      <w:r>
        <w:rPr>
          <w:rFonts w:hint="cs"/>
          <w:rtl/>
        </w:rPr>
        <w:t xml:space="preserve"> </w:t>
      </w:r>
      <w:r>
        <w:rPr>
          <w:rtl/>
        </w:rPr>
        <w:t>غير أن صاحب البلاغ لم يمتثل لأمر مغادرة البلد وبقي في الدانمرك.</w:t>
      </w:r>
      <w:r>
        <w:rPr>
          <w:rFonts w:hint="cs"/>
          <w:rtl/>
        </w:rPr>
        <w:t xml:space="preserve"> </w:t>
      </w:r>
      <w:r>
        <w:rPr>
          <w:rtl/>
        </w:rPr>
        <w:t>واستناد</w:t>
      </w:r>
      <w:r w:rsidR="00645118">
        <w:rPr>
          <w:rtl/>
        </w:rPr>
        <w:t xml:space="preserve">اً </w:t>
      </w:r>
      <w:r>
        <w:rPr>
          <w:rtl/>
        </w:rPr>
        <w:t>إلى الوقائع التي عرضها صاحب البلاغ في سياق الإجراءات الوطنية والوقائع الواردة في قرار مجلس طعون اللاجئين المؤرخ ٢٦ كانون الثاني/يناير ١٩٩٩، كان صاحب البلاغ يعمل سائقاً لحافلة بين جمهورية إيران الإسلامية والجمهورية العربية السورية، وكان في إطار عمله يوصِّل الطرود والبريد إلى السفارة الإيرانية في دمشق.</w:t>
      </w:r>
      <w:r>
        <w:rPr>
          <w:rFonts w:hint="cs"/>
          <w:rtl/>
        </w:rPr>
        <w:t xml:space="preserve"> </w:t>
      </w:r>
      <w:r>
        <w:rPr>
          <w:rtl/>
        </w:rPr>
        <w:t xml:space="preserve">وقبل تسليم </w:t>
      </w:r>
      <w:r>
        <w:rPr>
          <w:rtl/>
          <w:lang w:bidi="ar-DZ"/>
        </w:rPr>
        <w:t>ال</w:t>
      </w:r>
      <w:r>
        <w:rPr>
          <w:rtl/>
        </w:rPr>
        <w:t>طرد الأخير إلى السفارة، نُصح بألا</w:t>
      </w:r>
      <w:r w:rsidR="00FE4A26">
        <w:rPr>
          <w:rFonts w:hint="cs"/>
          <w:rtl/>
        </w:rPr>
        <w:t> </w:t>
      </w:r>
      <w:r>
        <w:rPr>
          <w:rtl/>
        </w:rPr>
        <w:t>يفصح عن أي معلومات عن مكان تسليم الطرد، لأنه يحتوي على أسلحة ونشرات إعلانية.</w:t>
      </w:r>
      <w:r>
        <w:rPr>
          <w:rFonts w:hint="cs"/>
          <w:rtl/>
        </w:rPr>
        <w:t xml:space="preserve"> </w:t>
      </w:r>
      <w:r>
        <w:rPr>
          <w:rtl/>
        </w:rPr>
        <w:t>وفي ٨ آذار/مارس ١٩٩٨، اعتقلته الشرطة السورية فيما يتعلق بالطرود واحتُجز لمدة</w:t>
      </w:r>
      <w:r w:rsidR="00FE4A26">
        <w:rPr>
          <w:rFonts w:hint="cs"/>
          <w:rtl/>
        </w:rPr>
        <w:t> </w:t>
      </w:r>
      <w:r>
        <w:rPr>
          <w:rtl/>
        </w:rPr>
        <w:t>٢٥ يوماً تعرض أثناءها للتعذيب والضرب والركل في معدته وأعضائه التناسلية.</w:t>
      </w:r>
      <w:r>
        <w:rPr>
          <w:rFonts w:hint="cs"/>
          <w:rtl/>
        </w:rPr>
        <w:t xml:space="preserve"> </w:t>
      </w:r>
      <w:r>
        <w:rPr>
          <w:rtl/>
        </w:rPr>
        <w:t>وأُصيب بإصابات دائمة نتيجة للضربات وآلام في رجليه وظهره.</w:t>
      </w:r>
      <w:r>
        <w:rPr>
          <w:rFonts w:hint="cs"/>
          <w:rtl/>
        </w:rPr>
        <w:t xml:space="preserve"> </w:t>
      </w:r>
      <w:r>
        <w:rPr>
          <w:rtl/>
        </w:rPr>
        <w:t xml:space="preserve">وبعد يومين من اعتقاله، اتصل ممثل السفارة الإيرانية بصاحب البلاغ، وطلب منه أن يعلن أن الطرود تخصه، </w:t>
      </w:r>
      <w:proofErr w:type="gramStart"/>
      <w:r>
        <w:rPr>
          <w:rtl/>
        </w:rPr>
        <w:t xml:space="preserve">وإلا </w:t>
      </w:r>
      <w:r w:rsidR="00A27EA7">
        <w:rPr>
          <w:rtl/>
        </w:rPr>
        <w:t>”</w:t>
      </w:r>
      <w:r>
        <w:rPr>
          <w:rtl/>
        </w:rPr>
        <w:t>سيكون</w:t>
      </w:r>
      <w:proofErr w:type="gramEnd"/>
      <w:r>
        <w:rPr>
          <w:rtl/>
        </w:rPr>
        <w:t xml:space="preserve"> الثمن غالياً إذا عاد إلى إيران</w:t>
      </w:r>
      <w:r w:rsidR="00A27EA7">
        <w:rPr>
          <w:rtl/>
        </w:rPr>
        <w:t>“</w:t>
      </w:r>
      <w:r>
        <w:rPr>
          <w:rtl/>
        </w:rPr>
        <w:t>.</w:t>
      </w:r>
      <w:r>
        <w:rPr>
          <w:rFonts w:hint="cs"/>
          <w:rtl/>
        </w:rPr>
        <w:t xml:space="preserve"> </w:t>
      </w:r>
      <w:r>
        <w:rPr>
          <w:rtl/>
        </w:rPr>
        <w:t>وأُدخل بعد ذلك مستشفى في الجمهورية العربية السورية لمدة ستة أيام.</w:t>
      </w:r>
      <w:r>
        <w:rPr>
          <w:rFonts w:hint="cs"/>
          <w:rtl/>
        </w:rPr>
        <w:t xml:space="preserve"> </w:t>
      </w:r>
      <w:r>
        <w:rPr>
          <w:rtl/>
        </w:rPr>
        <w:t>وعقب هذه الأحداث، انتاب صاحب البلاغ خوف من العودة إلى جمهورية إيران الإسلامية.</w:t>
      </w:r>
      <w:r>
        <w:rPr>
          <w:rFonts w:hint="cs"/>
          <w:rtl/>
        </w:rPr>
        <w:t xml:space="preserve"> </w:t>
      </w:r>
      <w:r>
        <w:rPr>
          <w:rtl/>
        </w:rPr>
        <w:t>ولذلك فر من المستشفى وسافر مع وكيل إلى الدانمرك عبر اسطنبول وهامبورغ.</w:t>
      </w:r>
    </w:p>
    <w:p w:rsidR="009872E6" w:rsidRDefault="00FE4A26" w:rsidP="00FE4A26">
      <w:pPr>
        <w:pStyle w:val="SingleTxtGA"/>
        <w:spacing w:line="400" w:lineRule="exact"/>
        <w:rPr>
          <w:rtl/>
          <w:lang w:val="ar-SA" w:eastAsia="zh-TW"/>
        </w:rPr>
      </w:pPr>
      <w:r>
        <w:rPr>
          <w:rtl/>
        </w:rPr>
        <w:br w:type="page"/>
      </w:r>
      <w:r w:rsidR="009872E6">
        <w:rPr>
          <w:rtl/>
        </w:rPr>
        <w:lastRenderedPageBreak/>
        <w:t>٢-٣</w:t>
      </w:r>
      <w:r w:rsidR="009872E6">
        <w:rPr>
          <w:rtl/>
        </w:rPr>
        <w:tab/>
        <w:t>وفيما بين عامي ٢٠٠٠ و٢٠٠٥، طلب صاحب البلاغ خمس مرات إعادة فتح ملف قضية لجوئه، ولكن رفض مجلس طعون اللاجئين جميع طلباته</w:t>
      </w:r>
      <w:r>
        <w:rPr>
          <w:rStyle w:val="FootnoteReference"/>
          <w:rFonts w:eastAsiaTheme="majorEastAsia"/>
          <w:rtl/>
        </w:rPr>
        <w:t>(</w:t>
      </w:r>
      <w:r>
        <w:rPr>
          <w:rStyle w:val="FootnoteReference"/>
          <w:rFonts w:eastAsiaTheme="majorEastAsia"/>
          <w:rtl/>
        </w:rPr>
        <w:footnoteReference w:id="4"/>
      </w:r>
      <w:r>
        <w:rPr>
          <w:rStyle w:val="FootnoteReference"/>
          <w:rFonts w:eastAsiaTheme="majorEastAsia"/>
          <w:rtl/>
        </w:rPr>
        <w:t>)</w:t>
      </w:r>
      <w:r w:rsidR="009872E6">
        <w:rPr>
          <w:rFonts w:hint="cs"/>
          <w:rtl/>
        </w:rPr>
        <w:t>.</w:t>
      </w:r>
      <w:r w:rsidR="009872E6">
        <w:rPr>
          <w:rtl/>
        </w:rPr>
        <w:t xml:space="preserve"> وفي صيف عام ٢٠٠٦، شارك في إضراب عن الطعام مع طالبي لجوء آخرين رُفضت طلباتهم أيض</w:t>
      </w:r>
      <w:r w:rsidR="00645118">
        <w:rPr>
          <w:rtl/>
        </w:rPr>
        <w:t xml:space="preserve">اً. </w:t>
      </w:r>
      <w:r w:rsidR="009872E6">
        <w:rPr>
          <w:rtl/>
        </w:rPr>
        <w:t>واجتذب ذلك اهتمام العديد من وسائط الإعلام.</w:t>
      </w:r>
      <w:r w:rsidR="009872E6">
        <w:rPr>
          <w:rFonts w:hint="cs"/>
          <w:rtl/>
        </w:rPr>
        <w:t xml:space="preserve"> </w:t>
      </w:r>
      <w:r w:rsidR="009872E6">
        <w:rPr>
          <w:rtl/>
        </w:rPr>
        <w:t xml:space="preserve">وظهر صاحب البلاغ في نشرات الأخبار الوطنية التي تُبث عبر التلفزيون </w:t>
      </w:r>
      <w:proofErr w:type="spellStart"/>
      <w:r w:rsidR="009872E6">
        <w:rPr>
          <w:rtl/>
        </w:rPr>
        <w:t>الدانمركي</w:t>
      </w:r>
      <w:proofErr w:type="spellEnd"/>
      <w:r w:rsidR="009872E6">
        <w:rPr>
          <w:rtl/>
        </w:rPr>
        <w:t xml:space="preserve"> حيث كان هو طالب اللجوء الإيراني الذي ظل في الدانمرك أطول فترة ورُفض طلب لجوئه.</w:t>
      </w:r>
      <w:r w:rsidR="009872E6">
        <w:rPr>
          <w:rFonts w:hint="cs"/>
          <w:rtl/>
        </w:rPr>
        <w:t xml:space="preserve"> </w:t>
      </w:r>
      <w:r w:rsidR="009872E6">
        <w:rPr>
          <w:rtl/>
        </w:rPr>
        <w:t>وطلب صاحب البلاغ مرة أخرى، استناد</w:t>
      </w:r>
      <w:r w:rsidR="00645118">
        <w:rPr>
          <w:rtl/>
        </w:rPr>
        <w:t xml:space="preserve">اً </w:t>
      </w:r>
      <w:r w:rsidR="009872E6">
        <w:rPr>
          <w:rtl/>
        </w:rPr>
        <w:t>إلى التغطية الإعلامية لقضيته، إعادة فتح ملف قضية لجوئه في ١٢ شباط/فبراير ٢٠٠٧، بادعاء أن وجوده في الدانمرك سُجل بالتأكيد من قِبل ممثلي السفارة الإيرانية في الدانمرك.</w:t>
      </w:r>
      <w:r w:rsidR="009872E6">
        <w:rPr>
          <w:rFonts w:hint="cs"/>
          <w:rtl/>
        </w:rPr>
        <w:t xml:space="preserve"> </w:t>
      </w:r>
      <w:r w:rsidR="009872E6">
        <w:rPr>
          <w:rtl/>
        </w:rPr>
        <w:t>وفي</w:t>
      </w:r>
      <w:r w:rsidR="009872E6">
        <w:rPr>
          <w:rFonts w:hint="cs"/>
          <w:rtl/>
        </w:rPr>
        <w:t xml:space="preserve"> </w:t>
      </w:r>
      <w:r w:rsidR="009872E6">
        <w:rPr>
          <w:rtl/>
        </w:rPr>
        <w:t>28 آذار/مارس 2007، وافق مجلس طعون اللاجئين على إعادة فتح ملف القضية.</w:t>
      </w:r>
    </w:p>
    <w:p w:rsidR="009872E6" w:rsidRDefault="009872E6" w:rsidP="009872E6">
      <w:pPr>
        <w:pStyle w:val="SingleTxtGA"/>
        <w:rPr>
          <w:rtl/>
          <w:lang w:val="ar-SA" w:eastAsia="zh-TW"/>
        </w:rPr>
      </w:pPr>
      <w:r>
        <w:rPr>
          <w:rtl/>
        </w:rPr>
        <w:t>٢-٤</w:t>
      </w:r>
      <w:r w:rsidR="00FE4A26">
        <w:rPr>
          <w:rtl/>
        </w:rPr>
        <w:tab/>
      </w:r>
      <w:r>
        <w:rPr>
          <w:rtl/>
        </w:rPr>
        <w:t>وفي ٣٠ آب/أغسطس 2٠٠٧، لم يجد مجلس طعون اللاجئين أي سبب لتغيير التقييم الذي أجراه في ٢٦ كانون الثاني/يناير ١٩٩٩</w:t>
      </w:r>
      <w:r w:rsidR="00FE4A26">
        <w:rPr>
          <w:rStyle w:val="FootnoteReference"/>
          <w:rFonts w:eastAsiaTheme="majorEastAsia"/>
          <w:rtl/>
        </w:rPr>
        <w:t>(</w:t>
      </w:r>
      <w:r w:rsidR="00FE4A26">
        <w:rPr>
          <w:rStyle w:val="FootnoteReference"/>
          <w:rFonts w:eastAsiaTheme="majorEastAsia"/>
          <w:rtl/>
        </w:rPr>
        <w:footnoteReference w:id="5"/>
      </w:r>
      <w:r w:rsidR="00FE4A26">
        <w:rPr>
          <w:rStyle w:val="FootnoteReference"/>
          <w:rFonts w:eastAsiaTheme="majorEastAsia"/>
          <w:rtl/>
        </w:rPr>
        <w:t>)</w:t>
      </w:r>
      <w:r w:rsidR="00FE4A26">
        <w:rPr>
          <w:rFonts w:hint="cs"/>
          <w:rtl/>
        </w:rPr>
        <w:t>.</w:t>
      </w:r>
      <w:r>
        <w:rPr>
          <w:rtl/>
        </w:rPr>
        <w:t xml:space="preserve"> أما الدليل الجديد الذي قدمه صاحب البلاغ، وهو أمر الاستدعاء المؤرخ ٢٤ آب/أغسطس ٢٠٠٥، الذي أمر زوجة صاحب البلاغ بالمثول أمام المحكمة فيما يتعلق بقضية التواطؤ في التزوير، فلم يمكن تفسيره على أنه دليل على أن السلطات الإيرانية تضطهد صاحب البلاغ</w:t>
      </w:r>
      <w:r w:rsidR="00FE4A26">
        <w:rPr>
          <w:rStyle w:val="FootnoteReference"/>
          <w:rFonts w:eastAsiaTheme="majorEastAsia"/>
          <w:rtl/>
        </w:rPr>
        <w:t>(</w:t>
      </w:r>
      <w:r w:rsidR="00FE4A26">
        <w:rPr>
          <w:rStyle w:val="FootnoteReference"/>
          <w:rFonts w:eastAsiaTheme="majorEastAsia"/>
          <w:rtl/>
        </w:rPr>
        <w:footnoteReference w:id="6"/>
      </w:r>
      <w:r w:rsidR="00FE4A26">
        <w:rPr>
          <w:rStyle w:val="FootnoteReference"/>
          <w:rFonts w:eastAsiaTheme="majorEastAsia"/>
          <w:rtl/>
        </w:rPr>
        <w:t>)</w:t>
      </w:r>
      <w:r w:rsidR="00FE4A26">
        <w:rPr>
          <w:rFonts w:hint="cs"/>
          <w:rtl/>
        </w:rPr>
        <w:t>.</w:t>
      </w:r>
      <w:r>
        <w:rPr>
          <w:rtl/>
        </w:rPr>
        <w:t xml:space="preserve"> ولا يمكن أن تسوِّغ المشاركة في برنامج تلفزيوني ظهر فيه اسمه وجنسيته أن يُمنح اللجوء في الدانمرك</w:t>
      </w:r>
      <w:r w:rsidR="00FE4A26">
        <w:rPr>
          <w:rStyle w:val="FootnoteReference"/>
          <w:rFonts w:eastAsiaTheme="majorEastAsia"/>
          <w:rtl/>
        </w:rPr>
        <w:t>(</w:t>
      </w:r>
      <w:r w:rsidR="00FE4A26">
        <w:rPr>
          <w:rStyle w:val="FootnoteReference"/>
          <w:rFonts w:eastAsiaTheme="majorEastAsia"/>
          <w:rtl/>
        </w:rPr>
        <w:footnoteReference w:id="7"/>
      </w:r>
      <w:r w:rsidR="00FE4A26">
        <w:rPr>
          <w:rStyle w:val="FootnoteReference"/>
          <w:rFonts w:eastAsiaTheme="majorEastAsia"/>
          <w:rtl/>
        </w:rPr>
        <w:t>)</w:t>
      </w:r>
      <w:r w:rsidR="00FE4A26">
        <w:rPr>
          <w:rFonts w:hint="cs"/>
          <w:rtl/>
        </w:rPr>
        <w:t>.</w:t>
      </w:r>
      <w:r>
        <w:rPr>
          <w:rtl/>
        </w:rPr>
        <w:t xml:space="preserve"> كما أن افتراض أن السلطات الإيرانية تدرك بالتأكيد أن صاحب البلاغ يطلب اللجوء في الدانمرك لا يمكن في ذاته أن يبرر</w:t>
      </w:r>
      <w:r>
        <w:rPr>
          <w:rtl/>
          <w:lang w:bidi="ar-DZ"/>
        </w:rPr>
        <w:t xml:space="preserve"> منحه</w:t>
      </w:r>
      <w:r>
        <w:rPr>
          <w:rtl/>
        </w:rPr>
        <w:t xml:space="preserve"> الإقامة</w:t>
      </w:r>
      <w:r w:rsidR="00FE4A26">
        <w:rPr>
          <w:rStyle w:val="FootnoteReference"/>
          <w:rFonts w:eastAsiaTheme="majorEastAsia"/>
          <w:rtl/>
        </w:rPr>
        <w:t>(</w:t>
      </w:r>
      <w:r w:rsidR="00FE4A26">
        <w:rPr>
          <w:rStyle w:val="FootnoteReference"/>
          <w:rFonts w:eastAsiaTheme="majorEastAsia"/>
          <w:rtl/>
        </w:rPr>
        <w:footnoteReference w:id="8"/>
      </w:r>
      <w:r w:rsidR="00FE4A26">
        <w:rPr>
          <w:rStyle w:val="FootnoteReference"/>
          <w:rFonts w:eastAsiaTheme="majorEastAsia"/>
          <w:rtl/>
        </w:rPr>
        <w:t>)</w:t>
      </w:r>
      <w:r w:rsidR="00FE4A26">
        <w:rPr>
          <w:rFonts w:hint="cs"/>
          <w:rtl/>
        </w:rPr>
        <w:t>.</w:t>
      </w:r>
      <w:r>
        <w:rPr>
          <w:rtl/>
        </w:rPr>
        <w:t xml:space="preserve"> ولاحظ المجلس أيض</w:t>
      </w:r>
      <w:r w:rsidR="00645118">
        <w:rPr>
          <w:rtl/>
        </w:rPr>
        <w:t xml:space="preserve">اً </w:t>
      </w:r>
      <w:r>
        <w:rPr>
          <w:rtl/>
        </w:rPr>
        <w:t>أن صاحب البلاغ لم يشارك في أي حزب سياسي.</w:t>
      </w:r>
      <w:r>
        <w:rPr>
          <w:rFonts w:hint="cs"/>
          <w:rtl/>
        </w:rPr>
        <w:t xml:space="preserve"> </w:t>
      </w:r>
      <w:r>
        <w:rPr>
          <w:rtl/>
        </w:rPr>
        <w:t>ولذلك قرر المجلس ضرورة مغادرته البلد أو ترحيله قسراً.</w:t>
      </w:r>
      <w:r>
        <w:rPr>
          <w:rFonts w:hint="cs"/>
          <w:rtl/>
        </w:rPr>
        <w:t xml:space="preserve"> </w:t>
      </w:r>
      <w:r>
        <w:rPr>
          <w:rtl/>
        </w:rPr>
        <w:t>بيد أن السلطات لم تتمكن من</w:t>
      </w:r>
      <w:r w:rsidR="00E269D1">
        <w:rPr>
          <w:rFonts w:hint="cs"/>
          <w:rtl/>
        </w:rPr>
        <w:t> </w:t>
      </w:r>
      <w:r>
        <w:rPr>
          <w:rtl/>
        </w:rPr>
        <w:t>ترحيله</w:t>
      </w:r>
      <w:r w:rsidR="00FE4A26">
        <w:rPr>
          <w:rStyle w:val="FootnoteReference"/>
          <w:rFonts w:eastAsiaTheme="majorEastAsia"/>
          <w:rtl/>
        </w:rPr>
        <w:t>(</w:t>
      </w:r>
      <w:r w:rsidR="00FE4A26">
        <w:rPr>
          <w:rStyle w:val="FootnoteReference"/>
          <w:rFonts w:eastAsiaTheme="majorEastAsia"/>
          <w:rtl/>
        </w:rPr>
        <w:footnoteReference w:id="9"/>
      </w:r>
      <w:r w:rsidR="00FE4A26">
        <w:rPr>
          <w:rStyle w:val="FootnoteReference"/>
          <w:rFonts w:eastAsiaTheme="majorEastAsia"/>
          <w:rtl/>
        </w:rPr>
        <w:t>)</w:t>
      </w:r>
      <w:r w:rsidR="00FE4A26">
        <w:rPr>
          <w:rFonts w:hint="cs"/>
          <w:rtl/>
          <w:lang w:val="ar-SA" w:eastAsia="zh-TW"/>
        </w:rPr>
        <w:t>.</w:t>
      </w:r>
    </w:p>
    <w:p w:rsidR="009872E6" w:rsidRDefault="009872E6" w:rsidP="009872E6">
      <w:pPr>
        <w:pStyle w:val="SingleTxtGA"/>
        <w:rPr>
          <w:rtl/>
          <w:lang w:val="ar-SA" w:eastAsia="zh-TW"/>
        </w:rPr>
      </w:pPr>
      <w:r>
        <w:rPr>
          <w:rtl/>
        </w:rPr>
        <w:lastRenderedPageBreak/>
        <w:t>٢-٥</w:t>
      </w:r>
      <w:r w:rsidR="00FE4A26">
        <w:rPr>
          <w:rtl/>
        </w:rPr>
        <w:tab/>
      </w:r>
      <w:r>
        <w:rPr>
          <w:rtl/>
        </w:rPr>
        <w:t>وفي ٢٣ تشرين الثاني/نوفمبر 2012، جرى تعميد صاحب البلاغ وصدرت له شهادة تعميد في ٦ حزيران/</w:t>
      </w:r>
      <w:proofErr w:type="gramStart"/>
      <w:r>
        <w:rPr>
          <w:rtl/>
        </w:rPr>
        <w:t>يونيه</w:t>
      </w:r>
      <w:proofErr w:type="gramEnd"/>
      <w:r>
        <w:rPr>
          <w:rtl/>
        </w:rPr>
        <w:t xml:space="preserve"> ٢٠١٣.</w:t>
      </w:r>
      <w:r>
        <w:rPr>
          <w:rFonts w:hint="cs"/>
          <w:rtl/>
        </w:rPr>
        <w:t xml:space="preserve"> </w:t>
      </w:r>
      <w:r>
        <w:rPr>
          <w:rtl/>
        </w:rPr>
        <w:t>وفي ٢٥ تموز/يوليه ٢٠١٤، أُبلغ بأن ترحيله تحدد له يوم</w:t>
      </w:r>
      <w:r w:rsidR="00FE4A26">
        <w:rPr>
          <w:rFonts w:hint="cs"/>
          <w:rtl/>
        </w:rPr>
        <w:t> </w:t>
      </w:r>
      <w:r>
        <w:rPr>
          <w:rtl/>
        </w:rPr>
        <w:t>٣٠ تموز/يوليه ٢٠١٤.</w:t>
      </w:r>
      <w:r>
        <w:rPr>
          <w:rFonts w:hint="cs"/>
          <w:rtl/>
        </w:rPr>
        <w:t xml:space="preserve"> </w:t>
      </w:r>
      <w:r>
        <w:rPr>
          <w:rtl/>
        </w:rPr>
        <w:t>وفي ٢٧ أيار/مايو ٢٠١٤، سعى صاحب البلاغ إلى إعادة فتح ملف قضية لجوئه على أساس أنه تحول إلى المسيحية.</w:t>
      </w:r>
    </w:p>
    <w:p w:rsidR="009872E6" w:rsidRDefault="009872E6" w:rsidP="009872E6">
      <w:pPr>
        <w:pStyle w:val="SingleTxtGA"/>
        <w:rPr>
          <w:rtl/>
          <w:lang w:val="ar-SA" w:eastAsia="zh-TW"/>
        </w:rPr>
      </w:pPr>
      <w:r>
        <w:rPr>
          <w:rtl/>
        </w:rPr>
        <w:t>٢-٦</w:t>
      </w:r>
      <w:r w:rsidR="00FE4A26">
        <w:rPr>
          <w:rtl/>
        </w:rPr>
        <w:tab/>
      </w:r>
      <w:r>
        <w:rPr>
          <w:rtl/>
        </w:rPr>
        <w:t>وفي 28 تموز/يوليه 2014، رفض مجلس طعون اللاجئين إعادة فتح ملف القضية.</w:t>
      </w:r>
      <w:r>
        <w:rPr>
          <w:rFonts w:hint="cs"/>
          <w:rtl/>
        </w:rPr>
        <w:t xml:space="preserve"> </w:t>
      </w:r>
      <w:r>
        <w:rPr>
          <w:rtl/>
        </w:rPr>
        <w:t>واعتبر المجلس أن شهادة التعميد ليست دليلاً على صحة تحوله إلى المسيحية.</w:t>
      </w:r>
      <w:r>
        <w:rPr>
          <w:rFonts w:hint="cs"/>
          <w:rtl/>
        </w:rPr>
        <w:t xml:space="preserve"> </w:t>
      </w:r>
      <w:r>
        <w:rPr>
          <w:rtl/>
        </w:rPr>
        <w:t>وفي ٣٠ تموز/</w:t>
      </w:r>
      <w:r w:rsidR="007B6014">
        <w:rPr>
          <w:rFonts w:hint="cs"/>
          <w:rtl/>
        </w:rPr>
        <w:t xml:space="preserve"> </w:t>
      </w:r>
      <w:r>
        <w:rPr>
          <w:rtl/>
        </w:rPr>
        <w:t>يوليه ٢٠١٤، أُعيد صاحب البلاغ قسراً إلى جمهورية إيران الإسلامية.</w:t>
      </w:r>
    </w:p>
    <w:p w:rsidR="009872E6" w:rsidRDefault="009872E6" w:rsidP="00FE4A26">
      <w:pPr>
        <w:pStyle w:val="H23GA"/>
        <w:rPr>
          <w:rtl/>
          <w:lang w:val="ar-SA" w:eastAsia="zh-TW"/>
        </w:rPr>
      </w:pPr>
      <w:r>
        <w:tab/>
      </w:r>
      <w:r>
        <w:tab/>
      </w:r>
      <w:r>
        <w:rPr>
          <w:rtl/>
        </w:rPr>
        <w:t>الشكوى</w:t>
      </w:r>
    </w:p>
    <w:p w:rsidR="009872E6" w:rsidRDefault="009872E6" w:rsidP="009872E6">
      <w:pPr>
        <w:pStyle w:val="SingleTxtGA"/>
        <w:rPr>
          <w:rtl/>
          <w:lang w:val="ar-SA" w:eastAsia="zh-TW"/>
        </w:rPr>
      </w:pPr>
      <w:r>
        <w:rPr>
          <w:rtl/>
        </w:rPr>
        <w:t>٣</w:t>
      </w:r>
      <w:r w:rsidRPr="00A872C8">
        <w:rPr>
          <w:spacing w:val="-4"/>
          <w:rtl/>
        </w:rPr>
        <w:t>-١</w:t>
      </w:r>
      <w:r w:rsidR="00FE4A26" w:rsidRPr="00A872C8">
        <w:rPr>
          <w:spacing w:val="-4"/>
          <w:rtl/>
        </w:rPr>
        <w:tab/>
      </w:r>
      <w:r w:rsidRPr="00A872C8">
        <w:rPr>
          <w:spacing w:val="-4"/>
          <w:rtl/>
        </w:rPr>
        <w:t>يدعي صاحب البلاغ، في رسالته الأولى، أنه سيتعرض في حالة إعادته إلى جمهورية إيران</w:t>
      </w:r>
      <w:r w:rsidR="00A872C8">
        <w:rPr>
          <w:rFonts w:hint="cs"/>
          <w:spacing w:val="-4"/>
          <w:rtl/>
        </w:rPr>
        <w:t> </w:t>
      </w:r>
      <w:r w:rsidRPr="00A872C8">
        <w:rPr>
          <w:spacing w:val="-4"/>
          <w:rtl/>
        </w:rPr>
        <w:t>الإسلامية لخطر الاضطهاد بسبب تحوله إلى المسيحية</w:t>
      </w:r>
      <w:r w:rsidRPr="00A872C8">
        <w:rPr>
          <w:rFonts w:hint="cs"/>
          <w:spacing w:val="-4"/>
          <w:rtl/>
        </w:rPr>
        <w:t xml:space="preserve"> </w:t>
      </w:r>
      <w:r w:rsidR="00FE4A26" w:rsidRPr="00A872C8">
        <w:rPr>
          <w:spacing w:val="-4"/>
          <w:rtl/>
        </w:rPr>
        <w:t>-</w:t>
      </w:r>
      <w:r w:rsidRPr="00A872C8">
        <w:rPr>
          <w:spacing w:val="-4"/>
          <w:rtl/>
        </w:rPr>
        <w:t xml:space="preserve"> المخالف للشريعة</w:t>
      </w:r>
      <w:r w:rsidRPr="00A872C8">
        <w:rPr>
          <w:rFonts w:hint="cs"/>
          <w:spacing w:val="-4"/>
          <w:rtl/>
        </w:rPr>
        <w:t xml:space="preserve"> </w:t>
      </w:r>
      <w:r w:rsidR="00FE4A26" w:rsidRPr="00A872C8">
        <w:rPr>
          <w:rFonts w:hint="cs"/>
          <w:spacing w:val="-4"/>
          <w:rtl/>
        </w:rPr>
        <w:t>-</w:t>
      </w:r>
      <w:r w:rsidRPr="00A872C8">
        <w:rPr>
          <w:spacing w:val="-4"/>
          <w:rtl/>
        </w:rPr>
        <w:t xml:space="preserve"> وهو ما ينتهك</w:t>
      </w:r>
      <w:r>
        <w:rPr>
          <w:rtl/>
        </w:rPr>
        <w:t xml:space="preserve"> المادتين</w:t>
      </w:r>
      <w:r w:rsidR="00A872C8">
        <w:rPr>
          <w:rFonts w:hint="cs"/>
          <w:rtl/>
        </w:rPr>
        <w:t> </w:t>
      </w:r>
      <w:r>
        <w:rPr>
          <w:rtl/>
        </w:rPr>
        <w:t>٦ و٧ من العهد.</w:t>
      </w:r>
      <w:r w:rsidR="007B6014">
        <w:rPr>
          <w:rFonts w:hint="cs"/>
          <w:rtl/>
        </w:rPr>
        <w:t xml:space="preserve"> </w:t>
      </w:r>
      <w:r>
        <w:rPr>
          <w:rtl/>
          <w:lang w:bidi="ar-DZ"/>
        </w:rPr>
        <w:t>ونظراً إلى غيابه</w:t>
      </w:r>
      <w:r>
        <w:rPr>
          <w:rFonts w:hint="cs"/>
          <w:rtl/>
          <w:lang w:bidi="ar-DZ"/>
        </w:rPr>
        <w:t xml:space="preserve"> </w:t>
      </w:r>
      <w:r>
        <w:rPr>
          <w:rtl/>
        </w:rPr>
        <w:t>عن جمهورية إيران الإسلامية لمدة ١٥ عام</w:t>
      </w:r>
      <w:r w:rsidR="00645118">
        <w:rPr>
          <w:rtl/>
        </w:rPr>
        <w:t xml:space="preserve">اً، </w:t>
      </w:r>
      <w:r>
        <w:rPr>
          <w:rtl/>
        </w:rPr>
        <w:t>ستوجِّه إليه السلطات الإيرانية أسئلة عن إقامته في أوروبا وعن أسباب فراره من البلد.</w:t>
      </w:r>
      <w:r>
        <w:rPr>
          <w:rFonts w:hint="cs"/>
          <w:rtl/>
        </w:rPr>
        <w:t xml:space="preserve"> </w:t>
      </w:r>
      <w:r>
        <w:rPr>
          <w:rtl/>
        </w:rPr>
        <w:t>ولا يمكن لزوجة صاحب البلاغ العودة إلى جمهورية إيران الإسلامية لأنها لاجئة في الدانمرك ولديها تصريح إقامة، ومن ثم فإن الزوجين سينفصلان إلى الأبد إذا جرى ترحيل صاحب البلاغ.</w:t>
      </w:r>
    </w:p>
    <w:p w:rsidR="009872E6" w:rsidRPr="00FE4A26" w:rsidRDefault="009872E6" w:rsidP="009872E6">
      <w:pPr>
        <w:pStyle w:val="SingleTxtGA"/>
        <w:rPr>
          <w:rtl/>
          <w:lang w:val="ar-SA" w:eastAsia="zh-TW"/>
        </w:rPr>
      </w:pPr>
      <w:r>
        <w:rPr>
          <w:rtl/>
        </w:rPr>
        <w:t>٣-٢</w:t>
      </w:r>
      <w:r w:rsidR="00FE4A26">
        <w:rPr>
          <w:rtl/>
        </w:rPr>
        <w:tab/>
      </w:r>
      <w:r>
        <w:rPr>
          <w:rtl/>
        </w:rPr>
        <w:t>ويدفع صاحب البلاغ بوقوع انتهاك للمادة ١٤ من العهد لأنه وصل فقط إلى الإجراءات الإدارية، وليس إلى المحاكم.</w:t>
      </w:r>
      <w:r>
        <w:rPr>
          <w:rFonts w:hint="cs"/>
          <w:rtl/>
        </w:rPr>
        <w:t xml:space="preserve"> </w:t>
      </w:r>
      <w:r>
        <w:rPr>
          <w:rtl/>
        </w:rPr>
        <w:t>ويشير صاحب البلاغ، في رده على الملاحظات الختامية للجنة القضاء على التمييز العنصري، إلى أن الدولة الطرف بررت عدم إتاحة إمكانية اللجوء إلى المحاكم بأن مجلس شؤون اللاجئين جهاز شبيه بالمحكمة</w:t>
      </w:r>
      <w:r w:rsidR="00FE4A26">
        <w:rPr>
          <w:rStyle w:val="FootnoteReference"/>
          <w:rFonts w:eastAsiaTheme="majorEastAsia"/>
          <w:rtl/>
        </w:rPr>
        <w:t>(</w:t>
      </w:r>
      <w:r w:rsidR="00FE4A26">
        <w:rPr>
          <w:rStyle w:val="FootnoteReference"/>
          <w:rFonts w:eastAsiaTheme="majorEastAsia"/>
          <w:rtl/>
        </w:rPr>
        <w:footnoteReference w:id="10"/>
      </w:r>
      <w:r w:rsidR="00FE4A26">
        <w:rPr>
          <w:rStyle w:val="FootnoteReference"/>
          <w:rFonts w:eastAsiaTheme="majorEastAsia"/>
          <w:rtl/>
        </w:rPr>
        <w:t>)</w:t>
      </w:r>
      <w:r w:rsidR="00FE4A26">
        <w:rPr>
          <w:rFonts w:hint="cs"/>
          <w:rtl/>
        </w:rPr>
        <w:t>.</w:t>
      </w:r>
      <w:r>
        <w:rPr>
          <w:rtl/>
        </w:rPr>
        <w:t xml:space="preserve"> غير أن اللجنة أعربت عنه </w:t>
      </w:r>
      <w:proofErr w:type="gramStart"/>
      <w:r>
        <w:rPr>
          <w:rtl/>
        </w:rPr>
        <w:t xml:space="preserve">قلقها </w:t>
      </w:r>
      <w:r w:rsidR="00A27EA7">
        <w:rPr>
          <w:rtl/>
        </w:rPr>
        <w:t>”</w:t>
      </w:r>
      <w:r>
        <w:rPr>
          <w:rtl/>
        </w:rPr>
        <w:t>لأن</w:t>
      </w:r>
      <w:proofErr w:type="gramEnd"/>
      <w:r>
        <w:rPr>
          <w:rtl/>
        </w:rPr>
        <w:t xml:space="preserve"> قرارات مجلس اللاجئين المتعلقة بطلبات اللجوء قرارات نهائية لا يجوز استئنافها أمام محكمة</w:t>
      </w:r>
      <w:r w:rsidR="00A27EA7">
        <w:rPr>
          <w:rtl/>
        </w:rPr>
        <w:t>“</w:t>
      </w:r>
      <w:r>
        <w:rPr>
          <w:rtl/>
        </w:rPr>
        <w:t xml:space="preserve">، وأوصت اللجنة </w:t>
      </w:r>
      <w:r w:rsidR="00A27EA7">
        <w:rPr>
          <w:rtl/>
        </w:rPr>
        <w:t>”</w:t>
      </w:r>
      <w:r>
        <w:rPr>
          <w:rtl/>
        </w:rPr>
        <w:t>بمنح ملتمسي اللجوء الحق في استئناف قرارات مجلس اللاجئين</w:t>
      </w:r>
      <w:r w:rsidR="00A27EA7">
        <w:rPr>
          <w:rtl/>
        </w:rPr>
        <w:t>“</w:t>
      </w:r>
      <w:r w:rsidR="00FE4A26">
        <w:rPr>
          <w:rStyle w:val="FootnoteReference"/>
          <w:rFonts w:eastAsiaTheme="majorEastAsia"/>
          <w:rtl/>
        </w:rPr>
        <w:t>(</w:t>
      </w:r>
      <w:r w:rsidR="00FE4A26">
        <w:rPr>
          <w:rStyle w:val="FootnoteReference"/>
          <w:rFonts w:eastAsiaTheme="majorEastAsia"/>
          <w:rtl/>
        </w:rPr>
        <w:footnoteReference w:id="11"/>
      </w:r>
      <w:r w:rsidR="00FE4A26">
        <w:rPr>
          <w:rStyle w:val="FootnoteReference"/>
          <w:rFonts w:eastAsiaTheme="majorEastAsia" w:hint="cs"/>
          <w:rtl/>
        </w:rPr>
        <w:t>)</w:t>
      </w:r>
      <w:r w:rsidR="00FE4A26">
        <w:rPr>
          <w:rStyle w:val="FootnoteReference"/>
          <w:rFonts w:eastAsiaTheme="majorEastAsia" w:hint="cs"/>
          <w:vertAlign w:val="baseline"/>
          <w:rtl/>
        </w:rPr>
        <w:t>.</w:t>
      </w:r>
    </w:p>
    <w:p w:rsidR="009872E6" w:rsidRDefault="009872E6" w:rsidP="009872E6">
      <w:pPr>
        <w:pStyle w:val="SingleTxtGA"/>
        <w:rPr>
          <w:rtl/>
          <w:lang w:val="ar-SA" w:eastAsia="zh-TW"/>
        </w:rPr>
      </w:pPr>
      <w:r>
        <w:rPr>
          <w:rtl/>
        </w:rPr>
        <w:t>٣-٣</w:t>
      </w:r>
      <w:r w:rsidR="00FE4A26">
        <w:rPr>
          <w:rtl/>
        </w:rPr>
        <w:tab/>
      </w:r>
      <w:r>
        <w:rPr>
          <w:rtl/>
        </w:rPr>
        <w:t>ويدعي صاحب البلاغ أيض</w:t>
      </w:r>
      <w:r w:rsidR="00645118">
        <w:rPr>
          <w:rtl/>
        </w:rPr>
        <w:t xml:space="preserve">اً </w:t>
      </w:r>
      <w:r>
        <w:rPr>
          <w:rtl/>
        </w:rPr>
        <w:t>وقوع انتهاك للمادتين 13 و14 من العهد، بالاقتران مع المادتين ٢ و٢٦ منه، على أساس أن أي شخص آخر في الدانمرك لا يُحرم من الحق في أن تنظر جهة إدارية مختصة في مسألة جديدة تماماً (أي التحول عن الديانة) و/أو أن يُسمح له باستئناف قرار سلبي أمام محكمة.</w:t>
      </w:r>
      <w:r>
        <w:rPr>
          <w:rFonts w:hint="cs"/>
          <w:rtl/>
        </w:rPr>
        <w:t xml:space="preserve"> </w:t>
      </w:r>
      <w:r>
        <w:rPr>
          <w:rtl/>
        </w:rPr>
        <w:t>وقد حرمته السلطات الدانمركية من حقه في جلسة استماع جديدة نيابةً عن الأعضاء الخمسة في مجلس طعون اللاجئين.</w:t>
      </w:r>
      <w:r>
        <w:rPr>
          <w:rtl/>
          <w:lang w:bidi="ar-DZ"/>
        </w:rPr>
        <w:t xml:space="preserve"> وبذلك فإن</w:t>
      </w:r>
      <w:r>
        <w:rPr>
          <w:rFonts w:hint="cs"/>
          <w:rtl/>
          <w:lang w:bidi="ar-DZ"/>
        </w:rPr>
        <w:t xml:space="preserve"> </w:t>
      </w:r>
      <w:r>
        <w:rPr>
          <w:rtl/>
        </w:rPr>
        <w:t>حقه في محاكمة عادلة انتُهك على نحو تمييزي بالقرار الصادر في ٢٨ تموز/يوليه ٢٠١٤ لأن ذلك القرار لم يكن قرار مجلس طعون اللاجئين كمجلس، وإنما قرار موظف بموافقة الرئيس/قاضٍ.</w:t>
      </w:r>
      <w:r>
        <w:rPr>
          <w:rFonts w:hint="cs"/>
          <w:rtl/>
        </w:rPr>
        <w:t xml:space="preserve"> </w:t>
      </w:r>
      <w:r>
        <w:rPr>
          <w:rtl/>
        </w:rPr>
        <w:t>وقد تحول طالبو لجوء آخرون عن ديانتهم بعد صدور قرار بالرفض من قِبل مجلس طعون اللاجئين، وأُعيد بعد ذلك فتح ملف قضاياهم وصدرت قرارات إيجابية بشأنها.</w:t>
      </w:r>
      <w:r>
        <w:rPr>
          <w:rtl/>
          <w:lang w:bidi="ar-DZ"/>
        </w:rPr>
        <w:t xml:space="preserve"> وكان</w:t>
      </w:r>
      <w:r>
        <w:rPr>
          <w:rFonts w:hint="cs"/>
          <w:rtl/>
          <w:lang w:bidi="ar-DZ"/>
        </w:rPr>
        <w:t xml:space="preserve"> </w:t>
      </w:r>
      <w:r>
        <w:rPr>
          <w:rtl/>
        </w:rPr>
        <w:t>ينبغي أن تُتاح لصاحب البلاغ فرصة مماثلة في جلسة استماع جديدة لكي يقدم فيها جميع الأدلة المتعلقة بتحوله، مما يتيح لجميع أعضاء مجلس طعون اللاجئين الخمسة إجراء تقييم.</w:t>
      </w:r>
    </w:p>
    <w:p w:rsidR="009872E6" w:rsidRDefault="009872E6" w:rsidP="009872E6">
      <w:pPr>
        <w:pStyle w:val="SingleTxtGA"/>
        <w:rPr>
          <w:rtl/>
          <w:lang w:val="ar-SA" w:eastAsia="zh-TW"/>
        </w:rPr>
      </w:pPr>
      <w:r>
        <w:rPr>
          <w:rtl/>
        </w:rPr>
        <w:lastRenderedPageBreak/>
        <w:t>٣-</w:t>
      </w:r>
      <w:r w:rsidR="007B6014">
        <w:rPr>
          <w:rFonts w:hint="cs"/>
          <w:rtl/>
        </w:rPr>
        <w:t>4</w:t>
      </w:r>
      <w:r w:rsidR="00FE4A26">
        <w:rPr>
          <w:rtl/>
        </w:rPr>
        <w:tab/>
      </w:r>
      <w:r>
        <w:rPr>
          <w:rtl/>
        </w:rPr>
        <w:t>وأخير</w:t>
      </w:r>
      <w:r w:rsidR="00645118">
        <w:rPr>
          <w:rtl/>
        </w:rPr>
        <w:t xml:space="preserve">اً، </w:t>
      </w:r>
      <w:r>
        <w:rPr>
          <w:rtl/>
        </w:rPr>
        <w:t>فإن اهتمامه بالمسيحية أو عدم اهتمامه بها بعد القرار الأول لدائرة الهجرة الدانمركية ولمجلس طعون اللاجئين لا يمكن استخدامه باعتباره عاملاً في تقييم المعتقدات الدينية لصاحب البلاغ إلا في الإجراءات الخطية وفي حالة عدم عقد جلسة استماع من قبل المجلس.</w:t>
      </w:r>
      <w:r>
        <w:rPr>
          <w:rFonts w:hint="cs"/>
          <w:rtl/>
        </w:rPr>
        <w:t xml:space="preserve"> </w:t>
      </w:r>
      <w:r>
        <w:rPr>
          <w:rtl/>
        </w:rPr>
        <w:t>ولو أنه أراد أن يزوّر معتقده الديني، لكان بإمكانه أن يعلن عند دخوله الدانمرك</w:t>
      </w:r>
      <w:r>
        <w:rPr>
          <w:szCs w:val="20"/>
          <w:rtl/>
        </w:rPr>
        <w:t xml:space="preserve"> </w:t>
      </w:r>
      <w:r>
        <w:rPr>
          <w:rtl/>
        </w:rPr>
        <w:t>أنه تحول إلى المسيحية.</w:t>
      </w:r>
      <w:r>
        <w:rPr>
          <w:rFonts w:hint="cs"/>
          <w:rtl/>
        </w:rPr>
        <w:t xml:space="preserve"> </w:t>
      </w:r>
      <w:r>
        <w:rPr>
          <w:rtl/>
        </w:rPr>
        <w:t>ولذلك يشعر صاحب البلاغ بصدمة من هذا الادعاء غير المباشر، ويعتبر هذا القرار انتهاكاً لحقه في تغيير ديانته، بالنظر إلى أن القرار ستكون له عواقب وخيمة عليه في حالة ترحيله إلى جمهورية إيران الإسلامية.</w:t>
      </w:r>
    </w:p>
    <w:p w:rsidR="009872E6" w:rsidRDefault="009872E6" w:rsidP="007B6014">
      <w:pPr>
        <w:pStyle w:val="H23GA"/>
        <w:rPr>
          <w:rtl/>
          <w:lang w:val="ar-SA" w:eastAsia="zh-TW"/>
        </w:rPr>
      </w:pPr>
      <w:r>
        <w:rPr>
          <w:rtl/>
        </w:rPr>
        <w:tab/>
      </w:r>
      <w:r>
        <w:rPr>
          <w:rtl/>
        </w:rPr>
        <w:tab/>
        <w:t>ملاحظات الدولة الطرف على مقبولية البلاغ وأسسه الموضوعية</w:t>
      </w:r>
    </w:p>
    <w:p w:rsidR="009872E6" w:rsidRDefault="009872E6" w:rsidP="009872E6">
      <w:pPr>
        <w:pStyle w:val="SingleTxtGA"/>
        <w:rPr>
          <w:rtl/>
          <w:lang w:val="ar-SA" w:eastAsia="zh-TW"/>
        </w:rPr>
      </w:pPr>
      <w:r>
        <w:rPr>
          <w:rtl/>
        </w:rPr>
        <w:t>٤-١</w:t>
      </w:r>
      <w:r w:rsidR="007B6014">
        <w:rPr>
          <w:rtl/>
        </w:rPr>
        <w:tab/>
      </w:r>
      <w:r>
        <w:rPr>
          <w:rtl/>
        </w:rPr>
        <w:t>في ٩ حزيران/يونيو ٢٠١٤، قدمت الدولة الطرف ملاحظاتها على مقبولية البلاغ وأسسه الموضوعية.</w:t>
      </w:r>
      <w:r>
        <w:rPr>
          <w:rFonts w:hint="cs"/>
          <w:rtl/>
        </w:rPr>
        <w:t xml:space="preserve"> </w:t>
      </w:r>
      <w:r>
        <w:rPr>
          <w:rtl/>
        </w:rPr>
        <w:t>وتدفع الدولة الطرف بأن البلاغ ينبغي أن يعتبر غير مقبول.</w:t>
      </w:r>
      <w:r>
        <w:rPr>
          <w:rFonts w:hint="cs"/>
          <w:rtl/>
        </w:rPr>
        <w:t xml:space="preserve"> </w:t>
      </w:r>
      <w:r>
        <w:rPr>
          <w:rtl/>
        </w:rPr>
        <w:t>فإن أعلنت اللجنة قبول البلاغ، لن يُنتهك العهد إذا أعيد صاحب البلاغ إلى جمهورية إيران الإسلامية، ولن تُنتهك المواد ٢ و١٣ و١٤ و٢٦ من العهد فيما يتصل بنظر السلطات الدانمركية في قضية</w:t>
      </w:r>
      <w:r w:rsidR="007B6014">
        <w:rPr>
          <w:rFonts w:hint="cs"/>
          <w:rtl/>
        </w:rPr>
        <w:t> </w:t>
      </w:r>
      <w:r>
        <w:rPr>
          <w:rtl/>
        </w:rPr>
        <w:t>لجوئه.</w:t>
      </w:r>
    </w:p>
    <w:p w:rsidR="009872E6" w:rsidRDefault="009872E6" w:rsidP="009872E6">
      <w:pPr>
        <w:pStyle w:val="SingleTxtGA"/>
        <w:rPr>
          <w:rtl/>
          <w:lang w:val="ar-SA" w:eastAsia="zh-TW"/>
        </w:rPr>
      </w:pPr>
      <w:r>
        <w:rPr>
          <w:rtl/>
        </w:rPr>
        <w:t>٤-٢</w:t>
      </w:r>
      <w:r w:rsidR="007B6014">
        <w:rPr>
          <w:rtl/>
        </w:rPr>
        <w:tab/>
      </w:r>
      <w:r>
        <w:rPr>
          <w:rtl/>
        </w:rPr>
        <w:t>وتصف الدولة الطرف هيكل مجلس طعون اللاجئين وتشكيله وعمله</w:t>
      </w:r>
      <w:r w:rsidR="00FE4A26">
        <w:rPr>
          <w:rStyle w:val="FootnoteReference"/>
          <w:rFonts w:eastAsiaTheme="majorEastAsia"/>
          <w:rtl/>
        </w:rPr>
        <w:t>(</w:t>
      </w:r>
      <w:r w:rsidR="00FE4A26">
        <w:rPr>
          <w:rStyle w:val="FootnoteReference"/>
          <w:rFonts w:eastAsiaTheme="majorEastAsia"/>
          <w:rtl/>
        </w:rPr>
        <w:footnoteReference w:id="12"/>
      </w:r>
      <w:r w:rsidR="00FE4A26">
        <w:rPr>
          <w:rStyle w:val="FootnoteReference"/>
          <w:rFonts w:eastAsiaTheme="majorEastAsia"/>
          <w:rtl/>
        </w:rPr>
        <w:t>)</w:t>
      </w:r>
      <w:r w:rsidR="007B6014">
        <w:rPr>
          <w:rFonts w:hint="cs"/>
          <w:rtl/>
          <w:lang w:bidi="ar-DZ"/>
        </w:rPr>
        <w:t xml:space="preserve">. </w:t>
      </w:r>
      <w:r>
        <w:rPr>
          <w:rtl/>
          <w:lang w:bidi="ar-DZ"/>
        </w:rPr>
        <w:t xml:space="preserve">والتشريعات المنطبقة على إجراءات </w:t>
      </w:r>
      <w:proofErr w:type="gramStart"/>
      <w:r>
        <w:rPr>
          <w:rtl/>
          <w:lang w:bidi="ar-DZ"/>
        </w:rPr>
        <w:t>اللجوء</w:t>
      </w:r>
      <w:r w:rsidR="00FE4A26">
        <w:rPr>
          <w:sz w:val="18"/>
          <w:vertAlign w:val="superscript"/>
          <w:rtl/>
        </w:rPr>
        <w:t>(</w:t>
      </w:r>
      <w:proofErr w:type="gramEnd"/>
      <w:r w:rsidR="00FE4A26">
        <w:rPr>
          <w:sz w:val="18"/>
          <w:vertAlign w:val="superscript"/>
          <w:rtl/>
        </w:rPr>
        <w:footnoteReference w:id="13"/>
      </w:r>
      <w:r w:rsidR="00FE4A26">
        <w:rPr>
          <w:sz w:val="18"/>
          <w:vertAlign w:val="superscript"/>
          <w:rtl/>
        </w:rPr>
        <w:t>)</w:t>
      </w:r>
      <w:r w:rsidR="007B6014">
        <w:rPr>
          <w:rFonts w:hint="cs"/>
          <w:rtl/>
        </w:rPr>
        <w:t>.</w:t>
      </w:r>
      <w:r>
        <w:rPr>
          <w:rtl/>
        </w:rPr>
        <w:t xml:space="preserve"> ثم تدفع الدولة الطرف بأن صاحب البلاغ لم يثبت وجاهة الدعوى لأغراض مقبولية بلاغه بموجب المواد ٢ و٦ و٧ و13، و26 من العهد، نظراً إلى عدم وجود أسباب موضوعية تدعو إلى الاعتقاد بأنه سيتعرض، في حال إعادته إلى جمهورية إيران الإسلامية، لخطر الحرمان من الحياة أو المعاملة اللاإنسانية أو المهينة، أو بأن تلك الأحكام انتُهكت في سياق نظر السلطات الدانمركية في قضية لجوئه.</w:t>
      </w:r>
      <w:r>
        <w:rPr>
          <w:rFonts w:hint="cs"/>
          <w:rtl/>
        </w:rPr>
        <w:t xml:space="preserve"> </w:t>
      </w:r>
      <w:r>
        <w:rPr>
          <w:rtl/>
        </w:rPr>
        <w:t>وعليه، فإن هذه العناصر من البلاغ لا تستند إلى أسس وجيهة وينبغي اعتبارها غير مقبولة.</w:t>
      </w:r>
    </w:p>
    <w:p w:rsidR="009872E6" w:rsidRDefault="009872E6" w:rsidP="009872E6">
      <w:pPr>
        <w:pStyle w:val="SingleTxtGA"/>
        <w:rPr>
          <w:rFonts w:hint="cs"/>
          <w:rtl/>
          <w:lang w:val="ar-SA" w:eastAsia="zh-TW" w:bidi="ar-DZ"/>
        </w:rPr>
      </w:pPr>
      <w:r>
        <w:rPr>
          <w:rtl/>
        </w:rPr>
        <w:t>٤-٣</w:t>
      </w:r>
      <w:r w:rsidR="007B6014">
        <w:rPr>
          <w:rtl/>
        </w:rPr>
        <w:tab/>
      </w:r>
      <w:r>
        <w:rPr>
          <w:rtl/>
        </w:rPr>
        <w:t>وتشير اللجنة إلى آرائها السابقة التي تفيد بأن الإجراءات المتعلقة بطرد الأجانب لا</w:t>
      </w:r>
      <w:r w:rsidR="007B6014">
        <w:rPr>
          <w:rFonts w:hint="cs"/>
          <w:rtl/>
        </w:rPr>
        <w:t> </w:t>
      </w:r>
      <w:r>
        <w:rPr>
          <w:rtl/>
        </w:rPr>
        <w:t xml:space="preserve">تندرج في نطاق </w:t>
      </w:r>
      <w:proofErr w:type="gramStart"/>
      <w:r>
        <w:rPr>
          <w:rtl/>
        </w:rPr>
        <w:t xml:space="preserve">تحديد </w:t>
      </w:r>
      <w:r w:rsidR="00A27EA7">
        <w:rPr>
          <w:rtl/>
        </w:rPr>
        <w:t>”</w:t>
      </w:r>
      <w:r>
        <w:rPr>
          <w:rtl/>
        </w:rPr>
        <w:t>الحقوق</w:t>
      </w:r>
      <w:proofErr w:type="gramEnd"/>
      <w:r>
        <w:rPr>
          <w:rtl/>
        </w:rPr>
        <w:t xml:space="preserve"> والواجبات في إطار دعوى قضائية</w:t>
      </w:r>
      <w:r w:rsidR="00A27EA7">
        <w:rPr>
          <w:rtl/>
        </w:rPr>
        <w:t>“</w:t>
      </w:r>
      <w:r>
        <w:rPr>
          <w:rtl/>
        </w:rPr>
        <w:t xml:space="preserve"> بالمعنى المقصود في المادة</w:t>
      </w:r>
      <w:r w:rsidR="007B6014">
        <w:rPr>
          <w:rFonts w:hint="cs"/>
          <w:rtl/>
        </w:rPr>
        <w:t> </w:t>
      </w:r>
      <w:r>
        <w:rPr>
          <w:rtl/>
        </w:rPr>
        <w:t>14(1)، بل تخضع لأحكام المادة</w:t>
      </w:r>
      <w:r>
        <w:rPr>
          <w:rFonts w:hint="cs"/>
          <w:rtl/>
        </w:rPr>
        <w:t xml:space="preserve"> </w:t>
      </w:r>
      <w:r>
        <w:rPr>
          <w:rtl/>
        </w:rPr>
        <w:t>13 من العهد</w:t>
      </w:r>
      <w:r w:rsidR="00FE4A26">
        <w:rPr>
          <w:rStyle w:val="FootnoteReference"/>
          <w:rFonts w:eastAsiaTheme="majorEastAsia"/>
          <w:rtl/>
        </w:rPr>
        <w:t>(</w:t>
      </w:r>
      <w:r w:rsidR="00FE4A26">
        <w:rPr>
          <w:rStyle w:val="FootnoteReference"/>
          <w:rFonts w:eastAsiaTheme="majorEastAsia"/>
          <w:rtl/>
        </w:rPr>
        <w:footnoteReference w:id="14"/>
      </w:r>
      <w:r w:rsidR="00FE4A26">
        <w:rPr>
          <w:rStyle w:val="FootnoteReference"/>
          <w:rFonts w:eastAsiaTheme="majorEastAsia"/>
          <w:rtl/>
        </w:rPr>
        <w:t>)</w:t>
      </w:r>
      <w:r w:rsidR="007B6014">
        <w:rPr>
          <w:rFonts w:hint="cs"/>
          <w:rtl/>
        </w:rPr>
        <w:t>.</w:t>
      </w:r>
      <w:r>
        <w:rPr>
          <w:rtl/>
        </w:rPr>
        <w:t xml:space="preserve"> واستناد</w:t>
      </w:r>
      <w:r w:rsidR="00645118">
        <w:rPr>
          <w:rtl/>
        </w:rPr>
        <w:t xml:space="preserve">اً </w:t>
      </w:r>
      <w:r>
        <w:rPr>
          <w:rtl/>
        </w:rPr>
        <w:t xml:space="preserve">إلى ذلك، ينبغي إعلان عدم مقبولية هذا الجزء من البلاغ من حيث </w:t>
      </w:r>
      <w:r w:rsidRPr="00A872C8">
        <w:rPr>
          <w:i/>
          <w:iCs/>
          <w:rtl/>
        </w:rPr>
        <w:t>الاختصاص الموضوعي</w:t>
      </w:r>
      <w:r>
        <w:rPr>
          <w:rtl/>
        </w:rPr>
        <w:t xml:space="preserve"> عملاً بالمادة</w:t>
      </w:r>
      <w:r>
        <w:rPr>
          <w:rFonts w:hint="cs"/>
          <w:rtl/>
        </w:rPr>
        <w:t xml:space="preserve"> </w:t>
      </w:r>
      <w:r>
        <w:rPr>
          <w:rtl/>
        </w:rPr>
        <w:t>3 من البروتوكول الاختياري.</w:t>
      </w:r>
    </w:p>
    <w:p w:rsidR="009872E6" w:rsidRDefault="009872E6" w:rsidP="009872E6">
      <w:pPr>
        <w:pStyle w:val="SingleTxtGA"/>
        <w:rPr>
          <w:rtl/>
          <w:lang w:val="ar-SA" w:eastAsia="zh-TW"/>
        </w:rPr>
      </w:pPr>
      <w:r>
        <w:rPr>
          <w:rtl/>
        </w:rPr>
        <w:t>٤-٤</w:t>
      </w:r>
      <w:r w:rsidR="007B6014">
        <w:rPr>
          <w:rtl/>
        </w:rPr>
        <w:tab/>
      </w:r>
      <w:r>
        <w:rPr>
          <w:rtl/>
        </w:rPr>
        <w:t>وفيما يتعلق بالأسس الموضوعية للبلاغ، فإن صاحب البلاغ لم يثبت أن عودته إلى جمهورية إيران الإسلامية ستنتهك المادتين ٦ و٧ من العهد، وأن المواد ٢ أو ١٣ أو ٢٦ من العهد قد انتهكت فيما يتعلق بعقد جلسة استماع للنظر في قضية لجوئه.</w:t>
      </w:r>
      <w:r>
        <w:rPr>
          <w:rFonts w:hint="cs"/>
          <w:rtl/>
        </w:rPr>
        <w:t xml:space="preserve"> </w:t>
      </w:r>
      <w:r>
        <w:rPr>
          <w:rtl/>
        </w:rPr>
        <w:t>وقد ناقشت اللجنة، في تعليقها العام رقم ٦(١٩٨٢) بشأن الحق في الحياة، المكونات السلبية والإيجابية للحق في الحياة، أي حق الشخص في ألا يحرم من حياته تعسفاً أو بصورة غير قانونية من جانب الدولة أو موظفيها، فضلاً عن التزام الدولة الطرف باتخاذ تدابير تفضي إلى حماية الحياة.</w:t>
      </w:r>
      <w:r>
        <w:rPr>
          <w:rFonts w:hint="cs"/>
          <w:rtl/>
        </w:rPr>
        <w:t xml:space="preserve"> </w:t>
      </w:r>
      <w:r>
        <w:rPr>
          <w:rtl/>
        </w:rPr>
        <w:t xml:space="preserve">وقد استقرت </w:t>
      </w:r>
      <w:r>
        <w:rPr>
          <w:rtl/>
        </w:rPr>
        <w:lastRenderedPageBreak/>
        <w:t>اللجنة في أحكامها السابقة على أن الدول الأطراف ملزمة بعدم تسليم أي شخص أو ترحيله أو إبعاده أو طرده بأي طريقة أخرى من إقليمها، وذلك متى ترتّب على ذلك بالضرورة وعلى نحو يمكن توقعه خطر حقيقي في التعرض لضرر لا يمكن جبره، كالمتصور في المادة</w:t>
      </w:r>
      <w:r>
        <w:rPr>
          <w:rFonts w:hint="cs"/>
          <w:rtl/>
        </w:rPr>
        <w:t xml:space="preserve"> </w:t>
      </w:r>
      <w:r>
        <w:rPr>
          <w:rtl/>
        </w:rPr>
        <w:t>7 من العهد، سواء في البلد الذي سيُبعد إليه أو في أي بلد آخر قد يُبعد إليه الشخص في وقت لاحق.</w:t>
      </w:r>
      <w:r>
        <w:rPr>
          <w:rFonts w:hint="cs"/>
          <w:rtl/>
        </w:rPr>
        <w:t xml:space="preserve"> </w:t>
      </w:r>
      <w:r>
        <w:rPr>
          <w:rtl/>
        </w:rPr>
        <w:t xml:space="preserve">وأشارت اللجنة أيضاً إلى أن الخطر يجب أن يكون شخصياً وتوجد اشتراطات </w:t>
      </w:r>
      <w:r>
        <w:rPr>
          <w:rtl/>
          <w:lang w:bidi="ar-DZ"/>
        </w:rPr>
        <w:t xml:space="preserve">صارمة لإيراد </w:t>
      </w:r>
      <w:r>
        <w:rPr>
          <w:rtl/>
        </w:rPr>
        <w:t>أسباب وجيهة تثبت وجود خطر حقيقي في التعرض لضرر لا يمكن جبره</w:t>
      </w:r>
      <w:r w:rsidR="00FE4A26">
        <w:rPr>
          <w:rStyle w:val="FootnoteReference"/>
          <w:rFonts w:eastAsiaTheme="majorEastAsia"/>
          <w:rtl/>
        </w:rPr>
        <w:t>(</w:t>
      </w:r>
      <w:r w:rsidR="00FE4A26">
        <w:rPr>
          <w:rStyle w:val="FootnoteReference"/>
          <w:rFonts w:eastAsiaTheme="majorEastAsia"/>
          <w:rtl/>
        </w:rPr>
        <w:footnoteReference w:id="15"/>
      </w:r>
      <w:r w:rsidR="00FE4A26">
        <w:rPr>
          <w:rStyle w:val="FootnoteReference"/>
          <w:rFonts w:eastAsiaTheme="majorEastAsia"/>
          <w:rtl/>
        </w:rPr>
        <w:t>)</w:t>
      </w:r>
      <w:r w:rsidR="007B6014">
        <w:rPr>
          <w:rFonts w:hint="cs"/>
          <w:rtl/>
        </w:rPr>
        <w:t>.</w:t>
      </w:r>
      <w:r>
        <w:rPr>
          <w:rtl/>
        </w:rPr>
        <w:t xml:space="preserve"> وتنعكس التزامات الدولة الطرف بموجب المادتين</w:t>
      </w:r>
      <w:r>
        <w:rPr>
          <w:rFonts w:hint="cs"/>
          <w:rtl/>
        </w:rPr>
        <w:t xml:space="preserve"> </w:t>
      </w:r>
      <w:r>
        <w:rPr>
          <w:rtl/>
          <w:lang w:bidi="ar-DZ"/>
        </w:rPr>
        <w:t xml:space="preserve">6 و7 </w:t>
      </w:r>
      <w:r>
        <w:rPr>
          <w:rtl/>
        </w:rPr>
        <w:t>من العهد في المادة</w:t>
      </w:r>
      <w:r>
        <w:rPr>
          <w:rFonts w:hint="cs"/>
          <w:rtl/>
        </w:rPr>
        <w:t xml:space="preserve"> </w:t>
      </w:r>
      <w:r>
        <w:rPr>
          <w:rtl/>
          <w:lang w:bidi="ar-DZ"/>
        </w:rPr>
        <w:t>7(1) و</w:t>
      </w:r>
      <w:r>
        <w:rPr>
          <w:rtl/>
        </w:rPr>
        <w:t>(2) من قانون الأجانب، التي تنص على أن يصدر تصريح إقامة للأجنبي إذا كان معرضاً لخطر الإعدام أو</w:t>
      </w:r>
      <w:r w:rsidR="00A872C8">
        <w:rPr>
          <w:rFonts w:hint="cs"/>
          <w:rtl/>
        </w:rPr>
        <w:t> </w:t>
      </w:r>
      <w:r>
        <w:rPr>
          <w:rtl/>
        </w:rPr>
        <w:t>التعذيب أو سوء المعاملة في حال عودته إلى بلده الأصلي.</w:t>
      </w:r>
    </w:p>
    <w:p w:rsidR="009872E6" w:rsidRDefault="009872E6" w:rsidP="009872E6">
      <w:pPr>
        <w:pStyle w:val="SingleTxtGA"/>
        <w:rPr>
          <w:rtl/>
          <w:lang w:val="ar-SA" w:eastAsia="zh-TW"/>
        </w:rPr>
      </w:pPr>
      <w:r>
        <w:rPr>
          <w:rtl/>
        </w:rPr>
        <w:t>٤-</w:t>
      </w:r>
      <w:r w:rsidR="007B6014">
        <w:rPr>
          <w:rFonts w:hint="cs"/>
          <w:rtl/>
        </w:rPr>
        <w:t>5</w:t>
      </w:r>
      <w:r w:rsidR="007B6014">
        <w:rPr>
          <w:rtl/>
        </w:rPr>
        <w:tab/>
      </w:r>
      <w:r>
        <w:rPr>
          <w:rtl/>
        </w:rPr>
        <w:t>ولم يبين صاحب البلاغ في شكواه إلى اللجنة أسس لجوئه السابقة، وإنما أشار فقط إلى تحوله المدعى من الإسلام إلى المسيحية.</w:t>
      </w:r>
      <w:r>
        <w:rPr>
          <w:rFonts w:hint="cs"/>
          <w:rtl/>
        </w:rPr>
        <w:t xml:space="preserve"> </w:t>
      </w:r>
      <w:r>
        <w:rPr>
          <w:rtl/>
        </w:rPr>
        <w:t>وكما لاحظ المجلس طعون اللاجئين، لم يثبت صاحب البلاغ، استناداً إلى الأسس السابقة التي استند إليها في طلبه اللجوء، احتمال أن يتعرض في حالة عودته إلى جمهورية إيران الإسلامية</w:t>
      </w:r>
      <w:r>
        <w:rPr>
          <w:szCs w:val="20"/>
          <w:rtl/>
        </w:rPr>
        <w:t xml:space="preserve"> </w:t>
      </w:r>
      <w:r>
        <w:rPr>
          <w:rtl/>
        </w:rPr>
        <w:t>لخطر الاضطهاد على نحو يبرر منحه اللجوء.</w:t>
      </w:r>
      <w:r>
        <w:rPr>
          <w:rFonts w:hint="cs"/>
          <w:rtl/>
        </w:rPr>
        <w:t xml:space="preserve"> </w:t>
      </w:r>
      <w:r>
        <w:rPr>
          <w:rtl/>
        </w:rPr>
        <w:t>وكان يتعين على صاحب البلاغ مغادرة الدانمرك طوع</w:t>
      </w:r>
      <w:r w:rsidR="00645118">
        <w:rPr>
          <w:rtl/>
        </w:rPr>
        <w:t xml:space="preserve">اً </w:t>
      </w:r>
      <w:r>
        <w:rPr>
          <w:rtl/>
        </w:rPr>
        <w:t>منذ عام ١٩٩٩، باستثناء فترة وجيزة في عام</w:t>
      </w:r>
      <w:r w:rsidR="007B6014">
        <w:rPr>
          <w:rFonts w:hint="cs"/>
          <w:rtl/>
        </w:rPr>
        <w:t> </w:t>
      </w:r>
      <w:r>
        <w:rPr>
          <w:rtl/>
        </w:rPr>
        <w:t>٢٠٠٧ عندما مدَّد مجلس طعون اللاجئين مهلة مغادرته.</w:t>
      </w:r>
      <w:r>
        <w:rPr>
          <w:rFonts w:hint="cs"/>
          <w:rtl/>
        </w:rPr>
        <w:t xml:space="preserve"> </w:t>
      </w:r>
      <w:r>
        <w:rPr>
          <w:rtl/>
        </w:rPr>
        <w:t>وفي الواقع العملي، كان من الممكن لصاحب البلاغ العودة، لكنه لم يكن راغب</w:t>
      </w:r>
      <w:r w:rsidR="00645118">
        <w:rPr>
          <w:rtl/>
        </w:rPr>
        <w:t xml:space="preserve">اً </w:t>
      </w:r>
      <w:r>
        <w:rPr>
          <w:rtl/>
        </w:rPr>
        <w:t>في تنفيذ التزامه بالعودة الطوعية.</w:t>
      </w:r>
      <w:r>
        <w:rPr>
          <w:rFonts w:hint="cs"/>
          <w:rtl/>
        </w:rPr>
        <w:t xml:space="preserve"> </w:t>
      </w:r>
      <w:r>
        <w:rPr>
          <w:rtl/>
        </w:rPr>
        <w:t>وخلال تلك الفترة، لم يكن من الممكن إعادة الرعايا الإيرانيين قسراً إلى جمهورية إيران الإسلامية لأن السلطات الإيرانية لم تكن على استعداد لتسهيل دخول رعاياها الذين لا يرغبون في العودة الطوعية.</w:t>
      </w:r>
      <w:r>
        <w:rPr>
          <w:rFonts w:hint="cs"/>
          <w:rtl/>
        </w:rPr>
        <w:t xml:space="preserve"> </w:t>
      </w:r>
      <w:r>
        <w:rPr>
          <w:rtl/>
        </w:rPr>
        <w:t>ومن ثم فإن تمديد فترة بقائه في الدانمرك طوال هذه الفترة بعد رفض مجلس طعون اللاجئين منحه اللجوء ليس إلى نتيجة لموقفه الشخصي.</w:t>
      </w:r>
    </w:p>
    <w:p w:rsidR="009872E6" w:rsidRDefault="009872E6" w:rsidP="009872E6">
      <w:pPr>
        <w:pStyle w:val="SingleTxtGA"/>
        <w:rPr>
          <w:rtl/>
          <w:lang w:val="ar-SA" w:eastAsia="zh-TW"/>
        </w:rPr>
      </w:pPr>
      <w:r>
        <w:rPr>
          <w:rtl/>
        </w:rPr>
        <w:t>٤-٦</w:t>
      </w:r>
      <w:r w:rsidR="007B6014">
        <w:rPr>
          <w:rtl/>
        </w:rPr>
        <w:tab/>
      </w:r>
      <w:r>
        <w:rPr>
          <w:rtl/>
        </w:rPr>
        <w:t>ورأى المجلس، في قراره الصادر في ٢٨ تموز/يوليه ٢٠١٤، أن صاحب البلاغ لم يثبت صحة اعتناقه المسيحية على الرغم من شهادة التعميد.</w:t>
      </w:r>
      <w:r>
        <w:rPr>
          <w:rFonts w:hint="cs"/>
          <w:rtl/>
        </w:rPr>
        <w:t xml:space="preserve"> </w:t>
      </w:r>
      <w:r>
        <w:rPr>
          <w:rtl/>
        </w:rPr>
        <w:t>ولم تُقدم معلومات عن كيفية ووقت نشوء اهتمام صاحب البلاغ بالديانة المسيحية وعن كيفية ممارسته لعقيدته.</w:t>
      </w:r>
      <w:r>
        <w:rPr>
          <w:rFonts w:hint="cs"/>
          <w:rtl/>
        </w:rPr>
        <w:t xml:space="preserve"> </w:t>
      </w:r>
      <w:r>
        <w:rPr>
          <w:rtl/>
        </w:rPr>
        <w:t>ورأى المجلس كذلك أن من الغريب أن صاحب البلاغ لم يقدم معلومات عن تعميده إلا قبل وقت قصير من موعد عودته المقررة، رغم أن تعميده جرى في خريف عام ٢٠١٢ وأن شهادة التعميد مؤرخة ٦ حزيران/</w:t>
      </w:r>
      <w:proofErr w:type="gramStart"/>
      <w:r>
        <w:rPr>
          <w:rtl/>
        </w:rPr>
        <w:t>يونيه</w:t>
      </w:r>
      <w:proofErr w:type="gramEnd"/>
      <w:r>
        <w:rPr>
          <w:rtl/>
        </w:rPr>
        <w:t xml:space="preserve"> ٢٠١٣.</w:t>
      </w:r>
      <w:r>
        <w:rPr>
          <w:rFonts w:hint="cs"/>
          <w:rtl/>
        </w:rPr>
        <w:t xml:space="preserve"> </w:t>
      </w:r>
      <w:r>
        <w:rPr>
          <w:rtl/>
        </w:rPr>
        <w:t>ولذلك، لم يتسن للمجلس قبول صحة تحول صاحب البلاغ من الإسلام إلى المسيحية.</w:t>
      </w:r>
      <w:r>
        <w:rPr>
          <w:rFonts w:hint="cs"/>
          <w:rtl/>
        </w:rPr>
        <w:t xml:space="preserve"> </w:t>
      </w:r>
      <w:r>
        <w:rPr>
          <w:rtl/>
        </w:rPr>
        <w:t>فأي طالب لجوء يجب أن يدعم بالأدلة ادعاءه أن شروط منحه اللجوء مستوفاة.</w:t>
      </w:r>
      <w:r>
        <w:rPr>
          <w:rFonts w:hint="cs"/>
          <w:rtl/>
        </w:rPr>
        <w:t xml:space="preserve"> </w:t>
      </w:r>
      <w:r>
        <w:rPr>
          <w:rtl/>
        </w:rPr>
        <w:t>وكان البيان الوحيد لصاحب البلاغ هو أنه تحول عن ديانته وجرى تعميده. ولم يقدم إلى مجلس طعون اللاجئين أو اللجنة تفاصيل عن أي ظروف ارتبطت بتحوله عن ديانته.</w:t>
      </w:r>
    </w:p>
    <w:p w:rsidR="009872E6" w:rsidRDefault="009872E6" w:rsidP="009872E6">
      <w:pPr>
        <w:pStyle w:val="SingleTxtGA"/>
        <w:rPr>
          <w:rtl/>
          <w:lang w:val="ar-SA" w:eastAsia="zh-TW"/>
        </w:rPr>
      </w:pPr>
      <w:r>
        <w:rPr>
          <w:rtl/>
        </w:rPr>
        <w:t>٤-٧</w:t>
      </w:r>
      <w:r w:rsidR="007B6014">
        <w:rPr>
          <w:rtl/>
        </w:rPr>
        <w:tab/>
      </w:r>
      <w:r>
        <w:rPr>
          <w:rtl/>
        </w:rPr>
        <w:t>وعلاوةً على ذلك، لم يعتمد صاحب البلاغ على هذا الأساس الجديد لطلب اللجوء إلا عندما طلب إعادة فتح ملف قضيته في ٢٧ أيار/مايو ٢٠١٤، أي بعد مرور عام ونصف عام على تعميده في ٢٣ تشرين الثاني/نوفمبر ٢٠١٢، وقبل وقت قصير من الموعد المقرر لترحيله من الدانمرك.</w:t>
      </w:r>
      <w:r>
        <w:rPr>
          <w:rFonts w:hint="cs"/>
          <w:rtl/>
        </w:rPr>
        <w:t xml:space="preserve"> </w:t>
      </w:r>
      <w:r>
        <w:rPr>
          <w:rtl/>
        </w:rPr>
        <w:t>كما يبدو من المعلومات التي قدمها صاحب البلاغ أن الوثيقة التي تثبت تعميده لم تصدر إلا في ٦ حزيران/</w:t>
      </w:r>
      <w:proofErr w:type="gramStart"/>
      <w:r>
        <w:rPr>
          <w:rtl/>
        </w:rPr>
        <w:t>يونيه</w:t>
      </w:r>
      <w:proofErr w:type="gramEnd"/>
      <w:r>
        <w:rPr>
          <w:rtl/>
        </w:rPr>
        <w:t xml:space="preserve"> ٢٠١٣، أي بعد مرور ستة أشهر على تعميده.</w:t>
      </w:r>
      <w:r>
        <w:rPr>
          <w:rFonts w:hint="cs"/>
          <w:rtl/>
        </w:rPr>
        <w:t xml:space="preserve"> </w:t>
      </w:r>
      <w:r>
        <w:rPr>
          <w:rtl/>
        </w:rPr>
        <w:lastRenderedPageBreak/>
        <w:t>ومن</w:t>
      </w:r>
      <w:r w:rsidR="00A872C8">
        <w:rPr>
          <w:rFonts w:hint="cs"/>
          <w:rtl/>
        </w:rPr>
        <w:t> </w:t>
      </w:r>
      <w:r>
        <w:rPr>
          <w:rtl/>
        </w:rPr>
        <w:t>ثم، بالأخذ في الاعتبار سلوك صاحب البلاغ، بما في ذلك اعتماده بشكل مستمر منذ عام</w:t>
      </w:r>
      <w:r w:rsidR="007B6014">
        <w:rPr>
          <w:rFonts w:hint="cs"/>
          <w:rtl/>
        </w:rPr>
        <w:t> </w:t>
      </w:r>
      <w:r>
        <w:rPr>
          <w:rtl/>
        </w:rPr>
        <w:t xml:space="preserve">١٩٩٨ على </w:t>
      </w:r>
      <w:r>
        <w:rPr>
          <w:rtl/>
          <w:lang w:bidi="ar-DZ"/>
        </w:rPr>
        <w:t xml:space="preserve">تقديم </w:t>
      </w:r>
      <w:r>
        <w:rPr>
          <w:rtl/>
        </w:rPr>
        <w:t>أسباب جديدة للجوء، وهي أسباب رفضها مجلس طعون اللاجئين، ورفض صاحب البلاغ باستمرار الامتثال لقرار السلطات الدانمركية مغادرته البلد، فإن صاحب البلاغ كان يدرك الأهمية المحتملة لتحوله من الإسلام إلى المسيحية على قضية لجوئه.</w:t>
      </w:r>
      <w:r>
        <w:rPr>
          <w:rFonts w:hint="cs"/>
          <w:rtl/>
        </w:rPr>
        <w:t xml:space="preserve"> </w:t>
      </w:r>
      <w:r>
        <w:rPr>
          <w:rtl/>
        </w:rPr>
        <w:t>وبالتالي، فإن تحوله لا يثبت اقتناعاً حقيقياً وراسخاً.</w:t>
      </w:r>
    </w:p>
    <w:p w:rsidR="009872E6" w:rsidRDefault="009872E6" w:rsidP="009872E6">
      <w:pPr>
        <w:pStyle w:val="SingleTxtGA"/>
        <w:rPr>
          <w:rtl/>
          <w:lang w:val="en-GB" w:eastAsia="zh-TW" w:bidi="ar-DZ"/>
        </w:rPr>
      </w:pPr>
      <w:r>
        <w:rPr>
          <w:rtl/>
        </w:rPr>
        <w:t>٤-٨</w:t>
      </w:r>
      <w:r w:rsidR="007B6014">
        <w:rPr>
          <w:rtl/>
        </w:rPr>
        <w:tab/>
      </w:r>
      <w:r>
        <w:rPr>
          <w:rtl/>
        </w:rPr>
        <w:t>وقد ركز النقاش العام في الدانمرك بشكل عام وفي أوساط ملتمسي اللجوء بشكل خاص تركيزاً كبيراً على أهمية</w:t>
      </w:r>
      <w:r>
        <w:rPr>
          <w:rtl/>
          <w:lang w:bidi="ar-DZ"/>
        </w:rPr>
        <w:t xml:space="preserve"> التحول عن الديانة</w:t>
      </w:r>
      <w:r>
        <w:rPr>
          <w:rtl/>
        </w:rPr>
        <w:t xml:space="preserve">، </w:t>
      </w:r>
      <w:r w:rsidR="00A27EA7">
        <w:rPr>
          <w:rtl/>
        </w:rPr>
        <w:t>لا سيما</w:t>
      </w:r>
      <w:r>
        <w:rPr>
          <w:rtl/>
        </w:rPr>
        <w:t xml:space="preserve"> من الإسلام إلى المسيحية، بالنسبة إلى نتيجة أي قضية لجوء.</w:t>
      </w:r>
      <w:r>
        <w:rPr>
          <w:rFonts w:hint="cs"/>
          <w:rtl/>
        </w:rPr>
        <w:t xml:space="preserve"> </w:t>
      </w:r>
      <w:r>
        <w:rPr>
          <w:rtl/>
        </w:rPr>
        <w:t>ولذلك فإن من المعروف جداً في أوساط طالبي اللجوء والأطراف الأخرى في مجال اللجوء أن المعلومات المتعلقة بتغيير الديانة تشكل أساساً للجوء، ولكن يتعين تقييم المسألة على أساس كل حالة على حدة.</w:t>
      </w:r>
      <w:r>
        <w:rPr>
          <w:rFonts w:hint="cs"/>
          <w:rtl/>
        </w:rPr>
        <w:t xml:space="preserve"> </w:t>
      </w:r>
      <w:r>
        <w:rPr>
          <w:rtl/>
        </w:rPr>
        <w:t>وقد منح مجلس طعون اللاجئين حق اللجوء في حالات عديدة اقتنع فيها بأن التحول حقيقي وأن ملتمس اللجوء سيمارس عقيدته الجديدة لدى عودته إلى بلده الأصلي، وبالتالي سيتعرض لخطر الاضطهاد.</w:t>
      </w:r>
      <w:r>
        <w:rPr>
          <w:rFonts w:hint="cs"/>
          <w:rtl/>
        </w:rPr>
        <w:t xml:space="preserve"> </w:t>
      </w:r>
      <w:r>
        <w:rPr>
          <w:rtl/>
        </w:rPr>
        <w:t>ولم يمنح المجلس هذا الحق فقط عندما تحول طالب اللجوء عن ديانته قبل أن يتخذ المجلس قراره، بل أيض</w:t>
      </w:r>
      <w:r w:rsidR="00645118">
        <w:rPr>
          <w:rtl/>
        </w:rPr>
        <w:t xml:space="preserve">اً </w:t>
      </w:r>
      <w:r>
        <w:rPr>
          <w:rtl/>
        </w:rPr>
        <w:t>عندما حدث التحول بعد اتخاذ القرار عندما وجد المجلس مبرراً لإعادة فتح الإجراءات ومنح الإقامة استناد</w:t>
      </w:r>
      <w:r w:rsidR="00645118">
        <w:rPr>
          <w:rtl/>
        </w:rPr>
        <w:t xml:space="preserve">اً </w:t>
      </w:r>
      <w:r>
        <w:rPr>
          <w:rtl/>
        </w:rPr>
        <w:t>إلى تقييم محدد وفردي للمعلومات الجديدة في كل حالة</w:t>
      </w:r>
      <w:r w:rsidR="00FE4A26">
        <w:rPr>
          <w:rStyle w:val="FootnoteReference"/>
          <w:rFonts w:eastAsiaTheme="majorEastAsia"/>
          <w:rtl/>
        </w:rPr>
        <w:t>(</w:t>
      </w:r>
      <w:r w:rsidR="00FE4A26">
        <w:rPr>
          <w:rStyle w:val="FootnoteReference"/>
          <w:rFonts w:eastAsiaTheme="majorEastAsia"/>
          <w:rtl/>
        </w:rPr>
        <w:footnoteReference w:id="16"/>
      </w:r>
      <w:r w:rsidR="00FE4A26">
        <w:rPr>
          <w:rStyle w:val="FootnoteReference"/>
          <w:rFonts w:eastAsiaTheme="majorEastAsia"/>
          <w:rtl/>
        </w:rPr>
        <w:t>)</w:t>
      </w:r>
      <w:r w:rsidR="007B6014">
        <w:rPr>
          <w:rFonts w:hint="cs"/>
          <w:rtl/>
          <w:lang w:val="en-GB" w:eastAsia="zh-TW" w:bidi="ar-DZ"/>
        </w:rPr>
        <w:t>.</w:t>
      </w:r>
    </w:p>
    <w:p w:rsidR="009872E6" w:rsidRDefault="009872E6" w:rsidP="009872E6">
      <w:pPr>
        <w:pStyle w:val="SingleTxtGA"/>
        <w:rPr>
          <w:rtl/>
          <w:lang w:val="ar-SA" w:eastAsia="zh-TW"/>
        </w:rPr>
      </w:pPr>
      <w:r>
        <w:rPr>
          <w:rtl/>
        </w:rPr>
        <w:t>٤-٩</w:t>
      </w:r>
      <w:r w:rsidR="007B6014">
        <w:rPr>
          <w:rtl/>
        </w:rPr>
        <w:tab/>
      </w:r>
      <w:r>
        <w:rPr>
          <w:rtl/>
        </w:rPr>
        <w:t>والفقرة ٣٦ من المبادئ التوجيهية:</w:t>
      </w:r>
      <w:r w:rsidR="007B6014">
        <w:rPr>
          <w:rtl/>
        </w:rPr>
        <w:t xml:space="preserve"> </w:t>
      </w:r>
      <w:r>
        <w:rPr>
          <w:rtl/>
        </w:rPr>
        <w:t xml:space="preserve">الحماية الدولية في حالات مطالبات اللاجئين القائمة على أساس الدين بموجب المادة 1-ألف (2) من اتفاقية عام 1951 الخاصة بوضع اللاجئين و/أو بروتوكول عام 1967 الملحق بها، الصادرة في ٢٨ نيسان/أبريل ٢٠٠٤، في جملة أمور، تنص على أن: </w:t>
      </w:r>
      <w:r w:rsidR="00A872C8">
        <w:rPr>
          <w:rtl/>
        </w:rPr>
        <w:t>”</w:t>
      </w:r>
      <w:r>
        <w:rPr>
          <w:rtl/>
        </w:rPr>
        <w:t xml:space="preserve">ما يُطلق عليه أنشطة </w:t>
      </w:r>
      <w:r w:rsidR="00A872C8" w:rsidRPr="00A872C8">
        <w:rPr>
          <w:rFonts w:hint="cs"/>
          <w:rtl/>
        </w:rPr>
        <w:t>’</w:t>
      </w:r>
      <w:r>
        <w:rPr>
          <w:rtl/>
        </w:rPr>
        <w:t>خدمة المصلحة الذاتية</w:t>
      </w:r>
      <w:r w:rsidR="00A872C8" w:rsidRPr="00A872C8">
        <w:rPr>
          <w:rFonts w:hint="cs"/>
          <w:rtl/>
        </w:rPr>
        <w:t>‘</w:t>
      </w:r>
      <w:r w:rsidR="00A872C8">
        <w:rPr>
          <w:rFonts w:hint="cs"/>
          <w:rtl/>
        </w:rPr>
        <w:t xml:space="preserve"> </w:t>
      </w:r>
      <w:r>
        <w:rPr>
          <w:rtl/>
        </w:rPr>
        <w:t>لا تُوجِد أساساً مُبَرراً يدعو إلى الخوف من التعرض للاضطهاد في البلد الأصلي لمقدم الطلب إن كانت الطبيعة الانتهازية لهذه الأنشطة واضحة للجميع، بمن فيهم سلطات البلد الأصلي، وبناءً على ذلك، لا</w:t>
      </w:r>
      <w:r w:rsidR="00645118">
        <w:rPr>
          <w:rFonts w:hint="cs"/>
          <w:rtl/>
        </w:rPr>
        <w:t> </w:t>
      </w:r>
      <w:r>
        <w:rPr>
          <w:rtl/>
        </w:rPr>
        <w:t>يُتوقع حدوث عواقب سلبية خطيرة في حالة إعادة الشخص</w:t>
      </w:r>
      <w:r w:rsidR="00A872C8">
        <w:rPr>
          <w:rtl/>
        </w:rPr>
        <w:t>“</w:t>
      </w:r>
      <w:r>
        <w:rPr>
          <w:rtl/>
        </w:rPr>
        <w:t>.</w:t>
      </w:r>
      <w:r>
        <w:rPr>
          <w:rFonts w:hint="cs"/>
          <w:rtl/>
        </w:rPr>
        <w:t xml:space="preserve"> </w:t>
      </w:r>
      <w:r>
        <w:rPr>
          <w:rtl/>
        </w:rPr>
        <w:t xml:space="preserve">وفي قضية </w:t>
      </w:r>
      <w:r w:rsidRPr="00A27EA7">
        <w:rPr>
          <w:i/>
          <w:iCs/>
          <w:rtl/>
        </w:rPr>
        <w:t>فلان ضد الدانمرك</w:t>
      </w:r>
      <w:r>
        <w:rPr>
          <w:rtl/>
        </w:rPr>
        <w:t>، لاحظت اللجنة أن ادعاء صاحب البلاغ اعتمد أساس</w:t>
      </w:r>
      <w:r w:rsidR="00645118">
        <w:rPr>
          <w:rtl/>
        </w:rPr>
        <w:t xml:space="preserve">اً </w:t>
      </w:r>
      <w:proofErr w:type="gramStart"/>
      <w:r>
        <w:rPr>
          <w:rtl/>
        </w:rPr>
        <w:t xml:space="preserve">على </w:t>
      </w:r>
      <w:r w:rsidR="00A872C8">
        <w:rPr>
          <w:rtl/>
        </w:rPr>
        <w:t>”</w:t>
      </w:r>
      <w:r>
        <w:rPr>
          <w:rtl/>
        </w:rPr>
        <w:t>مجرد</w:t>
      </w:r>
      <w:proofErr w:type="gramEnd"/>
      <w:r>
        <w:rPr>
          <w:rtl/>
        </w:rPr>
        <w:t xml:space="preserve"> الانتماء إلى كنيسة مسيحية معينة</w:t>
      </w:r>
      <w:r w:rsidR="00A27EA7">
        <w:rPr>
          <w:rtl/>
        </w:rPr>
        <w:t>“</w:t>
      </w:r>
      <w:r>
        <w:rPr>
          <w:rtl/>
        </w:rPr>
        <w:t>، ومن ثم رأت اللجنة أن ادعاءات صاحب البلاغ بموجب العهد لا</w:t>
      </w:r>
      <w:r w:rsidR="00645118">
        <w:rPr>
          <w:rFonts w:hint="cs"/>
          <w:rtl/>
        </w:rPr>
        <w:t> </w:t>
      </w:r>
      <w:r>
        <w:rPr>
          <w:rtl/>
        </w:rPr>
        <w:t>تدعمها أدلة كافية لأغراض المقبولية (الفقرة</w:t>
      </w:r>
      <w:r>
        <w:rPr>
          <w:rtl/>
          <w:lang w:bidi="ar-DZ"/>
        </w:rPr>
        <w:t xml:space="preserve"> 4-3</w:t>
      </w:r>
      <w:r>
        <w:rPr>
          <w:rtl/>
        </w:rPr>
        <w:t xml:space="preserve">). بل إن صاحب هذا البلاغ قدم معلومات أقل بشأن تحوله المدعى بالمقارنة مع صاحب البلاغ في قضية </w:t>
      </w:r>
      <w:r w:rsidRPr="00A27EA7">
        <w:rPr>
          <w:i/>
          <w:iCs/>
          <w:rtl/>
        </w:rPr>
        <w:t>فلان ضد الدانمرك</w:t>
      </w:r>
      <w:r>
        <w:rPr>
          <w:rtl/>
        </w:rPr>
        <w:t>: فلم يقدم هذا صاحب البلاغ إلا</w:t>
      </w:r>
      <w:r w:rsidR="007B6014">
        <w:rPr>
          <w:rFonts w:hint="cs"/>
          <w:rtl/>
        </w:rPr>
        <w:t> </w:t>
      </w:r>
      <w:r>
        <w:rPr>
          <w:rtl/>
        </w:rPr>
        <w:t>وثيقة تثبت تعميده وذكر فقط أنه تحول من الإسلام إلى المسيحية.</w:t>
      </w:r>
      <w:r>
        <w:rPr>
          <w:rFonts w:hint="cs"/>
          <w:rtl/>
        </w:rPr>
        <w:t xml:space="preserve"> </w:t>
      </w:r>
      <w:r>
        <w:rPr>
          <w:rtl/>
        </w:rPr>
        <w:t xml:space="preserve">ولذلك فإنه في هذا البلاغ </w:t>
      </w:r>
      <w:r>
        <w:rPr>
          <w:rtl/>
          <w:lang w:bidi="ar-DZ"/>
        </w:rPr>
        <w:t xml:space="preserve">لم يتمكن من </w:t>
      </w:r>
      <w:r>
        <w:rPr>
          <w:rtl/>
        </w:rPr>
        <w:t>إقامة دعوى ظاهرة الوجاهة تستند ببساطة إلى شهادة تعميد.</w:t>
      </w:r>
      <w:r>
        <w:rPr>
          <w:rFonts w:hint="cs"/>
          <w:rtl/>
        </w:rPr>
        <w:t xml:space="preserve"> </w:t>
      </w:r>
      <w:r>
        <w:rPr>
          <w:rtl/>
        </w:rPr>
        <w:t>ولن تشكل عودته إلى جمهورية إيران الإسلامية انتهاك</w:t>
      </w:r>
      <w:r w:rsidR="00645118">
        <w:rPr>
          <w:rtl/>
        </w:rPr>
        <w:t xml:space="preserve">اً </w:t>
      </w:r>
      <w:r>
        <w:rPr>
          <w:rtl/>
        </w:rPr>
        <w:t>للمادتين 6 أو 7 من العهد نتيجة لتحوله المدعى إلى</w:t>
      </w:r>
      <w:r w:rsidR="007B6014">
        <w:rPr>
          <w:rFonts w:hint="cs"/>
          <w:rtl/>
        </w:rPr>
        <w:t> </w:t>
      </w:r>
      <w:r>
        <w:rPr>
          <w:rtl/>
        </w:rPr>
        <w:t>المسيحية.</w:t>
      </w:r>
    </w:p>
    <w:p w:rsidR="009872E6" w:rsidRDefault="009872E6" w:rsidP="009872E6">
      <w:pPr>
        <w:pStyle w:val="SingleTxtGA"/>
        <w:rPr>
          <w:rtl/>
          <w:lang w:val="ar-SA" w:eastAsia="zh-TW"/>
        </w:rPr>
      </w:pPr>
      <w:r>
        <w:rPr>
          <w:rtl/>
        </w:rPr>
        <w:t>٤-١٠</w:t>
      </w:r>
      <w:r w:rsidR="007B6014">
        <w:rPr>
          <w:rtl/>
        </w:rPr>
        <w:tab/>
      </w:r>
      <w:r>
        <w:rPr>
          <w:rtl/>
        </w:rPr>
        <w:t>وفيما يتعلق بادعاء صاحب البلاغ أنه، لدى عودته، سيُلقى القبض عليه ويُستجوب من جانب السلطات الإيرانية بسبب غيابه عن البلد مدة 15 عام</w:t>
      </w:r>
      <w:r w:rsidR="00645118">
        <w:rPr>
          <w:rtl/>
        </w:rPr>
        <w:t xml:space="preserve">اً، </w:t>
      </w:r>
      <w:r>
        <w:rPr>
          <w:rtl/>
        </w:rPr>
        <w:t>لم يجد مجلس طعون اللاجئين أي خطر للتعرض للاضطهاد أو الإيذاء.</w:t>
      </w:r>
      <w:r>
        <w:rPr>
          <w:rFonts w:hint="cs"/>
          <w:rtl/>
        </w:rPr>
        <w:t xml:space="preserve"> </w:t>
      </w:r>
      <w:r>
        <w:rPr>
          <w:rtl/>
        </w:rPr>
        <w:t xml:space="preserve">ولا يبدو أن صاحب البلاغ استُهدف بأي شكل من الأشكال من قِبل السلطات الإيرانية، ولا يقوم ادعاؤه أنه معرض لخطر الإيذاء لدى </w:t>
      </w:r>
      <w:r>
        <w:rPr>
          <w:rtl/>
        </w:rPr>
        <w:lastRenderedPageBreak/>
        <w:t>دخوله جمهورية إيران الإسلامية على أي أسس. وفيما يتصل بحصول زوجة صاحب البلاغ على اللجوء في الدانمرك وادعائه أنهما، في حالة عودته إلى جمهورية إيران الإسلامية، لن يستطيعا العيش مع</w:t>
      </w:r>
      <w:r w:rsidR="00645118">
        <w:rPr>
          <w:rtl/>
        </w:rPr>
        <w:t xml:space="preserve">اً </w:t>
      </w:r>
      <w:r>
        <w:rPr>
          <w:rtl/>
        </w:rPr>
        <w:t>كأسرة، لا يمكن أن يفضي ذلك إلى تقييم مختلف لأهليته للحصول على اللجوء.</w:t>
      </w:r>
    </w:p>
    <w:p w:rsidR="009872E6" w:rsidRDefault="009872E6" w:rsidP="009872E6">
      <w:pPr>
        <w:pStyle w:val="SingleTxtGA"/>
        <w:rPr>
          <w:rtl/>
          <w:lang w:val="ar-SA" w:eastAsia="zh-TW"/>
        </w:rPr>
      </w:pPr>
      <w:r>
        <w:rPr>
          <w:rtl/>
        </w:rPr>
        <w:t>٤-١١</w:t>
      </w:r>
      <w:r w:rsidR="007B6014">
        <w:rPr>
          <w:rtl/>
        </w:rPr>
        <w:tab/>
      </w:r>
      <w:r>
        <w:rPr>
          <w:rtl/>
        </w:rPr>
        <w:t>وفيما يتعلق بادعاء صاحب البلاغ أنه لم يحصل على</w:t>
      </w:r>
      <w:r w:rsidR="007B6014">
        <w:rPr>
          <w:rtl/>
        </w:rPr>
        <w:t xml:space="preserve"> </w:t>
      </w:r>
      <w:r>
        <w:rPr>
          <w:rtl/>
        </w:rPr>
        <w:t>فرصة عقد جلسة استماع جديدة، مما يشكل انتهاكاً للمواد</w:t>
      </w:r>
      <w:r>
        <w:rPr>
          <w:rFonts w:hint="cs"/>
          <w:rtl/>
        </w:rPr>
        <w:t xml:space="preserve"> </w:t>
      </w:r>
      <w:r>
        <w:rPr>
          <w:rtl/>
        </w:rPr>
        <w:t>2 و١٣ و٢٦ من العهد، تلاحظ الدولة الطرف أولاً أن المادة ١٣ لا تمنح أي حق في جلسة استماع أمام المحكمة.</w:t>
      </w:r>
      <w:r w:rsidR="007B6014">
        <w:rPr>
          <w:rFonts w:hint="cs"/>
          <w:rtl/>
        </w:rPr>
        <w:t xml:space="preserve"> </w:t>
      </w:r>
      <w:r>
        <w:rPr>
          <w:rtl/>
          <w:lang w:bidi="ar-DZ"/>
        </w:rPr>
        <w:t xml:space="preserve">وفي قضية </w:t>
      </w:r>
      <w:proofErr w:type="spellStart"/>
      <w:r w:rsidRPr="00A27EA7">
        <w:rPr>
          <w:i/>
          <w:iCs/>
          <w:rtl/>
          <w:lang w:bidi="ar-DZ"/>
        </w:rPr>
        <w:t>ماروفيدو</w:t>
      </w:r>
      <w:proofErr w:type="spellEnd"/>
      <w:r w:rsidRPr="00A27EA7">
        <w:rPr>
          <w:i/>
          <w:iCs/>
          <w:rtl/>
          <w:lang w:bidi="ar-DZ"/>
        </w:rPr>
        <w:t xml:space="preserve"> ضد ال</w:t>
      </w:r>
      <w:r w:rsidRPr="00A27EA7">
        <w:rPr>
          <w:i/>
          <w:iCs/>
          <w:rtl/>
        </w:rPr>
        <w:t>سويد</w:t>
      </w:r>
      <w:r>
        <w:rPr>
          <w:rtl/>
        </w:rPr>
        <w:t>، لم</w:t>
      </w:r>
      <w:r w:rsidR="007B6014">
        <w:rPr>
          <w:rFonts w:hint="cs"/>
          <w:rtl/>
        </w:rPr>
        <w:t> </w:t>
      </w:r>
      <w:r>
        <w:rPr>
          <w:rtl/>
        </w:rPr>
        <w:t xml:space="preserve">تطعن اللجنة في أن </w:t>
      </w:r>
      <w:proofErr w:type="gramStart"/>
      <w:r>
        <w:rPr>
          <w:rtl/>
        </w:rPr>
        <w:t xml:space="preserve">مجرد </w:t>
      </w:r>
      <w:r w:rsidR="00A27EA7">
        <w:rPr>
          <w:rtl/>
        </w:rPr>
        <w:t>”</w:t>
      </w:r>
      <w:r>
        <w:rPr>
          <w:rtl/>
        </w:rPr>
        <w:t>المراجعة</w:t>
      </w:r>
      <w:proofErr w:type="gramEnd"/>
      <w:r w:rsidR="00A27EA7">
        <w:rPr>
          <w:rtl/>
        </w:rPr>
        <w:t>“</w:t>
      </w:r>
      <w:r>
        <w:rPr>
          <w:rtl/>
        </w:rPr>
        <w:t xml:space="preserve"> الإدارية لأمر الطرد المذكور يتوافق مع المادة 13</w:t>
      </w:r>
      <w:r w:rsidR="00FE4A26">
        <w:rPr>
          <w:rStyle w:val="FootnoteReference"/>
          <w:rFonts w:eastAsiaTheme="majorEastAsia"/>
          <w:rtl/>
        </w:rPr>
        <w:t>(</w:t>
      </w:r>
      <w:r w:rsidR="00FE4A26">
        <w:rPr>
          <w:rStyle w:val="FootnoteReference"/>
          <w:rFonts w:eastAsiaTheme="majorEastAsia"/>
          <w:rtl/>
        </w:rPr>
        <w:footnoteReference w:id="17"/>
      </w:r>
      <w:r w:rsidR="00FE4A26">
        <w:rPr>
          <w:rStyle w:val="FootnoteReference"/>
          <w:rFonts w:eastAsiaTheme="majorEastAsia"/>
          <w:rtl/>
        </w:rPr>
        <w:t>)</w:t>
      </w:r>
      <w:r w:rsidR="007B6014">
        <w:rPr>
          <w:rFonts w:hint="cs"/>
          <w:rtl/>
          <w:lang w:bidi="ar-DZ"/>
        </w:rPr>
        <w:t>.</w:t>
      </w:r>
      <w:r>
        <w:rPr>
          <w:rtl/>
          <w:lang w:bidi="ar-DZ"/>
        </w:rPr>
        <w:t xml:space="preserve"> وعندما يبت </w:t>
      </w:r>
      <w:r>
        <w:rPr>
          <w:rtl/>
        </w:rPr>
        <w:t>مجلس طعون اللاجئين في قضية، يجوز لطالب اللجوء أن يطلب إلى المجلس إعادة فتح إجراءات اللجوء.</w:t>
      </w:r>
      <w:r w:rsidR="007B6014">
        <w:rPr>
          <w:rtl/>
        </w:rPr>
        <w:t xml:space="preserve"> </w:t>
      </w:r>
      <w:r>
        <w:rPr>
          <w:rtl/>
        </w:rPr>
        <w:t>وعندما يدعى ملتمس اللجوء ظهور معلومات أساسية جديدة بالمقارنة مع المعلومات التي كانت متاحة عندما اتخذ المجلس قراره الأصلي، وأن هذه المعلومات الجديدة قد تؤدي إلى قرار مختلف، يجب على المجلس أن يقيِّم ما إذا كانت المعلومات الجديدة تبرر إعادة فتح الإجراءات وإعادة النظر في القضية.</w:t>
      </w:r>
      <w:r>
        <w:rPr>
          <w:rFonts w:hint="cs"/>
          <w:rtl/>
        </w:rPr>
        <w:t xml:space="preserve"> </w:t>
      </w:r>
      <w:r>
        <w:rPr>
          <w:rtl/>
        </w:rPr>
        <w:t>وفي حالة صاحب البلاغ، أجرى المجلس تقييماً لمصداقية المعلومات المتعلقة بتحوله عن ديانته ولم يلاحظ ورود معلومات جديدة يمكن أن تؤدي إلى اتخاذ قرار مختلف.</w:t>
      </w:r>
      <w:r>
        <w:rPr>
          <w:rFonts w:hint="cs"/>
          <w:rtl/>
        </w:rPr>
        <w:t xml:space="preserve"> </w:t>
      </w:r>
      <w:r>
        <w:rPr>
          <w:rtl/>
        </w:rPr>
        <w:t>واستناداً إلى تقييم المعلومات الجديدة التي قدمها صاحب البلاغ، رأى المجلس أن تحول صاحب البلاغ عن ديانته ليس صادقاً.</w:t>
      </w:r>
      <w:r>
        <w:rPr>
          <w:rFonts w:hint="cs"/>
          <w:rtl/>
        </w:rPr>
        <w:t xml:space="preserve"> </w:t>
      </w:r>
      <w:r>
        <w:rPr>
          <w:rtl/>
        </w:rPr>
        <w:t>ولذلك، بالنظر إلى عدم ورود معلومات أساسية جديدة يمكن أن تفضي إلى تقييم مختلف لقضية لجوء صاحب البلاغ، لا</w:t>
      </w:r>
      <w:r w:rsidR="007B6014">
        <w:rPr>
          <w:rFonts w:hint="cs"/>
          <w:rtl/>
        </w:rPr>
        <w:t> </w:t>
      </w:r>
      <w:r>
        <w:rPr>
          <w:rtl/>
        </w:rPr>
        <w:t>يوجد أساس لإعادة فتح إجراءات اللجوء، بما في ذلك إحالة القضية إلى دائرة الهجرة الدانمركية لإعادة النظر فيها.</w:t>
      </w:r>
    </w:p>
    <w:p w:rsidR="009872E6" w:rsidRDefault="009872E6" w:rsidP="009872E6">
      <w:pPr>
        <w:pStyle w:val="SingleTxtGA"/>
        <w:rPr>
          <w:rtl/>
          <w:lang w:val="ar-SA" w:eastAsia="zh-TW"/>
        </w:rPr>
      </w:pPr>
      <w:r>
        <w:rPr>
          <w:rtl/>
        </w:rPr>
        <w:t>٤-١٢</w:t>
      </w:r>
      <w:r w:rsidR="007B6014">
        <w:rPr>
          <w:rtl/>
        </w:rPr>
        <w:tab/>
      </w:r>
      <w:r>
        <w:rPr>
          <w:rtl/>
        </w:rPr>
        <w:t>وأخيراً، لم يُعامل صاحب البلاغ معاملة تختلف عن غيره من طالبي اللجوء، من منطلق الأصل العرقي، أو اللون، أو الجنس، أو اللغة، أو الدين، أو الرأي السياسي أو غيره، أو الأصل القومي أو الاجتماعي، أو الثروة، أو الميلاد، أو أي وضع آخر.</w:t>
      </w:r>
      <w:r>
        <w:rPr>
          <w:rFonts w:hint="cs"/>
          <w:rtl/>
        </w:rPr>
        <w:t xml:space="preserve"> </w:t>
      </w:r>
      <w:r>
        <w:rPr>
          <w:rtl/>
        </w:rPr>
        <w:t>وهو لم يقدم أي دليل يثبت انتهاك المادتين ٢ و٢٦.</w:t>
      </w:r>
      <w:r>
        <w:rPr>
          <w:rFonts w:hint="cs"/>
          <w:rtl/>
        </w:rPr>
        <w:t xml:space="preserve"> </w:t>
      </w:r>
      <w:r>
        <w:rPr>
          <w:rtl/>
        </w:rPr>
        <w:t>وفيما يتعلق بادعاء صاحب البلاغ أنه لم يُتح له الحق في الاستئناف أمام محكمة دانمركية، فمن غير الممكن لملتمس اللجوء في الدانمرك استئناف قرار يصدر بشأن طلب اللجوء أمام محكمة دانمركية لأن قرارات مجلس طعون اللاجئين نهائية.</w:t>
      </w:r>
    </w:p>
    <w:p w:rsidR="009872E6" w:rsidRDefault="007B6014" w:rsidP="007B6014">
      <w:pPr>
        <w:pStyle w:val="H23GA"/>
        <w:rPr>
          <w:rtl/>
          <w:lang w:val="ar-SA" w:eastAsia="zh-TW"/>
        </w:rPr>
      </w:pPr>
      <w:r>
        <w:rPr>
          <w:rtl/>
        </w:rPr>
        <w:tab/>
      </w:r>
      <w:r>
        <w:rPr>
          <w:rtl/>
        </w:rPr>
        <w:tab/>
      </w:r>
      <w:r w:rsidR="009872E6">
        <w:rPr>
          <w:rtl/>
        </w:rPr>
        <w:t>ملاحظات الدولة الطرف على مقبولية البلاغ وأسسه الموضوعية</w:t>
      </w:r>
    </w:p>
    <w:p w:rsidR="009872E6" w:rsidRDefault="009872E6" w:rsidP="009872E6">
      <w:pPr>
        <w:pStyle w:val="SingleTxtGA"/>
        <w:rPr>
          <w:rtl/>
          <w:lang w:val="ar-SA" w:eastAsia="zh-TW"/>
        </w:rPr>
      </w:pPr>
      <w:r>
        <w:rPr>
          <w:rtl/>
        </w:rPr>
        <w:t>٥-١</w:t>
      </w:r>
      <w:r w:rsidR="007B6014">
        <w:rPr>
          <w:rtl/>
        </w:rPr>
        <w:tab/>
      </w:r>
      <w:r>
        <w:rPr>
          <w:rtl/>
        </w:rPr>
        <w:t>يدعي صاحب البلاغ، في تعليقاته المؤرخة ١٥ نيسان/أبريل ٢٠١٦، حدوث انتهاك للمواد ٢</w:t>
      </w:r>
      <w:r w:rsidR="007B6014">
        <w:rPr>
          <w:rtl/>
        </w:rPr>
        <w:t xml:space="preserve"> و</w:t>
      </w:r>
      <w:r>
        <w:rPr>
          <w:rtl/>
        </w:rPr>
        <w:t>٦</w:t>
      </w:r>
      <w:r w:rsidR="007B6014">
        <w:rPr>
          <w:rtl/>
        </w:rPr>
        <w:t xml:space="preserve"> و</w:t>
      </w:r>
      <w:r>
        <w:rPr>
          <w:rtl/>
        </w:rPr>
        <w:t>٧</w:t>
      </w:r>
      <w:r w:rsidR="007B6014">
        <w:rPr>
          <w:rtl/>
        </w:rPr>
        <w:t xml:space="preserve"> و</w:t>
      </w:r>
      <w:r>
        <w:rPr>
          <w:rtl/>
        </w:rPr>
        <w:t>13 و26 من العهد</w:t>
      </w:r>
      <w:r w:rsidR="00FE4A26">
        <w:rPr>
          <w:rStyle w:val="FootnoteReference"/>
          <w:rFonts w:eastAsiaTheme="majorEastAsia"/>
          <w:rtl/>
        </w:rPr>
        <w:t>(</w:t>
      </w:r>
      <w:r w:rsidR="00FE4A26">
        <w:rPr>
          <w:rStyle w:val="FootnoteReference"/>
          <w:rFonts w:eastAsiaTheme="majorEastAsia"/>
          <w:rtl/>
        </w:rPr>
        <w:footnoteReference w:id="18"/>
      </w:r>
      <w:r w:rsidR="00FE4A26">
        <w:rPr>
          <w:rStyle w:val="FootnoteReference"/>
          <w:rFonts w:eastAsiaTheme="majorEastAsia"/>
          <w:rtl/>
        </w:rPr>
        <w:t>)</w:t>
      </w:r>
      <w:r w:rsidR="007B6014">
        <w:rPr>
          <w:rFonts w:hint="cs"/>
          <w:rtl/>
        </w:rPr>
        <w:t>.</w:t>
      </w:r>
      <w:r w:rsidR="007B6014">
        <w:rPr>
          <w:rtl/>
        </w:rPr>
        <w:t xml:space="preserve"> </w:t>
      </w:r>
      <w:r>
        <w:rPr>
          <w:rtl/>
          <w:lang w:bidi="ar-DZ"/>
        </w:rPr>
        <w:t xml:space="preserve">وبعد أن قرر المقرر الخاص المعني بالبلاغات الجديدة والتدابير المؤقتة عدم إصدار طلب لاتخاذ تدابير مؤقتة، يفيد صاحب البلاغ بأنه قد رُحِّل إلى جمهورية إيران الإسلامية وسُجن فيها ولكنه اليوم لا يزال على قيد الحياة. </w:t>
      </w:r>
      <w:r>
        <w:rPr>
          <w:rtl/>
        </w:rPr>
        <w:t xml:space="preserve">ثم يرحب صاحب البلاغ بقرار المحكمة الأوروبية لحقوق الإنسان في قضية </w:t>
      </w:r>
      <w:r w:rsidRPr="00A27EA7">
        <w:rPr>
          <w:i/>
          <w:iCs/>
          <w:rtl/>
        </w:rPr>
        <w:t>ف. ج. ضد السويد</w:t>
      </w:r>
      <w:r>
        <w:rPr>
          <w:rtl/>
        </w:rPr>
        <w:t xml:space="preserve">، التي أوضحت فيها المحكمة أنه بالنظر إلى الطبيعة المطلقة لمبدأ عدم الإعادة القسرية، لا يجوز للدول الأعضاء أن ترفض إعادة فتح قضايا اللجوء عندما ترد إليها معلومات عن دافع جديد </w:t>
      </w:r>
      <w:r>
        <w:rPr>
          <w:rtl/>
        </w:rPr>
        <w:lastRenderedPageBreak/>
        <w:t>وثيق</w:t>
      </w:r>
      <w:r w:rsidR="007B6014">
        <w:rPr>
          <w:rFonts w:hint="cs"/>
          <w:rtl/>
        </w:rPr>
        <w:t> </w:t>
      </w:r>
      <w:r>
        <w:rPr>
          <w:rtl/>
        </w:rPr>
        <w:t>الصلة</w:t>
      </w:r>
      <w:r w:rsidR="00FE4A26">
        <w:rPr>
          <w:rStyle w:val="FootnoteReference"/>
          <w:rFonts w:eastAsiaTheme="majorEastAsia"/>
          <w:rtl/>
        </w:rPr>
        <w:t>(</w:t>
      </w:r>
      <w:r w:rsidR="00FE4A26">
        <w:rPr>
          <w:rStyle w:val="FootnoteReference"/>
          <w:rFonts w:eastAsiaTheme="majorEastAsia"/>
          <w:rtl/>
        </w:rPr>
        <w:footnoteReference w:id="19"/>
      </w:r>
      <w:r w:rsidR="00FE4A26">
        <w:rPr>
          <w:rStyle w:val="FootnoteReference"/>
          <w:rFonts w:eastAsiaTheme="majorEastAsia"/>
          <w:rtl/>
        </w:rPr>
        <w:t>)</w:t>
      </w:r>
      <w:r w:rsidR="007B6014">
        <w:rPr>
          <w:rFonts w:hint="cs"/>
          <w:rtl/>
        </w:rPr>
        <w:t>.</w:t>
      </w:r>
      <w:r>
        <w:rPr>
          <w:rtl/>
        </w:rPr>
        <w:t xml:space="preserve"> </w:t>
      </w:r>
      <w:r>
        <w:rPr>
          <w:rtl/>
          <w:lang w:bidi="ar-DZ"/>
        </w:rPr>
        <w:t xml:space="preserve">وفي تلك القضية، رفضت السلطات السويدية إعادة فتح ملف قضية طالب اللجوء بسبب عدم وجود معلومات جديدة ذات صلة، رغم أن طالب اللجوء أبلغ السلطات بأنه تحول إلى المسيحية ومن ثم يخشى الاضطهاد إذا أعيد إلى جمهورية إيران الإسلامية. </w:t>
      </w:r>
      <w:r>
        <w:rPr>
          <w:rtl/>
        </w:rPr>
        <w:t>وخلصت المحكمة إلى أن السويد، بتجاهلها لهذه المعلومات الجديدة عن الدافع الجديد للجوء، انتهكت المادة ٣ من الاتفاقية الأوروبية لحقوق الإنسان.</w:t>
      </w:r>
      <w:r>
        <w:rPr>
          <w:rFonts w:hint="cs"/>
          <w:rtl/>
        </w:rPr>
        <w:t xml:space="preserve"> </w:t>
      </w:r>
      <w:r>
        <w:rPr>
          <w:rtl/>
        </w:rPr>
        <w:t>وحالة صاحب البلاغ مماثلة.</w:t>
      </w:r>
    </w:p>
    <w:p w:rsidR="009872E6" w:rsidRDefault="009872E6" w:rsidP="009872E6">
      <w:pPr>
        <w:pStyle w:val="SingleTxtGA"/>
        <w:rPr>
          <w:rtl/>
          <w:lang w:val="ar-SA" w:eastAsia="zh-TW"/>
        </w:rPr>
      </w:pPr>
      <w:r>
        <w:rPr>
          <w:rtl/>
        </w:rPr>
        <w:t>٥-٢</w:t>
      </w:r>
      <w:r w:rsidR="007B6014">
        <w:rPr>
          <w:rtl/>
        </w:rPr>
        <w:tab/>
      </w:r>
      <w:r>
        <w:rPr>
          <w:rtl/>
        </w:rPr>
        <w:t>ويصر صاحب البلاغ بعد ذلك على أن قرار مجلس طعون اللاجئين الصادر في ٢٨ تموز/يوليه ٢٠١٤ لم يتخذه الأعضاء الخمسة في المجلس، ولكن وقّعه عضو في فريق الموظفين القانونيين للمجلس.</w:t>
      </w:r>
      <w:r>
        <w:rPr>
          <w:rFonts w:hint="cs"/>
          <w:rtl/>
        </w:rPr>
        <w:t xml:space="preserve"> </w:t>
      </w:r>
      <w:r>
        <w:rPr>
          <w:rtl/>
        </w:rPr>
        <w:t xml:space="preserve">وقد راجع </w:t>
      </w:r>
      <w:proofErr w:type="gramStart"/>
      <w:r>
        <w:rPr>
          <w:rtl/>
        </w:rPr>
        <w:t xml:space="preserve">الرئيس </w:t>
      </w:r>
      <w:r w:rsidR="00A27EA7">
        <w:rPr>
          <w:rtl/>
        </w:rPr>
        <w:t>”</w:t>
      </w:r>
      <w:r>
        <w:rPr>
          <w:rtl/>
        </w:rPr>
        <w:t>مشروع</w:t>
      </w:r>
      <w:proofErr w:type="gramEnd"/>
      <w:r>
        <w:rPr>
          <w:rtl/>
        </w:rPr>
        <w:t xml:space="preserve"> القرار</w:t>
      </w:r>
      <w:r w:rsidR="00A27EA7">
        <w:rPr>
          <w:rtl/>
        </w:rPr>
        <w:t>“</w:t>
      </w:r>
      <w:r>
        <w:rPr>
          <w:rtl/>
        </w:rPr>
        <w:t xml:space="preserve"> وقبِله قبل إحالته إلى صاحب البلاغ.</w:t>
      </w:r>
      <w:r>
        <w:rPr>
          <w:rFonts w:hint="cs"/>
          <w:rtl/>
        </w:rPr>
        <w:t xml:space="preserve"> </w:t>
      </w:r>
      <w:r>
        <w:rPr>
          <w:rtl/>
        </w:rPr>
        <w:t>ولذلك لم يكن المجلس هو من اتخذ قرار رفض الدافع الوثيق الصلة الجديد لصاحب البلاغ.</w:t>
      </w:r>
      <w:r>
        <w:rPr>
          <w:rFonts w:hint="cs"/>
          <w:rtl/>
        </w:rPr>
        <w:t xml:space="preserve"> </w:t>
      </w:r>
      <w:r>
        <w:rPr>
          <w:rtl/>
        </w:rPr>
        <w:t>وكان ينبغي لصاحب البلاغ أن يستفيد من عقد جلسة استماع جديدة، الأمر الذي كان سيتيح له أن يوضح عقيدته الجديدة ويجيب على الأسئلة التي يوجهها أعضاء المجلس الخمسة قبل أن يبتوا في طلب لجوئه.</w:t>
      </w:r>
    </w:p>
    <w:p w:rsidR="009872E6" w:rsidRDefault="009872E6" w:rsidP="009872E6">
      <w:pPr>
        <w:pStyle w:val="SingleTxtGA"/>
        <w:rPr>
          <w:rtl/>
          <w:lang w:val="ar-SA" w:eastAsia="zh-TW"/>
        </w:rPr>
      </w:pPr>
      <w:r>
        <w:rPr>
          <w:rtl/>
        </w:rPr>
        <w:t>٥-٣</w:t>
      </w:r>
      <w:r w:rsidR="007B6014">
        <w:rPr>
          <w:rtl/>
        </w:rPr>
        <w:tab/>
      </w:r>
      <w:r>
        <w:rPr>
          <w:rtl/>
          <w:lang w:bidi="ar-DZ"/>
        </w:rPr>
        <w:t xml:space="preserve">ولذلك فإن </w:t>
      </w:r>
      <w:r>
        <w:rPr>
          <w:rtl/>
        </w:rPr>
        <w:t>قرار المجلس عدم إعادة فتح الإجراءات يشكل انتهاكاً للمادتين ٦ و٧ من العهد.</w:t>
      </w:r>
      <w:r>
        <w:rPr>
          <w:rFonts w:hint="cs"/>
          <w:rtl/>
        </w:rPr>
        <w:t xml:space="preserve"> </w:t>
      </w:r>
      <w:r>
        <w:rPr>
          <w:rtl/>
        </w:rPr>
        <w:t>فمسألة تحول صاحب البلاغ عن ديانته لم تُنظر مطلقاً من قِبل دائرة الهجرة، ومن ثم فإن القرار المتخذ بشأن الدافع الجديد لم يكن قراراً في مرحلة الاستئناف، لأن المجلس كان هو السلطة المحلية الأولى والأخيرة التي اتخذت قراراً بشأن حق صاحب البلاغ في إعادة فتح ملف</w:t>
      </w:r>
      <w:r w:rsidR="007B6014">
        <w:rPr>
          <w:rFonts w:hint="cs"/>
          <w:rtl/>
        </w:rPr>
        <w:t> </w:t>
      </w:r>
      <w:r>
        <w:rPr>
          <w:rtl/>
        </w:rPr>
        <w:t>قضيته.</w:t>
      </w:r>
    </w:p>
    <w:p w:rsidR="009872E6" w:rsidRDefault="009872E6" w:rsidP="009872E6">
      <w:pPr>
        <w:pStyle w:val="SingleTxtGA"/>
        <w:rPr>
          <w:rtl/>
          <w:lang w:val="ar-SA" w:eastAsia="zh-TW"/>
        </w:rPr>
      </w:pPr>
      <w:r>
        <w:rPr>
          <w:rtl/>
        </w:rPr>
        <w:t>٥-</w:t>
      </w:r>
      <w:r w:rsidR="007B6014">
        <w:rPr>
          <w:rFonts w:hint="cs"/>
          <w:rtl/>
        </w:rPr>
        <w:t>4</w:t>
      </w:r>
      <w:r w:rsidR="007B6014">
        <w:rPr>
          <w:rtl/>
        </w:rPr>
        <w:tab/>
      </w:r>
      <w:r>
        <w:rPr>
          <w:rtl/>
        </w:rPr>
        <w:t>وانتُهك حق صاحب البلاغ بموجب المادة ١٣ من العهد لأنه مُنح الحق في إجراء إداري فحسب، دون إمكانية الطعن في قرار المجلس أمام المحاكم الدانمركية.</w:t>
      </w:r>
      <w:r>
        <w:rPr>
          <w:rFonts w:hint="cs"/>
          <w:rtl/>
        </w:rPr>
        <w:t xml:space="preserve"> </w:t>
      </w:r>
      <w:r>
        <w:rPr>
          <w:rtl/>
        </w:rPr>
        <w:t>كما أنه لم تُتح له</w:t>
      </w:r>
      <w:r w:rsidR="00A872C8">
        <w:rPr>
          <w:rFonts w:hint="cs"/>
          <w:rtl/>
        </w:rPr>
        <w:t> </w:t>
      </w:r>
      <w:r>
        <w:rPr>
          <w:rtl/>
        </w:rPr>
        <w:t>فرصة الدفاع عن قضيته أمام أعضاء المجلس الخمسة.</w:t>
      </w:r>
      <w:r>
        <w:rPr>
          <w:rFonts w:hint="cs"/>
          <w:rtl/>
        </w:rPr>
        <w:t xml:space="preserve"> </w:t>
      </w:r>
      <w:r>
        <w:rPr>
          <w:rtl/>
        </w:rPr>
        <w:t xml:space="preserve">وعلاوةً على ذلك، بالنظر إلى أن جميع القرارات الأخرى الصادرة عن أي هيئة بموجب القانون </w:t>
      </w:r>
      <w:proofErr w:type="spellStart"/>
      <w:r>
        <w:rPr>
          <w:rtl/>
        </w:rPr>
        <w:t>الدانمركي</w:t>
      </w:r>
      <w:proofErr w:type="spellEnd"/>
      <w:r>
        <w:rPr>
          <w:rtl/>
        </w:rPr>
        <w:t xml:space="preserve"> يمكن استئنافها في إطار النظام القضائي </w:t>
      </w:r>
      <w:proofErr w:type="spellStart"/>
      <w:r>
        <w:rPr>
          <w:rtl/>
        </w:rPr>
        <w:t>الدانمركي</w:t>
      </w:r>
      <w:proofErr w:type="spellEnd"/>
      <w:r>
        <w:rPr>
          <w:rtl/>
        </w:rPr>
        <w:t>، فيكون صاحب البلاغ قد تعرض للتمييز بموجب المادتين 2 و٢٦ من العهد.</w:t>
      </w:r>
      <w:r>
        <w:rPr>
          <w:rFonts w:hint="cs"/>
          <w:rtl/>
        </w:rPr>
        <w:t xml:space="preserve"> </w:t>
      </w:r>
      <w:r>
        <w:rPr>
          <w:rtl/>
        </w:rPr>
        <w:t>وتنص المادة ٦٣ من دستور الدانمرك على جواز استئناف جميع القرارات الإدارية، بما في ذلك قرارات المجلس، أمام المحاكم.</w:t>
      </w:r>
    </w:p>
    <w:p w:rsidR="009872E6" w:rsidRDefault="009872E6" w:rsidP="009872E6">
      <w:pPr>
        <w:pStyle w:val="SingleTxtGA"/>
        <w:rPr>
          <w:rtl/>
          <w:lang w:eastAsia="zh-TW" w:bidi="ar-DZ"/>
        </w:rPr>
      </w:pPr>
      <w:r>
        <w:rPr>
          <w:rtl/>
        </w:rPr>
        <w:t>٥-٥</w:t>
      </w:r>
      <w:r w:rsidR="007B6014">
        <w:rPr>
          <w:rtl/>
        </w:rPr>
        <w:tab/>
      </w:r>
      <w:r>
        <w:rPr>
          <w:rtl/>
        </w:rPr>
        <w:t>وأخيراً، يشير صاحب البلاغ إلى عدد من القضايا التي عُرضت على اللجنة، وهي قضايا قررت فيها الدولة الطرف إعادة فتح القضية ومنح اللجوء</w:t>
      </w:r>
      <w:r w:rsidR="00FE4A26">
        <w:rPr>
          <w:rStyle w:val="FootnoteReference"/>
          <w:rFonts w:eastAsiaTheme="majorEastAsia"/>
          <w:rtl/>
        </w:rPr>
        <w:t>(</w:t>
      </w:r>
      <w:r w:rsidR="00FE4A26">
        <w:rPr>
          <w:rStyle w:val="FootnoteReference"/>
          <w:rFonts w:eastAsiaTheme="majorEastAsia"/>
          <w:rtl/>
        </w:rPr>
        <w:footnoteReference w:id="20"/>
      </w:r>
      <w:r w:rsidR="00FE4A26">
        <w:rPr>
          <w:rStyle w:val="FootnoteReference"/>
          <w:rFonts w:eastAsiaTheme="majorEastAsia"/>
          <w:rtl/>
        </w:rPr>
        <w:t>)</w:t>
      </w:r>
      <w:r w:rsidR="007B6014">
        <w:rPr>
          <w:rFonts w:hint="cs"/>
          <w:rtl/>
          <w:lang w:eastAsia="zh-TW"/>
        </w:rPr>
        <w:t>،</w:t>
      </w:r>
      <w:r>
        <w:rPr>
          <w:rtl/>
          <w:lang w:eastAsia="zh-TW"/>
        </w:rPr>
        <w:t xml:space="preserve"> ويخلص إلى أن قرار المجلس الصادر في ٢٨ تموز/يوليه ٢٠١٤ غير معقول وظاهر التعسف.</w:t>
      </w:r>
    </w:p>
    <w:p w:rsidR="009872E6" w:rsidRDefault="009872E6" w:rsidP="007B6014">
      <w:pPr>
        <w:pStyle w:val="H23GA"/>
        <w:rPr>
          <w:rtl/>
          <w:lang w:val="ar-SA" w:eastAsia="zh-TW"/>
        </w:rPr>
      </w:pPr>
      <w:r>
        <w:rPr>
          <w:rtl/>
        </w:rPr>
        <w:tab/>
      </w:r>
      <w:r>
        <w:rPr>
          <w:rtl/>
        </w:rPr>
        <w:tab/>
        <w:t>معلومات إضافية من الدولة الطرف</w:t>
      </w:r>
    </w:p>
    <w:p w:rsidR="009872E6" w:rsidRDefault="009872E6" w:rsidP="009872E6">
      <w:pPr>
        <w:pStyle w:val="SingleTxtGA"/>
        <w:rPr>
          <w:rtl/>
          <w:lang w:val="ar-SA" w:eastAsia="zh-TW"/>
        </w:rPr>
      </w:pPr>
      <w:r>
        <w:rPr>
          <w:rtl/>
        </w:rPr>
        <w:t>٦-١</w:t>
      </w:r>
      <w:r w:rsidR="007B6014">
        <w:rPr>
          <w:rtl/>
        </w:rPr>
        <w:tab/>
      </w:r>
      <w:r>
        <w:rPr>
          <w:rtl/>
        </w:rPr>
        <w:t xml:space="preserve">في ٢ أيلول/سبتمبر ٢٠١٦، قدّمت الدولة الطرف مزيداً من الملاحظات إلى اللجنة. وتلاحظ الدولة الطرف، أولاً، أن صاحب البلاغ ادعى أنه سُجن في جمهورية إيران الإسلامية بعد ترحيله، وتلاحظ أيضاً أن هذه المعلومات ليس لها أي أساس من الصحة نظراً إلى عدم </w:t>
      </w:r>
      <w:r>
        <w:rPr>
          <w:rtl/>
        </w:rPr>
        <w:lastRenderedPageBreak/>
        <w:t>تقديم أي معلومات إضافية عن وقت السَجن المزعوم أو أي تفاصيل أخرى عن هذه الظروف.</w:t>
      </w:r>
      <w:r>
        <w:rPr>
          <w:rFonts w:hint="cs"/>
          <w:rtl/>
        </w:rPr>
        <w:t xml:space="preserve"> </w:t>
      </w:r>
      <w:r>
        <w:rPr>
          <w:rtl/>
        </w:rPr>
        <w:t>ولذلك، فإن الدولة الطرف لا ترى ما يدعو إلى النظر في هذه المسألة.</w:t>
      </w:r>
    </w:p>
    <w:p w:rsidR="009872E6" w:rsidRDefault="009872E6" w:rsidP="009872E6">
      <w:pPr>
        <w:pStyle w:val="SingleTxtGA"/>
        <w:rPr>
          <w:rtl/>
          <w:lang w:val="ar-SA" w:eastAsia="zh-TW"/>
        </w:rPr>
      </w:pPr>
      <w:r>
        <w:rPr>
          <w:rtl/>
        </w:rPr>
        <w:t>٦-٢</w:t>
      </w:r>
      <w:r w:rsidR="007B6014">
        <w:rPr>
          <w:rtl/>
        </w:rPr>
        <w:tab/>
      </w:r>
      <w:r>
        <w:rPr>
          <w:rtl/>
        </w:rPr>
        <w:t>وتكرر الدولة الطرف أن صاحب البلاغ لم يقدم أي معلومات جديدة عن وضعه الشخصي.</w:t>
      </w:r>
      <w:r>
        <w:rPr>
          <w:rFonts w:hint="cs"/>
          <w:rtl/>
        </w:rPr>
        <w:t xml:space="preserve"> </w:t>
      </w:r>
      <w:r>
        <w:rPr>
          <w:rtl/>
        </w:rPr>
        <w:t>فمجلس طعون اللاجئين لم يقتنع في قراره الصادر في ٢٨ تموز/يوليه ٢٠١٤ بصدق تحول صاحب البلاغ عن ديانته.</w:t>
      </w:r>
      <w:r>
        <w:rPr>
          <w:rFonts w:hint="cs"/>
          <w:rtl/>
        </w:rPr>
        <w:t xml:space="preserve"> </w:t>
      </w:r>
      <w:r>
        <w:rPr>
          <w:rtl/>
        </w:rPr>
        <w:t>وخلص المجلس إلى أن التحول لم يكن إلا ذريعة مصطنعة لغرض اللجوء.</w:t>
      </w:r>
      <w:r>
        <w:rPr>
          <w:rFonts w:hint="cs"/>
          <w:rtl/>
        </w:rPr>
        <w:t xml:space="preserve"> </w:t>
      </w:r>
      <w:r>
        <w:rPr>
          <w:rtl/>
        </w:rPr>
        <w:t>وأجرى المجلس في قراره تقييماً محدداً وفردياً للمعلومات المتاحة بشأن التحول والتعرض المزعومين لصاحب البلاغ، بما في ذلك المعلومات التي قدمها صاحب البلاغ بشأن تحوله، وأخذ المجلس بعين الاعتبار الشهادة التي تؤكد تعميده.</w:t>
      </w:r>
      <w:r>
        <w:rPr>
          <w:rFonts w:hint="cs"/>
          <w:rtl/>
        </w:rPr>
        <w:t xml:space="preserve"> </w:t>
      </w:r>
      <w:r>
        <w:rPr>
          <w:rtl/>
        </w:rPr>
        <w:t>بيد أن ظرف تعميد أي شخص يدعي أنه تحول عن ديانته لا يثبت في حد ذاته أن هذا الشخص تحول في الواقع عن ديانته.</w:t>
      </w:r>
      <w:r>
        <w:rPr>
          <w:rFonts w:hint="cs"/>
          <w:rtl/>
        </w:rPr>
        <w:t xml:space="preserve"> </w:t>
      </w:r>
      <w:r>
        <w:rPr>
          <w:rtl/>
        </w:rPr>
        <w:t>ويجري مجلس طعون اللاجئين تقييماً شاملاً لجميع ملابسات أية قضية عندما يدعي أي شخص أنه تحول عن ديانته</w:t>
      </w:r>
      <w:r w:rsidR="00FE4A26">
        <w:rPr>
          <w:rStyle w:val="FootnoteReference"/>
          <w:rFonts w:eastAsiaTheme="majorEastAsia"/>
          <w:rtl/>
        </w:rPr>
        <w:t>(</w:t>
      </w:r>
      <w:r w:rsidR="00FE4A26">
        <w:rPr>
          <w:rStyle w:val="FootnoteReference"/>
          <w:rFonts w:eastAsiaTheme="majorEastAsia"/>
          <w:rtl/>
        </w:rPr>
        <w:footnoteReference w:id="21"/>
      </w:r>
      <w:r w:rsidR="00FE4A26">
        <w:rPr>
          <w:rStyle w:val="FootnoteReference"/>
          <w:rFonts w:eastAsiaTheme="majorEastAsia"/>
          <w:rtl/>
        </w:rPr>
        <w:t>)</w:t>
      </w:r>
      <w:r w:rsidR="007B6014">
        <w:rPr>
          <w:rFonts w:hint="cs"/>
          <w:rtl/>
          <w:lang w:val="ar-SA" w:eastAsia="zh-TW"/>
        </w:rPr>
        <w:t>.</w:t>
      </w:r>
    </w:p>
    <w:p w:rsidR="009872E6" w:rsidRDefault="009872E6" w:rsidP="009872E6">
      <w:pPr>
        <w:pStyle w:val="SingleTxtGA"/>
        <w:rPr>
          <w:rtl/>
          <w:lang w:val="ar-SA" w:eastAsia="zh-TW"/>
        </w:rPr>
      </w:pPr>
      <w:r>
        <w:rPr>
          <w:rtl/>
        </w:rPr>
        <w:t>٦-٣</w:t>
      </w:r>
      <w:r w:rsidR="007B6014">
        <w:rPr>
          <w:rtl/>
        </w:rPr>
        <w:tab/>
      </w:r>
      <w:r>
        <w:rPr>
          <w:rtl/>
        </w:rPr>
        <w:t xml:space="preserve">ولا يمكن أن تؤدي الإشارة إلى الحكم الصادر في قضية </w:t>
      </w:r>
      <w:r w:rsidRPr="00A27EA7">
        <w:rPr>
          <w:i/>
          <w:iCs/>
          <w:rtl/>
        </w:rPr>
        <w:t>ف. ج. ضد السويد</w:t>
      </w:r>
      <w:r>
        <w:rPr>
          <w:rtl/>
        </w:rPr>
        <w:t xml:space="preserve"> إلى تقييم مختلف، لأن صاحب البلاغ لم يثبت، في سياق تبرير طلبه اللجوء، احتمال تعرضه للاضطهاد إذا أعيد إلى جمهورية إيران الإسلامية.</w:t>
      </w:r>
      <w:r>
        <w:rPr>
          <w:rFonts w:hint="cs"/>
          <w:rtl/>
        </w:rPr>
        <w:t xml:space="preserve"> </w:t>
      </w:r>
      <w:r>
        <w:rPr>
          <w:rtl/>
        </w:rPr>
        <w:t>ولم يقتنع مجلس طعون اللاجئين بتحول صاحب البلاغ عن ديانته في الواقع.</w:t>
      </w:r>
      <w:r>
        <w:rPr>
          <w:rFonts w:hint="cs"/>
          <w:rtl/>
        </w:rPr>
        <w:t xml:space="preserve"> </w:t>
      </w:r>
      <w:r>
        <w:rPr>
          <w:rtl/>
        </w:rPr>
        <w:t>وعلاوة على ذلك، أجرى المجلس، في قراره الصادر في ٢٨ تموز/</w:t>
      </w:r>
      <w:r w:rsidR="007B6014">
        <w:rPr>
          <w:rFonts w:hint="cs"/>
          <w:rtl/>
        </w:rPr>
        <w:t xml:space="preserve">       </w:t>
      </w:r>
      <w:r>
        <w:rPr>
          <w:rtl/>
        </w:rPr>
        <w:t>يوليه ٢٠١٤، تقييم</w:t>
      </w:r>
      <w:r w:rsidR="00645118">
        <w:rPr>
          <w:rtl/>
        </w:rPr>
        <w:t xml:space="preserve">اً </w:t>
      </w:r>
      <w:r>
        <w:rPr>
          <w:rtl/>
        </w:rPr>
        <w:t>للآثار المترتبة على تحول صاحب البلاغ المزعوم عن ديانته في حالة عودته إلى جمهورية إيران الإسلامية.</w:t>
      </w:r>
      <w:r>
        <w:rPr>
          <w:rFonts w:hint="cs"/>
          <w:rtl/>
        </w:rPr>
        <w:t xml:space="preserve"> </w:t>
      </w:r>
      <w:r>
        <w:rPr>
          <w:rtl/>
        </w:rPr>
        <w:t>وتشير الدولة الطرف أيض</w:t>
      </w:r>
      <w:r w:rsidR="00645118">
        <w:rPr>
          <w:rtl/>
        </w:rPr>
        <w:t xml:space="preserve">اً </w:t>
      </w:r>
      <w:r>
        <w:rPr>
          <w:rtl/>
        </w:rPr>
        <w:t xml:space="preserve">إلى أن تعليل المحكمة الأوروبية في قضية </w:t>
      </w:r>
      <w:r w:rsidRPr="00A27EA7">
        <w:rPr>
          <w:i/>
          <w:iCs/>
          <w:rtl/>
        </w:rPr>
        <w:t>ف. ج. ضد السويد</w:t>
      </w:r>
      <w:r>
        <w:rPr>
          <w:rtl/>
        </w:rPr>
        <w:t xml:space="preserve"> لا يفرض، في جميع الأحوال، التزام</w:t>
      </w:r>
      <w:r w:rsidR="00645118">
        <w:rPr>
          <w:rtl/>
        </w:rPr>
        <w:t xml:space="preserve">اً </w:t>
      </w:r>
      <w:r>
        <w:rPr>
          <w:rtl/>
        </w:rPr>
        <w:t>عام</w:t>
      </w:r>
      <w:r w:rsidR="00645118">
        <w:rPr>
          <w:rtl/>
        </w:rPr>
        <w:t xml:space="preserve">اً </w:t>
      </w:r>
      <w:r>
        <w:rPr>
          <w:rtl/>
        </w:rPr>
        <w:t>على مجلس طعون اللاجئين بإعادة فتح ملفات قضايا اللجوء إذا أُطلع على دليل جديد وثيق الصلة.</w:t>
      </w:r>
    </w:p>
    <w:p w:rsidR="009872E6" w:rsidRDefault="009872E6" w:rsidP="009872E6">
      <w:pPr>
        <w:pStyle w:val="SingleTxtGA"/>
        <w:rPr>
          <w:rtl/>
          <w:lang w:val="ar-SA" w:eastAsia="zh-TW"/>
        </w:rPr>
      </w:pPr>
      <w:r>
        <w:rPr>
          <w:rtl/>
        </w:rPr>
        <w:t>٦-٤</w:t>
      </w:r>
      <w:r w:rsidR="007B6014">
        <w:rPr>
          <w:rtl/>
        </w:rPr>
        <w:tab/>
      </w:r>
      <w:r>
        <w:rPr>
          <w:rtl/>
        </w:rPr>
        <w:t>وتقع سلطة البت في إعادة فتح ملف قضية اللجوء على عاتق رئيس الفريق، وهو الفريق الذي اتخذ في البداية قراراً بشأن الطعن، وذلك إذا لم يوجد، وفقاً لمحتويات طلب إعادة فتح ملف القضية، سبب لافتراض أن مجلس طعون اللاجئين سيغير قراره</w:t>
      </w:r>
      <w:r w:rsidR="00FE4A26">
        <w:rPr>
          <w:rStyle w:val="FootnoteReference"/>
          <w:rFonts w:eastAsiaTheme="majorEastAsia"/>
          <w:rtl/>
        </w:rPr>
        <w:t>(</w:t>
      </w:r>
      <w:r w:rsidR="00FE4A26">
        <w:rPr>
          <w:rStyle w:val="FootnoteReference"/>
          <w:rFonts w:eastAsiaTheme="majorEastAsia"/>
          <w:rtl/>
        </w:rPr>
        <w:footnoteReference w:id="22"/>
      </w:r>
      <w:r w:rsidR="00FE4A26">
        <w:rPr>
          <w:rStyle w:val="FootnoteReference"/>
          <w:rFonts w:eastAsiaTheme="majorEastAsia"/>
          <w:rtl/>
        </w:rPr>
        <w:t>)</w:t>
      </w:r>
      <w:r w:rsidR="00A872C8">
        <w:rPr>
          <w:rFonts w:hint="cs"/>
          <w:rtl/>
        </w:rPr>
        <w:t>.</w:t>
      </w:r>
      <w:r>
        <w:rPr>
          <w:rtl/>
        </w:rPr>
        <w:t xml:space="preserve"> ويجب أن يكون الرئيس قاضياً وعضواً أيضاً في اللجنة التنفيذية للمجلس.</w:t>
      </w:r>
      <w:r>
        <w:rPr>
          <w:rFonts w:hint="cs"/>
          <w:rtl/>
        </w:rPr>
        <w:t xml:space="preserve"> </w:t>
      </w:r>
      <w:r>
        <w:rPr>
          <w:rtl/>
        </w:rPr>
        <w:t>وتقدم أمانة مجلس طعون اللاجئين المساعدة إلى اللجنة التنفيذية في صياغة القرارات، وبعد أن يتخذ رئيس الفريق الأصلي قراراً، يتولى موظف من الأمانة توقيعه وتسليمه إلى طالب اللجوء.</w:t>
      </w:r>
      <w:r>
        <w:rPr>
          <w:rFonts w:hint="cs"/>
          <w:rtl/>
        </w:rPr>
        <w:t xml:space="preserve"> </w:t>
      </w:r>
      <w:r>
        <w:rPr>
          <w:rtl/>
        </w:rPr>
        <w:t>وبناءً على ذلك، فإن القرارات المتعلقة بإعادة فتح ملفات القضايا، رسمياً وعملياً، يتخذها دائماً رئيس الفريق الأصلي، أو</w:t>
      </w:r>
      <w:r w:rsidR="00A872C8">
        <w:rPr>
          <w:rFonts w:hint="cs"/>
          <w:rtl/>
        </w:rPr>
        <w:t> </w:t>
      </w:r>
      <w:r>
        <w:rPr>
          <w:rtl/>
        </w:rPr>
        <w:t>يتخذها في حالات معينة جميع أعضاء الفريق الأصلي.</w:t>
      </w:r>
      <w:r>
        <w:rPr>
          <w:rFonts w:hint="cs"/>
          <w:rtl/>
        </w:rPr>
        <w:t xml:space="preserve"> </w:t>
      </w:r>
      <w:r>
        <w:rPr>
          <w:rtl/>
        </w:rPr>
        <w:t>ولا يغير توقيع القرار من قِبل أحد موظفي الأمانة هذه الحقيقة.</w:t>
      </w:r>
      <w:r>
        <w:rPr>
          <w:rFonts w:hint="cs"/>
          <w:rtl/>
        </w:rPr>
        <w:t xml:space="preserve"> </w:t>
      </w:r>
      <w:r>
        <w:rPr>
          <w:rtl/>
        </w:rPr>
        <w:t>ولذلك فإن التشريعات المتعلقة بالنظر في طلبات إعادة فتح ملفات قضايا اللجوء واضحة ولا تدع أي مجال للشك في اختصاص مجلس طعون اللاجئين، ولذلك لا يوجد أي أساس لادعاء أن قرارات رفض طلبات إعادة فتح ملفات القضايا تُتخذ من قِبل أمانة مجلس طعون اللاجئين.</w:t>
      </w:r>
      <w:r>
        <w:rPr>
          <w:rFonts w:hint="cs"/>
          <w:rtl/>
        </w:rPr>
        <w:t xml:space="preserve"> </w:t>
      </w:r>
      <w:r>
        <w:rPr>
          <w:rtl/>
        </w:rPr>
        <w:t>وبناءً على ذلك، ليس من الصحيح أن يُفترض، وفقاً لادعاء صاحب البلاغ، أن مسألة الدافع الجديد</w:t>
      </w:r>
      <w:r w:rsidR="007B6014">
        <w:rPr>
          <w:rtl/>
        </w:rPr>
        <w:t xml:space="preserve"> </w:t>
      </w:r>
      <w:r>
        <w:rPr>
          <w:rtl/>
        </w:rPr>
        <w:t>المتعلق بطلب اللجوء لم ينظره إلا موظف رفض الطلب</w:t>
      </w:r>
      <w:r>
        <w:rPr>
          <w:szCs w:val="20"/>
          <w:rtl/>
        </w:rPr>
        <w:t xml:space="preserve"> </w:t>
      </w:r>
      <w:r>
        <w:rPr>
          <w:rtl/>
        </w:rPr>
        <w:t>نيابةً عن المجلس.</w:t>
      </w:r>
    </w:p>
    <w:p w:rsidR="009872E6" w:rsidRDefault="009872E6" w:rsidP="009872E6">
      <w:pPr>
        <w:pStyle w:val="SingleTxtGA"/>
        <w:rPr>
          <w:rtl/>
          <w:lang w:val="ar-SA" w:eastAsia="zh-TW"/>
        </w:rPr>
      </w:pPr>
      <w:r>
        <w:rPr>
          <w:rtl/>
        </w:rPr>
        <w:lastRenderedPageBreak/>
        <w:t>٦-٥</w:t>
      </w:r>
      <w:r w:rsidR="007B6014">
        <w:rPr>
          <w:rtl/>
        </w:rPr>
        <w:tab/>
      </w:r>
      <w:r>
        <w:rPr>
          <w:rtl/>
        </w:rPr>
        <w:t xml:space="preserve">وقد أعاد مجلس طعون اللاجئين </w:t>
      </w:r>
      <w:proofErr w:type="spellStart"/>
      <w:r>
        <w:rPr>
          <w:rtl/>
        </w:rPr>
        <w:t>الدانمركي</w:t>
      </w:r>
      <w:proofErr w:type="spellEnd"/>
      <w:r>
        <w:rPr>
          <w:rtl/>
        </w:rPr>
        <w:t xml:space="preserve"> فتح ملفات قضايا أخرى عندما ظهرت معلومات أساسية جديدة بعد جلسة الاستماع الأولية للمجلس.</w:t>
      </w:r>
      <w:r>
        <w:rPr>
          <w:rFonts w:hint="cs"/>
          <w:rtl/>
        </w:rPr>
        <w:t xml:space="preserve"> </w:t>
      </w:r>
      <w:r>
        <w:rPr>
          <w:rtl/>
        </w:rPr>
        <w:t>ولم يأت البلاغ الذي قدمه صاحب البلاغ إلى اللجنة بأي معلومات أساسية جديدة.</w:t>
      </w:r>
      <w:r>
        <w:rPr>
          <w:rFonts w:hint="cs"/>
          <w:rtl/>
        </w:rPr>
        <w:t xml:space="preserve"> </w:t>
      </w:r>
      <w:r>
        <w:rPr>
          <w:rtl/>
        </w:rPr>
        <w:t>ولم يحدد صاحب البلاغ أيضاً أي أوجه تشابه بين القضايا التي استشهد بها وبين قضيته، ولم يشر إلى أي أخطاء أو حالات إغفال في سياق نظر مجلس طعون اللاجئين</w:t>
      </w:r>
      <w:r>
        <w:rPr>
          <w:szCs w:val="20"/>
          <w:rtl/>
        </w:rPr>
        <w:t xml:space="preserve"> </w:t>
      </w:r>
      <w:r>
        <w:rPr>
          <w:rtl/>
        </w:rPr>
        <w:t>في قضيته أو في تقييم الأدلة.</w:t>
      </w:r>
    </w:p>
    <w:p w:rsidR="009872E6" w:rsidRDefault="009872E6" w:rsidP="009872E6">
      <w:pPr>
        <w:pStyle w:val="SingleTxtGA"/>
        <w:rPr>
          <w:rtl/>
          <w:lang w:val="ar-SA" w:eastAsia="zh-TW"/>
        </w:rPr>
      </w:pPr>
      <w:r>
        <w:rPr>
          <w:rtl/>
        </w:rPr>
        <w:t>٦-٦</w:t>
      </w:r>
      <w:r w:rsidR="007B6014">
        <w:rPr>
          <w:rtl/>
        </w:rPr>
        <w:tab/>
      </w:r>
      <w:r>
        <w:rPr>
          <w:rtl/>
        </w:rPr>
        <w:t xml:space="preserve">وقد راعى مجلس طعون اللاجئين </w:t>
      </w:r>
      <w:proofErr w:type="spellStart"/>
      <w:r>
        <w:rPr>
          <w:rtl/>
        </w:rPr>
        <w:t>الدانمركي</w:t>
      </w:r>
      <w:proofErr w:type="spellEnd"/>
      <w:r>
        <w:rPr>
          <w:rtl/>
        </w:rPr>
        <w:t xml:space="preserve"> عند إصدار قراره جميع المعلومات ذات الصلة.</w:t>
      </w:r>
      <w:r>
        <w:rPr>
          <w:rFonts w:hint="cs"/>
          <w:rtl/>
        </w:rPr>
        <w:t xml:space="preserve"> </w:t>
      </w:r>
      <w:r>
        <w:rPr>
          <w:rtl/>
        </w:rPr>
        <w:t>ووفقاً للأحكام السابقة التي استقرت عليها اللجنة</w:t>
      </w:r>
      <w:r w:rsidR="00FE4A26">
        <w:rPr>
          <w:rStyle w:val="FootnoteReference"/>
          <w:rFonts w:eastAsiaTheme="majorEastAsia"/>
          <w:rtl/>
        </w:rPr>
        <w:t>(</w:t>
      </w:r>
      <w:r w:rsidR="00FE4A26">
        <w:rPr>
          <w:rStyle w:val="FootnoteReference"/>
          <w:rFonts w:eastAsiaTheme="majorEastAsia"/>
          <w:rtl/>
        </w:rPr>
        <w:footnoteReference w:id="23"/>
      </w:r>
      <w:r w:rsidR="00FE4A26">
        <w:rPr>
          <w:rStyle w:val="FootnoteReference"/>
          <w:rFonts w:eastAsiaTheme="majorEastAsia"/>
          <w:rtl/>
        </w:rPr>
        <w:t>)</w:t>
      </w:r>
      <w:r w:rsidR="007B6014">
        <w:rPr>
          <w:rFonts w:hint="cs"/>
          <w:rtl/>
        </w:rPr>
        <w:t>،</w:t>
      </w:r>
      <w:r>
        <w:rPr>
          <w:rtl/>
        </w:rPr>
        <w:t xml:space="preserve"> يجب إيلاء أهمية كبيرة للتقييم الذي تجريه الدولة الطرف، ويقع على عاتقها بوجه عام مراجعة وتقييم الوقائع والأدلة ما لم يتبين أن التقييم كان ظاهر التعسف أو يصل إلى مستوى إنكار العدالة. ويحاول صاحب البلاغ في هذه القضية استخدام اللجنة كهيئة استئنافية تعيد تقييم الظروف </w:t>
      </w:r>
      <w:proofErr w:type="spellStart"/>
      <w:r>
        <w:rPr>
          <w:rtl/>
        </w:rPr>
        <w:t>الوقائعية</w:t>
      </w:r>
      <w:proofErr w:type="spellEnd"/>
      <w:r>
        <w:rPr>
          <w:rtl/>
        </w:rPr>
        <w:t xml:space="preserve"> التي يستند إليها لدعم طلبه اللجوء.</w:t>
      </w:r>
      <w:r>
        <w:rPr>
          <w:rFonts w:hint="cs"/>
          <w:rtl/>
        </w:rPr>
        <w:t xml:space="preserve"> </w:t>
      </w:r>
      <w:r>
        <w:rPr>
          <w:rtl/>
        </w:rPr>
        <w:t>ولم يبين صاحب البلاغ أيضاً أي مخالفة في عملية اتخاذ القرار أو أي عوامل خطر لم يأخذها المجلس في اعتباره على النحو الواجب.</w:t>
      </w:r>
      <w:r>
        <w:rPr>
          <w:rFonts w:hint="cs"/>
          <w:rtl/>
        </w:rPr>
        <w:t xml:space="preserve"> </w:t>
      </w:r>
      <w:r>
        <w:rPr>
          <w:rtl/>
        </w:rPr>
        <w:t>وفي ضوء ما تقدم، فإن إعادة صاحب البلاغ إلى جمهورية إيران الإسلامية لا يشكل انتهاكاً للمادة</w:t>
      </w:r>
      <w:r>
        <w:rPr>
          <w:rFonts w:hint="cs"/>
          <w:rtl/>
        </w:rPr>
        <w:t xml:space="preserve"> </w:t>
      </w:r>
      <w:r>
        <w:rPr>
          <w:rtl/>
        </w:rPr>
        <w:t>6 أو</w:t>
      </w:r>
      <w:r>
        <w:rPr>
          <w:rFonts w:hint="cs"/>
          <w:rtl/>
        </w:rPr>
        <w:t xml:space="preserve"> </w:t>
      </w:r>
      <w:r>
        <w:rPr>
          <w:rtl/>
        </w:rPr>
        <w:t>7 من العهد.</w:t>
      </w:r>
    </w:p>
    <w:p w:rsidR="009872E6" w:rsidRDefault="007B6014" w:rsidP="007B6014">
      <w:pPr>
        <w:pStyle w:val="H23GA"/>
        <w:rPr>
          <w:rtl/>
          <w:lang w:val="ar-SA" w:eastAsia="zh-TW"/>
        </w:rPr>
      </w:pPr>
      <w:r>
        <w:rPr>
          <w:rtl/>
        </w:rPr>
        <w:tab/>
      </w:r>
      <w:r>
        <w:rPr>
          <w:rtl/>
        </w:rPr>
        <w:tab/>
      </w:r>
      <w:r w:rsidR="009872E6">
        <w:rPr>
          <w:rtl/>
        </w:rPr>
        <w:t>القضايا والإجراءات المعروضة على اللجنة</w:t>
      </w:r>
    </w:p>
    <w:p w:rsidR="009872E6" w:rsidRDefault="007B6014" w:rsidP="007B6014">
      <w:pPr>
        <w:pStyle w:val="H4GA"/>
        <w:rPr>
          <w:rtl/>
          <w:lang w:val="ar-SA" w:eastAsia="zh-TW"/>
        </w:rPr>
      </w:pPr>
      <w:r>
        <w:rPr>
          <w:rtl/>
        </w:rPr>
        <w:tab/>
      </w:r>
      <w:r>
        <w:rPr>
          <w:rtl/>
        </w:rPr>
        <w:tab/>
      </w:r>
      <w:r w:rsidR="009872E6">
        <w:rPr>
          <w:rtl/>
        </w:rPr>
        <w:t>النظر في المقبولية</w:t>
      </w:r>
    </w:p>
    <w:p w:rsidR="009872E6" w:rsidRDefault="009872E6" w:rsidP="009872E6">
      <w:pPr>
        <w:pStyle w:val="SingleTxtGA"/>
        <w:rPr>
          <w:rtl/>
          <w:lang w:val="ar-SA" w:eastAsia="zh-TW"/>
        </w:rPr>
      </w:pPr>
      <w:r>
        <w:rPr>
          <w:rtl/>
        </w:rPr>
        <w:t>٧-١</w:t>
      </w:r>
      <w:r w:rsidR="007B6014">
        <w:rPr>
          <w:rtl/>
        </w:rPr>
        <w:tab/>
      </w:r>
      <w:r>
        <w:rPr>
          <w:rtl/>
        </w:rPr>
        <w:t>قبل النظر في أي ادعاءات ترد في بلاغ ما، يجب على اللجنة أن تقرر، وفقاً للمادة</w:t>
      </w:r>
      <w:r w:rsidR="007B6014">
        <w:rPr>
          <w:rFonts w:hint="eastAsia"/>
          <w:rtl/>
        </w:rPr>
        <w:t> </w:t>
      </w:r>
      <w:r>
        <w:rPr>
          <w:rtl/>
          <w:lang w:bidi="ar-DZ"/>
        </w:rPr>
        <w:t>93</w:t>
      </w:r>
      <w:r>
        <w:rPr>
          <w:rtl/>
        </w:rPr>
        <w:t xml:space="preserve"> من نظامها الداخلي، ما إذا كان البلاغ مقبولاً أم لا بموجب البروتوكول الاختياري.</w:t>
      </w:r>
    </w:p>
    <w:p w:rsidR="009872E6" w:rsidRDefault="009872E6" w:rsidP="009872E6">
      <w:pPr>
        <w:pStyle w:val="SingleTxtGA"/>
        <w:rPr>
          <w:rtl/>
          <w:lang w:val="ar-SA" w:eastAsia="zh-TW"/>
        </w:rPr>
      </w:pPr>
      <w:r>
        <w:rPr>
          <w:rtl/>
        </w:rPr>
        <w:t>٧-٢</w:t>
      </w:r>
      <w:r w:rsidR="007B6014">
        <w:rPr>
          <w:rtl/>
        </w:rPr>
        <w:tab/>
      </w:r>
      <w:r>
        <w:rPr>
          <w:rtl/>
        </w:rPr>
        <w:t>وقد تأكدت اللجنة، وفقاً لما تقتضيه الفقرة (2)(أ) من المادة</w:t>
      </w:r>
      <w:r>
        <w:rPr>
          <w:rFonts w:hint="cs"/>
          <w:rtl/>
        </w:rPr>
        <w:t xml:space="preserve"> </w:t>
      </w:r>
      <w:r>
        <w:rPr>
          <w:rtl/>
        </w:rPr>
        <w:t>5 من البروتوكول الاختياري، من أن المسألة ذاتها ليست قيد النظر في إطار أي إجراء آخر من إجراءات التحقيق الدولي أو التسوية الدولية.</w:t>
      </w:r>
    </w:p>
    <w:p w:rsidR="009872E6" w:rsidRDefault="009872E6" w:rsidP="009872E6">
      <w:pPr>
        <w:pStyle w:val="SingleTxtGA"/>
        <w:rPr>
          <w:rtl/>
          <w:lang w:val="ar-SA" w:eastAsia="zh-TW"/>
        </w:rPr>
      </w:pPr>
      <w:r>
        <w:rPr>
          <w:rtl/>
        </w:rPr>
        <w:t>٧-٣</w:t>
      </w:r>
      <w:r w:rsidR="007B6014">
        <w:rPr>
          <w:rtl/>
        </w:rPr>
        <w:tab/>
      </w:r>
      <w:r>
        <w:rPr>
          <w:rtl/>
        </w:rPr>
        <w:t>وتلاحظ اللجنة ادعاء صاحب البلاغ أنه استنفد جميع سُبُل الانتصاف المحلية الفعالة المتاحة له.</w:t>
      </w:r>
      <w:r>
        <w:rPr>
          <w:rFonts w:hint="cs"/>
          <w:rtl/>
        </w:rPr>
        <w:t xml:space="preserve"> </w:t>
      </w:r>
      <w:r>
        <w:rPr>
          <w:rtl/>
        </w:rPr>
        <w:t>ونظراً إلى عدم ورود أي اعتراض من الدولة الطرف في هذا الصدد، لا تجد اللجنة ما</w:t>
      </w:r>
      <w:r w:rsidR="007B6014">
        <w:rPr>
          <w:rFonts w:hint="cs"/>
          <w:rtl/>
        </w:rPr>
        <w:t> </w:t>
      </w:r>
      <w:r>
        <w:rPr>
          <w:rtl/>
        </w:rPr>
        <w:t>يمنعها من النظر في البلاغ بموجب الفقرة (2)(ب) من المادة</w:t>
      </w:r>
      <w:r>
        <w:rPr>
          <w:rFonts w:hint="cs"/>
          <w:rtl/>
        </w:rPr>
        <w:t xml:space="preserve"> </w:t>
      </w:r>
      <w:r>
        <w:rPr>
          <w:rtl/>
        </w:rPr>
        <w:t>5 من البروتوكول الاختياري.</w:t>
      </w:r>
    </w:p>
    <w:p w:rsidR="009872E6" w:rsidRDefault="009872E6" w:rsidP="009872E6">
      <w:pPr>
        <w:pStyle w:val="SingleTxtGA"/>
        <w:rPr>
          <w:rtl/>
          <w:lang w:val="ar-SA" w:eastAsia="zh-TW"/>
        </w:rPr>
      </w:pPr>
      <w:r>
        <w:rPr>
          <w:rtl/>
        </w:rPr>
        <w:t>٧-٤</w:t>
      </w:r>
      <w:r w:rsidR="007B6014">
        <w:rPr>
          <w:rtl/>
        </w:rPr>
        <w:tab/>
      </w:r>
      <w:r>
        <w:rPr>
          <w:rtl/>
        </w:rPr>
        <w:t xml:space="preserve">وتحيط اللجنة علماً بادعاء صاحب البلاغ أنه تعرض للتمييز كطالب لجوء لأن قرارات مجلس طعون اللاجئين </w:t>
      </w:r>
      <w:proofErr w:type="spellStart"/>
      <w:r>
        <w:rPr>
          <w:rtl/>
        </w:rPr>
        <w:t>الدانمركي</w:t>
      </w:r>
      <w:proofErr w:type="spellEnd"/>
      <w:r>
        <w:rPr>
          <w:rtl/>
        </w:rPr>
        <w:t xml:space="preserve"> هي القرارات الوحيدة التي تصبح نهائية دون إمكانية الطعن فيها في المحاكم، وأن الدولة الطرف قد انتهكت بذلك المواد</w:t>
      </w:r>
      <w:r>
        <w:rPr>
          <w:rFonts w:hint="cs"/>
          <w:rtl/>
        </w:rPr>
        <w:t xml:space="preserve"> </w:t>
      </w:r>
      <w:r>
        <w:rPr>
          <w:rtl/>
        </w:rPr>
        <w:t>2 و13 و14 و26 من العهد.</w:t>
      </w:r>
      <w:r>
        <w:rPr>
          <w:rFonts w:hint="cs"/>
          <w:rtl/>
        </w:rPr>
        <w:t xml:space="preserve"> </w:t>
      </w:r>
      <w:r>
        <w:rPr>
          <w:rtl/>
        </w:rPr>
        <w:t xml:space="preserve">وفي هذا الصدد، تشير اللجنة إلى آرائها السابقة التي ذهبت فيها إلى أن الإجراءات المتعلقة بطرد الأجانب لا تندرج في نطاق </w:t>
      </w:r>
      <w:proofErr w:type="gramStart"/>
      <w:r>
        <w:rPr>
          <w:rtl/>
        </w:rPr>
        <w:t xml:space="preserve">تحديد </w:t>
      </w:r>
      <w:r w:rsidR="00A27EA7">
        <w:rPr>
          <w:rtl/>
        </w:rPr>
        <w:t>”</w:t>
      </w:r>
      <w:r>
        <w:rPr>
          <w:rtl/>
        </w:rPr>
        <w:t>الحقوق</w:t>
      </w:r>
      <w:proofErr w:type="gramEnd"/>
      <w:r>
        <w:rPr>
          <w:rtl/>
        </w:rPr>
        <w:t xml:space="preserve"> والواجبات في إطار دعوى قضائية</w:t>
      </w:r>
      <w:r w:rsidR="00A27EA7">
        <w:rPr>
          <w:rtl/>
        </w:rPr>
        <w:t>“</w:t>
      </w:r>
      <w:r>
        <w:rPr>
          <w:rtl/>
        </w:rPr>
        <w:t xml:space="preserve"> بالمعنى المقصود في المادة</w:t>
      </w:r>
      <w:r>
        <w:rPr>
          <w:rFonts w:hint="cs"/>
          <w:rtl/>
        </w:rPr>
        <w:t xml:space="preserve"> </w:t>
      </w:r>
      <w:r>
        <w:rPr>
          <w:rtl/>
          <w:lang w:bidi="ar-DZ"/>
        </w:rPr>
        <w:t>14</w:t>
      </w:r>
      <w:r>
        <w:rPr>
          <w:rtl/>
        </w:rPr>
        <w:t>، بل تخضع لأحكام المادة 13 من العهد</w:t>
      </w:r>
      <w:r w:rsidR="00FE4A26">
        <w:rPr>
          <w:rStyle w:val="FootnoteReference"/>
          <w:rFonts w:eastAsiaTheme="majorEastAsia"/>
          <w:rtl/>
        </w:rPr>
        <w:t>(</w:t>
      </w:r>
      <w:r w:rsidR="00FE4A26">
        <w:rPr>
          <w:rStyle w:val="FootnoteReference"/>
          <w:rFonts w:eastAsiaTheme="majorEastAsia"/>
          <w:rtl/>
        </w:rPr>
        <w:footnoteReference w:id="24"/>
      </w:r>
      <w:r w:rsidR="00FE4A26">
        <w:rPr>
          <w:rStyle w:val="FootnoteReference"/>
          <w:rFonts w:eastAsiaTheme="majorEastAsia"/>
          <w:rtl/>
        </w:rPr>
        <w:t>)</w:t>
      </w:r>
      <w:r w:rsidR="007B6014">
        <w:rPr>
          <w:rFonts w:hint="cs"/>
          <w:rtl/>
        </w:rPr>
        <w:t>.</w:t>
      </w:r>
      <w:r>
        <w:rPr>
          <w:rtl/>
        </w:rPr>
        <w:t xml:space="preserve"> وتوفر المادة</w:t>
      </w:r>
      <w:r w:rsidR="007B6014">
        <w:rPr>
          <w:rFonts w:hint="cs"/>
          <w:rtl/>
        </w:rPr>
        <w:t xml:space="preserve"> </w:t>
      </w:r>
      <w:r>
        <w:rPr>
          <w:rtl/>
          <w:lang w:bidi="ar-DZ"/>
        </w:rPr>
        <w:t>13</w:t>
      </w:r>
      <w:r>
        <w:rPr>
          <w:rtl/>
        </w:rPr>
        <w:t xml:space="preserve"> من العهد بعض الحماية التي تمنحها المادة</w:t>
      </w:r>
      <w:r w:rsidR="007B6014">
        <w:rPr>
          <w:rFonts w:hint="cs"/>
          <w:rtl/>
        </w:rPr>
        <w:t xml:space="preserve"> </w:t>
      </w:r>
      <w:r>
        <w:rPr>
          <w:rtl/>
          <w:lang w:bidi="ar-DZ"/>
        </w:rPr>
        <w:t>14</w:t>
      </w:r>
      <w:r w:rsidR="00A872C8">
        <w:rPr>
          <w:rFonts w:hint="cs"/>
          <w:rtl/>
        </w:rPr>
        <w:t xml:space="preserve"> </w:t>
      </w:r>
      <w:r>
        <w:rPr>
          <w:rtl/>
        </w:rPr>
        <w:t xml:space="preserve">منه، ولكنها لا تحمي في ذاتها الحق في الطعن أمام </w:t>
      </w:r>
      <w:r>
        <w:rPr>
          <w:rtl/>
        </w:rPr>
        <w:lastRenderedPageBreak/>
        <w:t>المحاكم</w:t>
      </w:r>
      <w:r w:rsidR="00FE4A26">
        <w:rPr>
          <w:rStyle w:val="FootnoteReference"/>
          <w:rFonts w:eastAsiaTheme="majorEastAsia"/>
          <w:rtl/>
        </w:rPr>
        <w:t>(</w:t>
      </w:r>
      <w:r w:rsidR="00FE4A26">
        <w:rPr>
          <w:rStyle w:val="FootnoteReference"/>
          <w:rFonts w:eastAsiaTheme="majorEastAsia"/>
          <w:rtl/>
        </w:rPr>
        <w:footnoteReference w:id="25"/>
      </w:r>
      <w:r w:rsidR="00FE4A26">
        <w:rPr>
          <w:rStyle w:val="FootnoteReference"/>
          <w:rFonts w:eastAsiaTheme="majorEastAsia"/>
          <w:rtl/>
        </w:rPr>
        <w:t>)</w:t>
      </w:r>
      <w:r w:rsidR="00E50B2D">
        <w:rPr>
          <w:rFonts w:hint="cs"/>
          <w:rtl/>
        </w:rPr>
        <w:t xml:space="preserve">. </w:t>
      </w:r>
      <w:r>
        <w:rPr>
          <w:rtl/>
        </w:rPr>
        <w:t>وترى اللجنة أن هذا الجزء من البلاغ لا تدعمه أدلة كافية لأغراض المقبولية، وتعلن عدم مقبوليته بموجب المادة</w:t>
      </w:r>
      <w:r>
        <w:rPr>
          <w:rFonts w:hint="cs"/>
          <w:rtl/>
        </w:rPr>
        <w:t xml:space="preserve"> </w:t>
      </w:r>
      <w:r>
        <w:rPr>
          <w:rtl/>
        </w:rPr>
        <w:t>2 من البروتوكول الاختياري</w:t>
      </w:r>
      <w:r w:rsidR="00FE4A26">
        <w:rPr>
          <w:rStyle w:val="FootnoteReference"/>
          <w:rFonts w:eastAsiaTheme="majorEastAsia"/>
          <w:rtl/>
        </w:rPr>
        <w:t>(</w:t>
      </w:r>
      <w:r w:rsidR="00FE4A26">
        <w:rPr>
          <w:rStyle w:val="FootnoteReference"/>
          <w:rFonts w:eastAsiaTheme="majorEastAsia"/>
          <w:rtl/>
        </w:rPr>
        <w:footnoteReference w:id="26"/>
      </w:r>
      <w:r w:rsidR="00FE4A26">
        <w:rPr>
          <w:rStyle w:val="FootnoteReference"/>
          <w:rFonts w:eastAsiaTheme="majorEastAsia"/>
          <w:rtl/>
        </w:rPr>
        <w:t>)</w:t>
      </w:r>
      <w:r w:rsidR="00E50B2D">
        <w:rPr>
          <w:rFonts w:hint="cs"/>
          <w:rtl/>
          <w:lang w:val="ar-SA" w:eastAsia="zh-TW"/>
        </w:rPr>
        <w:t>.</w:t>
      </w:r>
    </w:p>
    <w:p w:rsidR="009872E6" w:rsidRDefault="009872E6" w:rsidP="009872E6">
      <w:pPr>
        <w:pStyle w:val="SingleTxtGA"/>
        <w:rPr>
          <w:rtl/>
          <w:lang w:val="ar-SA" w:eastAsia="zh-TW" w:bidi="ar-DZ"/>
        </w:rPr>
      </w:pPr>
      <w:r>
        <w:rPr>
          <w:rtl/>
        </w:rPr>
        <w:t>٧-٥</w:t>
      </w:r>
      <w:r w:rsidR="00E50B2D">
        <w:rPr>
          <w:rtl/>
        </w:rPr>
        <w:tab/>
      </w:r>
      <w:r>
        <w:rPr>
          <w:rtl/>
        </w:rPr>
        <w:t>وتلاحظ اللجنة كذلك ادعاء صاحب البلاغ أن قرار المجلس عدم إعادة فتح الدعوى ينتهك المادتين ٦ و٧ من العهد (الفقرتان 5-2 و5-3) لأن القرار اعتمده رئيس الفريق الذي</w:t>
      </w:r>
      <w:r>
        <w:rPr>
          <w:rtl/>
          <w:lang w:bidi="ar-DZ"/>
        </w:rPr>
        <w:t xml:space="preserve"> نظر في</w:t>
      </w:r>
      <w:r>
        <w:rPr>
          <w:rtl/>
        </w:rPr>
        <w:t xml:space="preserve"> الطعن، وهو أيضاً عضو في الأمانة، دون الاستماع إلى صاحب البلاغ.</w:t>
      </w:r>
      <w:r>
        <w:rPr>
          <w:rFonts w:hint="cs"/>
          <w:rtl/>
        </w:rPr>
        <w:t xml:space="preserve"> </w:t>
      </w:r>
      <w:r>
        <w:rPr>
          <w:rtl/>
        </w:rPr>
        <w:t>بيد أن اللجنة ترى أن صاحب البلاغ لم يبرر كيف أثر ذلك في حد ذاته على حقوقه التي تكفلها الأحكام ذات الصلة.</w:t>
      </w:r>
      <w:r>
        <w:rPr>
          <w:rFonts w:hint="cs"/>
          <w:rtl/>
        </w:rPr>
        <w:t xml:space="preserve"> </w:t>
      </w:r>
      <w:r>
        <w:rPr>
          <w:rtl/>
        </w:rPr>
        <w:t>وعليه، ترى اللجنة أن هذا الادعاء لا تدعمه أدلة كافية لأغراض المقبولية، وتعلن عدم مقبوليته بموجب المادة</w:t>
      </w:r>
      <w:r>
        <w:rPr>
          <w:rFonts w:hint="cs"/>
          <w:rtl/>
        </w:rPr>
        <w:t xml:space="preserve"> </w:t>
      </w:r>
      <w:r>
        <w:rPr>
          <w:rtl/>
        </w:rPr>
        <w:t>2 من البروتوكول الاختياري.</w:t>
      </w:r>
    </w:p>
    <w:p w:rsidR="009872E6" w:rsidRDefault="009872E6" w:rsidP="009872E6">
      <w:pPr>
        <w:pStyle w:val="SingleTxtGA"/>
        <w:rPr>
          <w:rtl/>
          <w:lang w:val="ar-SA" w:eastAsia="zh-TW"/>
        </w:rPr>
      </w:pPr>
      <w:r>
        <w:rPr>
          <w:rtl/>
        </w:rPr>
        <w:t>٧-٦</w:t>
      </w:r>
      <w:r w:rsidR="00E50B2D">
        <w:rPr>
          <w:rtl/>
        </w:rPr>
        <w:tab/>
      </w:r>
      <w:r>
        <w:rPr>
          <w:rtl/>
        </w:rPr>
        <w:t>وأخيراً، تلاحظ اللجنة طعن الدولة الطرف في المقبولية على أساس أن ادعاء صاحب البلاغ بموجب المادتين</w:t>
      </w:r>
      <w:r>
        <w:rPr>
          <w:rFonts w:hint="cs"/>
          <w:rtl/>
        </w:rPr>
        <w:t xml:space="preserve"> </w:t>
      </w:r>
      <w:r>
        <w:rPr>
          <w:rtl/>
        </w:rPr>
        <w:t>6</w:t>
      </w:r>
      <w:r>
        <w:rPr>
          <w:rFonts w:hint="cs"/>
          <w:rtl/>
        </w:rPr>
        <w:t xml:space="preserve"> </w:t>
      </w:r>
      <w:r>
        <w:rPr>
          <w:rtl/>
        </w:rPr>
        <w:t>و7 من العهد، المستند إلى وجود خطر مدعى على حياته وسلامته، لا تدعمه أدلة.</w:t>
      </w:r>
      <w:r>
        <w:rPr>
          <w:rFonts w:hint="cs"/>
          <w:rtl/>
        </w:rPr>
        <w:t xml:space="preserve"> </w:t>
      </w:r>
      <w:r>
        <w:rPr>
          <w:rtl/>
        </w:rPr>
        <w:t>غير أن اللجنة ترى أن صاحب البلاغ قدم، لأغراض المقبولية، شرحاً وافياً للأسباب التي تجعله يخشى أن تفضي إعادته قسراً إلى جمهورية إيران الإسلامية إلى خطر التعرض لمعاملة تتنافى والمادتين</w:t>
      </w:r>
      <w:r>
        <w:rPr>
          <w:rFonts w:hint="cs"/>
          <w:rtl/>
        </w:rPr>
        <w:t xml:space="preserve"> </w:t>
      </w:r>
      <w:r>
        <w:rPr>
          <w:rtl/>
        </w:rPr>
        <w:t>6</w:t>
      </w:r>
      <w:r>
        <w:rPr>
          <w:rFonts w:hint="cs"/>
          <w:rtl/>
        </w:rPr>
        <w:t xml:space="preserve"> </w:t>
      </w:r>
      <w:r>
        <w:rPr>
          <w:rtl/>
        </w:rPr>
        <w:t>و7 من العهد بسبب تحوله إلى المسيحية.</w:t>
      </w:r>
      <w:r>
        <w:rPr>
          <w:rFonts w:hint="cs"/>
          <w:rtl/>
        </w:rPr>
        <w:t xml:space="preserve"> </w:t>
      </w:r>
      <w:r>
        <w:rPr>
          <w:rtl/>
        </w:rPr>
        <w:t>وبناءً على ذلك، تعلن اللجنة مقبولية البلاغ من حيث إنه يطرح مسائل تندرج ضمن المادتين</w:t>
      </w:r>
      <w:r w:rsidR="007B6014">
        <w:rPr>
          <w:rFonts w:hint="cs"/>
          <w:rtl/>
        </w:rPr>
        <w:t xml:space="preserve"> </w:t>
      </w:r>
      <w:r>
        <w:rPr>
          <w:rtl/>
          <w:lang w:bidi="ar-DZ"/>
        </w:rPr>
        <w:t>6 و7 م</w:t>
      </w:r>
      <w:r>
        <w:rPr>
          <w:rtl/>
        </w:rPr>
        <w:t>ن العهد، وتنتقل إلى النظر في أسسه الموضوعية.</w:t>
      </w:r>
    </w:p>
    <w:p w:rsidR="009872E6" w:rsidRDefault="00E50B2D" w:rsidP="00E50B2D">
      <w:pPr>
        <w:pStyle w:val="H4GA"/>
        <w:rPr>
          <w:rtl/>
          <w:lang w:val="ar-SA" w:eastAsia="zh-TW"/>
        </w:rPr>
      </w:pPr>
      <w:r>
        <w:rPr>
          <w:rtl/>
        </w:rPr>
        <w:tab/>
      </w:r>
      <w:r>
        <w:rPr>
          <w:rtl/>
        </w:rPr>
        <w:tab/>
      </w:r>
      <w:r w:rsidR="009872E6">
        <w:rPr>
          <w:rtl/>
        </w:rPr>
        <w:t>النظر في الأسس الموضوعية</w:t>
      </w:r>
    </w:p>
    <w:p w:rsidR="009872E6" w:rsidRDefault="009872E6" w:rsidP="009872E6">
      <w:pPr>
        <w:pStyle w:val="SingleTxtGA"/>
        <w:rPr>
          <w:rtl/>
          <w:lang w:val="ar-SA" w:eastAsia="zh-TW"/>
        </w:rPr>
      </w:pPr>
      <w:r>
        <w:rPr>
          <w:rtl/>
        </w:rPr>
        <w:t>٨-١</w:t>
      </w:r>
      <w:r w:rsidR="00E50B2D">
        <w:rPr>
          <w:rtl/>
        </w:rPr>
        <w:tab/>
      </w:r>
      <w:r>
        <w:rPr>
          <w:rtl/>
        </w:rPr>
        <w:t>نظرت اللجنة في البلاغ في ضوء جميع المعلومات التي أتاحها لها الطرفان، على النحو المنصوص عليه في المادة 5(1) من البروتوكول الاختياري.</w:t>
      </w:r>
    </w:p>
    <w:p w:rsidR="009872E6" w:rsidRDefault="009872E6" w:rsidP="009872E6">
      <w:pPr>
        <w:pStyle w:val="SingleTxtGA"/>
        <w:rPr>
          <w:rtl/>
          <w:lang w:val="ar-SA" w:eastAsia="zh-TW"/>
        </w:rPr>
      </w:pPr>
      <w:r>
        <w:rPr>
          <w:rtl/>
        </w:rPr>
        <w:t>٨-٢</w:t>
      </w:r>
      <w:r w:rsidR="00E50B2D">
        <w:rPr>
          <w:rtl/>
        </w:rPr>
        <w:tab/>
      </w:r>
      <w:r>
        <w:rPr>
          <w:rtl/>
        </w:rPr>
        <w:t>وتلاحظ اللجنة الادعاء الأولي لصاحب البلاغ أن إعادته إلى جمهورية إيران الإسلامية ستعرضه لخطر الضرر الذي لا يمكن جبره، مما يشكل انتهاكاً للمادتين 6</w:t>
      </w:r>
      <w:r>
        <w:rPr>
          <w:rFonts w:hint="cs"/>
          <w:rtl/>
        </w:rPr>
        <w:t xml:space="preserve"> </w:t>
      </w:r>
      <w:r>
        <w:rPr>
          <w:rtl/>
        </w:rPr>
        <w:t>و7 من العهد.</w:t>
      </w:r>
      <w:r>
        <w:rPr>
          <w:rFonts w:hint="cs"/>
          <w:rtl/>
        </w:rPr>
        <w:t xml:space="preserve"> </w:t>
      </w:r>
      <w:r>
        <w:rPr>
          <w:rtl/>
        </w:rPr>
        <w:t>وهو يدعي أنه سيتعرض للاضطهاد من جانب السلطات الإيرانية بسبب تحوله من الإسلام إلى المسيحية.</w:t>
      </w:r>
      <w:r>
        <w:rPr>
          <w:rFonts w:hint="cs"/>
          <w:rtl/>
        </w:rPr>
        <w:t xml:space="preserve"> </w:t>
      </w:r>
      <w:r>
        <w:rPr>
          <w:rtl/>
        </w:rPr>
        <w:t>ومع ذلك، تلاحظ اللجنة أن صاحب البلاغ لم يقدم أي معلومات إضافية، بعد ترحيله إلى جمهورية إيران الإسلامية في ٣٠ تموز/يوليه ٢٠١٤، بشأن أي انتهاك للعهد نشأ تحديداً بعد ترحيله ونتيجة له.</w:t>
      </w:r>
      <w:r>
        <w:rPr>
          <w:rFonts w:hint="cs"/>
          <w:rtl/>
        </w:rPr>
        <w:t xml:space="preserve"> </w:t>
      </w:r>
      <w:r>
        <w:rPr>
          <w:rtl/>
        </w:rPr>
        <w:t>وعلاوةً على ذلك، بالنظر إلى أن شكوى صاحب البلاغ أمام اللجنة تدور حول تحوله عن ديانته، لن تنظر اللجنة في الادعاءات التي قدمها صاحب البلاغ إلى السلطات الدانمركية فيما يتعلق بالأنشطة التي يدعي أنه باشرها في الجمهورية العربية السورية.</w:t>
      </w:r>
    </w:p>
    <w:p w:rsidR="009872E6" w:rsidRDefault="009872E6" w:rsidP="009872E6">
      <w:pPr>
        <w:pStyle w:val="SingleTxtGA"/>
        <w:rPr>
          <w:rtl/>
          <w:lang w:val="ar-SA" w:eastAsia="zh-TW"/>
        </w:rPr>
      </w:pPr>
      <w:r>
        <w:rPr>
          <w:rtl/>
        </w:rPr>
        <w:t>٨-٣</w:t>
      </w:r>
      <w:r w:rsidR="00E50B2D">
        <w:rPr>
          <w:rtl/>
        </w:rPr>
        <w:tab/>
      </w:r>
      <w:r>
        <w:rPr>
          <w:rtl/>
        </w:rPr>
        <w:t>وتُذكّر اللجنة بتعليقها العام رقم ٣١(٢٠٠٤) بشأن طبيعة الالتزام القانوني العام المفروض على الدول الأطراف في العهد، الذي تشير فيه إلى التزام الدول الأطراف بعدم تسليم أي شخص أو إبعاده أو طرده بأي طريقة أخرى من إقليمها إذا وُجدت مبررات وجيهة تحمل على الاعتقاد بوجود خطر حقيقي في أن يتعرض هذا الشخص لضرر لا يمكن جبره، كالضرر المتصور في المادتين ٦ و٧ من العهد (الفقرة ١٢).</w:t>
      </w:r>
      <w:r>
        <w:rPr>
          <w:rFonts w:hint="cs"/>
          <w:rtl/>
        </w:rPr>
        <w:t xml:space="preserve"> </w:t>
      </w:r>
      <w:r>
        <w:rPr>
          <w:rtl/>
        </w:rPr>
        <w:t xml:space="preserve">وأشارت اللجنة أيضاً إلى أن الخطر يجب أن </w:t>
      </w:r>
      <w:r>
        <w:rPr>
          <w:rtl/>
        </w:rPr>
        <w:lastRenderedPageBreak/>
        <w:t>يكون شخصياً</w:t>
      </w:r>
      <w:r w:rsidR="00FE4A26">
        <w:rPr>
          <w:rStyle w:val="FootnoteReference"/>
          <w:rFonts w:eastAsiaTheme="majorEastAsia"/>
          <w:rtl/>
        </w:rPr>
        <w:t>(</w:t>
      </w:r>
      <w:r w:rsidR="00FE4A26">
        <w:rPr>
          <w:rStyle w:val="FootnoteReference"/>
          <w:rFonts w:eastAsiaTheme="majorEastAsia"/>
          <w:rtl/>
        </w:rPr>
        <w:footnoteReference w:id="27"/>
      </w:r>
      <w:r w:rsidR="00FE4A26">
        <w:rPr>
          <w:rStyle w:val="FootnoteReference"/>
          <w:rFonts w:eastAsiaTheme="majorEastAsia"/>
          <w:rtl/>
        </w:rPr>
        <w:t>)</w:t>
      </w:r>
      <w:r>
        <w:rPr>
          <w:rtl/>
        </w:rPr>
        <w:t xml:space="preserve"> وأن توجد اشتراطات صارمة لإيراد أسباب وجيهة تثبت وجود خطر حقيقي في التعرض لضرر لا يمكن جبره</w:t>
      </w:r>
      <w:r w:rsidR="00FE4A26">
        <w:rPr>
          <w:rStyle w:val="FootnoteReference"/>
          <w:rFonts w:eastAsiaTheme="majorEastAsia"/>
          <w:rtl/>
        </w:rPr>
        <w:t>(</w:t>
      </w:r>
      <w:r w:rsidR="00FE4A26">
        <w:rPr>
          <w:rStyle w:val="FootnoteReference"/>
          <w:rFonts w:eastAsiaTheme="majorEastAsia"/>
          <w:rtl/>
        </w:rPr>
        <w:footnoteReference w:id="28"/>
      </w:r>
      <w:r w:rsidR="00FE4A26">
        <w:rPr>
          <w:rStyle w:val="FootnoteReference"/>
          <w:rFonts w:eastAsiaTheme="majorEastAsia"/>
          <w:rtl/>
        </w:rPr>
        <w:t>)</w:t>
      </w:r>
      <w:r w:rsidR="00E50B2D">
        <w:rPr>
          <w:rFonts w:hint="cs"/>
          <w:rtl/>
        </w:rPr>
        <w:t>.</w:t>
      </w:r>
      <w:r>
        <w:rPr>
          <w:rFonts w:hint="cs"/>
          <w:rtl/>
        </w:rPr>
        <w:t xml:space="preserve"> </w:t>
      </w:r>
      <w:r>
        <w:rPr>
          <w:rtl/>
        </w:rPr>
        <w:t>وبناءً على ذلك، يجب أن تُؤخذ في الاعتبار جميع الوقائع</w:t>
      </w:r>
      <w:r w:rsidR="00A872C8">
        <w:rPr>
          <w:rFonts w:hint="cs"/>
          <w:rtl/>
        </w:rPr>
        <w:t> </w:t>
      </w:r>
      <w:r>
        <w:rPr>
          <w:rtl/>
        </w:rPr>
        <w:t>والظروف ذات الصلة، بما في ذلك الوضع العام لحقوق الإنسان في البلد الأصلي لصاحب البلاغ</w:t>
      </w:r>
      <w:r w:rsidR="00FE4A26">
        <w:rPr>
          <w:rStyle w:val="FootnoteReference"/>
          <w:rFonts w:eastAsiaTheme="majorEastAsia"/>
          <w:rtl/>
        </w:rPr>
        <w:t>(</w:t>
      </w:r>
      <w:r w:rsidR="00FE4A26">
        <w:rPr>
          <w:rStyle w:val="FootnoteReference"/>
          <w:rFonts w:eastAsiaTheme="majorEastAsia"/>
          <w:rtl/>
        </w:rPr>
        <w:footnoteReference w:id="29"/>
      </w:r>
      <w:r w:rsidR="00FE4A26">
        <w:rPr>
          <w:rStyle w:val="FootnoteReference"/>
          <w:rFonts w:eastAsiaTheme="majorEastAsia"/>
          <w:rtl/>
        </w:rPr>
        <w:t>)</w:t>
      </w:r>
      <w:r w:rsidR="00E50B2D">
        <w:rPr>
          <w:rFonts w:hint="cs"/>
          <w:rtl/>
          <w:lang w:val="ar-SA" w:eastAsia="zh-TW"/>
        </w:rPr>
        <w:t>.</w:t>
      </w:r>
    </w:p>
    <w:p w:rsidR="009872E6" w:rsidRDefault="009872E6" w:rsidP="009872E6">
      <w:pPr>
        <w:pStyle w:val="SingleTxtGA"/>
        <w:rPr>
          <w:rtl/>
          <w:lang w:val="en-GB" w:eastAsia="zh-TW" w:bidi="ar-DZ"/>
        </w:rPr>
      </w:pPr>
      <w:r>
        <w:rPr>
          <w:rtl/>
        </w:rPr>
        <w:t>٨-</w:t>
      </w:r>
      <w:r w:rsidR="00E50B2D">
        <w:rPr>
          <w:rFonts w:hint="cs"/>
          <w:rtl/>
        </w:rPr>
        <w:t>4</w:t>
      </w:r>
      <w:r w:rsidR="00E50B2D">
        <w:rPr>
          <w:rtl/>
        </w:rPr>
        <w:tab/>
      </w:r>
      <w:r>
        <w:rPr>
          <w:rtl/>
        </w:rPr>
        <w:t>وتذكّر اللجنة بأنه يقع عموماً على عاتق أجهزة الدول الأطراف دراسة وقائع القضية وأدلتها بغية تحديد وجود هذا الخطر من عدمه</w:t>
      </w:r>
      <w:r w:rsidR="00FE4A26">
        <w:rPr>
          <w:rStyle w:val="FootnoteReference"/>
          <w:rFonts w:eastAsiaTheme="majorEastAsia"/>
          <w:rtl/>
        </w:rPr>
        <w:t>(</w:t>
      </w:r>
      <w:r w:rsidR="00FE4A26">
        <w:rPr>
          <w:rStyle w:val="FootnoteReference"/>
          <w:rFonts w:eastAsiaTheme="majorEastAsia"/>
          <w:rtl/>
        </w:rPr>
        <w:footnoteReference w:id="30"/>
      </w:r>
      <w:r w:rsidR="00FE4A26">
        <w:rPr>
          <w:rStyle w:val="FootnoteReference"/>
          <w:rFonts w:eastAsiaTheme="majorEastAsia"/>
          <w:rtl/>
        </w:rPr>
        <w:t>)</w:t>
      </w:r>
      <w:r w:rsidR="00E50B2D">
        <w:rPr>
          <w:rFonts w:hint="cs"/>
          <w:rtl/>
        </w:rPr>
        <w:t>،</w:t>
      </w:r>
      <w:r>
        <w:rPr>
          <w:rtl/>
        </w:rPr>
        <w:t xml:space="preserve"> </w:t>
      </w:r>
      <w:r>
        <w:rPr>
          <w:rtl/>
          <w:lang w:eastAsia="zh-TW" w:bidi="ar-DZ"/>
        </w:rPr>
        <w:t>ما لم يثبت أن تقييم تلك الوقائع والأدلة كان ظاهر التعسف أو يرقى إلى حد الخطأ البيّن أو إنكار العدالة</w:t>
      </w:r>
      <w:r w:rsidR="00FE4A26">
        <w:rPr>
          <w:rStyle w:val="FootnoteReference"/>
          <w:rFonts w:eastAsiaTheme="majorEastAsia"/>
          <w:rtl/>
          <w:lang w:eastAsia="zh-TW" w:bidi="ar-DZ"/>
        </w:rPr>
        <w:t>(</w:t>
      </w:r>
      <w:r w:rsidR="00FE4A26">
        <w:rPr>
          <w:rStyle w:val="FootnoteReference"/>
          <w:rFonts w:eastAsiaTheme="majorEastAsia"/>
          <w:rtl/>
          <w:lang w:eastAsia="zh-TW" w:bidi="ar-DZ"/>
        </w:rPr>
        <w:footnoteReference w:id="31"/>
      </w:r>
      <w:r w:rsidR="00FE4A26">
        <w:rPr>
          <w:rStyle w:val="FootnoteReference"/>
          <w:rFonts w:eastAsiaTheme="majorEastAsia"/>
          <w:rtl/>
          <w:lang w:eastAsia="zh-TW" w:bidi="ar-DZ"/>
        </w:rPr>
        <w:t>)</w:t>
      </w:r>
      <w:r w:rsidR="00E50B2D">
        <w:rPr>
          <w:rFonts w:hint="cs"/>
          <w:rtl/>
          <w:lang w:eastAsia="zh-TW" w:bidi="ar-DZ"/>
        </w:rPr>
        <w:t>.</w:t>
      </w:r>
    </w:p>
    <w:p w:rsidR="009872E6" w:rsidRDefault="009872E6" w:rsidP="009872E6">
      <w:pPr>
        <w:pStyle w:val="SingleTxtGA"/>
        <w:rPr>
          <w:rtl/>
          <w:lang w:val="ar-SA" w:eastAsia="zh-TW"/>
        </w:rPr>
      </w:pPr>
      <w:r>
        <w:rPr>
          <w:rtl/>
        </w:rPr>
        <w:t>٨-٥</w:t>
      </w:r>
      <w:r w:rsidR="00E50B2D">
        <w:rPr>
          <w:rtl/>
        </w:rPr>
        <w:tab/>
      </w:r>
      <w:r>
        <w:rPr>
          <w:rtl/>
        </w:rPr>
        <w:t>وتلاحظ اللجنة أيضاً ما خلص إليه مجلس طعون اللاجئين من أن صاحب البلاغ لم</w:t>
      </w:r>
      <w:r w:rsidR="00645118">
        <w:rPr>
          <w:rFonts w:hint="cs"/>
          <w:rtl/>
        </w:rPr>
        <w:t> </w:t>
      </w:r>
      <w:r>
        <w:rPr>
          <w:rtl/>
        </w:rPr>
        <w:t>يثبت ادعاءه صدق تحوله عن ديانته، على الرغم من وجود شهادة تعميد.</w:t>
      </w:r>
      <w:r>
        <w:rPr>
          <w:rFonts w:hint="cs"/>
          <w:rtl/>
        </w:rPr>
        <w:t xml:space="preserve"> </w:t>
      </w:r>
      <w:r>
        <w:rPr>
          <w:rtl/>
        </w:rPr>
        <w:t>وفي هذا الصدد، تلاحظ اللجنة ما خلصت إليه الدولة الطرف من أن صاحب البلاغ لم يقدم، باستثناء شهادة التعميد، أي معلومات أو أدلة، سواء إلى السلطات الدانمركية أو إلى اللجنة، تثبت ادعاءه.</w:t>
      </w:r>
      <w:r>
        <w:rPr>
          <w:rFonts w:hint="cs"/>
          <w:rtl/>
        </w:rPr>
        <w:t xml:space="preserve"> </w:t>
      </w:r>
      <w:r>
        <w:rPr>
          <w:rtl/>
        </w:rPr>
        <w:t>وتلاحظ اللجنة أيض</w:t>
      </w:r>
      <w:r w:rsidR="00645118">
        <w:rPr>
          <w:rtl/>
        </w:rPr>
        <w:t xml:space="preserve">اً </w:t>
      </w:r>
      <w:r>
        <w:rPr>
          <w:rtl/>
        </w:rPr>
        <w:t>أن مجلس طعون اللاجئين استند إلى هذه المعلومات المحدودة لرفض إعادة فتح ملف قضية لجوء صاحب البلاغ.</w:t>
      </w:r>
    </w:p>
    <w:p w:rsidR="009872E6" w:rsidRDefault="009872E6" w:rsidP="009872E6">
      <w:pPr>
        <w:pStyle w:val="SingleTxtGA"/>
        <w:rPr>
          <w:rtl/>
          <w:lang w:val="ar-SA" w:eastAsia="zh-TW"/>
        </w:rPr>
      </w:pPr>
      <w:r>
        <w:rPr>
          <w:rtl/>
        </w:rPr>
        <w:t>٨-٦</w:t>
      </w:r>
      <w:r w:rsidR="00E50B2D">
        <w:rPr>
          <w:rtl/>
        </w:rPr>
        <w:tab/>
      </w:r>
      <w:r>
        <w:rPr>
          <w:rtl/>
        </w:rPr>
        <w:t>وفي هذا الصدد، ترى اللجنة أنه عندما يزعم ملتمس اللجوء أنه تحول إلى ديانة أخرى بعد رفض طلب اللجوء الأولي الذي قدمه في بلد اللجوء، فقد يكون من المناسب أن تجري السلطات دراسة معمقة لظروف التحول</w:t>
      </w:r>
      <w:r w:rsidR="00FE4A26">
        <w:rPr>
          <w:rStyle w:val="FootnoteReference"/>
          <w:rFonts w:eastAsiaTheme="majorEastAsia"/>
          <w:rtl/>
        </w:rPr>
        <w:t>(</w:t>
      </w:r>
      <w:r w:rsidR="00FE4A26">
        <w:rPr>
          <w:rStyle w:val="FootnoteReference"/>
          <w:rFonts w:eastAsiaTheme="majorEastAsia"/>
          <w:rtl/>
        </w:rPr>
        <w:footnoteReference w:id="32"/>
      </w:r>
      <w:r w:rsidR="00FE4A26">
        <w:rPr>
          <w:rStyle w:val="FootnoteReference"/>
          <w:rFonts w:eastAsiaTheme="majorEastAsia"/>
          <w:rtl/>
        </w:rPr>
        <w:t>)</w:t>
      </w:r>
      <w:r w:rsidR="00E50B2D">
        <w:rPr>
          <w:rFonts w:hint="cs"/>
          <w:rtl/>
        </w:rPr>
        <w:t>.</w:t>
      </w:r>
      <w:r>
        <w:rPr>
          <w:rtl/>
        </w:rPr>
        <w:t xml:space="preserve"> ومع ذلك، فإن الاختبار الذي ينبغي أن تجريه اللجنة هو معرفة ما إذا كانت هناك، بغض النظر عن صدق التحول عن الديانة من عدمه، أسس قوية تدعو إلى الاعتقاد بأن هذا التحول قد يسبب عواقب وخيمة في البلد الأصلي ينشأ عنها خطر حقيقي في التعرض لضرر لا يمكن جبره، على النحو المنصوص عليه في المادتين 6 و7 من العهد.</w:t>
      </w:r>
      <w:r>
        <w:rPr>
          <w:rFonts w:hint="cs"/>
          <w:rtl/>
        </w:rPr>
        <w:t xml:space="preserve"> </w:t>
      </w:r>
      <w:r>
        <w:rPr>
          <w:rtl/>
        </w:rPr>
        <w:t>ولذلك، حتى إذا تبين عدم صدق التحول المدعى، ينبغي للسلطات أن تقيِّم، في ظروف القضية، ما إذا كان سلوك صاحب البلاغ وأنشطته المتعلقة بتحوله أو التي تبرر تحوله، كالذهاب إلى الكنيسة والتعميد والمشاركة في أنشطة التبشير، يمكن أن تسبب عواقب سلبية وخيمة في البلد الأصلي على نحو يعرِّضه لخطر الضرر الذي لا يمكن جبره</w:t>
      </w:r>
      <w:r w:rsidR="00FE4A26">
        <w:rPr>
          <w:rStyle w:val="FootnoteReference"/>
          <w:rFonts w:eastAsiaTheme="majorEastAsia"/>
          <w:rtl/>
        </w:rPr>
        <w:t>(</w:t>
      </w:r>
      <w:r w:rsidR="00FE4A26">
        <w:rPr>
          <w:rStyle w:val="FootnoteReference"/>
          <w:rFonts w:eastAsiaTheme="majorEastAsia"/>
          <w:rtl/>
        </w:rPr>
        <w:footnoteReference w:id="33"/>
      </w:r>
      <w:r w:rsidR="00FE4A26">
        <w:rPr>
          <w:rStyle w:val="FootnoteReference"/>
          <w:rFonts w:eastAsiaTheme="majorEastAsia"/>
          <w:rtl/>
        </w:rPr>
        <w:t>)</w:t>
      </w:r>
      <w:r w:rsidR="00E50B2D">
        <w:rPr>
          <w:rFonts w:hint="cs"/>
          <w:rtl/>
          <w:lang w:val="ar-SA" w:eastAsia="zh-TW"/>
        </w:rPr>
        <w:t>.</w:t>
      </w:r>
    </w:p>
    <w:p w:rsidR="009872E6" w:rsidRDefault="009872E6" w:rsidP="009872E6">
      <w:pPr>
        <w:pStyle w:val="SingleTxtGA"/>
        <w:rPr>
          <w:rtl/>
          <w:lang w:val="ar-SA" w:eastAsia="zh-TW"/>
        </w:rPr>
      </w:pPr>
      <w:r>
        <w:rPr>
          <w:rtl/>
        </w:rPr>
        <w:t>٨-٧</w:t>
      </w:r>
      <w:r w:rsidR="00E50B2D">
        <w:rPr>
          <w:rtl/>
        </w:rPr>
        <w:tab/>
      </w:r>
      <w:r>
        <w:rPr>
          <w:rtl/>
        </w:rPr>
        <w:t>وفي هذه القضية، تلاحظ اللجنة أن المعلومات الوحيدة التي قدمها صاحب البلاغ لدعم تحوله عن ديانته هي شهادة التعميد المؤرخة ٦ حزيران/</w:t>
      </w:r>
      <w:proofErr w:type="gramStart"/>
      <w:r>
        <w:rPr>
          <w:rtl/>
        </w:rPr>
        <w:t>يونيه</w:t>
      </w:r>
      <w:proofErr w:type="gramEnd"/>
      <w:r>
        <w:rPr>
          <w:rtl/>
        </w:rPr>
        <w:t xml:space="preserve"> ٢٠١٣، التي تفيد بأن </w:t>
      </w:r>
      <w:r>
        <w:rPr>
          <w:rtl/>
        </w:rPr>
        <w:lastRenderedPageBreak/>
        <w:t>التعميد جرى في ٢٣ تشرين الثاني/نوفمبر ٢٠١٢.</w:t>
      </w:r>
      <w:r>
        <w:rPr>
          <w:rFonts w:hint="cs"/>
          <w:rtl/>
        </w:rPr>
        <w:t xml:space="preserve"> </w:t>
      </w:r>
      <w:r>
        <w:rPr>
          <w:rtl/>
        </w:rPr>
        <w:t>بيد أن صاحب البلاغ لم يبرر الفترة الزمنية الفاصلة بين التاريخين.</w:t>
      </w:r>
      <w:r>
        <w:rPr>
          <w:rFonts w:hint="cs"/>
          <w:rtl/>
        </w:rPr>
        <w:t xml:space="preserve"> </w:t>
      </w:r>
      <w:r>
        <w:rPr>
          <w:rtl/>
        </w:rPr>
        <w:t>ونظراً إلى عدم تقديم مزيد من التفاصيل، رفض مجلس طعون اللاجئين إعادة فتح ملف قضية لجوء صاحب البلاغ، حيث لم يثبت صدق تحوله.</w:t>
      </w:r>
      <w:r>
        <w:rPr>
          <w:rFonts w:hint="cs"/>
          <w:rtl/>
        </w:rPr>
        <w:t xml:space="preserve"> </w:t>
      </w:r>
      <w:r>
        <w:rPr>
          <w:rtl/>
        </w:rPr>
        <w:t>ولذلك، خلُص المجلس إلى أن صاحب البلاغ لن يواجه أي خطر اضطهاد يندرج ضمن المادة 7 من قانون الأجانب في حالة عودته إلى بلده الأصلي.</w:t>
      </w:r>
    </w:p>
    <w:p w:rsidR="009872E6" w:rsidRDefault="009872E6" w:rsidP="009872E6">
      <w:pPr>
        <w:pStyle w:val="SingleTxtGA"/>
        <w:rPr>
          <w:rtl/>
          <w:lang w:val="ar-SA" w:eastAsia="zh-TW"/>
        </w:rPr>
      </w:pPr>
      <w:r>
        <w:rPr>
          <w:rtl/>
        </w:rPr>
        <w:t>٨-</w:t>
      </w:r>
      <w:r w:rsidR="00517F71">
        <w:rPr>
          <w:rFonts w:hint="cs"/>
          <w:rtl/>
        </w:rPr>
        <w:t>8</w:t>
      </w:r>
      <w:r w:rsidR="00517F71">
        <w:rPr>
          <w:rtl/>
        </w:rPr>
        <w:tab/>
      </w:r>
      <w:r>
        <w:rPr>
          <w:rtl/>
        </w:rPr>
        <w:t>وتلاحظ اللجنة كذلك أن صاحب البلاغ، رغم اعتراضه على تقييم واستنتاج سلطات الدانمرك بشأن ما قد يتعرض له من أذى في جمهورية إيران الإسلامية، لم يقدم أي دليل جديد يدعم ادعاءاته بموجب المادتين ٦ و٧ من العهد.</w:t>
      </w:r>
      <w:r>
        <w:rPr>
          <w:rFonts w:hint="cs"/>
          <w:rtl/>
        </w:rPr>
        <w:t xml:space="preserve"> </w:t>
      </w:r>
      <w:r>
        <w:rPr>
          <w:rtl/>
        </w:rPr>
        <w:t>وعلاوةً على ذلك، لم يقدم صاحب البلاغ أيضاً أي معلومات ذات صلة إلى اللجنة تبرر ادعاءه أن تحوله المزعوم معروف بالفعل للسلطات الإيرانية، أو أنه يمارس المسيحية في جمهورية إيران الإسلامية، أو أنه مستهدف من قبل السلطات الإيرانية بسبب تحوله.</w:t>
      </w:r>
    </w:p>
    <w:p w:rsidR="009872E6" w:rsidRDefault="009872E6" w:rsidP="009872E6">
      <w:pPr>
        <w:pStyle w:val="SingleTxtGA"/>
        <w:rPr>
          <w:rtl/>
          <w:lang w:val="ar-SA" w:eastAsia="zh-TW"/>
        </w:rPr>
      </w:pPr>
      <w:r>
        <w:rPr>
          <w:rtl/>
        </w:rPr>
        <w:t>٨-٩</w:t>
      </w:r>
      <w:r w:rsidR="00517F71">
        <w:rPr>
          <w:rtl/>
        </w:rPr>
        <w:tab/>
      </w:r>
      <w:r>
        <w:rPr>
          <w:rtl/>
        </w:rPr>
        <w:t xml:space="preserve">وترى اللجنة أن المعلومات المعروضة عليها تبين أن الدولة الطرف أخذت في الاعتبار جميع العناصر المتاحة عند تقييم المخاطر التي </w:t>
      </w:r>
      <w:proofErr w:type="spellStart"/>
      <w:r>
        <w:rPr>
          <w:rtl/>
        </w:rPr>
        <w:t>يواجهها</w:t>
      </w:r>
      <w:proofErr w:type="spellEnd"/>
      <w:r>
        <w:rPr>
          <w:rtl/>
        </w:rPr>
        <w:t xml:space="preserve"> صاحب البلاغ، وأن صاحب البلاغ لم</w:t>
      </w:r>
      <w:r w:rsidR="00517F71">
        <w:rPr>
          <w:rFonts w:hint="cs"/>
          <w:rtl/>
        </w:rPr>
        <w:t> </w:t>
      </w:r>
      <w:r>
        <w:rPr>
          <w:rtl/>
        </w:rPr>
        <w:t>يحدد أي مخالفة في عملية اتخاذ القرار.</w:t>
      </w:r>
      <w:r>
        <w:rPr>
          <w:rFonts w:hint="cs"/>
          <w:rtl/>
        </w:rPr>
        <w:t xml:space="preserve"> </w:t>
      </w:r>
      <w:r>
        <w:rPr>
          <w:rtl/>
        </w:rPr>
        <w:t>وترى اللجنة أيضاً أن صاحب البلاغ، رغم اعتراضه على قرار سلطات الدولة الطرف عدم إعادة فتح ملف قضيته، لم يثبت أن القرار تعسفي أو</w:t>
      </w:r>
      <w:r w:rsidR="00A872C8">
        <w:rPr>
          <w:rFonts w:hint="cs"/>
          <w:rtl/>
        </w:rPr>
        <w:t> </w:t>
      </w:r>
      <w:r>
        <w:rPr>
          <w:rtl/>
        </w:rPr>
        <w:t>ظاهر البطلان أو يصل إلى حد إنكار العدالة.</w:t>
      </w:r>
      <w:r>
        <w:rPr>
          <w:rFonts w:hint="cs"/>
          <w:rtl/>
        </w:rPr>
        <w:t xml:space="preserve"> </w:t>
      </w:r>
      <w:r>
        <w:rPr>
          <w:rtl/>
        </w:rPr>
        <w:t>وبناءً على ذلك، ترى اللجنة أن الأدلة والظروف التي يحتج بها صاحب البلاغ لا تثبت أنه سيواجه خطراً حقيقياً وشخصياً في أن يعامَل معاملة تتنافى مع المادتين 6 و7 من العهد.</w:t>
      </w:r>
      <w:r>
        <w:rPr>
          <w:rFonts w:hint="cs"/>
          <w:rtl/>
        </w:rPr>
        <w:t xml:space="preserve"> </w:t>
      </w:r>
      <w:r>
        <w:rPr>
          <w:rtl/>
        </w:rPr>
        <w:t>وفي ضوء ما تقدم، لا يتسنى للجنة أن تستنتج أن المعلومات المعروضة عليها تبين أن حقوق صاحب البلاغ التي تكفلها الما</w:t>
      </w:r>
      <w:bookmarkStart w:id="0" w:name="_GoBack"/>
      <w:bookmarkEnd w:id="0"/>
      <w:r>
        <w:rPr>
          <w:rtl/>
        </w:rPr>
        <w:t>دتان 6</w:t>
      </w:r>
      <w:r w:rsidR="007B6014">
        <w:rPr>
          <w:rtl/>
        </w:rPr>
        <w:t xml:space="preserve"> و</w:t>
      </w:r>
      <w:r>
        <w:rPr>
          <w:rtl/>
        </w:rPr>
        <w:t xml:space="preserve">7 من العهد انتُهكت نتيجة لترحيله إلى جمهورية إيران الإسلامية. </w:t>
      </w:r>
    </w:p>
    <w:p w:rsidR="009872E6" w:rsidRDefault="009872E6" w:rsidP="009872E6">
      <w:pPr>
        <w:pStyle w:val="SingleTxtGA"/>
        <w:rPr>
          <w:rtl/>
        </w:rPr>
      </w:pPr>
      <w:r>
        <w:rPr>
          <w:rtl/>
        </w:rPr>
        <w:t>٩-</w:t>
      </w:r>
      <w:r w:rsidR="00517F71">
        <w:rPr>
          <w:rtl/>
        </w:rPr>
        <w:tab/>
      </w:r>
      <w:r>
        <w:rPr>
          <w:rtl/>
        </w:rPr>
        <w:t>واللجنة المعنية بحقوق الإنسان، إذ تتصرف بموجب الفقرة</w:t>
      </w:r>
      <w:r>
        <w:rPr>
          <w:rFonts w:hint="cs"/>
          <w:rtl/>
        </w:rPr>
        <w:t xml:space="preserve"> </w:t>
      </w:r>
      <w:r>
        <w:rPr>
          <w:rtl/>
        </w:rPr>
        <w:t>4 من المادة ٥ من البروتوكول الاختياري، ترى أن الوقائع المعروضة عليها لا تسمح لها بأن تستنتج أن طرد صاحب البلاغ إلى جمهورية إيران الإسلامية انتهك حقوقه التي تكفلها المادتان 6(1) و7 من العهد.</w:t>
      </w:r>
    </w:p>
    <w:p w:rsidR="00517F71" w:rsidRPr="00517F71" w:rsidRDefault="00517F71" w:rsidP="00517F71">
      <w:pPr>
        <w:spacing w:before="120"/>
        <w:jc w:val="center"/>
        <w:rPr>
          <w:u w:val="single"/>
          <w:rtl/>
          <w:lang w:val="ar-SA" w:eastAsia="zh-TW"/>
        </w:rPr>
      </w:pPr>
      <w:r>
        <w:rPr>
          <w:u w:val="single"/>
          <w:rtl/>
          <w:lang w:val="ar-SA" w:eastAsia="zh-TW"/>
        </w:rPr>
        <w:tab/>
      </w:r>
      <w:r>
        <w:rPr>
          <w:u w:val="single"/>
          <w:rtl/>
          <w:lang w:val="ar-SA" w:eastAsia="zh-TW"/>
        </w:rPr>
        <w:tab/>
      </w:r>
      <w:r>
        <w:rPr>
          <w:u w:val="single"/>
          <w:rtl/>
          <w:lang w:val="ar-SA" w:eastAsia="zh-TW"/>
        </w:rPr>
        <w:tab/>
      </w:r>
    </w:p>
    <w:p w:rsidR="006E2C11" w:rsidRDefault="006E2C11" w:rsidP="009872E6">
      <w:pPr>
        <w:pStyle w:val="SingleTxtGA"/>
        <w:rPr>
          <w:sz w:val="36"/>
          <w:szCs w:val="36"/>
          <w:rtl/>
          <w:lang w:bidi="ar-DZ"/>
        </w:rPr>
      </w:pPr>
    </w:p>
    <w:sectPr w:rsidR="006E2C11" w:rsidSect="00C5190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2E6" w:rsidRPr="002901D9" w:rsidRDefault="009872E6" w:rsidP="002901D9">
      <w:pPr>
        <w:spacing w:after="60" w:line="240" w:lineRule="auto"/>
        <w:rPr>
          <w:i/>
          <w:iCs/>
        </w:rPr>
      </w:pPr>
      <w:r>
        <w:rPr>
          <w:rFonts w:hint="cs"/>
          <w:i/>
          <w:iCs/>
          <w:rtl/>
        </w:rPr>
        <w:t>الحواشي</w:t>
      </w:r>
    </w:p>
  </w:endnote>
  <w:endnote w:type="continuationSeparator" w:id="0">
    <w:p w:rsidR="009872E6" w:rsidRDefault="009872E6"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2E6" w:rsidRPr="006E2C11" w:rsidRDefault="009872E6" w:rsidP="00E269D1">
    <w:pPr>
      <w:pStyle w:val="Footer"/>
      <w:tabs>
        <w:tab w:val="right" w:pos="9598"/>
      </w:tabs>
      <w:bidi/>
      <w:rPr>
        <w:sz w:val="17"/>
      </w:rPr>
    </w:pPr>
    <w:r w:rsidRPr="006E2C11">
      <w:rPr>
        <w:b/>
        <w:sz w:val="18"/>
      </w:rPr>
      <w:fldChar w:fldCharType="begin"/>
    </w:r>
    <w:r w:rsidRPr="006E2C11">
      <w:rPr>
        <w:b/>
        <w:sz w:val="18"/>
      </w:rPr>
      <w:instrText xml:space="preserve"> PAGE  \* MERGEFORMAT </w:instrText>
    </w:r>
    <w:r w:rsidRPr="006E2C11">
      <w:rPr>
        <w:b/>
        <w:sz w:val="18"/>
      </w:rPr>
      <w:fldChar w:fldCharType="separate"/>
    </w:r>
    <w:r w:rsidRPr="006E2C11">
      <w:rPr>
        <w:b/>
        <w:noProof/>
        <w:sz w:val="18"/>
      </w:rPr>
      <w:t>2</w:t>
    </w:r>
    <w:r w:rsidRPr="006E2C11">
      <w:rPr>
        <w:b/>
        <w:sz w:val="18"/>
      </w:rPr>
      <w:fldChar w:fldCharType="end"/>
    </w:r>
    <w:r>
      <w:rPr>
        <w:sz w:val="18"/>
      </w:rPr>
      <w:tab/>
    </w:r>
    <w:r>
      <w:rPr>
        <w:sz w:val="17"/>
      </w:rPr>
      <w:t>GE.19-08113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2E6" w:rsidRPr="006E2C11" w:rsidRDefault="009872E6" w:rsidP="006959B0">
    <w:pPr>
      <w:pStyle w:val="Footer"/>
      <w:tabs>
        <w:tab w:val="right" w:pos="9599"/>
      </w:tabs>
      <w:jc w:val="left"/>
      <w:rPr>
        <w:b/>
        <w:sz w:val="18"/>
        <w:lang w:val="en-US"/>
      </w:rPr>
    </w:pPr>
    <w:r w:rsidRPr="006E2C11">
      <w:rPr>
        <w:b/>
        <w:sz w:val="18"/>
        <w:lang w:val="en-US"/>
      </w:rPr>
      <w:fldChar w:fldCharType="begin"/>
    </w:r>
    <w:r w:rsidRPr="006E2C11">
      <w:rPr>
        <w:b/>
        <w:sz w:val="18"/>
        <w:lang w:val="en-US"/>
      </w:rPr>
      <w:instrText xml:space="preserve"> PAGE  \* MERGEFORMAT </w:instrText>
    </w:r>
    <w:r w:rsidRPr="006E2C11">
      <w:rPr>
        <w:b/>
        <w:sz w:val="18"/>
        <w:lang w:val="en-US"/>
      </w:rPr>
      <w:fldChar w:fldCharType="separate"/>
    </w:r>
    <w:r w:rsidRPr="006E2C11">
      <w:rPr>
        <w:b/>
        <w:noProof/>
        <w:sz w:val="18"/>
        <w:lang w:val="en-US"/>
      </w:rPr>
      <w:t>3</w:t>
    </w:r>
    <w:r w:rsidRPr="006E2C11">
      <w:rPr>
        <w:b/>
        <w:sz w:val="18"/>
        <w:lang w:val="en-US"/>
      </w:rPr>
      <w:fldChar w:fldCharType="end"/>
    </w:r>
    <w:r>
      <w:rPr>
        <w:b/>
        <w:sz w:val="18"/>
        <w:lang w:val="en-US"/>
      </w:rPr>
      <w:tab/>
    </w:r>
    <w:r w:rsidR="00E269D1">
      <w:rPr>
        <w:sz w:val="17"/>
      </w:rPr>
      <w:t>GE.19-08113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2E6" w:rsidRDefault="009872E6" w:rsidP="00982139">
    <w:pPr>
      <w:pStyle w:val="Footer"/>
      <w:spacing w:before="360"/>
      <w:jc w:val="right"/>
      <w:rPr>
        <w:sz w:val="20"/>
        <w:szCs w:val="20"/>
      </w:rPr>
    </w:pPr>
    <w:r>
      <w:rPr>
        <w:sz w:val="20"/>
        <w:szCs w:val="20"/>
      </w:rPr>
      <w:t>GE.19-08113</w:t>
    </w:r>
    <w:r>
      <w:rPr>
        <w:noProof/>
        <w:lang w:val="en-US"/>
      </w:rPr>
      <w:drawing>
        <wp:anchor distT="0" distB="0" distL="114300" distR="114300" simplePos="0" relativeHeight="251666432" behindDoc="1" locked="1" layoutInCell="0" allowOverlap="1" wp14:anchorId="4C6750AB" wp14:editId="328E95C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9872E6" w:rsidRPr="00C51903" w:rsidRDefault="009872E6" w:rsidP="00C5190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4902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2E6" w:rsidRDefault="009872E6" w:rsidP="000437B8">
      <w:pPr>
        <w:pStyle w:val="Footer"/>
        <w:bidi/>
        <w:spacing w:after="80" w:line="200" w:lineRule="exact"/>
        <w:ind w:left="680"/>
      </w:pPr>
      <w:r>
        <w:rPr>
          <w:rtl/>
        </w:rPr>
        <w:t>__________</w:t>
      </w:r>
    </w:p>
  </w:footnote>
  <w:footnote w:type="continuationSeparator" w:id="0">
    <w:p w:rsidR="009872E6" w:rsidRDefault="009872E6" w:rsidP="00656392">
      <w:pPr>
        <w:spacing w:line="240" w:lineRule="auto"/>
      </w:pPr>
      <w:r>
        <w:continuationSeparator/>
      </w:r>
    </w:p>
  </w:footnote>
  <w:footnote w:id="1">
    <w:p w:rsidR="009872E6" w:rsidRPr="007B6014" w:rsidRDefault="009872E6" w:rsidP="009872E6">
      <w:pPr>
        <w:pStyle w:val="FootnoteText1"/>
        <w:rPr>
          <w:rtl/>
        </w:rPr>
      </w:pPr>
      <w:r w:rsidRPr="007B6014">
        <w:rPr>
          <w:rtl/>
          <w:lang w:bidi="ar-DZ"/>
        </w:rPr>
        <w:t>*</w:t>
      </w:r>
      <w:r w:rsidRPr="007B6014">
        <w:rPr>
          <w:rtl/>
          <w:lang w:bidi="ar-DZ"/>
        </w:rPr>
        <w:tab/>
      </w:r>
      <w:r w:rsidRPr="007B6014">
        <w:rPr>
          <w:rtl/>
        </w:rPr>
        <w:t>اعتمدتها اللجنة في دورتها ١٢٥ (٤</w:t>
      </w:r>
      <w:r w:rsidR="00FE4A26" w:rsidRPr="007B6014">
        <w:rPr>
          <w:rtl/>
        </w:rPr>
        <w:t>-</w:t>
      </w:r>
      <w:r w:rsidRPr="007B6014">
        <w:rPr>
          <w:rtl/>
        </w:rPr>
        <w:t>٢٩ آذار/مارس ٢٠١٩).</w:t>
      </w:r>
    </w:p>
  </w:footnote>
  <w:footnote w:id="2">
    <w:p w:rsidR="009872E6" w:rsidRPr="007B6014" w:rsidRDefault="009872E6" w:rsidP="009872E6">
      <w:pPr>
        <w:pStyle w:val="FootnoteText1"/>
      </w:pPr>
      <w:r w:rsidRPr="007B6014">
        <w:rPr>
          <w:rtl/>
          <w:lang w:bidi="ar-DZ"/>
        </w:rPr>
        <w:t>**</w:t>
      </w:r>
      <w:r w:rsidRPr="007B6014">
        <w:rPr>
          <w:rtl/>
          <w:lang w:bidi="ar-DZ"/>
        </w:rPr>
        <w:tab/>
      </w:r>
      <w:r w:rsidRPr="007B6014">
        <w:rPr>
          <w:rtl/>
          <w:lang w:val="ar-SA" w:eastAsia="zh-TW"/>
        </w:rPr>
        <w:t xml:space="preserve">شارك في دراسة هذا البلاغ أعضاء اللجنة التالية أسماؤهم: تانيا ماريا عبده </w:t>
      </w:r>
      <w:proofErr w:type="spellStart"/>
      <w:r w:rsidRPr="007B6014">
        <w:rPr>
          <w:rtl/>
          <w:lang w:val="ar-SA" w:eastAsia="zh-TW"/>
        </w:rPr>
        <w:t>روتشول</w:t>
      </w:r>
      <w:proofErr w:type="spellEnd"/>
      <w:r w:rsidRPr="007B6014">
        <w:rPr>
          <w:rtl/>
          <w:lang w:val="ar-SA" w:eastAsia="zh-TW"/>
        </w:rPr>
        <w:t xml:space="preserve">، وعياض بن عاشور، </w:t>
      </w:r>
      <w:proofErr w:type="spellStart"/>
      <w:r w:rsidRPr="007B6014">
        <w:rPr>
          <w:rtl/>
          <w:lang w:val="ar-SA" w:eastAsia="zh-TW"/>
        </w:rPr>
        <w:t>وإلزي</w:t>
      </w:r>
      <w:proofErr w:type="spellEnd"/>
      <w:r w:rsidRPr="007B6014">
        <w:rPr>
          <w:rtl/>
          <w:lang w:val="ar-SA" w:eastAsia="zh-TW"/>
        </w:rPr>
        <w:t xml:space="preserve"> </w:t>
      </w:r>
      <w:proofErr w:type="spellStart"/>
      <w:r w:rsidRPr="007B6014">
        <w:rPr>
          <w:rtl/>
          <w:lang w:val="ar-SA" w:eastAsia="zh-TW"/>
        </w:rPr>
        <w:t>براندس</w:t>
      </w:r>
      <w:proofErr w:type="spellEnd"/>
      <w:r w:rsidRPr="007B6014">
        <w:rPr>
          <w:rtl/>
          <w:lang w:val="ar-SA" w:eastAsia="zh-TW"/>
        </w:rPr>
        <w:t xml:space="preserve"> </w:t>
      </w:r>
      <w:proofErr w:type="spellStart"/>
      <w:r w:rsidRPr="007B6014">
        <w:rPr>
          <w:rtl/>
          <w:lang w:val="ar-SA" w:eastAsia="zh-TW"/>
        </w:rPr>
        <w:t>كيهريس</w:t>
      </w:r>
      <w:proofErr w:type="spellEnd"/>
      <w:r w:rsidRPr="007B6014">
        <w:rPr>
          <w:rtl/>
          <w:lang w:val="ar-SA" w:eastAsia="zh-TW"/>
        </w:rPr>
        <w:t xml:space="preserve">، وكريستوفر عارف </w:t>
      </w:r>
      <w:proofErr w:type="spellStart"/>
      <w:r w:rsidRPr="007B6014">
        <w:rPr>
          <w:rtl/>
          <w:lang w:val="ar-SA" w:eastAsia="zh-TW"/>
        </w:rPr>
        <w:t>بولكان</w:t>
      </w:r>
      <w:proofErr w:type="spellEnd"/>
      <w:r w:rsidRPr="007B6014">
        <w:rPr>
          <w:rtl/>
          <w:lang w:val="ar-SA" w:eastAsia="zh-TW"/>
        </w:rPr>
        <w:t xml:space="preserve">، وأحمد أمين فتح الله، </w:t>
      </w:r>
      <w:proofErr w:type="spellStart"/>
      <w:r w:rsidRPr="007B6014">
        <w:rPr>
          <w:rtl/>
          <w:lang w:val="ar-SA" w:eastAsia="zh-TW"/>
        </w:rPr>
        <w:t>وشويتشي</w:t>
      </w:r>
      <w:proofErr w:type="spellEnd"/>
      <w:r w:rsidRPr="007B6014">
        <w:rPr>
          <w:rtl/>
          <w:lang w:val="ar-SA" w:eastAsia="zh-TW"/>
        </w:rPr>
        <w:t xml:space="preserve"> </w:t>
      </w:r>
      <w:proofErr w:type="spellStart"/>
      <w:r w:rsidRPr="007B6014">
        <w:rPr>
          <w:rtl/>
          <w:lang w:val="ar-SA" w:eastAsia="zh-TW"/>
        </w:rPr>
        <w:t>فورويا</w:t>
      </w:r>
      <w:proofErr w:type="spellEnd"/>
      <w:r w:rsidRPr="007B6014">
        <w:rPr>
          <w:rtl/>
          <w:lang w:val="ar-SA" w:eastAsia="zh-TW"/>
        </w:rPr>
        <w:t xml:space="preserve">، وكريستوف </w:t>
      </w:r>
      <w:proofErr w:type="spellStart"/>
      <w:r w:rsidRPr="007B6014">
        <w:rPr>
          <w:rtl/>
          <w:lang w:val="ar-SA" w:eastAsia="zh-TW"/>
        </w:rPr>
        <w:t>هينز</w:t>
      </w:r>
      <w:proofErr w:type="spellEnd"/>
      <w:r w:rsidRPr="007B6014">
        <w:rPr>
          <w:rtl/>
          <w:lang w:val="ar-SA" w:eastAsia="zh-TW"/>
        </w:rPr>
        <w:t xml:space="preserve">، </w:t>
      </w:r>
      <w:proofErr w:type="spellStart"/>
      <w:r w:rsidRPr="007B6014">
        <w:rPr>
          <w:rtl/>
          <w:lang w:val="ar-SA" w:eastAsia="zh-TW"/>
        </w:rPr>
        <w:t>وبامريم</w:t>
      </w:r>
      <w:proofErr w:type="spellEnd"/>
      <w:r w:rsidRPr="007B6014">
        <w:rPr>
          <w:rtl/>
          <w:lang w:val="ar-SA" w:eastAsia="zh-TW"/>
        </w:rPr>
        <w:t xml:space="preserve"> كويتا، </w:t>
      </w:r>
      <w:proofErr w:type="spellStart"/>
      <w:r w:rsidRPr="007B6014">
        <w:rPr>
          <w:rtl/>
          <w:lang w:val="ar-SA" w:eastAsia="zh-TW"/>
        </w:rPr>
        <w:t>ومارسيا</w:t>
      </w:r>
      <w:proofErr w:type="spellEnd"/>
      <w:r w:rsidRPr="007B6014">
        <w:rPr>
          <w:rtl/>
          <w:lang w:val="ar-SA" w:eastAsia="zh-TW"/>
        </w:rPr>
        <w:t xml:space="preserve"> ف. ج.</w:t>
      </w:r>
      <w:r w:rsidRPr="007B6014">
        <w:rPr>
          <w:rFonts w:hint="cs"/>
          <w:rtl/>
          <w:lang w:val="ar-SA" w:eastAsia="zh-TW"/>
        </w:rPr>
        <w:t xml:space="preserve"> </w:t>
      </w:r>
      <w:r w:rsidRPr="007B6014">
        <w:rPr>
          <w:rtl/>
          <w:lang w:val="ar-SA" w:eastAsia="zh-TW"/>
        </w:rPr>
        <w:t xml:space="preserve">كران، </w:t>
      </w:r>
      <w:proofErr w:type="spellStart"/>
      <w:r w:rsidRPr="007B6014">
        <w:rPr>
          <w:rtl/>
          <w:lang w:val="ar-SA" w:eastAsia="zh-TW"/>
        </w:rPr>
        <w:t>ودنكان</w:t>
      </w:r>
      <w:proofErr w:type="spellEnd"/>
      <w:r w:rsidRPr="007B6014">
        <w:rPr>
          <w:rtl/>
          <w:lang w:val="ar-SA" w:eastAsia="zh-TW"/>
        </w:rPr>
        <w:t xml:space="preserve"> </w:t>
      </w:r>
      <w:proofErr w:type="spellStart"/>
      <w:r w:rsidRPr="007B6014">
        <w:rPr>
          <w:rtl/>
          <w:lang w:val="ar-SA" w:eastAsia="zh-TW"/>
        </w:rPr>
        <w:t>لاكي</w:t>
      </w:r>
      <w:proofErr w:type="spellEnd"/>
      <w:r w:rsidRPr="007B6014">
        <w:rPr>
          <w:rtl/>
          <w:lang w:val="ar-SA" w:eastAsia="zh-TW"/>
        </w:rPr>
        <w:t xml:space="preserve"> </w:t>
      </w:r>
      <w:proofErr w:type="spellStart"/>
      <w:r w:rsidRPr="007B6014">
        <w:rPr>
          <w:rtl/>
          <w:lang w:val="ar-SA" w:eastAsia="zh-TW"/>
        </w:rPr>
        <w:t>موهوموزا</w:t>
      </w:r>
      <w:proofErr w:type="spellEnd"/>
      <w:r w:rsidRPr="007B6014">
        <w:rPr>
          <w:rtl/>
          <w:lang w:val="ar-SA" w:eastAsia="zh-TW"/>
        </w:rPr>
        <w:t xml:space="preserve">، وفوتيني </w:t>
      </w:r>
      <w:proofErr w:type="spellStart"/>
      <w:r w:rsidRPr="007B6014">
        <w:rPr>
          <w:rtl/>
          <w:lang w:val="ar-SA" w:eastAsia="zh-TW"/>
        </w:rPr>
        <w:t>بازارتزيس</w:t>
      </w:r>
      <w:proofErr w:type="spellEnd"/>
      <w:r w:rsidRPr="007B6014">
        <w:rPr>
          <w:rtl/>
          <w:lang w:val="ar-SA" w:eastAsia="zh-TW"/>
        </w:rPr>
        <w:t xml:space="preserve">، </w:t>
      </w:r>
      <w:proofErr w:type="spellStart"/>
      <w:r w:rsidRPr="007B6014">
        <w:rPr>
          <w:rtl/>
          <w:lang w:val="ar-SA" w:eastAsia="zh-TW"/>
        </w:rPr>
        <w:t>وهيرنان</w:t>
      </w:r>
      <w:proofErr w:type="spellEnd"/>
      <w:r w:rsidRPr="007B6014">
        <w:rPr>
          <w:rtl/>
          <w:lang w:val="ar-SA" w:eastAsia="zh-TW"/>
        </w:rPr>
        <w:t xml:space="preserve"> </w:t>
      </w:r>
      <w:proofErr w:type="spellStart"/>
      <w:r w:rsidRPr="007B6014">
        <w:rPr>
          <w:rtl/>
          <w:lang w:val="ar-SA" w:eastAsia="zh-TW"/>
        </w:rPr>
        <w:t>كيزادا</w:t>
      </w:r>
      <w:proofErr w:type="spellEnd"/>
      <w:r w:rsidRPr="007B6014">
        <w:rPr>
          <w:rtl/>
          <w:lang w:val="ar-SA" w:eastAsia="zh-TW"/>
        </w:rPr>
        <w:t xml:space="preserve"> </w:t>
      </w:r>
      <w:proofErr w:type="spellStart"/>
      <w:r w:rsidRPr="007B6014">
        <w:rPr>
          <w:rtl/>
          <w:lang w:val="ar-SA" w:eastAsia="zh-TW"/>
        </w:rPr>
        <w:t>كابريرا</w:t>
      </w:r>
      <w:proofErr w:type="spellEnd"/>
      <w:r w:rsidRPr="007B6014">
        <w:rPr>
          <w:rtl/>
          <w:lang w:val="ar-SA" w:eastAsia="zh-TW"/>
        </w:rPr>
        <w:t xml:space="preserve">، </w:t>
      </w:r>
      <w:proofErr w:type="spellStart"/>
      <w:r w:rsidRPr="007B6014">
        <w:rPr>
          <w:rtl/>
          <w:lang w:val="ar-SA" w:eastAsia="zh-TW"/>
        </w:rPr>
        <w:t>وفازيلكا</w:t>
      </w:r>
      <w:proofErr w:type="spellEnd"/>
      <w:r w:rsidRPr="007B6014">
        <w:rPr>
          <w:rtl/>
          <w:lang w:val="ar-SA" w:eastAsia="zh-TW"/>
        </w:rPr>
        <w:t xml:space="preserve"> </w:t>
      </w:r>
      <w:proofErr w:type="spellStart"/>
      <w:r w:rsidRPr="007B6014">
        <w:rPr>
          <w:rtl/>
          <w:lang w:val="ar-SA" w:eastAsia="zh-TW"/>
        </w:rPr>
        <w:t>سانسين</w:t>
      </w:r>
      <w:proofErr w:type="spellEnd"/>
      <w:r w:rsidRPr="007B6014">
        <w:rPr>
          <w:rtl/>
          <w:lang w:val="ar-SA" w:eastAsia="zh-TW"/>
        </w:rPr>
        <w:t xml:space="preserve">، وخوسيه مانويل سانتوس </w:t>
      </w:r>
      <w:proofErr w:type="spellStart"/>
      <w:r w:rsidRPr="007B6014">
        <w:rPr>
          <w:rtl/>
          <w:lang w:val="ar-SA" w:eastAsia="zh-TW"/>
        </w:rPr>
        <w:t>بايس</w:t>
      </w:r>
      <w:proofErr w:type="spellEnd"/>
      <w:r w:rsidRPr="007B6014">
        <w:rPr>
          <w:rtl/>
          <w:lang w:val="ar-SA" w:eastAsia="zh-TW"/>
        </w:rPr>
        <w:t xml:space="preserve">، ويوفال </w:t>
      </w:r>
      <w:proofErr w:type="spellStart"/>
      <w:r w:rsidRPr="007B6014">
        <w:rPr>
          <w:rtl/>
          <w:lang w:val="ar-SA" w:eastAsia="zh-TW"/>
        </w:rPr>
        <w:t>شاني</w:t>
      </w:r>
      <w:proofErr w:type="spellEnd"/>
      <w:r w:rsidRPr="007B6014">
        <w:rPr>
          <w:rtl/>
          <w:lang w:val="ar-SA" w:eastAsia="zh-TW"/>
        </w:rPr>
        <w:t xml:space="preserve">، وإيلين </w:t>
      </w:r>
      <w:proofErr w:type="spellStart"/>
      <w:r w:rsidRPr="007B6014">
        <w:rPr>
          <w:rtl/>
          <w:lang w:val="ar-SA" w:eastAsia="zh-TW"/>
        </w:rPr>
        <w:t>تيغرودجا</w:t>
      </w:r>
      <w:proofErr w:type="spellEnd"/>
      <w:r w:rsidRPr="007B6014">
        <w:rPr>
          <w:rtl/>
          <w:lang w:val="ar-SA" w:eastAsia="zh-TW"/>
        </w:rPr>
        <w:t xml:space="preserve">، وأندرياس </w:t>
      </w:r>
      <w:proofErr w:type="spellStart"/>
      <w:r w:rsidRPr="007B6014">
        <w:rPr>
          <w:rtl/>
          <w:lang w:val="ar-SA" w:eastAsia="zh-TW"/>
        </w:rPr>
        <w:t>زيمرمان</w:t>
      </w:r>
      <w:proofErr w:type="spellEnd"/>
      <w:r w:rsidRPr="007B6014">
        <w:rPr>
          <w:rtl/>
          <w:lang w:val="ar-SA" w:eastAsia="zh-TW"/>
        </w:rPr>
        <w:t xml:space="preserve">، </w:t>
      </w:r>
      <w:proofErr w:type="spellStart"/>
      <w:r w:rsidRPr="007B6014">
        <w:rPr>
          <w:rtl/>
          <w:lang w:val="ar-SA" w:eastAsia="zh-TW"/>
        </w:rPr>
        <w:t>وجينتيان</w:t>
      </w:r>
      <w:proofErr w:type="spellEnd"/>
      <w:r w:rsidRPr="007B6014">
        <w:rPr>
          <w:rtl/>
          <w:lang w:val="ar-SA" w:eastAsia="zh-TW"/>
        </w:rPr>
        <w:t xml:space="preserve"> </w:t>
      </w:r>
      <w:proofErr w:type="spellStart"/>
      <w:r w:rsidRPr="007B6014">
        <w:rPr>
          <w:rtl/>
          <w:lang w:val="ar-SA" w:eastAsia="zh-TW"/>
        </w:rPr>
        <w:t>زيبيري</w:t>
      </w:r>
      <w:proofErr w:type="spellEnd"/>
      <w:r w:rsidRPr="007B6014">
        <w:rPr>
          <w:rtl/>
          <w:lang w:val="ar-SA" w:eastAsia="zh-TW"/>
        </w:rPr>
        <w:t>.</w:t>
      </w:r>
    </w:p>
  </w:footnote>
  <w:footnote w:id="3">
    <w:p w:rsidR="00FE4A26" w:rsidRPr="007B6014" w:rsidRDefault="00FE4A26" w:rsidP="009872E6">
      <w:pPr>
        <w:pStyle w:val="FootnoteText1"/>
        <w:rPr>
          <w:rtl/>
          <w:lang w:bidi="ar-DZ"/>
        </w:rPr>
      </w:pPr>
      <w:r w:rsidRPr="007B6014">
        <w:rPr>
          <w:rStyle w:val="FootnoteReference"/>
          <w:szCs w:val="26"/>
          <w:vertAlign w:val="baseline"/>
          <w:rtl/>
        </w:rPr>
        <w:t>(</w:t>
      </w:r>
      <w:r w:rsidRPr="007B6014">
        <w:rPr>
          <w:rStyle w:val="FootnoteReference"/>
          <w:szCs w:val="26"/>
          <w:vertAlign w:val="baseline"/>
          <w:rtl/>
        </w:rPr>
        <w:footnoteRef/>
      </w:r>
      <w:r w:rsidRPr="007B6014">
        <w:rPr>
          <w:rStyle w:val="FootnoteReference"/>
          <w:szCs w:val="26"/>
          <w:vertAlign w:val="baseline"/>
          <w:rtl/>
        </w:rPr>
        <w:t>)</w:t>
      </w:r>
      <w:r w:rsidRPr="007B6014">
        <w:rPr>
          <w:rtl/>
        </w:rPr>
        <w:tab/>
      </w:r>
      <w:r w:rsidRPr="007B6014">
        <w:rPr>
          <w:rtl/>
          <w:lang w:bidi="ar-DZ"/>
        </w:rPr>
        <w:t>لا يقدم صاحب البلاغ أي معلومات عن أسباب فراره من جمهورية إيران الإسلامية.</w:t>
      </w:r>
      <w:r w:rsidRPr="007B6014">
        <w:rPr>
          <w:rFonts w:hint="cs"/>
          <w:rtl/>
          <w:lang w:bidi="ar-DZ"/>
        </w:rPr>
        <w:t xml:space="preserve"> </w:t>
      </w:r>
    </w:p>
  </w:footnote>
  <w:footnote w:id="4">
    <w:p w:rsidR="00FE4A26" w:rsidRPr="007B6014" w:rsidRDefault="00FE4A26" w:rsidP="00E269D1">
      <w:pPr>
        <w:pStyle w:val="FootnoteText1"/>
        <w:rPr>
          <w:rtl/>
          <w:lang w:val="ar-SA" w:eastAsia="zh-TW"/>
        </w:rPr>
      </w:pPr>
      <w:r w:rsidRPr="007B6014">
        <w:rPr>
          <w:rStyle w:val="FootnoteReference"/>
          <w:szCs w:val="26"/>
          <w:vertAlign w:val="baseline"/>
          <w:rtl/>
        </w:rPr>
        <w:t>(</w:t>
      </w:r>
      <w:r w:rsidRPr="007B6014">
        <w:rPr>
          <w:rStyle w:val="FootnoteReference"/>
          <w:szCs w:val="26"/>
          <w:vertAlign w:val="baseline"/>
          <w:rtl/>
        </w:rPr>
        <w:footnoteRef/>
      </w:r>
      <w:r w:rsidRPr="007B6014">
        <w:rPr>
          <w:rStyle w:val="FootnoteReference"/>
          <w:szCs w:val="26"/>
          <w:vertAlign w:val="baseline"/>
          <w:rtl/>
        </w:rPr>
        <w:t>)</w:t>
      </w:r>
      <w:r w:rsidRPr="007B6014">
        <w:rPr>
          <w:rtl/>
        </w:rPr>
        <w:tab/>
      </w:r>
      <w:r w:rsidRPr="007B6014">
        <w:rPr>
          <w:rtl/>
          <w:lang w:bidi="ar-DZ"/>
        </w:rPr>
        <w:t>قدم صاحب البلاغ، لدعم طلبه، أمر استدعاء مزعوماً مؤرخاً ٣١ كانون الأول/ديسمبر ١٩٩٨، صادراً عن</w:t>
      </w:r>
      <w:r w:rsidRPr="007B6014">
        <w:rPr>
          <w:rFonts w:hint="cs"/>
          <w:rtl/>
          <w:lang w:bidi="ar-DZ"/>
        </w:rPr>
        <w:t> </w:t>
      </w:r>
      <w:r w:rsidRPr="007B6014">
        <w:rPr>
          <w:rtl/>
          <w:lang w:bidi="ar-DZ"/>
        </w:rPr>
        <w:t>وزارة العدل الإيرانية.</w:t>
      </w:r>
      <w:r w:rsidRPr="007B6014">
        <w:rPr>
          <w:rFonts w:hint="cs"/>
          <w:rtl/>
          <w:lang w:bidi="ar-DZ"/>
        </w:rPr>
        <w:t xml:space="preserve"> </w:t>
      </w:r>
      <w:r w:rsidRPr="007B6014">
        <w:rPr>
          <w:rtl/>
          <w:lang w:bidi="ar-DZ"/>
        </w:rPr>
        <w:t>ووفق</w:t>
      </w:r>
      <w:r w:rsidR="00645118">
        <w:rPr>
          <w:rtl/>
          <w:lang w:bidi="ar-DZ"/>
        </w:rPr>
        <w:t xml:space="preserve">اً </w:t>
      </w:r>
      <w:r w:rsidRPr="007B6014">
        <w:rPr>
          <w:rtl/>
          <w:lang w:bidi="ar-DZ"/>
        </w:rPr>
        <w:t>لهذا الأمر، كان من المفترض أن يمثل صاحب البلاغ في ٥ كانون الثاني/</w:t>
      </w:r>
      <w:r w:rsidR="00ED4213">
        <w:rPr>
          <w:rFonts w:hint="cs"/>
          <w:rtl/>
          <w:lang w:bidi="ar-DZ"/>
        </w:rPr>
        <w:t xml:space="preserve">  </w:t>
      </w:r>
      <w:r w:rsidR="007B6014">
        <w:rPr>
          <w:rFonts w:hint="cs"/>
          <w:rtl/>
          <w:lang w:bidi="ar-DZ"/>
        </w:rPr>
        <w:t xml:space="preserve">  </w:t>
      </w:r>
      <w:r w:rsidRPr="007B6014">
        <w:rPr>
          <w:rtl/>
          <w:lang w:bidi="ar-DZ"/>
        </w:rPr>
        <w:t>يناير ١٩٩٩ أمام الوزارة لكي يعلن مشاركته في نقل أسلحة بصورة غير مشروعة.</w:t>
      </w:r>
      <w:r w:rsidRPr="007B6014">
        <w:rPr>
          <w:rFonts w:hint="cs"/>
          <w:rtl/>
          <w:lang w:bidi="ar-DZ"/>
        </w:rPr>
        <w:t xml:space="preserve"> </w:t>
      </w:r>
      <w:r w:rsidRPr="007B6014">
        <w:rPr>
          <w:rtl/>
          <w:lang w:bidi="ar-DZ"/>
        </w:rPr>
        <w:t>وسُلم الاستدعاء إلى زوجة صاحب البلاغ في ٢ كانون الثاني/يناير ١٩٩٩. وتشاور</w:t>
      </w:r>
      <w:r w:rsidRPr="007B6014">
        <w:rPr>
          <w:rFonts w:hint="cs"/>
          <w:rtl/>
          <w:lang w:bidi="ar-DZ"/>
        </w:rPr>
        <w:t xml:space="preserve"> </w:t>
      </w:r>
      <w:r w:rsidRPr="007B6014">
        <w:rPr>
          <w:rtl/>
          <w:lang w:bidi="ar-DZ"/>
        </w:rPr>
        <w:t>مجلس طعون اللاجئين مع وزارة الخارجية، التي طلبت التحقق من صحة تلك الوثيقة، ثم ردت في ٢٢ آذار/مارس ٢٠٠٠ بالتشكيك في صحة الوثيقة لعدة</w:t>
      </w:r>
      <w:r w:rsidRPr="007B6014">
        <w:rPr>
          <w:rFonts w:hint="cs"/>
          <w:rtl/>
          <w:lang w:bidi="ar-DZ"/>
        </w:rPr>
        <w:t> </w:t>
      </w:r>
      <w:r w:rsidRPr="007B6014">
        <w:rPr>
          <w:rtl/>
          <w:lang w:bidi="ar-DZ"/>
        </w:rPr>
        <w:t>أسباب.</w:t>
      </w:r>
      <w:r w:rsidRPr="007B6014">
        <w:rPr>
          <w:rFonts w:hint="cs"/>
          <w:rtl/>
          <w:lang w:bidi="ar-DZ"/>
        </w:rPr>
        <w:t xml:space="preserve"> </w:t>
      </w:r>
      <w:r w:rsidRPr="007B6014">
        <w:rPr>
          <w:rtl/>
          <w:lang w:bidi="ar-DZ"/>
        </w:rPr>
        <w:t xml:space="preserve">وفي وقت لاحق رفض </w:t>
      </w:r>
      <w:r w:rsidRPr="007B6014">
        <w:rPr>
          <w:rtl/>
        </w:rPr>
        <w:t>المجلس طلبات صاحب البلاغ إعادة فتح ملف الدعوى، في ٣ تموز/</w:t>
      </w:r>
      <w:r w:rsidR="007B6014">
        <w:rPr>
          <w:rFonts w:hint="cs"/>
          <w:rtl/>
        </w:rPr>
        <w:t xml:space="preserve"> </w:t>
      </w:r>
      <w:r w:rsidRPr="007B6014">
        <w:rPr>
          <w:rtl/>
        </w:rPr>
        <w:t>يوليه ٢٠٠٠، و6 كانون الأول/ديسمبر ٢٠٠٠، و5كانون الثاني/يناير ٢٠٠١، و٨ أيلول/سبتمبر ٢٠٠٤، و30 تشرين الثاني/نوفمبر ٢٠٠٥.</w:t>
      </w:r>
    </w:p>
  </w:footnote>
  <w:footnote w:id="5">
    <w:p w:rsidR="00FE4A26" w:rsidRPr="007B6014" w:rsidRDefault="00FE4A26" w:rsidP="00ED4213">
      <w:pPr>
        <w:pStyle w:val="FootnoteText1"/>
        <w:rPr>
          <w:rStyle w:val="FootnoteReference"/>
          <w:szCs w:val="26"/>
          <w:vertAlign w:val="baseline"/>
          <w:rtl/>
        </w:rPr>
      </w:pPr>
      <w:r w:rsidRPr="007B6014">
        <w:rPr>
          <w:rStyle w:val="FootnoteReference"/>
          <w:szCs w:val="26"/>
          <w:vertAlign w:val="baseline"/>
          <w:rtl/>
        </w:rPr>
        <w:t>(</w:t>
      </w:r>
      <w:r w:rsidRPr="007B6014">
        <w:rPr>
          <w:rStyle w:val="FootnoteReference"/>
          <w:szCs w:val="26"/>
          <w:vertAlign w:val="baseline"/>
          <w:rtl/>
        </w:rPr>
        <w:footnoteRef/>
      </w:r>
      <w:r w:rsidRPr="007B6014">
        <w:rPr>
          <w:rStyle w:val="FootnoteReference"/>
          <w:szCs w:val="26"/>
          <w:vertAlign w:val="baseline"/>
          <w:rtl/>
        </w:rPr>
        <w:t>)</w:t>
      </w:r>
      <w:r w:rsidRPr="007B6014">
        <w:rPr>
          <w:rtl/>
        </w:rPr>
        <w:tab/>
      </w:r>
      <w:r w:rsidRPr="007B6014">
        <w:rPr>
          <w:rStyle w:val="FootnoteReference"/>
          <w:szCs w:val="26"/>
          <w:vertAlign w:val="baseline"/>
          <w:rtl/>
        </w:rPr>
        <w:t>واصل صاحب البلاغ ادعاء أنه مطلوب من السلطات الإيرانية لتهريب أسلحة إلى السفارة الإيرانية في دمشق، وأضاف أنه ظهر على شاشة التلفزيون فيما يتصل بإضراب طالبي اللجوء عن الطعام.</w:t>
      </w:r>
    </w:p>
  </w:footnote>
  <w:footnote w:id="6">
    <w:p w:rsidR="00FE4A26" w:rsidRPr="007B6014" w:rsidRDefault="00FE4A26" w:rsidP="00ED4213">
      <w:pPr>
        <w:pStyle w:val="FootnoteText1"/>
        <w:rPr>
          <w:rStyle w:val="FootnoteReference"/>
          <w:szCs w:val="26"/>
          <w:vertAlign w:val="baseline"/>
          <w:rtl/>
        </w:rPr>
      </w:pPr>
      <w:r w:rsidRPr="007B6014">
        <w:rPr>
          <w:rStyle w:val="FootnoteReference"/>
          <w:szCs w:val="26"/>
          <w:vertAlign w:val="baseline"/>
          <w:rtl/>
        </w:rPr>
        <w:t>(</w:t>
      </w:r>
      <w:r w:rsidRPr="007B6014">
        <w:rPr>
          <w:rStyle w:val="FootnoteReference"/>
          <w:szCs w:val="26"/>
          <w:vertAlign w:val="baseline"/>
          <w:rtl/>
        </w:rPr>
        <w:footnoteRef/>
      </w:r>
      <w:r w:rsidRPr="007B6014">
        <w:rPr>
          <w:rStyle w:val="FootnoteReference"/>
          <w:szCs w:val="26"/>
          <w:vertAlign w:val="baseline"/>
          <w:rtl/>
        </w:rPr>
        <w:t>)</w:t>
      </w:r>
      <w:r w:rsidRPr="007B6014">
        <w:rPr>
          <w:rStyle w:val="FootnoteReference"/>
          <w:szCs w:val="26"/>
          <w:vertAlign w:val="baseline"/>
          <w:rtl/>
        </w:rPr>
        <w:tab/>
        <w:t>لاحظ مجلس طعون اللاجئين كذلك أن صاحب البلاغ أعلن أن زوجته قد أُصدر لها جواز سفر مزور.</w:t>
      </w:r>
      <w:r w:rsidRPr="007B6014">
        <w:rPr>
          <w:rStyle w:val="FootnoteReference"/>
          <w:rFonts w:hint="cs"/>
          <w:szCs w:val="26"/>
          <w:vertAlign w:val="baseline"/>
          <w:rtl/>
        </w:rPr>
        <w:t xml:space="preserve"> </w:t>
      </w:r>
      <w:r w:rsidRPr="007B6014">
        <w:rPr>
          <w:rStyle w:val="FootnoteReference"/>
          <w:szCs w:val="26"/>
          <w:vertAlign w:val="baseline"/>
          <w:rtl/>
        </w:rPr>
        <w:t>وفي ضوء ذلك، لم يجد المجلس سبباً للموافقة على طلب صاحب البلاغ تعليق القضية إلى حين اتخاذ وزارة الخارجية إجراءً للتحقق من صحة أمر الاستدعاء والتحقيق فيما إذا كانت هناك قضية مرفوعة ضد صاحب البلاغ.</w:t>
      </w:r>
    </w:p>
  </w:footnote>
  <w:footnote w:id="7">
    <w:p w:rsidR="00FE4A26" w:rsidRPr="007B6014" w:rsidRDefault="00FE4A26" w:rsidP="00ED4213">
      <w:pPr>
        <w:pStyle w:val="FootnoteText1"/>
        <w:rPr>
          <w:rStyle w:val="FootnoteReference"/>
          <w:szCs w:val="26"/>
          <w:vertAlign w:val="baseline"/>
          <w:rtl/>
        </w:rPr>
      </w:pPr>
      <w:r w:rsidRPr="007B6014">
        <w:rPr>
          <w:rStyle w:val="FootnoteReference"/>
          <w:szCs w:val="26"/>
          <w:vertAlign w:val="baseline"/>
          <w:rtl/>
        </w:rPr>
        <w:t>(</w:t>
      </w:r>
      <w:r w:rsidRPr="007B6014">
        <w:rPr>
          <w:rStyle w:val="FootnoteReference"/>
          <w:szCs w:val="26"/>
          <w:vertAlign w:val="baseline"/>
          <w:rtl/>
        </w:rPr>
        <w:footnoteRef/>
      </w:r>
      <w:r w:rsidRPr="007B6014">
        <w:rPr>
          <w:rStyle w:val="FootnoteReference"/>
          <w:szCs w:val="26"/>
          <w:vertAlign w:val="baseline"/>
          <w:rtl/>
        </w:rPr>
        <w:t>)</w:t>
      </w:r>
      <w:r w:rsidRPr="007B6014">
        <w:rPr>
          <w:rtl/>
        </w:rPr>
        <w:tab/>
      </w:r>
      <w:r w:rsidRPr="007B6014">
        <w:rPr>
          <w:rStyle w:val="FootnoteReference"/>
          <w:szCs w:val="26"/>
          <w:vertAlign w:val="baseline"/>
          <w:rtl/>
        </w:rPr>
        <w:t>أكد المجلس أن البرنامج التلفزيوني تناول أوضاع ملتمسي اللجوء الذين أقاموا فترة طويلة في الدانمرك ورُفضت طلبات لجوئهم، وأن صاحب البلاغ تحدث فقط عن ظروفه الصحية وطول مدة إقامته في الدانمرك.</w:t>
      </w:r>
      <w:r w:rsidRPr="007B6014">
        <w:rPr>
          <w:rStyle w:val="FootnoteReference"/>
          <w:rFonts w:hint="cs"/>
          <w:szCs w:val="26"/>
          <w:vertAlign w:val="baseline"/>
          <w:rtl/>
        </w:rPr>
        <w:t xml:space="preserve"> </w:t>
      </w:r>
      <w:r w:rsidRPr="007B6014">
        <w:rPr>
          <w:rStyle w:val="FootnoteReference"/>
          <w:szCs w:val="26"/>
          <w:vertAlign w:val="baseline"/>
          <w:rtl/>
        </w:rPr>
        <w:t>ولم يتحدث صاحب البلاغ عن الأوضاع في جمهورية إيران الإسلامية ولم يوجه أي انتقاد إلى السلطات الإيرانية.</w:t>
      </w:r>
    </w:p>
  </w:footnote>
  <w:footnote w:id="8">
    <w:p w:rsidR="00FE4A26" w:rsidRPr="007B6014" w:rsidRDefault="00FE4A26" w:rsidP="00ED4213">
      <w:pPr>
        <w:pStyle w:val="FootnoteText1"/>
        <w:rPr>
          <w:rStyle w:val="FootnoteReference"/>
          <w:szCs w:val="26"/>
          <w:vertAlign w:val="baseline"/>
          <w:rtl/>
        </w:rPr>
      </w:pPr>
      <w:r w:rsidRPr="007B6014">
        <w:rPr>
          <w:rStyle w:val="FootnoteReference"/>
          <w:szCs w:val="26"/>
          <w:vertAlign w:val="baseline"/>
          <w:rtl/>
        </w:rPr>
        <w:t>(</w:t>
      </w:r>
      <w:r w:rsidRPr="007B6014">
        <w:rPr>
          <w:rStyle w:val="FootnoteReference"/>
          <w:szCs w:val="26"/>
          <w:vertAlign w:val="baseline"/>
          <w:rtl/>
        </w:rPr>
        <w:footnoteRef/>
      </w:r>
      <w:r w:rsidRPr="007B6014">
        <w:rPr>
          <w:rStyle w:val="FootnoteReference"/>
          <w:szCs w:val="26"/>
          <w:vertAlign w:val="baseline"/>
          <w:rtl/>
        </w:rPr>
        <w:t>)</w:t>
      </w:r>
      <w:r w:rsidRPr="007B6014">
        <w:rPr>
          <w:rtl/>
        </w:rPr>
        <w:tab/>
      </w:r>
      <w:r w:rsidRPr="007B6014">
        <w:rPr>
          <w:rStyle w:val="FootnoteReference"/>
          <w:szCs w:val="26"/>
          <w:vertAlign w:val="baseline"/>
          <w:rtl/>
        </w:rPr>
        <w:t xml:space="preserve">أشار المجلس إلى المعلومات الأساسية الموجودة، ومنها </w:t>
      </w:r>
      <w:r w:rsidR="00A27EA7">
        <w:rPr>
          <w:rStyle w:val="FootnoteReference"/>
          <w:szCs w:val="26"/>
          <w:vertAlign w:val="baseline"/>
          <w:rtl/>
        </w:rPr>
        <w:t>”</w:t>
      </w:r>
      <w:r w:rsidRPr="007B6014">
        <w:rPr>
          <w:rStyle w:val="FootnoteReference"/>
          <w:szCs w:val="26"/>
          <w:vertAlign w:val="baseline"/>
          <w:rtl/>
        </w:rPr>
        <w:t>المعلومات المتعلقة بالبلد الأصلي</w:t>
      </w:r>
      <w:r w:rsidR="00A27EA7">
        <w:rPr>
          <w:rStyle w:val="FootnoteReference"/>
          <w:szCs w:val="26"/>
          <w:vertAlign w:val="baseline"/>
          <w:rtl/>
        </w:rPr>
        <w:t>“</w:t>
      </w:r>
      <w:r w:rsidRPr="007B6014">
        <w:rPr>
          <w:rStyle w:val="FootnoteReference"/>
          <w:szCs w:val="26"/>
          <w:vertAlign w:val="baseline"/>
          <w:rtl/>
        </w:rPr>
        <w:t xml:space="preserve"> التي نشرتها وزارة الداخلية البريطانية في ٤ أيار/مايو ٢٠٠٧، والتي تفيد بأن ملتمسي اللجوء الذين ترفض طلباتهم للجوء لا</w:t>
      </w:r>
      <w:r w:rsidR="00645118">
        <w:rPr>
          <w:rStyle w:val="FootnoteReference"/>
          <w:rFonts w:hint="cs"/>
          <w:szCs w:val="26"/>
          <w:vertAlign w:val="baseline"/>
          <w:rtl/>
        </w:rPr>
        <w:t> </w:t>
      </w:r>
      <w:r w:rsidRPr="007B6014">
        <w:rPr>
          <w:rStyle w:val="FootnoteReference"/>
          <w:szCs w:val="26"/>
          <w:vertAlign w:val="baseline"/>
          <w:rtl/>
        </w:rPr>
        <w:t>يواجهون مشاكل جسيمة لدى عودتهم، إلا في حالة الأفراد البارزين.</w:t>
      </w:r>
    </w:p>
  </w:footnote>
  <w:footnote w:id="9">
    <w:p w:rsidR="00FE4A26" w:rsidRPr="007B6014" w:rsidRDefault="00FE4A26" w:rsidP="00ED4213">
      <w:pPr>
        <w:pStyle w:val="FootnoteText1"/>
        <w:rPr>
          <w:rStyle w:val="FootnoteReference"/>
          <w:szCs w:val="26"/>
          <w:vertAlign w:val="baseline"/>
          <w:rtl/>
        </w:rPr>
      </w:pPr>
      <w:r w:rsidRPr="007B6014">
        <w:rPr>
          <w:rStyle w:val="FootnoteReference"/>
          <w:szCs w:val="26"/>
          <w:vertAlign w:val="baseline"/>
          <w:rtl/>
        </w:rPr>
        <w:t>(</w:t>
      </w:r>
      <w:r w:rsidRPr="007B6014">
        <w:rPr>
          <w:rStyle w:val="FootnoteReference"/>
          <w:szCs w:val="26"/>
          <w:vertAlign w:val="baseline"/>
          <w:rtl/>
        </w:rPr>
        <w:footnoteRef/>
      </w:r>
      <w:r w:rsidRPr="007B6014">
        <w:rPr>
          <w:rStyle w:val="FootnoteReference"/>
          <w:szCs w:val="26"/>
          <w:vertAlign w:val="baseline"/>
          <w:rtl/>
        </w:rPr>
        <w:t>)</w:t>
      </w:r>
      <w:r w:rsidRPr="007B6014">
        <w:rPr>
          <w:rtl/>
        </w:rPr>
        <w:tab/>
      </w:r>
      <w:r w:rsidRPr="007B6014">
        <w:rPr>
          <w:rStyle w:val="FootnoteReference"/>
          <w:szCs w:val="26"/>
          <w:vertAlign w:val="baseline"/>
          <w:rtl/>
        </w:rPr>
        <w:t>لم تُقدَّم أي تفاصيل أخرى.</w:t>
      </w:r>
    </w:p>
  </w:footnote>
  <w:footnote w:id="10">
    <w:p w:rsidR="00FE4A26" w:rsidRPr="007B6014" w:rsidRDefault="00FE4A26" w:rsidP="00FE4A26">
      <w:pPr>
        <w:pStyle w:val="FootnoteText1"/>
        <w:spacing w:line="280" w:lineRule="exact"/>
        <w:rPr>
          <w:rtl/>
          <w:lang w:val="ar-SA" w:eastAsia="zh-TW"/>
        </w:rPr>
      </w:pPr>
      <w:r w:rsidRPr="007B6014">
        <w:rPr>
          <w:rtl/>
        </w:rPr>
        <w:t>(</w:t>
      </w:r>
      <w:r w:rsidRPr="007B6014">
        <w:rPr>
          <w:rStyle w:val="FootnoteReference"/>
          <w:vertAlign w:val="baseline"/>
        </w:rPr>
        <w:footnoteRef/>
      </w:r>
      <w:r w:rsidRPr="007B6014">
        <w:rPr>
          <w:sz w:val="26"/>
          <w:rtl/>
        </w:rPr>
        <w:t>)</w:t>
      </w:r>
      <w:r w:rsidRPr="007B6014">
        <w:rPr>
          <w:sz w:val="26"/>
          <w:rtl/>
        </w:rPr>
        <w:tab/>
      </w:r>
      <w:r w:rsidRPr="007B6014">
        <w:t>CERD/C/DEN/CO/17/Add.1</w:t>
      </w:r>
      <w:r w:rsidRPr="007B6014">
        <w:rPr>
          <w:rtl/>
        </w:rPr>
        <w:t>، الفقرة 12.</w:t>
      </w:r>
      <w:r w:rsidRPr="007B6014">
        <w:rPr>
          <w:rFonts w:hint="cs"/>
          <w:rtl/>
        </w:rPr>
        <w:t xml:space="preserve"> </w:t>
      </w:r>
    </w:p>
  </w:footnote>
  <w:footnote w:id="11">
    <w:p w:rsidR="00FE4A26" w:rsidRPr="007B6014" w:rsidRDefault="00FE4A26" w:rsidP="00FE4A26">
      <w:pPr>
        <w:pStyle w:val="FootnoteText1"/>
        <w:spacing w:line="280" w:lineRule="exact"/>
        <w:rPr>
          <w:rtl/>
          <w:lang w:val="ar-SA" w:eastAsia="zh-TW"/>
        </w:rPr>
      </w:pPr>
      <w:r w:rsidRPr="007B6014">
        <w:rPr>
          <w:rtl/>
        </w:rPr>
        <w:t>(</w:t>
      </w:r>
      <w:r w:rsidRPr="007B6014">
        <w:rPr>
          <w:rStyle w:val="FootnoteReference"/>
          <w:vertAlign w:val="baseline"/>
        </w:rPr>
        <w:footnoteRef/>
      </w:r>
      <w:r w:rsidRPr="007B6014">
        <w:rPr>
          <w:sz w:val="26"/>
          <w:rtl/>
        </w:rPr>
        <w:t>)</w:t>
      </w:r>
      <w:r w:rsidRPr="007B6014">
        <w:rPr>
          <w:sz w:val="26"/>
          <w:rtl/>
        </w:rPr>
        <w:tab/>
      </w:r>
      <w:r w:rsidRPr="007B6014">
        <w:t>CERD/C/DEN/CO/17</w:t>
      </w:r>
      <w:r w:rsidRPr="007B6014">
        <w:rPr>
          <w:rtl/>
        </w:rPr>
        <w:t>، الفقرة 13.</w:t>
      </w:r>
    </w:p>
  </w:footnote>
  <w:footnote w:id="12">
    <w:p w:rsidR="00FE4A26" w:rsidRPr="007B6014" w:rsidRDefault="00FE4A26" w:rsidP="00FE4A26">
      <w:pPr>
        <w:pStyle w:val="FootnoteText1"/>
        <w:spacing w:line="280" w:lineRule="exact"/>
        <w:rPr>
          <w:rtl/>
          <w:lang w:val="ar-SA" w:eastAsia="zh-TW"/>
        </w:rPr>
      </w:pPr>
      <w:r w:rsidRPr="007B6014">
        <w:rPr>
          <w:rStyle w:val="FootnoteReference"/>
          <w:rFonts w:eastAsiaTheme="majorEastAsia"/>
          <w:szCs w:val="26"/>
          <w:vertAlign w:val="baseline"/>
          <w:rtl/>
        </w:rPr>
        <w:t>(</w:t>
      </w:r>
      <w:r w:rsidRPr="007B6014">
        <w:rPr>
          <w:rStyle w:val="FootnoteReference"/>
          <w:rFonts w:eastAsiaTheme="majorEastAsia"/>
          <w:szCs w:val="26"/>
          <w:vertAlign w:val="baseline"/>
          <w:rtl/>
        </w:rPr>
        <w:footnoteRef/>
      </w:r>
      <w:r w:rsidRPr="007B6014">
        <w:rPr>
          <w:rStyle w:val="FootnoteReference"/>
          <w:rFonts w:eastAsiaTheme="majorEastAsia"/>
          <w:szCs w:val="26"/>
          <w:vertAlign w:val="baseline"/>
          <w:rtl/>
        </w:rPr>
        <w:t>)</w:t>
      </w:r>
      <w:r w:rsidR="007B6014" w:rsidRPr="007B6014">
        <w:rPr>
          <w:rtl/>
        </w:rPr>
        <w:tab/>
      </w:r>
      <w:r w:rsidRPr="007B6014">
        <w:rPr>
          <w:rtl/>
        </w:rPr>
        <w:t xml:space="preserve">انظر </w:t>
      </w:r>
      <w:r w:rsidRPr="00A27EA7">
        <w:rPr>
          <w:i/>
          <w:iCs/>
          <w:rtl/>
        </w:rPr>
        <w:t xml:space="preserve">أوباه حسين </w:t>
      </w:r>
      <w:r w:rsidRPr="00A27EA7">
        <w:rPr>
          <w:rStyle w:val="FootnoteReference"/>
          <w:i/>
          <w:iCs/>
          <w:szCs w:val="26"/>
          <w:vertAlign w:val="baseline"/>
          <w:rtl/>
        </w:rPr>
        <w:t>أحمد</w:t>
      </w:r>
      <w:r w:rsidRPr="00A27EA7">
        <w:rPr>
          <w:i/>
          <w:iCs/>
          <w:rtl/>
        </w:rPr>
        <w:t xml:space="preserve"> ضد الدانمرك</w:t>
      </w:r>
      <w:r w:rsidRPr="007B6014">
        <w:rPr>
          <w:rtl/>
        </w:rPr>
        <w:t xml:space="preserve"> (</w:t>
      </w:r>
      <w:r w:rsidRPr="007B6014">
        <w:t>CCPR/C/117/D/2379/2014</w:t>
      </w:r>
      <w:r w:rsidRPr="007B6014">
        <w:rPr>
          <w:rtl/>
        </w:rPr>
        <w:t>)</w:t>
      </w:r>
      <w:r w:rsidR="00A872C8">
        <w:rPr>
          <w:rFonts w:hint="cs"/>
          <w:rtl/>
        </w:rPr>
        <w:t>،</w:t>
      </w:r>
      <w:r w:rsidRPr="007B6014">
        <w:rPr>
          <w:rtl/>
        </w:rPr>
        <w:t xml:space="preserve"> الفقرات من 4-1 إلى 4-3).</w:t>
      </w:r>
    </w:p>
  </w:footnote>
  <w:footnote w:id="13">
    <w:p w:rsidR="00FE4A26" w:rsidRPr="007B6014" w:rsidRDefault="00FE4A26" w:rsidP="00FE4A26">
      <w:pPr>
        <w:pStyle w:val="FootnoteText1"/>
        <w:spacing w:line="280" w:lineRule="exact"/>
        <w:rPr>
          <w:rtl/>
          <w:lang w:val="ar-SA" w:eastAsia="zh-TW"/>
        </w:rPr>
      </w:pPr>
      <w:r w:rsidRPr="007B6014">
        <w:rPr>
          <w:rStyle w:val="FootnoteReference"/>
          <w:rFonts w:eastAsiaTheme="majorEastAsia"/>
          <w:szCs w:val="26"/>
          <w:vertAlign w:val="baseline"/>
          <w:rtl/>
        </w:rPr>
        <w:t>(</w:t>
      </w:r>
      <w:r w:rsidRPr="007B6014">
        <w:rPr>
          <w:rStyle w:val="FootnoteReference"/>
          <w:rFonts w:eastAsiaTheme="majorEastAsia"/>
          <w:szCs w:val="26"/>
          <w:vertAlign w:val="baseline"/>
          <w:rtl/>
        </w:rPr>
        <w:footnoteRef/>
      </w:r>
      <w:r w:rsidRPr="007B6014">
        <w:rPr>
          <w:rStyle w:val="FootnoteReference"/>
          <w:rFonts w:eastAsiaTheme="majorEastAsia"/>
          <w:szCs w:val="26"/>
          <w:vertAlign w:val="baseline"/>
          <w:rtl/>
        </w:rPr>
        <w:t>)</w:t>
      </w:r>
      <w:r w:rsidR="007B6014" w:rsidRPr="007B6014">
        <w:rPr>
          <w:rtl/>
        </w:rPr>
        <w:tab/>
      </w:r>
      <w:r w:rsidRPr="007B6014">
        <w:rPr>
          <w:rtl/>
        </w:rPr>
        <w:t>انظر المواد 7(1)-(3) و31(1)-(2) من قانون الأجانب.</w:t>
      </w:r>
    </w:p>
  </w:footnote>
  <w:footnote w:id="14">
    <w:p w:rsidR="00FE4A26" w:rsidRPr="007B6014" w:rsidRDefault="00FE4A26" w:rsidP="00FE4A26">
      <w:pPr>
        <w:pStyle w:val="FootnoteText1"/>
        <w:spacing w:line="280" w:lineRule="exact"/>
        <w:rPr>
          <w:rtl/>
          <w:lang w:val="ar-SA" w:eastAsia="zh-TW"/>
        </w:rPr>
      </w:pPr>
      <w:r w:rsidRPr="007B6014">
        <w:rPr>
          <w:rStyle w:val="FootnoteReference"/>
          <w:rFonts w:eastAsiaTheme="majorEastAsia"/>
          <w:szCs w:val="26"/>
          <w:vertAlign w:val="baseline"/>
          <w:rtl/>
        </w:rPr>
        <w:t>(</w:t>
      </w:r>
      <w:r w:rsidRPr="007B6014">
        <w:rPr>
          <w:rStyle w:val="FootnoteReference"/>
          <w:rFonts w:eastAsiaTheme="majorEastAsia"/>
          <w:szCs w:val="26"/>
          <w:vertAlign w:val="baseline"/>
          <w:rtl/>
        </w:rPr>
        <w:footnoteRef/>
      </w:r>
      <w:r w:rsidRPr="007B6014">
        <w:rPr>
          <w:rStyle w:val="FootnoteReference"/>
          <w:rFonts w:eastAsiaTheme="majorEastAsia"/>
          <w:szCs w:val="26"/>
          <w:vertAlign w:val="baseline"/>
          <w:rtl/>
        </w:rPr>
        <w:t>)</w:t>
      </w:r>
      <w:r w:rsidR="007B6014" w:rsidRPr="007B6014">
        <w:rPr>
          <w:rStyle w:val="FootnoteReference"/>
          <w:rFonts w:eastAsiaTheme="majorEastAsia"/>
          <w:szCs w:val="26"/>
          <w:vertAlign w:val="baseline"/>
          <w:rtl/>
        </w:rPr>
        <w:tab/>
      </w:r>
      <w:r w:rsidRPr="007B6014">
        <w:rPr>
          <w:rtl/>
        </w:rPr>
        <w:t xml:space="preserve">انظر </w:t>
      </w:r>
      <w:r w:rsidRPr="007B6014">
        <w:rPr>
          <w:rStyle w:val="FootnoteReference"/>
          <w:szCs w:val="26"/>
          <w:vertAlign w:val="baseline"/>
          <w:rtl/>
        </w:rPr>
        <w:t>قضية</w:t>
      </w:r>
      <w:r w:rsidRPr="007B6014">
        <w:rPr>
          <w:rtl/>
        </w:rPr>
        <w:t xml:space="preserve"> </w:t>
      </w:r>
      <w:r w:rsidRPr="00A27EA7">
        <w:rPr>
          <w:i/>
          <w:iCs/>
          <w:rtl/>
        </w:rPr>
        <w:t>فلان ضد الدانمرك</w:t>
      </w:r>
      <w:r w:rsidRPr="007B6014">
        <w:rPr>
          <w:rtl/>
        </w:rPr>
        <w:t xml:space="preserve"> (</w:t>
      </w:r>
      <w:r w:rsidRPr="007B6014">
        <w:t>CCPR/C/110/D/2007/2010</w:t>
      </w:r>
      <w:r w:rsidRPr="007B6014">
        <w:rPr>
          <w:rtl/>
        </w:rPr>
        <w:t>)</w:t>
      </w:r>
      <w:r w:rsidR="00A872C8">
        <w:rPr>
          <w:rFonts w:hint="cs"/>
          <w:rtl/>
        </w:rPr>
        <w:t>،</w:t>
      </w:r>
      <w:r w:rsidRPr="007B6014">
        <w:rPr>
          <w:rtl/>
        </w:rPr>
        <w:t xml:space="preserve"> الفقرة 8-5، وقضية </w:t>
      </w:r>
      <w:r w:rsidRPr="00A27EA7">
        <w:rPr>
          <w:i/>
          <w:iCs/>
          <w:rtl/>
        </w:rPr>
        <w:t>السيد فلان والسيدة</w:t>
      </w:r>
      <w:r w:rsidRPr="007B6014">
        <w:rPr>
          <w:rtl/>
        </w:rPr>
        <w:t xml:space="preserve"> </w:t>
      </w:r>
      <w:r w:rsidRPr="00A27EA7">
        <w:rPr>
          <w:i/>
          <w:iCs/>
          <w:rtl/>
        </w:rPr>
        <w:t>فلانة ضد الدانمرك</w:t>
      </w:r>
      <w:r w:rsidRPr="007B6014">
        <w:rPr>
          <w:rtl/>
        </w:rPr>
        <w:t xml:space="preserve"> (</w:t>
      </w:r>
      <w:r w:rsidRPr="007B6014">
        <w:t>CCPR/C/112/D/2186/2012</w:t>
      </w:r>
      <w:r w:rsidRPr="007B6014">
        <w:rPr>
          <w:rtl/>
        </w:rPr>
        <w:t>)، الفقرة 6-3.</w:t>
      </w:r>
    </w:p>
  </w:footnote>
  <w:footnote w:id="15">
    <w:p w:rsidR="00FE4A26" w:rsidRPr="007B6014" w:rsidRDefault="00FE4A26" w:rsidP="00FE4A26">
      <w:pPr>
        <w:pStyle w:val="FootnoteText1"/>
        <w:spacing w:line="280" w:lineRule="exact"/>
        <w:rPr>
          <w:rtl/>
          <w:lang w:val="ar-SA" w:eastAsia="zh-TW"/>
        </w:rPr>
      </w:pPr>
      <w:r w:rsidRPr="007B6014">
        <w:rPr>
          <w:rStyle w:val="FootnoteReference"/>
          <w:rFonts w:eastAsiaTheme="majorEastAsia"/>
          <w:szCs w:val="26"/>
          <w:vertAlign w:val="baseline"/>
          <w:rtl/>
        </w:rPr>
        <w:t>(</w:t>
      </w:r>
      <w:r w:rsidRPr="007B6014">
        <w:rPr>
          <w:rStyle w:val="FootnoteReference"/>
          <w:rFonts w:eastAsiaTheme="majorEastAsia"/>
          <w:szCs w:val="26"/>
          <w:vertAlign w:val="baseline"/>
          <w:rtl/>
        </w:rPr>
        <w:footnoteRef/>
      </w:r>
      <w:r w:rsidRPr="007B6014">
        <w:rPr>
          <w:rStyle w:val="FootnoteReference"/>
          <w:rFonts w:eastAsiaTheme="majorEastAsia"/>
          <w:szCs w:val="26"/>
          <w:vertAlign w:val="baseline"/>
          <w:rtl/>
        </w:rPr>
        <w:t>)</w:t>
      </w:r>
      <w:r w:rsidR="007B6014" w:rsidRPr="007B6014">
        <w:rPr>
          <w:rtl/>
          <w:lang w:bidi="ar-DZ"/>
        </w:rPr>
        <w:tab/>
      </w:r>
      <w:r w:rsidRPr="007B6014">
        <w:rPr>
          <w:rtl/>
          <w:lang w:bidi="ar-DZ"/>
        </w:rPr>
        <w:t xml:space="preserve">انظر قضية </w:t>
      </w:r>
      <w:r w:rsidRPr="007B6014">
        <w:rPr>
          <w:i/>
          <w:iCs/>
          <w:rtl/>
          <w:lang w:bidi="ar-DZ"/>
        </w:rPr>
        <w:t xml:space="preserve">أ. أ. </w:t>
      </w:r>
      <w:r w:rsidRPr="007B6014">
        <w:rPr>
          <w:i/>
          <w:iCs/>
          <w:rtl/>
        </w:rPr>
        <w:t xml:space="preserve">ي. </w:t>
      </w:r>
      <w:proofErr w:type="spellStart"/>
      <w:r w:rsidRPr="007B6014">
        <w:rPr>
          <w:i/>
          <w:iCs/>
          <w:rtl/>
        </w:rPr>
        <w:t>وأ</w:t>
      </w:r>
      <w:proofErr w:type="spellEnd"/>
      <w:r w:rsidRPr="007B6014">
        <w:rPr>
          <w:i/>
          <w:iCs/>
          <w:rtl/>
        </w:rPr>
        <w:t>. ه. أ. ضد الدانمرك</w:t>
      </w:r>
      <w:r w:rsidRPr="007B6014">
        <w:rPr>
          <w:rtl/>
        </w:rPr>
        <w:t xml:space="preserve"> (</w:t>
      </w:r>
      <w:r w:rsidRPr="007B6014">
        <w:t>CCPR/C/116/D/2402/2014</w:t>
      </w:r>
      <w:r w:rsidRPr="007B6014">
        <w:rPr>
          <w:rtl/>
        </w:rPr>
        <w:t xml:space="preserve">)، الفقرة 6-5، وقضية </w:t>
      </w:r>
      <w:r w:rsidRPr="007B6014">
        <w:rPr>
          <w:i/>
          <w:iCs/>
          <w:rtl/>
        </w:rPr>
        <w:t>فلان ضد الدانمرك</w:t>
      </w:r>
      <w:r w:rsidRPr="007B6014">
        <w:rPr>
          <w:rtl/>
        </w:rPr>
        <w:t>، الفقرة 9-2.</w:t>
      </w:r>
    </w:p>
  </w:footnote>
  <w:footnote w:id="16">
    <w:p w:rsidR="00FE4A26" w:rsidRPr="007B6014" w:rsidRDefault="00FE4A26" w:rsidP="00FE4A26">
      <w:pPr>
        <w:pStyle w:val="FootnoteText1"/>
        <w:spacing w:line="280" w:lineRule="exact"/>
        <w:rPr>
          <w:rtl/>
          <w:lang w:val="ar-SA" w:eastAsia="zh-TW"/>
        </w:rPr>
      </w:pPr>
      <w:r w:rsidRPr="007B6014">
        <w:rPr>
          <w:rStyle w:val="FootnoteReference"/>
          <w:rFonts w:eastAsiaTheme="majorEastAsia"/>
          <w:szCs w:val="26"/>
          <w:vertAlign w:val="baseline"/>
          <w:rtl/>
        </w:rPr>
        <w:t>(</w:t>
      </w:r>
      <w:r w:rsidRPr="007B6014">
        <w:rPr>
          <w:rStyle w:val="FootnoteReference"/>
          <w:rFonts w:eastAsiaTheme="majorEastAsia"/>
          <w:szCs w:val="26"/>
          <w:vertAlign w:val="baseline"/>
          <w:rtl/>
        </w:rPr>
        <w:footnoteRef/>
      </w:r>
      <w:r w:rsidRPr="007B6014">
        <w:rPr>
          <w:rStyle w:val="FootnoteReference"/>
          <w:rFonts w:eastAsiaTheme="majorEastAsia"/>
          <w:szCs w:val="26"/>
          <w:vertAlign w:val="baseline"/>
          <w:rtl/>
        </w:rPr>
        <w:t>)</w:t>
      </w:r>
      <w:r w:rsidR="007B6014">
        <w:rPr>
          <w:rtl/>
        </w:rPr>
        <w:tab/>
      </w:r>
      <w:r w:rsidRPr="007B6014">
        <w:rPr>
          <w:rtl/>
        </w:rPr>
        <w:t>أُعيد أيضاً فتح إجراءات اللجوء بعد تقييم محدد وفردي للمعلومات الجديدة المقدمة بشأن تحول ملتمس اللجوء في سياق شكوى مقدمة إلى اللجنة.</w:t>
      </w:r>
    </w:p>
  </w:footnote>
  <w:footnote w:id="17">
    <w:p w:rsidR="00FE4A26" w:rsidRPr="007B6014" w:rsidRDefault="00FE4A26" w:rsidP="00FE4A26">
      <w:pPr>
        <w:pStyle w:val="FootnoteText1"/>
        <w:spacing w:line="280" w:lineRule="exact"/>
        <w:rPr>
          <w:rtl/>
          <w:lang w:val="ar-SA" w:eastAsia="zh-TW"/>
        </w:rPr>
      </w:pPr>
      <w:r w:rsidRPr="007B6014">
        <w:rPr>
          <w:rStyle w:val="FootnoteReference"/>
          <w:rFonts w:eastAsiaTheme="majorEastAsia"/>
          <w:szCs w:val="26"/>
          <w:vertAlign w:val="baseline"/>
          <w:rtl/>
        </w:rPr>
        <w:t>(</w:t>
      </w:r>
      <w:r w:rsidRPr="007B6014">
        <w:rPr>
          <w:rStyle w:val="FootnoteReference"/>
          <w:rFonts w:eastAsiaTheme="majorEastAsia"/>
          <w:szCs w:val="26"/>
          <w:vertAlign w:val="baseline"/>
          <w:rtl/>
        </w:rPr>
        <w:footnoteRef/>
      </w:r>
      <w:r w:rsidRPr="007B6014">
        <w:rPr>
          <w:rStyle w:val="FootnoteReference"/>
          <w:rFonts w:eastAsiaTheme="majorEastAsia"/>
          <w:szCs w:val="26"/>
          <w:vertAlign w:val="baseline"/>
          <w:rtl/>
        </w:rPr>
        <w:t>)</w:t>
      </w:r>
      <w:r w:rsidR="007B6014">
        <w:rPr>
          <w:rtl/>
        </w:rPr>
        <w:tab/>
      </w:r>
      <w:proofErr w:type="spellStart"/>
      <w:r w:rsidRPr="00A27EA7">
        <w:rPr>
          <w:i/>
          <w:iCs/>
          <w:rtl/>
        </w:rPr>
        <w:t>ماروفيدو</w:t>
      </w:r>
      <w:proofErr w:type="spellEnd"/>
      <w:r w:rsidRPr="00A27EA7">
        <w:rPr>
          <w:i/>
          <w:iCs/>
          <w:rtl/>
        </w:rPr>
        <w:t xml:space="preserve"> ضد السويد</w:t>
      </w:r>
      <w:r w:rsidRPr="007B6014">
        <w:rPr>
          <w:rtl/>
        </w:rPr>
        <w:t xml:space="preserve"> (</w:t>
      </w:r>
      <w:r w:rsidRPr="007B6014">
        <w:t>CCPR/C/12/D/58/1979</w:t>
      </w:r>
      <w:r w:rsidRPr="007B6014">
        <w:rPr>
          <w:rtl/>
        </w:rPr>
        <w:t>).</w:t>
      </w:r>
    </w:p>
  </w:footnote>
  <w:footnote w:id="18">
    <w:p w:rsidR="00FE4A26" w:rsidRPr="007B6014" w:rsidRDefault="00FE4A26" w:rsidP="00FE4A26">
      <w:pPr>
        <w:pStyle w:val="FootnoteText1"/>
        <w:spacing w:line="280" w:lineRule="exact"/>
        <w:rPr>
          <w:rtl/>
          <w:lang w:val="ar-SA" w:eastAsia="zh-TW"/>
        </w:rPr>
      </w:pPr>
      <w:r w:rsidRPr="007B6014">
        <w:rPr>
          <w:rStyle w:val="FootnoteReference"/>
          <w:rFonts w:eastAsiaTheme="majorEastAsia"/>
          <w:szCs w:val="26"/>
          <w:vertAlign w:val="baseline"/>
          <w:rtl/>
        </w:rPr>
        <w:t>(</w:t>
      </w:r>
      <w:r w:rsidRPr="007B6014">
        <w:rPr>
          <w:rStyle w:val="FootnoteReference"/>
          <w:rFonts w:eastAsiaTheme="majorEastAsia"/>
          <w:szCs w:val="26"/>
          <w:vertAlign w:val="baseline"/>
          <w:rtl/>
        </w:rPr>
        <w:footnoteRef/>
      </w:r>
      <w:r w:rsidRPr="007B6014">
        <w:rPr>
          <w:rStyle w:val="FootnoteReference"/>
          <w:rFonts w:eastAsiaTheme="majorEastAsia"/>
          <w:szCs w:val="26"/>
          <w:vertAlign w:val="baseline"/>
          <w:rtl/>
        </w:rPr>
        <w:t>)</w:t>
      </w:r>
      <w:r w:rsidR="007B6014">
        <w:rPr>
          <w:rtl/>
        </w:rPr>
        <w:tab/>
      </w:r>
      <w:r w:rsidRPr="007B6014">
        <w:rPr>
          <w:rtl/>
        </w:rPr>
        <w:t xml:space="preserve">لا </w:t>
      </w:r>
      <w:r w:rsidRPr="007B6014">
        <w:rPr>
          <w:rStyle w:val="FootnoteReference"/>
          <w:szCs w:val="26"/>
          <w:vertAlign w:val="baseline"/>
          <w:rtl/>
        </w:rPr>
        <w:t>يرد</w:t>
      </w:r>
      <w:r w:rsidRPr="007B6014">
        <w:rPr>
          <w:rtl/>
        </w:rPr>
        <w:t xml:space="preserve"> ذكر آخر للمادة ١٤.</w:t>
      </w:r>
    </w:p>
  </w:footnote>
  <w:footnote w:id="19">
    <w:p w:rsidR="00FE4A26" w:rsidRPr="007B6014" w:rsidRDefault="00FE4A26" w:rsidP="00FE4A26">
      <w:pPr>
        <w:pStyle w:val="FootnoteText1"/>
        <w:spacing w:line="280" w:lineRule="exact"/>
        <w:rPr>
          <w:rtl/>
          <w:lang w:val="ar-SA" w:eastAsia="zh-TW"/>
        </w:rPr>
      </w:pPr>
      <w:r w:rsidRPr="007B6014">
        <w:rPr>
          <w:rStyle w:val="FootnoteReference"/>
          <w:rFonts w:eastAsiaTheme="majorEastAsia"/>
          <w:szCs w:val="26"/>
          <w:vertAlign w:val="baseline"/>
          <w:rtl/>
        </w:rPr>
        <w:t>(</w:t>
      </w:r>
      <w:r w:rsidRPr="007B6014">
        <w:rPr>
          <w:rStyle w:val="FootnoteReference"/>
          <w:rFonts w:eastAsiaTheme="majorEastAsia"/>
          <w:szCs w:val="26"/>
          <w:vertAlign w:val="baseline"/>
          <w:rtl/>
        </w:rPr>
        <w:footnoteRef/>
      </w:r>
      <w:r w:rsidRPr="007B6014">
        <w:rPr>
          <w:rStyle w:val="FootnoteReference"/>
          <w:rFonts w:eastAsiaTheme="majorEastAsia"/>
          <w:szCs w:val="26"/>
          <w:vertAlign w:val="baseline"/>
          <w:rtl/>
        </w:rPr>
        <w:t>)</w:t>
      </w:r>
      <w:r w:rsidR="007B6014">
        <w:rPr>
          <w:rtl/>
        </w:rPr>
        <w:tab/>
      </w:r>
      <w:r w:rsidRPr="007B6014">
        <w:rPr>
          <w:rStyle w:val="FootnoteReference"/>
          <w:szCs w:val="26"/>
          <w:vertAlign w:val="baseline"/>
          <w:rtl/>
        </w:rPr>
        <w:t>المحكمة</w:t>
      </w:r>
      <w:r w:rsidRPr="007B6014">
        <w:rPr>
          <w:rtl/>
        </w:rPr>
        <w:t xml:space="preserve"> الأوروبية لحقوق الإنسان، قضية </w:t>
      </w:r>
      <w:r w:rsidRPr="007B6014">
        <w:rPr>
          <w:i/>
          <w:iCs/>
          <w:rtl/>
        </w:rPr>
        <w:t>ف.</w:t>
      </w:r>
      <w:r w:rsidR="007B6014" w:rsidRPr="007B6014">
        <w:rPr>
          <w:rFonts w:hint="cs"/>
          <w:i/>
          <w:iCs/>
          <w:rtl/>
        </w:rPr>
        <w:t xml:space="preserve"> </w:t>
      </w:r>
      <w:r w:rsidRPr="007B6014">
        <w:rPr>
          <w:i/>
          <w:iCs/>
          <w:rtl/>
        </w:rPr>
        <w:t>ج. ضد السويد</w:t>
      </w:r>
      <w:r w:rsidRPr="007B6014">
        <w:rPr>
          <w:rtl/>
        </w:rPr>
        <w:t xml:space="preserve">، الطلب رقم 43611/11، الحكم الصادر في 23 آذار/مارس </w:t>
      </w:r>
      <w:r w:rsidRPr="007B6014">
        <w:rPr>
          <w:rtl/>
          <w:lang w:val="ar-SA" w:eastAsia="zh-TW"/>
        </w:rPr>
        <w:t>2016.</w:t>
      </w:r>
    </w:p>
  </w:footnote>
  <w:footnote w:id="20">
    <w:p w:rsidR="00FE4A26" w:rsidRPr="007B6014" w:rsidRDefault="00FE4A26" w:rsidP="007B6014">
      <w:pPr>
        <w:pStyle w:val="FootnoteText1"/>
        <w:spacing w:line="280" w:lineRule="exact"/>
        <w:rPr>
          <w:rtl/>
          <w:lang w:val="ar-SA" w:eastAsia="zh-TW"/>
        </w:rPr>
      </w:pPr>
      <w:r w:rsidRPr="007B6014">
        <w:rPr>
          <w:rStyle w:val="FootnoteReference"/>
          <w:rFonts w:eastAsiaTheme="majorEastAsia"/>
          <w:szCs w:val="26"/>
          <w:vertAlign w:val="baseline"/>
          <w:rtl/>
        </w:rPr>
        <w:t>(</w:t>
      </w:r>
      <w:r w:rsidRPr="007B6014">
        <w:rPr>
          <w:rStyle w:val="FootnoteReference"/>
          <w:rFonts w:eastAsiaTheme="majorEastAsia"/>
          <w:szCs w:val="26"/>
          <w:vertAlign w:val="baseline"/>
          <w:rtl/>
        </w:rPr>
        <w:footnoteRef/>
      </w:r>
      <w:r w:rsidRPr="007B6014">
        <w:rPr>
          <w:rStyle w:val="FootnoteReference"/>
          <w:rFonts w:eastAsiaTheme="majorEastAsia"/>
          <w:szCs w:val="26"/>
          <w:vertAlign w:val="baseline"/>
          <w:rtl/>
        </w:rPr>
        <w:t>)</w:t>
      </w:r>
      <w:r w:rsidR="007B6014">
        <w:rPr>
          <w:rtl/>
        </w:rPr>
        <w:tab/>
      </w:r>
      <w:r w:rsidRPr="007B6014">
        <w:rPr>
          <w:rStyle w:val="FootnoteReference"/>
          <w:szCs w:val="26"/>
          <w:vertAlign w:val="baseline"/>
          <w:rtl/>
        </w:rPr>
        <w:t>يشير</w:t>
      </w:r>
      <w:r w:rsidRPr="007B6014">
        <w:rPr>
          <w:rtl/>
        </w:rPr>
        <w:t xml:space="preserve"> محامي صاحب البلاغ إلى قضايا مماثلة أخرى أُقيمت ضد الدانمرك، وهي قضايا قُدمت إلى اللجنة وأُوقف النظر فيها لاحقاً.</w:t>
      </w:r>
    </w:p>
  </w:footnote>
  <w:footnote w:id="21">
    <w:p w:rsidR="00FE4A26" w:rsidRPr="007B6014" w:rsidRDefault="00FE4A26" w:rsidP="00FE4A26">
      <w:pPr>
        <w:pStyle w:val="FootnoteText1"/>
        <w:spacing w:line="280" w:lineRule="exact"/>
        <w:rPr>
          <w:rtl/>
          <w:lang w:val="ar-SA" w:eastAsia="zh-TW"/>
        </w:rPr>
      </w:pPr>
      <w:r w:rsidRPr="007B6014">
        <w:rPr>
          <w:rStyle w:val="FootnoteReference"/>
          <w:rFonts w:eastAsiaTheme="majorEastAsia"/>
          <w:szCs w:val="26"/>
          <w:vertAlign w:val="baseline"/>
          <w:rtl/>
        </w:rPr>
        <w:t>(</w:t>
      </w:r>
      <w:r w:rsidRPr="007B6014">
        <w:rPr>
          <w:rStyle w:val="FootnoteReference"/>
          <w:rFonts w:eastAsiaTheme="majorEastAsia"/>
          <w:szCs w:val="26"/>
          <w:vertAlign w:val="baseline"/>
          <w:rtl/>
        </w:rPr>
        <w:footnoteRef/>
      </w:r>
      <w:r w:rsidRPr="007B6014">
        <w:rPr>
          <w:rStyle w:val="FootnoteReference"/>
          <w:rFonts w:eastAsiaTheme="majorEastAsia"/>
          <w:szCs w:val="26"/>
          <w:vertAlign w:val="baseline"/>
          <w:rtl/>
        </w:rPr>
        <w:t>)</w:t>
      </w:r>
      <w:r w:rsidR="007B6014">
        <w:rPr>
          <w:rtl/>
        </w:rPr>
        <w:tab/>
      </w:r>
      <w:r w:rsidRPr="007B6014">
        <w:rPr>
          <w:rStyle w:val="FootnoteReference"/>
          <w:szCs w:val="26"/>
          <w:vertAlign w:val="baseline"/>
          <w:rtl/>
        </w:rPr>
        <w:t>انظر</w:t>
      </w:r>
      <w:r w:rsidRPr="007B6014">
        <w:rPr>
          <w:rtl/>
        </w:rPr>
        <w:t xml:space="preserve"> قضية </w:t>
      </w:r>
      <w:r w:rsidRPr="00A27EA7">
        <w:rPr>
          <w:i/>
          <w:iCs/>
          <w:rtl/>
        </w:rPr>
        <w:t>فلان ضد النرويج</w:t>
      </w:r>
      <w:r w:rsidR="007B6014">
        <w:rPr>
          <w:rtl/>
        </w:rPr>
        <w:t xml:space="preserve"> </w:t>
      </w:r>
      <w:r w:rsidRPr="007B6014">
        <w:t>(CCPR/C/115/D/2474/2014)</w:t>
      </w:r>
      <w:r w:rsidRPr="007B6014">
        <w:rPr>
          <w:rtl/>
          <w:lang w:bidi="ar-DZ"/>
        </w:rPr>
        <w:t>، الفقرة 7-6</w:t>
      </w:r>
      <w:r w:rsidRPr="007B6014">
        <w:rPr>
          <w:rtl/>
        </w:rPr>
        <w:t>.</w:t>
      </w:r>
    </w:p>
  </w:footnote>
  <w:footnote w:id="22">
    <w:p w:rsidR="00FE4A26" w:rsidRPr="007B6014" w:rsidRDefault="00FE4A26" w:rsidP="00FE4A26">
      <w:pPr>
        <w:pStyle w:val="FootnoteText1"/>
        <w:spacing w:line="280" w:lineRule="exact"/>
        <w:rPr>
          <w:rtl/>
          <w:lang w:val="ar-SA" w:eastAsia="zh-TW"/>
        </w:rPr>
      </w:pPr>
      <w:r w:rsidRPr="007B6014">
        <w:rPr>
          <w:rStyle w:val="FootnoteReference"/>
          <w:rFonts w:eastAsiaTheme="majorEastAsia"/>
          <w:szCs w:val="26"/>
          <w:vertAlign w:val="baseline"/>
          <w:rtl/>
        </w:rPr>
        <w:t>(</w:t>
      </w:r>
      <w:r w:rsidRPr="007B6014">
        <w:rPr>
          <w:rStyle w:val="FootnoteReference"/>
          <w:rFonts w:eastAsiaTheme="majorEastAsia"/>
          <w:szCs w:val="26"/>
          <w:vertAlign w:val="baseline"/>
          <w:rtl/>
        </w:rPr>
        <w:footnoteRef/>
      </w:r>
      <w:r w:rsidRPr="007B6014">
        <w:rPr>
          <w:rStyle w:val="FootnoteReference"/>
          <w:rFonts w:eastAsiaTheme="majorEastAsia"/>
          <w:szCs w:val="26"/>
          <w:vertAlign w:val="baseline"/>
          <w:rtl/>
        </w:rPr>
        <w:t>)</w:t>
      </w:r>
      <w:r w:rsidR="007B6014">
        <w:rPr>
          <w:rtl/>
        </w:rPr>
        <w:tab/>
      </w:r>
      <w:r w:rsidRPr="007B6014">
        <w:rPr>
          <w:rStyle w:val="FootnoteReference"/>
          <w:szCs w:val="26"/>
          <w:vertAlign w:val="baseline"/>
          <w:rtl/>
        </w:rPr>
        <w:t>انظر</w:t>
      </w:r>
      <w:r w:rsidRPr="007B6014">
        <w:rPr>
          <w:rtl/>
        </w:rPr>
        <w:t xml:space="preserve"> المادة ٥٣(١٢) من قانون الأجانب والمادة ٤٨ من النظام الداخلي لمجلس طعون اللاجئين.</w:t>
      </w:r>
    </w:p>
  </w:footnote>
  <w:footnote w:id="23">
    <w:p w:rsidR="00FE4A26" w:rsidRPr="007B6014" w:rsidRDefault="00FE4A26" w:rsidP="00FE4A26">
      <w:pPr>
        <w:pStyle w:val="FootnoteText1"/>
        <w:spacing w:line="280" w:lineRule="exact"/>
        <w:rPr>
          <w:rtl/>
          <w:lang w:val="ar-SA" w:eastAsia="zh-TW"/>
        </w:rPr>
      </w:pPr>
      <w:r w:rsidRPr="007B6014">
        <w:rPr>
          <w:rStyle w:val="FootnoteReference"/>
          <w:rFonts w:eastAsiaTheme="majorEastAsia"/>
          <w:szCs w:val="26"/>
          <w:vertAlign w:val="baseline"/>
          <w:rtl/>
        </w:rPr>
        <w:t>(</w:t>
      </w:r>
      <w:r w:rsidRPr="007B6014">
        <w:rPr>
          <w:rStyle w:val="FootnoteReference"/>
          <w:rFonts w:eastAsiaTheme="majorEastAsia"/>
          <w:szCs w:val="26"/>
          <w:vertAlign w:val="baseline"/>
          <w:rtl/>
        </w:rPr>
        <w:footnoteRef/>
      </w:r>
      <w:r w:rsidRPr="007B6014">
        <w:rPr>
          <w:rStyle w:val="FootnoteReference"/>
          <w:rFonts w:eastAsiaTheme="majorEastAsia"/>
          <w:szCs w:val="26"/>
          <w:vertAlign w:val="baseline"/>
          <w:rtl/>
        </w:rPr>
        <w:t>)</w:t>
      </w:r>
      <w:r w:rsidR="007B6014">
        <w:rPr>
          <w:rtl/>
        </w:rPr>
        <w:tab/>
      </w:r>
      <w:r w:rsidRPr="007B6014">
        <w:rPr>
          <w:rtl/>
        </w:rPr>
        <w:t xml:space="preserve">انظر </w:t>
      </w:r>
      <w:r w:rsidRPr="007B6014">
        <w:rPr>
          <w:rStyle w:val="FootnoteReference"/>
          <w:szCs w:val="26"/>
          <w:vertAlign w:val="baseline"/>
          <w:rtl/>
        </w:rPr>
        <w:t>قضية</w:t>
      </w:r>
      <w:r w:rsidRPr="007B6014">
        <w:rPr>
          <w:rtl/>
        </w:rPr>
        <w:t xml:space="preserve"> </w:t>
      </w:r>
      <w:r w:rsidRPr="00A27EA7">
        <w:rPr>
          <w:i/>
          <w:iCs/>
          <w:rtl/>
        </w:rPr>
        <w:t xml:space="preserve">ب. </w:t>
      </w:r>
      <w:r w:rsidR="00A872C8">
        <w:rPr>
          <w:rFonts w:hint="cs"/>
          <w:i/>
          <w:iCs/>
          <w:rtl/>
        </w:rPr>
        <w:t>ك</w:t>
      </w:r>
      <w:r w:rsidRPr="00A27EA7">
        <w:rPr>
          <w:i/>
          <w:iCs/>
          <w:rtl/>
        </w:rPr>
        <w:t>. ضد الدانمرك</w:t>
      </w:r>
      <w:r w:rsidRPr="007B6014">
        <w:rPr>
          <w:rtl/>
        </w:rPr>
        <w:t xml:space="preserve"> (</w:t>
      </w:r>
      <w:r w:rsidRPr="007B6014">
        <w:t>CCPR/C/113/D/2272/2013</w:t>
      </w:r>
      <w:r w:rsidRPr="007B6014">
        <w:rPr>
          <w:rtl/>
        </w:rPr>
        <w:t>)، الفقرة 7-3؛</w:t>
      </w:r>
      <w:r w:rsidRPr="007B6014">
        <w:rPr>
          <w:rFonts w:hint="cs"/>
          <w:rtl/>
        </w:rPr>
        <w:t xml:space="preserve"> </w:t>
      </w:r>
      <w:r w:rsidRPr="007B6014">
        <w:rPr>
          <w:rtl/>
        </w:rPr>
        <w:t xml:space="preserve">وقضية </w:t>
      </w:r>
      <w:r w:rsidRPr="007B6014">
        <w:rPr>
          <w:i/>
          <w:iCs/>
          <w:rtl/>
        </w:rPr>
        <w:t xml:space="preserve">ن. ضد الدانمرك </w:t>
      </w:r>
      <w:r w:rsidRPr="007B6014">
        <w:rPr>
          <w:rtl/>
        </w:rPr>
        <w:t>(</w:t>
      </w:r>
      <w:r w:rsidRPr="007B6014">
        <w:t>CCPR/C/114/D/2426/2014</w:t>
      </w:r>
      <w:r w:rsidRPr="007B6014">
        <w:rPr>
          <w:rtl/>
        </w:rPr>
        <w:t>)، الفقرة 6-6؛</w:t>
      </w:r>
      <w:r w:rsidRPr="007B6014">
        <w:rPr>
          <w:rFonts w:hint="cs"/>
          <w:rtl/>
        </w:rPr>
        <w:t xml:space="preserve"> </w:t>
      </w:r>
      <w:r w:rsidRPr="007B6014">
        <w:rPr>
          <w:rtl/>
        </w:rPr>
        <w:t xml:space="preserve">وقضية </w:t>
      </w:r>
      <w:r w:rsidRPr="007B6014">
        <w:rPr>
          <w:i/>
          <w:iCs/>
          <w:rtl/>
        </w:rPr>
        <w:t>ك. ضد الدانمرك</w:t>
      </w:r>
      <w:r w:rsidRPr="007B6014">
        <w:rPr>
          <w:rtl/>
        </w:rPr>
        <w:t xml:space="preserve"> (</w:t>
      </w:r>
      <w:r w:rsidRPr="007B6014">
        <w:t>CCPR/C/114/D/2393/2014</w:t>
      </w:r>
      <w:r w:rsidRPr="007B6014">
        <w:rPr>
          <w:rtl/>
        </w:rPr>
        <w:t xml:space="preserve">)، الفقرتان 7-4 و7-5؛ وقضية </w:t>
      </w:r>
      <w:r w:rsidRPr="007B6014">
        <w:rPr>
          <w:i/>
          <w:iCs/>
          <w:rtl/>
        </w:rPr>
        <w:t>السيد فلان والسيدة فلانة ضد الدانمرك</w:t>
      </w:r>
      <w:r w:rsidRPr="007B6014">
        <w:rPr>
          <w:rtl/>
        </w:rPr>
        <w:t xml:space="preserve">، الفقرة 7-5؛ وقضية </w:t>
      </w:r>
      <w:r w:rsidRPr="007B6014">
        <w:rPr>
          <w:i/>
          <w:iCs/>
          <w:rtl/>
        </w:rPr>
        <w:t>ز. ضد الدانمرك</w:t>
      </w:r>
      <w:r w:rsidRPr="007B6014">
        <w:rPr>
          <w:rtl/>
        </w:rPr>
        <w:t xml:space="preserve"> (</w:t>
      </w:r>
      <w:r w:rsidRPr="007B6014">
        <w:t>CCPR/C/114/D/2393/2014</w:t>
      </w:r>
      <w:r w:rsidRPr="007B6014">
        <w:rPr>
          <w:rtl/>
        </w:rPr>
        <w:t>)، الفقرة 7-4.</w:t>
      </w:r>
    </w:p>
  </w:footnote>
  <w:footnote w:id="24">
    <w:p w:rsidR="00FE4A26" w:rsidRPr="007B6014" w:rsidRDefault="00FE4A26" w:rsidP="00FE4A26">
      <w:pPr>
        <w:pStyle w:val="FootnoteText1"/>
        <w:spacing w:line="280" w:lineRule="exact"/>
        <w:rPr>
          <w:rtl/>
          <w:lang w:val="ar-SA" w:eastAsia="zh-TW"/>
        </w:rPr>
      </w:pPr>
      <w:r w:rsidRPr="007B6014">
        <w:rPr>
          <w:rStyle w:val="FootnoteReference"/>
          <w:rFonts w:eastAsiaTheme="majorEastAsia"/>
          <w:szCs w:val="26"/>
          <w:vertAlign w:val="baseline"/>
          <w:rtl/>
        </w:rPr>
        <w:t>(</w:t>
      </w:r>
      <w:r w:rsidRPr="007B6014">
        <w:rPr>
          <w:rStyle w:val="FootnoteReference"/>
          <w:rFonts w:eastAsiaTheme="majorEastAsia"/>
          <w:szCs w:val="26"/>
          <w:vertAlign w:val="baseline"/>
          <w:rtl/>
        </w:rPr>
        <w:footnoteRef/>
      </w:r>
      <w:r w:rsidRPr="007B6014">
        <w:rPr>
          <w:rStyle w:val="FootnoteReference"/>
          <w:rFonts w:eastAsiaTheme="majorEastAsia"/>
          <w:szCs w:val="26"/>
          <w:vertAlign w:val="baseline"/>
          <w:rtl/>
        </w:rPr>
        <w:t>)</w:t>
      </w:r>
      <w:r w:rsidR="007B6014">
        <w:rPr>
          <w:rtl/>
        </w:rPr>
        <w:tab/>
      </w:r>
      <w:r w:rsidRPr="007B6014">
        <w:rPr>
          <w:rtl/>
        </w:rPr>
        <w:t xml:space="preserve">انظر </w:t>
      </w:r>
      <w:proofErr w:type="gramStart"/>
      <w:r w:rsidRPr="007B6014">
        <w:rPr>
          <w:i/>
          <w:iCs/>
          <w:rtl/>
        </w:rPr>
        <w:t>ب .</w:t>
      </w:r>
      <w:proofErr w:type="gramEnd"/>
      <w:r w:rsidRPr="007B6014">
        <w:rPr>
          <w:i/>
          <w:iCs/>
          <w:rtl/>
        </w:rPr>
        <w:t>ك. ضد كندا</w:t>
      </w:r>
      <w:r w:rsidRPr="007B6014">
        <w:rPr>
          <w:rtl/>
        </w:rPr>
        <w:t xml:space="preserve"> (</w:t>
      </w:r>
      <w:r w:rsidRPr="007B6014">
        <w:t>CCPR/C/89/D/1234/2003</w:t>
      </w:r>
      <w:r w:rsidRPr="007B6014">
        <w:rPr>
          <w:rtl/>
        </w:rPr>
        <w:t>)، الفقرتان 7-4 و7-5.</w:t>
      </w:r>
    </w:p>
  </w:footnote>
  <w:footnote w:id="25">
    <w:p w:rsidR="00FE4A26" w:rsidRPr="007B6014" w:rsidRDefault="00FE4A26" w:rsidP="00FE4A26">
      <w:pPr>
        <w:pStyle w:val="FootnoteText1"/>
        <w:spacing w:line="280" w:lineRule="exact"/>
        <w:rPr>
          <w:rtl/>
          <w:lang w:val="ar-SA" w:eastAsia="zh-TW"/>
        </w:rPr>
      </w:pPr>
      <w:r w:rsidRPr="007B6014">
        <w:rPr>
          <w:rStyle w:val="FootnoteReference"/>
          <w:rFonts w:eastAsiaTheme="majorEastAsia"/>
          <w:szCs w:val="26"/>
          <w:vertAlign w:val="baseline"/>
          <w:rtl/>
        </w:rPr>
        <w:t>(</w:t>
      </w:r>
      <w:r w:rsidRPr="007B6014">
        <w:rPr>
          <w:rStyle w:val="FootnoteReference"/>
          <w:rFonts w:eastAsiaTheme="majorEastAsia"/>
          <w:szCs w:val="26"/>
          <w:vertAlign w:val="baseline"/>
          <w:rtl/>
        </w:rPr>
        <w:footnoteRef/>
      </w:r>
      <w:r w:rsidRPr="007B6014">
        <w:rPr>
          <w:rStyle w:val="FootnoteReference"/>
          <w:rFonts w:eastAsiaTheme="majorEastAsia"/>
          <w:szCs w:val="26"/>
          <w:vertAlign w:val="baseline"/>
          <w:rtl/>
        </w:rPr>
        <w:t>)</w:t>
      </w:r>
      <w:r w:rsidR="00E50B2D">
        <w:rPr>
          <w:rtl/>
        </w:rPr>
        <w:tab/>
      </w:r>
      <w:r w:rsidRPr="007B6014">
        <w:rPr>
          <w:rtl/>
        </w:rPr>
        <w:t>انظر</w:t>
      </w:r>
      <w:r w:rsidRPr="007B6014">
        <w:rPr>
          <w:rtl/>
          <w:lang w:bidi="ar-DZ"/>
        </w:rPr>
        <w:t xml:space="preserve"> </w:t>
      </w:r>
      <w:r w:rsidRPr="00E50B2D">
        <w:rPr>
          <w:i/>
          <w:iCs/>
          <w:rtl/>
        </w:rPr>
        <w:t xml:space="preserve">أومو - </w:t>
      </w:r>
      <w:proofErr w:type="spellStart"/>
      <w:r w:rsidRPr="00E50B2D">
        <w:rPr>
          <w:i/>
          <w:iCs/>
          <w:rtl/>
        </w:rPr>
        <w:t>أمينغاوون</w:t>
      </w:r>
      <w:proofErr w:type="spellEnd"/>
      <w:r w:rsidRPr="00E50B2D">
        <w:rPr>
          <w:i/>
          <w:iCs/>
          <w:rtl/>
        </w:rPr>
        <w:t xml:space="preserve"> ضد الدانمرك</w:t>
      </w:r>
      <w:r w:rsidR="007B6014">
        <w:rPr>
          <w:rtl/>
        </w:rPr>
        <w:t xml:space="preserve"> </w:t>
      </w:r>
      <w:r w:rsidRPr="007B6014">
        <w:t>(CCPR/C/114/D/2288/2013)</w:t>
      </w:r>
      <w:r w:rsidRPr="007B6014">
        <w:rPr>
          <w:rtl/>
          <w:lang w:bidi="ar-DZ"/>
        </w:rPr>
        <w:t xml:space="preserve">، الفقرة 6-4، </w:t>
      </w:r>
      <w:r w:rsidRPr="007B6014">
        <w:rPr>
          <w:rtl/>
        </w:rPr>
        <w:t xml:space="preserve">وتعليق اللجنة العام </w:t>
      </w:r>
      <w:r w:rsidRPr="00A872C8">
        <w:rPr>
          <w:spacing w:val="-4"/>
          <w:rtl/>
        </w:rPr>
        <w:t>رقم</w:t>
      </w:r>
      <w:r w:rsidR="00A872C8" w:rsidRPr="00A872C8">
        <w:rPr>
          <w:rFonts w:hint="cs"/>
          <w:spacing w:val="-4"/>
          <w:rtl/>
        </w:rPr>
        <w:t> </w:t>
      </w:r>
      <w:r w:rsidRPr="00A872C8">
        <w:rPr>
          <w:spacing w:val="-4"/>
          <w:rtl/>
        </w:rPr>
        <w:t>٣٢(2007) بشأن الحق في المساواة أمام المحاكم والهيئات القضائية وفي محاكمة عادلة، الفقرتان ١٧ و٦٢</w:t>
      </w:r>
      <w:r w:rsidRPr="007B6014">
        <w:rPr>
          <w:rtl/>
        </w:rPr>
        <w:t>.</w:t>
      </w:r>
    </w:p>
  </w:footnote>
  <w:footnote w:id="26">
    <w:p w:rsidR="00FE4A26" w:rsidRPr="007B6014" w:rsidRDefault="00FE4A26" w:rsidP="00FE4A26">
      <w:pPr>
        <w:pStyle w:val="FootnoteText1"/>
        <w:spacing w:line="280" w:lineRule="exact"/>
        <w:rPr>
          <w:rtl/>
          <w:lang w:val="ar-SA" w:eastAsia="zh-TW"/>
        </w:rPr>
      </w:pPr>
      <w:r w:rsidRPr="007B6014">
        <w:rPr>
          <w:rStyle w:val="FootnoteReference"/>
          <w:rFonts w:eastAsiaTheme="majorEastAsia"/>
          <w:szCs w:val="26"/>
          <w:vertAlign w:val="baseline"/>
          <w:rtl/>
        </w:rPr>
        <w:t>(</w:t>
      </w:r>
      <w:r w:rsidRPr="007B6014">
        <w:rPr>
          <w:rStyle w:val="FootnoteReference"/>
          <w:rFonts w:eastAsiaTheme="majorEastAsia"/>
          <w:szCs w:val="26"/>
          <w:vertAlign w:val="baseline"/>
          <w:rtl/>
        </w:rPr>
        <w:footnoteRef/>
      </w:r>
      <w:r w:rsidRPr="007B6014">
        <w:rPr>
          <w:rStyle w:val="FootnoteReference"/>
          <w:rFonts w:eastAsiaTheme="majorEastAsia"/>
          <w:szCs w:val="26"/>
          <w:vertAlign w:val="baseline"/>
          <w:rtl/>
        </w:rPr>
        <w:t>)</w:t>
      </w:r>
      <w:r w:rsidR="00E50B2D">
        <w:rPr>
          <w:rtl/>
        </w:rPr>
        <w:tab/>
      </w:r>
      <w:r w:rsidRPr="007B6014">
        <w:rPr>
          <w:rtl/>
        </w:rPr>
        <w:t>انظر</w:t>
      </w:r>
      <w:r w:rsidRPr="00E50B2D">
        <w:rPr>
          <w:i/>
          <w:iCs/>
          <w:rtl/>
        </w:rPr>
        <w:t xml:space="preserve"> ك.</w:t>
      </w:r>
      <w:r w:rsidR="00E50B2D" w:rsidRPr="00E50B2D">
        <w:rPr>
          <w:rFonts w:hint="cs"/>
          <w:i/>
          <w:iCs/>
          <w:rtl/>
        </w:rPr>
        <w:t xml:space="preserve"> </w:t>
      </w:r>
      <w:r w:rsidRPr="00E50B2D">
        <w:rPr>
          <w:i/>
          <w:iCs/>
          <w:rtl/>
        </w:rPr>
        <w:t>ه. ضد الدانمرك</w:t>
      </w:r>
      <w:r w:rsidR="007B6014">
        <w:rPr>
          <w:rtl/>
        </w:rPr>
        <w:t xml:space="preserve"> </w:t>
      </w:r>
      <w:r w:rsidRPr="007B6014">
        <w:t>(CCPR/C/123/D/2423/2014)</w:t>
      </w:r>
      <w:r w:rsidRPr="007B6014">
        <w:rPr>
          <w:rtl/>
        </w:rPr>
        <w:t>، الفقرة 7-5.</w:t>
      </w:r>
    </w:p>
  </w:footnote>
  <w:footnote w:id="27">
    <w:p w:rsidR="00FE4A26" w:rsidRPr="007B6014" w:rsidRDefault="00FE4A26" w:rsidP="00FE4A26">
      <w:pPr>
        <w:pStyle w:val="FootnoteText1"/>
        <w:spacing w:line="280" w:lineRule="exact"/>
        <w:rPr>
          <w:rtl/>
          <w:lang w:val="ar-SA" w:eastAsia="zh-TW"/>
        </w:rPr>
      </w:pPr>
      <w:r w:rsidRPr="007B6014">
        <w:rPr>
          <w:rStyle w:val="FootnoteReference"/>
          <w:rFonts w:eastAsiaTheme="majorEastAsia"/>
          <w:szCs w:val="26"/>
          <w:vertAlign w:val="baseline"/>
          <w:rtl/>
        </w:rPr>
        <w:t>(</w:t>
      </w:r>
      <w:r w:rsidRPr="007B6014">
        <w:rPr>
          <w:rStyle w:val="FootnoteReference"/>
          <w:rFonts w:eastAsiaTheme="majorEastAsia"/>
          <w:szCs w:val="26"/>
          <w:vertAlign w:val="baseline"/>
          <w:rtl/>
        </w:rPr>
        <w:footnoteRef/>
      </w:r>
      <w:r w:rsidRPr="007B6014">
        <w:rPr>
          <w:rStyle w:val="FootnoteReference"/>
          <w:rFonts w:eastAsiaTheme="majorEastAsia"/>
          <w:szCs w:val="26"/>
          <w:vertAlign w:val="baseline"/>
          <w:rtl/>
        </w:rPr>
        <w:t>)</w:t>
      </w:r>
      <w:r w:rsidR="00E50B2D">
        <w:rPr>
          <w:rtl/>
        </w:rPr>
        <w:tab/>
      </w:r>
      <w:r w:rsidRPr="007B6014">
        <w:rPr>
          <w:rStyle w:val="FootnoteReference"/>
          <w:szCs w:val="26"/>
          <w:vertAlign w:val="baseline"/>
          <w:rtl/>
        </w:rPr>
        <w:t>انظر</w:t>
      </w:r>
      <w:r w:rsidRPr="007B6014">
        <w:rPr>
          <w:rtl/>
        </w:rPr>
        <w:t xml:space="preserve"> قضية </w:t>
      </w:r>
      <w:r w:rsidRPr="00E50B2D">
        <w:rPr>
          <w:i/>
          <w:iCs/>
          <w:rtl/>
        </w:rPr>
        <w:t>ك. ضد الدانمرك</w:t>
      </w:r>
      <w:r w:rsidRPr="007B6014">
        <w:rPr>
          <w:rtl/>
        </w:rPr>
        <w:t xml:space="preserve">، الفقرة 7-3؛ وقضية </w:t>
      </w:r>
      <w:r w:rsidRPr="00E50B2D">
        <w:rPr>
          <w:i/>
          <w:iCs/>
          <w:rtl/>
        </w:rPr>
        <w:t>ب. ت. ضد الدانمرك</w:t>
      </w:r>
      <w:r w:rsidRPr="007B6014">
        <w:rPr>
          <w:rtl/>
        </w:rPr>
        <w:t xml:space="preserve">، الفقرة 7-2؛ وقضية </w:t>
      </w:r>
      <w:r w:rsidRPr="00E50B2D">
        <w:rPr>
          <w:i/>
          <w:iCs/>
          <w:rtl/>
        </w:rPr>
        <w:t>فلان ضد الدانمرك</w:t>
      </w:r>
      <w:r w:rsidRPr="007B6014">
        <w:rPr>
          <w:rtl/>
        </w:rPr>
        <w:t>، الفقرة 9-2.</w:t>
      </w:r>
    </w:p>
  </w:footnote>
  <w:footnote w:id="28">
    <w:p w:rsidR="00FE4A26" w:rsidRPr="007B6014" w:rsidRDefault="00FE4A26" w:rsidP="00FE4A26">
      <w:pPr>
        <w:pStyle w:val="FootnoteText1"/>
        <w:spacing w:line="280" w:lineRule="exact"/>
        <w:rPr>
          <w:rtl/>
          <w:lang w:eastAsia="zh-CN" w:bidi="ar-DZ"/>
        </w:rPr>
      </w:pPr>
      <w:r w:rsidRPr="007B6014">
        <w:rPr>
          <w:rStyle w:val="FootnoteReference"/>
          <w:rFonts w:eastAsiaTheme="majorEastAsia"/>
          <w:szCs w:val="26"/>
          <w:vertAlign w:val="baseline"/>
          <w:rtl/>
        </w:rPr>
        <w:t>(</w:t>
      </w:r>
      <w:r w:rsidRPr="007B6014">
        <w:rPr>
          <w:rStyle w:val="FootnoteReference"/>
          <w:rFonts w:eastAsiaTheme="majorEastAsia"/>
          <w:szCs w:val="26"/>
          <w:vertAlign w:val="baseline"/>
          <w:rtl/>
        </w:rPr>
        <w:footnoteRef/>
      </w:r>
      <w:r w:rsidRPr="007B6014">
        <w:rPr>
          <w:rStyle w:val="FootnoteReference"/>
          <w:rFonts w:eastAsiaTheme="majorEastAsia"/>
          <w:szCs w:val="26"/>
          <w:vertAlign w:val="baseline"/>
          <w:rtl/>
        </w:rPr>
        <w:t>)</w:t>
      </w:r>
      <w:r w:rsidR="00E50B2D">
        <w:rPr>
          <w:rtl/>
        </w:rPr>
        <w:tab/>
      </w:r>
      <w:r w:rsidRPr="007B6014">
        <w:rPr>
          <w:rtl/>
          <w:lang w:bidi="ar-DZ"/>
        </w:rPr>
        <w:t xml:space="preserve">انظر قضية </w:t>
      </w:r>
      <w:r w:rsidRPr="00E50B2D">
        <w:rPr>
          <w:i/>
          <w:iCs/>
          <w:rtl/>
          <w:lang w:bidi="ar-DZ"/>
        </w:rPr>
        <w:t xml:space="preserve">فلان </w:t>
      </w:r>
      <w:r w:rsidRPr="00E50B2D">
        <w:rPr>
          <w:rStyle w:val="FootnoteReference"/>
          <w:i/>
          <w:iCs/>
          <w:szCs w:val="26"/>
          <w:vertAlign w:val="baseline"/>
          <w:rtl/>
        </w:rPr>
        <w:t>ضد</w:t>
      </w:r>
      <w:r w:rsidRPr="00E50B2D">
        <w:rPr>
          <w:i/>
          <w:iCs/>
          <w:rtl/>
          <w:lang w:bidi="ar-DZ"/>
        </w:rPr>
        <w:t xml:space="preserve"> السويد</w:t>
      </w:r>
      <w:r w:rsidRPr="007B6014">
        <w:rPr>
          <w:lang w:bidi="ar-DZ"/>
        </w:rPr>
        <w:t xml:space="preserve"> (CCPR/C/103/D/1833/2008)</w:t>
      </w:r>
      <w:r w:rsidRPr="007B6014">
        <w:rPr>
          <w:rtl/>
          <w:lang w:val="fr-CH" w:bidi="ar-DZ"/>
        </w:rPr>
        <w:t>، الفقرة 5-18.</w:t>
      </w:r>
      <w:r w:rsidR="007B6014">
        <w:rPr>
          <w:rtl/>
          <w:lang w:bidi="ar-DZ"/>
        </w:rPr>
        <w:t xml:space="preserve"> </w:t>
      </w:r>
      <w:r w:rsidRPr="007B6014">
        <w:rPr>
          <w:lang w:bidi="ar-DZ"/>
        </w:rPr>
        <w:t xml:space="preserve"> </w:t>
      </w:r>
    </w:p>
  </w:footnote>
  <w:footnote w:id="29">
    <w:p w:rsidR="00FE4A26" w:rsidRPr="007B6014" w:rsidRDefault="00FE4A26" w:rsidP="00FE4A26">
      <w:pPr>
        <w:pStyle w:val="FootnoteText1"/>
        <w:spacing w:line="280" w:lineRule="exact"/>
        <w:rPr>
          <w:lang w:val="ar-SA" w:eastAsia="zh-TW"/>
        </w:rPr>
      </w:pPr>
      <w:r w:rsidRPr="007B6014">
        <w:rPr>
          <w:rStyle w:val="FootnoteReference"/>
          <w:rFonts w:eastAsiaTheme="majorEastAsia"/>
          <w:szCs w:val="26"/>
          <w:vertAlign w:val="baseline"/>
          <w:rtl/>
        </w:rPr>
        <w:t>(</w:t>
      </w:r>
      <w:r w:rsidRPr="007B6014">
        <w:rPr>
          <w:rStyle w:val="FootnoteReference"/>
          <w:rFonts w:eastAsiaTheme="majorEastAsia"/>
          <w:szCs w:val="26"/>
          <w:vertAlign w:val="baseline"/>
          <w:rtl/>
        </w:rPr>
        <w:footnoteRef/>
      </w:r>
      <w:r w:rsidRPr="007B6014">
        <w:rPr>
          <w:rStyle w:val="FootnoteReference"/>
          <w:rFonts w:eastAsiaTheme="majorEastAsia"/>
          <w:szCs w:val="26"/>
          <w:vertAlign w:val="baseline"/>
          <w:rtl/>
        </w:rPr>
        <w:t>)</w:t>
      </w:r>
      <w:r w:rsidR="00E50B2D">
        <w:rPr>
          <w:rtl/>
        </w:rPr>
        <w:tab/>
      </w:r>
      <w:r w:rsidRPr="007B6014">
        <w:rPr>
          <w:rtl/>
        </w:rPr>
        <w:t xml:space="preserve">المرجع نفسه. انظر أيضاً قضية </w:t>
      </w:r>
      <w:r w:rsidRPr="00E50B2D">
        <w:rPr>
          <w:i/>
          <w:iCs/>
          <w:rtl/>
        </w:rPr>
        <w:t>فلان ضد الدانمرك</w:t>
      </w:r>
      <w:r w:rsidRPr="007B6014">
        <w:rPr>
          <w:rtl/>
        </w:rPr>
        <w:t>، الفقرة 9-2.</w:t>
      </w:r>
    </w:p>
  </w:footnote>
  <w:footnote w:id="30">
    <w:p w:rsidR="00FE4A26" w:rsidRPr="007B6014" w:rsidRDefault="00FE4A26" w:rsidP="00FE4A26">
      <w:pPr>
        <w:pStyle w:val="FootnoteText1"/>
        <w:spacing w:line="280" w:lineRule="exact"/>
        <w:rPr>
          <w:rtl/>
          <w:lang w:val="ar-SA" w:eastAsia="zh-TW"/>
        </w:rPr>
      </w:pPr>
      <w:r w:rsidRPr="007B6014">
        <w:rPr>
          <w:rStyle w:val="FootnoteReference"/>
          <w:rFonts w:eastAsiaTheme="majorEastAsia"/>
          <w:szCs w:val="26"/>
          <w:vertAlign w:val="baseline"/>
          <w:rtl/>
        </w:rPr>
        <w:t>(</w:t>
      </w:r>
      <w:r w:rsidRPr="007B6014">
        <w:rPr>
          <w:rStyle w:val="FootnoteReference"/>
          <w:rFonts w:eastAsiaTheme="majorEastAsia"/>
          <w:szCs w:val="26"/>
          <w:vertAlign w:val="baseline"/>
          <w:rtl/>
        </w:rPr>
        <w:footnoteRef/>
      </w:r>
      <w:r w:rsidRPr="007B6014">
        <w:rPr>
          <w:rStyle w:val="FootnoteReference"/>
          <w:rFonts w:eastAsiaTheme="majorEastAsia"/>
          <w:szCs w:val="26"/>
          <w:vertAlign w:val="baseline"/>
          <w:rtl/>
        </w:rPr>
        <w:t>)</w:t>
      </w:r>
      <w:r w:rsidR="00E50B2D">
        <w:rPr>
          <w:rtl/>
        </w:rPr>
        <w:tab/>
      </w:r>
      <w:r w:rsidRPr="007B6014">
        <w:rPr>
          <w:rtl/>
        </w:rPr>
        <w:t xml:space="preserve">انظر قضية </w:t>
      </w:r>
      <w:proofErr w:type="spellStart"/>
      <w:r w:rsidRPr="00E50B2D">
        <w:rPr>
          <w:i/>
          <w:iCs/>
          <w:rtl/>
        </w:rPr>
        <w:t>بيلاي</w:t>
      </w:r>
      <w:proofErr w:type="spellEnd"/>
      <w:r w:rsidRPr="00E50B2D">
        <w:rPr>
          <w:i/>
          <w:iCs/>
          <w:rtl/>
        </w:rPr>
        <w:t xml:space="preserve"> وآخرون ضد كندا</w:t>
      </w:r>
      <w:r w:rsidRPr="007B6014">
        <w:rPr>
          <w:rtl/>
        </w:rPr>
        <w:t xml:space="preserve"> (</w:t>
      </w:r>
      <w:r w:rsidRPr="007B6014">
        <w:t>CCPR/C/101/D/1763/2008</w:t>
      </w:r>
      <w:r w:rsidRPr="007B6014">
        <w:rPr>
          <w:rtl/>
        </w:rPr>
        <w:t xml:space="preserve">)، الفقرة 11-4، وقضية </w:t>
      </w:r>
      <w:r w:rsidRPr="00E50B2D">
        <w:rPr>
          <w:i/>
          <w:iCs/>
          <w:rtl/>
        </w:rPr>
        <w:t>ز.</w:t>
      </w:r>
      <w:r w:rsidR="00E50B2D" w:rsidRPr="00E50B2D">
        <w:rPr>
          <w:rFonts w:hint="cs"/>
          <w:i/>
          <w:iCs/>
          <w:rtl/>
        </w:rPr>
        <w:t xml:space="preserve"> </w:t>
      </w:r>
      <w:r w:rsidRPr="00E50B2D">
        <w:rPr>
          <w:i/>
          <w:iCs/>
          <w:rtl/>
        </w:rPr>
        <w:t>ه.</w:t>
      </w:r>
      <w:r w:rsidR="007B6014" w:rsidRPr="00E50B2D">
        <w:rPr>
          <w:i/>
          <w:iCs/>
          <w:rtl/>
        </w:rPr>
        <w:t xml:space="preserve"> </w:t>
      </w:r>
      <w:r w:rsidRPr="00E50B2D">
        <w:rPr>
          <w:i/>
          <w:iCs/>
          <w:rtl/>
        </w:rPr>
        <w:t>ضد أستراليا</w:t>
      </w:r>
      <w:r w:rsidRPr="007B6014">
        <w:rPr>
          <w:rtl/>
        </w:rPr>
        <w:t xml:space="preserve"> (</w:t>
      </w:r>
      <w:r w:rsidRPr="007B6014">
        <w:t>CCPR/C/107/D/1957/2010</w:t>
      </w:r>
      <w:r w:rsidRPr="007B6014">
        <w:rPr>
          <w:rtl/>
        </w:rPr>
        <w:t>)، الفقرة 9-3.</w:t>
      </w:r>
    </w:p>
  </w:footnote>
  <w:footnote w:id="31">
    <w:p w:rsidR="00FE4A26" w:rsidRPr="007B6014" w:rsidRDefault="00FE4A26" w:rsidP="00FE4A26">
      <w:pPr>
        <w:pStyle w:val="FootnoteText1"/>
        <w:spacing w:line="280" w:lineRule="exact"/>
        <w:rPr>
          <w:rtl/>
          <w:lang w:eastAsia="zh-CN" w:bidi="ar-DZ"/>
        </w:rPr>
      </w:pPr>
      <w:r w:rsidRPr="007B6014">
        <w:rPr>
          <w:rStyle w:val="FootnoteReference"/>
          <w:rFonts w:eastAsiaTheme="majorEastAsia"/>
          <w:szCs w:val="26"/>
          <w:vertAlign w:val="baseline"/>
          <w:rtl/>
        </w:rPr>
        <w:t>(</w:t>
      </w:r>
      <w:r w:rsidRPr="007B6014">
        <w:rPr>
          <w:rStyle w:val="FootnoteReference"/>
          <w:rFonts w:eastAsiaTheme="majorEastAsia"/>
          <w:szCs w:val="26"/>
          <w:vertAlign w:val="baseline"/>
          <w:rtl/>
        </w:rPr>
        <w:footnoteRef/>
      </w:r>
      <w:r w:rsidRPr="007B6014">
        <w:rPr>
          <w:rStyle w:val="FootnoteReference"/>
          <w:rFonts w:eastAsiaTheme="majorEastAsia"/>
          <w:szCs w:val="26"/>
          <w:vertAlign w:val="baseline"/>
          <w:rtl/>
        </w:rPr>
        <w:t>)</w:t>
      </w:r>
      <w:r w:rsidR="00E50B2D">
        <w:rPr>
          <w:rtl/>
        </w:rPr>
        <w:tab/>
      </w:r>
      <w:r w:rsidRPr="007B6014">
        <w:rPr>
          <w:rStyle w:val="FootnoteReference"/>
          <w:szCs w:val="26"/>
          <w:vertAlign w:val="baseline"/>
          <w:rtl/>
        </w:rPr>
        <w:t>انظر</w:t>
      </w:r>
      <w:r w:rsidRPr="007B6014">
        <w:rPr>
          <w:rtl/>
          <w:lang w:bidi="ar-DZ"/>
        </w:rPr>
        <w:t xml:space="preserve">، مثلاً، </w:t>
      </w:r>
      <w:r w:rsidRPr="00E50B2D">
        <w:rPr>
          <w:i/>
          <w:iCs/>
          <w:rtl/>
          <w:lang w:bidi="ar-DZ"/>
        </w:rPr>
        <w:t>قضية ك. ضد الدانمرك</w:t>
      </w:r>
      <w:r w:rsidRPr="007B6014">
        <w:rPr>
          <w:rtl/>
          <w:lang w:bidi="ar-DZ"/>
        </w:rPr>
        <w:t>، الفقرة 7-4.</w:t>
      </w:r>
    </w:p>
  </w:footnote>
  <w:footnote w:id="32">
    <w:p w:rsidR="00FE4A26" w:rsidRPr="007B6014" w:rsidRDefault="00FE4A26" w:rsidP="00FE4A26">
      <w:pPr>
        <w:pStyle w:val="FootnoteText1"/>
        <w:spacing w:line="280" w:lineRule="exact"/>
        <w:rPr>
          <w:rtl/>
          <w:lang w:eastAsia="zh-TW"/>
        </w:rPr>
      </w:pPr>
      <w:r w:rsidRPr="007B6014">
        <w:rPr>
          <w:rStyle w:val="FootnoteReference"/>
          <w:rFonts w:eastAsiaTheme="majorEastAsia"/>
          <w:szCs w:val="26"/>
          <w:vertAlign w:val="baseline"/>
          <w:rtl/>
        </w:rPr>
        <w:t>(</w:t>
      </w:r>
      <w:r w:rsidRPr="007B6014">
        <w:rPr>
          <w:rStyle w:val="FootnoteReference"/>
          <w:rFonts w:eastAsiaTheme="majorEastAsia"/>
          <w:szCs w:val="26"/>
          <w:vertAlign w:val="baseline"/>
          <w:rtl/>
        </w:rPr>
        <w:footnoteRef/>
      </w:r>
      <w:r w:rsidRPr="007B6014">
        <w:rPr>
          <w:rStyle w:val="FootnoteReference"/>
          <w:rFonts w:eastAsiaTheme="majorEastAsia"/>
          <w:szCs w:val="26"/>
          <w:vertAlign w:val="baseline"/>
          <w:rtl/>
        </w:rPr>
        <w:t>)</w:t>
      </w:r>
      <w:r w:rsidRPr="007B6014">
        <w:rPr>
          <w:rtl/>
        </w:rPr>
        <w:tab/>
      </w:r>
      <w:r w:rsidR="00A872C8">
        <w:rPr>
          <w:rFonts w:hint="cs"/>
          <w:rtl/>
          <w:lang w:bidi="ar-DZ"/>
        </w:rPr>
        <w:t xml:space="preserve">انظر </w:t>
      </w:r>
      <w:r w:rsidRPr="007B6014">
        <w:rPr>
          <w:rtl/>
          <w:lang w:bidi="ar-DZ"/>
        </w:rPr>
        <w:t>مفوضية الأمم المتحدة لشؤون اللاجئين</w:t>
      </w:r>
      <w:proofErr w:type="gramStart"/>
      <w:r w:rsidRPr="007B6014">
        <w:rPr>
          <w:rtl/>
          <w:lang w:bidi="ar-DZ"/>
        </w:rPr>
        <w:t xml:space="preserve">، </w:t>
      </w:r>
      <w:r w:rsidR="00A27EA7">
        <w:rPr>
          <w:rtl/>
          <w:lang w:bidi="ar-DZ"/>
        </w:rPr>
        <w:t>”</w:t>
      </w:r>
      <w:proofErr w:type="gramEnd"/>
      <w:r w:rsidRPr="007B6014">
        <w:rPr>
          <w:rtl/>
          <w:lang w:bidi="ar-DZ"/>
        </w:rPr>
        <w:t xml:space="preserve"> المبادئ التوجيهية المتعلقة بالحماية الدولية في حالات مطالبات اللاجئين القائمة على أساس الدين بموجب المادة 1-</w:t>
      </w:r>
      <w:r w:rsidR="00A872C8">
        <w:rPr>
          <w:rFonts w:hint="cs"/>
          <w:rtl/>
          <w:lang w:bidi="ar-DZ"/>
        </w:rPr>
        <w:t xml:space="preserve"> </w:t>
      </w:r>
      <w:r w:rsidRPr="007B6014">
        <w:rPr>
          <w:rtl/>
          <w:lang w:bidi="ar-DZ"/>
        </w:rPr>
        <w:t>ألف (2) من اتفاقية عام 1951 الخاصة بوضع اللاجئين و/أو بروتوكول عام 1967 الملحق بها، الفقرة 34.</w:t>
      </w:r>
      <w:r w:rsidR="007B6014">
        <w:rPr>
          <w:rtl/>
          <w:lang w:bidi="ar-DZ"/>
        </w:rPr>
        <w:t xml:space="preserve"> </w:t>
      </w:r>
    </w:p>
  </w:footnote>
  <w:footnote w:id="33">
    <w:p w:rsidR="00FE4A26" w:rsidRPr="007B6014" w:rsidRDefault="00FE4A26" w:rsidP="00FE4A26">
      <w:pPr>
        <w:pStyle w:val="FootnoteText1"/>
        <w:spacing w:line="280" w:lineRule="exact"/>
        <w:rPr>
          <w:rtl/>
          <w:lang w:val="ar-SA" w:eastAsia="zh-TW"/>
        </w:rPr>
      </w:pPr>
      <w:r w:rsidRPr="007B6014">
        <w:rPr>
          <w:rStyle w:val="FootnoteReference"/>
          <w:rFonts w:eastAsiaTheme="majorEastAsia"/>
          <w:szCs w:val="26"/>
          <w:vertAlign w:val="baseline"/>
          <w:rtl/>
        </w:rPr>
        <w:t>(</w:t>
      </w:r>
      <w:r w:rsidRPr="007B6014">
        <w:rPr>
          <w:rStyle w:val="FootnoteReference"/>
          <w:rFonts w:eastAsiaTheme="majorEastAsia"/>
          <w:szCs w:val="26"/>
          <w:vertAlign w:val="baseline"/>
          <w:rtl/>
        </w:rPr>
        <w:footnoteRef/>
      </w:r>
      <w:r w:rsidRPr="007B6014">
        <w:rPr>
          <w:rStyle w:val="FootnoteReference"/>
          <w:rFonts w:eastAsiaTheme="majorEastAsia"/>
          <w:szCs w:val="26"/>
          <w:vertAlign w:val="baseline"/>
          <w:rtl/>
        </w:rPr>
        <w:t>)</w:t>
      </w:r>
      <w:r w:rsidR="00E50B2D">
        <w:rPr>
          <w:rtl/>
        </w:rPr>
        <w:tab/>
      </w:r>
      <w:r w:rsidRPr="007B6014">
        <w:rPr>
          <w:rStyle w:val="FootnoteReference"/>
          <w:szCs w:val="26"/>
          <w:vertAlign w:val="baseline"/>
          <w:rtl/>
        </w:rPr>
        <w:t>انظر</w:t>
      </w:r>
      <w:r w:rsidRPr="007B6014">
        <w:rPr>
          <w:rtl/>
        </w:rPr>
        <w:t xml:space="preserve"> قضية </w:t>
      </w:r>
      <w:r w:rsidRPr="00E50B2D">
        <w:rPr>
          <w:i/>
          <w:iCs/>
          <w:rtl/>
        </w:rPr>
        <w:t>س. أ. ه. ضد الدانمرك</w:t>
      </w:r>
      <w:r w:rsidRPr="007B6014">
        <w:rPr>
          <w:rtl/>
        </w:rPr>
        <w:t xml:space="preserve"> (</w:t>
      </w:r>
      <w:r w:rsidRPr="007B6014">
        <w:t>CCPR/C/121/D/2419/2014</w:t>
      </w:r>
      <w:r w:rsidRPr="007B6014">
        <w:rPr>
          <w:rtl/>
        </w:rPr>
        <w:t xml:space="preserve">)، الفقرة 11-8، وقضية </w:t>
      </w:r>
      <w:r w:rsidRPr="00E50B2D">
        <w:rPr>
          <w:i/>
          <w:iCs/>
          <w:rtl/>
        </w:rPr>
        <w:t>ف. ج. ضد السويد</w:t>
      </w:r>
      <w:r w:rsidRPr="007B6014">
        <w:rPr>
          <w:rtl/>
        </w:rPr>
        <w:t>، الفقرة 156.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2E6" w:rsidRPr="006E2C11" w:rsidRDefault="009872E6" w:rsidP="006E2C11">
    <w:pPr>
      <w:pStyle w:val="Header"/>
      <w:jc w:val="right"/>
    </w:pPr>
    <w:r w:rsidRPr="006E2C11">
      <w:t>CCPR/C/125/D/2494/2014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2E6" w:rsidRPr="006E2C11" w:rsidRDefault="009872E6" w:rsidP="006E2C11">
    <w:pPr>
      <w:pStyle w:val="Header"/>
      <w:jc w:val="left"/>
    </w:pPr>
    <w:r w:rsidRPr="006E2C11">
      <w:t>CCPR/C/125/D/2494/2014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560894"/>
    <w:rsid w:val="000076D5"/>
    <w:rsid w:val="00043663"/>
    <w:rsid w:val="000437B8"/>
    <w:rsid w:val="000505CF"/>
    <w:rsid w:val="000D701C"/>
    <w:rsid w:val="000E2A71"/>
    <w:rsid w:val="00160263"/>
    <w:rsid w:val="00181F96"/>
    <w:rsid w:val="001A1371"/>
    <w:rsid w:val="001B346A"/>
    <w:rsid w:val="001E1CAD"/>
    <w:rsid w:val="001E290D"/>
    <w:rsid w:val="002144FA"/>
    <w:rsid w:val="0023469A"/>
    <w:rsid w:val="00243C8A"/>
    <w:rsid w:val="00267A0E"/>
    <w:rsid w:val="002901D9"/>
    <w:rsid w:val="002976C2"/>
    <w:rsid w:val="003260FF"/>
    <w:rsid w:val="00343D95"/>
    <w:rsid w:val="00363A18"/>
    <w:rsid w:val="00374341"/>
    <w:rsid w:val="003D1062"/>
    <w:rsid w:val="00420D7B"/>
    <w:rsid w:val="00450B21"/>
    <w:rsid w:val="00453B63"/>
    <w:rsid w:val="00455780"/>
    <w:rsid w:val="004B0A1C"/>
    <w:rsid w:val="004D298E"/>
    <w:rsid w:val="004E4DB7"/>
    <w:rsid w:val="00517BC9"/>
    <w:rsid w:val="00517F71"/>
    <w:rsid w:val="0054472E"/>
    <w:rsid w:val="00560894"/>
    <w:rsid w:val="005662A9"/>
    <w:rsid w:val="005827D4"/>
    <w:rsid w:val="0059622A"/>
    <w:rsid w:val="005C5878"/>
    <w:rsid w:val="005C7CEA"/>
    <w:rsid w:val="005D3C0B"/>
    <w:rsid w:val="005E5217"/>
    <w:rsid w:val="005F0FA4"/>
    <w:rsid w:val="005F30EE"/>
    <w:rsid w:val="0060473A"/>
    <w:rsid w:val="00645118"/>
    <w:rsid w:val="00656392"/>
    <w:rsid w:val="0068781D"/>
    <w:rsid w:val="006959B0"/>
    <w:rsid w:val="006B3E27"/>
    <w:rsid w:val="006B6507"/>
    <w:rsid w:val="006C104C"/>
    <w:rsid w:val="006E2C11"/>
    <w:rsid w:val="007322A9"/>
    <w:rsid w:val="00733704"/>
    <w:rsid w:val="0078071A"/>
    <w:rsid w:val="00787E1E"/>
    <w:rsid w:val="007B6014"/>
    <w:rsid w:val="00816A6A"/>
    <w:rsid w:val="00852A9A"/>
    <w:rsid w:val="008C27B5"/>
    <w:rsid w:val="008F49E1"/>
    <w:rsid w:val="0090370F"/>
    <w:rsid w:val="009269D2"/>
    <w:rsid w:val="00942135"/>
    <w:rsid w:val="009521B0"/>
    <w:rsid w:val="00982139"/>
    <w:rsid w:val="009867A8"/>
    <w:rsid w:val="009872E6"/>
    <w:rsid w:val="009A7E9F"/>
    <w:rsid w:val="009E5018"/>
    <w:rsid w:val="00A12B37"/>
    <w:rsid w:val="00A27EA7"/>
    <w:rsid w:val="00A62717"/>
    <w:rsid w:val="00A872C8"/>
    <w:rsid w:val="00AB6758"/>
    <w:rsid w:val="00B13763"/>
    <w:rsid w:val="00B477A4"/>
    <w:rsid w:val="00B54045"/>
    <w:rsid w:val="00C438D7"/>
    <w:rsid w:val="00C51903"/>
    <w:rsid w:val="00C81B50"/>
    <w:rsid w:val="00CB6622"/>
    <w:rsid w:val="00CD1801"/>
    <w:rsid w:val="00CF65C6"/>
    <w:rsid w:val="00D10EF1"/>
    <w:rsid w:val="00D42810"/>
    <w:rsid w:val="00D914A7"/>
    <w:rsid w:val="00DD13C3"/>
    <w:rsid w:val="00DD596E"/>
    <w:rsid w:val="00DD621E"/>
    <w:rsid w:val="00DE50B1"/>
    <w:rsid w:val="00DF0575"/>
    <w:rsid w:val="00E269D1"/>
    <w:rsid w:val="00E50B2D"/>
    <w:rsid w:val="00E70E04"/>
    <w:rsid w:val="00EC05A7"/>
    <w:rsid w:val="00EC4B6B"/>
    <w:rsid w:val="00ED4213"/>
    <w:rsid w:val="00ED7442"/>
    <w:rsid w:val="00EF1EE5"/>
    <w:rsid w:val="00F763B4"/>
    <w:rsid w:val="00F900C3"/>
    <w:rsid w:val="00FC6EDD"/>
    <w:rsid w:val="00FE4A26"/>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63987B"/>
  <w15:docId w15:val="{35C38ABC-F8FD-47EA-BD76-AD265882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semiHidden/>
    <w:unhideWhenUsed/>
    <w:rsid w:val="001A1371"/>
    <w:pPr>
      <w:spacing w:line="240" w:lineRule="auto"/>
    </w:pPr>
    <w:rPr>
      <w:szCs w:val="20"/>
    </w:rPr>
  </w:style>
  <w:style w:type="character" w:customStyle="1" w:styleId="FootnoteTextChar">
    <w:name w:val="Footnote Text Char"/>
    <w:aliases w:val="5_G Char"/>
    <w:basedOn w:val="DefaultParagraphFont"/>
    <w:link w:val="FootnoteText"/>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363A18"/>
    <w:pPr>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363A18"/>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363A18"/>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87E1E"/>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qFormat/>
    <w:rsid w:val="009872E6"/>
    <w:pPr>
      <w:keepNext/>
      <w:keepLines/>
      <w:tabs>
        <w:tab w:val="right" w:pos="851"/>
      </w:tabs>
      <w:bidi w:val="0"/>
      <w:spacing w:before="360" w:after="240" w:line="300" w:lineRule="exact"/>
      <w:ind w:left="1134" w:right="1134" w:hanging="1134"/>
      <w:jc w:val="left"/>
    </w:pPr>
    <w:rPr>
      <w:rFonts w:eastAsia="SimSun" w:hAnsiTheme="minorHAnsi"/>
      <w:b/>
      <w:sz w:val="28"/>
      <w:lang w:val="en-GB" w:eastAsia="zh-CN"/>
    </w:rPr>
  </w:style>
  <w:style w:type="paragraph" w:customStyle="1" w:styleId="H23G">
    <w:name w:val="_ H_2/3_G"/>
    <w:basedOn w:val="Normal"/>
    <w:next w:val="Normal"/>
    <w:qFormat/>
    <w:rsid w:val="009872E6"/>
    <w:pPr>
      <w:keepNext/>
      <w:keepLines/>
      <w:tabs>
        <w:tab w:val="right" w:pos="851"/>
      </w:tabs>
      <w:bidi w:val="0"/>
      <w:spacing w:before="240" w:after="120" w:line="240" w:lineRule="exact"/>
      <w:ind w:left="1134" w:right="1134" w:hanging="1134"/>
      <w:jc w:val="left"/>
    </w:pPr>
    <w:rPr>
      <w:rFonts w:eastAsia="SimSun" w:hAnsiTheme="minorHAnsi"/>
      <w:b/>
      <w:lang w:val="en-GB" w:eastAsia="zh-CN"/>
    </w:rPr>
  </w:style>
  <w:style w:type="paragraph" w:customStyle="1" w:styleId="H4G">
    <w:name w:val="_ H_4_G"/>
    <w:basedOn w:val="Normal"/>
    <w:next w:val="Normal"/>
    <w:qFormat/>
    <w:rsid w:val="009872E6"/>
    <w:pPr>
      <w:keepNext/>
      <w:keepLines/>
      <w:tabs>
        <w:tab w:val="right" w:pos="851"/>
      </w:tabs>
      <w:bidi w:val="0"/>
      <w:spacing w:before="240" w:after="120" w:line="240" w:lineRule="exact"/>
      <w:ind w:left="1134" w:right="1134" w:hanging="1134"/>
      <w:jc w:val="left"/>
    </w:pPr>
    <w:rPr>
      <w:rFonts w:eastAsia="SimSun" w:hAnsiTheme="minorHAnsi"/>
      <w:i/>
      <w:lang w:val="en-GB" w:eastAsia="zh-CN"/>
    </w:rPr>
  </w:style>
  <w:style w:type="paragraph" w:customStyle="1" w:styleId="SingleTxtG">
    <w:name w:val="_ Single Txt_G"/>
    <w:basedOn w:val="Normal"/>
    <w:qFormat/>
    <w:rsid w:val="009872E6"/>
    <w:pPr>
      <w:bidi w:val="0"/>
      <w:spacing w:after="120"/>
      <w:ind w:left="1134" w:right="1134"/>
      <w:jc w:val="both"/>
    </w:pPr>
    <w:rPr>
      <w:rFonts w:eastAsia="SimSun" w:hAnsiTheme="minorHAns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967196">
      <w:bodyDiv w:val="1"/>
      <w:marLeft w:val="0"/>
      <w:marRight w:val="0"/>
      <w:marTop w:val="0"/>
      <w:marBottom w:val="0"/>
      <w:divBdr>
        <w:top w:val="none" w:sz="0" w:space="0" w:color="auto"/>
        <w:left w:val="none" w:sz="0" w:space="0" w:color="auto"/>
        <w:bottom w:val="none" w:sz="0" w:space="0" w:color="auto"/>
        <w:right w:val="none" w:sz="0" w:space="0" w:color="auto"/>
      </w:divBdr>
    </w:div>
    <w:div w:id="1631084804">
      <w:bodyDiv w:val="1"/>
      <w:marLeft w:val="0"/>
      <w:marRight w:val="0"/>
      <w:marTop w:val="0"/>
      <w:marBottom w:val="0"/>
      <w:divBdr>
        <w:top w:val="none" w:sz="0" w:space="0" w:color="auto"/>
        <w:left w:val="none" w:sz="0" w:space="0" w:color="auto"/>
        <w:bottom w:val="none" w:sz="0" w:space="0" w:color="auto"/>
        <w:right w:val="none" w:sz="0" w:space="0" w:color="auto"/>
      </w:divBdr>
    </w:div>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4265-9B5C-4E4F-AF99-DE30CC80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4696</Words>
  <Characters>25828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CCPR/C/125/D/2494/2014</vt:lpstr>
    </vt:vector>
  </TitlesOfParts>
  <Company>DCM</Company>
  <LinksUpToDate>false</LinksUpToDate>
  <CharactersWithSpaces>30464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CCPR/C/125/D/2494/2014</dc:title>
  <dc:subject>GE.1908113A</dc:subject>
  <dc:creator>MBU, MAB</dc:creator>
  <cp:keywords>ODS No. 1914094</cp:keywords>
  <dc:description>Distribution: General_x000d_
Original: English_x000d_
Date:  17 May 2019</dc:description>
  <cp:lastModifiedBy>Muntaha BUHNAM</cp:lastModifiedBy>
  <cp:revision>2</cp:revision>
  <dcterms:created xsi:type="dcterms:W3CDTF">2019-11-27T15:09:00Z</dcterms:created>
  <dcterms:modified xsi:type="dcterms:W3CDTF">2019-11-27T15:09:00Z</dcterms:modified>
  <cp:category>Finale</cp:category>
</cp:coreProperties>
</file>