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335182"/>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335182" w:rsidP="00335182">
            <w:pPr>
              <w:jc w:val="right"/>
            </w:pPr>
            <w:r w:rsidRPr="00335182">
              <w:rPr>
                <w:sz w:val="40"/>
              </w:rPr>
              <w:t>CCPR</w:t>
            </w:r>
            <w:r>
              <w:t>/C/126/D/2531/2015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00335182">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335182" w:rsidP="002B7BC7">
            <w:pPr>
              <w:spacing w:before="240"/>
            </w:pPr>
            <w:r>
              <w:t>Distr. générale</w:t>
            </w:r>
          </w:p>
          <w:p w:rsidR="00335182" w:rsidRDefault="00335182" w:rsidP="00335182">
            <w:pPr>
              <w:spacing w:line="240" w:lineRule="exact"/>
            </w:pPr>
            <w:r>
              <w:t>20 novembre 20</w:t>
            </w:r>
            <w:r w:rsidR="002757E6">
              <w:t>19</w:t>
            </w:r>
          </w:p>
          <w:p w:rsidR="00335182" w:rsidRDefault="00335182" w:rsidP="00335182">
            <w:pPr>
              <w:spacing w:line="240" w:lineRule="exact"/>
            </w:pPr>
            <w:r>
              <w:t>Français</w:t>
            </w:r>
          </w:p>
          <w:p w:rsidR="00335182" w:rsidRPr="00DB58B5" w:rsidRDefault="00335182" w:rsidP="00335182">
            <w:pPr>
              <w:spacing w:line="240" w:lineRule="exact"/>
            </w:pPr>
            <w:r>
              <w:t>Original : anglais</w:t>
            </w:r>
          </w:p>
        </w:tc>
      </w:tr>
    </w:tbl>
    <w:p w:rsidR="006F71EA" w:rsidRDefault="006F71EA" w:rsidP="001444F1">
      <w:pPr>
        <w:spacing w:before="120" w:line="200" w:lineRule="atLeast"/>
        <w:rPr>
          <w:b/>
          <w:sz w:val="24"/>
          <w:szCs w:val="24"/>
        </w:rPr>
      </w:pPr>
      <w:r w:rsidRPr="00DF3BF1">
        <w:rPr>
          <w:b/>
          <w:sz w:val="24"/>
          <w:szCs w:val="24"/>
        </w:rPr>
        <w:t>Comité des droits de l’homme</w:t>
      </w:r>
    </w:p>
    <w:p w:rsidR="00335182" w:rsidRPr="00E82317" w:rsidRDefault="00335182" w:rsidP="001444F1">
      <w:pPr>
        <w:pStyle w:val="HChG"/>
        <w:spacing w:before="320"/>
        <w:rPr>
          <w:b w:val="0"/>
          <w:sz w:val="20"/>
        </w:rPr>
      </w:pPr>
      <w:r w:rsidRPr="006D452F">
        <w:tab/>
      </w:r>
      <w:r w:rsidRPr="006D452F">
        <w:tab/>
      </w:r>
      <w:r>
        <w:t xml:space="preserve">Constatations adoptées par le Comité au titre de l’article 5 (par. 4) du Protocole facultatif, concernant la communication </w:t>
      </w:r>
      <w:r w:rsidRPr="006D452F">
        <w:t>n</w:t>
      </w:r>
      <w:r w:rsidRPr="006D452F">
        <w:rPr>
          <w:vertAlign w:val="superscript"/>
        </w:rPr>
        <w:t>o</w:t>
      </w:r>
      <w:r w:rsidRPr="006D452F">
        <w:t> </w:t>
      </w:r>
      <w:r w:rsidRPr="001169B0">
        <w:rPr>
          <w:lang w:val="fr-FR"/>
        </w:rPr>
        <w:t>2531/2015</w:t>
      </w:r>
      <w:r w:rsidR="00E82317" w:rsidRPr="00E82317">
        <w:rPr>
          <w:rStyle w:val="Appelnotedebasdep"/>
          <w:b w:val="0"/>
          <w:sz w:val="20"/>
          <w:vertAlign w:val="baseline"/>
        </w:rPr>
        <w:footnoteReference w:customMarkFollows="1" w:id="2"/>
        <w:t>*</w:t>
      </w:r>
      <w:r w:rsidR="00E82317" w:rsidRPr="00E82317">
        <w:rPr>
          <w:b w:val="0"/>
          <w:sz w:val="20"/>
          <w:vertAlign w:val="superscript"/>
        </w:rPr>
        <w:t xml:space="preserve">, </w:t>
      </w:r>
      <w:r w:rsidR="00E82317" w:rsidRPr="00E82317">
        <w:rPr>
          <w:rStyle w:val="Appelnotedebasdep"/>
          <w:b w:val="0"/>
          <w:sz w:val="20"/>
          <w:vertAlign w:val="baseline"/>
        </w:rPr>
        <w:footnoteReference w:customMarkFollows="1" w:id="3"/>
        <w:t>**</w:t>
      </w:r>
      <w:r w:rsidR="00E82317" w:rsidRPr="00E82317">
        <w:rPr>
          <w:b w:val="0"/>
          <w:sz w:val="20"/>
          <w:vertAlign w:val="superscript"/>
        </w:rPr>
        <w:t xml:space="preserve">, </w:t>
      </w:r>
      <w:r w:rsidR="00E82317" w:rsidRPr="00E82317">
        <w:rPr>
          <w:rStyle w:val="Appelnotedebasdep"/>
          <w:b w:val="0"/>
          <w:sz w:val="20"/>
          <w:vertAlign w:val="baseline"/>
        </w:rPr>
        <w:footnoteReference w:customMarkFollows="1" w:id="4"/>
        <w:t>***</w:t>
      </w:r>
    </w:p>
    <w:tbl>
      <w:tblPr>
        <w:tblW w:w="0" w:type="auto"/>
        <w:tblInd w:w="1701" w:type="dxa"/>
        <w:tblLayout w:type="fixed"/>
        <w:tblLook w:val="01E0" w:firstRow="1" w:lastRow="1" w:firstColumn="1" w:lastColumn="1" w:noHBand="0" w:noVBand="0"/>
      </w:tblPr>
      <w:tblGrid>
        <w:gridCol w:w="2943"/>
        <w:gridCol w:w="3861"/>
      </w:tblGrid>
      <w:tr w:rsidR="00335182" w:rsidRPr="005B01E9" w:rsidTr="002757E6">
        <w:tc>
          <w:tcPr>
            <w:tcW w:w="2943" w:type="dxa"/>
          </w:tcPr>
          <w:p w:rsidR="00335182" w:rsidRPr="005B01E9" w:rsidRDefault="00335182" w:rsidP="00E82317">
            <w:pPr>
              <w:rPr>
                <w:i/>
              </w:rPr>
            </w:pPr>
            <w:r w:rsidRPr="005B01E9">
              <w:rPr>
                <w:i/>
              </w:rPr>
              <w:t>Communication présentée par</w:t>
            </w:r>
            <w:r>
              <w:t> :</w:t>
            </w:r>
          </w:p>
        </w:tc>
        <w:tc>
          <w:tcPr>
            <w:tcW w:w="3861" w:type="dxa"/>
          </w:tcPr>
          <w:p w:rsidR="00335182" w:rsidRPr="002757E6" w:rsidRDefault="00E82317" w:rsidP="00E82317">
            <w:pPr>
              <w:spacing w:after="120"/>
            </w:pPr>
            <w:r w:rsidRPr="002757E6">
              <w:rPr>
                <w:lang w:val="fr-FR"/>
              </w:rPr>
              <w:t>Nimo Mohamed Aden et Liban Muhammed Hassan (représentés par un conseil, Eddie Omar Rosenberg Khawaja)</w:t>
            </w:r>
          </w:p>
        </w:tc>
      </w:tr>
      <w:tr w:rsidR="00335182" w:rsidRPr="005B01E9" w:rsidTr="002757E6">
        <w:tc>
          <w:tcPr>
            <w:tcW w:w="2943" w:type="dxa"/>
          </w:tcPr>
          <w:p w:rsidR="00335182" w:rsidRPr="005B01E9" w:rsidRDefault="00FF0C43" w:rsidP="00E82317">
            <w:pPr>
              <w:rPr>
                <w:i/>
              </w:rPr>
            </w:pPr>
            <w:r w:rsidRPr="00A52577">
              <w:rPr>
                <w:i/>
              </w:rPr>
              <w:t>Victime(s) présumée(s)</w:t>
            </w:r>
            <w:r w:rsidR="00335182" w:rsidRPr="00A52577">
              <w:t> :</w:t>
            </w:r>
          </w:p>
        </w:tc>
        <w:tc>
          <w:tcPr>
            <w:tcW w:w="3861" w:type="dxa"/>
          </w:tcPr>
          <w:p w:rsidR="00335182" w:rsidRPr="005B01E9" w:rsidRDefault="00E82317" w:rsidP="00E82317">
            <w:pPr>
              <w:spacing w:after="120"/>
            </w:pPr>
            <w:r w:rsidRPr="001169B0">
              <w:rPr>
                <w:lang w:val="fr-FR"/>
              </w:rPr>
              <w:t>Les auteurs</w:t>
            </w:r>
          </w:p>
        </w:tc>
      </w:tr>
      <w:tr w:rsidR="00335182" w:rsidRPr="005B01E9" w:rsidTr="002757E6">
        <w:tc>
          <w:tcPr>
            <w:tcW w:w="2943" w:type="dxa"/>
          </w:tcPr>
          <w:p w:rsidR="00335182" w:rsidRPr="005B01E9" w:rsidRDefault="00335182" w:rsidP="00E82317">
            <w:pPr>
              <w:rPr>
                <w:i/>
              </w:rPr>
            </w:pPr>
            <w:r w:rsidRPr="005B01E9">
              <w:rPr>
                <w:i/>
              </w:rPr>
              <w:t>État partie</w:t>
            </w:r>
            <w:r>
              <w:t> :</w:t>
            </w:r>
          </w:p>
        </w:tc>
        <w:tc>
          <w:tcPr>
            <w:tcW w:w="3861" w:type="dxa"/>
          </w:tcPr>
          <w:p w:rsidR="00335182" w:rsidRPr="005B01E9" w:rsidRDefault="00E82317" w:rsidP="00E82317">
            <w:pPr>
              <w:spacing w:after="120"/>
            </w:pPr>
            <w:r>
              <w:t>Danemark</w:t>
            </w:r>
          </w:p>
        </w:tc>
      </w:tr>
      <w:tr w:rsidR="00335182" w:rsidRPr="005B01E9" w:rsidTr="002757E6">
        <w:tc>
          <w:tcPr>
            <w:tcW w:w="2943" w:type="dxa"/>
          </w:tcPr>
          <w:p w:rsidR="00335182" w:rsidRPr="005B01E9" w:rsidRDefault="00335182" w:rsidP="00E82317">
            <w:pPr>
              <w:rPr>
                <w:i/>
              </w:rPr>
            </w:pPr>
            <w:r w:rsidRPr="005B01E9">
              <w:rPr>
                <w:i/>
              </w:rPr>
              <w:t>Date de la communication</w:t>
            </w:r>
            <w:r>
              <w:t> :</w:t>
            </w:r>
          </w:p>
        </w:tc>
        <w:tc>
          <w:tcPr>
            <w:tcW w:w="3861" w:type="dxa"/>
          </w:tcPr>
          <w:p w:rsidR="00335182" w:rsidRPr="005B01E9" w:rsidRDefault="00E82317" w:rsidP="00E82317">
            <w:pPr>
              <w:spacing w:after="120"/>
            </w:pPr>
            <w:r>
              <w:t>15 septembre 2014</w:t>
            </w:r>
            <w:r w:rsidR="00335182" w:rsidRPr="005B01E9">
              <w:t xml:space="preserve"> (date de la lettre initiale)</w:t>
            </w:r>
          </w:p>
        </w:tc>
      </w:tr>
      <w:tr w:rsidR="00335182" w:rsidRPr="005B01E9" w:rsidTr="002757E6">
        <w:tc>
          <w:tcPr>
            <w:tcW w:w="2943" w:type="dxa"/>
          </w:tcPr>
          <w:p w:rsidR="00335182" w:rsidRPr="005B01E9" w:rsidRDefault="00335182" w:rsidP="00E82317">
            <w:pPr>
              <w:rPr>
                <w:i/>
              </w:rPr>
            </w:pPr>
            <w:r w:rsidRPr="005B01E9">
              <w:rPr>
                <w:i/>
              </w:rPr>
              <w:t>Références</w:t>
            </w:r>
            <w:r>
              <w:t> :</w:t>
            </w:r>
          </w:p>
        </w:tc>
        <w:tc>
          <w:tcPr>
            <w:tcW w:w="3861" w:type="dxa"/>
          </w:tcPr>
          <w:p w:rsidR="00335182" w:rsidRPr="005B01E9" w:rsidRDefault="00E82317" w:rsidP="00E82317">
            <w:pPr>
              <w:spacing w:after="120"/>
            </w:pPr>
            <w:r w:rsidRPr="001169B0">
              <w:rPr>
                <w:lang w:val="fr-FR"/>
              </w:rPr>
              <w:t>Décision prise en application de l</w:t>
            </w:r>
            <w:r>
              <w:rPr>
                <w:lang w:val="fr-FR"/>
              </w:rPr>
              <w:t>’</w:t>
            </w:r>
            <w:r w:rsidRPr="001169B0">
              <w:rPr>
                <w:lang w:val="fr-FR"/>
              </w:rPr>
              <w:t>article</w:t>
            </w:r>
            <w:r>
              <w:rPr>
                <w:lang w:val="fr-FR"/>
              </w:rPr>
              <w:t> </w:t>
            </w:r>
            <w:r w:rsidRPr="001169B0">
              <w:rPr>
                <w:lang w:val="fr-FR"/>
              </w:rPr>
              <w:t>92 du règlement intérieur du Comité, communiquée à l</w:t>
            </w:r>
            <w:r>
              <w:rPr>
                <w:lang w:val="fr-FR"/>
              </w:rPr>
              <w:t>’</w:t>
            </w:r>
            <w:r w:rsidRPr="001169B0">
              <w:rPr>
                <w:lang w:val="fr-FR"/>
              </w:rPr>
              <w:t xml:space="preserve">État partie le </w:t>
            </w:r>
            <w:r>
              <w:rPr>
                <w:lang w:val="fr-FR"/>
              </w:rPr>
              <w:t>16 janvier 2015</w:t>
            </w:r>
            <w:r w:rsidRPr="001169B0">
              <w:rPr>
                <w:color w:val="FF0000"/>
                <w:lang w:val="fr-FR"/>
              </w:rPr>
              <w:t xml:space="preserve"> </w:t>
            </w:r>
            <w:r w:rsidRPr="001169B0">
              <w:rPr>
                <w:lang w:val="fr-FR"/>
              </w:rPr>
              <w:t>(non publiée sous forme de document)</w:t>
            </w:r>
          </w:p>
        </w:tc>
      </w:tr>
      <w:tr w:rsidR="00335182" w:rsidRPr="005B01E9" w:rsidTr="002757E6">
        <w:tc>
          <w:tcPr>
            <w:tcW w:w="2943" w:type="dxa"/>
          </w:tcPr>
          <w:p w:rsidR="00335182" w:rsidRPr="005B01E9" w:rsidRDefault="00335182" w:rsidP="00E82317">
            <w:pPr>
              <w:rPr>
                <w:i/>
              </w:rPr>
            </w:pPr>
            <w:r w:rsidRPr="005B01E9">
              <w:rPr>
                <w:i/>
              </w:rPr>
              <w:t>Date de</w:t>
            </w:r>
            <w:r w:rsidR="00B71CC5">
              <w:rPr>
                <w:i/>
              </w:rPr>
              <w:t>s constatations</w:t>
            </w:r>
            <w:r>
              <w:t> :</w:t>
            </w:r>
          </w:p>
        </w:tc>
        <w:tc>
          <w:tcPr>
            <w:tcW w:w="3861" w:type="dxa"/>
            <w:vAlign w:val="bottom"/>
          </w:tcPr>
          <w:p w:rsidR="00335182" w:rsidRPr="005B01E9" w:rsidRDefault="00E82317" w:rsidP="00E82317">
            <w:pPr>
              <w:spacing w:after="120"/>
            </w:pPr>
            <w:r>
              <w:t>25 juillet 2019</w:t>
            </w:r>
          </w:p>
        </w:tc>
      </w:tr>
      <w:tr w:rsidR="00335182" w:rsidRPr="005B01E9" w:rsidTr="002757E6">
        <w:tc>
          <w:tcPr>
            <w:tcW w:w="2943" w:type="dxa"/>
          </w:tcPr>
          <w:p w:rsidR="00335182" w:rsidRPr="005B01E9" w:rsidRDefault="00335182" w:rsidP="00E82317">
            <w:pPr>
              <w:rPr>
                <w:i/>
              </w:rPr>
            </w:pPr>
            <w:r w:rsidRPr="005B01E9">
              <w:rPr>
                <w:i/>
              </w:rPr>
              <w:t>Objet</w:t>
            </w:r>
            <w:r>
              <w:t> :</w:t>
            </w:r>
          </w:p>
        </w:tc>
        <w:tc>
          <w:tcPr>
            <w:tcW w:w="3861" w:type="dxa"/>
          </w:tcPr>
          <w:p w:rsidR="00335182" w:rsidRPr="005B01E9" w:rsidRDefault="00E82317" w:rsidP="00E82317">
            <w:pPr>
              <w:spacing w:after="120"/>
            </w:pPr>
            <w:r w:rsidRPr="001169B0">
              <w:rPr>
                <w:lang w:val="fr-FR"/>
              </w:rPr>
              <w:t xml:space="preserve">Droit à la vie privée et </w:t>
            </w:r>
            <w:r>
              <w:rPr>
                <w:lang w:val="fr-FR"/>
              </w:rPr>
              <w:t xml:space="preserve">à la vie </w:t>
            </w:r>
            <w:r w:rsidRPr="001169B0">
              <w:rPr>
                <w:lang w:val="fr-FR"/>
              </w:rPr>
              <w:t>familiale</w:t>
            </w:r>
          </w:p>
        </w:tc>
      </w:tr>
      <w:tr w:rsidR="00335182" w:rsidRPr="005B01E9" w:rsidTr="002757E6">
        <w:tc>
          <w:tcPr>
            <w:tcW w:w="2943" w:type="dxa"/>
          </w:tcPr>
          <w:p w:rsidR="00335182" w:rsidRPr="005B01E9" w:rsidRDefault="00335182" w:rsidP="00E82317">
            <w:pPr>
              <w:rPr>
                <w:i/>
              </w:rPr>
            </w:pPr>
            <w:r w:rsidRPr="005B01E9">
              <w:rPr>
                <w:i/>
              </w:rPr>
              <w:t>Question(s) de procédure</w:t>
            </w:r>
            <w:r>
              <w:t> :</w:t>
            </w:r>
          </w:p>
        </w:tc>
        <w:tc>
          <w:tcPr>
            <w:tcW w:w="3861" w:type="dxa"/>
          </w:tcPr>
          <w:p w:rsidR="00335182" w:rsidRPr="005B01E9" w:rsidRDefault="00E82317" w:rsidP="00E82317">
            <w:pPr>
              <w:spacing w:after="120"/>
            </w:pPr>
            <w:r w:rsidRPr="001169B0">
              <w:rPr>
                <w:lang w:val="fr-FR"/>
              </w:rPr>
              <w:t>Épuisement des recours internes</w:t>
            </w:r>
          </w:p>
        </w:tc>
      </w:tr>
      <w:tr w:rsidR="00335182" w:rsidRPr="005B01E9" w:rsidTr="002757E6">
        <w:tc>
          <w:tcPr>
            <w:tcW w:w="2943" w:type="dxa"/>
          </w:tcPr>
          <w:p w:rsidR="00335182" w:rsidRPr="005B01E9" w:rsidRDefault="00335182" w:rsidP="00E82317">
            <w:pPr>
              <w:rPr>
                <w:i/>
              </w:rPr>
            </w:pPr>
            <w:r w:rsidRPr="005B01E9">
              <w:rPr>
                <w:i/>
              </w:rPr>
              <w:t>Question(s) de fond</w:t>
            </w:r>
            <w:r>
              <w:t> :</w:t>
            </w:r>
          </w:p>
        </w:tc>
        <w:tc>
          <w:tcPr>
            <w:tcW w:w="3861" w:type="dxa"/>
            <w:vAlign w:val="bottom"/>
          </w:tcPr>
          <w:p w:rsidR="00335182" w:rsidRPr="005B01E9" w:rsidRDefault="00E82317" w:rsidP="00E82317">
            <w:pPr>
              <w:spacing w:after="120"/>
            </w:pPr>
            <w:r w:rsidRPr="001169B0">
              <w:rPr>
                <w:lang w:val="fr-FR"/>
              </w:rPr>
              <w:t>Regroupement familial</w:t>
            </w:r>
          </w:p>
        </w:tc>
      </w:tr>
      <w:tr w:rsidR="00335182" w:rsidRPr="005B01E9" w:rsidTr="002757E6">
        <w:tc>
          <w:tcPr>
            <w:tcW w:w="2943" w:type="dxa"/>
          </w:tcPr>
          <w:p w:rsidR="00335182" w:rsidRPr="005B01E9" w:rsidRDefault="00335182" w:rsidP="00E82317">
            <w:pPr>
              <w:rPr>
                <w:i/>
              </w:rPr>
            </w:pPr>
            <w:r w:rsidRPr="005B01E9">
              <w:rPr>
                <w:i/>
              </w:rPr>
              <w:t>Article(s) du Pacte</w:t>
            </w:r>
            <w:r>
              <w:t> :</w:t>
            </w:r>
          </w:p>
        </w:tc>
        <w:tc>
          <w:tcPr>
            <w:tcW w:w="3861" w:type="dxa"/>
            <w:vAlign w:val="bottom"/>
          </w:tcPr>
          <w:p w:rsidR="00335182" w:rsidRPr="005B01E9" w:rsidRDefault="00E82317" w:rsidP="00E82317">
            <w:pPr>
              <w:spacing w:after="120"/>
            </w:pPr>
            <w:r w:rsidRPr="001169B0">
              <w:rPr>
                <w:lang w:val="fr-FR"/>
              </w:rPr>
              <w:t>17, 23 et 26</w:t>
            </w:r>
          </w:p>
        </w:tc>
      </w:tr>
      <w:tr w:rsidR="00335182" w:rsidRPr="005B01E9" w:rsidTr="002757E6">
        <w:tc>
          <w:tcPr>
            <w:tcW w:w="2943" w:type="dxa"/>
          </w:tcPr>
          <w:p w:rsidR="00335182" w:rsidRPr="005B01E9" w:rsidRDefault="00335182" w:rsidP="00E82317">
            <w:pPr>
              <w:rPr>
                <w:i/>
              </w:rPr>
            </w:pPr>
            <w:r w:rsidRPr="005B01E9">
              <w:rPr>
                <w:i/>
              </w:rPr>
              <w:t>Article(s) du Protocole facultatif</w:t>
            </w:r>
            <w:r>
              <w:t> :</w:t>
            </w:r>
          </w:p>
        </w:tc>
        <w:tc>
          <w:tcPr>
            <w:tcW w:w="3861" w:type="dxa"/>
            <w:vAlign w:val="bottom"/>
          </w:tcPr>
          <w:p w:rsidR="00335182" w:rsidRPr="005B01E9" w:rsidRDefault="00E82317" w:rsidP="00E82317">
            <w:pPr>
              <w:spacing w:after="120"/>
            </w:pPr>
            <w:r w:rsidRPr="001169B0">
              <w:rPr>
                <w:lang w:val="fr-FR"/>
              </w:rPr>
              <w:t>2 et 5 (par.</w:t>
            </w:r>
            <w:r>
              <w:rPr>
                <w:lang w:val="fr-FR"/>
              </w:rPr>
              <w:t> </w:t>
            </w:r>
            <w:r w:rsidRPr="001169B0">
              <w:rPr>
                <w:lang w:val="fr-FR"/>
              </w:rPr>
              <w:t>2</w:t>
            </w:r>
            <w:r>
              <w:rPr>
                <w:lang w:val="fr-FR"/>
              </w:rPr>
              <w:t> </w:t>
            </w:r>
            <w:r w:rsidRPr="001169B0">
              <w:rPr>
                <w:lang w:val="fr-FR"/>
              </w:rPr>
              <w:t>b))</w:t>
            </w:r>
          </w:p>
        </w:tc>
      </w:tr>
    </w:tbl>
    <w:p w:rsidR="00E82317" w:rsidRPr="001444F1" w:rsidRDefault="00E82317" w:rsidP="001444F1">
      <w:pPr>
        <w:pStyle w:val="SingleTxtG"/>
        <w:spacing w:before="120"/>
        <w:rPr>
          <w:spacing w:val="-2"/>
          <w:lang w:val="fr-FR"/>
        </w:rPr>
      </w:pPr>
      <w:r w:rsidRPr="001444F1">
        <w:rPr>
          <w:spacing w:val="-2"/>
          <w:lang w:val="fr-FR"/>
        </w:rPr>
        <w:t>1.</w:t>
      </w:r>
      <w:r w:rsidRPr="001444F1">
        <w:rPr>
          <w:spacing w:val="-2"/>
          <w:lang w:val="fr-FR"/>
        </w:rPr>
        <w:tab/>
        <w:t>Les auteurs de la communication sont Nimo Mohamed Aden, de nationalité somalienne, née le 1</w:t>
      </w:r>
      <w:r w:rsidRPr="001444F1">
        <w:rPr>
          <w:spacing w:val="-2"/>
          <w:vertAlign w:val="superscript"/>
          <w:lang w:val="fr-FR"/>
        </w:rPr>
        <w:t>er</w:t>
      </w:r>
      <w:r w:rsidRPr="001444F1">
        <w:rPr>
          <w:spacing w:val="-2"/>
          <w:lang w:val="fr-FR"/>
        </w:rPr>
        <w:t> janvier 1990 en Somalie et résidant au Kenya, et Liban Muhammed Hassan, de nationalité danoise, né le 17 octobre 1984 en Somalie</w:t>
      </w:r>
      <w:r w:rsidRPr="001444F1">
        <w:rPr>
          <w:rStyle w:val="Appelnotedebasdep"/>
          <w:spacing w:val="-2"/>
        </w:rPr>
        <w:footnoteReference w:id="5"/>
      </w:r>
      <w:r w:rsidRPr="001444F1">
        <w:rPr>
          <w:spacing w:val="-2"/>
          <w:lang w:val="fr-FR"/>
        </w:rPr>
        <w:t>. Ils affirment que l’État partie a violé les droits qu’ils tiennent des articles 17, 23 et 26 du Pacte. Le Protocole facultatif est entré en vigueur pour l’État partie le 23 mars 1976. Les auteurs sont représentés par un conseil.</w:t>
      </w:r>
    </w:p>
    <w:p w:rsidR="00E82317" w:rsidRPr="001169B0" w:rsidRDefault="00E82317" w:rsidP="00EA5264">
      <w:pPr>
        <w:pStyle w:val="H23G"/>
        <w:rPr>
          <w:lang w:val="fr-FR"/>
        </w:rPr>
      </w:pPr>
      <w:r w:rsidRPr="001169B0">
        <w:rPr>
          <w:lang w:val="fr-FR"/>
        </w:rPr>
        <w:lastRenderedPageBreak/>
        <w:tab/>
      </w:r>
      <w:r w:rsidRPr="001169B0">
        <w:rPr>
          <w:lang w:val="fr-FR"/>
        </w:rPr>
        <w:tab/>
        <w:t>Rappel des faits présentés par les auteurs</w:t>
      </w:r>
    </w:p>
    <w:p w:rsidR="00E82317" w:rsidRPr="001169B0" w:rsidRDefault="00E82317" w:rsidP="00E82317">
      <w:pPr>
        <w:pStyle w:val="SingleTxtG"/>
        <w:rPr>
          <w:lang w:val="fr-FR"/>
        </w:rPr>
      </w:pPr>
      <w:r w:rsidRPr="001169B0">
        <w:rPr>
          <w:lang w:val="fr-FR"/>
        </w:rPr>
        <w:t>2.1</w:t>
      </w:r>
      <w:r w:rsidRPr="001169B0">
        <w:rPr>
          <w:lang w:val="fr-FR"/>
        </w:rPr>
        <w:tab/>
        <w:t>Les auteurs ont été présentés l</w:t>
      </w:r>
      <w:r>
        <w:rPr>
          <w:lang w:val="fr-FR"/>
        </w:rPr>
        <w:t>’</w:t>
      </w:r>
      <w:r w:rsidRPr="001169B0">
        <w:rPr>
          <w:lang w:val="fr-FR"/>
        </w:rPr>
        <w:t>un à l</w:t>
      </w:r>
      <w:r>
        <w:rPr>
          <w:lang w:val="fr-FR"/>
        </w:rPr>
        <w:t>’</w:t>
      </w:r>
      <w:r w:rsidRPr="001169B0">
        <w:rPr>
          <w:lang w:val="fr-FR"/>
        </w:rPr>
        <w:t xml:space="preserve">autre début 2012 par le frère de </w:t>
      </w:r>
      <w:r>
        <w:rPr>
          <w:lang w:val="fr-FR"/>
        </w:rPr>
        <w:t>M</w:t>
      </w:r>
      <w:r w:rsidRPr="001444F1">
        <w:rPr>
          <w:vertAlign w:val="superscript"/>
          <w:lang w:val="fr-FR"/>
        </w:rPr>
        <w:t>me</w:t>
      </w:r>
      <w:r w:rsidR="001444F1">
        <w:rPr>
          <w:lang w:val="fr-FR"/>
        </w:rPr>
        <w:t> </w:t>
      </w:r>
      <w:r>
        <w:rPr>
          <w:lang w:val="fr-FR"/>
        </w:rPr>
        <w:t>Aden</w:t>
      </w:r>
      <w:r w:rsidRPr="001169B0">
        <w:rPr>
          <w:lang w:val="fr-FR"/>
        </w:rPr>
        <w:t xml:space="preserve"> et ont engagé une relation </w:t>
      </w:r>
      <w:r>
        <w:rPr>
          <w:lang w:val="fr-FR"/>
        </w:rPr>
        <w:t>par téléphone</w:t>
      </w:r>
      <w:r w:rsidRPr="001169B0">
        <w:rPr>
          <w:lang w:val="fr-FR"/>
        </w:rPr>
        <w:t>. Au fil de leurs con</w:t>
      </w:r>
      <w:r>
        <w:rPr>
          <w:lang w:val="fr-FR"/>
        </w:rPr>
        <w:t>vers</w:t>
      </w:r>
      <w:r w:rsidRPr="001169B0">
        <w:rPr>
          <w:lang w:val="fr-FR"/>
        </w:rPr>
        <w:t>ations, ils ont décidé de se marier</w:t>
      </w:r>
      <w:r>
        <w:rPr>
          <w:lang w:val="fr-FR"/>
        </w:rPr>
        <w:t>.</w:t>
      </w:r>
      <w:r w:rsidRPr="001169B0">
        <w:rPr>
          <w:lang w:val="fr-FR"/>
        </w:rPr>
        <w:t xml:space="preserve"> </w:t>
      </w:r>
      <w:r>
        <w:rPr>
          <w:lang w:val="fr-FR"/>
        </w:rPr>
        <w:t>I</w:t>
      </w:r>
      <w:r w:rsidRPr="001169B0">
        <w:rPr>
          <w:lang w:val="fr-FR"/>
        </w:rPr>
        <w:t xml:space="preserve">ls se sont rencontrés </w:t>
      </w:r>
      <w:r>
        <w:rPr>
          <w:lang w:val="fr-FR"/>
        </w:rPr>
        <w:t xml:space="preserve">en personne </w:t>
      </w:r>
      <w:r w:rsidRPr="001169B0">
        <w:rPr>
          <w:lang w:val="fr-FR"/>
        </w:rPr>
        <w:t>pour la première fois le 6</w:t>
      </w:r>
      <w:r>
        <w:rPr>
          <w:lang w:val="fr-FR"/>
        </w:rPr>
        <w:t> </w:t>
      </w:r>
      <w:r w:rsidRPr="001169B0">
        <w:rPr>
          <w:lang w:val="fr-FR"/>
        </w:rPr>
        <w:t>juin 2012</w:t>
      </w:r>
      <w:r>
        <w:rPr>
          <w:lang w:val="fr-FR"/>
        </w:rPr>
        <w:t xml:space="preserve"> à Nairobi, où </w:t>
      </w:r>
      <w:r w:rsidRPr="001169B0">
        <w:rPr>
          <w:lang w:val="fr-FR"/>
        </w:rPr>
        <w:t xml:space="preserve">leur mariage </w:t>
      </w:r>
      <w:r>
        <w:rPr>
          <w:lang w:val="fr-FR"/>
        </w:rPr>
        <w:t xml:space="preserve">a été </w:t>
      </w:r>
      <w:r w:rsidRPr="001169B0">
        <w:rPr>
          <w:lang w:val="fr-FR"/>
        </w:rPr>
        <w:t>célébré trois jours</w:t>
      </w:r>
      <w:r>
        <w:rPr>
          <w:lang w:val="fr-FR"/>
        </w:rPr>
        <w:t xml:space="preserve"> plus tard, le 9</w:t>
      </w:r>
      <w:r w:rsidR="00EA5264">
        <w:rPr>
          <w:lang w:val="fr-FR"/>
        </w:rPr>
        <w:t> </w:t>
      </w:r>
      <w:r>
        <w:rPr>
          <w:lang w:val="fr-FR"/>
        </w:rPr>
        <w:t>juin 2012.</w:t>
      </w:r>
      <w:r w:rsidRPr="001169B0">
        <w:rPr>
          <w:lang w:val="fr-FR"/>
        </w:rPr>
        <w:t xml:space="preserve"> </w:t>
      </w:r>
      <w:r>
        <w:rPr>
          <w:lang w:val="fr-FR"/>
        </w:rPr>
        <w:t>M. Hassan</w:t>
      </w:r>
      <w:r w:rsidRPr="001169B0">
        <w:rPr>
          <w:lang w:val="fr-FR"/>
        </w:rPr>
        <w:t xml:space="preserve"> est rentré au Danemark et M</w:t>
      </w:r>
      <w:r w:rsidRPr="00AF3304">
        <w:rPr>
          <w:vertAlign w:val="superscript"/>
          <w:lang w:val="fr-FR"/>
        </w:rPr>
        <w:t>me</w:t>
      </w:r>
      <w:r>
        <w:rPr>
          <w:lang w:val="fr-FR"/>
        </w:rPr>
        <w:t> </w:t>
      </w:r>
      <w:r w:rsidRPr="001169B0">
        <w:rPr>
          <w:lang w:val="fr-FR"/>
        </w:rPr>
        <w:t>Aden est restée au Kenya. Le 13</w:t>
      </w:r>
      <w:r>
        <w:rPr>
          <w:lang w:val="fr-FR"/>
        </w:rPr>
        <w:t> </w:t>
      </w:r>
      <w:r w:rsidRPr="001169B0">
        <w:rPr>
          <w:lang w:val="fr-FR"/>
        </w:rPr>
        <w:t xml:space="preserve">décembre 2012, ils ont </w:t>
      </w:r>
      <w:r>
        <w:rPr>
          <w:lang w:val="fr-FR"/>
        </w:rPr>
        <w:t>déposé</w:t>
      </w:r>
      <w:r w:rsidRPr="001169B0">
        <w:rPr>
          <w:lang w:val="fr-FR"/>
        </w:rPr>
        <w:t xml:space="preserve"> une demande de regroupement familial au Danemark</w:t>
      </w:r>
      <w:r>
        <w:rPr>
          <w:lang w:val="fr-FR"/>
        </w:rPr>
        <w:t xml:space="preserve"> auprès </w:t>
      </w:r>
      <w:r w:rsidRPr="001169B0">
        <w:rPr>
          <w:lang w:val="fr-FR"/>
        </w:rPr>
        <w:t>de l</w:t>
      </w:r>
      <w:r>
        <w:rPr>
          <w:lang w:val="fr-FR"/>
        </w:rPr>
        <w:t>’</w:t>
      </w:r>
      <w:r w:rsidRPr="001169B0">
        <w:rPr>
          <w:lang w:val="fr-FR"/>
        </w:rPr>
        <w:t xml:space="preserve">ambassade du Danemark au Kenya, </w:t>
      </w:r>
      <w:r>
        <w:rPr>
          <w:lang w:val="fr-FR"/>
        </w:rPr>
        <w:t xml:space="preserve">pays </w:t>
      </w:r>
      <w:r w:rsidRPr="001169B0">
        <w:rPr>
          <w:lang w:val="fr-FR"/>
        </w:rPr>
        <w:t>où résid</w:t>
      </w:r>
      <w:r>
        <w:rPr>
          <w:lang w:val="fr-FR"/>
        </w:rPr>
        <w:t>ait</w:t>
      </w:r>
      <w:r w:rsidRPr="001169B0">
        <w:rPr>
          <w:lang w:val="fr-FR"/>
        </w:rPr>
        <w:t xml:space="preserve"> M</w:t>
      </w:r>
      <w:r w:rsidRPr="00AF3304">
        <w:rPr>
          <w:vertAlign w:val="superscript"/>
          <w:lang w:val="fr-FR"/>
        </w:rPr>
        <w:t>me</w:t>
      </w:r>
      <w:r>
        <w:rPr>
          <w:lang w:val="fr-FR"/>
        </w:rPr>
        <w:t> </w:t>
      </w:r>
      <w:r w:rsidRPr="001169B0">
        <w:rPr>
          <w:lang w:val="fr-FR"/>
        </w:rPr>
        <w:t>Aden</w:t>
      </w:r>
      <w:r w:rsidRPr="00E47167">
        <w:rPr>
          <w:rStyle w:val="Appelnotedebasdep"/>
        </w:rPr>
        <w:footnoteReference w:id="6"/>
      </w:r>
      <w:r w:rsidRPr="001169B0">
        <w:rPr>
          <w:lang w:val="fr-FR"/>
        </w:rPr>
        <w:t>.</w:t>
      </w:r>
    </w:p>
    <w:p w:rsidR="00E82317" w:rsidRPr="001169B0" w:rsidRDefault="00E82317" w:rsidP="00E82317">
      <w:pPr>
        <w:pStyle w:val="SingleTxtG"/>
        <w:rPr>
          <w:lang w:val="fr-FR"/>
        </w:rPr>
      </w:pPr>
      <w:r w:rsidRPr="001169B0">
        <w:rPr>
          <w:lang w:val="fr-FR"/>
        </w:rPr>
        <w:t>2.2</w:t>
      </w:r>
      <w:r w:rsidRPr="001169B0">
        <w:rPr>
          <w:lang w:val="fr-FR"/>
        </w:rPr>
        <w:tab/>
        <w:t>Le 6</w:t>
      </w:r>
      <w:r w:rsidR="00EA5264">
        <w:rPr>
          <w:lang w:val="fr-FR"/>
        </w:rPr>
        <w:t> </w:t>
      </w:r>
      <w:r w:rsidRPr="001169B0">
        <w:rPr>
          <w:lang w:val="fr-FR"/>
        </w:rPr>
        <w:t xml:space="preserve">février 2013, le Service </w:t>
      </w:r>
      <w:r>
        <w:rPr>
          <w:lang w:val="fr-FR"/>
        </w:rPr>
        <w:t xml:space="preserve">danois </w:t>
      </w:r>
      <w:r w:rsidRPr="001169B0">
        <w:rPr>
          <w:lang w:val="fr-FR"/>
        </w:rPr>
        <w:t>de l</w:t>
      </w:r>
      <w:r>
        <w:rPr>
          <w:lang w:val="fr-FR"/>
        </w:rPr>
        <w:t>’</w:t>
      </w:r>
      <w:r w:rsidRPr="001169B0">
        <w:rPr>
          <w:lang w:val="fr-FR"/>
        </w:rPr>
        <w:t>immigration a refusé d</w:t>
      </w:r>
      <w:r>
        <w:rPr>
          <w:lang w:val="fr-FR"/>
        </w:rPr>
        <w:t>’</w:t>
      </w:r>
      <w:r w:rsidRPr="001169B0">
        <w:rPr>
          <w:lang w:val="fr-FR"/>
        </w:rPr>
        <w:t>accorder un permis de séjour à M</w:t>
      </w:r>
      <w:r w:rsidRPr="00AF3304">
        <w:rPr>
          <w:vertAlign w:val="superscript"/>
          <w:lang w:val="fr-FR"/>
        </w:rPr>
        <w:t>me</w:t>
      </w:r>
      <w:r>
        <w:rPr>
          <w:lang w:val="fr-FR"/>
        </w:rPr>
        <w:t> </w:t>
      </w:r>
      <w:r w:rsidRPr="001169B0">
        <w:rPr>
          <w:lang w:val="fr-FR"/>
        </w:rPr>
        <w:t>Aden, en se fondant sur l</w:t>
      </w:r>
      <w:r>
        <w:rPr>
          <w:lang w:val="fr-FR"/>
        </w:rPr>
        <w:t>’</w:t>
      </w:r>
      <w:r w:rsidRPr="001169B0">
        <w:rPr>
          <w:lang w:val="fr-FR"/>
        </w:rPr>
        <w:t>article</w:t>
      </w:r>
      <w:r w:rsidR="00EA5264">
        <w:rPr>
          <w:lang w:val="fr-FR"/>
        </w:rPr>
        <w:t> </w:t>
      </w:r>
      <w:r w:rsidRPr="001169B0">
        <w:rPr>
          <w:lang w:val="fr-FR"/>
        </w:rPr>
        <w:t>9</w:t>
      </w:r>
      <w:r w:rsidR="00EA5264">
        <w:rPr>
          <w:lang w:val="fr-FR"/>
        </w:rPr>
        <w:t> </w:t>
      </w:r>
      <w:r>
        <w:rPr>
          <w:lang w:val="fr-FR"/>
        </w:rPr>
        <w:t xml:space="preserve">8) </w:t>
      </w:r>
      <w:r w:rsidRPr="001169B0">
        <w:rPr>
          <w:lang w:val="fr-FR"/>
        </w:rPr>
        <w:t>de la loi sur les étrangers</w:t>
      </w:r>
      <w:r w:rsidRPr="00E47167">
        <w:rPr>
          <w:rStyle w:val="Appelnotedebasdep"/>
        </w:rPr>
        <w:footnoteReference w:id="7"/>
      </w:r>
      <w:r w:rsidRPr="001169B0">
        <w:rPr>
          <w:lang w:val="fr-FR"/>
        </w:rPr>
        <w:t xml:space="preserve">, au motif que les auteurs étaient cousins et donc considérés comme des parents proches au </w:t>
      </w:r>
      <w:r>
        <w:rPr>
          <w:lang w:val="fr-FR"/>
        </w:rPr>
        <w:t xml:space="preserve">sens </w:t>
      </w:r>
      <w:r w:rsidRPr="001169B0">
        <w:rPr>
          <w:lang w:val="fr-FR"/>
        </w:rPr>
        <w:t xml:space="preserve">de </w:t>
      </w:r>
      <w:r>
        <w:rPr>
          <w:lang w:val="fr-FR"/>
        </w:rPr>
        <w:t>cet article de la loi</w:t>
      </w:r>
      <w:r w:rsidRPr="001169B0">
        <w:rPr>
          <w:lang w:val="fr-FR"/>
        </w:rPr>
        <w:t>, et qu</w:t>
      </w:r>
      <w:r>
        <w:rPr>
          <w:lang w:val="fr-FR"/>
        </w:rPr>
        <w:t>’</w:t>
      </w:r>
      <w:r w:rsidRPr="001169B0">
        <w:rPr>
          <w:lang w:val="fr-FR"/>
        </w:rPr>
        <w:t xml:space="preserve">en vertu de </w:t>
      </w:r>
      <w:r>
        <w:rPr>
          <w:lang w:val="fr-FR"/>
        </w:rPr>
        <w:t xml:space="preserve">la présomption visée dans </w:t>
      </w:r>
      <w:r w:rsidRPr="001169B0">
        <w:rPr>
          <w:lang w:val="fr-FR"/>
        </w:rPr>
        <w:t xml:space="preserve">cette même disposition, il était présumé peu vraisemblable que le mariage ait été contracté </w:t>
      </w:r>
      <w:r>
        <w:rPr>
          <w:lang w:val="fr-FR"/>
        </w:rPr>
        <w:t xml:space="preserve">de leur propre gré par les </w:t>
      </w:r>
      <w:r w:rsidRPr="001169B0">
        <w:rPr>
          <w:lang w:val="fr-FR"/>
        </w:rPr>
        <w:t>deux parties. Le Service de l</w:t>
      </w:r>
      <w:r>
        <w:rPr>
          <w:lang w:val="fr-FR"/>
        </w:rPr>
        <w:t>’</w:t>
      </w:r>
      <w:r w:rsidRPr="001169B0">
        <w:rPr>
          <w:lang w:val="fr-FR"/>
        </w:rPr>
        <w:t>immigration a estimé qu</w:t>
      </w:r>
      <w:r>
        <w:rPr>
          <w:lang w:val="fr-FR"/>
        </w:rPr>
        <w:t>’</w:t>
      </w:r>
      <w:r w:rsidRPr="001169B0">
        <w:rPr>
          <w:lang w:val="fr-FR"/>
        </w:rPr>
        <w:t>il n</w:t>
      </w:r>
      <w:r>
        <w:rPr>
          <w:lang w:val="fr-FR"/>
        </w:rPr>
        <w:t>’</w:t>
      </w:r>
      <w:r w:rsidRPr="001169B0">
        <w:rPr>
          <w:lang w:val="fr-FR"/>
        </w:rPr>
        <w:t>avait pas été avancé de raison exceptionnelle qui justifierait d</w:t>
      </w:r>
      <w:r>
        <w:rPr>
          <w:lang w:val="fr-FR"/>
        </w:rPr>
        <w:t>’</w:t>
      </w:r>
      <w:r w:rsidRPr="001169B0">
        <w:rPr>
          <w:lang w:val="fr-FR"/>
        </w:rPr>
        <w:t>accorder malgré tout un permis de séjour à M</w:t>
      </w:r>
      <w:r w:rsidRPr="00AF3304">
        <w:rPr>
          <w:vertAlign w:val="superscript"/>
          <w:lang w:val="fr-FR"/>
        </w:rPr>
        <w:t>me</w:t>
      </w:r>
      <w:r>
        <w:rPr>
          <w:lang w:val="fr-FR"/>
        </w:rPr>
        <w:t> </w:t>
      </w:r>
      <w:r w:rsidRPr="001169B0">
        <w:rPr>
          <w:lang w:val="fr-FR"/>
        </w:rPr>
        <w:t>Aden. Le</w:t>
      </w:r>
      <w:r w:rsidR="00EA5264">
        <w:rPr>
          <w:lang w:val="fr-FR"/>
        </w:rPr>
        <w:t> </w:t>
      </w:r>
      <w:r w:rsidRPr="001169B0">
        <w:rPr>
          <w:lang w:val="fr-FR"/>
        </w:rPr>
        <w:t>Service de l</w:t>
      </w:r>
      <w:r>
        <w:rPr>
          <w:lang w:val="fr-FR"/>
        </w:rPr>
        <w:t>’</w:t>
      </w:r>
      <w:r w:rsidRPr="001169B0">
        <w:rPr>
          <w:lang w:val="fr-FR"/>
        </w:rPr>
        <w:t>immigration a estimé qu</w:t>
      </w:r>
      <w:r>
        <w:rPr>
          <w:lang w:val="fr-FR"/>
        </w:rPr>
        <w:t>’</w:t>
      </w:r>
      <w:r w:rsidRPr="001169B0">
        <w:rPr>
          <w:lang w:val="fr-FR"/>
        </w:rPr>
        <w:t>il n</w:t>
      </w:r>
      <w:r>
        <w:rPr>
          <w:lang w:val="fr-FR"/>
        </w:rPr>
        <w:t>’</w:t>
      </w:r>
      <w:r w:rsidRPr="001169B0">
        <w:rPr>
          <w:lang w:val="fr-FR"/>
        </w:rPr>
        <w:t xml:space="preserve">y avait pas lieu de </w:t>
      </w:r>
      <w:r>
        <w:rPr>
          <w:lang w:val="fr-FR"/>
        </w:rPr>
        <w:t>supposer</w:t>
      </w:r>
      <w:r w:rsidRPr="001169B0">
        <w:rPr>
          <w:lang w:val="fr-FR"/>
        </w:rPr>
        <w:t xml:space="preserve"> qu</w:t>
      </w:r>
      <w:r>
        <w:rPr>
          <w:lang w:val="fr-FR"/>
        </w:rPr>
        <w:t>’</w:t>
      </w:r>
      <w:r w:rsidRPr="001169B0">
        <w:rPr>
          <w:lang w:val="fr-FR"/>
        </w:rPr>
        <w:t xml:space="preserve">il existait un lien profond de longue </w:t>
      </w:r>
      <w:r>
        <w:rPr>
          <w:lang w:val="fr-FR"/>
        </w:rPr>
        <w:t>date</w:t>
      </w:r>
      <w:r w:rsidRPr="001169B0">
        <w:rPr>
          <w:lang w:val="fr-FR"/>
        </w:rPr>
        <w:t xml:space="preserve"> entre les auteurs puisqu</w:t>
      </w:r>
      <w:r>
        <w:rPr>
          <w:lang w:val="fr-FR"/>
        </w:rPr>
        <w:t>’</w:t>
      </w:r>
      <w:r w:rsidRPr="001169B0">
        <w:rPr>
          <w:lang w:val="fr-FR"/>
        </w:rPr>
        <w:t>ils n</w:t>
      </w:r>
      <w:r>
        <w:rPr>
          <w:lang w:val="fr-FR"/>
        </w:rPr>
        <w:t>’</w:t>
      </w:r>
      <w:r w:rsidRPr="001169B0">
        <w:rPr>
          <w:lang w:val="fr-FR"/>
        </w:rPr>
        <w:t xml:space="preserve">avaient </w:t>
      </w:r>
      <w:r>
        <w:rPr>
          <w:lang w:val="fr-FR"/>
        </w:rPr>
        <w:t>pas</w:t>
      </w:r>
      <w:r w:rsidRPr="001169B0">
        <w:rPr>
          <w:lang w:val="fr-FR"/>
        </w:rPr>
        <w:t xml:space="preserve"> vécu ensemble avant ni même après leur mariage, en dehors des trois visites que </w:t>
      </w:r>
      <w:r>
        <w:rPr>
          <w:lang w:val="fr-FR"/>
        </w:rPr>
        <w:t>M. Hassan</w:t>
      </w:r>
      <w:r w:rsidRPr="001169B0">
        <w:rPr>
          <w:lang w:val="fr-FR"/>
        </w:rPr>
        <w:t xml:space="preserve"> avait rendues à son épouse au Kenya pendant les vacances. Le Service de l</w:t>
      </w:r>
      <w:r>
        <w:rPr>
          <w:lang w:val="fr-FR"/>
        </w:rPr>
        <w:t>’</w:t>
      </w:r>
      <w:r w:rsidRPr="001169B0">
        <w:rPr>
          <w:lang w:val="fr-FR"/>
        </w:rPr>
        <w:t>immigration a en outre considéré que la déclaration des auteurs selon laquelle ils s</w:t>
      </w:r>
      <w:r>
        <w:rPr>
          <w:lang w:val="fr-FR"/>
        </w:rPr>
        <w:t>’</w:t>
      </w:r>
      <w:r w:rsidRPr="001169B0">
        <w:rPr>
          <w:lang w:val="fr-FR"/>
        </w:rPr>
        <w:t>étaient mariés de leur propre gré et le fait que M</w:t>
      </w:r>
      <w:r w:rsidRPr="00AF3304">
        <w:rPr>
          <w:vertAlign w:val="superscript"/>
          <w:lang w:val="fr-FR"/>
        </w:rPr>
        <w:t>me</w:t>
      </w:r>
      <w:r>
        <w:rPr>
          <w:lang w:val="fr-FR"/>
        </w:rPr>
        <w:t> </w:t>
      </w:r>
      <w:r w:rsidRPr="001169B0">
        <w:rPr>
          <w:lang w:val="fr-FR"/>
        </w:rPr>
        <w:t>Aden soit enceinte ne pouvaient pas mener à une conclusion différente.</w:t>
      </w:r>
    </w:p>
    <w:p w:rsidR="00E82317" w:rsidRPr="001169B0" w:rsidRDefault="00E82317" w:rsidP="00E82317">
      <w:pPr>
        <w:pStyle w:val="SingleTxtG"/>
        <w:rPr>
          <w:lang w:val="fr-FR"/>
        </w:rPr>
      </w:pPr>
      <w:r w:rsidRPr="001169B0">
        <w:rPr>
          <w:lang w:val="fr-FR"/>
        </w:rPr>
        <w:t>2.3</w:t>
      </w:r>
      <w:r w:rsidRPr="001169B0">
        <w:rPr>
          <w:lang w:val="fr-FR"/>
        </w:rPr>
        <w:tab/>
        <w:t>Le 18</w:t>
      </w:r>
      <w:r>
        <w:rPr>
          <w:lang w:val="fr-FR"/>
        </w:rPr>
        <w:t> </w:t>
      </w:r>
      <w:r w:rsidRPr="001169B0">
        <w:rPr>
          <w:lang w:val="fr-FR"/>
        </w:rPr>
        <w:t xml:space="preserve">février 2013, les auteurs ont adressé une </w:t>
      </w:r>
      <w:r>
        <w:rPr>
          <w:lang w:val="fr-FR"/>
        </w:rPr>
        <w:t xml:space="preserve">nouvelle </w:t>
      </w:r>
      <w:r w:rsidRPr="001169B0">
        <w:rPr>
          <w:lang w:val="fr-FR"/>
        </w:rPr>
        <w:t>lettre au Service de l</w:t>
      </w:r>
      <w:r>
        <w:rPr>
          <w:lang w:val="fr-FR"/>
        </w:rPr>
        <w:t>’</w:t>
      </w:r>
      <w:r w:rsidRPr="001169B0">
        <w:rPr>
          <w:lang w:val="fr-FR"/>
        </w:rPr>
        <w:t>immigration dans laquelle ils déclaraient que l</w:t>
      </w:r>
      <w:r>
        <w:rPr>
          <w:lang w:val="fr-FR"/>
        </w:rPr>
        <w:t>’</w:t>
      </w:r>
      <w:r w:rsidRPr="001169B0">
        <w:rPr>
          <w:lang w:val="fr-FR"/>
        </w:rPr>
        <w:t>un et l</w:t>
      </w:r>
      <w:r>
        <w:rPr>
          <w:lang w:val="fr-FR"/>
        </w:rPr>
        <w:t>’</w:t>
      </w:r>
      <w:r w:rsidRPr="001169B0">
        <w:rPr>
          <w:lang w:val="fr-FR"/>
        </w:rPr>
        <w:t>autre s</w:t>
      </w:r>
      <w:r>
        <w:rPr>
          <w:lang w:val="fr-FR"/>
        </w:rPr>
        <w:t>’</w:t>
      </w:r>
      <w:r w:rsidRPr="001169B0">
        <w:rPr>
          <w:lang w:val="fr-FR"/>
        </w:rPr>
        <w:t xml:space="preserve">étaient mariés volontairement et </w:t>
      </w:r>
      <w:r>
        <w:rPr>
          <w:lang w:val="fr-FR"/>
        </w:rPr>
        <w:t>que leur mariage n’était</w:t>
      </w:r>
      <w:r w:rsidRPr="001169B0">
        <w:rPr>
          <w:lang w:val="fr-FR"/>
        </w:rPr>
        <w:t xml:space="preserve"> pas un mariage forcé</w:t>
      </w:r>
      <w:r w:rsidRPr="00E47167">
        <w:rPr>
          <w:rStyle w:val="Appelnotedebasdep"/>
        </w:rPr>
        <w:footnoteReference w:id="8"/>
      </w:r>
      <w:r w:rsidRPr="001169B0">
        <w:rPr>
          <w:lang w:val="fr-FR"/>
        </w:rPr>
        <w:t>. Le Service de l</w:t>
      </w:r>
      <w:r>
        <w:rPr>
          <w:lang w:val="fr-FR"/>
        </w:rPr>
        <w:t>’</w:t>
      </w:r>
      <w:r w:rsidRPr="001169B0">
        <w:rPr>
          <w:lang w:val="fr-FR"/>
        </w:rPr>
        <w:t xml:space="preserve">immigration a considéré la lettre </w:t>
      </w:r>
      <w:r>
        <w:rPr>
          <w:lang w:val="fr-FR"/>
        </w:rPr>
        <w:t>comme un recours contre</w:t>
      </w:r>
      <w:r w:rsidRPr="001169B0">
        <w:rPr>
          <w:lang w:val="fr-FR"/>
        </w:rPr>
        <w:t xml:space="preserve"> sa décision et l</w:t>
      </w:r>
      <w:r>
        <w:rPr>
          <w:lang w:val="fr-FR"/>
        </w:rPr>
        <w:t>’</w:t>
      </w:r>
      <w:r w:rsidRPr="001169B0">
        <w:rPr>
          <w:lang w:val="fr-FR"/>
        </w:rPr>
        <w:t xml:space="preserve">a transmise à la </w:t>
      </w:r>
      <w:r w:rsidRPr="001169B0">
        <w:rPr>
          <w:rFonts w:eastAsia="MS Mincho"/>
          <w:lang w:val="fr-FR" w:eastAsia="ja-JP"/>
        </w:rPr>
        <w:t>Commission des recours en matière d</w:t>
      </w:r>
      <w:r>
        <w:rPr>
          <w:rFonts w:eastAsia="MS Mincho"/>
          <w:lang w:val="fr-FR" w:eastAsia="ja-JP"/>
        </w:rPr>
        <w:t>’</w:t>
      </w:r>
      <w:r w:rsidRPr="001169B0">
        <w:rPr>
          <w:rFonts w:eastAsia="MS Mincho"/>
          <w:lang w:val="fr-FR" w:eastAsia="ja-JP"/>
        </w:rPr>
        <w:t>immigration</w:t>
      </w:r>
      <w:r w:rsidRPr="001169B0">
        <w:rPr>
          <w:lang w:val="fr-FR"/>
        </w:rPr>
        <w:t>. Le 25</w:t>
      </w:r>
      <w:r>
        <w:rPr>
          <w:lang w:val="fr-FR"/>
        </w:rPr>
        <w:t> </w:t>
      </w:r>
      <w:r w:rsidRPr="001169B0">
        <w:rPr>
          <w:lang w:val="fr-FR"/>
        </w:rPr>
        <w:t>juillet 2013, les auteurs ont eu leur premier enfant, qui a la nationalité danoise.</w:t>
      </w:r>
    </w:p>
    <w:p w:rsidR="00E82317" w:rsidRPr="001169B0" w:rsidRDefault="00E82317" w:rsidP="00E82317">
      <w:pPr>
        <w:pStyle w:val="SingleTxtG"/>
        <w:rPr>
          <w:lang w:val="fr-FR"/>
        </w:rPr>
      </w:pPr>
      <w:r w:rsidRPr="001169B0">
        <w:rPr>
          <w:lang w:val="fr-FR"/>
        </w:rPr>
        <w:t>2.4</w:t>
      </w:r>
      <w:r w:rsidRPr="001169B0">
        <w:rPr>
          <w:lang w:val="fr-FR"/>
        </w:rPr>
        <w:tab/>
        <w:t>Le 13</w:t>
      </w:r>
      <w:r>
        <w:rPr>
          <w:lang w:val="fr-FR"/>
        </w:rPr>
        <w:t> </w:t>
      </w:r>
      <w:r w:rsidRPr="001169B0">
        <w:rPr>
          <w:lang w:val="fr-FR"/>
        </w:rPr>
        <w:t xml:space="preserve">août 2013, les auteurs ont décidé de </w:t>
      </w:r>
      <w:r>
        <w:rPr>
          <w:lang w:val="fr-FR"/>
        </w:rPr>
        <w:t>déposer</w:t>
      </w:r>
      <w:r w:rsidR="005A628D">
        <w:rPr>
          <w:lang w:val="fr-FR"/>
        </w:rPr>
        <w:t xml:space="preserve"> </w:t>
      </w:r>
      <w:r w:rsidRPr="001169B0">
        <w:rPr>
          <w:lang w:val="fr-FR"/>
        </w:rPr>
        <w:t>une nouvelle demande de regroupement familial</w:t>
      </w:r>
      <w:r>
        <w:rPr>
          <w:lang w:val="fr-FR"/>
        </w:rPr>
        <w:t xml:space="preserve"> auprès de l’Ambassade du Danemark au Kenya</w:t>
      </w:r>
      <w:r w:rsidRPr="001169B0">
        <w:rPr>
          <w:lang w:val="fr-FR"/>
        </w:rPr>
        <w:t xml:space="preserve">, </w:t>
      </w:r>
      <w:r>
        <w:rPr>
          <w:lang w:val="fr-FR"/>
        </w:rPr>
        <w:t xml:space="preserve">en faisant valoir </w:t>
      </w:r>
      <w:r w:rsidRPr="001169B0">
        <w:rPr>
          <w:lang w:val="fr-FR"/>
        </w:rPr>
        <w:t>que leur mariage durait depuis plus d</w:t>
      </w:r>
      <w:r>
        <w:rPr>
          <w:lang w:val="fr-FR"/>
        </w:rPr>
        <w:t>’</w:t>
      </w:r>
      <w:r w:rsidRPr="001169B0">
        <w:rPr>
          <w:lang w:val="fr-FR"/>
        </w:rPr>
        <w:t>un an. Le 15</w:t>
      </w:r>
      <w:r>
        <w:rPr>
          <w:lang w:val="fr-FR"/>
        </w:rPr>
        <w:t> </w:t>
      </w:r>
      <w:r w:rsidRPr="001169B0">
        <w:rPr>
          <w:lang w:val="fr-FR"/>
        </w:rPr>
        <w:t>octobre 2013, le Service de l</w:t>
      </w:r>
      <w:r>
        <w:rPr>
          <w:lang w:val="fr-FR"/>
        </w:rPr>
        <w:t>’</w:t>
      </w:r>
      <w:r w:rsidRPr="001169B0">
        <w:rPr>
          <w:lang w:val="fr-FR"/>
        </w:rPr>
        <w:t>immigration a rejeté cette nouvelle demande, en se fondant sur l</w:t>
      </w:r>
      <w:r>
        <w:rPr>
          <w:lang w:val="fr-FR"/>
        </w:rPr>
        <w:t>’</w:t>
      </w:r>
      <w:r w:rsidRPr="001169B0">
        <w:rPr>
          <w:lang w:val="fr-FR"/>
        </w:rPr>
        <w:t>article</w:t>
      </w:r>
      <w:r w:rsidR="00EA5264">
        <w:rPr>
          <w:lang w:val="fr-FR"/>
        </w:rPr>
        <w:t> </w:t>
      </w:r>
      <w:r w:rsidRPr="001169B0">
        <w:rPr>
          <w:lang w:val="fr-FR"/>
        </w:rPr>
        <w:t>9</w:t>
      </w:r>
      <w:r w:rsidR="00EA5264">
        <w:rPr>
          <w:lang w:val="fr-FR"/>
        </w:rPr>
        <w:t> </w:t>
      </w:r>
      <w:r w:rsidRPr="001169B0">
        <w:rPr>
          <w:lang w:val="fr-FR"/>
        </w:rPr>
        <w:t>8) de la loi sur les étrangers, pour les mêmes raisons qui avaient motivé le premier refus.</w:t>
      </w:r>
    </w:p>
    <w:p w:rsidR="00E82317" w:rsidRPr="001169B0" w:rsidRDefault="00E82317" w:rsidP="00E82317">
      <w:pPr>
        <w:pStyle w:val="SingleTxtG"/>
        <w:rPr>
          <w:lang w:val="fr-FR"/>
        </w:rPr>
      </w:pPr>
      <w:r>
        <w:rPr>
          <w:lang w:val="fr-FR"/>
        </w:rPr>
        <w:t>2.5</w:t>
      </w:r>
      <w:r>
        <w:rPr>
          <w:lang w:val="fr-FR"/>
        </w:rPr>
        <w:tab/>
        <w:t>Le 13 </w:t>
      </w:r>
      <w:r w:rsidRPr="001169B0">
        <w:rPr>
          <w:lang w:val="fr-FR"/>
        </w:rPr>
        <w:t>novembre 2013, la Commission des recours en matière d</w:t>
      </w:r>
      <w:r>
        <w:rPr>
          <w:lang w:val="fr-FR"/>
        </w:rPr>
        <w:t>’</w:t>
      </w:r>
      <w:r w:rsidRPr="001169B0">
        <w:rPr>
          <w:lang w:val="fr-FR"/>
        </w:rPr>
        <w:t>immigration a tenu une audience afin d</w:t>
      </w:r>
      <w:r>
        <w:rPr>
          <w:lang w:val="fr-FR"/>
        </w:rPr>
        <w:t>’</w:t>
      </w:r>
      <w:r w:rsidRPr="001169B0">
        <w:rPr>
          <w:lang w:val="fr-FR"/>
        </w:rPr>
        <w:t xml:space="preserve">examiner </w:t>
      </w:r>
      <w:r>
        <w:rPr>
          <w:lang w:val="fr-FR"/>
        </w:rPr>
        <w:t>le recours</w:t>
      </w:r>
      <w:r w:rsidRPr="001169B0">
        <w:rPr>
          <w:lang w:val="fr-FR"/>
        </w:rPr>
        <w:t xml:space="preserve"> </w:t>
      </w:r>
      <w:r>
        <w:rPr>
          <w:lang w:val="fr-FR"/>
        </w:rPr>
        <w:t xml:space="preserve">daté </w:t>
      </w:r>
      <w:r w:rsidRPr="001169B0">
        <w:rPr>
          <w:lang w:val="fr-FR"/>
        </w:rPr>
        <w:t>du 18</w:t>
      </w:r>
      <w:r>
        <w:rPr>
          <w:lang w:val="fr-FR"/>
        </w:rPr>
        <w:t> </w:t>
      </w:r>
      <w:r w:rsidRPr="001169B0">
        <w:rPr>
          <w:lang w:val="fr-FR"/>
        </w:rPr>
        <w:t>février 201</w:t>
      </w:r>
      <w:r>
        <w:rPr>
          <w:lang w:val="fr-FR"/>
        </w:rPr>
        <w:t>3</w:t>
      </w:r>
      <w:r w:rsidRPr="001169B0">
        <w:rPr>
          <w:lang w:val="fr-FR"/>
        </w:rPr>
        <w:t xml:space="preserve">. Au cours de cette audience, bien que </w:t>
      </w:r>
      <w:r>
        <w:rPr>
          <w:lang w:val="fr-FR"/>
        </w:rPr>
        <w:t>M. Hassan</w:t>
      </w:r>
      <w:r w:rsidRPr="001169B0">
        <w:rPr>
          <w:lang w:val="fr-FR"/>
        </w:rPr>
        <w:t xml:space="preserve"> ait fait une déclaration, M</w:t>
      </w:r>
      <w:r w:rsidRPr="00AF3304">
        <w:rPr>
          <w:vertAlign w:val="superscript"/>
          <w:lang w:val="fr-FR"/>
        </w:rPr>
        <w:t>me</w:t>
      </w:r>
      <w:r>
        <w:rPr>
          <w:lang w:val="fr-FR"/>
        </w:rPr>
        <w:t> </w:t>
      </w:r>
      <w:r w:rsidRPr="001169B0">
        <w:rPr>
          <w:lang w:val="fr-FR"/>
        </w:rPr>
        <w:t>Aden n</w:t>
      </w:r>
      <w:r>
        <w:rPr>
          <w:lang w:val="fr-FR"/>
        </w:rPr>
        <w:t>’</w:t>
      </w:r>
      <w:r w:rsidRPr="001169B0">
        <w:rPr>
          <w:lang w:val="fr-FR"/>
        </w:rPr>
        <w:t>a pas été entendue et aucun autre témoin n</w:t>
      </w:r>
      <w:r>
        <w:rPr>
          <w:lang w:val="fr-FR"/>
        </w:rPr>
        <w:t>’</w:t>
      </w:r>
      <w:r w:rsidRPr="001169B0">
        <w:rPr>
          <w:lang w:val="fr-FR"/>
        </w:rPr>
        <w:t xml:space="preserve">a été appelé. Le même jour, la Commission a confirmé la décision du </w:t>
      </w:r>
      <w:r>
        <w:rPr>
          <w:lang w:val="fr-FR"/>
        </w:rPr>
        <w:t>6 </w:t>
      </w:r>
      <w:r w:rsidRPr="001169B0">
        <w:rPr>
          <w:lang w:val="fr-FR"/>
        </w:rPr>
        <w:t>février 2013 par laquelle le Service de l</w:t>
      </w:r>
      <w:r>
        <w:rPr>
          <w:lang w:val="fr-FR"/>
        </w:rPr>
        <w:t>’</w:t>
      </w:r>
      <w:r w:rsidRPr="001169B0">
        <w:rPr>
          <w:lang w:val="fr-FR"/>
        </w:rPr>
        <w:t xml:space="preserve">immigration avait refusé </w:t>
      </w:r>
      <w:r>
        <w:rPr>
          <w:lang w:val="fr-FR"/>
        </w:rPr>
        <w:t>d’accorder</w:t>
      </w:r>
      <w:r w:rsidRPr="001169B0">
        <w:rPr>
          <w:lang w:val="fr-FR"/>
        </w:rPr>
        <w:t xml:space="preserve"> un permis de </w:t>
      </w:r>
      <w:r>
        <w:rPr>
          <w:lang w:val="fr-FR"/>
        </w:rPr>
        <w:t xml:space="preserve">séjour </w:t>
      </w:r>
      <w:r w:rsidRPr="001169B0">
        <w:rPr>
          <w:lang w:val="fr-FR"/>
        </w:rPr>
        <w:t>à M</w:t>
      </w:r>
      <w:r w:rsidRPr="00AF3304">
        <w:rPr>
          <w:vertAlign w:val="superscript"/>
          <w:lang w:val="fr-FR"/>
        </w:rPr>
        <w:t>me</w:t>
      </w:r>
      <w:r>
        <w:rPr>
          <w:lang w:val="fr-FR"/>
        </w:rPr>
        <w:t> </w:t>
      </w:r>
      <w:r w:rsidRPr="001169B0">
        <w:rPr>
          <w:lang w:val="fr-FR"/>
        </w:rPr>
        <w:t>Aden, considérant, d</w:t>
      </w:r>
      <w:r>
        <w:rPr>
          <w:lang w:val="fr-FR"/>
        </w:rPr>
        <w:t>’</w:t>
      </w:r>
      <w:r w:rsidRPr="001169B0">
        <w:rPr>
          <w:lang w:val="fr-FR"/>
        </w:rPr>
        <w:t>une part, que le fait que les intéressés se soient mariés de leur propre gré demeurait sujet à caution étant donné qu</w:t>
      </w:r>
      <w:r>
        <w:rPr>
          <w:lang w:val="fr-FR"/>
        </w:rPr>
        <w:t>’</w:t>
      </w:r>
      <w:r w:rsidRPr="001169B0">
        <w:rPr>
          <w:lang w:val="fr-FR"/>
        </w:rPr>
        <w:t>ils étaient cousins et, d</w:t>
      </w:r>
      <w:r>
        <w:rPr>
          <w:lang w:val="fr-FR"/>
        </w:rPr>
        <w:t>’</w:t>
      </w:r>
      <w:r w:rsidRPr="001169B0">
        <w:rPr>
          <w:lang w:val="fr-FR"/>
        </w:rPr>
        <w:t>autre part, qu</w:t>
      </w:r>
      <w:r>
        <w:rPr>
          <w:lang w:val="fr-FR"/>
        </w:rPr>
        <w:t>’</w:t>
      </w:r>
      <w:r w:rsidRPr="001169B0">
        <w:rPr>
          <w:lang w:val="fr-FR"/>
        </w:rPr>
        <w:t>il n</w:t>
      </w:r>
      <w:r>
        <w:rPr>
          <w:lang w:val="fr-FR"/>
        </w:rPr>
        <w:t>’</w:t>
      </w:r>
      <w:r w:rsidRPr="001169B0">
        <w:rPr>
          <w:lang w:val="fr-FR"/>
        </w:rPr>
        <w:t xml:space="preserve">existait pas de raison exceptionnelle qui justifierait </w:t>
      </w:r>
      <w:r>
        <w:rPr>
          <w:lang w:val="fr-FR"/>
        </w:rPr>
        <w:t>de s’écarter</w:t>
      </w:r>
      <w:r w:rsidRPr="001169B0">
        <w:rPr>
          <w:lang w:val="fr-FR"/>
        </w:rPr>
        <w:t xml:space="preserve"> de </w:t>
      </w:r>
      <w:r>
        <w:rPr>
          <w:lang w:val="fr-FR"/>
        </w:rPr>
        <w:t>l’appréciation qu’avait faite</w:t>
      </w:r>
      <w:r w:rsidR="005A628D">
        <w:rPr>
          <w:lang w:val="fr-FR"/>
        </w:rPr>
        <w:t xml:space="preserve"> </w:t>
      </w:r>
      <w:r w:rsidRPr="001169B0">
        <w:rPr>
          <w:lang w:val="fr-FR"/>
        </w:rPr>
        <w:t>le Service de l</w:t>
      </w:r>
      <w:r>
        <w:rPr>
          <w:lang w:val="fr-FR"/>
        </w:rPr>
        <w:t>’</w:t>
      </w:r>
      <w:r w:rsidRPr="001169B0">
        <w:rPr>
          <w:lang w:val="fr-FR"/>
        </w:rPr>
        <w:t>immigration. La Commission a estimé qu</w:t>
      </w:r>
      <w:r>
        <w:rPr>
          <w:lang w:val="fr-FR"/>
        </w:rPr>
        <w:t>’</w:t>
      </w:r>
      <w:r w:rsidRPr="001169B0">
        <w:rPr>
          <w:lang w:val="fr-FR"/>
        </w:rPr>
        <w:t>il n</w:t>
      </w:r>
      <w:r>
        <w:rPr>
          <w:lang w:val="fr-FR"/>
        </w:rPr>
        <w:t>’</w:t>
      </w:r>
      <w:r w:rsidRPr="001169B0">
        <w:rPr>
          <w:lang w:val="fr-FR"/>
        </w:rPr>
        <w:t xml:space="preserve">existait pas entre les intéressés de lien profond et </w:t>
      </w:r>
      <w:r w:rsidR="00EB47E3">
        <w:rPr>
          <w:lang w:val="fr-FR"/>
        </w:rPr>
        <w:t xml:space="preserve">de </w:t>
      </w:r>
      <w:r w:rsidRPr="001169B0">
        <w:rPr>
          <w:lang w:val="fr-FR"/>
        </w:rPr>
        <w:t xml:space="preserve">longue </w:t>
      </w:r>
      <w:r>
        <w:rPr>
          <w:lang w:val="fr-FR"/>
        </w:rPr>
        <w:t xml:space="preserve">date </w:t>
      </w:r>
      <w:r w:rsidRPr="001169B0">
        <w:rPr>
          <w:lang w:val="fr-FR"/>
        </w:rPr>
        <w:t>antérieur au mariage puisqu</w:t>
      </w:r>
      <w:r>
        <w:rPr>
          <w:lang w:val="fr-FR"/>
        </w:rPr>
        <w:t>’</w:t>
      </w:r>
      <w:r w:rsidRPr="001169B0">
        <w:rPr>
          <w:lang w:val="fr-FR"/>
        </w:rPr>
        <w:t>ils avaient seulement eu des contacts téléphoniques a</w:t>
      </w:r>
      <w:r>
        <w:rPr>
          <w:lang w:val="fr-FR"/>
        </w:rPr>
        <w:t>vant</w:t>
      </w:r>
      <w:r w:rsidRPr="001169B0">
        <w:rPr>
          <w:lang w:val="fr-FR"/>
        </w:rPr>
        <w:t xml:space="preserve"> </w:t>
      </w:r>
      <w:r>
        <w:rPr>
          <w:lang w:val="fr-FR"/>
        </w:rPr>
        <w:t>de décider</w:t>
      </w:r>
      <w:r w:rsidRPr="001169B0">
        <w:rPr>
          <w:lang w:val="fr-FR"/>
        </w:rPr>
        <w:t xml:space="preserve"> de se marier et que le mariage </w:t>
      </w:r>
      <w:r>
        <w:rPr>
          <w:lang w:val="fr-FR"/>
        </w:rPr>
        <w:lastRenderedPageBreak/>
        <w:t>avait été</w:t>
      </w:r>
      <w:r w:rsidRPr="001169B0">
        <w:rPr>
          <w:lang w:val="fr-FR"/>
        </w:rPr>
        <w:t xml:space="preserve"> célébré trois jours seulement après leur première rencontre le 6</w:t>
      </w:r>
      <w:r>
        <w:rPr>
          <w:lang w:val="fr-FR"/>
        </w:rPr>
        <w:t> </w:t>
      </w:r>
      <w:r w:rsidRPr="001169B0">
        <w:rPr>
          <w:lang w:val="fr-FR"/>
        </w:rPr>
        <w:t>juin 2012 à Nairobi. La Commission a expliqué que la présomption pouvait être renversée si le mariage était suivi d</w:t>
      </w:r>
      <w:r>
        <w:rPr>
          <w:lang w:val="fr-FR"/>
        </w:rPr>
        <w:t>’</w:t>
      </w:r>
      <w:r w:rsidRPr="001169B0">
        <w:rPr>
          <w:lang w:val="fr-FR"/>
        </w:rPr>
        <w:t>une cohabitation d</w:t>
      </w:r>
      <w:r>
        <w:rPr>
          <w:lang w:val="fr-FR"/>
        </w:rPr>
        <w:t>’</w:t>
      </w:r>
      <w:r w:rsidRPr="001169B0">
        <w:rPr>
          <w:lang w:val="fr-FR"/>
        </w:rPr>
        <w:t>une durée significative</w:t>
      </w:r>
      <w:r w:rsidRPr="00E47167">
        <w:rPr>
          <w:rStyle w:val="Appelnotedebasdep"/>
        </w:rPr>
        <w:footnoteReference w:id="9"/>
      </w:r>
      <w:r w:rsidRPr="001169B0">
        <w:rPr>
          <w:lang w:val="fr-FR"/>
        </w:rPr>
        <w:t xml:space="preserve">. Elle a </w:t>
      </w:r>
      <w:r>
        <w:rPr>
          <w:lang w:val="fr-FR"/>
        </w:rPr>
        <w:t>cependant</w:t>
      </w:r>
      <w:r w:rsidRPr="001169B0">
        <w:rPr>
          <w:lang w:val="fr-FR"/>
        </w:rPr>
        <w:t xml:space="preserve"> considéré</w:t>
      </w:r>
      <w:r>
        <w:rPr>
          <w:lang w:val="fr-FR"/>
        </w:rPr>
        <w:t xml:space="preserve"> que</w:t>
      </w:r>
      <w:r w:rsidRPr="001169B0">
        <w:rPr>
          <w:lang w:val="fr-FR"/>
        </w:rPr>
        <w:t xml:space="preserve">, </w:t>
      </w:r>
      <w:r>
        <w:rPr>
          <w:lang w:val="fr-FR"/>
        </w:rPr>
        <w:t>dans le cas</w:t>
      </w:r>
      <w:r w:rsidRPr="001169B0">
        <w:rPr>
          <w:lang w:val="fr-FR"/>
        </w:rPr>
        <w:t xml:space="preserve"> </w:t>
      </w:r>
      <w:r>
        <w:rPr>
          <w:lang w:val="fr-FR"/>
        </w:rPr>
        <w:t>d</w:t>
      </w:r>
      <w:r w:rsidRPr="001169B0">
        <w:rPr>
          <w:lang w:val="fr-FR"/>
        </w:rPr>
        <w:t>es auteurs, la déclaration dans laquelle ils affirmaient s</w:t>
      </w:r>
      <w:r>
        <w:rPr>
          <w:lang w:val="fr-FR"/>
        </w:rPr>
        <w:t>’</w:t>
      </w:r>
      <w:r w:rsidRPr="001169B0">
        <w:rPr>
          <w:lang w:val="fr-FR"/>
        </w:rPr>
        <w:t>être mariés de leur propre gré et par amour, le</w:t>
      </w:r>
      <w:r>
        <w:rPr>
          <w:lang w:val="fr-FR"/>
        </w:rPr>
        <w:t>ur</w:t>
      </w:r>
      <w:r w:rsidRPr="001169B0">
        <w:rPr>
          <w:lang w:val="fr-FR"/>
        </w:rPr>
        <w:t xml:space="preserve">s conversations téléphoniques quotidiennes, les trois visites rendues par </w:t>
      </w:r>
      <w:r>
        <w:rPr>
          <w:lang w:val="fr-FR"/>
        </w:rPr>
        <w:t>M. Hassan</w:t>
      </w:r>
      <w:r w:rsidRPr="001169B0">
        <w:rPr>
          <w:lang w:val="fr-FR"/>
        </w:rPr>
        <w:t xml:space="preserve"> à son épouse au Kenya après le mariage et le fait qu</w:t>
      </w:r>
      <w:r>
        <w:rPr>
          <w:lang w:val="fr-FR"/>
        </w:rPr>
        <w:t>’</w:t>
      </w:r>
      <w:r w:rsidRPr="001169B0">
        <w:rPr>
          <w:lang w:val="fr-FR"/>
        </w:rPr>
        <w:t>ils avaient un enfant ne suffisaient pas à renverser la présomption.</w:t>
      </w:r>
    </w:p>
    <w:p w:rsidR="00E82317" w:rsidRPr="001169B0" w:rsidRDefault="00E82317" w:rsidP="00E82317">
      <w:pPr>
        <w:pStyle w:val="SingleTxtG"/>
        <w:rPr>
          <w:lang w:val="fr-FR"/>
        </w:rPr>
      </w:pPr>
      <w:r w:rsidRPr="001169B0">
        <w:rPr>
          <w:lang w:val="fr-FR"/>
        </w:rPr>
        <w:t>2.6</w:t>
      </w:r>
      <w:r w:rsidRPr="001169B0">
        <w:rPr>
          <w:lang w:val="fr-FR"/>
        </w:rPr>
        <w:tab/>
      </w:r>
      <w:r>
        <w:rPr>
          <w:lang w:val="fr-FR"/>
        </w:rPr>
        <w:t>M. Hassan</w:t>
      </w:r>
      <w:r w:rsidRPr="001169B0">
        <w:rPr>
          <w:lang w:val="fr-FR"/>
        </w:rPr>
        <w:t xml:space="preserve"> a décidé de porter l</w:t>
      </w:r>
      <w:r>
        <w:rPr>
          <w:lang w:val="fr-FR"/>
        </w:rPr>
        <w:t>’</w:t>
      </w:r>
      <w:r w:rsidRPr="001169B0">
        <w:rPr>
          <w:lang w:val="fr-FR"/>
        </w:rPr>
        <w:t>affaire devant les tribunaux danois afin d</w:t>
      </w:r>
      <w:r>
        <w:rPr>
          <w:lang w:val="fr-FR"/>
        </w:rPr>
        <w:t>’</w:t>
      </w:r>
      <w:r w:rsidRPr="001169B0">
        <w:rPr>
          <w:lang w:val="fr-FR"/>
        </w:rPr>
        <w:t>obtenir un contrôle juridictionnel de la décision de la Commission des recours en matière d</w:t>
      </w:r>
      <w:r>
        <w:rPr>
          <w:lang w:val="fr-FR"/>
        </w:rPr>
        <w:t>’</w:t>
      </w:r>
      <w:r w:rsidRPr="001169B0">
        <w:rPr>
          <w:lang w:val="fr-FR"/>
        </w:rPr>
        <w:t>immigration. Comme il manquait de moyens financiers, il a présenté une demande d</w:t>
      </w:r>
      <w:r>
        <w:rPr>
          <w:lang w:val="fr-FR"/>
        </w:rPr>
        <w:t>’</w:t>
      </w:r>
      <w:r w:rsidRPr="001169B0">
        <w:rPr>
          <w:lang w:val="fr-FR"/>
        </w:rPr>
        <w:t>aide juridictionnelle auprès du Bureau d</w:t>
      </w:r>
      <w:r>
        <w:rPr>
          <w:lang w:val="fr-FR"/>
        </w:rPr>
        <w:t>’</w:t>
      </w:r>
      <w:r w:rsidRPr="001169B0">
        <w:rPr>
          <w:lang w:val="fr-FR"/>
        </w:rPr>
        <w:t>aide juridictionnelle du Département des affaires civiles le 19</w:t>
      </w:r>
      <w:r>
        <w:rPr>
          <w:lang w:val="fr-FR"/>
        </w:rPr>
        <w:t> </w:t>
      </w:r>
      <w:r w:rsidRPr="001169B0">
        <w:rPr>
          <w:lang w:val="fr-FR"/>
        </w:rPr>
        <w:t>décembre 2013</w:t>
      </w:r>
      <w:r w:rsidRPr="00E47167">
        <w:rPr>
          <w:rStyle w:val="Appelnotedebasdep"/>
        </w:rPr>
        <w:footnoteReference w:id="10"/>
      </w:r>
      <w:r w:rsidRPr="001169B0">
        <w:rPr>
          <w:lang w:val="fr-FR"/>
        </w:rPr>
        <w:t>. Sa demande a été rejetée le 13</w:t>
      </w:r>
      <w:r>
        <w:rPr>
          <w:lang w:val="fr-FR"/>
        </w:rPr>
        <w:t> </w:t>
      </w:r>
      <w:r w:rsidRPr="001169B0">
        <w:rPr>
          <w:lang w:val="fr-FR"/>
        </w:rPr>
        <w:t>mars 2014. Le Département des affaires civiles a estimé qu</w:t>
      </w:r>
      <w:r>
        <w:rPr>
          <w:lang w:val="fr-FR"/>
        </w:rPr>
        <w:t>’</w:t>
      </w:r>
      <w:r w:rsidRPr="001169B0">
        <w:rPr>
          <w:lang w:val="fr-FR"/>
        </w:rPr>
        <w:t>il n</w:t>
      </w:r>
      <w:r>
        <w:rPr>
          <w:lang w:val="fr-FR"/>
        </w:rPr>
        <w:t>’</w:t>
      </w:r>
      <w:r w:rsidRPr="001169B0">
        <w:rPr>
          <w:lang w:val="fr-FR"/>
        </w:rPr>
        <w:t>y avait pas de motifs raisonnables de croire que les tribunaux rendraient une décision différente et statueraient en faveur des auteurs</w:t>
      </w:r>
      <w:r w:rsidRPr="00E47167">
        <w:rPr>
          <w:rStyle w:val="Appelnotedebasdep"/>
        </w:rPr>
        <w:footnoteReference w:id="11"/>
      </w:r>
      <w:r w:rsidRPr="001169B0">
        <w:rPr>
          <w:lang w:val="fr-FR"/>
        </w:rPr>
        <w:t>.</w:t>
      </w:r>
    </w:p>
    <w:p w:rsidR="00E82317" w:rsidRPr="001169B0" w:rsidRDefault="00E82317" w:rsidP="00E82317">
      <w:pPr>
        <w:pStyle w:val="SingleTxtG"/>
        <w:rPr>
          <w:lang w:val="fr-FR"/>
        </w:rPr>
      </w:pPr>
      <w:r w:rsidRPr="001169B0">
        <w:rPr>
          <w:lang w:val="fr-FR"/>
        </w:rPr>
        <w:t>2.7</w:t>
      </w:r>
      <w:r w:rsidRPr="001169B0">
        <w:rPr>
          <w:lang w:val="fr-FR"/>
        </w:rPr>
        <w:tab/>
        <w:t>Le 7</w:t>
      </w:r>
      <w:r w:rsidR="00EA5264">
        <w:rPr>
          <w:lang w:val="fr-FR"/>
        </w:rPr>
        <w:t> </w:t>
      </w:r>
      <w:r w:rsidRPr="001169B0">
        <w:rPr>
          <w:lang w:val="fr-FR"/>
        </w:rPr>
        <w:t xml:space="preserve">juillet 2014, </w:t>
      </w:r>
      <w:r>
        <w:rPr>
          <w:lang w:val="fr-FR"/>
        </w:rPr>
        <w:t>M. Hassan</w:t>
      </w:r>
      <w:r w:rsidRPr="001169B0">
        <w:rPr>
          <w:lang w:val="fr-FR"/>
        </w:rPr>
        <w:t xml:space="preserve"> a fait appel de la décision du Département des affaires civiles </w:t>
      </w:r>
      <w:r>
        <w:rPr>
          <w:lang w:val="fr-FR"/>
        </w:rPr>
        <w:t>devant</w:t>
      </w:r>
      <w:r w:rsidRPr="001169B0">
        <w:rPr>
          <w:lang w:val="fr-FR"/>
        </w:rPr>
        <w:t xml:space="preserve"> la Commission d</w:t>
      </w:r>
      <w:r>
        <w:rPr>
          <w:lang w:val="fr-FR"/>
        </w:rPr>
        <w:t>’</w:t>
      </w:r>
      <w:r w:rsidRPr="001169B0">
        <w:rPr>
          <w:lang w:val="fr-FR"/>
        </w:rPr>
        <w:t>autorisation des recours, qui a confirmé la décision de refus de l</w:t>
      </w:r>
      <w:r>
        <w:rPr>
          <w:lang w:val="fr-FR"/>
        </w:rPr>
        <w:t>’</w:t>
      </w:r>
      <w:r w:rsidRPr="001169B0">
        <w:rPr>
          <w:lang w:val="fr-FR"/>
        </w:rPr>
        <w:t>aide juridictionnelle</w:t>
      </w:r>
      <w:r>
        <w:rPr>
          <w:lang w:val="fr-FR"/>
        </w:rPr>
        <w:t>,</w:t>
      </w:r>
      <w:r w:rsidRPr="001169B0">
        <w:rPr>
          <w:lang w:val="fr-FR"/>
        </w:rPr>
        <w:t xml:space="preserve"> pour les mêmes motifs que ceux </w:t>
      </w:r>
      <w:r>
        <w:rPr>
          <w:lang w:val="fr-FR"/>
        </w:rPr>
        <w:t>qu’avait avancés le</w:t>
      </w:r>
      <w:r w:rsidRPr="001169B0">
        <w:rPr>
          <w:lang w:val="fr-FR"/>
        </w:rPr>
        <w:t xml:space="preserve"> Département des affaires civiles.</w:t>
      </w:r>
    </w:p>
    <w:p w:rsidR="00E82317" w:rsidRPr="001169B0" w:rsidRDefault="00E82317" w:rsidP="00EA5264">
      <w:pPr>
        <w:pStyle w:val="H23G"/>
        <w:rPr>
          <w:lang w:val="fr-FR"/>
        </w:rPr>
      </w:pPr>
      <w:r w:rsidRPr="001169B0">
        <w:rPr>
          <w:lang w:val="fr-FR"/>
        </w:rPr>
        <w:tab/>
      </w:r>
      <w:r w:rsidRPr="001169B0">
        <w:rPr>
          <w:lang w:val="fr-FR"/>
        </w:rPr>
        <w:tab/>
        <w:t>Teneur de la plainte</w:t>
      </w:r>
    </w:p>
    <w:p w:rsidR="00E82317" w:rsidRPr="001169B0" w:rsidRDefault="00E82317" w:rsidP="00E82317">
      <w:pPr>
        <w:pStyle w:val="SingleTxtG"/>
        <w:rPr>
          <w:lang w:val="fr-FR"/>
        </w:rPr>
      </w:pPr>
      <w:r w:rsidRPr="001169B0">
        <w:rPr>
          <w:lang w:val="fr-FR"/>
        </w:rPr>
        <w:t>3.1</w:t>
      </w:r>
      <w:r w:rsidRPr="001169B0">
        <w:rPr>
          <w:lang w:val="fr-FR"/>
        </w:rPr>
        <w:tab/>
        <w:t xml:space="preserve">Les auteurs affirment que le rejet de leur demande de regroupement familial constitue une immixtion illégale </w:t>
      </w:r>
      <w:r>
        <w:rPr>
          <w:lang w:val="fr-FR"/>
        </w:rPr>
        <w:t>de</w:t>
      </w:r>
      <w:r w:rsidRPr="001169B0">
        <w:rPr>
          <w:lang w:val="fr-FR"/>
        </w:rPr>
        <w:t xml:space="preserve"> l</w:t>
      </w:r>
      <w:r>
        <w:rPr>
          <w:lang w:val="fr-FR"/>
        </w:rPr>
        <w:t>’</w:t>
      </w:r>
      <w:r w:rsidRPr="001169B0">
        <w:rPr>
          <w:lang w:val="fr-FR"/>
        </w:rPr>
        <w:t>État partie dans leur droit à la vie familiale protégé par les articles</w:t>
      </w:r>
      <w:r w:rsidR="00EA5264">
        <w:rPr>
          <w:lang w:val="fr-FR"/>
        </w:rPr>
        <w:t> </w:t>
      </w:r>
      <w:r w:rsidRPr="001169B0">
        <w:rPr>
          <w:lang w:val="fr-FR"/>
        </w:rPr>
        <w:t>17 et 23 du Pacte. Ils arguent que l</w:t>
      </w:r>
      <w:r>
        <w:rPr>
          <w:lang w:val="fr-FR"/>
        </w:rPr>
        <w:t>’</w:t>
      </w:r>
      <w:r w:rsidRPr="001169B0">
        <w:rPr>
          <w:lang w:val="fr-FR"/>
        </w:rPr>
        <w:t xml:space="preserve">application à leur </w:t>
      </w:r>
      <w:r>
        <w:rPr>
          <w:lang w:val="fr-FR"/>
        </w:rPr>
        <w:t>situation</w:t>
      </w:r>
      <w:r w:rsidRPr="001169B0">
        <w:rPr>
          <w:lang w:val="fr-FR"/>
        </w:rPr>
        <w:t xml:space="preserve"> de la présomption énoncée à l</w:t>
      </w:r>
      <w:r>
        <w:rPr>
          <w:lang w:val="fr-FR"/>
        </w:rPr>
        <w:t>’</w:t>
      </w:r>
      <w:r w:rsidRPr="001169B0">
        <w:rPr>
          <w:lang w:val="fr-FR"/>
        </w:rPr>
        <w:t>article 9</w:t>
      </w:r>
      <w:r w:rsidR="00EA5264">
        <w:rPr>
          <w:lang w:val="fr-FR"/>
        </w:rPr>
        <w:t> </w:t>
      </w:r>
      <w:r w:rsidRPr="001169B0">
        <w:rPr>
          <w:lang w:val="fr-FR"/>
        </w:rPr>
        <w:t xml:space="preserve">8) de la loi sur les étrangers revient à </w:t>
      </w:r>
      <w:r>
        <w:rPr>
          <w:lang w:val="fr-FR"/>
        </w:rPr>
        <w:t>un renversement de</w:t>
      </w:r>
      <w:r w:rsidRPr="001169B0">
        <w:rPr>
          <w:lang w:val="fr-FR"/>
        </w:rPr>
        <w:t xml:space="preserve"> la charge de la preuve. Ils prétendent qu</w:t>
      </w:r>
      <w:r>
        <w:rPr>
          <w:lang w:val="fr-FR"/>
        </w:rPr>
        <w:t>’</w:t>
      </w:r>
      <w:r w:rsidRPr="001169B0">
        <w:rPr>
          <w:lang w:val="fr-FR"/>
        </w:rPr>
        <w:t>ils n</w:t>
      </w:r>
      <w:r>
        <w:rPr>
          <w:lang w:val="fr-FR"/>
        </w:rPr>
        <w:t>’</w:t>
      </w:r>
      <w:r w:rsidRPr="001169B0">
        <w:rPr>
          <w:lang w:val="fr-FR"/>
        </w:rPr>
        <w:t>ont pas pu contester effectivement et renverser la présomption</w:t>
      </w:r>
      <w:r>
        <w:rPr>
          <w:lang w:val="fr-FR"/>
        </w:rPr>
        <w:t xml:space="preserve">, puisqu’il </w:t>
      </w:r>
      <w:r w:rsidRPr="001169B0">
        <w:rPr>
          <w:lang w:val="fr-FR"/>
        </w:rPr>
        <w:t>n</w:t>
      </w:r>
      <w:r>
        <w:rPr>
          <w:lang w:val="fr-FR"/>
        </w:rPr>
        <w:t>’</w:t>
      </w:r>
      <w:r w:rsidRPr="001169B0">
        <w:rPr>
          <w:lang w:val="fr-FR"/>
        </w:rPr>
        <w:t>a pas été donné à M</w:t>
      </w:r>
      <w:r w:rsidRPr="00AF3304">
        <w:rPr>
          <w:vertAlign w:val="superscript"/>
          <w:lang w:val="fr-FR"/>
        </w:rPr>
        <w:t>me</w:t>
      </w:r>
      <w:r>
        <w:rPr>
          <w:lang w:val="fr-FR"/>
        </w:rPr>
        <w:t> </w:t>
      </w:r>
      <w:r w:rsidRPr="001169B0">
        <w:rPr>
          <w:lang w:val="fr-FR"/>
        </w:rPr>
        <w:t>Aden la possibilité de faire une déclaration devant la Commission des recours en matière d</w:t>
      </w:r>
      <w:r>
        <w:rPr>
          <w:lang w:val="fr-FR"/>
        </w:rPr>
        <w:t>’</w:t>
      </w:r>
      <w:r w:rsidRPr="001169B0">
        <w:rPr>
          <w:lang w:val="fr-FR"/>
        </w:rPr>
        <w:t>immigration. Ainsi, les auteurs affirment que les autorités chargées des questions d</w:t>
      </w:r>
      <w:r>
        <w:rPr>
          <w:lang w:val="fr-FR"/>
        </w:rPr>
        <w:t>’</w:t>
      </w:r>
      <w:r w:rsidRPr="001169B0">
        <w:rPr>
          <w:lang w:val="fr-FR"/>
        </w:rPr>
        <w:t>immigration ont conclu que leur mariage était un mariage forcé sans avoir mené d</w:t>
      </w:r>
      <w:r>
        <w:rPr>
          <w:lang w:val="fr-FR"/>
        </w:rPr>
        <w:t>’</w:t>
      </w:r>
      <w:r w:rsidRPr="001169B0">
        <w:rPr>
          <w:lang w:val="fr-FR"/>
        </w:rPr>
        <w:t xml:space="preserve">investigations </w:t>
      </w:r>
      <w:r>
        <w:rPr>
          <w:lang w:val="fr-FR"/>
        </w:rPr>
        <w:t>approfondies</w:t>
      </w:r>
      <w:r w:rsidRPr="001169B0">
        <w:rPr>
          <w:lang w:val="fr-FR"/>
        </w:rPr>
        <w:t xml:space="preserve"> et en faisant peser la charge de la preuve sur eux seuls, ce qui constitue une violation des articles</w:t>
      </w:r>
      <w:r w:rsidR="00EA5264">
        <w:rPr>
          <w:lang w:val="fr-FR"/>
        </w:rPr>
        <w:t> </w:t>
      </w:r>
      <w:r w:rsidRPr="001169B0">
        <w:rPr>
          <w:lang w:val="fr-FR"/>
        </w:rPr>
        <w:t>17 et 23 du Pacte</w:t>
      </w:r>
      <w:r w:rsidRPr="00E47167">
        <w:rPr>
          <w:rStyle w:val="Appelnotedebasdep"/>
        </w:rPr>
        <w:footnoteReference w:id="12"/>
      </w:r>
      <w:r w:rsidRPr="001169B0">
        <w:rPr>
          <w:lang w:val="fr-FR"/>
        </w:rPr>
        <w:t>.</w:t>
      </w:r>
    </w:p>
    <w:p w:rsidR="00E82317" w:rsidRPr="001169B0" w:rsidRDefault="00E82317" w:rsidP="00E82317">
      <w:pPr>
        <w:pStyle w:val="SingleTxtG"/>
        <w:rPr>
          <w:lang w:val="fr-FR"/>
        </w:rPr>
      </w:pPr>
      <w:r w:rsidRPr="001169B0">
        <w:rPr>
          <w:lang w:val="fr-FR"/>
        </w:rPr>
        <w:t>3.2</w:t>
      </w:r>
      <w:r w:rsidRPr="001169B0">
        <w:rPr>
          <w:lang w:val="fr-FR"/>
        </w:rPr>
        <w:tab/>
        <w:t>Les auteurs affirment également que les droits qu</w:t>
      </w:r>
      <w:r>
        <w:rPr>
          <w:lang w:val="fr-FR"/>
        </w:rPr>
        <w:t>’</w:t>
      </w:r>
      <w:r w:rsidRPr="001169B0">
        <w:rPr>
          <w:lang w:val="fr-FR"/>
        </w:rPr>
        <w:t>ils tiennent de l</w:t>
      </w:r>
      <w:r>
        <w:rPr>
          <w:lang w:val="fr-FR"/>
        </w:rPr>
        <w:t>’</w:t>
      </w:r>
      <w:r w:rsidRPr="001169B0">
        <w:rPr>
          <w:lang w:val="fr-FR"/>
        </w:rPr>
        <w:t>article</w:t>
      </w:r>
      <w:r w:rsidR="00EA5264">
        <w:rPr>
          <w:lang w:val="fr-FR"/>
        </w:rPr>
        <w:t> </w:t>
      </w:r>
      <w:r w:rsidRPr="001169B0">
        <w:rPr>
          <w:lang w:val="fr-FR"/>
        </w:rPr>
        <w:t>26 du Pacte ont été violés parce que l</w:t>
      </w:r>
      <w:r>
        <w:rPr>
          <w:lang w:val="fr-FR"/>
        </w:rPr>
        <w:t>’</w:t>
      </w:r>
      <w:r w:rsidRPr="001169B0">
        <w:rPr>
          <w:lang w:val="fr-FR"/>
        </w:rPr>
        <w:t>application de la présomption énoncée à l</w:t>
      </w:r>
      <w:r>
        <w:rPr>
          <w:lang w:val="fr-FR"/>
        </w:rPr>
        <w:t>’</w:t>
      </w:r>
      <w:r w:rsidRPr="001169B0">
        <w:rPr>
          <w:lang w:val="fr-FR"/>
        </w:rPr>
        <w:t>article</w:t>
      </w:r>
      <w:r w:rsidR="00EA5264">
        <w:rPr>
          <w:lang w:val="fr-FR"/>
        </w:rPr>
        <w:t> </w:t>
      </w:r>
      <w:r w:rsidRPr="001169B0">
        <w:rPr>
          <w:lang w:val="fr-FR"/>
        </w:rPr>
        <w:t>9</w:t>
      </w:r>
      <w:r w:rsidR="00EA5264">
        <w:rPr>
          <w:lang w:val="fr-FR"/>
        </w:rPr>
        <w:t> </w:t>
      </w:r>
      <w:r w:rsidRPr="001169B0">
        <w:rPr>
          <w:lang w:val="fr-FR"/>
        </w:rPr>
        <w:t xml:space="preserve">8) a eu </w:t>
      </w:r>
      <w:r>
        <w:rPr>
          <w:lang w:val="fr-FR"/>
        </w:rPr>
        <w:t>pour</w:t>
      </w:r>
      <w:r w:rsidRPr="001169B0">
        <w:rPr>
          <w:lang w:val="fr-FR"/>
        </w:rPr>
        <w:t xml:space="preserve"> eux des effets négatifs disproportionnés </w:t>
      </w:r>
      <w:r>
        <w:rPr>
          <w:lang w:val="fr-FR"/>
        </w:rPr>
        <w:t>et différent</w:t>
      </w:r>
      <w:r w:rsidRPr="001169B0">
        <w:rPr>
          <w:lang w:val="fr-FR"/>
        </w:rPr>
        <w:t xml:space="preserve">s de </w:t>
      </w:r>
      <w:r>
        <w:rPr>
          <w:lang w:val="fr-FR"/>
        </w:rPr>
        <w:t xml:space="preserve">ceux </w:t>
      </w:r>
      <w:r w:rsidRPr="001169B0">
        <w:rPr>
          <w:lang w:val="fr-FR"/>
        </w:rPr>
        <w:t>qu</w:t>
      </w:r>
      <w:r>
        <w:rPr>
          <w:lang w:val="fr-FR"/>
        </w:rPr>
        <w:t>’</w:t>
      </w:r>
      <w:r w:rsidRPr="001169B0">
        <w:rPr>
          <w:lang w:val="fr-FR"/>
        </w:rPr>
        <w:t xml:space="preserve">elle peut avoir </w:t>
      </w:r>
      <w:r>
        <w:rPr>
          <w:lang w:val="fr-FR"/>
        </w:rPr>
        <w:t>pour</w:t>
      </w:r>
      <w:r w:rsidRPr="001169B0">
        <w:rPr>
          <w:lang w:val="fr-FR"/>
        </w:rPr>
        <w:t xml:space="preserve"> des époux d</w:t>
      </w:r>
      <w:r>
        <w:rPr>
          <w:lang w:val="fr-FR"/>
        </w:rPr>
        <w:t>’</w:t>
      </w:r>
      <w:r w:rsidRPr="001169B0">
        <w:rPr>
          <w:lang w:val="fr-FR"/>
        </w:rPr>
        <w:t>une autre origine ethnique que la leur</w:t>
      </w:r>
      <w:r w:rsidRPr="00E47167">
        <w:rPr>
          <w:rStyle w:val="Appelnotedebasdep"/>
        </w:rPr>
        <w:footnoteReference w:id="13"/>
      </w:r>
      <w:r w:rsidRPr="001169B0">
        <w:rPr>
          <w:lang w:val="fr-FR"/>
        </w:rPr>
        <w:t>.</w:t>
      </w:r>
    </w:p>
    <w:p w:rsidR="00E82317" w:rsidRPr="001169B0" w:rsidRDefault="00E82317" w:rsidP="00E82317">
      <w:pPr>
        <w:pStyle w:val="SingleTxtG"/>
        <w:rPr>
          <w:lang w:val="fr-FR"/>
        </w:rPr>
      </w:pPr>
      <w:r w:rsidRPr="001169B0">
        <w:rPr>
          <w:lang w:val="fr-FR"/>
        </w:rPr>
        <w:t>3.3</w:t>
      </w:r>
      <w:r w:rsidRPr="001169B0">
        <w:rPr>
          <w:lang w:val="fr-FR"/>
        </w:rPr>
        <w:tab/>
        <w:t>Les auteurs affirment qu</w:t>
      </w:r>
      <w:r>
        <w:rPr>
          <w:lang w:val="fr-FR"/>
        </w:rPr>
        <w:t>’</w:t>
      </w:r>
      <w:r w:rsidRPr="001169B0">
        <w:rPr>
          <w:lang w:val="fr-FR"/>
        </w:rPr>
        <w:t>ils ont épuisé tous les recours internes disponibles, puisque la décision du 13</w:t>
      </w:r>
      <w:r>
        <w:rPr>
          <w:lang w:val="fr-FR"/>
        </w:rPr>
        <w:t> </w:t>
      </w:r>
      <w:r w:rsidRPr="001169B0">
        <w:rPr>
          <w:lang w:val="fr-FR"/>
        </w:rPr>
        <w:t>novembre 2013 de la Commission des recours en matière d</w:t>
      </w:r>
      <w:r>
        <w:rPr>
          <w:lang w:val="fr-FR"/>
        </w:rPr>
        <w:t>’</w:t>
      </w:r>
      <w:r w:rsidRPr="001169B0">
        <w:rPr>
          <w:lang w:val="fr-FR"/>
        </w:rPr>
        <w:t>immigration ne peut pas faire l</w:t>
      </w:r>
      <w:r>
        <w:rPr>
          <w:lang w:val="fr-FR"/>
        </w:rPr>
        <w:t>’</w:t>
      </w:r>
      <w:r w:rsidRPr="001169B0">
        <w:rPr>
          <w:lang w:val="fr-FR"/>
        </w:rPr>
        <w:t>objet d</w:t>
      </w:r>
      <w:r>
        <w:rPr>
          <w:lang w:val="fr-FR"/>
        </w:rPr>
        <w:t>’</w:t>
      </w:r>
      <w:r w:rsidRPr="001169B0">
        <w:rPr>
          <w:lang w:val="fr-FR"/>
        </w:rPr>
        <w:t xml:space="preserve">un nouveau recours administratif. Ils affirment que le contrôle </w:t>
      </w:r>
      <w:r w:rsidRPr="001169B0">
        <w:rPr>
          <w:lang w:val="fr-FR"/>
        </w:rPr>
        <w:lastRenderedPageBreak/>
        <w:t>juridictionnel de la décision de la Commission n</w:t>
      </w:r>
      <w:r>
        <w:rPr>
          <w:lang w:val="fr-FR"/>
        </w:rPr>
        <w:t>’</w:t>
      </w:r>
      <w:r w:rsidRPr="001169B0">
        <w:rPr>
          <w:lang w:val="fr-FR"/>
        </w:rPr>
        <w:t>est ni accessible ni utile étant donné que tant le Département des affaires civiles que la Commission d</w:t>
      </w:r>
      <w:r>
        <w:rPr>
          <w:lang w:val="fr-FR"/>
        </w:rPr>
        <w:t>’</w:t>
      </w:r>
      <w:r w:rsidRPr="001169B0">
        <w:rPr>
          <w:lang w:val="fr-FR"/>
        </w:rPr>
        <w:t>autorisation des recours ont rejeté leur demande d</w:t>
      </w:r>
      <w:r>
        <w:rPr>
          <w:lang w:val="fr-FR"/>
        </w:rPr>
        <w:t>’</w:t>
      </w:r>
      <w:r w:rsidRPr="001169B0">
        <w:rPr>
          <w:lang w:val="fr-FR"/>
        </w:rPr>
        <w:t>aide juridictionnelle parce qu</w:t>
      </w:r>
      <w:r>
        <w:rPr>
          <w:lang w:val="fr-FR"/>
        </w:rPr>
        <w:t>’</w:t>
      </w:r>
      <w:r w:rsidRPr="001169B0">
        <w:rPr>
          <w:lang w:val="fr-FR"/>
        </w:rPr>
        <w:t>ils estimaient que les tribunaux ne rendraient pas une décision différente de celle à laquelle était parvenue la Commission des recours en matière d</w:t>
      </w:r>
      <w:r>
        <w:rPr>
          <w:lang w:val="fr-FR"/>
        </w:rPr>
        <w:t>’</w:t>
      </w:r>
      <w:r w:rsidRPr="001169B0">
        <w:rPr>
          <w:lang w:val="fr-FR"/>
        </w:rPr>
        <w:t>immigration.</w:t>
      </w:r>
    </w:p>
    <w:p w:rsidR="00E82317" w:rsidRPr="001169B0" w:rsidRDefault="00E82317" w:rsidP="00EA5264">
      <w:pPr>
        <w:pStyle w:val="H23G"/>
        <w:rPr>
          <w:lang w:val="fr-FR"/>
        </w:rPr>
      </w:pPr>
      <w:r w:rsidRPr="001169B0">
        <w:rPr>
          <w:lang w:val="fr-FR"/>
        </w:rPr>
        <w:tab/>
      </w:r>
      <w:r w:rsidRPr="001169B0">
        <w:rPr>
          <w:lang w:val="fr-FR"/>
        </w:rPr>
        <w:tab/>
        <w:t>Observations de l</w:t>
      </w:r>
      <w:r>
        <w:rPr>
          <w:lang w:val="fr-FR"/>
        </w:rPr>
        <w:t>’</w:t>
      </w:r>
      <w:r w:rsidRPr="001169B0">
        <w:rPr>
          <w:lang w:val="fr-FR"/>
        </w:rPr>
        <w:t>État partie sur la recevabilité et sur le fond</w:t>
      </w:r>
    </w:p>
    <w:p w:rsidR="00E82317" w:rsidRPr="001169B0" w:rsidRDefault="00E82317" w:rsidP="00E82317">
      <w:pPr>
        <w:pStyle w:val="SingleTxtG"/>
        <w:rPr>
          <w:lang w:val="fr-FR"/>
        </w:rPr>
      </w:pPr>
      <w:r w:rsidRPr="001169B0">
        <w:rPr>
          <w:lang w:val="fr-FR"/>
        </w:rPr>
        <w:t>4.1</w:t>
      </w:r>
      <w:r w:rsidRPr="001169B0">
        <w:rPr>
          <w:lang w:val="fr-FR"/>
        </w:rPr>
        <w:tab/>
        <w:t>Dans ses observations sur la recevabilité de la communication communiquées le</w:t>
      </w:r>
      <w:r w:rsidR="00EA5264">
        <w:rPr>
          <w:lang w:val="fr-FR"/>
        </w:rPr>
        <w:t> </w:t>
      </w:r>
      <w:r w:rsidRPr="001169B0">
        <w:rPr>
          <w:lang w:val="fr-FR"/>
        </w:rPr>
        <w:t>13</w:t>
      </w:r>
      <w:r>
        <w:rPr>
          <w:lang w:val="fr-FR"/>
        </w:rPr>
        <w:t> </w:t>
      </w:r>
      <w:r w:rsidRPr="001169B0">
        <w:rPr>
          <w:lang w:val="fr-FR"/>
        </w:rPr>
        <w:t>mars 2015, l</w:t>
      </w:r>
      <w:r>
        <w:rPr>
          <w:lang w:val="fr-FR"/>
        </w:rPr>
        <w:t>’</w:t>
      </w:r>
      <w:r w:rsidRPr="001169B0">
        <w:rPr>
          <w:lang w:val="fr-FR"/>
        </w:rPr>
        <w:t>État partie dit que la communication devrait être considérée comme irrecevable au regard du paragraphe</w:t>
      </w:r>
      <w:r>
        <w:rPr>
          <w:lang w:val="fr-FR"/>
        </w:rPr>
        <w:t> </w:t>
      </w:r>
      <w:r w:rsidRPr="001169B0">
        <w:rPr>
          <w:lang w:val="fr-FR"/>
        </w:rPr>
        <w:t>2</w:t>
      </w:r>
      <w:r w:rsidR="00EA5264">
        <w:rPr>
          <w:lang w:val="fr-FR"/>
        </w:rPr>
        <w:t> </w:t>
      </w:r>
      <w:r w:rsidRPr="001169B0">
        <w:rPr>
          <w:lang w:val="fr-FR"/>
        </w:rPr>
        <w:t>b) de l</w:t>
      </w:r>
      <w:r>
        <w:rPr>
          <w:lang w:val="fr-FR"/>
        </w:rPr>
        <w:t>’</w:t>
      </w:r>
      <w:r w:rsidRPr="001169B0">
        <w:rPr>
          <w:lang w:val="fr-FR"/>
        </w:rPr>
        <w:t>article</w:t>
      </w:r>
      <w:r>
        <w:rPr>
          <w:lang w:val="fr-FR"/>
        </w:rPr>
        <w:t> </w:t>
      </w:r>
      <w:r w:rsidRPr="001169B0">
        <w:rPr>
          <w:lang w:val="fr-FR"/>
        </w:rPr>
        <w:t>5 du Protocole facultatif pour non</w:t>
      </w:r>
      <w:r>
        <w:rPr>
          <w:lang w:val="fr-FR"/>
        </w:rPr>
        <w:noBreakHyphen/>
      </w:r>
      <w:r w:rsidRPr="001169B0">
        <w:rPr>
          <w:lang w:val="fr-FR"/>
        </w:rPr>
        <w:t>épuisement des recours internes.</w:t>
      </w:r>
    </w:p>
    <w:p w:rsidR="00E82317" w:rsidRPr="001169B0" w:rsidRDefault="00E82317" w:rsidP="00E82317">
      <w:pPr>
        <w:pStyle w:val="SingleTxtG"/>
        <w:rPr>
          <w:lang w:val="fr-FR"/>
        </w:rPr>
      </w:pPr>
      <w:r w:rsidRPr="001169B0">
        <w:rPr>
          <w:lang w:val="fr-FR"/>
        </w:rPr>
        <w:t>4.2</w:t>
      </w:r>
      <w:r w:rsidRPr="001169B0">
        <w:rPr>
          <w:lang w:val="fr-FR"/>
        </w:rPr>
        <w:tab/>
        <w:t>L</w:t>
      </w:r>
      <w:r>
        <w:rPr>
          <w:lang w:val="fr-FR"/>
        </w:rPr>
        <w:t>’</w:t>
      </w:r>
      <w:r w:rsidRPr="001169B0">
        <w:rPr>
          <w:lang w:val="fr-FR"/>
        </w:rPr>
        <w:t>État partie fait valoir que conformément à l</w:t>
      </w:r>
      <w:r>
        <w:rPr>
          <w:lang w:val="fr-FR"/>
        </w:rPr>
        <w:t>’</w:t>
      </w:r>
      <w:r w:rsidRPr="001169B0">
        <w:rPr>
          <w:lang w:val="fr-FR"/>
        </w:rPr>
        <w:t>article</w:t>
      </w:r>
      <w:r>
        <w:rPr>
          <w:lang w:val="fr-FR"/>
        </w:rPr>
        <w:t> </w:t>
      </w:r>
      <w:r w:rsidRPr="001169B0">
        <w:rPr>
          <w:lang w:val="fr-FR"/>
        </w:rPr>
        <w:t xml:space="preserve">63 de la Constitution </w:t>
      </w:r>
      <w:r>
        <w:rPr>
          <w:lang w:val="fr-FR"/>
        </w:rPr>
        <w:t xml:space="preserve">du Danemark </w:t>
      </w:r>
      <w:r w:rsidRPr="001169B0">
        <w:rPr>
          <w:lang w:val="fr-FR"/>
        </w:rPr>
        <w:t>et à la jurisprudence des juridictions danoises, les décisions par lesquelles la Commission des recours en matière d</w:t>
      </w:r>
      <w:r>
        <w:rPr>
          <w:lang w:val="fr-FR"/>
        </w:rPr>
        <w:t>’</w:t>
      </w:r>
      <w:r w:rsidRPr="001169B0">
        <w:rPr>
          <w:lang w:val="fr-FR"/>
        </w:rPr>
        <w:t xml:space="preserve">immigration rejette des demandes de permis de </w:t>
      </w:r>
      <w:r>
        <w:rPr>
          <w:lang w:val="fr-FR"/>
        </w:rPr>
        <w:t>séjour</w:t>
      </w:r>
      <w:r w:rsidRPr="001169B0">
        <w:rPr>
          <w:lang w:val="fr-FR"/>
        </w:rPr>
        <w:t xml:space="preserve"> présentées au titre de l</w:t>
      </w:r>
      <w:r>
        <w:rPr>
          <w:lang w:val="fr-FR"/>
        </w:rPr>
        <w:t>’</w:t>
      </w:r>
      <w:r w:rsidRPr="001169B0">
        <w:rPr>
          <w:lang w:val="fr-FR"/>
        </w:rPr>
        <w:t>article</w:t>
      </w:r>
      <w:r w:rsidR="00EA5264">
        <w:rPr>
          <w:lang w:val="fr-FR"/>
        </w:rPr>
        <w:t> </w:t>
      </w:r>
      <w:r w:rsidRPr="001169B0">
        <w:rPr>
          <w:lang w:val="fr-FR"/>
        </w:rPr>
        <w:t>9</w:t>
      </w:r>
      <w:r w:rsidR="00EA5264">
        <w:rPr>
          <w:lang w:val="fr-FR"/>
        </w:rPr>
        <w:t> </w:t>
      </w:r>
      <w:r w:rsidRPr="001169B0">
        <w:rPr>
          <w:lang w:val="fr-FR"/>
        </w:rPr>
        <w:t>1)</w:t>
      </w:r>
      <w:r w:rsidR="00EA5264">
        <w:rPr>
          <w:lang w:val="fr-FR"/>
        </w:rPr>
        <w:t> </w:t>
      </w:r>
      <w:r w:rsidRPr="001169B0">
        <w:rPr>
          <w:lang w:val="fr-FR"/>
        </w:rPr>
        <w:t xml:space="preserve">i) </w:t>
      </w:r>
      <w:r>
        <w:rPr>
          <w:lang w:val="fr-FR"/>
        </w:rPr>
        <w:t xml:space="preserve">en se fondant sur </w:t>
      </w:r>
      <w:r w:rsidRPr="001169B0">
        <w:rPr>
          <w:lang w:val="fr-FR"/>
        </w:rPr>
        <w:t>l</w:t>
      </w:r>
      <w:r>
        <w:rPr>
          <w:lang w:val="fr-FR"/>
        </w:rPr>
        <w:t>’</w:t>
      </w:r>
      <w:r w:rsidRPr="001169B0">
        <w:rPr>
          <w:lang w:val="fr-FR"/>
        </w:rPr>
        <w:t>article</w:t>
      </w:r>
      <w:r w:rsidR="00EA5264">
        <w:rPr>
          <w:lang w:val="fr-FR"/>
        </w:rPr>
        <w:t> </w:t>
      </w:r>
      <w:r w:rsidRPr="001169B0">
        <w:rPr>
          <w:lang w:val="fr-FR"/>
        </w:rPr>
        <w:t>9</w:t>
      </w:r>
      <w:r w:rsidR="00EA5264">
        <w:rPr>
          <w:lang w:val="fr-FR"/>
        </w:rPr>
        <w:t> </w:t>
      </w:r>
      <w:r w:rsidRPr="001169B0">
        <w:rPr>
          <w:lang w:val="fr-FR"/>
        </w:rPr>
        <w:t>8) de la loi sur les étrangers peuvent faire l</w:t>
      </w:r>
      <w:r>
        <w:rPr>
          <w:lang w:val="fr-FR"/>
        </w:rPr>
        <w:t>’</w:t>
      </w:r>
      <w:r w:rsidRPr="001169B0">
        <w:rPr>
          <w:lang w:val="fr-FR"/>
        </w:rPr>
        <w:t>objet d</w:t>
      </w:r>
      <w:r>
        <w:rPr>
          <w:lang w:val="fr-FR"/>
        </w:rPr>
        <w:t>’</w:t>
      </w:r>
      <w:r w:rsidRPr="001169B0">
        <w:rPr>
          <w:lang w:val="fr-FR"/>
        </w:rPr>
        <w:t>un recours devant les tribunaux. L</w:t>
      </w:r>
      <w:r>
        <w:rPr>
          <w:lang w:val="fr-FR"/>
        </w:rPr>
        <w:t>’</w:t>
      </w:r>
      <w:r w:rsidRPr="001169B0">
        <w:rPr>
          <w:lang w:val="fr-FR"/>
        </w:rPr>
        <w:t xml:space="preserve">État partie soutient par conséquent que les auteurs </w:t>
      </w:r>
      <w:r>
        <w:rPr>
          <w:lang w:val="fr-FR"/>
        </w:rPr>
        <w:t xml:space="preserve">avaient </w:t>
      </w:r>
      <w:r w:rsidRPr="001169B0">
        <w:rPr>
          <w:lang w:val="fr-FR"/>
        </w:rPr>
        <w:t>la possibilité de porter la décision de la Commission des recours en matière d</w:t>
      </w:r>
      <w:r>
        <w:rPr>
          <w:lang w:val="fr-FR"/>
        </w:rPr>
        <w:t>’</w:t>
      </w:r>
      <w:r w:rsidRPr="001169B0">
        <w:rPr>
          <w:lang w:val="fr-FR"/>
        </w:rPr>
        <w:t>immigration du</w:t>
      </w:r>
      <w:r w:rsidR="00EA5264">
        <w:rPr>
          <w:lang w:val="fr-FR"/>
        </w:rPr>
        <w:t xml:space="preserve"> </w:t>
      </w:r>
      <w:r w:rsidRPr="001169B0">
        <w:rPr>
          <w:lang w:val="fr-FR"/>
        </w:rPr>
        <w:t>13</w:t>
      </w:r>
      <w:r w:rsidR="00EA5264">
        <w:rPr>
          <w:lang w:val="fr-FR"/>
        </w:rPr>
        <w:t> </w:t>
      </w:r>
      <w:r w:rsidRPr="001169B0">
        <w:rPr>
          <w:lang w:val="fr-FR"/>
        </w:rPr>
        <w:t>novembre 2013 devant la justice, qui aurait pu examiner si cette décision était conforme à la législation en vigueur, y</w:t>
      </w:r>
      <w:r w:rsidR="00EA5264">
        <w:rPr>
          <w:lang w:val="fr-FR"/>
        </w:rPr>
        <w:t> </w:t>
      </w:r>
      <w:r w:rsidRPr="001169B0">
        <w:rPr>
          <w:lang w:val="fr-FR"/>
        </w:rPr>
        <w:t>compris aux obligations internationales du Danemark</w:t>
      </w:r>
      <w:r w:rsidRPr="00E47167">
        <w:rPr>
          <w:rStyle w:val="Appelnotedebasdep"/>
        </w:rPr>
        <w:footnoteReference w:id="14"/>
      </w:r>
      <w:r w:rsidRPr="001169B0">
        <w:rPr>
          <w:lang w:val="fr-FR"/>
        </w:rPr>
        <w:t>. La saisine des juridictions internes aurait pu constituer un recours utile pour les auteurs en l</w:t>
      </w:r>
      <w:r>
        <w:rPr>
          <w:lang w:val="fr-FR"/>
        </w:rPr>
        <w:t>’</w:t>
      </w:r>
      <w:r w:rsidRPr="001169B0">
        <w:rPr>
          <w:lang w:val="fr-FR"/>
        </w:rPr>
        <w:t>espèce. Par conséquent, l</w:t>
      </w:r>
      <w:r>
        <w:rPr>
          <w:lang w:val="fr-FR"/>
        </w:rPr>
        <w:t>’</w:t>
      </w:r>
      <w:r w:rsidRPr="001169B0">
        <w:rPr>
          <w:lang w:val="fr-FR"/>
        </w:rPr>
        <w:t>État partie considère qu</w:t>
      </w:r>
      <w:r>
        <w:rPr>
          <w:lang w:val="fr-FR"/>
        </w:rPr>
        <w:t xml:space="preserve">e, parce qu’ils n’ont pas porté </w:t>
      </w:r>
      <w:r w:rsidRPr="001169B0">
        <w:rPr>
          <w:lang w:val="fr-FR"/>
        </w:rPr>
        <w:t>la décision de la Commission devant les tribunaux, les auteurs n</w:t>
      </w:r>
      <w:r>
        <w:rPr>
          <w:lang w:val="fr-FR"/>
        </w:rPr>
        <w:t>’</w:t>
      </w:r>
      <w:r w:rsidRPr="001169B0">
        <w:rPr>
          <w:lang w:val="fr-FR"/>
        </w:rPr>
        <w:t>ont pas épuisé tous les recours internes qui leur étaient ouverts.</w:t>
      </w:r>
    </w:p>
    <w:p w:rsidR="00E82317" w:rsidRPr="00875D7E" w:rsidRDefault="00E82317" w:rsidP="00E82317">
      <w:pPr>
        <w:pStyle w:val="SingleTxtG"/>
        <w:rPr>
          <w:lang w:val="fr-FR"/>
        </w:rPr>
      </w:pPr>
      <w:r w:rsidRPr="00875D7E">
        <w:rPr>
          <w:lang w:val="fr-FR"/>
        </w:rPr>
        <w:t>4.3</w:t>
      </w:r>
      <w:r w:rsidRPr="00875D7E">
        <w:rPr>
          <w:lang w:val="fr-FR"/>
        </w:rPr>
        <w:tab/>
        <w:t>L’État partie fait observer en outre que ni l’avis rendu par le Département des affaires civiles dans sa décision du 13 mars 2014 refusant l’aide juridictionnelle, selon lequel il n’y avait aucune chance qu’un examen par les tribunaux des allégations des auteurs aboutisse à une décision qui leur soit favorable, ni la décision de la Commission d’autorisation des recours du 7 juillet 2014 n’ont d’incidence sur le droit que les auteurs tiennent de l’article</w:t>
      </w:r>
      <w:r w:rsidR="00EA5264" w:rsidRPr="00875D7E">
        <w:rPr>
          <w:lang w:val="fr-FR"/>
        </w:rPr>
        <w:t> </w:t>
      </w:r>
      <w:r w:rsidRPr="00875D7E">
        <w:rPr>
          <w:lang w:val="fr-FR"/>
        </w:rPr>
        <w:t>63 de la Constitution de contester en justice les décisions de la Commission des recours en matière d’immigration, et que les auteurs n’ont donc pas épuisé les recours internes disponibles.</w:t>
      </w:r>
    </w:p>
    <w:p w:rsidR="00E82317" w:rsidRPr="001169B0" w:rsidRDefault="00E82317" w:rsidP="00E82317">
      <w:pPr>
        <w:pStyle w:val="SingleTxtG"/>
        <w:rPr>
          <w:lang w:val="fr-FR"/>
        </w:rPr>
      </w:pPr>
      <w:r w:rsidRPr="001169B0">
        <w:rPr>
          <w:lang w:val="fr-FR"/>
        </w:rPr>
        <w:t>4.4</w:t>
      </w:r>
      <w:r w:rsidRPr="001169B0">
        <w:rPr>
          <w:lang w:val="fr-FR"/>
        </w:rPr>
        <w:tab/>
        <w:t xml:space="preserve">Dans de nouvelles observations sur la recevabilité et le fond </w:t>
      </w:r>
      <w:r>
        <w:rPr>
          <w:lang w:val="fr-FR"/>
        </w:rPr>
        <w:t>en date du</w:t>
      </w:r>
      <w:r w:rsidRPr="001169B0">
        <w:rPr>
          <w:lang w:val="fr-FR"/>
        </w:rPr>
        <w:t xml:space="preserve"> 6</w:t>
      </w:r>
      <w:r>
        <w:rPr>
          <w:lang w:val="fr-FR"/>
        </w:rPr>
        <w:t> </w:t>
      </w:r>
      <w:r w:rsidRPr="001169B0">
        <w:rPr>
          <w:lang w:val="fr-FR"/>
        </w:rPr>
        <w:t>novembre 2015</w:t>
      </w:r>
      <w:r w:rsidRPr="00E47167">
        <w:rPr>
          <w:rStyle w:val="Appelnotedebasdep"/>
        </w:rPr>
        <w:footnoteReference w:id="15"/>
      </w:r>
      <w:r w:rsidRPr="001169B0">
        <w:rPr>
          <w:lang w:val="fr-FR"/>
        </w:rPr>
        <w:t>,</w:t>
      </w:r>
      <w:r>
        <w:rPr>
          <w:lang w:val="fr-FR"/>
        </w:rPr>
        <w:t xml:space="preserve"> </w:t>
      </w:r>
      <w:r w:rsidRPr="001169B0">
        <w:rPr>
          <w:lang w:val="fr-FR"/>
        </w:rPr>
        <w:t>l</w:t>
      </w:r>
      <w:r>
        <w:rPr>
          <w:lang w:val="fr-FR"/>
        </w:rPr>
        <w:t>’</w:t>
      </w:r>
      <w:r w:rsidRPr="001169B0">
        <w:rPr>
          <w:lang w:val="fr-FR"/>
        </w:rPr>
        <w:t>État partie réaffirme que les auteurs n</w:t>
      </w:r>
      <w:r>
        <w:rPr>
          <w:lang w:val="fr-FR"/>
        </w:rPr>
        <w:t>’</w:t>
      </w:r>
      <w:r w:rsidRPr="001169B0">
        <w:rPr>
          <w:lang w:val="fr-FR"/>
        </w:rPr>
        <w:t>ont pas épuisé tous les recours internes disponibles et que la communication devrait être considérée comme irrecevable au regard du paragraphe</w:t>
      </w:r>
      <w:r w:rsidR="00EA5264">
        <w:rPr>
          <w:lang w:val="fr-FR"/>
        </w:rPr>
        <w:t> </w:t>
      </w:r>
      <w:r w:rsidRPr="001169B0">
        <w:rPr>
          <w:lang w:val="fr-FR"/>
        </w:rPr>
        <w:t>2</w:t>
      </w:r>
      <w:r w:rsidR="00EA5264">
        <w:rPr>
          <w:lang w:val="fr-FR"/>
        </w:rPr>
        <w:t> </w:t>
      </w:r>
      <w:r w:rsidRPr="001169B0">
        <w:rPr>
          <w:lang w:val="fr-FR"/>
        </w:rPr>
        <w:t>b) de l</w:t>
      </w:r>
      <w:r>
        <w:rPr>
          <w:lang w:val="fr-FR"/>
        </w:rPr>
        <w:t>’</w:t>
      </w:r>
      <w:r w:rsidRPr="001169B0">
        <w:rPr>
          <w:lang w:val="fr-FR"/>
        </w:rPr>
        <w:t>article</w:t>
      </w:r>
      <w:r w:rsidR="00EA5264">
        <w:rPr>
          <w:lang w:val="fr-FR"/>
        </w:rPr>
        <w:t> </w:t>
      </w:r>
      <w:r w:rsidRPr="001169B0">
        <w:rPr>
          <w:lang w:val="fr-FR"/>
        </w:rPr>
        <w:t>5 du Protocole facultatif</w:t>
      </w:r>
      <w:r w:rsidRPr="00E47167">
        <w:rPr>
          <w:rStyle w:val="Appelnotedebasdep"/>
        </w:rPr>
        <w:footnoteReference w:id="16"/>
      </w:r>
      <w:r w:rsidRPr="001169B0">
        <w:rPr>
          <w:lang w:val="fr-FR"/>
        </w:rPr>
        <w:t>. Si le Comité devait conclure qu</w:t>
      </w:r>
      <w:r>
        <w:rPr>
          <w:lang w:val="fr-FR"/>
        </w:rPr>
        <w:t>’</w:t>
      </w:r>
      <w:r w:rsidRPr="001169B0">
        <w:rPr>
          <w:lang w:val="fr-FR"/>
        </w:rPr>
        <w:t>il n</w:t>
      </w:r>
      <w:r>
        <w:rPr>
          <w:lang w:val="fr-FR"/>
        </w:rPr>
        <w:t>’</w:t>
      </w:r>
      <w:r w:rsidRPr="001169B0">
        <w:rPr>
          <w:lang w:val="fr-FR"/>
        </w:rPr>
        <w:t>y a pas</w:t>
      </w:r>
      <w:r w:rsidR="00674FC3">
        <w:rPr>
          <w:lang w:val="fr-FR"/>
        </w:rPr>
        <w:t xml:space="preserve"> </w:t>
      </w:r>
      <w:r w:rsidRPr="001169B0">
        <w:rPr>
          <w:lang w:val="fr-FR"/>
        </w:rPr>
        <w:t>lieu de considérer que la communication est irrecevable au regard du paragraphe</w:t>
      </w:r>
      <w:r w:rsidR="00EA5264">
        <w:rPr>
          <w:lang w:val="fr-FR"/>
        </w:rPr>
        <w:t> </w:t>
      </w:r>
      <w:r w:rsidRPr="001169B0">
        <w:rPr>
          <w:lang w:val="fr-FR"/>
        </w:rPr>
        <w:t>2</w:t>
      </w:r>
      <w:r w:rsidR="00EA5264">
        <w:rPr>
          <w:lang w:val="fr-FR"/>
        </w:rPr>
        <w:t> </w:t>
      </w:r>
      <w:r w:rsidRPr="001169B0">
        <w:rPr>
          <w:lang w:val="fr-FR"/>
        </w:rPr>
        <w:t>b) de l</w:t>
      </w:r>
      <w:r>
        <w:rPr>
          <w:lang w:val="fr-FR"/>
        </w:rPr>
        <w:t>’</w:t>
      </w:r>
      <w:r w:rsidRPr="001169B0">
        <w:rPr>
          <w:lang w:val="fr-FR"/>
        </w:rPr>
        <w:t>article</w:t>
      </w:r>
      <w:r w:rsidR="00EA5264">
        <w:rPr>
          <w:lang w:val="fr-FR"/>
        </w:rPr>
        <w:t> </w:t>
      </w:r>
      <w:r w:rsidRPr="001169B0">
        <w:rPr>
          <w:lang w:val="fr-FR"/>
        </w:rPr>
        <w:t>5 du Protocole facultatif, l</w:t>
      </w:r>
      <w:r>
        <w:rPr>
          <w:lang w:val="fr-FR"/>
        </w:rPr>
        <w:t>’</w:t>
      </w:r>
      <w:r w:rsidRPr="001169B0">
        <w:rPr>
          <w:lang w:val="fr-FR"/>
        </w:rPr>
        <w:t>État partie affirme que les auteurs n</w:t>
      </w:r>
      <w:r>
        <w:rPr>
          <w:lang w:val="fr-FR"/>
        </w:rPr>
        <w:t>’</w:t>
      </w:r>
      <w:r w:rsidRPr="001169B0">
        <w:rPr>
          <w:lang w:val="fr-FR"/>
        </w:rPr>
        <w:t>ont pas démontré, aux fins de la recevabilité de leur communication, l</w:t>
      </w:r>
      <w:r>
        <w:rPr>
          <w:lang w:val="fr-FR"/>
        </w:rPr>
        <w:t>’</w:t>
      </w:r>
      <w:r w:rsidRPr="001169B0">
        <w:rPr>
          <w:lang w:val="fr-FR"/>
        </w:rPr>
        <w:t>existence de violations des articles</w:t>
      </w:r>
      <w:r w:rsidR="00EA5264">
        <w:rPr>
          <w:lang w:val="fr-FR"/>
        </w:rPr>
        <w:t> </w:t>
      </w:r>
      <w:r w:rsidRPr="001169B0">
        <w:rPr>
          <w:lang w:val="fr-FR"/>
        </w:rPr>
        <w:t>17, 23 et 26 du Pacte et que la communication devrait donc être jugée irrecevable car manifestement infondée. À titre subsidiaire, l</w:t>
      </w:r>
      <w:r>
        <w:rPr>
          <w:lang w:val="fr-FR"/>
        </w:rPr>
        <w:t>’</w:t>
      </w:r>
      <w:r w:rsidRPr="001169B0">
        <w:rPr>
          <w:lang w:val="fr-FR"/>
        </w:rPr>
        <w:t>État partie soutient que les plaintes des auteurs sont sans fondement parce qu</w:t>
      </w:r>
      <w:r>
        <w:rPr>
          <w:lang w:val="fr-FR"/>
        </w:rPr>
        <w:t>’</w:t>
      </w:r>
      <w:r w:rsidRPr="001169B0">
        <w:rPr>
          <w:lang w:val="fr-FR"/>
        </w:rPr>
        <w:t>il n</w:t>
      </w:r>
      <w:r>
        <w:rPr>
          <w:lang w:val="fr-FR"/>
        </w:rPr>
        <w:t>’</w:t>
      </w:r>
      <w:r w:rsidRPr="001169B0">
        <w:rPr>
          <w:lang w:val="fr-FR"/>
        </w:rPr>
        <w:t>a pas été établi que la décision du 13</w:t>
      </w:r>
      <w:r>
        <w:rPr>
          <w:lang w:val="fr-FR"/>
        </w:rPr>
        <w:t> </w:t>
      </w:r>
      <w:r w:rsidRPr="001169B0">
        <w:rPr>
          <w:lang w:val="fr-FR"/>
        </w:rPr>
        <w:t>novembre 2013 de la Commission des recours en matière d</w:t>
      </w:r>
      <w:r>
        <w:rPr>
          <w:lang w:val="fr-FR"/>
        </w:rPr>
        <w:t>’</w:t>
      </w:r>
      <w:r w:rsidRPr="001169B0">
        <w:rPr>
          <w:lang w:val="fr-FR"/>
        </w:rPr>
        <w:t>immigration était contraire aux articles</w:t>
      </w:r>
      <w:r w:rsidR="00EA5264">
        <w:rPr>
          <w:lang w:val="fr-FR"/>
        </w:rPr>
        <w:t> </w:t>
      </w:r>
      <w:r w:rsidRPr="001169B0">
        <w:rPr>
          <w:lang w:val="fr-FR"/>
        </w:rPr>
        <w:t>17, 23 et 26 du Pacte.</w:t>
      </w:r>
    </w:p>
    <w:p w:rsidR="00E82317" w:rsidRPr="001169B0" w:rsidRDefault="00E82317" w:rsidP="00E82317">
      <w:pPr>
        <w:pStyle w:val="SingleTxtG"/>
        <w:rPr>
          <w:lang w:val="fr-FR"/>
        </w:rPr>
      </w:pPr>
      <w:r w:rsidRPr="001169B0">
        <w:rPr>
          <w:lang w:val="fr-FR"/>
        </w:rPr>
        <w:t>4.5</w:t>
      </w:r>
      <w:r w:rsidRPr="001169B0">
        <w:rPr>
          <w:lang w:val="fr-FR"/>
        </w:rPr>
        <w:tab/>
        <w:t>Selon l</w:t>
      </w:r>
      <w:r>
        <w:rPr>
          <w:lang w:val="fr-FR"/>
        </w:rPr>
        <w:t>’</w:t>
      </w:r>
      <w:r w:rsidRPr="001169B0">
        <w:rPr>
          <w:lang w:val="fr-FR"/>
        </w:rPr>
        <w:t>État partie, le fait que les auteurs se soient vu refuser l</w:t>
      </w:r>
      <w:r>
        <w:rPr>
          <w:lang w:val="fr-FR"/>
        </w:rPr>
        <w:t>’</w:t>
      </w:r>
      <w:r w:rsidRPr="001169B0">
        <w:rPr>
          <w:lang w:val="fr-FR"/>
        </w:rPr>
        <w:t xml:space="preserve">aide juridictionnelle </w:t>
      </w:r>
      <w:r>
        <w:rPr>
          <w:lang w:val="fr-FR"/>
        </w:rPr>
        <w:t>n’est pas pertinent au regard de</w:t>
      </w:r>
      <w:r w:rsidRPr="001169B0">
        <w:rPr>
          <w:lang w:val="fr-FR"/>
        </w:rPr>
        <w:t xml:space="preserve"> la recevabilité de la communication. L</w:t>
      </w:r>
      <w:r>
        <w:rPr>
          <w:lang w:val="fr-FR"/>
        </w:rPr>
        <w:t>’</w:t>
      </w:r>
      <w:r w:rsidRPr="001169B0">
        <w:rPr>
          <w:lang w:val="fr-FR"/>
        </w:rPr>
        <w:t>État partie fait observer que les auteurs n</w:t>
      </w:r>
      <w:r>
        <w:rPr>
          <w:lang w:val="fr-FR"/>
        </w:rPr>
        <w:t>’</w:t>
      </w:r>
      <w:r w:rsidRPr="001169B0">
        <w:rPr>
          <w:lang w:val="fr-FR"/>
        </w:rPr>
        <w:t>ont pas bénéficié de l</w:t>
      </w:r>
      <w:r>
        <w:rPr>
          <w:lang w:val="fr-FR"/>
        </w:rPr>
        <w:t>’</w:t>
      </w:r>
      <w:r w:rsidRPr="001169B0">
        <w:rPr>
          <w:lang w:val="fr-FR"/>
        </w:rPr>
        <w:t xml:space="preserve">aide juridictionnelle parce que ni le </w:t>
      </w:r>
      <w:r w:rsidRPr="001169B0">
        <w:rPr>
          <w:lang w:val="fr-FR"/>
        </w:rPr>
        <w:lastRenderedPageBreak/>
        <w:t>Département des affaires civiles ni la Commission d</w:t>
      </w:r>
      <w:r>
        <w:rPr>
          <w:lang w:val="fr-FR"/>
        </w:rPr>
        <w:t>’</w:t>
      </w:r>
      <w:r w:rsidRPr="001169B0">
        <w:rPr>
          <w:lang w:val="fr-FR"/>
        </w:rPr>
        <w:t>autorisation des recours, laquelle est un organe quasi</w:t>
      </w:r>
      <w:r>
        <w:rPr>
          <w:lang w:val="fr-FR"/>
        </w:rPr>
        <w:t xml:space="preserve"> </w:t>
      </w:r>
      <w:r w:rsidRPr="001169B0">
        <w:rPr>
          <w:lang w:val="fr-FR"/>
        </w:rPr>
        <w:t>judiciaire indépendant, n</w:t>
      </w:r>
      <w:r>
        <w:rPr>
          <w:lang w:val="fr-FR"/>
        </w:rPr>
        <w:t>’</w:t>
      </w:r>
      <w:r w:rsidRPr="001169B0">
        <w:rPr>
          <w:lang w:val="fr-FR"/>
        </w:rPr>
        <w:t xml:space="preserve">ont estimé que les auteurs avaient </w:t>
      </w:r>
      <w:r>
        <w:rPr>
          <w:lang w:val="fr-FR"/>
        </w:rPr>
        <w:t>un</w:t>
      </w:r>
      <w:r w:rsidRPr="001169B0">
        <w:rPr>
          <w:lang w:val="fr-FR"/>
        </w:rPr>
        <w:t xml:space="preserve"> motif raisonnable de croire qu</w:t>
      </w:r>
      <w:r>
        <w:rPr>
          <w:lang w:val="fr-FR"/>
        </w:rPr>
        <w:t>’</w:t>
      </w:r>
      <w:r w:rsidRPr="001169B0">
        <w:rPr>
          <w:lang w:val="fr-FR"/>
        </w:rPr>
        <w:t xml:space="preserve">un contrôle judiciaire de leur affaire </w:t>
      </w:r>
      <w:r>
        <w:rPr>
          <w:lang w:val="fr-FR"/>
        </w:rPr>
        <w:t>ait</w:t>
      </w:r>
      <w:r w:rsidRPr="001169B0">
        <w:rPr>
          <w:lang w:val="fr-FR"/>
        </w:rPr>
        <w:t xml:space="preserve"> des chances raisonnables de succès</w:t>
      </w:r>
      <w:r w:rsidRPr="00E47167">
        <w:rPr>
          <w:rStyle w:val="Appelnotedebasdep"/>
        </w:rPr>
        <w:footnoteReference w:id="17"/>
      </w:r>
      <w:r w:rsidRPr="001169B0">
        <w:rPr>
          <w:lang w:val="fr-FR"/>
        </w:rPr>
        <w:t>. L</w:t>
      </w:r>
      <w:r>
        <w:rPr>
          <w:lang w:val="fr-FR"/>
        </w:rPr>
        <w:t>’</w:t>
      </w:r>
      <w:r w:rsidRPr="001169B0">
        <w:rPr>
          <w:lang w:val="fr-FR"/>
        </w:rPr>
        <w:t>État partie estime en outre que les frais de justice liés à une action civile en réparation d</w:t>
      </w:r>
      <w:r>
        <w:rPr>
          <w:lang w:val="fr-FR"/>
        </w:rPr>
        <w:t>’</w:t>
      </w:r>
      <w:r w:rsidRPr="001169B0">
        <w:rPr>
          <w:lang w:val="fr-FR"/>
        </w:rPr>
        <w:t>un préjudice non pécuniaire (500</w:t>
      </w:r>
      <w:r w:rsidR="00EA5264">
        <w:rPr>
          <w:lang w:val="fr-FR"/>
        </w:rPr>
        <w:t> </w:t>
      </w:r>
      <w:r w:rsidRPr="001169B0">
        <w:rPr>
          <w:lang w:val="fr-FR"/>
        </w:rPr>
        <w:t>couronnes danoises)</w:t>
      </w:r>
      <w:r w:rsidRPr="00E47167">
        <w:rPr>
          <w:rStyle w:val="Appelnotedebasdep"/>
        </w:rPr>
        <w:footnoteReference w:id="18"/>
      </w:r>
      <w:r w:rsidRPr="001169B0">
        <w:rPr>
          <w:lang w:val="fr-FR"/>
        </w:rPr>
        <w:t xml:space="preserve"> ne sont pas de nature à empêcher les auteurs d</w:t>
      </w:r>
      <w:r>
        <w:rPr>
          <w:lang w:val="fr-FR"/>
        </w:rPr>
        <w:t>’</w:t>
      </w:r>
      <w:r w:rsidRPr="001169B0">
        <w:rPr>
          <w:lang w:val="fr-FR"/>
        </w:rPr>
        <w:t>engager une procédure de contrôle juridictionnel. L</w:t>
      </w:r>
      <w:r>
        <w:rPr>
          <w:lang w:val="fr-FR"/>
        </w:rPr>
        <w:t>’</w:t>
      </w:r>
      <w:r w:rsidRPr="001169B0">
        <w:rPr>
          <w:lang w:val="fr-FR"/>
        </w:rPr>
        <w:t>État partie fait également observer que rien n</w:t>
      </w:r>
      <w:r>
        <w:rPr>
          <w:lang w:val="fr-FR"/>
        </w:rPr>
        <w:t>’</w:t>
      </w:r>
      <w:r w:rsidRPr="001169B0">
        <w:rPr>
          <w:lang w:val="fr-FR"/>
        </w:rPr>
        <w:t>empêche les auteurs d</w:t>
      </w:r>
      <w:r>
        <w:rPr>
          <w:lang w:val="fr-FR"/>
        </w:rPr>
        <w:t>’</w:t>
      </w:r>
      <w:r w:rsidRPr="001169B0">
        <w:rPr>
          <w:lang w:val="fr-FR"/>
        </w:rPr>
        <w:t>engager une procédure devant les tribunaux sans être représentés. Il ajoute qu</w:t>
      </w:r>
      <w:r>
        <w:rPr>
          <w:lang w:val="fr-FR"/>
        </w:rPr>
        <w:t>’</w:t>
      </w:r>
      <w:r w:rsidRPr="001169B0">
        <w:rPr>
          <w:lang w:val="fr-FR"/>
        </w:rPr>
        <w:t>il est possible de demander à bénéficier de l</w:t>
      </w:r>
      <w:r>
        <w:rPr>
          <w:lang w:val="fr-FR"/>
        </w:rPr>
        <w:t>’</w:t>
      </w:r>
      <w:r w:rsidRPr="001169B0">
        <w:rPr>
          <w:lang w:val="fr-FR"/>
        </w:rPr>
        <w:t>assistance juridique (conseils formulés verbalement) prévue à l</w:t>
      </w:r>
      <w:r>
        <w:rPr>
          <w:lang w:val="fr-FR"/>
        </w:rPr>
        <w:t>’</w:t>
      </w:r>
      <w:r w:rsidRPr="001169B0">
        <w:rPr>
          <w:lang w:val="fr-FR"/>
        </w:rPr>
        <w:t>article</w:t>
      </w:r>
      <w:r w:rsidR="00EA5264">
        <w:rPr>
          <w:lang w:val="fr-FR"/>
        </w:rPr>
        <w:t> </w:t>
      </w:r>
      <w:r w:rsidRPr="001169B0">
        <w:rPr>
          <w:lang w:val="fr-FR"/>
        </w:rPr>
        <w:t>323</w:t>
      </w:r>
      <w:r w:rsidR="00EA5264">
        <w:rPr>
          <w:lang w:val="fr-FR"/>
        </w:rPr>
        <w:t> </w:t>
      </w:r>
      <w:r w:rsidRPr="001169B0">
        <w:rPr>
          <w:lang w:val="fr-FR"/>
        </w:rPr>
        <w:t>2) de la loi sur l</w:t>
      </w:r>
      <w:r>
        <w:rPr>
          <w:lang w:val="fr-FR"/>
        </w:rPr>
        <w:t>’</w:t>
      </w:r>
      <w:r w:rsidRPr="001169B0">
        <w:rPr>
          <w:lang w:val="fr-FR"/>
        </w:rPr>
        <w:t>administration de la justice.</w:t>
      </w:r>
    </w:p>
    <w:p w:rsidR="00E82317" w:rsidRPr="001169B0" w:rsidRDefault="00E82317" w:rsidP="00E82317">
      <w:pPr>
        <w:pStyle w:val="SingleTxtG"/>
        <w:rPr>
          <w:lang w:val="fr-FR"/>
        </w:rPr>
      </w:pPr>
      <w:r w:rsidRPr="001169B0">
        <w:rPr>
          <w:lang w:val="fr-FR"/>
        </w:rPr>
        <w:t>4.6</w:t>
      </w:r>
      <w:r w:rsidRPr="001169B0">
        <w:rPr>
          <w:lang w:val="fr-FR"/>
        </w:rPr>
        <w:tab/>
        <w:t>En ce qui concerne les griefs de violation des articles</w:t>
      </w:r>
      <w:r w:rsidR="00EA5264">
        <w:rPr>
          <w:lang w:val="fr-FR"/>
        </w:rPr>
        <w:t> </w:t>
      </w:r>
      <w:r w:rsidRPr="001169B0">
        <w:rPr>
          <w:lang w:val="fr-FR"/>
        </w:rPr>
        <w:t>17 et 23, l</w:t>
      </w:r>
      <w:r>
        <w:rPr>
          <w:lang w:val="fr-FR"/>
        </w:rPr>
        <w:t>’</w:t>
      </w:r>
      <w:r w:rsidRPr="001169B0">
        <w:rPr>
          <w:lang w:val="fr-FR"/>
        </w:rPr>
        <w:t xml:space="preserve">État partie </w:t>
      </w:r>
      <w:r>
        <w:rPr>
          <w:lang w:val="fr-FR"/>
        </w:rPr>
        <w:t>note</w:t>
      </w:r>
      <w:r w:rsidRPr="001169B0">
        <w:rPr>
          <w:lang w:val="fr-FR"/>
        </w:rPr>
        <w:t xml:space="preserve"> que la « règle de la présomption » énoncée à l</w:t>
      </w:r>
      <w:r>
        <w:rPr>
          <w:lang w:val="fr-FR"/>
        </w:rPr>
        <w:t>’</w:t>
      </w:r>
      <w:r w:rsidRPr="001169B0">
        <w:rPr>
          <w:lang w:val="fr-FR"/>
        </w:rPr>
        <w:t>article</w:t>
      </w:r>
      <w:r w:rsidR="00EA5264">
        <w:rPr>
          <w:lang w:val="fr-FR"/>
        </w:rPr>
        <w:t> </w:t>
      </w:r>
      <w:r w:rsidRPr="001169B0">
        <w:rPr>
          <w:lang w:val="fr-FR"/>
        </w:rPr>
        <w:t>9</w:t>
      </w:r>
      <w:r w:rsidR="00EA5264">
        <w:rPr>
          <w:lang w:val="fr-FR"/>
        </w:rPr>
        <w:t> </w:t>
      </w:r>
      <w:r w:rsidRPr="001169B0">
        <w:rPr>
          <w:lang w:val="fr-FR"/>
        </w:rPr>
        <w:t>8) de la loi sur les étrangers s</w:t>
      </w:r>
      <w:r>
        <w:rPr>
          <w:lang w:val="fr-FR"/>
        </w:rPr>
        <w:t>’</w:t>
      </w:r>
      <w:r w:rsidRPr="001169B0">
        <w:rPr>
          <w:lang w:val="fr-FR"/>
        </w:rPr>
        <w:t>applique aux auteurs en raison de leur lien de parenté. Il fait observer qu</w:t>
      </w:r>
      <w:r>
        <w:rPr>
          <w:lang w:val="fr-FR"/>
        </w:rPr>
        <w:t>’</w:t>
      </w:r>
      <w:r w:rsidRPr="001169B0">
        <w:rPr>
          <w:lang w:val="fr-FR"/>
        </w:rPr>
        <w:t xml:space="preserve">au cours de la procédure, les auteurs ne sont pas parvenus à démontrer </w:t>
      </w:r>
      <w:r>
        <w:rPr>
          <w:lang w:val="fr-FR"/>
        </w:rPr>
        <w:t>que le mariage avait été contracté au</w:t>
      </w:r>
      <w:r w:rsidRPr="001169B0">
        <w:rPr>
          <w:lang w:val="fr-FR"/>
        </w:rPr>
        <w:t xml:space="preserve"> gré</w:t>
      </w:r>
      <w:r>
        <w:rPr>
          <w:lang w:val="fr-FR"/>
        </w:rPr>
        <w:t xml:space="preserve"> des deux parties</w:t>
      </w:r>
      <w:r w:rsidRPr="001169B0">
        <w:rPr>
          <w:lang w:val="fr-FR"/>
        </w:rPr>
        <w:t>. Au contraire, l</w:t>
      </w:r>
      <w:r>
        <w:rPr>
          <w:lang w:val="fr-FR"/>
        </w:rPr>
        <w:t>’</w:t>
      </w:r>
      <w:r w:rsidRPr="001169B0">
        <w:rPr>
          <w:lang w:val="fr-FR"/>
        </w:rPr>
        <w:t>État partie souligne que plusieurs éléments ont confirmé la présomption selon laquelle le mariage n</w:t>
      </w:r>
      <w:r>
        <w:rPr>
          <w:lang w:val="fr-FR"/>
        </w:rPr>
        <w:t>’</w:t>
      </w:r>
      <w:r w:rsidRPr="001169B0">
        <w:rPr>
          <w:lang w:val="fr-FR"/>
        </w:rPr>
        <w:t xml:space="preserve">avait pas été contracté </w:t>
      </w:r>
      <w:r>
        <w:rPr>
          <w:lang w:val="fr-FR"/>
        </w:rPr>
        <w:t xml:space="preserve">au gré des </w:t>
      </w:r>
      <w:r w:rsidRPr="001169B0">
        <w:rPr>
          <w:lang w:val="fr-FR"/>
        </w:rPr>
        <w:t>deux parties</w:t>
      </w:r>
      <w:r w:rsidRPr="00E47167">
        <w:rPr>
          <w:rStyle w:val="Appelnotedebasdep"/>
        </w:rPr>
        <w:footnoteReference w:id="19"/>
      </w:r>
      <w:r w:rsidRPr="001169B0">
        <w:rPr>
          <w:lang w:val="fr-FR"/>
        </w:rPr>
        <w:t>.</w:t>
      </w:r>
    </w:p>
    <w:p w:rsidR="00E82317" w:rsidRPr="001169B0" w:rsidRDefault="00E82317" w:rsidP="00E82317">
      <w:pPr>
        <w:pStyle w:val="SingleTxtG"/>
        <w:rPr>
          <w:lang w:val="fr-FR"/>
        </w:rPr>
      </w:pPr>
      <w:r w:rsidRPr="001169B0">
        <w:rPr>
          <w:lang w:val="fr-FR"/>
        </w:rPr>
        <w:t>4.7</w:t>
      </w:r>
      <w:r w:rsidRPr="001169B0">
        <w:rPr>
          <w:lang w:val="fr-FR"/>
        </w:rPr>
        <w:tab/>
        <w:t>L</w:t>
      </w:r>
      <w:r>
        <w:rPr>
          <w:lang w:val="fr-FR"/>
        </w:rPr>
        <w:t>’</w:t>
      </w:r>
      <w:r w:rsidRPr="001169B0">
        <w:rPr>
          <w:lang w:val="fr-FR"/>
        </w:rPr>
        <w:t>État partie souligne en outre que la règle de la présomption énoncée à l</w:t>
      </w:r>
      <w:r>
        <w:rPr>
          <w:lang w:val="fr-FR"/>
        </w:rPr>
        <w:t>’</w:t>
      </w:r>
      <w:r w:rsidRPr="001169B0">
        <w:rPr>
          <w:lang w:val="fr-FR"/>
        </w:rPr>
        <w:t>article</w:t>
      </w:r>
      <w:r w:rsidR="00EA5264">
        <w:rPr>
          <w:lang w:val="fr-FR"/>
        </w:rPr>
        <w:t> </w:t>
      </w:r>
      <w:r w:rsidRPr="001169B0">
        <w:rPr>
          <w:lang w:val="fr-FR"/>
        </w:rPr>
        <w:t>9</w:t>
      </w:r>
      <w:r w:rsidR="00EA5264">
        <w:rPr>
          <w:lang w:val="fr-FR"/>
        </w:rPr>
        <w:t> </w:t>
      </w:r>
      <w:r w:rsidRPr="001169B0">
        <w:rPr>
          <w:lang w:val="fr-FR"/>
        </w:rPr>
        <w:t>8) de la loi sur les étrangers a été élaborée en tenant compte des obligations internationales du Danemark, notamment du principe de droit international généralement admis selon lequel le mariage ne peut être conclu qu</w:t>
      </w:r>
      <w:r>
        <w:rPr>
          <w:lang w:val="fr-FR"/>
        </w:rPr>
        <w:t>’</w:t>
      </w:r>
      <w:r w:rsidRPr="001169B0">
        <w:rPr>
          <w:lang w:val="fr-FR"/>
        </w:rPr>
        <w:t>avec le libre et plein consentement des futurs époux</w:t>
      </w:r>
      <w:r w:rsidRPr="00E47167">
        <w:rPr>
          <w:rStyle w:val="Appelnotedebasdep"/>
        </w:rPr>
        <w:footnoteReference w:id="20"/>
      </w:r>
      <w:r w:rsidRPr="001169B0">
        <w:rPr>
          <w:lang w:val="fr-FR"/>
        </w:rPr>
        <w:t>. De</w:t>
      </w:r>
      <w:r w:rsidR="00EA5264">
        <w:rPr>
          <w:lang w:val="fr-FR"/>
        </w:rPr>
        <w:t> </w:t>
      </w:r>
      <w:r w:rsidRPr="001169B0">
        <w:rPr>
          <w:lang w:val="fr-FR"/>
        </w:rPr>
        <w:t>plus, les autorités chargées des questions d</w:t>
      </w:r>
      <w:r>
        <w:rPr>
          <w:lang w:val="fr-FR"/>
        </w:rPr>
        <w:t>’</w:t>
      </w:r>
      <w:r w:rsidRPr="001169B0">
        <w:rPr>
          <w:lang w:val="fr-FR"/>
        </w:rPr>
        <w:t>immigration sont tenues d</w:t>
      </w:r>
      <w:r>
        <w:rPr>
          <w:lang w:val="fr-FR"/>
        </w:rPr>
        <w:t>’</w:t>
      </w:r>
      <w:r w:rsidRPr="001169B0">
        <w:rPr>
          <w:lang w:val="fr-FR"/>
        </w:rPr>
        <w:t xml:space="preserve">appliquer cette disposition dans le respect des obligations internationales du </w:t>
      </w:r>
      <w:r>
        <w:rPr>
          <w:lang w:val="fr-FR"/>
        </w:rPr>
        <w:t>pays</w:t>
      </w:r>
      <w:r w:rsidRPr="001169B0">
        <w:rPr>
          <w:lang w:val="fr-FR"/>
        </w:rPr>
        <w:t>.</w:t>
      </w:r>
    </w:p>
    <w:p w:rsidR="00E82317" w:rsidRPr="001169B0" w:rsidRDefault="00E82317" w:rsidP="00E82317">
      <w:pPr>
        <w:pStyle w:val="SingleTxtG"/>
        <w:rPr>
          <w:lang w:val="fr-FR"/>
        </w:rPr>
      </w:pPr>
      <w:r w:rsidRPr="001169B0">
        <w:rPr>
          <w:lang w:val="fr-FR"/>
        </w:rPr>
        <w:t>4.8</w:t>
      </w:r>
      <w:r w:rsidRPr="001169B0">
        <w:rPr>
          <w:lang w:val="fr-FR"/>
        </w:rPr>
        <w:tab/>
        <w:t>En ce qui concerne la procédure d</w:t>
      </w:r>
      <w:r>
        <w:rPr>
          <w:lang w:val="fr-FR"/>
        </w:rPr>
        <w:t>’</w:t>
      </w:r>
      <w:r w:rsidRPr="001169B0">
        <w:rPr>
          <w:lang w:val="fr-FR"/>
        </w:rPr>
        <w:t>évaluation menée par les autorités chargées des questions d</w:t>
      </w:r>
      <w:r>
        <w:rPr>
          <w:lang w:val="fr-FR"/>
        </w:rPr>
        <w:t>’</w:t>
      </w:r>
      <w:r w:rsidRPr="001169B0">
        <w:rPr>
          <w:lang w:val="fr-FR"/>
        </w:rPr>
        <w:t>immigration, l</w:t>
      </w:r>
      <w:r>
        <w:rPr>
          <w:lang w:val="fr-FR"/>
        </w:rPr>
        <w:t>’</w:t>
      </w:r>
      <w:r w:rsidRPr="001169B0">
        <w:rPr>
          <w:lang w:val="fr-FR"/>
        </w:rPr>
        <w:t>État partie indique qu</w:t>
      </w:r>
      <w:r>
        <w:rPr>
          <w:lang w:val="fr-FR"/>
        </w:rPr>
        <w:t>’</w:t>
      </w:r>
      <w:r w:rsidRPr="001169B0">
        <w:rPr>
          <w:lang w:val="fr-FR"/>
        </w:rPr>
        <w:t xml:space="preserve">il a été procédé à une </w:t>
      </w:r>
      <w:r>
        <w:rPr>
          <w:lang w:val="fr-FR"/>
        </w:rPr>
        <w:t>appréciation</w:t>
      </w:r>
      <w:r w:rsidRPr="001169B0">
        <w:rPr>
          <w:lang w:val="fr-FR"/>
        </w:rPr>
        <w:t xml:space="preserve"> individuelle de la situation des auteurs sur la base des renseignements fournis par ceux-ci. Il</w:t>
      </w:r>
      <w:r w:rsidR="00EA5264">
        <w:rPr>
          <w:lang w:val="fr-FR"/>
        </w:rPr>
        <w:t> </w:t>
      </w:r>
      <w:r w:rsidRPr="001169B0">
        <w:rPr>
          <w:lang w:val="fr-FR"/>
        </w:rPr>
        <w:t>signale que chacun des auteurs a eu l</w:t>
      </w:r>
      <w:r>
        <w:rPr>
          <w:lang w:val="fr-FR"/>
        </w:rPr>
        <w:t>’</w:t>
      </w:r>
      <w:r w:rsidRPr="001169B0">
        <w:rPr>
          <w:lang w:val="fr-FR"/>
        </w:rPr>
        <w:t xml:space="preserve">occasion de soumettre des conclusions écrites, et que </w:t>
      </w:r>
      <w:r>
        <w:rPr>
          <w:lang w:val="fr-FR"/>
        </w:rPr>
        <w:t>M. Hassan</w:t>
      </w:r>
      <w:r w:rsidRPr="001169B0">
        <w:rPr>
          <w:lang w:val="fr-FR"/>
        </w:rPr>
        <w:t xml:space="preserve"> a eu la possibilité de faire une déclaration devant la Commission des recours en matière d</w:t>
      </w:r>
      <w:r>
        <w:rPr>
          <w:lang w:val="fr-FR"/>
        </w:rPr>
        <w:t>’</w:t>
      </w:r>
      <w:r w:rsidRPr="001169B0">
        <w:rPr>
          <w:lang w:val="fr-FR"/>
        </w:rPr>
        <w:t xml:space="preserve">immigration le </w:t>
      </w:r>
      <w:r w:rsidRPr="00AF3304">
        <w:t>13</w:t>
      </w:r>
      <w:r>
        <w:t> </w:t>
      </w:r>
      <w:r w:rsidRPr="00AF3304">
        <w:t>novembre</w:t>
      </w:r>
      <w:r w:rsidRPr="001169B0">
        <w:rPr>
          <w:lang w:val="fr-FR"/>
        </w:rPr>
        <w:t xml:space="preserve"> 2013.</w:t>
      </w:r>
    </w:p>
    <w:p w:rsidR="00E82317" w:rsidRPr="001169B0" w:rsidRDefault="00E82317" w:rsidP="00E82317">
      <w:pPr>
        <w:pStyle w:val="SingleTxtG"/>
        <w:rPr>
          <w:lang w:val="fr-FR"/>
        </w:rPr>
      </w:pPr>
      <w:r w:rsidRPr="001169B0">
        <w:rPr>
          <w:lang w:val="fr-FR"/>
        </w:rPr>
        <w:t>4.9</w:t>
      </w:r>
      <w:r w:rsidRPr="001169B0">
        <w:rPr>
          <w:lang w:val="fr-FR"/>
        </w:rPr>
        <w:tab/>
        <w:t>L</w:t>
      </w:r>
      <w:r>
        <w:rPr>
          <w:lang w:val="fr-FR"/>
        </w:rPr>
        <w:t>’</w:t>
      </w:r>
      <w:r w:rsidRPr="001169B0">
        <w:rPr>
          <w:lang w:val="fr-FR"/>
        </w:rPr>
        <w:t>État partie dit qu</w:t>
      </w:r>
      <w:r>
        <w:rPr>
          <w:lang w:val="fr-FR"/>
        </w:rPr>
        <w:t>’</w:t>
      </w:r>
      <w:r w:rsidRPr="001169B0">
        <w:rPr>
          <w:lang w:val="fr-FR"/>
        </w:rPr>
        <w:t>il n</w:t>
      </w:r>
      <w:r>
        <w:rPr>
          <w:lang w:val="fr-FR"/>
        </w:rPr>
        <w:t>’</w:t>
      </w:r>
      <w:r w:rsidRPr="001169B0">
        <w:rPr>
          <w:lang w:val="fr-FR"/>
        </w:rPr>
        <w:t>y a pas de raison de douter de l</w:t>
      </w:r>
      <w:r>
        <w:rPr>
          <w:lang w:val="fr-FR"/>
        </w:rPr>
        <w:t>’</w:t>
      </w:r>
      <w:r w:rsidRPr="001169B0">
        <w:rPr>
          <w:lang w:val="fr-FR"/>
        </w:rPr>
        <w:t xml:space="preserve">évaluation </w:t>
      </w:r>
      <w:r>
        <w:rPr>
          <w:lang w:val="fr-FR"/>
        </w:rPr>
        <w:t>réalisée par</w:t>
      </w:r>
      <w:r w:rsidRPr="001169B0">
        <w:rPr>
          <w:lang w:val="fr-FR"/>
        </w:rPr>
        <w:t xml:space="preserve"> la Commission des recours en matière d</w:t>
      </w:r>
      <w:r>
        <w:rPr>
          <w:lang w:val="fr-FR"/>
        </w:rPr>
        <w:t>’</w:t>
      </w:r>
      <w:r w:rsidRPr="001169B0">
        <w:rPr>
          <w:lang w:val="fr-FR"/>
        </w:rPr>
        <w:t>immigration, qui a conclu que les auteurs n</w:t>
      </w:r>
      <w:r>
        <w:rPr>
          <w:lang w:val="fr-FR"/>
        </w:rPr>
        <w:t>’</w:t>
      </w:r>
      <w:r w:rsidRPr="001169B0">
        <w:rPr>
          <w:lang w:val="fr-FR"/>
        </w:rPr>
        <w:t>avaient pas établi qu</w:t>
      </w:r>
      <w:r>
        <w:rPr>
          <w:lang w:val="fr-FR"/>
        </w:rPr>
        <w:t>’</w:t>
      </w:r>
      <w:r w:rsidRPr="001169B0">
        <w:rPr>
          <w:lang w:val="fr-FR"/>
        </w:rPr>
        <w:t>ils avaient une vie familiale qui méritait d</w:t>
      </w:r>
      <w:r>
        <w:rPr>
          <w:lang w:val="fr-FR"/>
        </w:rPr>
        <w:t>’</w:t>
      </w:r>
      <w:r w:rsidRPr="001169B0">
        <w:rPr>
          <w:lang w:val="fr-FR"/>
        </w:rPr>
        <w:t>être protégée. Par conséquent, il doit être considéré que le mariage a été contracté contre la volonté des parties, et les auteurs ne sauraient donc prétendre à la protection prévue aux articles</w:t>
      </w:r>
      <w:r w:rsidR="00EA5264">
        <w:rPr>
          <w:lang w:val="fr-FR"/>
        </w:rPr>
        <w:t> </w:t>
      </w:r>
      <w:r w:rsidRPr="001169B0">
        <w:rPr>
          <w:lang w:val="fr-FR"/>
        </w:rPr>
        <w:t>17 et 23 du Pacte.</w:t>
      </w:r>
    </w:p>
    <w:p w:rsidR="00E82317" w:rsidRPr="001169B0" w:rsidRDefault="00E82317" w:rsidP="00E82317">
      <w:pPr>
        <w:pStyle w:val="SingleTxtG"/>
        <w:rPr>
          <w:lang w:val="fr-FR"/>
        </w:rPr>
      </w:pPr>
      <w:r w:rsidRPr="001169B0">
        <w:rPr>
          <w:lang w:val="fr-FR"/>
        </w:rPr>
        <w:t>4.10</w:t>
      </w:r>
      <w:r w:rsidRPr="001169B0">
        <w:rPr>
          <w:lang w:val="fr-FR"/>
        </w:rPr>
        <w:tab/>
        <w:t>L</w:t>
      </w:r>
      <w:r>
        <w:rPr>
          <w:lang w:val="fr-FR"/>
        </w:rPr>
        <w:t>’</w:t>
      </w:r>
      <w:r w:rsidRPr="001169B0">
        <w:rPr>
          <w:lang w:val="fr-FR"/>
        </w:rPr>
        <w:t xml:space="preserve">État partie prend note du grief des auteurs selon lequel il </w:t>
      </w:r>
      <w:r>
        <w:rPr>
          <w:lang w:val="fr-FR"/>
        </w:rPr>
        <w:t>aurait dû être donné</w:t>
      </w:r>
      <w:r w:rsidRPr="001169B0">
        <w:rPr>
          <w:lang w:val="fr-FR"/>
        </w:rPr>
        <w:t xml:space="preserve"> la possibilité à M</w:t>
      </w:r>
      <w:r w:rsidRPr="00AF3304">
        <w:rPr>
          <w:vertAlign w:val="superscript"/>
          <w:lang w:val="fr-FR"/>
        </w:rPr>
        <w:t>me</w:t>
      </w:r>
      <w:r w:rsidR="00EA5264">
        <w:rPr>
          <w:lang w:val="fr-FR"/>
        </w:rPr>
        <w:t> </w:t>
      </w:r>
      <w:r w:rsidRPr="001169B0">
        <w:rPr>
          <w:lang w:val="fr-FR"/>
        </w:rPr>
        <w:t>Aden de faire une déclaration devant la Commission des recours en matière d</w:t>
      </w:r>
      <w:r>
        <w:rPr>
          <w:lang w:val="fr-FR"/>
        </w:rPr>
        <w:t>’</w:t>
      </w:r>
      <w:r w:rsidRPr="001169B0">
        <w:rPr>
          <w:lang w:val="fr-FR"/>
        </w:rPr>
        <w:t>immigration. Il rappelle toutefois que M</w:t>
      </w:r>
      <w:r w:rsidRPr="00AF3304">
        <w:rPr>
          <w:vertAlign w:val="superscript"/>
          <w:lang w:val="fr-FR"/>
        </w:rPr>
        <w:t>me</w:t>
      </w:r>
      <w:r w:rsidR="00EA5264">
        <w:rPr>
          <w:lang w:val="fr-FR"/>
        </w:rPr>
        <w:t> </w:t>
      </w:r>
      <w:r w:rsidRPr="001169B0">
        <w:rPr>
          <w:lang w:val="fr-FR"/>
        </w:rPr>
        <w:t xml:space="preserve">Aden a </w:t>
      </w:r>
      <w:r>
        <w:rPr>
          <w:lang w:val="fr-FR"/>
        </w:rPr>
        <w:t>eu la possibilité de</w:t>
      </w:r>
      <w:r w:rsidRPr="001169B0">
        <w:rPr>
          <w:lang w:val="fr-FR"/>
        </w:rPr>
        <w:t xml:space="preserve"> soumettre des conclusions écrites de sa propre initiative, mais que la Commission, en se basant sur sa propre évaluation, n</w:t>
      </w:r>
      <w:r>
        <w:rPr>
          <w:lang w:val="fr-FR"/>
        </w:rPr>
        <w:t>’</w:t>
      </w:r>
      <w:r w:rsidRPr="001169B0">
        <w:rPr>
          <w:lang w:val="fr-FR"/>
        </w:rPr>
        <w:t>a pas jugé nécessaire d</w:t>
      </w:r>
      <w:r>
        <w:rPr>
          <w:lang w:val="fr-FR"/>
        </w:rPr>
        <w:t>’</w:t>
      </w:r>
      <w:r w:rsidRPr="001169B0">
        <w:rPr>
          <w:lang w:val="fr-FR"/>
        </w:rPr>
        <w:t>obtenir davantage de renseignements auprès d</w:t>
      </w:r>
      <w:r>
        <w:rPr>
          <w:lang w:val="fr-FR"/>
        </w:rPr>
        <w:t>’</w:t>
      </w:r>
      <w:r w:rsidRPr="001169B0">
        <w:rPr>
          <w:lang w:val="fr-FR"/>
        </w:rPr>
        <w:t>elle. Il est également souligné que la Commission ne peut convoquer pour qu</w:t>
      </w:r>
      <w:r>
        <w:rPr>
          <w:lang w:val="fr-FR"/>
        </w:rPr>
        <w:t>’</w:t>
      </w:r>
      <w:r w:rsidRPr="001169B0">
        <w:rPr>
          <w:lang w:val="fr-FR"/>
        </w:rPr>
        <w:t xml:space="preserve">ils fassent </w:t>
      </w:r>
      <w:r w:rsidRPr="001169B0">
        <w:rPr>
          <w:lang w:val="fr-FR"/>
        </w:rPr>
        <w:lastRenderedPageBreak/>
        <w:t>une déclaration que les demandeurs résidant légalement au Danemark</w:t>
      </w:r>
      <w:r w:rsidRPr="00E47167">
        <w:rPr>
          <w:rStyle w:val="Appelnotedebasdep"/>
        </w:rPr>
        <w:footnoteReference w:id="21"/>
      </w:r>
      <w:r w:rsidRPr="001169B0">
        <w:rPr>
          <w:lang w:val="fr-FR"/>
        </w:rPr>
        <w:t>. Au vu de ces éléments, l</w:t>
      </w:r>
      <w:r>
        <w:rPr>
          <w:lang w:val="fr-FR"/>
        </w:rPr>
        <w:t>’</w:t>
      </w:r>
      <w:r w:rsidRPr="001169B0">
        <w:rPr>
          <w:lang w:val="fr-FR"/>
        </w:rPr>
        <w:t>État partie affirme qu</w:t>
      </w:r>
      <w:r>
        <w:rPr>
          <w:lang w:val="fr-FR"/>
        </w:rPr>
        <w:t>’</w:t>
      </w:r>
      <w:r w:rsidRPr="001169B0">
        <w:rPr>
          <w:lang w:val="fr-FR"/>
        </w:rPr>
        <w:t>il n</w:t>
      </w:r>
      <w:r>
        <w:rPr>
          <w:lang w:val="fr-FR"/>
        </w:rPr>
        <w:t>’</w:t>
      </w:r>
      <w:r w:rsidRPr="001169B0">
        <w:rPr>
          <w:lang w:val="fr-FR"/>
        </w:rPr>
        <w:t>y a pas eu de violation des articles</w:t>
      </w:r>
      <w:r w:rsidR="00EA5264">
        <w:rPr>
          <w:lang w:val="fr-FR"/>
        </w:rPr>
        <w:t> </w:t>
      </w:r>
      <w:r w:rsidRPr="001169B0">
        <w:rPr>
          <w:lang w:val="fr-FR"/>
        </w:rPr>
        <w:t>17 et 23 du Pacte.</w:t>
      </w:r>
    </w:p>
    <w:p w:rsidR="00E82317" w:rsidRPr="001169B0" w:rsidRDefault="00E82317" w:rsidP="00E82317">
      <w:pPr>
        <w:pStyle w:val="SingleTxtG"/>
        <w:rPr>
          <w:lang w:val="fr-FR"/>
        </w:rPr>
      </w:pPr>
      <w:r w:rsidRPr="001169B0">
        <w:rPr>
          <w:lang w:val="fr-FR"/>
        </w:rPr>
        <w:t>4.11</w:t>
      </w:r>
      <w:r w:rsidRPr="001169B0">
        <w:rPr>
          <w:lang w:val="fr-FR"/>
        </w:rPr>
        <w:tab/>
        <w:t>En ce qui concerne l</w:t>
      </w:r>
      <w:r>
        <w:rPr>
          <w:lang w:val="fr-FR"/>
        </w:rPr>
        <w:t>’</w:t>
      </w:r>
      <w:r w:rsidRPr="001169B0">
        <w:rPr>
          <w:lang w:val="fr-FR"/>
        </w:rPr>
        <w:t>article</w:t>
      </w:r>
      <w:r w:rsidR="00EA5264">
        <w:rPr>
          <w:lang w:val="fr-FR"/>
        </w:rPr>
        <w:t> </w:t>
      </w:r>
      <w:r w:rsidRPr="001169B0">
        <w:rPr>
          <w:lang w:val="fr-FR"/>
        </w:rPr>
        <w:t>26, l</w:t>
      </w:r>
      <w:r>
        <w:rPr>
          <w:lang w:val="fr-FR"/>
        </w:rPr>
        <w:t>’</w:t>
      </w:r>
      <w:r w:rsidRPr="001169B0">
        <w:rPr>
          <w:lang w:val="fr-FR"/>
        </w:rPr>
        <w:t>État partie soutient que les auteurs n</w:t>
      </w:r>
      <w:r>
        <w:rPr>
          <w:lang w:val="fr-FR"/>
        </w:rPr>
        <w:t>’</w:t>
      </w:r>
      <w:r w:rsidRPr="001169B0">
        <w:rPr>
          <w:lang w:val="fr-FR"/>
        </w:rPr>
        <w:t>ont pas fait l</w:t>
      </w:r>
      <w:r>
        <w:rPr>
          <w:lang w:val="fr-FR"/>
        </w:rPr>
        <w:t>’</w:t>
      </w:r>
      <w:r w:rsidRPr="001169B0">
        <w:rPr>
          <w:lang w:val="fr-FR"/>
        </w:rPr>
        <w:t>objet de discrimination directe ou indirecte liée à l</w:t>
      </w:r>
      <w:r>
        <w:rPr>
          <w:lang w:val="fr-FR"/>
        </w:rPr>
        <w:t>’</w:t>
      </w:r>
      <w:r w:rsidRPr="001169B0">
        <w:rPr>
          <w:lang w:val="fr-FR"/>
        </w:rPr>
        <w:t>application de l</w:t>
      </w:r>
      <w:r>
        <w:rPr>
          <w:lang w:val="fr-FR"/>
        </w:rPr>
        <w:t>’</w:t>
      </w:r>
      <w:r w:rsidRPr="001169B0">
        <w:rPr>
          <w:lang w:val="fr-FR"/>
        </w:rPr>
        <w:t>article</w:t>
      </w:r>
      <w:r w:rsidR="00674FC3">
        <w:rPr>
          <w:lang w:val="fr-FR"/>
        </w:rPr>
        <w:t> </w:t>
      </w:r>
      <w:r w:rsidRPr="001169B0">
        <w:rPr>
          <w:lang w:val="fr-FR"/>
        </w:rPr>
        <w:t>9</w:t>
      </w:r>
      <w:r w:rsidR="00674FC3">
        <w:rPr>
          <w:lang w:val="fr-FR"/>
        </w:rPr>
        <w:t> </w:t>
      </w:r>
      <w:r w:rsidRPr="001169B0">
        <w:rPr>
          <w:lang w:val="fr-FR"/>
        </w:rPr>
        <w:t>8) de la loi sur les étrangers</w:t>
      </w:r>
      <w:r w:rsidRPr="00E47167">
        <w:rPr>
          <w:rStyle w:val="Appelnotedebasdep"/>
        </w:rPr>
        <w:footnoteReference w:id="22"/>
      </w:r>
      <w:r w:rsidRPr="001169B0">
        <w:rPr>
          <w:lang w:val="fr-FR"/>
        </w:rPr>
        <w:t>. Il indique que la loi sur les étrangers s</w:t>
      </w:r>
      <w:r>
        <w:rPr>
          <w:lang w:val="fr-FR"/>
        </w:rPr>
        <w:t>’</w:t>
      </w:r>
      <w:r w:rsidRPr="001169B0">
        <w:rPr>
          <w:lang w:val="fr-FR"/>
        </w:rPr>
        <w:t>applique à tous les étrangers qui demande</w:t>
      </w:r>
      <w:r>
        <w:rPr>
          <w:lang w:val="fr-FR"/>
        </w:rPr>
        <w:t>nt</w:t>
      </w:r>
      <w:r w:rsidRPr="001169B0">
        <w:rPr>
          <w:lang w:val="fr-FR"/>
        </w:rPr>
        <w:t xml:space="preserve"> un permis de </w:t>
      </w:r>
      <w:r>
        <w:rPr>
          <w:lang w:val="fr-FR"/>
        </w:rPr>
        <w:t>séjour</w:t>
      </w:r>
      <w:r w:rsidRPr="001169B0">
        <w:rPr>
          <w:lang w:val="fr-FR"/>
        </w:rPr>
        <w:t xml:space="preserve"> au Danemark au titre des </w:t>
      </w:r>
      <w:r>
        <w:rPr>
          <w:lang w:val="fr-FR"/>
        </w:rPr>
        <w:t>dispositions</w:t>
      </w:r>
      <w:r w:rsidRPr="001169B0">
        <w:rPr>
          <w:lang w:val="fr-FR"/>
        </w:rPr>
        <w:t xml:space="preserve"> générales de la loi, quelles que soient leur nationalité et leur origine ethnique. Il estime par conséquent que la règle énoncée à l</w:t>
      </w:r>
      <w:r>
        <w:rPr>
          <w:lang w:val="fr-FR"/>
        </w:rPr>
        <w:t>’</w:t>
      </w:r>
      <w:r w:rsidRPr="001169B0">
        <w:rPr>
          <w:lang w:val="fr-FR"/>
        </w:rPr>
        <w:t>article</w:t>
      </w:r>
      <w:r w:rsidR="00EA5264">
        <w:rPr>
          <w:lang w:val="fr-FR"/>
        </w:rPr>
        <w:t> </w:t>
      </w:r>
      <w:r w:rsidRPr="001169B0">
        <w:rPr>
          <w:lang w:val="fr-FR"/>
        </w:rPr>
        <w:t>9</w:t>
      </w:r>
      <w:r w:rsidR="00EA5264">
        <w:rPr>
          <w:lang w:val="fr-FR"/>
        </w:rPr>
        <w:t> </w:t>
      </w:r>
      <w:r w:rsidRPr="001169B0">
        <w:rPr>
          <w:lang w:val="fr-FR"/>
        </w:rPr>
        <w:t>8) de la loi sur les étrangers n</w:t>
      </w:r>
      <w:r>
        <w:rPr>
          <w:lang w:val="fr-FR"/>
        </w:rPr>
        <w:t>’</w:t>
      </w:r>
      <w:r w:rsidRPr="001169B0">
        <w:rPr>
          <w:lang w:val="fr-FR"/>
        </w:rPr>
        <w:t>affecte pas exclusivement ou de manière disproportionnée des personnes particulières en raison de leur race, couleur, sexe, langue, religion, opinion politique ou toute autre opinion, origine nationale ou sociale, fortune, naissance ou toute autre situation. L</w:t>
      </w:r>
      <w:r>
        <w:rPr>
          <w:lang w:val="fr-FR"/>
        </w:rPr>
        <w:t>’</w:t>
      </w:r>
      <w:r w:rsidRPr="001169B0">
        <w:rPr>
          <w:lang w:val="fr-FR"/>
        </w:rPr>
        <w:t>État partie considère que les auteurs n</w:t>
      </w:r>
      <w:r>
        <w:rPr>
          <w:lang w:val="fr-FR"/>
        </w:rPr>
        <w:t>’</w:t>
      </w:r>
      <w:r w:rsidRPr="001169B0">
        <w:rPr>
          <w:lang w:val="fr-FR"/>
        </w:rPr>
        <w:t>ont pas démontré en quoi ils avaient été victimes de discrimination indirecte.</w:t>
      </w:r>
    </w:p>
    <w:p w:rsidR="00E82317" w:rsidRPr="001169B0" w:rsidRDefault="00E82317" w:rsidP="00E82317">
      <w:pPr>
        <w:pStyle w:val="SingleTxtG"/>
        <w:rPr>
          <w:lang w:val="fr-FR"/>
        </w:rPr>
      </w:pPr>
      <w:r w:rsidRPr="001169B0">
        <w:rPr>
          <w:lang w:val="fr-FR"/>
        </w:rPr>
        <w:t>4.12</w:t>
      </w:r>
      <w:r w:rsidRPr="001169B0">
        <w:rPr>
          <w:lang w:val="fr-FR"/>
        </w:rPr>
        <w:tab/>
        <w:t>L</w:t>
      </w:r>
      <w:r>
        <w:rPr>
          <w:lang w:val="fr-FR"/>
        </w:rPr>
        <w:t>’</w:t>
      </w:r>
      <w:r w:rsidRPr="001169B0">
        <w:rPr>
          <w:lang w:val="fr-FR"/>
        </w:rPr>
        <w:t>État partie signale en outre que la règle énoncée à l</w:t>
      </w:r>
      <w:r>
        <w:rPr>
          <w:lang w:val="fr-FR"/>
        </w:rPr>
        <w:t>’</w:t>
      </w:r>
      <w:r w:rsidRPr="001169B0">
        <w:rPr>
          <w:lang w:val="fr-FR"/>
        </w:rPr>
        <w:t>article</w:t>
      </w:r>
      <w:r w:rsidR="00EA5264">
        <w:rPr>
          <w:lang w:val="fr-FR"/>
        </w:rPr>
        <w:t> </w:t>
      </w:r>
      <w:r w:rsidRPr="001169B0">
        <w:rPr>
          <w:lang w:val="fr-FR"/>
        </w:rPr>
        <w:t>9</w:t>
      </w:r>
      <w:r w:rsidR="00EA5264">
        <w:rPr>
          <w:lang w:val="fr-FR"/>
        </w:rPr>
        <w:t> </w:t>
      </w:r>
      <w:r w:rsidRPr="001169B0">
        <w:rPr>
          <w:lang w:val="fr-FR"/>
        </w:rPr>
        <w:t>8) de la loi sur les étrangers est fondée sur des motifs objectifs et raisonnables</w:t>
      </w:r>
      <w:r w:rsidRPr="00E47167">
        <w:rPr>
          <w:rStyle w:val="Appelnotedebasdep"/>
        </w:rPr>
        <w:footnoteReference w:id="23"/>
      </w:r>
      <w:r w:rsidRPr="001169B0">
        <w:rPr>
          <w:lang w:val="fr-FR"/>
        </w:rPr>
        <w:t>.</w:t>
      </w:r>
    </w:p>
    <w:p w:rsidR="00E82317" w:rsidRPr="001169B0" w:rsidRDefault="00E82317" w:rsidP="00EA5264">
      <w:pPr>
        <w:pStyle w:val="H23G"/>
        <w:rPr>
          <w:lang w:val="fr-FR"/>
        </w:rPr>
      </w:pPr>
      <w:r w:rsidRPr="001169B0">
        <w:rPr>
          <w:lang w:val="fr-FR"/>
        </w:rPr>
        <w:tab/>
      </w:r>
      <w:r w:rsidR="00EA5264">
        <w:rPr>
          <w:lang w:val="fr-FR"/>
        </w:rPr>
        <w:tab/>
      </w:r>
      <w:r w:rsidRPr="001169B0">
        <w:rPr>
          <w:lang w:val="fr-FR"/>
        </w:rPr>
        <w:t xml:space="preserve">Commentaires </w:t>
      </w:r>
      <w:r w:rsidR="00E51CAD">
        <w:rPr>
          <w:lang w:val="fr-FR"/>
        </w:rPr>
        <w:t>des aute</w:t>
      </w:r>
      <w:r w:rsidR="007D03E9">
        <w:rPr>
          <w:lang w:val="fr-FR"/>
        </w:rPr>
        <w:t>urs</w:t>
      </w:r>
      <w:bookmarkStart w:id="0" w:name="_GoBack"/>
      <w:bookmarkEnd w:id="0"/>
      <w:r w:rsidR="00E51CAD">
        <w:rPr>
          <w:lang w:val="fr-FR"/>
        </w:rPr>
        <w:t xml:space="preserve"> </w:t>
      </w:r>
      <w:r w:rsidRPr="001169B0">
        <w:rPr>
          <w:lang w:val="fr-FR"/>
        </w:rPr>
        <w:t>sur les observations de l</w:t>
      </w:r>
      <w:r>
        <w:rPr>
          <w:lang w:val="fr-FR"/>
        </w:rPr>
        <w:t>’</w:t>
      </w:r>
      <w:r w:rsidRPr="001169B0">
        <w:rPr>
          <w:lang w:val="fr-FR"/>
        </w:rPr>
        <w:t>État partie</w:t>
      </w:r>
      <w:r>
        <w:rPr>
          <w:lang w:val="fr-FR"/>
        </w:rPr>
        <w:t xml:space="preserve"> sur la recevabilité </w:t>
      </w:r>
      <w:r w:rsidR="00EA5264">
        <w:rPr>
          <w:lang w:val="fr-FR"/>
        </w:rPr>
        <w:br/>
      </w:r>
      <w:r>
        <w:rPr>
          <w:lang w:val="fr-FR"/>
        </w:rPr>
        <w:t>et le fond</w:t>
      </w:r>
    </w:p>
    <w:p w:rsidR="00E82317" w:rsidRPr="00875D7E" w:rsidRDefault="00E82317" w:rsidP="00E82317">
      <w:pPr>
        <w:pStyle w:val="SingleTxtG"/>
        <w:rPr>
          <w:spacing w:val="-2"/>
          <w:lang w:val="fr-FR"/>
        </w:rPr>
      </w:pPr>
      <w:r w:rsidRPr="00875D7E">
        <w:rPr>
          <w:spacing w:val="-2"/>
          <w:lang w:val="fr-FR"/>
        </w:rPr>
        <w:t>5.1</w:t>
      </w:r>
      <w:r w:rsidRPr="00875D7E">
        <w:rPr>
          <w:spacing w:val="-2"/>
          <w:lang w:val="fr-FR"/>
        </w:rPr>
        <w:tab/>
        <w:t>Le 6 mai 2015, les auteurs ont fait part de leurs commentaires sur les observations de l’État partie sur la recevabilité de la communication. Ils répètent les arguments qu’ils ont déjà avancés concernant la recevabilité et insistent sur le fait que pour juger de la</w:t>
      </w:r>
      <w:r w:rsidR="00875D7E">
        <w:rPr>
          <w:spacing w:val="-2"/>
          <w:lang w:val="fr-FR"/>
        </w:rPr>
        <w:t xml:space="preserve"> </w:t>
      </w:r>
      <w:r w:rsidRPr="00875D7E">
        <w:rPr>
          <w:spacing w:val="-2"/>
          <w:lang w:val="fr-FR"/>
        </w:rPr>
        <w:t xml:space="preserve">recevabilité </w:t>
      </w:r>
      <w:r w:rsidRPr="00875D7E">
        <w:rPr>
          <w:lang w:val="fr-FR"/>
        </w:rPr>
        <w:t>d’une communication au regard du paragraphe</w:t>
      </w:r>
      <w:r w:rsidR="00EA5264" w:rsidRPr="00875D7E">
        <w:rPr>
          <w:lang w:val="fr-FR"/>
        </w:rPr>
        <w:t> </w:t>
      </w:r>
      <w:r w:rsidRPr="00875D7E">
        <w:rPr>
          <w:lang w:val="fr-FR"/>
        </w:rPr>
        <w:t>2</w:t>
      </w:r>
      <w:r w:rsidR="00EA5264" w:rsidRPr="00875D7E">
        <w:rPr>
          <w:lang w:val="fr-FR"/>
        </w:rPr>
        <w:t> </w:t>
      </w:r>
      <w:r w:rsidRPr="00875D7E">
        <w:rPr>
          <w:lang w:val="fr-FR"/>
        </w:rPr>
        <w:t>b) de l’article 5 du Protocole facultatif, il faut examiner si les recours internes dont l’État partie prétend qu’ils sont disponibles sont des recours utiles et si les auteurs ont effectivement la possibilité de s’en prévaloir.</w:t>
      </w:r>
    </w:p>
    <w:p w:rsidR="00E82317" w:rsidRPr="001169B0" w:rsidRDefault="00E82317" w:rsidP="00674FC3">
      <w:pPr>
        <w:pStyle w:val="SingleTxtG"/>
        <w:rPr>
          <w:lang w:val="fr-FR"/>
        </w:rPr>
      </w:pPr>
      <w:r w:rsidRPr="001169B0">
        <w:rPr>
          <w:lang w:val="fr-FR"/>
        </w:rPr>
        <w:t>5.2</w:t>
      </w:r>
      <w:r w:rsidRPr="001169B0">
        <w:rPr>
          <w:lang w:val="fr-FR"/>
        </w:rPr>
        <w:tab/>
        <w:t>Les auteurs renvoient à la jurisprudence du Comité dont il ressort que le non</w:t>
      </w:r>
      <w:r>
        <w:rPr>
          <w:lang w:val="fr-FR"/>
        </w:rPr>
        <w:noBreakHyphen/>
      </w:r>
      <w:r w:rsidRPr="001169B0">
        <w:rPr>
          <w:lang w:val="fr-FR"/>
        </w:rPr>
        <w:t>épuisement des recours internes ne rend pas une communication irrecevable s</w:t>
      </w:r>
      <w:r>
        <w:rPr>
          <w:lang w:val="fr-FR"/>
        </w:rPr>
        <w:t>’</w:t>
      </w:r>
      <w:r w:rsidRPr="001169B0">
        <w:rPr>
          <w:lang w:val="fr-FR"/>
        </w:rPr>
        <w:t>il n</w:t>
      </w:r>
      <w:r>
        <w:rPr>
          <w:lang w:val="fr-FR"/>
        </w:rPr>
        <w:t>’</w:t>
      </w:r>
      <w:r w:rsidRPr="001169B0">
        <w:rPr>
          <w:lang w:val="fr-FR"/>
        </w:rPr>
        <w:t>y a aucune chance que le recours en question permette d</w:t>
      </w:r>
      <w:r>
        <w:rPr>
          <w:lang w:val="fr-FR"/>
        </w:rPr>
        <w:t>’</w:t>
      </w:r>
      <w:r w:rsidRPr="001169B0">
        <w:rPr>
          <w:lang w:val="fr-FR"/>
        </w:rPr>
        <w:t>obtenir une réparation effective</w:t>
      </w:r>
      <w:r w:rsidRPr="00E47167">
        <w:rPr>
          <w:rStyle w:val="Appelnotedebasdep"/>
        </w:rPr>
        <w:footnoteReference w:id="24"/>
      </w:r>
      <w:r w:rsidRPr="001169B0">
        <w:rPr>
          <w:lang w:val="fr-FR"/>
        </w:rPr>
        <w:t>. À</w:t>
      </w:r>
      <w:r w:rsidR="00EA5264">
        <w:rPr>
          <w:lang w:val="fr-FR"/>
        </w:rPr>
        <w:t> </w:t>
      </w:r>
      <w:r w:rsidRPr="001169B0">
        <w:rPr>
          <w:lang w:val="fr-FR"/>
        </w:rPr>
        <w:t>cet égard, les auteurs rappellent que le Département des affaires civiles a rejeté leur demande d</w:t>
      </w:r>
      <w:r>
        <w:rPr>
          <w:lang w:val="fr-FR"/>
        </w:rPr>
        <w:t>’</w:t>
      </w:r>
      <w:r w:rsidRPr="001169B0">
        <w:rPr>
          <w:lang w:val="fr-FR"/>
        </w:rPr>
        <w:t>aide juridictionnelle, estimant qu</w:t>
      </w:r>
      <w:r>
        <w:rPr>
          <w:lang w:val="fr-FR"/>
        </w:rPr>
        <w:t>’</w:t>
      </w:r>
      <w:r w:rsidRPr="001169B0">
        <w:rPr>
          <w:lang w:val="fr-FR"/>
        </w:rPr>
        <w:t>il n</w:t>
      </w:r>
      <w:r>
        <w:rPr>
          <w:lang w:val="fr-FR"/>
        </w:rPr>
        <w:t>’</w:t>
      </w:r>
      <w:r w:rsidRPr="001169B0">
        <w:rPr>
          <w:lang w:val="fr-FR"/>
        </w:rPr>
        <w:t xml:space="preserve">existait pas de motifs raisonnables de croire que les tribunaux </w:t>
      </w:r>
      <w:r>
        <w:rPr>
          <w:lang w:val="fr-FR"/>
        </w:rPr>
        <w:t>rendraient</w:t>
      </w:r>
      <w:r w:rsidRPr="001169B0">
        <w:rPr>
          <w:lang w:val="fr-FR"/>
        </w:rPr>
        <w:t xml:space="preserve"> une décision différente</w:t>
      </w:r>
      <w:r w:rsidRPr="00E47167">
        <w:rPr>
          <w:rStyle w:val="Appelnotedebasdep"/>
        </w:rPr>
        <w:footnoteReference w:id="25"/>
      </w:r>
      <w:r w:rsidRPr="001169B0">
        <w:rPr>
          <w:lang w:val="fr-FR"/>
        </w:rPr>
        <w:t xml:space="preserve">. Les auteurs rappellent </w:t>
      </w:r>
      <w:r w:rsidRPr="001169B0">
        <w:rPr>
          <w:lang w:val="fr-FR"/>
        </w:rPr>
        <w:lastRenderedPageBreak/>
        <w:t>également qu</w:t>
      </w:r>
      <w:r>
        <w:rPr>
          <w:lang w:val="fr-FR"/>
        </w:rPr>
        <w:t>’</w:t>
      </w:r>
      <w:r w:rsidRPr="001169B0">
        <w:rPr>
          <w:lang w:val="fr-FR"/>
        </w:rPr>
        <w:t>il a été fait appel de cette décision du Département des affaires civiles auprès de la Commission d</w:t>
      </w:r>
      <w:r>
        <w:rPr>
          <w:lang w:val="fr-FR"/>
        </w:rPr>
        <w:t>’</w:t>
      </w:r>
      <w:r w:rsidRPr="001169B0">
        <w:rPr>
          <w:lang w:val="fr-FR"/>
        </w:rPr>
        <w:t>autorisation des recours, qui a également rejeté la demande d</w:t>
      </w:r>
      <w:r>
        <w:rPr>
          <w:lang w:val="fr-FR"/>
        </w:rPr>
        <w:t>’</w:t>
      </w:r>
      <w:r w:rsidRPr="001169B0">
        <w:rPr>
          <w:lang w:val="fr-FR"/>
        </w:rPr>
        <w:t>aide judiciaire gratuite, pour les mêmes motifs.</w:t>
      </w:r>
    </w:p>
    <w:p w:rsidR="00E82317" w:rsidRPr="001169B0" w:rsidRDefault="00E82317" w:rsidP="00E82317">
      <w:pPr>
        <w:pStyle w:val="SingleTxtG"/>
        <w:rPr>
          <w:lang w:val="fr-FR"/>
        </w:rPr>
      </w:pPr>
      <w:r w:rsidRPr="001169B0">
        <w:rPr>
          <w:lang w:val="fr-FR"/>
        </w:rPr>
        <w:t>5.3</w:t>
      </w:r>
      <w:r w:rsidRPr="001169B0">
        <w:rPr>
          <w:lang w:val="fr-FR"/>
        </w:rPr>
        <w:tab/>
        <w:t>Les auteurs se réfèrent en outre à la jurisprudence du Comité dont il ressort que la condition de l</w:t>
      </w:r>
      <w:r>
        <w:rPr>
          <w:lang w:val="fr-FR"/>
        </w:rPr>
        <w:t>’</w:t>
      </w:r>
      <w:r w:rsidRPr="001169B0">
        <w:rPr>
          <w:lang w:val="fr-FR"/>
        </w:rPr>
        <w:t>épuisement des recours internes ne saurait rendre une communication irrecevable si l</w:t>
      </w:r>
      <w:r>
        <w:rPr>
          <w:lang w:val="fr-FR"/>
        </w:rPr>
        <w:t>’</w:t>
      </w:r>
      <w:r w:rsidRPr="001169B0">
        <w:rPr>
          <w:lang w:val="fr-FR"/>
        </w:rPr>
        <w:t>auteur est indigent mais n</w:t>
      </w:r>
      <w:r>
        <w:rPr>
          <w:lang w:val="fr-FR"/>
        </w:rPr>
        <w:t>’</w:t>
      </w:r>
      <w:r w:rsidRPr="001169B0">
        <w:rPr>
          <w:lang w:val="fr-FR"/>
        </w:rPr>
        <w:t>a pas accès à l</w:t>
      </w:r>
      <w:r>
        <w:rPr>
          <w:lang w:val="fr-FR"/>
        </w:rPr>
        <w:t>’</w:t>
      </w:r>
      <w:r w:rsidRPr="001169B0">
        <w:rPr>
          <w:lang w:val="fr-FR"/>
        </w:rPr>
        <w:t>aide judiciaire gratuite qui lui permettrait d</w:t>
      </w:r>
      <w:r>
        <w:rPr>
          <w:lang w:val="fr-FR"/>
        </w:rPr>
        <w:t>’</w:t>
      </w:r>
      <w:r w:rsidRPr="001169B0">
        <w:rPr>
          <w:lang w:val="fr-FR"/>
        </w:rPr>
        <w:t>exercer le recours disponible en l</w:t>
      </w:r>
      <w:r>
        <w:rPr>
          <w:lang w:val="fr-FR"/>
        </w:rPr>
        <w:t>’</w:t>
      </w:r>
      <w:r w:rsidRPr="001169B0">
        <w:rPr>
          <w:lang w:val="fr-FR"/>
        </w:rPr>
        <w:t>espèce</w:t>
      </w:r>
      <w:r w:rsidRPr="00E47167">
        <w:rPr>
          <w:rStyle w:val="Appelnotedebasdep"/>
        </w:rPr>
        <w:footnoteReference w:id="26"/>
      </w:r>
      <w:r w:rsidRPr="001169B0">
        <w:rPr>
          <w:lang w:val="fr-FR"/>
        </w:rPr>
        <w:t>. Les auteurs rappellent qu</w:t>
      </w:r>
      <w:r>
        <w:rPr>
          <w:lang w:val="fr-FR"/>
        </w:rPr>
        <w:t>’</w:t>
      </w:r>
      <w:r w:rsidRPr="001169B0">
        <w:rPr>
          <w:lang w:val="fr-FR"/>
        </w:rPr>
        <w:t>ils ont demandé à bénéficier de l</w:t>
      </w:r>
      <w:r>
        <w:rPr>
          <w:lang w:val="fr-FR"/>
        </w:rPr>
        <w:t>’</w:t>
      </w:r>
      <w:r w:rsidRPr="001169B0">
        <w:rPr>
          <w:lang w:val="fr-FR"/>
        </w:rPr>
        <w:t>aide juridictionnelle parce qu</w:t>
      </w:r>
      <w:r>
        <w:rPr>
          <w:lang w:val="fr-FR"/>
        </w:rPr>
        <w:t>’</w:t>
      </w:r>
      <w:r w:rsidRPr="001169B0">
        <w:rPr>
          <w:lang w:val="fr-FR"/>
        </w:rPr>
        <w:t xml:space="preserve">ils remplissaient les conditions de ressources </w:t>
      </w:r>
      <w:r>
        <w:rPr>
          <w:lang w:val="fr-FR"/>
        </w:rPr>
        <w:t>énoncées</w:t>
      </w:r>
      <w:r w:rsidRPr="001169B0">
        <w:rPr>
          <w:lang w:val="fr-FR"/>
        </w:rPr>
        <w:t xml:space="preserve"> à l</w:t>
      </w:r>
      <w:r>
        <w:rPr>
          <w:lang w:val="fr-FR"/>
        </w:rPr>
        <w:t>’</w:t>
      </w:r>
      <w:r w:rsidRPr="001169B0">
        <w:rPr>
          <w:lang w:val="fr-FR"/>
        </w:rPr>
        <w:t>article</w:t>
      </w:r>
      <w:r w:rsidR="00EA5264">
        <w:rPr>
          <w:lang w:val="fr-FR"/>
        </w:rPr>
        <w:t> </w:t>
      </w:r>
      <w:r w:rsidRPr="001169B0">
        <w:rPr>
          <w:lang w:val="fr-FR"/>
        </w:rPr>
        <w:t>325 de la loi sur l</w:t>
      </w:r>
      <w:r>
        <w:rPr>
          <w:lang w:val="fr-FR"/>
        </w:rPr>
        <w:t>’</w:t>
      </w:r>
      <w:r w:rsidRPr="001169B0">
        <w:rPr>
          <w:lang w:val="fr-FR"/>
        </w:rPr>
        <w:t>administration de la justice.</w:t>
      </w:r>
    </w:p>
    <w:p w:rsidR="00E82317" w:rsidRPr="001169B0" w:rsidRDefault="00E82317" w:rsidP="00E82317">
      <w:pPr>
        <w:pStyle w:val="SingleTxtG"/>
        <w:rPr>
          <w:lang w:val="fr-FR"/>
        </w:rPr>
      </w:pPr>
      <w:r w:rsidRPr="001169B0">
        <w:rPr>
          <w:lang w:val="fr-FR"/>
        </w:rPr>
        <w:t>5.4</w:t>
      </w:r>
      <w:r w:rsidRPr="001169B0">
        <w:rPr>
          <w:lang w:val="fr-FR"/>
        </w:rPr>
        <w:tab/>
        <w:t>Le 25</w:t>
      </w:r>
      <w:r w:rsidR="00EA5264">
        <w:rPr>
          <w:lang w:val="fr-FR"/>
        </w:rPr>
        <w:t> </w:t>
      </w:r>
      <w:r w:rsidRPr="001169B0">
        <w:rPr>
          <w:lang w:val="fr-FR"/>
        </w:rPr>
        <w:t>janvier 2016, les auteurs ont fait part de nouveaux commentaires en réponse aux observations complémentaires de l</w:t>
      </w:r>
      <w:r>
        <w:rPr>
          <w:lang w:val="fr-FR"/>
        </w:rPr>
        <w:t>’</w:t>
      </w:r>
      <w:r w:rsidRPr="001169B0">
        <w:rPr>
          <w:lang w:val="fr-FR"/>
        </w:rPr>
        <w:t>État partie sur la recevabilité et le fond datées du 6</w:t>
      </w:r>
      <w:r>
        <w:rPr>
          <w:lang w:val="fr-FR"/>
        </w:rPr>
        <w:t> </w:t>
      </w:r>
      <w:r w:rsidRPr="001169B0">
        <w:rPr>
          <w:lang w:val="fr-FR"/>
        </w:rPr>
        <w:t>novembre 2015.</w:t>
      </w:r>
    </w:p>
    <w:p w:rsidR="00E82317" w:rsidRPr="00EB113E" w:rsidRDefault="00E82317" w:rsidP="00E82317">
      <w:pPr>
        <w:pStyle w:val="SingleTxtG"/>
        <w:rPr>
          <w:lang w:val="fr-FR"/>
        </w:rPr>
      </w:pPr>
      <w:r w:rsidRPr="00EB113E">
        <w:rPr>
          <w:lang w:val="fr-FR"/>
        </w:rPr>
        <w:t>5.5</w:t>
      </w:r>
      <w:r w:rsidRPr="00EB113E">
        <w:rPr>
          <w:lang w:val="fr-FR"/>
        </w:rPr>
        <w:tab/>
        <w:t>Sur la recevabilité, les auteurs répètent leurs commentaires du 6 mai 2015. Ils</w:t>
      </w:r>
      <w:r w:rsidR="00CF08AB" w:rsidRPr="00EB113E">
        <w:rPr>
          <w:lang w:val="fr-FR"/>
        </w:rPr>
        <w:t> </w:t>
      </w:r>
      <w:r w:rsidRPr="00EB113E">
        <w:rPr>
          <w:lang w:val="fr-FR"/>
        </w:rPr>
        <w:t>ajoutent que les affaires auxquelles l’État partie renvoie dans ses observations sur la recevabilité ne sont pas pertinentes pour l’examen de la présente communication. La</w:t>
      </w:r>
      <w:r w:rsidR="00CF08AB" w:rsidRPr="00EB113E">
        <w:rPr>
          <w:lang w:val="fr-FR"/>
        </w:rPr>
        <w:t> </w:t>
      </w:r>
      <w:r w:rsidRPr="00EB113E">
        <w:rPr>
          <w:lang w:val="fr-FR"/>
        </w:rPr>
        <w:t>plupart de ces affaires portent sur la question du manque de ressources financières pour engager une action en justice. En outre, dans l’affaire concernant les auteurs, les autorités ont affirmé, lorsque les auteurs ont cherché à bénéficier d’une aide juridictionnelle, qu’ils n’avaient pas de motifs raisonnables de croire qu’ils pourraient obtenir gain de cause devant les tribunaux. Les</w:t>
      </w:r>
      <w:r w:rsidR="00EB113E" w:rsidRPr="00EB113E">
        <w:rPr>
          <w:lang w:val="fr-FR"/>
        </w:rPr>
        <w:t xml:space="preserve"> </w:t>
      </w:r>
      <w:r w:rsidRPr="00EB113E">
        <w:rPr>
          <w:lang w:val="fr-FR"/>
        </w:rPr>
        <w:t>auteurs affirment que, selon la jurisprudence internationale, c’est à l’État partie qu’il incombe de prouver que le recours disponible a une chance raisonnable d’aboutir</w:t>
      </w:r>
      <w:r w:rsidRPr="00EB113E">
        <w:rPr>
          <w:rStyle w:val="Appelnotedebasdep"/>
        </w:rPr>
        <w:footnoteReference w:id="27"/>
      </w:r>
      <w:r w:rsidRPr="00EB113E">
        <w:rPr>
          <w:lang w:val="fr-FR"/>
        </w:rPr>
        <w:t>. Or, dans la présente affaire, selon les auteurs, l’État partie n’a en rien démontré qu’il existait une chance raisonnable que le contrôle juridictionnel débouche sur une décision favorable aux auteurs.</w:t>
      </w:r>
    </w:p>
    <w:p w:rsidR="00E82317" w:rsidRPr="001169B0" w:rsidRDefault="00E82317" w:rsidP="00E82317">
      <w:pPr>
        <w:pStyle w:val="SingleTxtG"/>
        <w:rPr>
          <w:lang w:val="fr-FR"/>
        </w:rPr>
      </w:pPr>
      <w:r w:rsidRPr="001169B0">
        <w:rPr>
          <w:lang w:val="fr-FR"/>
        </w:rPr>
        <w:t>5.6</w:t>
      </w:r>
      <w:r w:rsidRPr="001169B0">
        <w:rPr>
          <w:lang w:val="fr-FR"/>
        </w:rPr>
        <w:tab/>
        <w:t>Les auteurs contestent également les arguments de l</w:t>
      </w:r>
      <w:r>
        <w:rPr>
          <w:lang w:val="fr-FR"/>
        </w:rPr>
        <w:t>’</w:t>
      </w:r>
      <w:r w:rsidRPr="001169B0">
        <w:rPr>
          <w:lang w:val="fr-FR"/>
        </w:rPr>
        <w:t>État partie concernant la question des frais liés à la saisine des tribunaux internes. L</w:t>
      </w:r>
      <w:r>
        <w:rPr>
          <w:lang w:val="fr-FR"/>
        </w:rPr>
        <w:t>’</w:t>
      </w:r>
      <w:r w:rsidRPr="001169B0">
        <w:rPr>
          <w:lang w:val="fr-FR"/>
        </w:rPr>
        <w:t>État partie prétend que le refus d</w:t>
      </w:r>
      <w:r>
        <w:rPr>
          <w:lang w:val="fr-FR"/>
        </w:rPr>
        <w:t>’</w:t>
      </w:r>
      <w:r w:rsidRPr="001169B0">
        <w:rPr>
          <w:lang w:val="fr-FR"/>
        </w:rPr>
        <w:t>accorder l</w:t>
      </w:r>
      <w:r>
        <w:rPr>
          <w:lang w:val="fr-FR"/>
        </w:rPr>
        <w:t>’</w:t>
      </w:r>
      <w:r w:rsidRPr="001169B0">
        <w:rPr>
          <w:lang w:val="fr-FR"/>
        </w:rPr>
        <w:t>aide juridictionnelle n</w:t>
      </w:r>
      <w:r>
        <w:rPr>
          <w:lang w:val="fr-FR"/>
        </w:rPr>
        <w:t>’</w:t>
      </w:r>
      <w:r w:rsidRPr="001169B0">
        <w:rPr>
          <w:lang w:val="fr-FR"/>
        </w:rPr>
        <w:t>a pas eu d</w:t>
      </w:r>
      <w:r>
        <w:rPr>
          <w:lang w:val="fr-FR"/>
        </w:rPr>
        <w:t>’</w:t>
      </w:r>
      <w:r w:rsidRPr="001169B0">
        <w:rPr>
          <w:lang w:val="fr-FR"/>
        </w:rPr>
        <w:t>incidence sur la procédure car le très faible montant des frais de justice ne saurait empêcher même des personnes indigentes d</w:t>
      </w:r>
      <w:r>
        <w:rPr>
          <w:lang w:val="fr-FR"/>
        </w:rPr>
        <w:t>’</w:t>
      </w:r>
      <w:r w:rsidRPr="001169B0">
        <w:rPr>
          <w:lang w:val="fr-FR"/>
        </w:rPr>
        <w:t>accéder au recours. Les auteurs ne contestent pas que les frais d</w:t>
      </w:r>
      <w:r>
        <w:rPr>
          <w:lang w:val="fr-FR"/>
        </w:rPr>
        <w:t>’</w:t>
      </w:r>
      <w:r w:rsidRPr="001169B0">
        <w:rPr>
          <w:lang w:val="fr-FR"/>
        </w:rPr>
        <w:t>ouverture d</w:t>
      </w:r>
      <w:r>
        <w:rPr>
          <w:lang w:val="fr-FR"/>
        </w:rPr>
        <w:t>’</w:t>
      </w:r>
      <w:r w:rsidRPr="001169B0">
        <w:rPr>
          <w:lang w:val="fr-FR"/>
        </w:rPr>
        <w:t>une procédure judiciaire n</w:t>
      </w:r>
      <w:r>
        <w:rPr>
          <w:lang w:val="fr-FR"/>
        </w:rPr>
        <w:t>’</w:t>
      </w:r>
      <w:r w:rsidRPr="001169B0">
        <w:rPr>
          <w:lang w:val="fr-FR"/>
        </w:rPr>
        <w:t>excèdent pas 500</w:t>
      </w:r>
      <w:r w:rsidR="00CF08AB">
        <w:rPr>
          <w:lang w:val="fr-FR"/>
        </w:rPr>
        <w:t> c</w:t>
      </w:r>
      <w:r w:rsidRPr="001169B0">
        <w:rPr>
          <w:lang w:val="fr-FR"/>
        </w:rPr>
        <w:t>ouronnes danoises, mais il appert des affaires de violation des obligations internationales et de</w:t>
      </w:r>
      <w:r w:rsidR="00CF08AB">
        <w:rPr>
          <w:lang w:val="fr-FR"/>
        </w:rPr>
        <w:t xml:space="preserve"> </w:t>
      </w:r>
      <w:r w:rsidRPr="001169B0">
        <w:rPr>
          <w:lang w:val="fr-FR"/>
        </w:rPr>
        <w:t>la loi sur les étrangers que les dépens, pour la partie perdante, peuvent atteindre 25 000 à 60</w:t>
      </w:r>
      <w:r w:rsidR="00CF08AB">
        <w:rPr>
          <w:lang w:val="fr-FR"/>
        </w:rPr>
        <w:t> </w:t>
      </w:r>
      <w:r w:rsidRPr="001169B0">
        <w:rPr>
          <w:lang w:val="fr-FR"/>
        </w:rPr>
        <w:t>000</w:t>
      </w:r>
      <w:r w:rsidR="00CF08AB">
        <w:rPr>
          <w:lang w:val="fr-FR"/>
        </w:rPr>
        <w:t> </w:t>
      </w:r>
      <w:r w:rsidRPr="001169B0">
        <w:rPr>
          <w:lang w:val="fr-FR"/>
        </w:rPr>
        <w:t>couronnes danoises selon qu</w:t>
      </w:r>
      <w:r>
        <w:rPr>
          <w:lang w:val="fr-FR"/>
        </w:rPr>
        <w:t>’</w:t>
      </w:r>
      <w:r w:rsidRPr="001169B0">
        <w:rPr>
          <w:lang w:val="fr-FR"/>
        </w:rPr>
        <w:t>il est, ou n</w:t>
      </w:r>
      <w:r>
        <w:rPr>
          <w:lang w:val="fr-FR"/>
        </w:rPr>
        <w:t>’</w:t>
      </w:r>
      <w:r w:rsidRPr="001169B0">
        <w:rPr>
          <w:lang w:val="fr-FR"/>
        </w:rPr>
        <w:t>est pas, fait appel du jugement</w:t>
      </w:r>
      <w:r w:rsidRPr="00E47167">
        <w:rPr>
          <w:rStyle w:val="Appelnotedebasdep"/>
        </w:rPr>
        <w:footnoteReference w:id="28"/>
      </w:r>
      <w:r w:rsidRPr="001169B0">
        <w:rPr>
          <w:lang w:val="fr-FR"/>
        </w:rPr>
        <w:t>. Selon les auteurs, l</w:t>
      </w:r>
      <w:r>
        <w:rPr>
          <w:lang w:val="fr-FR"/>
        </w:rPr>
        <w:t>’</w:t>
      </w:r>
      <w:r w:rsidRPr="001169B0">
        <w:rPr>
          <w:lang w:val="fr-FR"/>
        </w:rPr>
        <w:t>État partie ayant déjà estimé qu</w:t>
      </w:r>
      <w:r>
        <w:rPr>
          <w:lang w:val="fr-FR"/>
        </w:rPr>
        <w:t>’</w:t>
      </w:r>
      <w:r w:rsidRPr="001169B0">
        <w:rPr>
          <w:lang w:val="fr-FR"/>
        </w:rPr>
        <w:t>ils n</w:t>
      </w:r>
      <w:r>
        <w:rPr>
          <w:lang w:val="fr-FR"/>
        </w:rPr>
        <w:t>’</w:t>
      </w:r>
      <w:r w:rsidRPr="001169B0">
        <w:rPr>
          <w:lang w:val="fr-FR"/>
        </w:rPr>
        <w:t>avaient aucune chance d</w:t>
      </w:r>
      <w:r>
        <w:rPr>
          <w:lang w:val="fr-FR"/>
        </w:rPr>
        <w:t>’</w:t>
      </w:r>
      <w:r w:rsidRPr="001169B0">
        <w:rPr>
          <w:lang w:val="fr-FR"/>
        </w:rPr>
        <w:t>obtenir gain de cause devant les tribunaux, il est très probable que, dans l</w:t>
      </w:r>
      <w:r>
        <w:rPr>
          <w:lang w:val="fr-FR"/>
        </w:rPr>
        <w:t>’</w:t>
      </w:r>
      <w:r w:rsidRPr="001169B0">
        <w:rPr>
          <w:lang w:val="fr-FR"/>
        </w:rPr>
        <w:t>affaire les concernant, les frais de justice ne se limitent pas à 500</w:t>
      </w:r>
      <w:r w:rsidR="00CF08AB">
        <w:rPr>
          <w:lang w:val="fr-FR"/>
        </w:rPr>
        <w:t> </w:t>
      </w:r>
      <w:r w:rsidRPr="001169B0">
        <w:rPr>
          <w:lang w:val="fr-FR"/>
        </w:rPr>
        <w:t>couronnes mais atteignent un montant compris entre 25 000 et 60</w:t>
      </w:r>
      <w:r w:rsidR="00CF08AB">
        <w:rPr>
          <w:lang w:val="fr-FR"/>
        </w:rPr>
        <w:t> </w:t>
      </w:r>
      <w:r w:rsidRPr="001169B0">
        <w:rPr>
          <w:lang w:val="fr-FR"/>
        </w:rPr>
        <w:t>000</w:t>
      </w:r>
      <w:r w:rsidR="00CF08AB">
        <w:rPr>
          <w:lang w:val="fr-FR"/>
        </w:rPr>
        <w:t> </w:t>
      </w:r>
      <w:r w:rsidRPr="001169B0">
        <w:rPr>
          <w:lang w:val="fr-FR"/>
        </w:rPr>
        <w:t>couronnes danoises</w:t>
      </w:r>
      <w:r w:rsidRPr="00E47167">
        <w:rPr>
          <w:rStyle w:val="Appelnotedebasdep"/>
        </w:rPr>
        <w:footnoteReference w:id="29"/>
      </w:r>
      <w:r w:rsidRPr="001169B0">
        <w:rPr>
          <w:lang w:val="fr-FR"/>
        </w:rPr>
        <w:t>.</w:t>
      </w:r>
    </w:p>
    <w:p w:rsidR="00E82317" w:rsidRPr="001169B0" w:rsidRDefault="00E82317" w:rsidP="00E82317">
      <w:pPr>
        <w:pStyle w:val="SingleTxtG"/>
        <w:rPr>
          <w:lang w:val="fr-FR"/>
        </w:rPr>
      </w:pPr>
      <w:r w:rsidRPr="00B17136">
        <w:rPr>
          <w:spacing w:val="-3"/>
          <w:lang w:val="fr-FR"/>
        </w:rPr>
        <w:t>5.7</w:t>
      </w:r>
      <w:r w:rsidRPr="00B17136">
        <w:rPr>
          <w:spacing w:val="-3"/>
          <w:lang w:val="fr-FR"/>
        </w:rPr>
        <w:tab/>
        <w:t>Sur le fond de la communication, les auteurs réaffirment que l’État partie a violé les droits qu’ils tiennent des articles</w:t>
      </w:r>
      <w:r w:rsidR="00CF08AB" w:rsidRPr="00B17136">
        <w:rPr>
          <w:spacing w:val="-3"/>
          <w:lang w:val="fr-FR"/>
        </w:rPr>
        <w:t> </w:t>
      </w:r>
      <w:r w:rsidRPr="00B17136">
        <w:rPr>
          <w:spacing w:val="-3"/>
          <w:lang w:val="fr-FR"/>
        </w:rPr>
        <w:t>17, 23 et 26 du Pacte. En ce qui concerne les articles</w:t>
      </w:r>
      <w:r w:rsidR="00CF08AB" w:rsidRPr="00B17136">
        <w:rPr>
          <w:spacing w:val="-3"/>
          <w:lang w:val="fr-FR"/>
        </w:rPr>
        <w:t> </w:t>
      </w:r>
      <w:r w:rsidRPr="00B17136">
        <w:rPr>
          <w:spacing w:val="-3"/>
          <w:lang w:val="fr-FR"/>
        </w:rPr>
        <w:t xml:space="preserve">17 et 23, </w:t>
      </w:r>
      <w:r w:rsidRPr="001169B0">
        <w:rPr>
          <w:lang w:val="fr-FR"/>
        </w:rPr>
        <w:t>ils arguent que lorsqu</w:t>
      </w:r>
      <w:r>
        <w:rPr>
          <w:lang w:val="fr-FR"/>
        </w:rPr>
        <w:t>’</w:t>
      </w:r>
      <w:r w:rsidRPr="001169B0">
        <w:rPr>
          <w:lang w:val="fr-FR"/>
        </w:rPr>
        <w:t>un couple est légalement marié</w:t>
      </w:r>
      <w:r>
        <w:rPr>
          <w:lang w:val="fr-FR"/>
        </w:rPr>
        <w:t>,</w:t>
      </w:r>
      <w:r w:rsidRPr="001169B0">
        <w:rPr>
          <w:lang w:val="fr-FR"/>
        </w:rPr>
        <w:t xml:space="preserve"> sa vie familiale devrait être protégée</w:t>
      </w:r>
      <w:r>
        <w:rPr>
          <w:lang w:val="fr-FR"/>
        </w:rPr>
        <w:t>,</w:t>
      </w:r>
      <w:r w:rsidRPr="001169B0">
        <w:rPr>
          <w:lang w:val="fr-FR"/>
        </w:rPr>
        <w:t xml:space="preserve"> </w:t>
      </w:r>
      <w:r w:rsidRPr="001169B0">
        <w:rPr>
          <w:lang w:val="fr-FR"/>
        </w:rPr>
        <w:lastRenderedPageBreak/>
        <w:t>et que l</w:t>
      </w:r>
      <w:r>
        <w:rPr>
          <w:lang w:val="fr-FR"/>
        </w:rPr>
        <w:t>’</w:t>
      </w:r>
      <w:r w:rsidRPr="001169B0">
        <w:rPr>
          <w:lang w:val="fr-FR"/>
        </w:rPr>
        <w:t>existence d</w:t>
      </w:r>
      <w:r>
        <w:rPr>
          <w:lang w:val="fr-FR"/>
        </w:rPr>
        <w:t>’</w:t>
      </w:r>
      <w:r w:rsidRPr="001169B0">
        <w:rPr>
          <w:lang w:val="fr-FR"/>
        </w:rPr>
        <w:t>une vie familiale n</w:t>
      </w:r>
      <w:r>
        <w:rPr>
          <w:lang w:val="fr-FR"/>
        </w:rPr>
        <w:t>’</w:t>
      </w:r>
      <w:r w:rsidRPr="001169B0">
        <w:rPr>
          <w:lang w:val="fr-FR"/>
        </w:rPr>
        <w:t>est pas subordonnée au fait que les époux vivent ensemble</w:t>
      </w:r>
      <w:r w:rsidRPr="00E47167">
        <w:rPr>
          <w:rStyle w:val="Appelnotedebasdep"/>
        </w:rPr>
        <w:footnoteReference w:id="30"/>
      </w:r>
      <w:r w:rsidRPr="001169B0">
        <w:rPr>
          <w:lang w:val="fr-FR"/>
        </w:rPr>
        <w:t>. Les auteurs réaffirment que le fait qu</w:t>
      </w:r>
      <w:r>
        <w:rPr>
          <w:lang w:val="fr-FR"/>
        </w:rPr>
        <w:t>’</w:t>
      </w:r>
      <w:r w:rsidRPr="001169B0">
        <w:rPr>
          <w:lang w:val="fr-FR"/>
        </w:rPr>
        <w:t>ils soient cousins n</w:t>
      </w:r>
      <w:r>
        <w:rPr>
          <w:lang w:val="fr-FR"/>
        </w:rPr>
        <w:t>’</w:t>
      </w:r>
      <w:r w:rsidRPr="001169B0">
        <w:rPr>
          <w:lang w:val="fr-FR"/>
        </w:rPr>
        <w:t xml:space="preserve">est pas le signe </w:t>
      </w:r>
      <w:r>
        <w:rPr>
          <w:lang w:val="fr-FR"/>
        </w:rPr>
        <w:t>que leur</w:t>
      </w:r>
      <w:r w:rsidRPr="001169B0">
        <w:rPr>
          <w:lang w:val="fr-FR"/>
        </w:rPr>
        <w:t xml:space="preserve"> mariage </w:t>
      </w:r>
      <w:r>
        <w:rPr>
          <w:lang w:val="fr-FR"/>
        </w:rPr>
        <w:t>n’était pas</w:t>
      </w:r>
      <w:r w:rsidRPr="001169B0">
        <w:rPr>
          <w:lang w:val="fr-FR"/>
        </w:rPr>
        <w:t xml:space="preserve"> volontaire. Ils affirment en outre que tous les éléments soulevés par l</w:t>
      </w:r>
      <w:r>
        <w:rPr>
          <w:lang w:val="fr-FR"/>
        </w:rPr>
        <w:t>’</w:t>
      </w:r>
      <w:r w:rsidRPr="001169B0">
        <w:rPr>
          <w:lang w:val="fr-FR"/>
        </w:rPr>
        <w:t>État partie, à savoir l</w:t>
      </w:r>
      <w:r>
        <w:rPr>
          <w:lang w:val="fr-FR"/>
        </w:rPr>
        <w:t>’</w:t>
      </w:r>
      <w:r w:rsidRPr="001169B0">
        <w:rPr>
          <w:lang w:val="fr-FR"/>
        </w:rPr>
        <w:t>âge de M</w:t>
      </w:r>
      <w:r w:rsidRPr="00DD2A4B">
        <w:rPr>
          <w:vertAlign w:val="superscript"/>
          <w:lang w:val="fr-FR"/>
        </w:rPr>
        <w:t>me</w:t>
      </w:r>
      <w:r>
        <w:rPr>
          <w:lang w:val="fr-FR"/>
        </w:rPr>
        <w:t> </w:t>
      </w:r>
      <w:r w:rsidRPr="001169B0">
        <w:rPr>
          <w:lang w:val="fr-FR"/>
        </w:rPr>
        <w:t>Aden, le fait que son frère soit à l</w:t>
      </w:r>
      <w:r>
        <w:rPr>
          <w:lang w:val="fr-FR"/>
        </w:rPr>
        <w:t>’</w:t>
      </w:r>
      <w:r w:rsidRPr="001169B0">
        <w:rPr>
          <w:lang w:val="fr-FR"/>
        </w:rPr>
        <w:t>origine de leur relation, le fait que les époux ne se soient rencontrés que trois jours avant le mariage et qu</w:t>
      </w:r>
      <w:r>
        <w:rPr>
          <w:lang w:val="fr-FR"/>
        </w:rPr>
        <w:t>’</w:t>
      </w:r>
      <w:r w:rsidRPr="001169B0">
        <w:rPr>
          <w:lang w:val="fr-FR"/>
        </w:rPr>
        <w:t xml:space="preserve">ils ne vivent pas ensemble, </w:t>
      </w:r>
      <w:r>
        <w:rPr>
          <w:lang w:val="fr-FR"/>
        </w:rPr>
        <w:t xml:space="preserve">qu’ils soient </w:t>
      </w:r>
      <w:r w:rsidRPr="001169B0">
        <w:rPr>
          <w:lang w:val="fr-FR"/>
        </w:rPr>
        <w:t>considérés isolément ou conjointement, ne constituent pas une preuve permettant de qualifier leur relation de mariage forcé.</w:t>
      </w:r>
    </w:p>
    <w:p w:rsidR="00E82317" w:rsidRPr="00EB113E" w:rsidRDefault="00E82317" w:rsidP="00E82317">
      <w:pPr>
        <w:pStyle w:val="SingleTxtG"/>
        <w:rPr>
          <w:lang w:val="fr-FR"/>
        </w:rPr>
      </w:pPr>
      <w:r w:rsidRPr="00EB113E">
        <w:rPr>
          <w:lang w:val="fr-FR"/>
        </w:rPr>
        <w:t>5.8</w:t>
      </w:r>
      <w:r w:rsidRPr="00EB113E">
        <w:rPr>
          <w:lang w:val="fr-FR"/>
        </w:rPr>
        <w:tab/>
        <w:t>Les auteurs font référence à l’article</w:t>
      </w:r>
      <w:r w:rsidR="00CF08AB" w:rsidRPr="00EB113E">
        <w:rPr>
          <w:lang w:val="fr-FR"/>
        </w:rPr>
        <w:t> </w:t>
      </w:r>
      <w:r w:rsidRPr="00EB113E">
        <w:rPr>
          <w:lang w:val="fr-FR"/>
        </w:rPr>
        <w:t>323</w:t>
      </w:r>
      <w:r w:rsidR="00CF08AB" w:rsidRPr="00EB113E">
        <w:rPr>
          <w:lang w:val="fr-FR"/>
        </w:rPr>
        <w:t> </w:t>
      </w:r>
      <w:r w:rsidRPr="00EB113E">
        <w:rPr>
          <w:lang w:val="fr-FR"/>
        </w:rPr>
        <w:t>2) de la loi sur l’administration de la justice et à l’assistance juridique prévue à l’article</w:t>
      </w:r>
      <w:r w:rsidR="00CF08AB" w:rsidRPr="00EB113E">
        <w:rPr>
          <w:lang w:val="fr-FR"/>
        </w:rPr>
        <w:t> </w:t>
      </w:r>
      <w:r w:rsidRPr="00EB113E">
        <w:rPr>
          <w:lang w:val="fr-FR"/>
        </w:rPr>
        <w:t>323</w:t>
      </w:r>
      <w:r w:rsidR="00CF08AB" w:rsidRPr="00EB113E">
        <w:rPr>
          <w:lang w:val="fr-FR"/>
        </w:rPr>
        <w:t> </w:t>
      </w:r>
      <w:r w:rsidRPr="00EB113E">
        <w:rPr>
          <w:lang w:val="fr-FR"/>
        </w:rPr>
        <w:t>1), qui correspond à l’aide financière fournie par le Ministère de la justice pour obtenir une aide juridique sous la forme de conseils dispensés oralement. Cependant, les auteurs signalent que ce dispositif sert habituellement à obtenir des conseils très généraux et élémentaires sur des questions de droit familial ou</w:t>
      </w:r>
      <w:r w:rsidR="00EB113E" w:rsidRPr="00EB113E">
        <w:rPr>
          <w:lang w:val="fr-FR"/>
        </w:rPr>
        <w:t xml:space="preserve"> </w:t>
      </w:r>
      <w:r w:rsidRPr="00EB113E">
        <w:rPr>
          <w:lang w:val="fr-FR"/>
        </w:rPr>
        <w:t>des questions touchant le droit de la consommation ou le droit social. Lorsqu’une personne cherche à obtenir des conseils au sujet d’une procédure judiciaire, elle est invitée à s’adresser à un conseil pour obtenir une assistance juridique spécialisée. Il en va de même lorsque l’on cherche à obtenir des conseils sur des questions touchant des domaines de droit</w:t>
      </w:r>
      <w:r w:rsidR="00EB113E" w:rsidRPr="00EB113E">
        <w:rPr>
          <w:lang w:val="fr-FR"/>
        </w:rPr>
        <w:t xml:space="preserve"> </w:t>
      </w:r>
      <w:r w:rsidRPr="00EB113E">
        <w:rPr>
          <w:lang w:val="fr-FR"/>
        </w:rPr>
        <w:t>spécifiques.</w:t>
      </w:r>
    </w:p>
    <w:p w:rsidR="00E82317" w:rsidRPr="001169B0" w:rsidRDefault="00E82317" w:rsidP="00E82317">
      <w:pPr>
        <w:pStyle w:val="SingleTxtG"/>
        <w:rPr>
          <w:lang w:val="fr-FR"/>
        </w:rPr>
      </w:pPr>
      <w:r w:rsidRPr="001169B0">
        <w:rPr>
          <w:lang w:val="fr-FR"/>
        </w:rPr>
        <w:t>5.9</w:t>
      </w:r>
      <w:r w:rsidRPr="001169B0">
        <w:rPr>
          <w:lang w:val="fr-FR"/>
        </w:rPr>
        <w:tab/>
        <w:t>En ce qui concerne l</w:t>
      </w:r>
      <w:r>
        <w:rPr>
          <w:lang w:val="fr-FR"/>
        </w:rPr>
        <w:t>’</w:t>
      </w:r>
      <w:r w:rsidRPr="001169B0">
        <w:rPr>
          <w:lang w:val="fr-FR"/>
        </w:rPr>
        <w:t>article</w:t>
      </w:r>
      <w:r w:rsidR="00CF08AB">
        <w:rPr>
          <w:lang w:val="fr-FR"/>
        </w:rPr>
        <w:t> </w:t>
      </w:r>
      <w:r w:rsidRPr="001169B0">
        <w:rPr>
          <w:lang w:val="fr-FR"/>
        </w:rPr>
        <w:t>26, les auteurs affirment que la présomption de mariage forcé énoncée à l</w:t>
      </w:r>
      <w:r>
        <w:rPr>
          <w:lang w:val="fr-FR"/>
        </w:rPr>
        <w:t>’</w:t>
      </w:r>
      <w:r w:rsidRPr="001169B0">
        <w:rPr>
          <w:lang w:val="fr-FR"/>
        </w:rPr>
        <w:t>article</w:t>
      </w:r>
      <w:r w:rsidR="00CF08AB">
        <w:rPr>
          <w:lang w:val="fr-FR"/>
        </w:rPr>
        <w:t> </w:t>
      </w:r>
      <w:r w:rsidRPr="001169B0">
        <w:rPr>
          <w:lang w:val="fr-FR"/>
        </w:rPr>
        <w:t>9</w:t>
      </w:r>
      <w:r w:rsidR="00CF08AB">
        <w:rPr>
          <w:lang w:val="fr-FR"/>
        </w:rPr>
        <w:t> </w:t>
      </w:r>
      <w:r w:rsidRPr="001169B0">
        <w:rPr>
          <w:lang w:val="fr-FR"/>
        </w:rPr>
        <w:t>8) de la loi sur les étrangers a des effets disproportionnés sur les conjoints d</w:t>
      </w:r>
      <w:r>
        <w:rPr>
          <w:lang w:val="fr-FR"/>
        </w:rPr>
        <w:t>’</w:t>
      </w:r>
      <w:r w:rsidRPr="001169B0">
        <w:rPr>
          <w:lang w:val="fr-FR"/>
        </w:rPr>
        <w:t>origine ethnique non danoise et de confession musulmane, étant donné que le mariage entre cousins est une pratique plus courante dans la culture musulmane que dans d</w:t>
      </w:r>
      <w:r>
        <w:rPr>
          <w:lang w:val="fr-FR"/>
        </w:rPr>
        <w:t>’</w:t>
      </w:r>
      <w:r w:rsidRPr="001169B0">
        <w:rPr>
          <w:lang w:val="fr-FR"/>
        </w:rPr>
        <w:t>autres cultures. Ils estiment par conséquent que l</w:t>
      </w:r>
      <w:r>
        <w:rPr>
          <w:lang w:val="fr-FR"/>
        </w:rPr>
        <w:t>’</w:t>
      </w:r>
      <w:r w:rsidRPr="001169B0">
        <w:rPr>
          <w:lang w:val="fr-FR"/>
        </w:rPr>
        <w:t>effet de l</w:t>
      </w:r>
      <w:r>
        <w:rPr>
          <w:lang w:val="fr-FR"/>
        </w:rPr>
        <w:t>’</w:t>
      </w:r>
      <w:r w:rsidRPr="001169B0">
        <w:rPr>
          <w:lang w:val="fr-FR"/>
        </w:rPr>
        <w:t>article</w:t>
      </w:r>
      <w:r w:rsidR="00CF08AB">
        <w:rPr>
          <w:lang w:val="fr-FR"/>
        </w:rPr>
        <w:t> </w:t>
      </w:r>
      <w:r w:rsidRPr="001169B0">
        <w:rPr>
          <w:lang w:val="fr-FR"/>
        </w:rPr>
        <w:t>9</w:t>
      </w:r>
      <w:r w:rsidR="00CF08AB">
        <w:rPr>
          <w:lang w:val="fr-FR"/>
        </w:rPr>
        <w:t> </w:t>
      </w:r>
      <w:r w:rsidRPr="001169B0">
        <w:rPr>
          <w:lang w:val="fr-FR"/>
        </w:rPr>
        <w:t xml:space="preserve">8) de la loi sur les étrangers constitue une discrimination indirecte puisque la disposition </w:t>
      </w:r>
      <w:r>
        <w:rPr>
          <w:lang w:val="fr-FR"/>
        </w:rPr>
        <w:t>touche</w:t>
      </w:r>
      <w:r w:rsidRPr="001169B0">
        <w:rPr>
          <w:lang w:val="fr-FR"/>
        </w:rPr>
        <w:t xml:space="preserve"> de façon disproportionnée les demandeurs et les conjoints d</w:t>
      </w:r>
      <w:r>
        <w:rPr>
          <w:lang w:val="fr-FR"/>
        </w:rPr>
        <w:t>’</w:t>
      </w:r>
      <w:r w:rsidRPr="001169B0">
        <w:rPr>
          <w:lang w:val="fr-FR"/>
        </w:rPr>
        <w:t>origine ethnique ou nationale non danoise. Les auteurs disent que l</w:t>
      </w:r>
      <w:r>
        <w:rPr>
          <w:lang w:val="fr-FR"/>
        </w:rPr>
        <w:t>’</w:t>
      </w:r>
      <w:r w:rsidRPr="001169B0">
        <w:rPr>
          <w:lang w:val="fr-FR"/>
        </w:rPr>
        <w:t>État partie n</w:t>
      </w:r>
      <w:r>
        <w:rPr>
          <w:lang w:val="fr-FR"/>
        </w:rPr>
        <w:t>’</w:t>
      </w:r>
      <w:r w:rsidRPr="001169B0">
        <w:rPr>
          <w:lang w:val="fr-FR"/>
        </w:rPr>
        <w:t>a pas fourni de données statistiques pour étayer son argument selon lequel la règle s</w:t>
      </w:r>
      <w:r>
        <w:rPr>
          <w:lang w:val="fr-FR"/>
        </w:rPr>
        <w:t>’</w:t>
      </w:r>
      <w:r w:rsidRPr="001169B0">
        <w:rPr>
          <w:lang w:val="fr-FR"/>
        </w:rPr>
        <w:t xml:space="preserve">applique à toutes les personnes qui demandent un permis de </w:t>
      </w:r>
      <w:r>
        <w:rPr>
          <w:lang w:val="fr-FR"/>
        </w:rPr>
        <w:t>séjour</w:t>
      </w:r>
      <w:r w:rsidRPr="001169B0">
        <w:rPr>
          <w:lang w:val="fr-FR"/>
        </w:rPr>
        <w:t>, et qu</w:t>
      </w:r>
      <w:r>
        <w:rPr>
          <w:lang w:val="fr-FR"/>
        </w:rPr>
        <w:t>’</w:t>
      </w:r>
      <w:r w:rsidRPr="001169B0">
        <w:rPr>
          <w:lang w:val="fr-FR"/>
        </w:rPr>
        <w:t>il n</w:t>
      </w:r>
      <w:r>
        <w:rPr>
          <w:lang w:val="fr-FR"/>
        </w:rPr>
        <w:t>’</w:t>
      </w:r>
      <w:r w:rsidRPr="001169B0">
        <w:rPr>
          <w:lang w:val="fr-FR"/>
        </w:rPr>
        <w:t>a apporté aucune preuve que la règle ait jamais été appliquée dans le cas de demandeurs non musulmans. Selon les auteurs, cette différence de traitement indirecte ne peut donc être justifiée que si la règle de la présomption prévue à l</w:t>
      </w:r>
      <w:r>
        <w:rPr>
          <w:lang w:val="fr-FR"/>
        </w:rPr>
        <w:t>’</w:t>
      </w:r>
      <w:r w:rsidRPr="001169B0">
        <w:rPr>
          <w:lang w:val="fr-FR"/>
        </w:rPr>
        <w:t>article</w:t>
      </w:r>
      <w:r w:rsidR="00CF08AB">
        <w:rPr>
          <w:lang w:val="fr-FR"/>
        </w:rPr>
        <w:t> </w:t>
      </w:r>
      <w:r w:rsidRPr="001169B0">
        <w:rPr>
          <w:lang w:val="fr-FR"/>
        </w:rPr>
        <w:t>9</w:t>
      </w:r>
      <w:r w:rsidR="00CF08AB">
        <w:rPr>
          <w:lang w:val="fr-FR"/>
        </w:rPr>
        <w:t> </w:t>
      </w:r>
      <w:r w:rsidRPr="001169B0">
        <w:rPr>
          <w:lang w:val="fr-FR"/>
        </w:rPr>
        <w:t>8) de la loi sur les étrangers tend à un but légitime et s</w:t>
      </w:r>
      <w:r>
        <w:rPr>
          <w:lang w:val="fr-FR"/>
        </w:rPr>
        <w:t>’</w:t>
      </w:r>
      <w:r w:rsidRPr="001169B0">
        <w:rPr>
          <w:lang w:val="fr-FR"/>
        </w:rPr>
        <w:t xml:space="preserve">il existe un rapport raisonnable de proportionnalité entre les moyens employés et le but </w:t>
      </w:r>
      <w:r>
        <w:rPr>
          <w:lang w:val="fr-FR"/>
        </w:rPr>
        <w:t>recherché</w:t>
      </w:r>
      <w:r w:rsidRPr="00E47167">
        <w:rPr>
          <w:rStyle w:val="Appelnotedebasdep"/>
        </w:rPr>
        <w:footnoteReference w:id="31"/>
      </w:r>
      <w:r w:rsidRPr="001169B0">
        <w:rPr>
          <w:lang w:val="fr-FR"/>
        </w:rPr>
        <w:t>.</w:t>
      </w:r>
    </w:p>
    <w:p w:rsidR="00E82317" w:rsidRPr="001169B0" w:rsidRDefault="00E82317" w:rsidP="00E82317">
      <w:pPr>
        <w:pStyle w:val="SingleTxtG"/>
        <w:rPr>
          <w:lang w:val="fr-FR"/>
        </w:rPr>
      </w:pPr>
      <w:r w:rsidRPr="001169B0">
        <w:rPr>
          <w:lang w:val="fr-FR"/>
        </w:rPr>
        <w:t>5.10</w:t>
      </w:r>
      <w:r w:rsidRPr="001169B0">
        <w:rPr>
          <w:lang w:val="fr-FR"/>
        </w:rPr>
        <w:tab/>
      </w:r>
      <w:r w:rsidRPr="00DD2A4B">
        <w:rPr>
          <w:spacing w:val="-1"/>
          <w:lang w:val="fr-FR"/>
        </w:rPr>
        <w:t>Les auteurs ne contestent pas que l</w:t>
      </w:r>
      <w:r>
        <w:rPr>
          <w:spacing w:val="-1"/>
          <w:lang w:val="fr-FR"/>
        </w:rPr>
        <w:t>’</w:t>
      </w:r>
      <w:r w:rsidRPr="00DD2A4B">
        <w:rPr>
          <w:spacing w:val="-1"/>
          <w:lang w:val="fr-FR"/>
        </w:rPr>
        <w:t>article</w:t>
      </w:r>
      <w:r w:rsidR="00CF08AB">
        <w:rPr>
          <w:spacing w:val="-1"/>
          <w:lang w:val="fr-FR"/>
        </w:rPr>
        <w:t> </w:t>
      </w:r>
      <w:r w:rsidRPr="00DD2A4B">
        <w:rPr>
          <w:spacing w:val="-1"/>
          <w:lang w:val="fr-FR"/>
        </w:rPr>
        <w:t>9</w:t>
      </w:r>
      <w:r w:rsidR="00CF08AB">
        <w:rPr>
          <w:spacing w:val="-1"/>
          <w:lang w:val="fr-FR"/>
        </w:rPr>
        <w:t> </w:t>
      </w:r>
      <w:r w:rsidRPr="00DD2A4B">
        <w:rPr>
          <w:spacing w:val="-1"/>
          <w:lang w:val="fr-FR"/>
        </w:rPr>
        <w:t>8) de la loi sur les étrangers poursuive le but légitime de veiller à ce qu</w:t>
      </w:r>
      <w:r>
        <w:rPr>
          <w:spacing w:val="-1"/>
          <w:lang w:val="fr-FR"/>
        </w:rPr>
        <w:t>’</w:t>
      </w:r>
      <w:r w:rsidRPr="00DD2A4B">
        <w:rPr>
          <w:spacing w:val="-1"/>
          <w:lang w:val="fr-FR"/>
        </w:rPr>
        <w:t xml:space="preserve">un mariage forcé ne puisse pas servir à obtenir un permis de </w:t>
      </w:r>
      <w:r>
        <w:rPr>
          <w:spacing w:val="-1"/>
          <w:lang w:val="fr-FR"/>
        </w:rPr>
        <w:t>séjour</w:t>
      </w:r>
      <w:r w:rsidRPr="00DD2A4B">
        <w:rPr>
          <w:spacing w:val="-1"/>
          <w:lang w:val="fr-FR"/>
        </w:rPr>
        <w:t>.</w:t>
      </w:r>
      <w:r>
        <w:rPr>
          <w:spacing w:val="-1"/>
          <w:lang w:val="fr-FR"/>
        </w:rPr>
        <w:t xml:space="preserve"> I</w:t>
      </w:r>
      <w:r w:rsidRPr="00DD2A4B">
        <w:rPr>
          <w:spacing w:val="-1"/>
          <w:lang w:val="fr-FR"/>
        </w:rPr>
        <w:t xml:space="preserve">ls contestent </w:t>
      </w:r>
      <w:r>
        <w:rPr>
          <w:spacing w:val="-1"/>
          <w:lang w:val="fr-FR"/>
        </w:rPr>
        <w:t xml:space="preserve">en revanche l’utilisation du </w:t>
      </w:r>
      <w:r w:rsidRPr="00DD2A4B">
        <w:rPr>
          <w:spacing w:val="-1"/>
          <w:lang w:val="fr-FR"/>
        </w:rPr>
        <w:t>lien de parenté entre les époux</w:t>
      </w:r>
      <w:r>
        <w:rPr>
          <w:spacing w:val="-1"/>
          <w:lang w:val="fr-FR"/>
        </w:rPr>
        <w:t xml:space="preserve"> comme seul élément déterminant</w:t>
      </w:r>
      <w:r w:rsidRPr="00DD2A4B">
        <w:rPr>
          <w:spacing w:val="-1"/>
          <w:lang w:val="fr-FR"/>
        </w:rPr>
        <w:t xml:space="preserve"> et estiment </w:t>
      </w:r>
      <w:r>
        <w:rPr>
          <w:spacing w:val="-1"/>
          <w:lang w:val="fr-FR"/>
        </w:rPr>
        <w:t>que cette disposition</w:t>
      </w:r>
      <w:r w:rsidRPr="00DD2A4B">
        <w:rPr>
          <w:spacing w:val="-1"/>
          <w:lang w:val="fr-FR"/>
        </w:rPr>
        <w:t xml:space="preserve"> n</w:t>
      </w:r>
      <w:r>
        <w:rPr>
          <w:spacing w:val="-1"/>
          <w:lang w:val="fr-FR"/>
        </w:rPr>
        <w:t>’</w:t>
      </w:r>
      <w:r w:rsidRPr="00DD2A4B">
        <w:rPr>
          <w:spacing w:val="-1"/>
          <w:lang w:val="fr-FR"/>
        </w:rPr>
        <w:t>assure pas un juste équilibre. Il est également souligné que des moyens moins intrusifs pourraient être employés pour atteindre l</w:t>
      </w:r>
      <w:r>
        <w:rPr>
          <w:spacing w:val="-1"/>
          <w:lang w:val="fr-FR"/>
        </w:rPr>
        <w:t>’</w:t>
      </w:r>
      <w:r w:rsidRPr="00DD2A4B">
        <w:rPr>
          <w:spacing w:val="-1"/>
          <w:lang w:val="fr-FR"/>
        </w:rPr>
        <w:t>objectif d</w:t>
      </w:r>
      <w:r>
        <w:rPr>
          <w:spacing w:val="-1"/>
          <w:lang w:val="fr-FR"/>
        </w:rPr>
        <w:t>’</w:t>
      </w:r>
      <w:r w:rsidRPr="00DD2A4B">
        <w:rPr>
          <w:spacing w:val="-1"/>
          <w:lang w:val="fr-FR"/>
        </w:rPr>
        <w:t xml:space="preserve">empêcher que des permis de </w:t>
      </w:r>
      <w:r>
        <w:rPr>
          <w:spacing w:val="-1"/>
          <w:lang w:val="fr-FR"/>
        </w:rPr>
        <w:t>séjour</w:t>
      </w:r>
      <w:r w:rsidRPr="00DD2A4B">
        <w:rPr>
          <w:spacing w:val="-1"/>
          <w:lang w:val="fr-FR"/>
        </w:rPr>
        <w:t xml:space="preserve"> soient accordés sur la base de mariages forcés</w:t>
      </w:r>
      <w:r w:rsidRPr="00E47167">
        <w:rPr>
          <w:rStyle w:val="Appelnotedebasdep"/>
        </w:rPr>
        <w:footnoteReference w:id="32"/>
      </w:r>
      <w:r w:rsidRPr="00DD2A4B">
        <w:rPr>
          <w:spacing w:val="-1"/>
          <w:lang w:val="fr-FR"/>
        </w:rPr>
        <w:t>.</w:t>
      </w:r>
      <w:r>
        <w:rPr>
          <w:spacing w:val="-1"/>
          <w:lang w:val="fr-FR"/>
        </w:rPr>
        <w:t xml:space="preserve"> </w:t>
      </w:r>
      <w:r w:rsidRPr="00DD2A4B">
        <w:rPr>
          <w:spacing w:val="-1"/>
          <w:lang w:val="fr-FR"/>
        </w:rPr>
        <w:t>Les auteurs concluent que l</w:t>
      </w:r>
      <w:r>
        <w:rPr>
          <w:spacing w:val="-1"/>
          <w:lang w:val="fr-FR"/>
        </w:rPr>
        <w:t>’</w:t>
      </w:r>
      <w:r w:rsidRPr="00DD2A4B">
        <w:rPr>
          <w:spacing w:val="-1"/>
          <w:lang w:val="fr-FR"/>
        </w:rPr>
        <w:t>application de l</w:t>
      </w:r>
      <w:r>
        <w:rPr>
          <w:spacing w:val="-1"/>
          <w:lang w:val="fr-FR"/>
        </w:rPr>
        <w:t>’</w:t>
      </w:r>
      <w:r w:rsidRPr="00DD2A4B">
        <w:rPr>
          <w:spacing w:val="-1"/>
          <w:lang w:val="fr-FR"/>
        </w:rPr>
        <w:t>article</w:t>
      </w:r>
      <w:r w:rsidR="00CF08AB">
        <w:rPr>
          <w:spacing w:val="-1"/>
          <w:lang w:val="fr-FR"/>
        </w:rPr>
        <w:t> </w:t>
      </w:r>
      <w:r w:rsidRPr="00DD2A4B">
        <w:rPr>
          <w:spacing w:val="-1"/>
          <w:lang w:val="fr-FR"/>
        </w:rPr>
        <w:t>9</w:t>
      </w:r>
      <w:r w:rsidR="00CF08AB">
        <w:rPr>
          <w:spacing w:val="-1"/>
          <w:lang w:val="fr-FR"/>
        </w:rPr>
        <w:t> </w:t>
      </w:r>
      <w:r w:rsidRPr="00DD2A4B">
        <w:rPr>
          <w:spacing w:val="-1"/>
          <w:lang w:val="fr-FR"/>
        </w:rPr>
        <w:t>8) de la loi sur les étrangers à leur mariage, qui a entraîné le rejet de leur demande de regroupement familial, constitue une discrimination indirecte contraire à l</w:t>
      </w:r>
      <w:r>
        <w:rPr>
          <w:spacing w:val="-1"/>
          <w:lang w:val="fr-FR"/>
        </w:rPr>
        <w:t>’</w:t>
      </w:r>
      <w:r w:rsidRPr="00DD2A4B">
        <w:rPr>
          <w:spacing w:val="-1"/>
          <w:lang w:val="fr-FR"/>
        </w:rPr>
        <w:t>article</w:t>
      </w:r>
      <w:r w:rsidR="00CF08AB">
        <w:rPr>
          <w:spacing w:val="-1"/>
          <w:lang w:val="fr-FR"/>
        </w:rPr>
        <w:t> </w:t>
      </w:r>
      <w:r w:rsidRPr="00DD2A4B">
        <w:rPr>
          <w:spacing w:val="-1"/>
          <w:lang w:val="fr-FR"/>
        </w:rPr>
        <w:t>26 du Pacte.</w:t>
      </w:r>
    </w:p>
    <w:p w:rsidR="00E82317" w:rsidRPr="001169B0" w:rsidRDefault="00E82317" w:rsidP="00CF08AB">
      <w:pPr>
        <w:pStyle w:val="H23G"/>
        <w:rPr>
          <w:lang w:val="fr-FR"/>
        </w:rPr>
      </w:pPr>
      <w:r w:rsidRPr="001169B0">
        <w:rPr>
          <w:lang w:val="fr-FR"/>
        </w:rPr>
        <w:tab/>
      </w:r>
      <w:r w:rsidRPr="001169B0">
        <w:rPr>
          <w:lang w:val="fr-FR"/>
        </w:rPr>
        <w:tab/>
        <w:t>Observations complémentaires de l</w:t>
      </w:r>
      <w:r>
        <w:rPr>
          <w:lang w:val="fr-FR"/>
        </w:rPr>
        <w:t>’</w:t>
      </w:r>
      <w:r w:rsidRPr="001169B0">
        <w:rPr>
          <w:lang w:val="fr-FR"/>
        </w:rPr>
        <w:t xml:space="preserve">État partie </w:t>
      </w:r>
    </w:p>
    <w:p w:rsidR="00E82317" w:rsidRPr="00CF08AB" w:rsidRDefault="00E82317" w:rsidP="00E82317">
      <w:pPr>
        <w:pStyle w:val="SingleTxtG"/>
        <w:rPr>
          <w:spacing w:val="-1"/>
          <w:lang w:val="fr-FR"/>
        </w:rPr>
      </w:pPr>
      <w:r w:rsidRPr="001169B0">
        <w:rPr>
          <w:lang w:val="fr-FR"/>
        </w:rPr>
        <w:t>6.1</w:t>
      </w:r>
      <w:r w:rsidRPr="001169B0">
        <w:rPr>
          <w:lang w:val="fr-FR"/>
        </w:rPr>
        <w:tab/>
        <w:t>Le 27</w:t>
      </w:r>
      <w:r w:rsidR="00CF08AB">
        <w:rPr>
          <w:lang w:val="fr-FR"/>
        </w:rPr>
        <w:t> </w:t>
      </w:r>
      <w:r w:rsidRPr="001169B0">
        <w:rPr>
          <w:lang w:val="fr-FR"/>
        </w:rPr>
        <w:t>juin 2016, l</w:t>
      </w:r>
      <w:r>
        <w:rPr>
          <w:lang w:val="fr-FR"/>
        </w:rPr>
        <w:t>’</w:t>
      </w:r>
      <w:r w:rsidRPr="001169B0">
        <w:rPr>
          <w:lang w:val="fr-FR"/>
        </w:rPr>
        <w:t>État partie a soumis des observations complémentaires en réponse aux commentaires des auteurs. Il indique que le fait que l</w:t>
      </w:r>
      <w:r>
        <w:rPr>
          <w:lang w:val="fr-FR"/>
        </w:rPr>
        <w:t>’</w:t>
      </w:r>
      <w:r w:rsidRPr="001169B0">
        <w:rPr>
          <w:lang w:val="fr-FR"/>
        </w:rPr>
        <w:t>octroi d</w:t>
      </w:r>
      <w:r>
        <w:rPr>
          <w:lang w:val="fr-FR"/>
        </w:rPr>
        <w:t>’</w:t>
      </w:r>
      <w:r w:rsidRPr="001169B0">
        <w:rPr>
          <w:lang w:val="fr-FR"/>
        </w:rPr>
        <w:t>une aide juridictionnelle soit conditionné à l</w:t>
      </w:r>
      <w:r>
        <w:rPr>
          <w:lang w:val="fr-FR"/>
        </w:rPr>
        <w:t>’</w:t>
      </w:r>
      <w:r w:rsidRPr="001169B0">
        <w:rPr>
          <w:lang w:val="fr-FR"/>
        </w:rPr>
        <w:t>évaluation des chances de succès d</w:t>
      </w:r>
      <w:r>
        <w:rPr>
          <w:lang w:val="fr-FR"/>
        </w:rPr>
        <w:t>’</w:t>
      </w:r>
      <w:r w:rsidRPr="001169B0">
        <w:rPr>
          <w:lang w:val="fr-FR"/>
        </w:rPr>
        <w:t>une affaire ne signifie pas qu</w:t>
      </w:r>
      <w:r>
        <w:rPr>
          <w:lang w:val="fr-FR"/>
        </w:rPr>
        <w:t>’</w:t>
      </w:r>
      <w:r w:rsidRPr="001169B0">
        <w:rPr>
          <w:lang w:val="fr-FR"/>
        </w:rPr>
        <w:t>il a été statué sur l</w:t>
      </w:r>
      <w:r>
        <w:rPr>
          <w:lang w:val="fr-FR"/>
        </w:rPr>
        <w:t>’</w:t>
      </w:r>
      <w:r w:rsidRPr="001169B0">
        <w:rPr>
          <w:lang w:val="fr-FR"/>
        </w:rPr>
        <w:t xml:space="preserve">affaire ou que les tribunaux </w:t>
      </w:r>
      <w:r>
        <w:rPr>
          <w:lang w:val="fr-FR"/>
        </w:rPr>
        <w:t>sont</w:t>
      </w:r>
      <w:r w:rsidRPr="001169B0">
        <w:rPr>
          <w:lang w:val="fr-FR"/>
        </w:rPr>
        <w:t xml:space="preserve"> liés par l</w:t>
      </w:r>
      <w:r>
        <w:rPr>
          <w:lang w:val="fr-FR"/>
        </w:rPr>
        <w:t>’</w:t>
      </w:r>
      <w:r w:rsidRPr="001169B0">
        <w:rPr>
          <w:lang w:val="fr-FR"/>
        </w:rPr>
        <w:t>évaluation de la viabilité de l</w:t>
      </w:r>
      <w:r>
        <w:rPr>
          <w:lang w:val="fr-FR"/>
        </w:rPr>
        <w:t>’</w:t>
      </w:r>
      <w:r w:rsidRPr="001169B0">
        <w:rPr>
          <w:lang w:val="fr-FR"/>
        </w:rPr>
        <w:t>affaire qui est faite pour prendre la décision administrative relative à l</w:t>
      </w:r>
      <w:r>
        <w:rPr>
          <w:lang w:val="fr-FR"/>
        </w:rPr>
        <w:t>’</w:t>
      </w:r>
      <w:r w:rsidRPr="001169B0">
        <w:rPr>
          <w:lang w:val="fr-FR"/>
        </w:rPr>
        <w:t xml:space="preserve">aide juridictionnelle. </w:t>
      </w:r>
      <w:r w:rsidRPr="00CF08AB">
        <w:rPr>
          <w:spacing w:val="-1"/>
          <w:lang w:val="fr-FR"/>
        </w:rPr>
        <w:t xml:space="preserve">Concernant l’argument des auteurs selon lequel l’État partie est tenu de prouver que le recours disponible dans leur affaire avait des chances raisonnables de succès, l’État partie </w:t>
      </w:r>
      <w:r w:rsidRPr="00CF08AB">
        <w:rPr>
          <w:spacing w:val="-1"/>
          <w:lang w:val="fr-FR"/>
        </w:rPr>
        <w:lastRenderedPageBreak/>
        <w:t>fait valoir que les décisions par lesquelles les autorités chargées des questions d’immigration ont rejeté des demandes de regroupement familial en se fondant sur l’article</w:t>
      </w:r>
      <w:r w:rsidR="00CF08AB" w:rsidRPr="00CF08AB">
        <w:rPr>
          <w:spacing w:val="-1"/>
          <w:lang w:val="fr-FR"/>
        </w:rPr>
        <w:t> </w:t>
      </w:r>
      <w:r w:rsidRPr="00CF08AB">
        <w:rPr>
          <w:spacing w:val="-1"/>
          <w:lang w:val="fr-FR"/>
        </w:rPr>
        <w:t>9</w:t>
      </w:r>
      <w:r w:rsidR="00CF08AB" w:rsidRPr="00CF08AB">
        <w:rPr>
          <w:spacing w:val="-1"/>
          <w:lang w:val="fr-FR"/>
        </w:rPr>
        <w:t> </w:t>
      </w:r>
      <w:r w:rsidRPr="00CF08AB">
        <w:rPr>
          <w:spacing w:val="-1"/>
          <w:lang w:val="fr-FR"/>
        </w:rPr>
        <w:t>8) de la loi sur les étrangers ont été contrôlées par les tribunaux, qui ont mis de côté la décision administrative et réalisé leur propre évaluation des déclarations des parties et des informations fournies, à la lumière des obligations internationales du Danemark. En</w:t>
      </w:r>
      <w:r w:rsidR="00CF08AB" w:rsidRPr="00CF08AB">
        <w:rPr>
          <w:spacing w:val="-1"/>
          <w:lang w:val="fr-FR"/>
        </w:rPr>
        <w:t> </w:t>
      </w:r>
      <w:r w:rsidRPr="00CF08AB">
        <w:rPr>
          <w:spacing w:val="-1"/>
          <w:lang w:val="fr-FR"/>
        </w:rPr>
        <w:t xml:space="preserve">conséquence, l’État partie considère qu’il a suffisamment établi les faits suivants : les auteurs ont eu la possibilité de faire examiner par les tribunaux les décisions de la Commission des recours en matière d’immigration rejetant leurs demandes de regroupement </w:t>
      </w:r>
      <w:r w:rsidRPr="00CF08AB">
        <w:rPr>
          <w:lang w:val="fr-FR"/>
        </w:rPr>
        <w:t>familial ; les juridictions internes avaient les moyens d’assurer aux auteurs réparation de leurs griefs ; et cette possibilité leur offrait des chances raisonnables de succès.</w:t>
      </w:r>
    </w:p>
    <w:p w:rsidR="00E82317" w:rsidRPr="001169B0" w:rsidRDefault="00E82317" w:rsidP="00E82317">
      <w:pPr>
        <w:pStyle w:val="SingleTxtG"/>
        <w:rPr>
          <w:lang w:val="fr-FR"/>
        </w:rPr>
      </w:pPr>
      <w:r w:rsidRPr="001169B0">
        <w:rPr>
          <w:lang w:val="fr-FR"/>
        </w:rPr>
        <w:t>6.2</w:t>
      </w:r>
      <w:r w:rsidRPr="001169B0">
        <w:rPr>
          <w:lang w:val="fr-FR"/>
        </w:rPr>
        <w:tab/>
        <w:t>En ce qui concerne l</w:t>
      </w:r>
      <w:r>
        <w:rPr>
          <w:lang w:val="fr-FR"/>
        </w:rPr>
        <w:t>’</w:t>
      </w:r>
      <w:r w:rsidRPr="001169B0">
        <w:rPr>
          <w:lang w:val="fr-FR"/>
        </w:rPr>
        <w:t>argument des auteurs relatif aux frais de justice à supporter en cas d</w:t>
      </w:r>
      <w:r>
        <w:rPr>
          <w:lang w:val="fr-FR"/>
        </w:rPr>
        <w:t>’</w:t>
      </w:r>
      <w:r w:rsidRPr="001169B0">
        <w:rPr>
          <w:lang w:val="fr-FR"/>
        </w:rPr>
        <w:t>échec de leur action en justice, l</w:t>
      </w:r>
      <w:r>
        <w:rPr>
          <w:lang w:val="fr-FR"/>
        </w:rPr>
        <w:t>’</w:t>
      </w:r>
      <w:r w:rsidRPr="001169B0">
        <w:rPr>
          <w:lang w:val="fr-FR"/>
        </w:rPr>
        <w:t>État partie fait valoir que les règles applicables garantissent un partage raisonnable des frais de justice</w:t>
      </w:r>
      <w:r w:rsidRPr="00E47167">
        <w:rPr>
          <w:rStyle w:val="Appelnotedebasdep"/>
        </w:rPr>
        <w:footnoteReference w:id="33"/>
      </w:r>
      <w:r w:rsidRPr="001169B0">
        <w:rPr>
          <w:lang w:val="fr-FR"/>
        </w:rPr>
        <w:t>. L</w:t>
      </w:r>
      <w:r>
        <w:rPr>
          <w:lang w:val="fr-FR"/>
        </w:rPr>
        <w:t>’</w:t>
      </w:r>
      <w:r w:rsidRPr="001169B0">
        <w:rPr>
          <w:lang w:val="fr-FR"/>
        </w:rPr>
        <w:t xml:space="preserve">État partie </w:t>
      </w:r>
      <w:r>
        <w:rPr>
          <w:lang w:val="fr-FR"/>
        </w:rPr>
        <w:t xml:space="preserve">fait valoir également </w:t>
      </w:r>
      <w:r w:rsidRPr="001169B0">
        <w:rPr>
          <w:lang w:val="fr-FR"/>
        </w:rPr>
        <w:t>que le fait que les auteurs puissent être condamnés aux dépens s</w:t>
      </w:r>
      <w:r>
        <w:rPr>
          <w:lang w:val="fr-FR"/>
        </w:rPr>
        <w:t>’</w:t>
      </w:r>
      <w:r w:rsidRPr="001169B0">
        <w:rPr>
          <w:lang w:val="fr-FR"/>
        </w:rPr>
        <w:t>ils sont déboutés ne les empêche pas de saisir les tribunaux. L</w:t>
      </w:r>
      <w:r>
        <w:rPr>
          <w:lang w:val="fr-FR"/>
        </w:rPr>
        <w:t>’</w:t>
      </w:r>
      <w:r w:rsidRPr="001169B0">
        <w:rPr>
          <w:lang w:val="fr-FR"/>
        </w:rPr>
        <w:t>État partie rappelle qu</w:t>
      </w:r>
      <w:r>
        <w:rPr>
          <w:lang w:val="fr-FR"/>
        </w:rPr>
        <w:t>’</w:t>
      </w:r>
      <w:r w:rsidRPr="001169B0">
        <w:rPr>
          <w:lang w:val="fr-FR"/>
        </w:rPr>
        <w:t>il n</w:t>
      </w:r>
      <w:r>
        <w:rPr>
          <w:lang w:val="fr-FR"/>
        </w:rPr>
        <w:t>’</w:t>
      </w:r>
      <w:r w:rsidRPr="001169B0">
        <w:rPr>
          <w:lang w:val="fr-FR"/>
        </w:rPr>
        <w:t>y a pas d</w:t>
      </w:r>
      <w:r>
        <w:rPr>
          <w:lang w:val="fr-FR"/>
        </w:rPr>
        <w:t>’</w:t>
      </w:r>
      <w:r w:rsidRPr="001169B0">
        <w:rPr>
          <w:lang w:val="fr-FR"/>
        </w:rPr>
        <w:t>obligation légale à être représenté dans les affaires de regroupement familial ni lorsque le tribunal examine si le refus du regroupement familial est conforme aux obligations internationales du Danemark. L</w:t>
      </w:r>
      <w:r>
        <w:rPr>
          <w:lang w:val="fr-FR"/>
        </w:rPr>
        <w:t>’</w:t>
      </w:r>
      <w:r w:rsidRPr="001169B0">
        <w:rPr>
          <w:lang w:val="fr-FR"/>
        </w:rPr>
        <w:t>État partie souligne aussi qu</w:t>
      </w:r>
      <w:r>
        <w:rPr>
          <w:lang w:val="fr-FR"/>
        </w:rPr>
        <w:t>’</w:t>
      </w:r>
      <w:r w:rsidRPr="001169B0">
        <w:rPr>
          <w:lang w:val="fr-FR"/>
        </w:rPr>
        <w:t>il n</w:t>
      </w:r>
      <w:r>
        <w:rPr>
          <w:lang w:val="fr-FR"/>
        </w:rPr>
        <w:t>’</w:t>
      </w:r>
      <w:r w:rsidRPr="001169B0">
        <w:rPr>
          <w:lang w:val="fr-FR"/>
        </w:rPr>
        <w:t>existe pas d</w:t>
      </w:r>
      <w:r>
        <w:rPr>
          <w:lang w:val="fr-FR"/>
        </w:rPr>
        <w:t>’</w:t>
      </w:r>
      <w:r w:rsidRPr="001169B0">
        <w:rPr>
          <w:lang w:val="fr-FR"/>
        </w:rPr>
        <w:t>obligation d</w:t>
      </w:r>
      <w:r>
        <w:rPr>
          <w:lang w:val="fr-FR"/>
        </w:rPr>
        <w:t>’</w:t>
      </w:r>
      <w:r w:rsidRPr="001169B0">
        <w:rPr>
          <w:lang w:val="fr-FR"/>
        </w:rPr>
        <w:t xml:space="preserve">épuiser des recours qui sont </w:t>
      </w:r>
      <w:r>
        <w:rPr>
          <w:lang w:val="fr-FR"/>
        </w:rPr>
        <w:t xml:space="preserve">vains </w:t>
      </w:r>
      <w:r w:rsidRPr="001169B0">
        <w:rPr>
          <w:lang w:val="fr-FR"/>
        </w:rPr>
        <w:t>parce qu</w:t>
      </w:r>
      <w:r>
        <w:rPr>
          <w:lang w:val="fr-FR"/>
        </w:rPr>
        <w:t>’</w:t>
      </w:r>
      <w:r w:rsidRPr="001169B0">
        <w:rPr>
          <w:lang w:val="fr-FR"/>
        </w:rPr>
        <w:t>ils n</w:t>
      </w:r>
      <w:r>
        <w:rPr>
          <w:lang w:val="fr-FR"/>
        </w:rPr>
        <w:t>’</w:t>
      </w:r>
      <w:r w:rsidRPr="001169B0">
        <w:rPr>
          <w:lang w:val="fr-FR"/>
        </w:rPr>
        <w:t>ont objectivement aucune chance d</w:t>
      </w:r>
      <w:r>
        <w:rPr>
          <w:lang w:val="fr-FR"/>
        </w:rPr>
        <w:t>’</w:t>
      </w:r>
      <w:r w:rsidRPr="001169B0">
        <w:rPr>
          <w:lang w:val="fr-FR"/>
        </w:rPr>
        <w:t>aboutir. Cependant, il ajoute que le fait que des auteurs croient de manière subjective qu</w:t>
      </w:r>
      <w:r>
        <w:rPr>
          <w:lang w:val="fr-FR"/>
        </w:rPr>
        <w:t>’</w:t>
      </w:r>
      <w:r w:rsidRPr="001169B0">
        <w:rPr>
          <w:lang w:val="fr-FR"/>
        </w:rPr>
        <w:t xml:space="preserve">un recours interne est </w:t>
      </w:r>
      <w:r>
        <w:rPr>
          <w:lang w:val="fr-FR"/>
        </w:rPr>
        <w:t xml:space="preserve">vain </w:t>
      </w:r>
      <w:r w:rsidRPr="001169B0">
        <w:rPr>
          <w:lang w:val="fr-FR"/>
        </w:rPr>
        <w:t>ne les dispense pas de l</w:t>
      </w:r>
      <w:r>
        <w:rPr>
          <w:lang w:val="fr-FR"/>
        </w:rPr>
        <w:t>’</w:t>
      </w:r>
      <w:r w:rsidRPr="001169B0">
        <w:rPr>
          <w:lang w:val="fr-FR"/>
        </w:rPr>
        <w:t>obligation de l</w:t>
      </w:r>
      <w:r>
        <w:rPr>
          <w:lang w:val="fr-FR"/>
        </w:rPr>
        <w:t>’</w:t>
      </w:r>
      <w:r w:rsidRPr="001169B0">
        <w:rPr>
          <w:lang w:val="fr-FR"/>
        </w:rPr>
        <w:t>exercer</w:t>
      </w:r>
      <w:r w:rsidRPr="00E47167">
        <w:rPr>
          <w:rStyle w:val="Appelnotedebasdep"/>
        </w:rPr>
        <w:footnoteReference w:id="34"/>
      </w:r>
      <w:r w:rsidRPr="001169B0">
        <w:rPr>
          <w:lang w:val="fr-FR"/>
        </w:rPr>
        <w:t>.</w:t>
      </w:r>
    </w:p>
    <w:p w:rsidR="00E82317" w:rsidRPr="00CF08AB" w:rsidRDefault="00E82317" w:rsidP="00E82317">
      <w:pPr>
        <w:pStyle w:val="SingleTxtG"/>
        <w:rPr>
          <w:spacing w:val="-2"/>
          <w:lang w:val="fr-FR"/>
        </w:rPr>
      </w:pPr>
      <w:r w:rsidRPr="001169B0">
        <w:rPr>
          <w:lang w:val="fr-FR"/>
        </w:rPr>
        <w:t>6.3</w:t>
      </w:r>
      <w:r w:rsidRPr="001169B0">
        <w:rPr>
          <w:lang w:val="fr-FR"/>
        </w:rPr>
        <w:tab/>
        <w:t>L</w:t>
      </w:r>
      <w:r>
        <w:rPr>
          <w:lang w:val="fr-FR"/>
        </w:rPr>
        <w:t>’</w:t>
      </w:r>
      <w:r w:rsidRPr="001169B0">
        <w:rPr>
          <w:lang w:val="fr-FR"/>
        </w:rPr>
        <w:t>État partie maintient également qu</w:t>
      </w:r>
      <w:r>
        <w:rPr>
          <w:lang w:val="fr-FR"/>
        </w:rPr>
        <w:t>’</w:t>
      </w:r>
      <w:r w:rsidRPr="001169B0">
        <w:rPr>
          <w:lang w:val="fr-FR"/>
        </w:rPr>
        <w:t>il n</w:t>
      </w:r>
      <w:r>
        <w:rPr>
          <w:lang w:val="fr-FR"/>
        </w:rPr>
        <w:t>’</w:t>
      </w:r>
      <w:r w:rsidRPr="001169B0">
        <w:rPr>
          <w:lang w:val="fr-FR"/>
        </w:rPr>
        <w:t>y a pas de violation des articles</w:t>
      </w:r>
      <w:r w:rsidR="00CF08AB">
        <w:rPr>
          <w:lang w:val="fr-FR"/>
        </w:rPr>
        <w:t> </w:t>
      </w:r>
      <w:r w:rsidRPr="001169B0">
        <w:rPr>
          <w:lang w:val="fr-FR"/>
        </w:rPr>
        <w:t>17 et 23 du Pacte, les auteurs n</w:t>
      </w:r>
      <w:r>
        <w:rPr>
          <w:lang w:val="fr-FR"/>
        </w:rPr>
        <w:t>’</w:t>
      </w:r>
      <w:r w:rsidRPr="001169B0">
        <w:rPr>
          <w:lang w:val="fr-FR"/>
        </w:rPr>
        <w:t>ayant pas démontré qu</w:t>
      </w:r>
      <w:r>
        <w:rPr>
          <w:lang w:val="fr-FR"/>
        </w:rPr>
        <w:t>’</w:t>
      </w:r>
      <w:r w:rsidRPr="001169B0">
        <w:rPr>
          <w:lang w:val="fr-FR"/>
        </w:rPr>
        <w:t>ils se sont mariés de leur propre gré et n</w:t>
      </w:r>
      <w:r>
        <w:rPr>
          <w:lang w:val="fr-FR"/>
        </w:rPr>
        <w:t>’</w:t>
      </w:r>
      <w:r w:rsidRPr="001169B0">
        <w:rPr>
          <w:lang w:val="fr-FR"/>
        </w:rPr>
        <w:t>ayant pas de vie familiale que le Danemark serait tenu de protéger. L</w:t>
      </w:r>
      <w:r>
        <w:rPr>
          <w:lang w:val="fr-FR"/>
        </w:rPr>
        <w:t>’</w:t>
      </w:r>
      <w:r w:rsidRPr="001169B0">
        <w:rPr>
          <w:lang w:val="fr-FR"/>
        </w:rPr>
        <w:t xml:space="preserve">État partie réaffirme que </w:t>
      </w:r>
      <w:r w:rsidRPr="00CF08AB">
        <w:rPr>
          <w:spacing w:val="-2"/>
          <w:lang w:val="fr-FR"/>
        </w:rPr>
        <w:t>M</w:t>
      </w:r>
      <w:r w:rsidRPr="00CF08AB">
        <w:rPr>
          <w:spacing w:val="-2"/>
          <w:vertAlign w:val="superscript"/>
          <w:lang w:val="fr-FR"/>
        </w:rPr>
        <w:t>me</w:t>
      </w:r>
      <w:r w:rsidRPr="00CF08AB">
        <w:rPr>
          <w:spacing w:val="-2"/>
          <w:lang w:val="fr-FR"/>
        </w:rPr>
        <w:t xml:space="preserve"> Aden a eu la possibilité de soumettre des conclusions écrites de sa propre initiative et que la Commission des recours en matière d’immigration, en se basant sur sa propre évaluation, </w:t>
      </w:r>
      <w:r w:rsidRPr="00CF08AB">
        <w:rPr>
          <w:lang w:val="fr-FR"/>
        </w:rPr>
        <w:t>n’a pas jugé nécessaire d’obtenir des renseignements complémentaires auprès d’elle.</w:t>
      </w:r>
    </w:p>
    <w:p w:rsidR="00E82317" w:rsidRPr="00CF08AB" w:rsidRDefault="00E82317" w:rsidP="00E82317">
      <w:pPr>
        <w:pStyle w:val="SingleTxtG"/>
        <w:rPr>
          <w:spacing w:val="-1"/>
          <w:lang w:val="fr-FR"/>
        </w:rPr>
      </w:pPr>
      <w:r w:rsidRPr="00CF08AB">
        <w:rPr>
          <w:spacing w:val="-1"/>
          <w:lang w:val="fr-FR"/>
        </w:rPr>
        <w:t>6.4</w:t>
      </w:r>
      <w:r w:rsidRPr="00CF08AB">
        <w:rPr>
          <w:spacing w:val="-1"/>
          <w:lang w:val="fr-FR"/>
        </w:rPr>
        <w:tab/>
        <w:t>L’État partie rejette également l’argument des auteurs selon lequel ils ont fait l’objet de discrimination en tant que musulmans originaires de Somalie au vu des données statistiques qu’ils ont fournies</w:t>
      </w:r>
      <w:r w:rsidRPr="00CF08AB">
        <w:rPr>
          <w:rStyle w:val="Appelnotedebasdep"/>
          <w:spacing w:val="-1"/>
        </w:rPr>
        <w:footnoteReference w:id="35"/>
      </w:r>
      <w:r w:rsidRPr="00CF08AB">
        <w:rPr>
          <w:spacing w:val="-1"/>
          <w:lang w:val="fr-FR"/>
        </w:rPr>
        <w:t xml:space="preserve">. L’État partie répète que la loi sur les étrangers s’applique à tous les étrangers qui demandent l’autorisation de résider au Danemark, indépendamment de </w:t>
      </w:r>
      <w:r w:rsidRPr="00CF08AB">
        <w:rPr>
          <w:lang w:val="fr-FR"/>
        </w:rPr>
        <w:t>leur origine ethnique et d’autres circonstances. Il ajoute que lorsque l’article</w:t>
      </w:r>
      <w:r w:rsidR="00CF08AB" w:rsidRPr="00CF08AB">
        <w:rPr>
          <w:lang w:val="fr-FR"/>
        </w:rPr>
        <w:t> </w:t>
      </w:r>
      <w:r w:rsidRPr="00CF08AB">
        <w:rPr>
          <w:lang w:val="fr-FR"/>
        </w:rPr>
        <w:t>9</w:t>
      </w:r>
      <w:r w:rsidR="00CF08AB" w:rsidRPr="00CF08AB">
        <w:rPr>
          <w:lang w:val="fr-FR"/>
        </w:rPr>
        <w:t> </w:t>
      </w:r>
      <w:r w:rsidRPr="00CF08AB">
        <w:rPr>
          <w:lang w:val="fr-FR"/>
        </w:rPr>
        <w:t>8) de la loi sur les étrangers est appliqué, il est procédé, dans chaque cas, à une évaluation individuelle.</w:t>
      </w:r>
    </w:p>
    <w:p w:rsidR="00E82317" w:rsidRPr="001169B0" w:rsidRDefault="00E82317" w:rsidP="00CF08AB">
      <w:pPr>
        <w:pStyle w:val="H23G"/>
        <w:rPr>
          <w:lang w:val="fr-FR"/>
        </w:rPr>
      </w:pPr>
      <w:r w:rsidRPr="001169B0">
        <w:rPr>
          <w:lang w:val="fr-FR"/>
        </w:rPr>
        <w:tab/>
      </w:r>
      <w:r w:rsidRPr="001169B0">
        <w:rPr>
          <w:lang w:val="fr-FR"/>
        </w:rPr>
        <w:tab/>
        <w:t>Commentaires d</w:t>
      </w:r>
      <w:r>
        <w:rPr>
          <w:lang w:val="fr-FR"/>
        </w:rPr>
        <w:t xml:space="preserve">es auteurs sur les observations </w:t>
      </w:r>
      <w:r w:rsidRPr="001169B0">
        <w:rPr>
          <w:lang w:val="fr-FR"/>
        </w:rPr>
        <w:t>complémentaires de l</w:t>
      </w:r>
      <w:r>
        <w:rPr>
          <w:lang w:val="fr-FR"/>
        </w:rPr>
        <w:t>’</w:t>
      </w:r>
      <w:r w:rsidRPr="001169B0">
        <w:rPr>
          <w:lang w:val="fr-FR"/>
        </w:rPr>
        <w:t>État partie</w:t>
      </w:r>
    </w:p>
    <w:p w:rsidR="00E82317" w:rsidRDefault="00E82317" w:rsidP="00E82317">
      <w:pPr>
        <w:pStyle w:val="SingleTxtG"/>
        <w:rPr>
          <w:rFonts w:eastAsia="MS Mincho"/>
          <w:lang w:val="fr-FR" w:eastAsia="ja-JP"/>
        </w:rPr>
      </w:pPr>
      <w:r w:rsidRPr="001169B0">
        <w:rPr>
          <w:lang w:val="fr-FR"/>
        </w:rPr>
        <w:t>7.1</w:t>
      </w:r>
      <w:r w:rsidRPr="001169B0">
        <w:rPr>
          <w:lang w:val="fr-FR"/>
        </w:rPr>
        <w:tab/>
        <w:t>Le 12</w:t>
      </w:r>
      <w:r>
        <w:rPr>
          <w:lang w:val="fr-FR"/>
        </w:rPr>
        <w:t> j</w:t>
      </w:r>
      <w:r w:rsidRPr="001169B0">
        <w:rPr>
          <w:lang w:val="fr-FR"/>
        </w:rPr>
        <w:t>uillet 2016, les auteurs ont commenté les observations complémentaires de l</w:t>
      </w:r>
      <w:r>
        <w:rPr>
          <w:lang w:val="fr-FR"/>
        </w:rPr>
        <w:t>’</w:t>
      </w:r>
      <w:r w:rsidRPr="001169B0">
        <w:rPr>
          <w:lang w:val="fr-FR"/>
        </w:rPr>
        <w:t>État partie daté</w:t>
      </w:r>
      <w:r>
        <w:rPr>
          <w:lang w:val="fr-FR"/>
        </w:rPr>
        <w:t>e</w:t>
      </w:r>
      <w:r w:rsidRPr="001169B0">
        <w:rPr>
          <w:lang w:val="fr-FR"/>
        </w:rPr>
        <w:t>s du 27</w:t>
      </w:r>
      <w:r>
        <w:rPr>
          <w:lang w:val="fr-FR"/>
        </w:rPr>
        <w:t> </w:t>
      </w:r>
      <w:r w:rsidRPr="001169B0">
        <w:rPr>
          <w:lang w:val="fr-FR"/>
        </w:rPr>
        <w:t>juin 2016. Ils répètent que la conclusion à laquelle étaient parvenues les autorités danoises chargées des questions d</w:t>
      </w:r>
      <w:r>
        <w:rPr>
          <w:lang w:val="fr-FR"/>
        </w:rPr>
        <w:t>’</w:t>
      </w:r>
      <w:r w:rsidRPr="001169B0">
        <w:rPr>
          <w:lang w:val="fr-FR"/>
        </w:rPr>
        <w:t xml:space="preserve">immigration, à savoir que les </w:t>
      </w:r>
      <w:r w:rsidRPr="001169B0">
        <w:rPr>
          <w:lang w:val="fr-FR"/>
        </w:rPr>
        <w:lastRenderedPageBreak/>
        <w:t>auteurs n</w:t>
      </w:r>
      <w:r>
        <w:rPr>
          <w:lang w:val="fr-FR"/>
        </w:rPr>
        <w:t>’</w:t>
      </w:r>
      <w:r w:rsidRPr="001169B0">
        <w:rPr>
          <w:lang w:val="fr-FR"/>
        </w:rPr>
        <w:t>avaient aucune chance raisonnable d</w:t>
      </w:r>
      <w:r>
        <w:rPr>
          <w:lang w:val="fr-FR"/>
        </w:rPr>
        <w:t>’</w:t>
      </w:r>
      <w:r w:rsidRPr="001169B0">
        <w:rPr>
          <w:lang w:val="fr-FR"/>
        </w:rPr>
        <w:t>avoir gain de cause devant les tribunaux, devrait être considéré</w:t>
      </w:r>
      <w:r>
        <w:rPr>
          <w:lang w:val="fr-FR"/>
        </w:rPr>
        <w:t>e</w:t>
      </w:r>
      <w:r w:rsidRPr="001169B0">
        <w:rPr>
          <w:lang w:val="fr-FR"/>
        </w:rPr>
        <w:t xml:space="preserve"> comme un élément déterminant à prendre en compte pour évaluer si les recours internes ont été épuisés. </w:t>
      </w:r>
      <w:r>
        <w:rPr>
          <w:lang w:val="fr-FR"/>
        </w:rPr>
        <w:t>Selon l</w:t>
      </w:r>
      <w:r w:rsidRPr="001169B0">
        <w:rPr>
          <w:lang w:val="fr-FR"/>
        </w:rPr>
        <w:t>es auteurs</w:t>
      </w:r>
      <w:r>
        <w:rPr>
          <w:lang w:val="fr-FR"/>
        </w:rPr>
        <w:t>,</w:t>
      </w:r>
      <w:r w:rsidRPr="001169B0">
        <w:rPr>
          <w:lang w:val="fr-FR"/>
        </w:rPr>
        <w:t xml:space="preserve"> l</w:t>
      </w:r>
      <w:r>
        <w:rPr>
          <w:lang w:val="fr-FR"/>
        </w:rPr>
        <w:t>’</w:t>
      </w:r>
      <w:r w:rsidRPr="001169B0">
        <w:rPr>
          <w:lang w:val="fr-FR"/>
        </w:rPr>
        <w:t>État partie a conclu, dans la décision définitive rendue par la Commission d</w:t>
      </w:r>
      <w:r>
        <w:rPr>
          <w:lang w:val="fr-FR"/>
        </w:rPr>
        <w:t>’</w:t>
      </w:r>
      <w:r w:rsidRPr="001169B0">
        <w:rPr>
          <w:lang w:val="fr-FR"/>
        </w:rPr>
        <w:t>autorisation des recours, que les tribunaux ne rendraient pas une décision favorable aux auteurs, et a ainsi ôté au recours judiciaire son utilité supposée. Les auteurs soutiennent qu</w:t>
      </w:r>
      <w:r>
        <w:rPr>
          <w:lang w:val="fr-FR"/>
        </w:rPr>
        <w:t>’</w:t>
      </w:r>
      <w:r w:rsidRPr="001169B0">
        <w:rPr>
          <w:lang w:val="fr-FR"/>
        </w:rPr>
        <w:t xml:space="preserve">il </w:t>
      </w:r>
      <w:r>
        <w:rPr>
          <w:lang w:val="fr-FR"/>
        </w:rPr>
        <w:t>serait dé</w:t>
      </w:r>
      <w:r w:rsidRPr="001169B0">
        <w:rPr>
          <w:lang w:val="fr-FR"/>
        </w:rPr>
        <w:t xml:space="preserve">raisonnable </w:t>
      </w:r>
      <w:r>
        <w:rPr>
          <w:lang w:val="fr-FR"/>
        </w:rPr>
        <w:t>qu’ils exercent</w:t>
      </w:r>
      <w:r w:rsidRPr="001169B0">
        <w:rPr>
          <w:lang w:val="fr-FR"/>
        </w:rPr>
        <w:t xml:space="preserve"> ce recours</w:t>
      </w:r>
      <w:r w:rsidRPr="001169B0">
        <w:rPr>
          <w:rFonts w:eastAsia="MS Mincho"/>
          <w:lang w:val="fr-FR" w:eastAsia="ja-JP"/>
        </w:rPr>
        <w:t xml:space="preserve">. </w:t>
      </w:r>
      <w:r>
        <w:rPr>
          <w:rFonts w:eastAsia="MS Mincho"/>
          <w:lang w:val="fr-FR" w:eastAsia="ja-JP"/>
        </w:rPr>
        <w:t>Ils</w:t>
      </w:r>
      <w:r w:rsidRPr="001169B0">
        <w:rPr>
          <w:rFonts w:eastAsia="MS Mincho"/>
          <w:lang w:val="fr-FR" w:eastAsia="ja-JP"/>
        </w:rPr>
        <w:t xml:space="preserve"> rappellent que s</w:t>
      </w:r>
      <w:r>
        <w:rPr>
          <w:rFonts w:eastAsia="MS Mincho"/>
          <w:lang w:val="fr-FR" w:eastAsia="ja-JP"/>
        </w:rPr>
        <w:t>’</w:t>
      </w:r>
      <w:r w:rsidRPr="001169B0">
        <w:rPr>
          <w:rFonts w:eastAsia="MS Mincho"/>
          <w:lang w:val="fr-FR" w:eastAsia="ja-JP"/>
        </w:rPr>
        <w:t>ils n</w:t>
      </w:r>
      <w:r>
        <w:rPr>
          <w:rFonts w:eastAsia="MS Mincho"/>
          <w:lang w:val="fr-FR" w:eastAsia="ja-JP"/>
        </w:rPr>
        <w:t>’</w:t>
      </w:r>
      <w:r w:rsidRPr="001169B0">
        <w:rPr>
          <w:rFonts w:eastAsia="MS Mincho"/>
          <w:lang w:val="fr-FR" w:eastAsia="ja-JP"/>
        </w:rPr>
        <w:t>ont pas saisi les tribunaux danois, ce n</w:t>
      </w:r>
      <w:r>
        <w:rPr>
          <w:rFonts w:eastAsia="MS Mincho"/>
          <w:lang w:val="fr-FR" w:eastAsia="ja-JP"/>
        </w:rPr>
        <w:t>’</w:t>
      </w:r>
      <w:r w:rsidRPr="001169B0">
        <w:rPr>
          <w:rFonts w:eastAsia="MS Mincho"/>
          <w:lang w:val="fr-FR" w:eastAsia="ja-JP"/>
        </w:rPr>
        <w:t>est pas parce qu</w:t>
      </w:r>
      <w:r>
        <w:rPr>
          <w:rFonts w:eastAsia="MS Mincho"/>
          <w:lang w:val="fr-FR" w:eastAsia="ja-JP"/>
        </w:rPr>
        <w:t>’</w:t>
      </w:r>
      <w:r w:rsidRPr="001169B0">
        <w:rPr>
          <w:rFonts w:eastAsia="MS Mincho"/>
          <w:lang w:val="fr-FR" w:eastAsia="ja-JP"/>
        </w:rPr>
        <w:t>ils pensaient qu</w:t>
      </w:r>
      <w:r>
        <w:rPr>
          <w:rFonts w:eastAsia="MS Mincho"/>
          <w:lang w:val="fr-FR" w:eastAsia="ja-JP"/>
        </w:rPr>
        <w:t>’</w:t>
      </w:r>
      <w:r w:rsidRPr="001169B0">
        <w:rPr>
          <w:rFonts w:eastAsia="MS Mincho"/>
          <w:lang w:val="fr-FR" w:eastAsia="ja-JP"/>
        </w:rPr>
        <w:t>un tel recours serait inutile, mais parce qu</w:t>
      </w:r>
      <w:r>
        <w:rPr>
          <w:rFonts w:eastAsia="MS Mincho"/>
          <w:lang w:val="fr-FR" w:eastAsia="ja-JP"/>
        </w:rPr>
        <w:t>’</w:t>
      </w:r>
      <w:r w:rsidRPr="001169B0">
        <w:rPr>
          <w:rFonts w:eastAsia="MS Mincho"/>
          <w:lang w:val="fr-FR" w:eastAsia="ja-JP"/>
        </w:rPr>
        <w:t>ils en ont été empêchés faute de moyens financiers</w:t>
      </w:r>
      <w:r w:rsidRPr="001169B0">
        <w:rPr>
          <w:lang w:val="fr-FR"/>
        </w:rPr>
        <w:t>, l</w:t>
      </w:r>
      <w:r>
        <w:rPr>
          <w:lang w:val="fr-FR"/>
        </w:rPr>
        <w:t>’</w:t>
      </w:r>
      <w:r w:rsidRPr="001169B0">
        <w:rPr>
          <w:lang w:val="fr-FR"/>
        </w:rPr>
        <w:t>État partie ayant estimé qu</w:t>
      </w:r>
      <w:r>
        <w:rPr>
          <w:lang w:val="fr-FR"/>
        </w:rPr>
        <w:t>’</w:t>
      </w:r>
      <w:r w:rsidRPr="001169B0">
        <w:rPr>
          <w:lang w:val="fr-FR"/>
        </w:rPr>
        <w:t>une action en justice serait inefficace. Les</w:t>
      </w:r>
      <w:r w:rsidR="004B1D54">
        <w:rPr>
          <w:lang w:val="fr-FR"/>
        </w:rPr>
        <w:t> </w:t>
      </w:r>
      <w:r w:rsidRPr="001169B0">
        <w:rPr>
          <w:lang w:val="fr-FR"/>
        </w:rPr>
        <w:t>auteurs répètent en outre qu</w:t>
      </w:r>
      <w:r>
        <w:rPr>
          <w:lang w:val="fr-FR"/>
        </w:rPr>
        <w:t>’</w:t>
      </w:r>
      <w:r w:rsidRPr="001169B0">
        <w:rPr>
          <w:lang w:val="fr-FR"/>
        </w:rPr>
        <w:t>il n</w:t>
      </w:r>
      <w:r>
        <w:rPr>
          <w:lang w:val="fr-FR"/>
        </w:rPr>
        <w:t>’</w:t>
      </w:r>
      <w:r w:rsidRPr="001169B0">
        <w:rPr>
          <w:lang w:val="fr-FR"/>
        </w:rPr>
        <w:t>y avait aucune preuve directe et évidente qu</w:t>
      </w:r>
      <w:r>
        <w:rPr>
          <w:lang w:val="fr-FR"/>
        </w:rPr>
        <w:t>’</w:t>
      </w:r>
      <w:r w:rsidRPr="001169B0">
        <w:rPr>
          <w:lang w:val="fr-FR"/>
        </w:rPr>
        <w:t>ils auraient une chance raisonnable d</w:t>
      </w:r>
      <w:r>
        <w:rPr>
          <w:lang w:val="fr-FR"/>
        </w:rPr>
        <w:t>’</w:t>
      </w:r>
      <w:r w:rsidRPr="001169B0">
        <w:rPr>
          <w:lang w:val="fr-FR"/>
        </w:rPr>
        <w:t>obtenir gain de cause devant les tribunaux, preuve qu</w:t>
      </w:r>
      <w:r>
        <w:rPr>
          <w:lang w:val="fr-FR"/>
        </w:rPr>
        <w:t>’</w:t>
      </w:r>
      <w:r w:rsidRPr="001169B0">
        <w:rPr>
          <w:lang w:val="fr-FR"/>
        </w:rPr>
        <w:t>il incombe d</w:t>
      </w:r>
      <w:r>
        <w:rPr>
          <w:lang w:val="fr-FR"/>
        </w:rPr>
        <w:t>’</w:t>
      </w:r>
      <w:r w:rsidRPr="001169B0">
        <w:rPr>
          <w:lang w:val="fr-FR"/>
        </w:rPr>
        <w:t xml:space="preserve">après eux à </w:t>
      </w:r>
      <w:r w:rsidRPr="001169B0">
        <w:rPr>
          <w:rFonts w:eastAsia="MS Mincho"/>
          <w:lang w:val="fr-FR" w:eastAsia="ja-JP"/>
        </w:rPr>
        <w:t>l</w:t>
      </w:r>
      <w:r>
        <w:rPr>
          <w:rFonts w:eastAsia="MS Mincho"/>
          <w:lang w:val="fr-FR" w:eastAsia="ja-JP"/>
        </w:rPr>
        <w:t>’</w:t>
      </w:r>
      <w:r w:rsidRPr="001169B0">
        <w:rPr>
          <w:rFonts w:eastAsia="MS Mincho"/>
          <w:lang w:val="fr-FR" w:eastAsia="ja-JP"/>
        </w:rPr>
        <w:t>État partie d</w:t>
      </w:r>
      <w:r>
        <w:rPr>
          <w:rFonts w:eastAsia="MS Mincho"/>
          <w:lang w:val="fr-FR" w:eastAsia="ja-JP"/>
        </w:rPr>
        <w:t>’</w:t>
      </w:r>
      <w:r w:rsidRPr="001169B0">
        <w:rPr>
          <w:rFonts w:eastAsia="MS Mincho"/>
          <w:lang w:val="fr-FR" w:eastAsia="ja-JP"/>
        </w:rPr>
        <w:t>apporter.</w:t>
      </w:r>
    </w:p>
    <w:p w:rsidR="00E82317" w:rsidRPr="001169B0" w:rsidRDefault="00E82317" w:rsidP="00E82317">
      <w:pPr>
        <w:pStyle w:val="SingleTxtG"/>
        <w:rPr>
          <w:lang w:val="fr-FR" w:eastAsia="ja-JP"/>
        </w:rPr>
      </w:pPr>
      <w:r w:rsidRPr="001169B0">
        <w:rPr>
          <w:lang w:val="fr-FR" w:eastAsia="ja-JP"/>
        </w:rPr>
        <w:t>7.2</w:t>
      </w:r>
      <w:r w:rsidRPr="001169B0">
        <w:rPr>
          <w:lang w:val="fr-FR" w:eastAsia="ja-JP"/>
        </w:rPr>
        <w:tab/>
        <w:t>Sur la question du coût réel d</w:t>
      </w:r>
      <w:r>
        <w:rPr>
          <w:lang w:val="fr-FR" w:eastAsia="ja-JP"/>
        </w:rPr>
        <w:t>’</w:t>
      </w:r>
      <w:r w:rsidRPr="001169B0">
        <w:rPr>
          <w:lang w:val="fr-FR" w:eastAsia="ja-JP"/>
        </w:rPr>
        <w:t>une procédure devant les tribunaux, les auteurs estiment que l</w:t>
      </w:r>
      <w:r>
        <w:rPr>
          <w:lang w:val="fr-FR" w:eastAsia="ja-JP"/>
        </w:rPr>
        <w:t>’</w:t>
      </w:r>
      <w:r w:rsidRPr="001169B0">
        <w:rPr>
          <w:lang w:val="fr-FR" w:eastAsia="ja-JP"/>
        </w:rPr>
        <w:t>État partie n</w:t>
      </w:r>
      <w:r>
        <w:rPr>
          <w:lang w:val="fr-FR" w:eastAsia="ja-JP"/>
        </w:rPr>
        <w:t>’</w:t>
      </w:r>
      <w:r w:rsidRPr="001169B0">
        <w:rPr>
          <w:lang w:val="fr-FR" w:eastAsia="ja-JP"/>
        </w:rPr>
        <w:t>a pas démontré l</w:t>
      </w:r>
      <w:r>
        <w:rPr>
          <w:lang w:val="fr-FR" w:eastAsia="ja-JP"/>
        </w:rPr>
        <w:t>’</w:t>
      </w:r>
      <w:r w:rsidRPr="001169B0">
        <w:rPr>
          <w:lang w:val="fr-FR" w:eastAsia="ja-JP"/>
        </w:rPr>
        <w:t>existence, dans la jurisprudence, d</w:t>
      </w:r>
      <w:r>
        <w:rPr>
          <w:lang w:val="fr-FR" w:eastAsia="ja-JP"/>
        </w:rPr>
        <w:t>’</w:t>
      </w:r>
      <w:r w:rsidRPr="001169B0">
        <w:rPr>
          <w:lang w:val="fr-FR" w:eastAsia="ja-JP"/>
        </w:rPr>
        <w:t>affaires similaires à la leur dans lesquelles l</w:t>
      </w:r>
      <w:r>
        <w:rPr>
          <w:lang w:val="fr-FR" w:eastAsia="ja-JP"/>
        </w:rPr>
        <w:t>’</w:t>
      </w:r>
      <w:r w:rsidRPr="001169B0">
        <w:rPr>
          <w:lang w:val="fr-FR" w:eastAsia="ja-JP"/>
        </w:rPr>
        <w:t>article</w:t>
      </w:r>
      <w:r w:rsidR="004B1D54">
        <w:rPr>
          <w:lang w:val="fr-FR" w:eastAsia="ja-JP"/>
        </w:rPr>
        <w:t> </w:t>
      </w:r>
      <w:r w:rsidRPr="001169B0">
        <w:rPr>
          <w:lang w:val="fr-FR" w:eastAsia="ja-JP"/>
        </w:rPr>
        <w:t>312</w:t>
      </w:r>
      <w:r w:rsidR="004B1D54">
        <w:rPr>
          <w:lang w:val="fr-FR" w:eastAsia="ja-JP"/>
        </w:rPr>
        <w:t> </w:t>
      </w:r>
      <w:r w:rsidRPr="001169B0">
        <w:rPr>
          <w:lang w:val="fr-FR" w:eastAsia="ja-JP"/>
        </w:rPr>
        <w:t>3) de la loi sur l</w:t>
      </w:r>
      <w:r>
        <w:rPr>
          <w:lang w:val="fr-FR" w:eastAsia="ja-JP"/>
        </w:rPr>
        <w:t>’</w:t>
      </w:r>
      <w:r w:rsidRPr="001169B0">
        <w:rPr>
          <w:lang w:val="fr-FR" w:eastAsia="ja-JP"/>
        </w:rPr>
        <w:t xml:space="preserve">administration de la justice </w:t>
      </w:r>
      <w:r>
        <w:rPr>
          <w:lang w:val="fr-FR" w:eastAsia="ja-JP"/>
        </w:rPr>
        <w:t xml:space="preserve">pourrait être appliqué, ou </w:t>
      </w:r>
      <w:r w:rsidRPr="001169B0">
        <w:rPr>
          <w:lang w:val="fr-FR" w:eastAsia="ja-JP"/>
        </w:rPr>
        <w:t>aurait été appliqué, avec pour effet de réduire le risque que l</w:t>
      </w:r>
      <w:r>
        <w:rPr>
          <w:lang w:val="fr-FR" w:eastAsia="ja-JP"/>
        </w:rPr>
        <w:t>’</w:t>
      </w:r>
      <w:r w:rsidRPr="001169B0">
        <w:rPr>
          <w:lang w:val="fr-FR" w:eastAsia="ja-JP"/>
        </w:rPr>
        <w:t xml:space="preserve">auteur ait à acquitter </w:t>
      </w:r>
      <w:r>
        <w:rPr>
          <w:lang w:val="fr-FR" w:eastAsia="ja-JP"/>
        </w:rPr>
        <w:t>l</w:t>
      </w:r>
      <w:r w:rsidRPr="001169B0">
        <w:rPr>
          <w:lang w:val="fr-FR" w:eastAsia="ja-JP"/>
        </w:rPr>
        <w:t>es frais de justice. Les auteurs estiment que l</w:t>
      </w:r>
      <w:r>
        <w:rPr>
          <w:lang w:val="fr-FR" w:eastAsia="ja-JP"/>
        </w:rPr>
        <w:t>’</w:t>
      </w:r>
      <w:r w:rsidRPr="001169B0">
        <w:rPr>
          <w:lang w:val="fr-FR" w:eastAsia="ja-JP"/>
        </w:rPr>
        <w:t>argument de l</w:t>
      </w:r>
      <w:r>
        <w:rPr>
          <w:lang w:val="fr-FR" w:eastAsia="ja-JP"/>
        </w:rPr>
        <w:t>’</w:t>
      </w:r>
      <w:r w:rsidRPr="001169B0">
        <w:rPr>
          <w:lang w:val="fr-FR" w:eastAsia="ja-JP"/>
        </w:rPr>
        <w:t>État partie selon lequel il n</w:t>
      </w:r>
      <w:r>
        <w:rPr>
          <w:lang w:val="fr-FR" w:eastAsia="ja-JP"/>
        </w:rPr>
        <w:t>’</w:t>
      </w:r>
      <w:r w:rsidRPr="001169B0">
        <w:rPr>
          <w:lang w:val="fr-FR" w:eastAsia="ja-JP"/>
        </w:rPr>
        <w:t>y a pas d</w:t>
      </w:r>
      <w:r>
        <w:rPr>
          <w:lang w:val="fr-FR" w:eastAsia="ja-JP"/>
        </w:rPr>
        <w:t>’</w:t>
      </w:r>
      <w:r w:rsidRPr="001169B0">
        <w:rPr>
          <w:lang w:val="fr-FR" w:eastAsia="ja-JP"/>
        </w:rPr>
        <w:t>obligation légale à être représenté dans les affaires de regroupement familial est trompeur, puisque l</w:t>
      </w:r>
      <w:r>
        <w:rPr>
          <w:lang w:val="fr-FR" w:eastAsia="ja-JP"/>
        </w:rPr>
        <w:t>’</w:t>
      </w:r>
      <w:r w:rsidRPr="001169B0">
        <w:rPr>
          <w:lang w:val="fr-FR" w:eastAsia="ja-JP"/>
        </w:rPr>
        <w:t>État partie n</w:t>
      </w:r>
      <w:r>
        <w:rPr>
          <w:lang w:val="fr-FR" w:eastAsia="ja-JP"/>
        </w:rPr>
        <w:t>’</w:t>
      </w:r>
      <w:r w:rsidRPr="001169B0">
        <w:rPr>
          <w:lang w:val="fr-FR" w:eastAsia="ja-JP"/>
        </w:rPr>
        <w:t>a donné aucun exemple d</w:t>
      </w:r>
      <w:r>
        <w:rPr>
          <w:lang w:val="fr-FR" w:eastAsia="ja-JP"/>
        </w:rPr>
        <w:t>’</w:t>
      </w:r>
      <w:r w:rsidRPr="001169B0">
        <w:rPr>
          <w:lang w:val="fr-FR" w:eastAsia="ja-JP"/>
        </w:rPr>
        <w:t xml:space="preserve">affaire de regroupement familial dans laquelle les demandeurs </w:t>
      </w:r>
      <w:r>
        <w:rPr>
          <w:lang w:val="fr-FR" w:eastAsia="ja-JP"/>
        </w:rPr>
        <w:t>n’étaient pas</w:t>
      </w:r>
      <w:r w:rsidRPr="001169B0">
        <w:rPr>
          <w:lang w:val="fr-FR" w:eastAsia="ja-JP"/>
        </w:rPr>
        <w:t xml:space="preserve"> représentés. Les auteurs renvoient à nouveau à la jurisprudence citée dans leurs commentaires supplémentaires du 25</w:t>
      </w:r>
      <w:r>
        <w:rPr>
          <w:lang w:val="fr-FR" w:eastAsia="ja-JP"/>
        </w:rPr>
        <w:t> </w:t>
      </w:r>
      <w:r w:rsidRPr="001169B0">
        <w:rPr>
          <w:lang w:val="fr-FR" w:eastAsia="ja-JP"/>
        </w:rPr>
        <w:t xml:space="preserve">janvier 2016, </w:t>
      </w:r>
      <w:r>
        <w:rPr>
          <w:lang w:val="fr-FR" w:eastAsia="ja-JP"/>
        </w:rPr>
        <w:t xml:space="preserve">dans lesquels ils indiquent </w:t>
      </w:r>
      <w:r w:rsidRPr="001169B0">
        <w:rPr>
          <w:lang w:val="fr-FR" w:eastAsia="ja-JP"/>
        </w:rPr>
        <w:t>que les frais ne peuvent se limiter à 500</w:t>
      </w:r>
      <w:r>
        <w:rPr>
          <w:lang w:val="fr-FR" w:eastAsia="ja-JP"/>
        </w:rPr>
        <w:t> </w:t>
      </w:r>
      <w:r w:rsidRPr="001169B0">
        <w:rPr>
          <w:lang w:val="fr-FR" w:eastAsia="ja-JP"/>
        </w:rPr>
        <w:t>couronnes danoises et qu</w:t>
      </w:r>
      <w:r>
        <w:rPr>
          <w:lang w:val="fr-FR" w:eastAsia="ja-JP"/>
        </w:rPr>
        <w:t>’il n’existe aucune affaire dans laquelle</w:t>
      </w:r>
      <w:r w:rsidRPr="001169B0">
        <w:rPr>
          <w:lang w:val="fr-FR" w:eastAsia="ja-JP"/>
        </w:rPr>
        <w:t xml:space="preserve"> l</w:t>
      </w:r>
      <w:r>
        <w:rPr>
          <w:lang w:val="fr-FR" w:eastAsia="ja-JP"/>
        </w:rPr>
        <w:t>’</w:t>
      </w:r>
      <w:r w:rsidRPr="001169B0">
        <w:rPr>
          <w:lang w:val="fr-FR" w:eastAsia="ja-JP"/>
        </w:rPr>
        <w:t>État partie a appuyé activement l</w:t>
      </w:r>
      <w:r>
        <w:rPr>
          <w:lang w:val="fr-FR" w:eastAsia="ja-JP"/>
        </w:rPr>
        <w:t>’</w:t>
      </w:r>
      <w:r w:rsidRPr="001169B0">
        <w:rPr>
          <w:lang w:val="fr-FR" w:eastAsia="ja-JP"/>
        </w:rPr>
        <w:t>application des règles relatives au partage des frais de justice prévues à l</w:t>
      </w:r>
      <w:r>
        <w:rPr>
          <w:lang w:val="fr-FR" w:eastAsia="ja-JP"/>
        </w:rPr>
        <w:t>’</w:t>
      </w:r>
      <w:r w:rsidRPr="001169B0">
        <w:rPr>
          <w:lang w:val="fr-FR" w:eastAsia="ja-JP"/>
        </w:rPr>
        <w:t>article</w:t>
      </w:r>
      <w:r>
        <w:rPr>
          <w:lang w:val="fr-FR" w:eastAsia="ja-JP"/>
        </w:rPr>
        <w:t> </w:t>
      </w:r>
      <w:r w:rsidRPr="001169B0">
        <w:rPr>
          <w:lang w:val="fr-FR" w:eastAsia="ja-JP"/>
        </w:rPr>
        <w:t>312</w:t>
      </w:r>
      <w:r w:rsidR="00CF08AB">
        <w:rPr>
          <w:lang w:val="fr-FR" w:eastAsia="ja-JP"/>
        </w:rPr>
        <w:t> </w:t>
      </w:r>
      <w:r w:rsidRPr="001169B0">
        <w:rPr>
          <w:lang w:val="fr-FR" w:eastAsia="ja-JP"/>
        </w:rPr>
        <w:t>3) de la loi sur l</w:t>
      </w:r>
      <w:r>
        <w:rPr>
          <w:lang w:val="fr-FR" w:eastAsia="ja-JP"/>
        </w:rPr>
        <w:t>’</w:t>
      </w:r>
      <w:r w:rsidRPr="001169B0">
        <w:rPr>
          <w:lang w:val="fr-FR" w:eastAsia="ja-JP"/>
        </w:rPr>
        <w:t>administration de la justice.</w:t>
      </w:r>
    </w:p>
    <w:p w:rsidR="00E82317" w:rsidRPr="001169B0" w:rsidRDefault="00E82317" w:rsidP="00E82317">
      <w:pPr>
        <w:pStyle w:val="SingleTxtG"/>
        <w:rPr>
          <w:lang w:val="fr-FR" w:eastAsia="ja-JP"/>
        </w:rPr>
      </w:pPr>
      <w:r w:rsidRPr="001169B0">
        <w:rPr>
          <w:lang w:val="fr-FR" w:eastAsia="ja-JP"/>
        </w:rPr>
        <w:t>7.3</w:t>
      </w:r>
      <w:r w:rsidRPr="001169B0">
        <w:rPr>
          <w:lang w:val="fr-FR" w:eastAsia="ja-JP"/>
        </w:rPr>
        <w:tab/>
        <w:t>En ce qui concerne le grief de violation de l</w:t>
      </w:r>
      <w:r>
        <w:rPr>
          <w:lang w:val="fr-FR" w:eastAsia="ja-JP"/>
        </w:rPr>
        <w:t>’</w:t>
      </w:r>
      <w:r w:rsidRPr="001169B0">
        <w:rPr>
          <w:lang w:val="fr-FR" w:eastAsia="ja-JP"/>
        </w:rPr>
        <w:t>article</w:t>
      </w:r>
      <w:r w:rsidR="00CF08AB">
        <w:rPr>
          <w:lang w:val="fr-FR" w:eastAsia="ja-JP"/>
        </w:rPr>
        <w:t> </w:t>
      </w:r>
      <w:r w:rsidRPr="001169B0">
        <w:rPr>
          <w:lang w:val="fr-FR" w:eastAsia="ja-JP"/>
        </w:rPr>
        <w:t>26, les auteurs affirment que les données statistiques fournies par l</w:t>
      </w:r>
      <w:r>
        <w:rPr>
          <w:lang w:val="fr-FR" w:eastAsia="ja-JP"/>
        </w:rPr>
        <w:t>’</w:t>
      </w:r>
      <w:r w:rsidRPr="001169B0">
        <w:rPr>
          <w:lang w:val="fr-FR" w:eastAsia="ja-JP"/>
        </w:rPr>
        <w:t>État partie montrent que l</w:t>
      </w:r>
      <w:r>
        <w:rPr>
          <w:lang w:val="fr-FR" w:eastAsia="ja-JP"/>
        </w:rPr>
        <w:t>’</w:t>
      </w:r>
      <w:r w:rsidRPr="001169B0">
        <w:rPr>
          <w:lang w:val="fr-FR" w:eastAsia="ja-JP"/>
        </w:rPr>
        <w:t>article</w:t>
      </w:r>
      <w:r w:rsidR="00CF08AB">
        <w:rPr>
          <w:lang w:val="fr-FR" w:eastAsia="ja-JP"/>
        </w:rPr>
        <w:t> </w:t>
      </w:r>
      <w:r w:rsidRPr="001169B0">
        <w:rPr>
          <w:lang w:val="fr-FR" w:eastAsia="ja-JP"/>
        </w:rPr>
        <w:t>9</w:t>
      </w:r>
      <w:r w:rsidR="00CF08AB">
        <w:rPr>
          <w:lang w:val="fr-FR" w:eastAsia="ja-JP"/>
        </w:rPr>
        <w:t> </w:t>
      </w:r>
      <w:r w:rsidRPr="001169B0">
        <w:rPr>
          <w:lang w:val="fr-FR" w:eastAsia="ja-JP"/>
        </w:rPr>
        <w:t>8) de la loi sur les étrangers est principalement appliqué aux demandeurs originaires de certains pays et de confession musulmane. Ils répètent aussi que l</w:t>
      </w:r>
      <w:r>
        <w:rPr>
          <w:lang w:val="fr-FR" w:eastAsia="ja-JP"/>
        </w:rPr>
        <w:t>’</w:t>
      </w:r>
      <w:r w:rsidRPr="001169B0">
        <w:rPr>
          <w:lang w:val="fr-FR" w:eastAsia="ja-JP"/>
        </w:rPr>
        <w:t>article</w:t>
      </w:r>
      <w:r w:rsidR="00CF08AB">
        <w:rPr>
          <w:lang w:val="fr-FR" w:eastAsia="ja-JP"/>
        </w:rPr>
        <w:t> </w:t>
      </w:r>
      <w:r w:rsidRPr="001169B0">
        <w:rPr>
          <w:lang w:val="fr-FR" w:eastAsia="ja-JP"/>
        </w:rPr>
        <w:t>9</w:t>
      </w:r>
      <w:r w:rsidR="00CF08AB">
        <w:rPr>
          <w:lang w:val="fr-FR" w:eastAsia="ja-JP"/>
        </w:rPr>
        <w:t> </w:t>
      </w:r>
      <w:r w:rsidRPr="001169B0">
        <w:rPr>
          <w:lang w:val="fr-FR" w:eastAsia="ja-JP"/>
        </w:rPr>
        <w:t xml:space="preserve">8) est incontestablement appliqué de manière partiale </w:t>
      </w:r>
      <w:r>
        <w:rPr>
          <w:lang w:val="fr-FR" w:eastAsia="ja-JP"/>
        </w:rPr>
        <w:t>à l’égard d</w:t>
      </w:r>
      <w:r w:rsidRPr="001169B0">
        <w:rPr>
          <w:lang w:val="fr-FR" w:eastAsia="ja-JP"/>
        </w:rPr>
        <w:t>es demandeurs musulmans.</w:t>
      </w:r>
    </w:p>
    <w:p w:rsidR="00E82317" w:rsidRPr="001169B0" w:rsidRDefault="00E82317" w:rsidP="00E82317">
      <w:pPr>
        <w:pStyle w:val="SingleTxtG"/>
        <w:rPr>
          <w:lang w:val="fr-FR"/>
        </w:rPr>
      </w:pPr>
      <w:r w:rsidRPr="001169B0">
        <w:rPr>
          <w:lang w:val="fr-FR" w:eastAsia="ja-JP"/>
        </w:rPr>
        <w:t>7.4</w:t>
      </w:r>
      <w:r w:rsidRPr="001169B0">
        <w:rPr>
          <w:lang w:val="fr-FR" w:eastAsia="ja-JP"/>
        </w:rPr>
        <w:tab/>
        <w:t>Les auteurs rejettent également l</w:t>
      </w:r>
      <w:r>
        <w:rPr>
          <w:lang w:val="fr-FR" w:eastAsia="ja-JP"/>
        </w:rPr>
        <w:t>’</w:t>
      </w:r>
      <w:r w:rsidRPr="001169B0">
        <w:rPr>
          <w:lang w:val="fr-FR" w:eastAsia="ja-JP"/>
        </w:rPr>
        <w:t>argument de l</w:t>
      </w:r>
      <w:r>
        <w:rPr>
          <w:lang w:val="fr-FR" w:eastAsia="ja-JP"/>
        </w:rPr>
        <w:t>’</w:t>
      </w:r>
      <w:r w:rsidRPr="001169B0">
        <w:rPr>
          <w:lang w:val="fr-FR" w:eastAsia="ja-JP"/>
        </w:rPr>
        <w:t>État partie selon lequel</w:t>
      </w:r>
      <w:r>
        <w:rPr>
          <w:lang w:val="fr-FR" w:eastAsia="ja-JP"/>
        </w:rPr>
        <w:t xml:space="preserve"> une </w:t>
      </w:r>
      <w:r w:rsidRPr="001169B0">
        <w:rPr>
          <w:lang w:val="fr-FR" w:eastAsia="ja-JP"/>
        </w:rPr>
        <w:t>évaluation est basée sur des critères factuels et objectifs. Ils affirment que l</w:t>
      </w:r>
      <w:r>
        <w:rPr>
          <w:lang w:val="fr-FR" w:eastAsia="ja-JP"/>
        </w:rPr>
        <w:t>’</w:t>
      </w:r>
      <w:r w:rsidRPr="001169B0">
        <w:rPr>
          <w:lang w:val="fr-FR" w:eastAsia="ja-JP"/>
        </w:rPr>
        <w:t>utilisation, comme seul critère déterminant dans l</w:t>
      </w:r>
      <w:r>
        <w:rPr>
          <w:lang w:val="fr-FR" w:eastAsia="ja-JP"/>
        </w:rPr>
        <w:t>’</w:t>
      </w:r>
      <w:r w:rsidRPr="001169B0">
        <w:rPr>
          <w:lang w:val="fr-FR" w:eastAsia="ja-JP"/>
        </w:rPr>
        <w:t>évaluation, du lien de parenté entre les époux, déplaçant la charge de la preuve et obligeant les auteurs à démontrer qu</w:t>
      </w:r>
      <w:r>
        <w:rPr>
          <w:lang w:val="fr-FR" w:eastAsia="ja-JP"/>
        </w:rPr>
        <w:t>’</w:t>
      </w:r>
      <w:r w:rsidRPr="001169B0">
        <w:rPr>
          <w:lang w:val="fr-FR" w:eastAsia="ja-JP"/>
        </w:rPr>
        <w:t>ils se sont mariés de leur propre gré, n</w:t>
      </w:r>
      <w:r>
        <w:rPr>
          <w:lang w:val="fr-FR" w:eastAsia="ja-JP"/>
        </w:rPr>
        <w:t>’</w:t>
      </w:r>
      <w:r w:rsidRPr="001169B0">
        <w:rPr>
          <w:lang w:val="fr-FR" w:eastAsia="ja-JP"/>
        </w:rPr>
        <w:t>assure pas un juste équilibre au regard du but recherché par la loi. Les</w:t>
      </w:r>
      <w:r w:rsidR="004B1D54">
        <w:rPr>
          <w:lang w:val="fr-FR" w:eastAsia="ja-JP"/>
        </w:rPr>
        <w:t> </w:t>
      </w:r>
      <w:r w:rsidRPr="001169B0">
        <w:rPr>
          <w:lang w:val="fr-FR" w:eastAsia="ja-JP"/>
        </w:rPr>
        <w:t>auteurs allèguent que l</w:t>
      </w:r>
      <w:r>
        <w:rPr>
          <w:lang w:val="fr-FR" w:eastAsia="ja-JP"/>
        </w:rPr>
        <w:t>’</w:t>
      </w:r>
      <w:r w:rsidRPr="001169B0">
        <w:rPr>
          <w:lang w:val="fr-FR" w:eastAsia="ja-JP"/>
        </w:rPr>
        <w:t>État partie n</w:t>
      </w:r>
      <w:r>
        <w:rPr>
          <w:lang w:val="fr-FR" w:eastAsia="ja-JP"/>
        </w:rPr>
        <w:t>’</w:t>
      </w:r>
      <w:r w:rsidRPr="001169B0">
        <w:rPr>
          <w:lang w:val="fr-FR" w:eastAsia="ja-JP"/>
        </w:rPr>
        <w:t>a pas démontré qu</w:t>
      </w:r>
      <w:r>
        <w:rPr>
          <w:lang w:val="fr-FR" w:eastAsia="ja-JP"/>
        </w:rPr>
        <w:t>’</w:t>
      </w:r>
      <w:r w:rsidRPr="001169B0">
        <w:rPr>
          <w:lang w:val="fr-FR" w:eastAsia="ja-JP"/>
        </w:rPr>
        <w:t xml:space="preserve">il existait des considérations impérieuses ou très fortes </w:t>
      </w:r>
      <w:r>
        <w:rPr>
          <w:lang w:val="fr-FR" w:eastAsia="ja-JP"/>
        </w:rPr>
        <w:t>sans lien avec</w:t>
      </w:r>
      <w:r w:rsidRPr="001169B0">
        <w:rPr>
          <w:lang w:val="fr-FR" w:eastAsia="ja-JP"/>
        </w:rPr>
        <w:t xml:space="preserve"> l</w:t>
      </w:r>
      <w:r>
        <w:rPr>
          <w:lang w:val="fr-FR" w:eastAsia="ja-JP"/>
        </w:rPr>
        <w:t>’</w:t>
      </w:r>
      <w:r w:rsidRPr="001169B0">
        <w:rPr>
          <w:lang w:val="fr-FR" w:eastAsia="ja-JP"/>
        </w:rPr>
        <w:t>origine ethnique propres à justifier la différence de traitement</w:t>
      </w:r>
      <w:r w:rsidRPr="00E47167">
        <w:rPr>
          <w:rStyle w:val="Appelnotedebasdep"/>
        </w:rPr>
        <w:footnoteReference w:id="36"/>
      </w:r>
      <w:r w:rsidRPr="001169B0">
        <w:rPr>
          <w:lang w:val="fr-FR" w:eastAsia="ja-JP"/>
        </w:rPr>
        <w:t>.</w:t>
      </w:r>
      <w:r w:rsidRPr="001169B0">
        <w:rPr>
          <w:lang w:val="fr-FR"/>
        </w:rPr>
        <w:t xml:space="preserve"> À cet égard, les auteurs disent en outre que l</w:t>
      </w:r>
      <w:r>
        <w:rPr>
          <w:lang w:val="fr-FR"/>
        </w:rPr>
        <w:t>’</w:t>
      </w:r>
      <w:r w:rsidRPr="001169B0">
        <w:rPr>
          <w:lang w:val="fr-FR"/>
        </w:rPr>
        <w:t xml:space="preserve">État partie cherche à justifier la différence de traitement par des argument partiaux et infondés </w:t>
      </w:r>
      <w:r>
        <w:rPr>
          <w:lang w:val="fr-FR"/>
        </w:rPr>
        <w:t>relatifs au</w:t>
      </w:r>
      <w:r w:rsidRPr="001169B0">
        <w:rPr>
          <w:lang w:val="fr-FR"/>
        </w:rPr>
        <w:t xml:space="preserve"> style de vie et </w:t>
      </w:r>
      <w:r>
        <w:rPr>
          <w:lang w:val="fr-FR"/>
        </w:rPr>
        <w:t>aux</w:t>
      </w:r>
      <w:r w:rsidRPr="001169B0">
        <w:rPr>
          <w:lang w:val="fr-FR"/>
        </w:rPr>
        <w:t xml:space="preserve"> pratiques religieuses de certains groupes ethniques d</w:t>
      </w:r>
      <w:r>
        <w:rPr>
          <w:lang w:val="fr-FR"/>
        </w:rPr>
        <w:t>’</w:t>
      </w:r>
      <w:r w:rsidRPr="001169B0">
        <w:rPr>
          <w:lang w:val="fr-FR"/>
        </w:rPr>
        <w:t>origine non danoise et musulmans</w:t>
      </w:r>
      <w:r>
        <w:rPr>
          <w:lang w:val="fr-FR"/>
        </w:rPr>
        <w:t>,</w:t>
      </w:r>
      <w:r w:rsidRPr="001169B0">
        <w:rPr>
          <w:lang w:val="fr-FR"/>
        </w:rPr>
        <w:t xml:space="preserve"> extraits des travaux préparatoires de l</w:t>
      </w:r>
      <w:r>
        <w:rPr>
          <w:lang w:val="fr-FR"/>
        </w:rPr>
        <w:t>’</w:t>
      </w:r>
      <w:r w:rsidRPr="001169B0">
        <w:rPr>
          <w:lang w:val="fr-FR"/>
        </w:rPr>
        <w:t>article</w:t>
      </w:r>
      <w:r w:rsidR="009E6FAC">
        <w:rPr>
          <w:lang w:val="fr-FR"/>
        </w:rPr>
        <w:t> </w:t>
      </w:r>
      <w:r w:rsidRPr="001169B0">
        <w:rPr>
          <w:lang w:val="fr-FR"/>
        </w:rPr>
        <w:t>9</w:t>
      </w:r>
      <w:r w:rsidR="009E6FAC">
        <w:rPr>
          <w:lang w:val="fr-FR"/>
        </w:rPr>
        <w:t> </w:t>
      </w:r>
      <w:r w:rsidRPr="001169B0">
        <w:rPr>
          <w:lang w:val="fr-FR"/>
        </w:rPr>
        <w:t>8) de la loi sur les étrangers.</w:t>
      </w:r>
    </w:p>
    <w:p w:rsidR="00E82317" w:rsidRDefault="00E82317" w:rsidP="009E6FAC">
      <w:pPr>
        <w:pStyle w:val="H23G"/>
        <w:rPr>
          <w:lang w:val="fr-FR"/>
        </w:rPr>
      </w:pPr>
      <w:r w:rsidRPr="001169B0">
        <w:rPr>
          <w:lang w:val="fr-FR"/>
        </w:rPr>
        <w:lastRenderedPageBreak/>
        <w:tab/>
      </w:r>
      <w:r w:rsidRPr="001169B0">
        <w:rPr>
          <w:lang w:val="fr-FR"/>
        </w:rPr>
        <w:tab/>
        <w:t>Nouvelles observations</w:t>
      </w:r>
    </w:p>
    <w:p w:rsidR="00E82317" w:rsidRPr="001169B0" w:rsidRDefault="00E82317" w:rsidP="009E6FAC">
      <w:pPr>
        <w:pStyle w:val="H4G"/>
        <w:rPr>
          <w:lang w:val="fr-FR"/>
        </w:rPr>
      </w:pPr>
      <w:r>
        <w:rPr>
          <w:lang w:val="fr-FR"/>
        </w:rPr>
        <w:tab/>
      </w:r>
      <w:r>
        <w:rPr>
          <w:lang w:val="fr-FR"/>
        </w:rPr>
        <w:tab/>
      </w:r>
      <w:r w:rsidRPr="003D27B9">
        <w:rPr>
          <w:lang w:val="fr-FR"/>
        </w:rPr>
        <w:t>De l</w:t>
      </w:r>
      <w:r>
        <w:rPr>
          <w:lang w:val="fr-FR"/>
        </w:rPr>
        <w:t>’</w:t>
      </w:r>
      <w:r w:rsidRPr="003D27B9">
        <w:rPr>
          <w:lang w:val="fr-FR"/>
        </w:rPr>
        <w:t>État partie</w:t>
      </w:r>
    </w:p>
    <w:p w:rsidR="00E82317" w:rsidRPr="001169B0" w:rsidRDefault="00E82317" w:rsidP="00E82317">
      <w:pPr>
        <w:pStyle w:val="SingleTxtG"/>
        <w:rPr>
          <w:lang w:val="fr-FR" w:eastAsia="ja-JP"/>
        </w:rPr>
      </w:pPr>
      <w:r w:rsidRPr="001169B0">
        <w:rPr>
          <w:lang w:val="fr-FR" w:eastAsia="ja-JP"/>
        </w:rPr>
        <w:t>8.1</w:t>
      </w:r>
      <w:r w:rsidRPr="001169B0">
        <w:rPr>
          <w:lang w:val="fr-FR" w:eastAsia="ja-JP"/>
        </w:rPr>
        <w:tab/>
        <w:t>Le 8</w:t>
      </w:r>
      <w:r>
        <w:rPr>
          <w:lang w:val="fr-FR" w:eastAsia="ja-JP"/>
        </w:rPr>
        <w:t> </w:t>
      </w:r>
      <w:r w:rsidRPr="001169B0">
        <w:rPr>
          <w:lang w:val="fr-FR" w:eastAsia="ja-JP"/>
        </w:rPr>
        <w:t>novembre 2016, en réponse aux commentaires des auteurs datés du 12</w:t>
      </w:r>
      <w:r>
        <w:rPr>
          <w:lang w:val="fr-FR" w:eastAsia="ja-JP"/>
        </w:rPr>
        <w:t> </w:t>
      </w:r>
      <w:r w:rsidRPr="001169B0">
        <w:rPr>
          <w:lang w:val="fr-FR" w:eastAsia="ja-JP"/>
        </w:rPr>
        <w:t>juillet 2016, l</w:t>
      </w:r>
      <w:r>
        <w:rPr>
          <w:lang w:val="fr-FR" w:eastAsia="ja-JP"/>
        </w:rPr>
        <w:t>’</w:t>
      </w:r>
      <w:r w:rsidRPr="001169B0">
        <w:rPr>
          <w:lang w:val="fr-FR" w:eastAsia="ja-JP"/>
        </w:rPr>
        <w:t>État partie a soumis de nouvelles observations, dans lesquelles il renvoie de manière générale à ses observations du 13</w:t>
      </w:r>
      <w:r>
        <w:rPr>
          <w:lang w:val="fr-FR" w:eastAsia="ja-JP"/>
        </w:rPr>
        <w:t> </w:t>
      </w:r>
      <w:r w:rsidRPr="001169B0">
        <w:rPr>
          <w:lang w:val="fr-FR" w:eastAsia="ja-JP"/>
        </w:rPr>
        <w:t>mars 2015 et du 6</w:t>
      </w:r>
      <w:r>
        <w:rPr>
          <w:lang w:val="fr-FR" w:eastAsia="ja-JP"/>
        </w:rPr>
        <w:t> </w:t>
      </w:r>
      <w:r w:rsidRPr="001169B0">
        <w:rPr>
          <w:lang w:val="fr-FR" w:eastAsia="ja-JP"/>
        </w:rPr>
        <w:t>novembre 2015 ainsi qu</w:t>
      </w:r>
      <w:r>
        <w:rPr>
          <w:lang w:val="fr-FR" w:eastAsia="ja-JP"/>
        </w:rPr>
        <w:t>’</w:t>
      </w:r>
      <w:r w:rsidRPr="001169B0">
        <w:rPr>
          <w:lang w:val="fr-FR" w:eastAsia="ja-JP"/>
        </w:rPr>
        <w:t>à ses observations supplémentaires du 27</w:t>
      </w:r>
      <w:r>
        <w:rPr>
          <w:lang w:val="fr-FR" w:eastAsia="ja-JP"/>
        </w:rPr>
        <w:t> </w:t>
      </w:r>
      <w:r w:rsidRPr="001169B0">
        <w:rPr>
          <w:lang w:val="fr-FR" w:eastAsia="ja-JP"/>
        </w:rPr>
        <w:t>juin 2016. L</w:t>
      </w:r>
      <w:r>
        <w:rPr>
          <w:lang w:val="fr-FR" w:eastAsia="ja-JP"/>
        </w:rPr>
        <w:t>’</w:t>
      </w:r>
      <w:r w:rsidRPr="001169B0">
        <w:rPr>
          <w:lang w:val="fr-FR" w:eastAsia="ja-JP"/>
        </w:rPr>
        <w:t>État partie fait observer tout d</w:t>
      </w:r>
      <w:r>
        <w:rPr>
          <w:lang w:val="fr-FR" w:eastAsia="ja-JP"/>
        </w:rPr>
        <w:t>’</w:t>
      </w:r>
      <w:r w:rsidRPr="001169B0">
        <w:rPr>
          <w:lang w:val="fr-FR" w:eastAsia="ja-JP"/>
        </w:rPr>
        <w:t>abord que les commentaires des auteurs datés du 12</w:t>
      </w:r>
      <w:r>
        <w:rPr>
          <w:lang w:val="fr-FR" w:eastAsia="ja-JP"/>
        </w:rPr>
        <w:t> </w:t>
      </w:r>
      <w:r w:rsidRPr="001169B0">
        <w:rPr>
          <w:lang w:val="fr-FR" w:eastAsia="ja-JP"/>
        </w:rPr>
        <w:t>juillet 2016 ne contiennent pas de nouveaux renseignements ou de renseignements particuliers qu</w:t>
      </w:r>
      <w:r>
        <w:rPr>
          <w:lang w:val="fr-FR" w:eastAsia="ja-JP"/>
        </w:rPr>
        <w:t>’</w:t>
      </w:r>
      <w:r w:rsidRPr="001169B0">
        <w:rPr>
          <w:lang w:val="fr-FR" w:eastAsia="ja-JP"/>
        </w:rPr>
        <w:t>il n</w:t>
      </w:r>
      <w:r>
        <w:rPr>
          <w:lang w:val="fr-FR" w:eastAsia="ja-JP"/>
        </w:rPr>
        <w:t>’</w:t>
      </w:r>
      <w:r w:rsidRPr="001169B0">
        <w:rPr>
          <w:lang w:val="fr-FR" w:eastAsia="ja-JP"/>
        </w:rPr>
        <w:t>ait pas déjà pris en considération dans ses précédentes observations.</w:t>
      </w:r>
    </w:p>
    <w:p w:rsidR="00E82317" w:rsidRPr="001169B0" w:rsidRDefault="00E82317" w:rsidP="00E82317">
      <w:pPr>
        <w:pStyle w:val="SingleTxtG"/>
        <w:rPr>
          <w:lang w:val="fr-FR" w:eastAsia="ja-JP"/>
        </w:rPr>
      </w:pPr>
      <w:r w:rsidRPr="001169B0">
        <w:rPr>
          <w:lang w:val="fr-FR" w:eastAsia="ja-JP"/>
        </w:rPr>
        <w:t>8.2</w:t>
      </w:r>
      <w:r w:rsidRPr="001169B0">
        <w:rPr>
          <w:lang w:val="fr-FR" w:eastAsia="ja-JP"/>
        </w:rPr>
        <w:tab/>
        <w:t>Concernant le grief que les auteurs tirent de l</w:t>
      </w:r>
      <w:r>
        <w:rPr>
          <w:lang w:val="fr-FR" w:eastAsia="ja-JP"/>
        </w:rPr>
        <w:t>’</w:t>
      </w:r>
      <w:r w:rsidRPr="001169B0">
        <w:rPr>
          <w:lang w:val="fr-FR" w:eastAsia="ja-JP"/>
        </w:rPr>
        <w:t>article</w:t>
      </w:r>
      <w:r w:rsidR="009E6FAC">
        <w:rPr>
          <w:lang w:val="fr-FR" w:eastAsia="ja-JP"/>
        </w:rPr>
        <w:t> </w:t>
      </w:r>
      <w:r w:rsidRPr="001169B0">
        <w:rPr>
          <w:lang w:val="fr-FR" w:eastAsia="ja-JP"/>
        </w:rPr>
        <w:t>26 du Pacte et leurs commentaires sur les données statistiques fournies par l</w:t>
      </w:r>
      <w:r>
        <w:rPr>
          <w:lang w:val="fr-FR" w:eastAsia="ja-JP"/>
        </w:rPr>
        <w:t>’</w:t>
      </w:r>
      <w:r w:rsidRPr="001169B0">
        <w:rPr>
          <w:lang w:val="fr-FR" w:eastAsia="ja-JP"/>
        </w:rPr>
        <w:t>État partie, ce dernier répète que toutes les demandes de regroupement familial émanant d</w:t>
      </w:r>
      <w:r>
        <w:rPr>
          <w:lang w:val="fr-FR" w:eastAsia="ja-JP"/>
        </w:rPr>
        <w:t>’</w:t>
      </w:r>
      <w:r w:rsidRPr="001169B0">
        <w:rPr>
          <w:lang w:val="fr-FR" w:eastAsia="ja-JP"/>
        </w:rPr>
        <w:t>époux ayant de</w:t>
      </w:r>
      <w:r>
        <w:rPr>
          <w:lang w:val="fr-FR" w:eastAsia="ja-JP"/>
        </w:rPr>
        <w:t>s</w:t>
      </w:r>
      <w:r w:rsidRPr="001169B0">
        <w:rPr>
          <w:lang w:val="fr-FR" w:eastAsia="ja-JP"/>
        </w:rPr>
        <w:t xml:space="preserve"> liens de parenté ou d</w:t>
      </w:r>
      <w:r>
        <w:rPr>
          <w:lang w:val="fr-FR" w:eastAsia="ja-JP"/>
        </w:rPr>
        <w:t>’</w:t>
      </w:r>
      <w:r w:rsidRPr="001169B0">
        <w:rPr>
          <w:lang w:val="fr-FR" w:eastAsia="ja-JP"/>
        </w:rPr>
        <w:t>autre</w:t>
      </w:r>
      <w:r>
        <w:rPr>
          <w:lang w:val="fr-FR" w:eastAsia="ja-JP"/>
        </w:rPr>
        <w:t>s</w:t>
      </w:r>
      <w:r w:rsidRPr="001169B0">
        <w:rPr>
          <w:lang w:val="fr-FR" w:eastAsia="ja-JP"/>
        </w:rPr>
        <w:t xml:space="preserve"> liens étroits sont examinées à la lumière de l</w:t>
      </w:r>
      <w:r>
        <w:rPr>
          <w:lang w:val="fr-FR" w:eastAsia="ja-JP"/>
        </w:rPr>
        <w:t>’</w:t>
      </w:r>
      <w:r w:rsidRPr="001169B0">
        <w:rPr>
          <w:lang w:val="fr-FR" w:eastAsia="ja-JP"/>
        </w:rPr>
        <w:t>article</w:t>
      </w:r>
      <w:r>
        <w:rPr>
          <w:lang w:val="fr-FR" w:eastAsia="ja-JP"/>
        </w:rPr>
        <w:t> </w:t>
      </w:r>
      <w:r w:rsidRPr="001169B0">
        <w:rPr>
          <w:lang w:val="fr-FR" w:eastAsia="ja-JP"/>
        </w:rPr>
        <w:t>9</w:t>
      </w:r>
      <w:r>
        <w:rPr>
          <w:lang w:val="fr-FR" w:eastAsia="ja-JP"/>
        </w:rPr>
        <w:t> </w:t>
      </w:r>
      <w:r w:rsidRPr="001169B0">
        <w:rPr>
          <w:lang w:val="fr-FR" w:eastAsia="ja-JP"/>
        </w:rPr>
        <w:t>8) de la loi sur les étrangers, quel</w:t>
      </w:r>
      <w:r>
        <w:rPr>
          <w:lang w:val="fr-FR" w:eastAsia="ja-JP"/>
        </w:rPr>
        <w:t>le</w:t>
      </w:r>
      <w:r w:rsidRPr="001169B0">
        <w:rPr>
          <w:lang w:val="fr-FR" w:eastAsia="ja-JP"/>
        </w:rPr>
        <w:t>s que soient la nationalité, la religion ou l</w:t>
      </w:r>
      <w:r>
        <w:rPr>
          <w:lang w:val="fr-FR" w:eastAsia="ja-JP"/>
        </w:rPr>
        <w:t>’</w:t>
      </w:r>
      <w:r w:rsidRPr="001169B0">
        <w:rPr>
          <w:lang w:val="fr-FR" w:eastAsia="ja-JP"/>
        </w:rPr>
        <w:t>origine ethnique des intéressés.</w:t>
      </w:r>
    </w:p>
    <w:p w:rsidR="00E82317" w:rsidRPr="001169B0" w:rsidRDefault="00E82317" w:rsidP="00E82317">
      <w:pPr>
        <w:pStyle w:val="SingleTxtG"/>
        <w:rPr>
          <w:lang w:val="fr-FR" w:eastAsia="ja-JP"/>
        </w:rPr>
      </w:pPr>
      <w:r w:rsidRPr="001169B0">
        <w:rPr>
          <w:lang w:val="fr-FR" w:eastAsia="ja-JP"/>
        </w:rPr>
        <w:t>8.3</w:t>
      </w:r>
      <w:r w:rsidRPr="001169B0">
        <w:rPr>
          <w:lang w:val="fr-FR" w:eastAsia="ja-JP"/>
        </w:rPr>
        <w:tab/>
        <w:t>L</w:t>
      </w:r>
      <w:r>
        <w:rPr>
          <w:lang w:val="fr-FR" w:eastAsia="ja-JP"/>
        </w:rPr>
        <w:t>’</w:t>
      </w:r>
      <w:r w:rsidRPr="001169B0">
        <w:rPr>
          <w:lang w:val="fr-FR" w:eastAsia="ja-JP"/>
        </w:rPr>
        <w:t>État partie rejette l</w:t>
      </w:r>
      <w:r>
        <w:rPr>
          <w:lang w:val="fr-FR" w:eastAsia="ja-JP"/>
        </w:rPr>
        <w:t>’</w:t>
      </w:r>
      <w:r w:rsidRPr="001169B0">
        <w:rPr>
          <w:lang w:val="fr-FR" w:eastAsia="ja-JP"/>
        </w:rPr>
        <w:t>allégation des auteurs selon laquelle la décision prise en vertu de l</w:t>
      </w:r>
      <w:r>
        <w:rPr>
          <w:lang w:val="fr-FR" w:eastAsia="ja-JP"/>
        </w:rPr>
        <w:t>’</w:t>
      </w:r>
      <w:r w:rsidRPr="001169B0">
        <w:rPr>
          <w:lang w:val="fr-FR" w:eastAsia="ja-JP"/>
        </w:rPr>
        <w:t>article</w:t>
      </w:r>
      <w:r w:rsidR="009E6FAC">
        <w:rPr>
          <w:lang w:val="fr-FR" w:eastAsia="ja-JP"/>
        </w:rPr>
        <w:t> </w:t>
      </w:r>
      <w:r w:rsidRPr="001169B0">
        <w:rPr>
          <w:lang w:val="fr-FR" w:eastAsia="ja-JP"/>
        </w:rPr>
        <w:t>9</w:t>
      </w:r>
      <w:r w:rsidR="009E6FAC">
        <w:rPr>
          <w:lang w:val="fr-FR" w:eastAsia="ja-JP"/>
        </w:rPr>
        <w:t> </w:t>
      </w:r>
      <w:r w:rsidRPr="001169B0">
        <w:rPr>
          <w:lang w:val="fr-FR" w:eastAsia="ja-JP"/>
        </w:rPr>
        <w:t xml:space="preserve">8) était fondée sur </w:t>
      </w:r>
      <w:r>
        <w:rPr>
          <w:lang w:val="fr-FR" w:eastAsia="ja-JP"/>
        </w:rPr>
        <w:t>un</w:t>
      </w:r>
      <w:r w:rsidRPr="001169B0">
        <w:rPr>
          <w:lang w:val="fr-FR" w:eastAsia="ja-JP"/>
        </w:rPr>
        <w:t xml:space="preserve"> seul critère</w:t>
      </w:r>
      <w:r>
        <w:rPr>
          <w:lang w:val="fr-FR" w:eastAsia="ja-JP"/>
        </w:rPr>
        <w:t xml:space="preserve"> déterminant, à savoir le</w:t>
      </w:r>
      <w:r w:rsidRPr="001169B0">
        <w:rPr>
          <w:lang w:val="fr-FR" w:eastAsia="ja-JP"/>
        </w:rPr>
        <w:t xml:space="preserve"> lien de parenté existant entre les époux. L</w:t>
      </w:r>
      <w:r>
        <w:rPr>
          <w:lang w:val="fr-FR" w:eastAsia="ja-JP"/>
        </w:rPr>
        <w:t>’</w:t>
      </w:r>
      <w:r w:rsidRPr="001169B0">
        <w:rPr>
          <w:lang w:val="fr-FR" w:eastAsia="ja-JP"/>
        </w:rPr>
        <w:t>État partie réaffirme que les décisions relatives à l</w:t>
      </w:r>
      <w:r>
        <w:rPr>
          <w:lang w:val="fr-FR" w:eastAsia="ja-JP"/>
        </w:rPr>
        <w:t>’</w:t>
      </w:r>
      <w:r w:rsidRPr="001169B0">
        <w:rPr>
          <w:lang w:val="fr-FR" w:eastAsia="ja-JP"/>
        </w:rPr>
        <w:t>octroi d</w:t>
      </w:r>
      <w:r>
        <w:rPr>
          <w:lang w:val="fr-FR" w:eastAsia="ja-JP"/>
        </w:rPr>
        <w:t>’</w:t>
      </w:r>
      <w:r w:rsidRPr="001169B0">
        <w:rPr>
          <w:lang w:val="fr-FR" w:eastAsia="ja-JP"/>
        </w:rPr>
        <w:t>un permis de résidence au Danemark sont prises en tenant compte de toutes les informations disponibles. Le couple a donc la possibilité de contester la présomption selon laquelle leur mariage aurait été contracté contre leur gré, et, si la présomption est renversée, l</w:t>
      </w:r>
      <w:r>
        <w:rPr>
          <w:lang w:val="fr-FR" w:eastAsia="ja-JP"/>
        </w:rPr>
        <w:t>’</w:t>
      </w:r>
      <w:r w:rsidRPr="001169B0">
        <w:rPr>
          <w:lang w:val="fr-FR" w:eastAsia="ja-JP"/>
        </w:rPr>
        <w:t>article</w:t>
      </w:r>
      <w:r w:rsidR="009E6FAC">
        <w:rPr>
          <w:lang w:val="fr-FR" w:eastAsia="ja-JP"/>
        </w:rPr>
        <w:t> </w:t>
      </w:r>
      <w:r w:rsidRPr="001169B0">
        <w:rPr>
          <w:lang w:val="fr-FR" w:eastAsia="ja-JP"/>
        </w:rPr>
        <w:t>9</w:t>
      </w:r>
      <w:r w:rsidR="009E6FAC">
        <w:rPr>
          <w:lang w:val="fr-FR" w:eastAsia="ja-JP"/>
        </w:rPr>
        <w:t> </w:t>
      </w:r>
      <w:r w:rsidRPr="001169B0">
        <w:rPr>
          <w:lang w:val="fr-FR" w:eastAsia="ja-JP"/>
        </w:rPr>
        <w:t>8) de la loi sur les étrangers n</w:t>
      </w:r>
      <w:r>
        <w:rPr>
          <w:lang w:val="fr-FR" w:eastAsia="ja-JP"/>
        </w:rPr>
        <w:t>’</w:t>
      </w:r>
      <w:r w:rsidRPr="001169B0">
        <w:rPr>
          <w:lang w:val="fr-FR" w:eastAsia="ja-JP"/>
        </w:rPr>
        <w:t>empêche pas l</w:t>
      </w:r>
      <w:r>
        <w:rPr>
          <w:lang w:val="fr-FR" w:eastAsia="ja-JP"/>
        </w:rPr>
        <w:t>’</w:t>
      </w:r>
      <w:r w:rsidRPr="001169B0">
        <w:rPr>
          <w:lang w:val="fr-FR" w:eastAsia="ja-JP"/>
        </w:rPr>
        <w:t xml:space="preserve">octroi du permis de </w:t>
      </w:r>
      <w:r>
        <w:rPr>
          <w:lang w:val="fr-FR" w:eastAsia="ja-JP"/>
        </w:rPr>
        <w:t>séjour</w:t>
      </w:r>
      <w:r w:rsidRPr="001169B0">
        <w:rPr>
          <w:lang w:val="fr-FR" w:eastAsia="ja-JP"/>
        </w:rPr>
        <w:t xml:space="preserve"> malgré l</w:t>
      </w:r>
      <w:r>
        <w:rPr>
          <w:lang w:val="fr-FR" w:eastAsia="ja-JP"/>
        </w:rPr>
        <w:t>’</w:t>
      </w:r>
      <w:r w:rsidRPr="001169B0">
        <w:rPr>
          <w:lang w:val="fr-FR" w:eastAsia="ja-JP"/>
        </w:rPr>
        <w:t>existence d</w:t>
      </w:r>
      <w:r>
        <w:rPr>
          <w:lang w:val="fr-FR" w:eastAsia="ja-JP"/>
        </w:rPr>
        <w:t>’</w:t>
      </w:r>
      <w:r w:rsidRPr="001169B0">
        <w:rPr>
          <w:lang w:val="fr-FR" w:eastAsia="ja-JP"/>
        </w:rPr>
        <w:t>un lien de parenté entre les époux</w:t>
      </w:r>
      <w:r w:rsidRPr="00E47167">
        <w:rPr>
          <w:rStyle w:val="Appelnotedebasdep"/>
        </w:rPr>
        <w:footnoteReference w:id="37"/>
      </w:r>
      <w:r w:rsidRPr="001169B0">
        <w:rPr>
          <w:lang w:val="fr-FR" w:eastAsia="ja-JP"/>
        </w:rPr>
        <w:t>.</w:t>
      </w:r>
    </w:p>
    <w:p w:rsidR="00E82317" w:rsidRPr="001169B0" w:rsidRDefault="00E82317" w:rsidP="00E82317">
      <w:pPr>
        <w:pStyle w:val="SingleTxtG"/>
        <w:rPr>
          <w:lang w:val="fr-FR" w:eastAsia="ja-JP"/>
        </w:rPr>
      </w:pPr>
      <w:r w:rsidRPr="001169B0">
        <w:rPr>
          <w:lang w:val="fr-FR" w:eastAsia="ja-JP"/>
        </w:rPr>
        <w:t>8.4</w:t>
      </w:r>
      <w:r w:rsidRPr="001169B0">
        <w:rPr>
          <w:lang w:val="fr-FR" w:eastAsia="ja-JP"/>
        </w:rPr>
        <w:tab/>
        <w:t>S</w:t>
      </w:r>
      <w:r>
        <w:rPr>
          <w:lang w:val="fr-FR" w:eastAsia="ja-JP"/>
        </w:rPr>
        <w:t>’</w:t>
      </w:r>
      <w:r w:rsidRPr="001169B0">
        <w:rPr>
          <w:lang w:val="fr-FR" w:eastAsia="ja-JP"/>
        </w:rPr>
        <w:t>agissant de l</w:t>
      </w:r>
      <w:r>
        <w:rPr>
          <w:lang w:val="fr-FR" w:eastAsia="ja-JP"/>
        </w:rPr>
        <w:t>’</w:t>
      </w:r>
      <w:r w:rsidRPr="001169B0">
        <w:rPr>
          <w:lang w:val="fr-FR" w:eastAsia="ja-JP"/>
        </w:rPr>
        <w:t>argument des auteurs selon lequel l</w:t>
      </w:r>
      <w:r>
        <w:rPr>
          <w:lang w:val="fr-FR" w:eastAsia="ja-JP"/>
        </w:rPr>
        <w:t>’</w:t>
      </w:r>
      <w:r w:rsidRPr="001169B0">
        <w:rPr>
          <w:lang w:val="fr-FR" w:eastAsia="ja-JP"/>
        </w:rPr>
        <w:t>État partie n</w:t>
      </w:r>
      <w:r>
        <w:rPr>
          <w:lang w:val="fr-FR" w:eastAsia="ja-JP"/>
        </w:rPr>
        <w:t>’</w:t>
      </w:r>
      <w:r w:rsidRPr="001169B0">
        <w:rPr>
          <w:lang w:val="fr-FR" w:eastAsia="ja-JP"/>
        </w:rPr>
        <w:t>a pas démontré qu</w:t>
      </w:r>
      <w:r>
        <w:rPr>
          <w:lang w:val="fr-FR" w:eastAsia="ja-JP"/>
        </w:rPr>
        <w:t>’</w:t>
      </w:r>
      <w:r w:rsidRPr="001169B0">
        <w:rPr>
          <w:lang w:val="fr-FR" w:eastAsia="ja-JP"/>
        </w:rPr>
        <w:t xml:space="preserve">il existait des raisons impérieuses ou très fortes </w:t>
      </w:r>
      <w:r>
        <w:rPr>
          <w:lang w:val="fr-FR" w:eastAsia="ja-JP"/>
        </w:rPr>
        <w:t>sans lien avec</w:t>
      </w:r>
      <w:r w:rsidRPr="001169B0">
        <w:rPr>
          <w:lang w:val="fr-FR" w:eastAsia="ja-JP"/>
        </w:rPr>
        <w:t xml:space="preserve"> l</w:t>
      </w:r>
      <w:r>
        <w:rPr>
          <w:lang w:val="fr-FR" w:eastAsia="ja-JP"/>
        </w:rPr>
        <w:t>’</w:t>
      </w:r>
      <w:r w:rsidRPr="001169B0">
        <w:rPr>
          <w:lang w:val="fr-FR" w:eastAsia="ja-JP"/>
        </w:rPr>
        <w:t>origine ethnique propres à justifier la différence de traitement indirecte, l</w:t>
      </w:r>
      <w:r>
        <w:rPr>
          <w:lang w:val="fr-FR" w:eastAsia="ja-JP"/>
        </w:rPr>
        <w:t>’</w:t>
      </w:r>
      <w:r w:rsidRPr="001169B0">
        <w:rPr>
          <w:lang w:val="fr-FR" w:eastAsia="ja-JP"/>
        </w:rPr>
        <w:t>État partie réaffirme que tout</w:t>
      </w:r>
      <w:r>
        <w:rPr>
          <w:lang w:val="fr-FR" w:eastAsia="ja-JP"/>
        </w:rPr>
        <w:t>e</w:t>
      </w:r>
      <w:r w:rsidRPr="001169B0">
        <w:rPr>
          <w:lang w:val="fr-FR" w:eastAsia="ja-JP"/>
        </w:rPr>
        <w:t xml:space="preserve"> différence de traitement, </w:t>
      </w:r>
      <w:r>
        <w:rPr>
          <w:lang w:val="fr-FR" w:eastAsia="ja-JP"/>
        </w:rPr>
        <w:t>lorsqu’elle</w:t>
      </w:r>
      <w:r w:rsidRPr="001169B0">
        <w:rPr>
          <w:lang w:val="fr-FR" w:eastAsia="ja-JP"/>
        </w:rPr>
        <w:t xml:space="preserve"> existe, est fondée sur des critères factuels et objectifs. Le but de l</w:t>
      </w:r>
      <w:r>
        <w:rPr>
          <w:lang w:val="fr-FR" w:eastAsia="ja-JP"/>
        </w:rPr>
        <w:t>’</w:t>
      </w:r>
      <w:r w:rsidRPr="001169B0">
        <w:rPr>
          <w:lang w:val="fr-FR" w:eastAsia="ja-JP"/>
        </w:rPr>
        <w:t>article</w:t>
      </w:r>
      <w:r w:rsidR="009E6FAC">
        <w:rPr>
          <w:lang w:val="fr-FR" w:eastAsia="ja-JP"/>
        </w:rPr>
        <w:t> </w:t>
      </w:r>
      <w:r w:rsidRPr="001169B0">
        <w:rPr>
          <w:lang w:val="fr-FR" w:eastAsia="ja-JP"/>
        </w:rPr>
        <w:t>9</w:t>
      </w:r>
      <w:r w:rsidR="009E6FAC">
        <w:rPr>
          <w:lang w:val="fr-FR" w:eastAsia="ja-JP"/>
        </w:rPr>
        <w:t> </w:t>
      </w:r>
      <w:r w:rsidRPr="001169B0">
        <w:rPr>
          <w:lang w:val="fr-FR" w:eastAsia="ja-JP"/>
        </w:rPr>
        <w:t>8) est d</w:t>
      </w:r>
      <w:r>
        <w:rPr>
          <w:lang w:val="fr-FR" w:eastAsia="ja-JP"/>
        </w:rPr>
        <w:t>’</w:t>
      </w:r>
      <w:r w:rsidRPr="001169B0">
        <w:rPr>
          <w:lang w:val="fr-FR" w:eastAsia="ja-JP"/>
        </w:rPr>
        <w:t>aider les personnes qui risquent d</w:t>
      </w:r>
      <w:r>
        <w:rPr>
          <w:lang w:val="fr-FR" w:eastAsia="ja-JP"/>
        </w:rPr>
        <w:t>’</w:t>
      </w:r>
      <w:r w:rsidRPr="001169B0">
        <w:rPr>
          <w:lang w:val="fr-FR" w:eastAsia="ja-JP"/>
        </w:rPr>
        <w:t>être forcées à se marier avec un proche parent ou une autre relation contre leur gré ou de subir des pressions dans ce sens, et ce but doit être considéré comme une raison impérieuse ou très forte</w:t>
      </w:r>
      <w:r w:rsidRPr="00E47167">
        <w:rPr>
          <w:rStyle w:val="Appelnotedebasdep"/>
        </w:rPr>
        <w:footnoteReference w:id="38"/>
      </w:r>
      <w:r w:rsidRPr="001169B0">
        <w:rPr>
          <w:lang w:val="fr-FR" w:eastAsia="ja-JP"/>
        </w:rPr>
        <w:t>.</w:t>
      </w:r>
    </w:p>
    <w:p w:rsidR="00E82317" w:rsidRPr="001169B0" w:rsidRDefault="00E82317" w:rsidP="009E6FAC">
      <w:pPr>
        <w:pStyle w:val="H23G"/>
        <w:rPr>
          <w:lang w:val="fr-FR"/>
        </w:rPr>
      </w:pPr>
      <w:r w:rsidRPr="001169B0">
        <w:rPr>
          <w:lang w:val="fr-FR"/>
        </w:rPr>
        <w:tab/>
      </w:r>
      <w:r w:rsidRPr="001169B0">
        <w:rPr>
          <w:lang w:val="fr-FR"/>
        </w:rPr>
        <w:tab/>
        <w:t>Délibérations du Comité</w:t>
      </w:r>
    </w:p>
    <w:p w:rsidR="00E82317" w:rsidRPr="001169B0" w:rsidRDefault="00E82317" w:rsidP="009E6FAC">
      <w:pPr>
        <w:pStyle w:val="H4G"/>
        <w:rPr>
          <w:lang w:val="fr-FR"/>
        </w:rPr>
      </w:pPr>
      <w:r w:rsidRPr="001169B0">
        <w:rPr>
          <w:lang w:val="fr-FR"/>
        </w:rPr>
        <w:tab/>
      </w:r>
      <w:r w:rsidRPr="001169B0">
        <w:rPr>
          <w:lang w:val="fr-FR"/>
        </w:rPr>
        <w:tab/>
        <w:t>Examen de la recevabilité</w:t>
      </w:r>
    </w:p>
    <w:p w:rsidR="00E82317" w:rsidRPr="001169B0" w:rsidRDefault="00E82317" w:rsidP="00E82317">
      <w:pPr>
        <w:pStyle w:val="SingleTxtG"/>
        <w:rPr>
          <w:lang w:val="fr-FR"/>
        </w:rPr>
      </w:pPr>
      <w:r w:rsidRPr="001169B0">
        <w:rPr>
          <w:lang w:val="fr-FR"/>
        </w:rPr>
        <w:t>9.1</w:t>
      </w:r>
      <w:r w:rsidRPr="001169B0">
        <w:rPr>
          <w:lang w:val="fr-FR"/>
        </w:rPr>
        <w:tab/>
        <w:t>Avant d</w:t>
      </w:r>
      <w:r>
        <w:rPr>
          <w:lang w:val="fr-FR"/>
        </w:rPr>
        <w:t>’</w:t>
      </w:r>
      <w:r w:rsidRPr="001169B0">
        <w:rPr>
          <w:lang w:val="fr-FR"/>
        </w:rPr>
        <w:t>examiner tout grief formulé dans une communication, le Comité des droits de l</w:t>
      </w:r>
      <w:r>
        <w:rPr>
          <w:lang w:val="fr-FR"/>
        </w:rPr>
        <w:t>’</w:t>
      </w:r>
      <w:r w:rsidRPr="001169B0">
        <w:rPr>
          <w:lang w:val="fr-FR"/>
        </w:rPr>
        <w:t>homme doit, conformément à l</w:t>
      </w:r>
      <w:r>
        <w:rPr>
          <w:lang w:val="fr-FR"/>
        </w:rPr>
        <w:t>’</w:t>
      </w:r>
      <w:r w:rsidRPr="001169B0">
        <w:rPr>
          <w:lang w:val="fr-FR"/>
        </w:rPr>
        <w:t>article</w:t>
      </w:r>
      <w:r w:rsidR="009E6FAC">
        <w:rPr>
          <w:lang w:val="fr-FR"/>
        </w:rPr>
        <w:t> </w:t>
      </w:r>
      <w:r w:rsidRPr="001169B0">
        <w:rPr>
          <w:lang w:val="fr-FR"/>
        </w:rPr>
        <w:t>97 de son règlement intérieur, déterminer si la communication est recevable au regard du Protocole facultatif.</w:t>
      </w:r>
    </w:p>
    <w:p w:rsidR="00E82317" w:rsidRPr="001169B0" w:rsidRDefault="00E82317" w:rsidP="00E82317">
      <w:pPr>
        <w:pStyle w:val="SingleTxtG"/>
        <w:rPr>
          <w:lang w:val="fr-FR"/>
        </w:rPr>
      </w:pPr>
      <w:r w:rsidRPr="001169B0">
        <w:rPr>
          <w:lang w:val="fr-FR"/>
        </w:rPr>
        <w:t>9.2</w:t>
      </w:r>
      <w:r w:rsidRPr="001169B0">
        <w:rPr>
          <w:lang w:val="fr-FR"/>
        </w:rPr>
        <w:tab/>
        <w:t>Le Comité s</w:t>
      </w:r>
      <w:r>
        <w:rPr>
          <w:lang w:val="fr-FR"/>
        </w:rPr>
        <w:t>’</w:t>
      </w:r>
      <w:r w:rsidRPr="001169B0">
        <w:rPr>
          <w:lang w:val="fr-FR"/>
        </w:rPr>
        <w:t>est assuré, comme il est tenu de le faire conformément au paragraphe</w:t>
      </w:r>
      <w:r>
        <w:rPr>
          <w:lang w:val="fr-FR"/>
        </w:rPr>
        <w:t> </w:t>
      </w:r>
      <w:r w:rsidRPr="001169B0">
        <w:rPr>
          <w:lang w:val="fr-FR"/>
        </w:rPr>
        <w:t>2</w:t>
      </w:r>
      <w:r>
        <w:rPr>
          <w:lang w:val="fr-FR"/>
        </w:rPr>
        <w:t> </w:t>
      </w:r>
      <w:r w:rsidRPr="001169B0">
        <w:rPr>
          <w:lang w:val="fr-FR"/>
        </w:rPr>
        <w:t>a) de l</w:t>
      </w:r>
      <w:r>
        <w:rPr>
          <w:lang w:val="fr-FR"/>
        </w:rPr>
        <w:t>’</w:t>
      </w:r>
      <w:r w:rsidRPr="001169B0">
        <w:rPr>
          <w:lang w:val="fr-FR"/>
        </w:rPr>
        <w:t>article</w:t>
      </w:r>
      <w:r w:rsidR="009E6FAC">
        <w:rPr>
          <w:lang w:val="fr-FR"/>
        </w:rPr>
        <w:t> </w:t>
      </w:r>
      <w:r w:rsidRPr="001169B0">
        <w:rPr>
          <w:lang w:val="fr-FR"/>
        </w:rPr>
        <w:t>5 du Protocole facultatif, que la même question n</w:t>
      </w:r>
      <w:r>
        <w:rPr>
          <w:lang w:val="fr-FR"/>
        </w:rPr>
        <w:t>’</w:t>
      </w:r>
      <w:r w:rsidRPr="001169B0">
        <w:rPr>
          <w:lang w:val="fr-FR"/>
        </w:rPr>
        <w:t>était pas déjà en cours d</w:t>
      </w:r>
      <w:r>
        <w:rPr>
          <w:lang w:val="fr-FR"/>
        </w:rPr>
        <w:t>’</w:t>
      </w:r>
      <w:r w:rsidRPr="001169B0">
        <w:rPr>
          <w:lang w:val="fr-FR"/>
        </w:rPr>
        <w:t>examen devant une autre instance internationale d</w:t>
      </w:r>
      <w:r>
        <w:rPr>
          <w:lang w:val="fr-FR"/>
        </w:rPr>
        <w:t>’</w:t>
      </w:r>
      <w:r w:rsidRPr="001169B0">
        <w:rPr>
          <w:lang w:val="fr-FR"/>
        </w:rPr>
        <w:t>enquête ou de règlement.</w:t>
      </w:r>
    </w:p>
    <w:p w:rsidR="00E82317" w:rsidRPr="001169B0" w:rsidRDefault="00E82317" w:rsidP="00E82317">
      <w:pPr>
        <w:pStyle w:val="SingleTxtG"/>
        <w:rPr>
          <w:lang w:val="fr-FR"/>
        </w:rPr>
      </w:pPr>
      <w:r w:rsidRPr="001169B0">
        <w:rPr>
          <w:lang w:val="fr-FR"/>
        </w:rPr>
        <w:t>9.3</w:t>
      </w:r>
      <w:r w:rsidRPr="001169B0">
        <w:rPr>
          <w:lang w:val="fr-FR"/>
        </w:rPr>
        <w:tab/>
        <w:t>Le Comité rappelle qu</w:t>
      </w:r>
      <w:r>
        <w:rPr>
          <w:lang w:val="fr-FR"/>
        </w:rPr>
        <w:t>e, conformément au paragraphe 2 </w:t>
      </w:r>
      <w:r w:rsidRPr="001169B0">
        <w:rPr>
          <w:lang w:val="fr-FR"/>
        </w:rPr>
        <w:t>b) de l</w:t>
      </w:r>
      <w:r>
        <w:rPr>
          <w:lang w:val="fr-FR"/>
        </w:rPr>
        <w:t>’</w:t>
      </w:r>
      <w:r w:rsidRPr="001169B0">
        <w:rPr>
          <w:lang w:val="fr-FR"/>
        </w:rPr>
        <w:t>article</w:t>
      </w:r>
      <w:r w:rsidR="009E6FAC">
        <w:rPr>
          <w:lang w:val="fr-FR"/>
        </w:rPr>
        <w:t> </w:t>
      </w:r>
      <w:r w:rsidRPr="001169B0">
        <w:rPr>
          <w:lang w:val="fr-FR"/>
        </w:rPr>
        <w:t>5 du Protocole facultatif, il ne peut examiner une communication émanant d</w:t>
      </w:r>
      <w:r>
        <w:rPr>
          <w:lang w:val="fr-FR"/>
        </w:rPr>
        <w:t>’</w:t>
      </w:r>
      <w:r w:rsidRPr="001169B0">
        <w:rPr>
          <w:lang w:val="fr-FR"/>
        </w:rPr>
        <w:t>un particulier sans s</w:t>
      </w:r>
      <w:r>
        <w:rPr>
          <w:lang w:val="fr-FR"/>
        </w:rPr>
        <w:t>’</w:t>
      </w:r>
      <w:r w:rsidRPr="001169B0">
        <w:rPr>
          <w:lang w:val="fr-FR"/>
        </w:rPr>
        <w:t>être assuré que tous les recours internes ont été épuisés.</w:t>
      </w:r>
    </w:p>
    <w:p w:rsidR="00E82317" w:rsidRPr="001169B0" w:rsidRDefault="00E82317" w:rsidP="00E82317">
      <w:pPr>
        <w:pStyle w:val="SingleTxtG"/>
        <w:rPr>
          <w:lang w:val="fr-FR"/>
        </w:rPr>
      </w:pPr>
      <w:r w:rsidRPr="001169B0">
        <w:rPr>
          <w:lang w:val="fr-FR"/>
        </w:rPr>
        <w:t>9.4</w:t>
      </w:r>
      <w:r w:rsidRPr="001169B0">
        <w:rPr>
          <w:lang w:val="fr-FR"/>
        </w:rPr>
        <w:tab/>
        <w:t>Le Comité relève que l</w:t>
      </w:r>
      <w:r>
        <w:rPr>
          <w:lang w:val="fr-FR"/>
        </w:rPr>
        <w:t>’</w:t>
      </w:r>
      <w:r w:rsidRPr="001169B0">
        <w:rPr>
          <w:lang w:val="fr-FR"/>
        </w:rPr>
        <w:t>État partie conteste la recevabilité de la communication au motif que les recours internes n</w:t>
      </w:r>
      <w:r>
        <w:rPr>
          <w:lang w:val="fr-FR"/>
        </w:rPr>
        <w:t>’</w:t>
      </w:r>
      <w:r w:rsidRPr="001169B0">
        <w:rPr>
          <w:lang w:val="fr-FR"/>
        </w:rPr>
        <w:t xml:space="preserve">ont pas été épuisés. Il </w:t>
      </w:r>
      <w:r>
        <w:rPr>
          <w:lang w:val="fr-FR"/>
        </w:rPr>
        <w:t>note</w:t>
      </w:r>
      <w:r w:rsidRPr="001169B0">
        <w:rPr>
          <w:lang w:val="fr-FR"/>
        </w:rPr>
        <w:t xml:space="preserve"> que les auteurs n</w:t>
      </w:r>
      <w:r>
        <w:rPr>
          <w:lang w:val="fr-FR"/>
        </w:rPr>
        <w:t>’</w:t>
      </w:r>
      <w:r w:rsidRPr="001169B0">
        <w:rPr>
          <w:lang w:val="fr-FR"/>
        </w:rPr>
        <w:t>ont épuisé que les procédures administratives et n</w:t>
      </w:r>
      <w:r>
        <w:rPr>
          <w:lang w:val="fr-FR"/>
        </w:rPr>
        <w:t>’</w:t>
      </w:r>
      <w:r w:rsidRPr="001169B0">
        <w:rPr>
          <w:lang w:val="fr-FR"/>
        </w:rPr>
        <w:t>ont pas engagé d</w:t>
      </w:r>
      <w:r>
        <w:rPr>
          <w:lang w:val="fr-FR"/>
        </w:rPr>
        <w:t>’</w:t>
      </w:r>
      <w:r w:rsidRPr="001169B0">
        <w:rPr>
          <w:lang w:val="fr-FR"/>
        </w:rPr>
        <w:t>action en justice pour contester la décision de la Commission des recours en matière d</w:t>
      </w:r>
      <w:r>
        <w:rPr>
          <w:lang w:val="fr-FR"/>
        </w:rPr>
        <w:t>’</w:t>
      </w:r>
      <w:r w:rsidRPr="001169B0">
        <w:rPr>
          <w:lang w:val="fr-FR"/>
        </w:rPr>
        <w:t>immigration du 13</w:t>
      </w:r>
      <w:r>
        <w:rPr>
          <w:lang w:val="fr-FR"/>
        </w:rPr>
        <w:t> </w:t>
      </w:r>
      <w:r w:rsidRPr="001169B0">
        <w:rPr>
          <w:lang w:val="fr-FR"/>
        </w:rPr>
        <w:t xml:space="preserve">novembre 2013 par </w:t>
      </w:r>
      <w:r w:rsidRPr="001169B0">
        <w:rPr>
          <w:lang w:val="fr-FR"/>
        </w:rPr>
        <w:lastRenderedPageBreak/>
        <w:t xml:space="preserve">laquelle leur demande de regroupement familial a été rejetée. Le Comité relève </w:t>
      </w:r>
      <w:r>
        <w:rPr>
          <w:lang w:val="fr-FR"/>
        </w:rPr>
        <w:t xml:space="preserve">également, cependant, </w:t>
      </w:r>
      <w:r w:rsidRPr="001169B0">
        <w:rPr>
          <w:lang w:val="fr-FR"/>
        </w:rPr>
        <w:t xml:space="preserve">que les auteurs prétendent que les recours judiciaires internes ne leur </w:t>
      </w:r>
      <w:r>
        <w:rPr>
          <w:lang w:val="fr-FR"/>
        </w:rPr>
        <w:t xml:space="preserve">étaient </w:t>
      </w:r>
      <w:r w:rsidRPr="001169B0">
        <w:rPr>
          <w:lang w:val="fr-FR"/>
        </w:rPr>
        <w:t xml:space="preserve">pas ouverts ou </w:t>
      </w:r>
      <w:r>
        <w:rPr>
          <w:lang w:val="fr-FR"/>
        </w:rPr>
        <w:t xml:space="preserve">n’étaient </w:t>
      </w:r>
      <w:r w:rsidRPr="001169B0">
        <w:rPr>
          <w:lang w:val="fr-FR"/>
        </w:rPr>
        <w:t>pas utiles dans leur cas étant donné que la demande d</w:t>
      </w:r>
      <w:r>
        <w:rPr>
          <w:lang w:val="fr-FR"/>
        </w:rPr>
        <w:t>’</w:t>
      </w:r>
      <w:r w:rsidRPr="001169B0">
        <w:rPr>
          <w:lang w:val="fr-FR"/>
        </w:rPr>
        <w:t>aide juridictionnelle qu</w:t>
      </w:r>
      <w:r>
        <w:rPr>
          <w:lang w:val="fr-FR"/>
        </w:rPr>
        <w:t>’</w:t>
      </w:r>
      <w:r w:rsidRPr="001169B0">
        <w:rPr>
          <w:lang w:val="fr-FR"/>
        </w:rPr>
        <w:t xml:space="preserve">ils ont présentée a été rejetée </w:t>
      </w:r>
      <w:r>
        <w:rPr>
          <w:lang w:val="fr-FR"/>
        </w:rPr>
        <w:t xml:space="preserve">par le </w:t>
      </w:r>
      <w:r w:rsidRPr="001169B0">
        <w:rPr>
          <w:lang w:val="fr-FR"/>
        </w:rPr>
        <w:t>Bureau d</w:t>
      </w:r>
      <w:r>
        <w:rPr>
          <w:lang w:val="fr-FR"/>
        </w:rPr>
        <w:t>’</w:t>
      </w:r>
      <w:r w:rsidRPr="001169B0">
        <w:rPr>
          <w:lang w:val="fr-FR"/>
        </w:rPr>
        <w:t xml:space="preserve">aide juridictionnelle du Département des affaires civiles </w:t>
      </w:r>
      <w:r>
        <w:rPr>
          <w:lang w:val="fr-FR"/>
        </w:rPr>
        <w:t xml:space="preserve">et par la </w:t>
      </w:r>
      <w:r w:rsidRPr="001169B0">
        <w:rPr>
          <w:lang w:val="fr-FR"/>
        </w:rPr>
        <w:t>Commission d</w:t>
      </w:r>
      <w:r>
        <w:rPr>
          <w:lang w:val="fr-FR"/>
        </w:rPr>
        <w:t>’</w:t>
      </w:r>
      <w:r w:rsidRPr="001169B0">
        <w:rPr>
          <w:lang w:val="fr-FR"/>
        </w:rPr>
        <w:t xml:space="preserve">autorisation des recours </w:t>
      </w:r>
      <w:r>
        <w:rPr>
          <w:lang w:val="fr-FR"/>
        </w:rPr>
        <w:t>sur la base de la décision de la Cour suprême du 30</w:t>
      </w:r>
      <w:r w:rsidR="009E6FAC">
        <w:rPr>
          <w:lang w:val="fr-FR"/>
        </w:rPr>
        <w:t> </w:t>
      </w:r>
      <w:r>
        <w:rPr>
          <w:lang w:val="fr-FR"/>
        </w:rPr>
        <w:t>janvier 2007</w:t>
      </w:r>
      <w:r w:rsidRPr="00E47167">
        <w:rPr>
          <w:rStyle w:val="Appelnotedebasdep"/>
        </w:rPr>
        <w:footnoteReference w:id="39"/>
      </w:r>
      <w:r>
        <w:rPr>
          <w:lang w:val="fr-FR"/>
        </w:rPr>
        <w:t xml:space="preserve">, et </w:t>
      </w:r>
      <w:r w:rsidRPr="001169B0">
        <w:rPr>
          <w:lang w:val="fr-FR"/>
        </w:rPr>
        <w:t>qu</w:t>
      </w:r>
      <w:r>
        <w:rPr>
          <w:lang w:val="fr-FR"/>
        </w:rPr>
        <w:t>’</w:t>
      </w:r>
      <w:r w:rsidRPr="001169B0">
        <w:rPr>
          <w:lang w:val="fr-FR"/>
        </w:rPr>
        <w:t>il n</w:t>
      </w:r>
      <w:r>
        <w:rPr>
          <w:lang w:val="fr-FR"/>
        </w:rPr>
        <w:t>’</w:t>
      </w:r>
      <w:r w:rsidRPr="001169B0">
        <w:rPr>
          <w:lang w:val="fr-FR"/>
        </w:rPr>
        <w:t>y avait pas de chance raisonnable qu</w:t>
      </w:r>
      <w:r>
        <w:rPr>
          <w:lang w:val="fr-FR"/>
        </w:rPr>
        <w:t>’</w:t>
      </w:r>
      <w:r w:rsidRPr="001169B0">
        <w:rPr>
          <w:lang w:val="fr-FR"/>
        </w:rPr>
        <w:t>un recours en justice aboutisse.</w:t>
      </w:r>
    </w:p>
    <w:p w:rsidR="00E82317" w:rsidRDefault="00E82317" w:rsidP="00E82317">
      <w:pPr>
        <w:pStyle w:val="SingleTxtG"/>
        <w:rPr>
          <w:lang w:val="fr-FR"/>
        </w:rPr>
      </w:pPr>
      <w:r w:rsidRPr="001169B0">
        <w:rPr>
          <w:lang w:val="fr-FR"/>
        </w:rPr>
        <w:t>9.5</w:t>
      </w:r>
      <w:r w:rsidRPr="001169B0">
        <w:rPr>
          <w:lang w:val="fr-FR"/>
        </w:rPr>
        <w:tab/>
        <w:t xml:space="preserve">À cet égard, </w:t>
      </w:r>
      <w:r>
        <w:rPr>
          <w:lang w:val="fr-FR"/>
        </w:rPr>
        <w:t>aux fins du paragraphe</w:t>
      </w:r>
      <w:r w:rsidR="009E6FAC">
        <w:rPr>
          <w:lang w:val="fr-FR"/>
        </w:rPr>
        <w:t> </w:t>
      </w:r>
      <w:r>
        <w:rPr>
          <w:lang w:val="fr-FR"/>
        </w:rPr>
        <w:t>2</w:t>
      </w:r>
      <w:r w:rsidR="009E6FAC">
        <w:rPr>
          <w:lang w:val="fr-FR"/>
        </w:rPr>
        <w:t> </w:t>
      </w:r>
      <w:r>
        <w:rPr>
          <w:lang w:val="fr-FR"/>
        </w:rPr>
        <w:t>b) de l’article</w:t>
      </w:r>
      <w:r w:rsidR="009E6FAC">
        <w:rPr>
          <w:lang w:val="fr-FR"/>
        </w:rPr>
        <w:t> </w:t>
      </w:r>
      <w:r>
        <w:rPr>
          <w:lang w:val="fr-FR"/>
        </w:rPr>
        <w:t xml:space="preserve">5 du Protocole facultatif, </w:t>
      </w:r>
      <w:r w:rsidRPr="001169B0">
        <w:rPr>
          <w:lang w:val="fr-FR"/>
        </w:rPr>
        <w:t>le</w:t>
      </w:r>
      <w:r w:rsidR="009E6FAC">
        <w:rPr>
          <w:lang w:val="fr-FR"/>
        </w:rPr>
        <w:t> </w:t>
      </w:r>
      <w:r w:rsidRPr="001169B0">
        <w:rPr>
          <w:lang w:val="fr-FR"/>
        </w:rPr>
        <w:t xml:space="preserve">Comité rappelle que les recours internes doivent non seulement </w:t>
      </w:r>
      <w:r w:rsidR="0090710C">
        <w:rPr>
          <w:lang w:val="fr-FR"/>
        </w:rPr>
        <w:t xml:space="preserve">être </w:t>
      </w:r>
      <w:r w:rsidRPr="001169B0">
        <w:rPr>
          <w:lang w:val="fr-FR"/>
        </w:rPr>
        <w:t>disponibles, mais aussi utiles,</w:t>
      </w:r>
      <w:r>
        <w:rPr>
          <w:lang w:val="fr-FR"/>
        </w:rPr>
        <w:t xml:space="preserve"> ce qui dépend également de la nature de la violation présumée</w:t>
      </w:r>
      <w:r w:rsidRPr="00E47167">
        <w:rPr>
          <w:rStyle w:val="Appelnotedebasdep"/>
        </w:rPr>
        <w:footnoteReference w:id="40"/>
      </w:r>
      <w:r w:rsidRPr="001169B0">
        <w:rPr>
          <w:lang w:val="fr-FR"/>
        </w:rPr>
        <w:t xml:space="preserve">. Il rappelle </w:t>
      </w:r>
      <w:r>
        <w:rPr>
          <w:lang w:val="fr-FR"/>
        </w:rPr>
        <w:t>aussi</w:t>
      </w:r>
      <w:r w:rsidRPr="001169B0">
        <w:rPr>
          <w:lang w:val="fr-FR"/>
        </w:rPr>
        <w:t xml:space="preserve"> </w:t>
      </w:r>
      <w:r>
        <w:rPr>
          <w:lang w:val="fr-FR"/>
        </w:rPr>
        <w:t xml:space="preserve">que </w:t>
      </w:r>
      <w:r w:rsidRPr="001169B0">
        <w:rPr>
          <w:lang w:val="fr-FR"/>
        </w:rPr>
        <w:t>l</w:t>
      </w:r>
      <w:r>
        <w:rPr>
          <w:lang w:val="fr-FR"/>
        </w:rPr>
        <w:t xml:space="preserve">es </w:t>
      </w:r>
      <w:r w:rsidRPr="001169B0">
        <w:rPr>
          <w:lang w:val="fr-FR"/>
        </w:rPr>
        <w:t>auteur</w:t>
      </w:r>
      <w:r>
        <w:rPr>
          <w:lang w:val="fr-FR"/>
        </w:rPr>
        <w:t>s</w:t>
      </w:r>
      <w:r w:rsidRPr="001169B0">
        <w:rPr>
          <w:lang w:val="fr-FR"/>
        </w:rPr>
        <w:t xml:space="preserve"> doi</w:t>
      </w:r>
      <w:r>
        <w:rPr>
          <w:lang w:val="fr-FR"/>
        </w:rPr>
        <w:t>ven</w:t>
      </w:r>
      <w:r w:rsidRPr="001169B0">
        <w:rPr>
          <w:lang w:val="fr-FR"/>
        </w:rPr>
        <w:t xml:space="preserve">t utiliser toutes les voies de recours judiciaires </w:t>
      </w:r>
      <w:r>
        <w:rPr>
          <w:lang w:val="fr-FR"/>
        </w:rPr>
        <w:t xml:space="preserve">ou administratives </w:t>
      </w:r>
      <w:r w:rsidRPr="001169B0">
        <w:rPr>
          <w:lang w:val="fr-FR"/>
        </w:rPr>
        <w:t xml:space="preserve">qui </w:t>
      </w:r>
      <w:r>
        <w:rPr>
          <w:lang w:val="fr-FR"/>
        </w:rPr>
        <w:t>leur</w:t>
      </w:r>
      <w:r w:rsidRPr="001169B0">
        <w:rPr>
          <w:lang w:val="fr-FR"/>
        </w:rPr>
        <w:t xml:space="preserve"> sont ouvertes et qui offrent des chances raisonnables d</w:t>
      </w:r>
      <w:r>
        <w:rPr>
          <w:lang w:val="fr-FR"/>
        </w:rPr>
        <w:t>’</w:t>
      </w:r>
      <w:r w:rsidRPr="001169B0">
        <w:rPr>
          <w:lang w:val="fr-FR"/>
        </w:rPr>
        <w:t>obtenir réparation</w:t>
      </w:r>
      <w:r w:rsidRPr="00E47167">
        <w:rPr>
          <w:rStyle w:val="Appelnotedebasdep"/>
        </w:rPr>
        <w:footnoteReference w:id="41"/>
      </w:r>
      <w:r w:rsidRPr="001169B0">
        <w:rPr>
          <w:lang w:val="fr-FR"/>
        </w:rPr>
        <w:t>. Le Comité rappelle qu</w:t>
      </w:r>
      <w:r>
        <w:rPr>
          <w:lang w:val="fr-FR"/>
        </w:rPr>
        <w:t>’</w:t>
      </w:r>
      <w:r w:rsidRPr="001169B0">
        <w:rPr>
          <w:lang w:val="fr-FR"/>
        </w:rPr>
        <w:t>il n</w:t>
      </w:r>
      <w:r>
        <w:rPr>
          <w:lang w:val="fr-FR"/>
        </w:rPr>
        <w:t>’</w:t>
      </w:r>
      <w:r w:rsidRPr="001169B0">
        <w:rPr>
          <w:lang w:val="fr-FR"/>
        </w:rPr>
        <w:t>est pas nécessaire d</w:t>
      </w:r>
      <w:r>
        <w:rPr>
          <w:lang w:val="fr-FR"/>
        </w:rPr>
        <w:t>’</w:t>
      </w:r>
      <w:r w:rsidRPr="001169B0">
        <w:rPr>
          <w:lang w:val="fr-FR"/>
        </w:rPr>
        <w:t xml:space="preserve">épuiser les recours internes </w:t>
      </w:r>
      <w:r>
        <w:rPr>
          <w:lang w:val="fr-FR"/>
        </w:rPr>
        <w:t>s’il n’y a</w:t>
      </w:r>
      <w:r w:rsidRPr="001169B0">
        <w:rPr>
          <w:lang w:val="fr-FR"/>
        </w:rPr>
        <w:t xml:space="preserve"> objectivement aucune chance d</w:t>
      </w:r>
      <w:r>
        <w:rPr>
          <w:lang w:val="fr-FR"/>
        </w:rPr>
        <w:t xml:space="preserve">e les voir </w:t>
      </w:r>
      <w:r w:rsidRPr="009E6FAC">
        <w:t>aboutir : tel</w:t>
      </w:r>
      <w:r w:rsidRPr="003D27B9">
        <w:rPr>
          <w:lang w:val="fr-FR"/>
        </w:rPr>
        <w:t xml:space="preserve"> est le c</w:t>
      </w:r>
      <w:r w:rsidRPr="009E6FAC">
        <w:t xml:space="preserve">as </w:t>
      </w:r>
      <w:r w:rsidRPr="001169B0">
        <w:rPr>
          <w:lang w:val="fr-FR"/>
        </w:rPr>
        <w:t>lorsque, en vertu de la législation interne applicable, la plainte serait immanquablement rejetée, ou lorsque la jurisprudence des juridictions nationales supérieures exclut que le plaignant ait gain de cause</w:t>
      </w:r>
      <w:r w:rsidRPr="00E47167">
        <w:rPr>
          <w:rStyle w:val="Appelnotedebasdep"/>
        </w:rPr>
        <w:footnoteReference w:id="42"/>
      </w:r>
      <w:r w:rsidRPr="001169B0">
        <w:rPr>
          <w:lang w:val="fr-FR"/>
        </w:rPr>
        <w:t>.</w:t>
      </w:r>
    </w:p>
    <w:p w:rsidR="00E82317" w:rsidRDefault="00E82317" w:rsidP="00E82317">
      <w:pPr>
        <w:pStyle w:val="SingleTxtG"/>
      </w:pPr>
      <w:r w:rsidRPr="006A7663">
        <w:t>9.6</w:t>
      </w:r>
      <w:r w:rsidRPr="006A7663">
        <w:tab/>
      </w:r>
      <w:r>
        <w:t>En l’espèce, le Comité note que l’État partie fait valoir que le fait que les auteurs ne se soient pas vu accorder d’aide judiciaire gratuite parce qu’il n’y avait aucune chance qu’ils aient gain de cause ne suffit pas à justifier qu’ils n’exercent pas le recours qui leur est ouvert</w:t>
      </w:r>
      <w:r w:rsidRPr="006A7663">
        <w:t xml:space="preserve">, </w:t>
      </w:r>
      <w:r>
        <w:t>car les tribunaux ne sont pas liés par l’évaluation réalisée par le Bureau d’aide juridictionnelle</w:t>
      </w:r>
      <w:r w:rsidRPr="006A7663">
        <w:t xml:space="preserve">. </w:t>
      </w:r>
      <w:r>
        <w:t>Le Comité note également que l’État partie ne prétend pas que le tribunal aurait pu faire une interprétation différente des dispositions pertinentes de l’</w:t>
      </w:r>
      <w:r w:rsidRPr="006A7663">
        <w:t>article</w:t>
      </w:r>
      <w:r w:rsidR="009E6FAC">
        <w:t> </w:t>
      </w:r>
      <w:r w:rsidRPr="006A7663">
        <w:t>9</w:t>
      </w:r>
      <w:r w:rsidR="009E6FAC">
        <w:t> </w:t>
      </w:r>
      <w:r w:rsidRPr="006A7663">
        <w:t xml:space="preserve">8) </w:t>
      </w:r>
      <w:r>
        <w:t>de la loi sur les étrangers</w:t>
      </w:r>
      <w:r w:rsidRPr="006A7663">
        <w:t xml:space="preserve"> </w:t>
      </w:r>
      <w:r>
        <w:t>sur la base desquelles la demande des auteurs a été refusée</w:t>
      </w:r>
      <w:r w:rsidRPr="006A7663">
        <w:t xml:space="preserve">. </w:t>
      </w:r>
      <w:r>
        <w:t>À cet égard, l’État partie ne démontre pas suffisamment qu’il existait des motifs raisonnables de croire que les juridictions danoises parviendraient à une décision différente de celle du Service de l’immigration et qu’elles statueraient en faveur des auteurs</w:t>
      </w:r>
      <w:r w:rsidRPr="006A7663">
        <w:t xml:space="preserve">. </w:t>
      </w:r>
      <w:r>
        <w:t>Le Comité, considérant la clarté du libellé de la décision du 13</w:t>
      </w:r>
      <w:r w:rsidR="009E6FAC">
        <w:t> </w:t>
      </w:r>
      <w:r>
        <w:t>mars 2014 par laquelle le Bureau d’aide juridictionnelle a rejeté la demande d’aide judiciaire gratuite des auteurs au motif qu’un recours judiciaire n’aurait pas de chances d’aboutir</w:t>
      </w:r>
      <w:r w:rsidRPr="006A7663">
        <w:t xml:space="preserve">, </w:t>
      </w:r>
      <w:r>
        <w:t>conclut que l’absence de chance de succès du recours a rendu celui-ci inutile</w:t>
      </w:r>
      <w:r w:rsidRPr="006A7663">
        <w:t>.</w:t>
      </w:r>
    </w:p>
    <w:p w:rsidR="00E82317" w:rsidRPr="006A7663" w:rsidRDefault="00E82317" w:rsidP="00E82317">
      <w:pPr>
        <w:pStyle w:val="SingleTxtG"/>
      </w:pPr>
      <w:r w:rsidRPr="006A7663">
        <w:t>9.7</w:t>
      </w:r>
      <w:r w:rsidRPr="006A7663">
        <w:tab/>
      </w:r>
      <w:r>
        <w:t>Le Comité considère donc qu’en l’espèce, les conditions énoncées au paragraphe</w:t>
      </w:r>
      <w:r w:rsidR="009E6FAC">
        <w:t> </w:t>
      </w:r>
      <w:r>
        <w:t>2</w:t>
      </w:r>
      <w:r w:rsidR="009E6FAC">
        <w:t> </w:t>
      </w:r>
      <w:r>
        <w:t>b) de l’article</w:t>
      </w:r>
      <w:r w:rsidR="009E6FAC">
        <w:t> </w:t>
      </w:r>
      <w:r>
        <w:t>5 du Protocole facultatif sont remplies</w:t>
      </w:r>
      <w:r w:rsidRPr="006A7663">
        <w:t>.</w:t>
      </w:r>
    </w:p>
    <w:p w:rsidR="00E82317" w:rsidRPr="006A7663" w:rsidRDefault="00E82317" w:rsidP="00E82317">
      <w:pPr>
        <w:pStyle w:val="SingleTxtG"/>
      </w:pPr>
      <w:r w:rsidRPr="006A7663">
        <w:t>9.8</w:t>
      </w:r>
      <w:r w:rsidRPr="006A7663">
        <w:tab/>
      </w:r>
      <w:r>
        <w:t xml:space="preserve">Le Comité note que l’État partie conteste la recevabilité de la </w:t>
      </w:r>
      <w:r w:rsidRPr="006A7663">
        <w:t xml:space="preserve">communication </w:t>
      </w:r>
      <w:r>
        <w:t xml:space="preserve">au motif de l’absence de fondement des griefs soulevés par les auteurs au titre des </w:t>
      </w:r>
      <w:r w:rsidRPr="006A7663">
        <w:t>articles</w:t>
      </w:r>
      <w:r w:rsidR="009E6FAC">
        <w:t> </w:t>
      </w:r>
      <w:r w:rsidRPr="006A7663">
        <w:t xml:space="preserve">17, 23 </w:t>
      </w:r>
      <w:r>
        <w:t xml:space="preserve">et </w:t>
      </w:r>
      <w:r w:rsidRPr="006A7663">
        <w:t xml:space="preserve">26 </w:t>
      </w:r>
      <w:r>
        <w:t>du Pacte</w:t>
      </w:r>
      <w:r w:rsidRPr="006A7663">
        <w:t xml:space="preserve">. </w:t>
      </w:r>
      <w:r>
        <w:t>Le Comité considère toutefois qu’aux fins de la recevabilité, les auteurs ont correctement expliqué en quoi leur droit au regroupement familial garanti par les articles</w:t>
      </w:r>
      <w:r w:rsidR="009E6FAC">
        <w:t> </w:t>
      </w:r>
      <w:r>
        <w:t>17 et 23 du Pacte avait été violé</w:t>
      </w:r>
      <w:r w:rsidRPr="006A7663">
        <w:t xml:space="preserve">. </w:t>
      </w:r>
      <w:r>
        <w:t>En ce qui concerne le grief de violation des droits garantis aux auteurs par l’</w:t>
      </w:r>
      <w:r w:rsidRPr="006A7663">
        <w:t>article</w:t>
      </w:r>
      <w:r w:rsidR="009E6FAC">
        <w:t> </w:t>
      </w:r>
      <w:r w:rsidRPr="006A7663">
        <w:t xml:space="preserve">26 </w:t>
      </w:r>
      <w:r>
        <w:t>du Pacte, le Comité considère que les auteurs n’ont pas suffisamment étayé l’allégation selon laquelle l’application de la présomption énoncée à l’article</w:t>
      </w:r>
      <w:r w:rsidR="009E6FAC">
        <w:t> </w:t>
      </w:r>
      <w:r w:rsidRPr="006A7663">
        <w:t>9</w:t>
      </w:r>
      <w:r w:rsidR="009E6FAC">
        <w:t> </w:t>
      </w:r>
      <w:r w:rsidRPr="006A7663">
        <w:t xml:space="preserve">8) </w:t>
      </w:r>
      <w:r w:rsidRPr="001169B0">
        <w:rPr>
          <w:lang w:val="fr-FR"/>
        </w:rPr>
        <w:t>a</w:t>
      </w:r>
      <w:r>
        <w:rPr>
          <w:lang w:val="fr-FR"/>
        </w:rPr>
        <w:t>vait</w:t>
      </w:r>
      <w:r w:rsidRPr="001169B0">
        <w:rPr>
          <w:lang w:val="fr-FR"/>
        </w:rPr>
        <w:t xml:space="preserve"> eu </w:t>
      </w:r>
      <w:r>
        <w:rPr>
          <w:lang w:val="fr-FR"/>
        </w:rPr>
        <w:t>pour</w:t>
      </w:r>
      <w:r w:rsidRPr="001169B0">
        <w:rPr>
          <w:lang w:val="fr-FR"/>
        </w:rPr>
        <w:t xml:space="preserve"> eux des effets négatifs disproportionnés </w:t>
      </w:r>
      <w:r>
        <w:rPr>
          <w:lang w:val="fr-FR"/>
        </w:rPr>
        <w:t>et différent</w:t>
      </w:r>
      <w:r w:rsidRPr="001169B0">
        <w:rPr>
          <w:lang w:val="fr-FR"/>
        </w:rPr>
        <w:t xml:space="preserve">s de </w:t>
      </w:r>
      <w:r>
        <w:rPr>
          <w:lang w:val="fr-FR"/>
        </w:rPr>
        <w:t xml:space="preserve">ceux </w:t>
      </w:r>
      <w:r w:rsidRPr="001169B0">
        <w:rPr>
          <w:lang w:val="fr-FR"/>
        </w:rPr>
        <w:t>qu</w:t>
      </w:r>
      <w:r>
        <w:rPr>
          <w:lang w:val="fr-FR"/>
        </w:rPr>
        <w:t>’</w:t>
      </w:r>
      <w:r w:rsidRPr="001169B0">
        <w:rPr>
          <w:lang w:val="fr-FR"/>
        </w:rPr>
        <w:t xml:space="preserve">elle </w:t>
      </w:r>
      <w:r>
        <w:rPr>
          <w:lang w:val="fr-FR"/>
        </w:rPr>
        <w:t xml:space="preserve">pouvait </w:t>
      </w:r>
      <w:r w:rsidRPr="001169B0">
        <w:rPr>
          <w:lang w:val="fr-FR"/>
        </w:rPr>
        <w:t xml:space="preserve">avoir </w:t>
      </w:r>
      <w:r>
        <w:rPr>
          <w:lang w:val="fr-FR"/>
        </w:rPr>
        <w:t>pour</w:t>
      </w:r>
      <w:r w:rsidRPr="001169B0">
        <w:rPr>
          <w:lang w:val="fr-FR"/>
        </w:rPr>
        <w:t xml:space="preserve"> des époux d</w:t>
      </w:r>
      <w:r>
        <w:rPr>
          <w:lang w:val="fr-FR"/>
        </w:rPr>
        <w:t>’</w:t>
      </w:r>
      <w:r w:rsidRPr="001169B0">
        <w:rPr>
          <w:lang w:val="fr-FR"/>
        </w:rPr>
        <w:t>une autre origine ethnique que la leur</w:t>
      </w:r>
      <w:r w:rsidRPr="006A7663">
        <w:t xml:space="preserve">. </w:t>
      </w:r>
      <w:r>
        <w:t xml:space="preserve">Le Comité déclare donc la </w:t>
      </w:r>
      <w:r w:rsidRPr="006A7663">
        <w:t xml:space="preserve">communication </w:t>
      </w:r>
      <w:r>
        <w:t xml:space="preserve">recevable en ce qu’elle soulève des questions au regard des </w:t>
      </w:r>
      <w:r w:rsidRPr="006A7663">
        <w:t>articles</w:t>
      </w:r>
      <w:r w:rsidR="009E6FAC">
        <w:t> </w:t>
      </w:r>
      <w:r w:rsidRPr="006A7663">
        <w:t xml:space="preserve">17 </w:t>
      </w:r>
      <w:r>
        <w:t xml:space="preserve">et </w:t>
      </w:r>
      <w:r w:rsidRPr="006A7663">
        <w:t xml:space="preserve">23 </w:t>
      </w:r>
      <w:r>
        <w:t>et procède à son examen quant au fond</w:t>
      </w:r>
      <w:r w:rsidRPr="006A7663">
        <w:t>.</w:t>
      </w:r>
    </w:p>
    <w:p w:rsidR="00E82317" w:rsidRPr="006A7663" w:rsidRDefault="00E82317" w:rsidP="009E6FAC">
      <w:pPr>
        <w:pStyle w:val="H4G"/>
      </w:pPr>
      <w:r w:rsidRPr="006A7663">
        <w:tab/>
      </w:r>
      <w:r w:rsidRPr="006A7663">
        <w:tab/>
      </w:r>
      <w:r>
        <w:t>Examen au fond</w:t>
      </w:r>
    </w:p>
    <w:p w:rsidR="00E82317" w:rsidRPr="006A7663" w:rsidRDefault="00E82317" w:rsidP="00E82317">
      <w:pPr>
        <w:pStyle w:val="SingleTxtG"/>
      </w:pPr>
      <w:r w:rsidRPr="006A7663">
        <w:t>10.1</w:t>
      </w:r>
      <w:r w:rsidRPr="006A7663">
        <w:tab/>
      </w:r>
      <w:r>
        <w:t>Conformément au paragraphe</w:t>
      </w:r>
      <w:r w:rsidR="009E6FAC">
        <w:t> </w:t>
      </w:r>
      <w:r>
        <w:t>1 de l’article</w:t>
      </w:r>
      <w:r w:rsidR="009E6FAC">
        <w:t> </w:t>
      </w:r>
      <w:r>
        <w:t>5 du Protocole facultatif, le Comité des droits de l’homme a examiné la présente communication en tenant compte de toutes les informations que lui ont communiquées les parties.</w:t>
      </w:r>
    </w:p>
    <w:p w:rsidR="00E82317" w:rsidRPr="009E6FAC" w:rsidRDefault="00E82317" w:rsidP="00E82317">
      <w:pPr>
        <w:pStyle w:val="SingleTxtG"/>
        <w:rPr>
          <w:spacing w:val="-1"/>
        </w:rPr>
      </w:pPr>
      <w:r w:rsidRPr="009E6FAC">
        <w:rPr>
          <w:spacing w:val="-1"/>
        </w:rPr>
        <w:lastRenderedPageBreak/>
        <w:t>10.2</w:t>
      </w:r>
      <w:r w:rsidRPr="009E6FAC">
        <w:rPr>
          <w:spacing w:val="-1"/>
        </w:rPr>
        <w:tab/>
        <w:t xml:space="preserve">Le Comité note que selon les auteurs, le rejet de leur demande de regroupement familial constitue une immixtion illégale </w:t>
      </w:r>
      <w:r w:rsidRPr="009E6FAC">
        <w:rPr>
          <w:spacing w:val="-1"/>
          <w:lang w:val="fr-FR"/>
        </w:rPr>
        <w:t>de l’État partie dans leur droit à la vie familiale protégé par les articles</w:t>
      </w:r>
      <w:r w:rsidR="009E6FAC" w:rsidRPr="009E6FAC">
        <w:rPr>
          <w:spacing w:val="-1"/>
          <w:lang w:val="fr-FR"/>
        </w:rPr>
        <w:t> </w:t>
      </w:r>
      <w:r w:rsidRPr="009E6FAC">
        <w:rPr>
          <w:spacing w:val="-1"/>
          <w:lang w:val="fr-FR"/>
        </w:rPr>
        <w:t>17 et 23 du Pacte en raison de la présomption énoncée à l’article 9</w:t>
      </w:r>
      <w:r w:rsidR="009E6FAC" w:rsidRPr="009E6FAC">
        <w:rPr>
          <w:spacing w:val="-1"/>
          <w:lang w:val="fr-FR"/>
        </w:rPr>
        <w:t> </w:t>
      </w:r>
      <w:r w:rsidRPr="009E6FAC">
        <w:rPr>
          <w:spacing w:val="-1"/>
          <w:lang w:val="fr-FR"/>
        </w:rPr>
        <w:t xml:space="preserve">8) </w:t>
      </w:r>
      <w:r w:rsidRPr="009E6FAC">
        <w:rPr>
          <w:lang w:val="fr-FR"/>
        </w:rPr>
        <w:t>de la loi sur les étrangers, qui constitue un renversement de la charge de la preuve.</w:t>
      </w:r>
    </w:p>
    <w:p w:rsidR="00E82317" w:rsidRPr="006A7663" w:rsidRDefault="00E82317" w:rsidP="00E82317">
      <w:pPr>
        <w:pStyle w:val="SingleTxtG"/>
      </w:pPr>
      <w:r w:rsidRPr="006A7663">
        <w:t>10.3</w:t>
      </w:r>
      <w:r w:rsidRPr="006A7663">
        <w:tab/>
      </w:r>
      <w:r>
        <w:t xml:space="preserve">Le Comité rappelle son observation générale </w:t>
      </w:r>
      <w:r w:rsidR="009E6FAC">
        <w:t>n</w:t>
      </w:r>
      <w:r w:rsidR="009E6FAC" w:rsidRPr="009E6FAC">
        <w:rPr>
          <w:vertAlign w:val="superscript"/>
        </w:rPr>
        <w:t>o</w:t>
      </w:r>
      <w:r w:rsidR="009E6FAC">
        <w:t> </w:t>
      </w:r>
      <w:r w:rsidRPr="006A7663">
        <w:t xml:space="preserve">16 (1988) </w:t>
      </w:r>
      <w:r>
        <w:t>sur le droit à la vie privée</w:t>
      </w:r>
      <w:r w:rsidRPr="006A7663">
        <w:t xml:space="preserve">, </w:t>
      </w:r>
      <w:r>
        <w:t>dans laquelle</w:t>
      </w:r>
      <w:r w:rsidRPr="006A7663">
        <w:t xml:space="preserve">, </w:t>
      </w:r>
      <w:r>
        <w:t>en ce qui concerne le terme « famille »</w:t>
      </w:r>
      <w:r w:rsidRPr="006A7663">
        <w:t xml:space="preserve">, </w:t>
      </w:r>
      <w:r>
        <w:t>il est indiqué que l’objectif du Pacte est d’exiger qu’aux fins de l’</w:t>
      </w:r>
      <w:r w:rsidRPr="006A7663">
        <w:t>article</w:t>
      </w:r>
      <w:r w:rsidR="009E6FAC">
        <w:t> </w:t>
      </w:r>
      <w:r w:rsidRPr="006A7663">
        <w:t>17</w:t>
      </w:r>
      <w:r>
        <w:t xml:space="preserve"> ce terme soit interprété au sens large de manière à comprendre toutes les personnes qui composent la famille telle qu’elle est perçue dans la société de l’État partie concerné</w:t>
      </w:r>
      <w:r w:rsidRPr="006A7663">
        <w:t xml:space="preserve">. </w:t>
      </w:r>
      <w:r>
        <w:t xml:space="preserve">Dans son observation générale </w:t>
      </w:r>
      <w:r w:rsidR="009E6FAC">
        <w:t>n</w:t>
      </w:r>
      <w:r w:rsidR="009E6FAC" w:rsidRPr="009E6FAC">
        <w:rPr>
          <w:vertAlign w:val="superscript"/>
        </w:rPr>
        <w:t>o</w:t>
      </w:r>
      <w:r w:rsidR="009E6FAC">
        <w:t> </w:t>
      </w:r>
      <w:r w:rsidRPr="006A7663">
        <w:t xml:space="preserve">19 (1990) </w:t>
      </w:r>
      <w:r>
        <w:t>sur la protection de la famille</w:t>
      </w:r>
      <w:r w:rsidRPr="006A7663">
        <w:t xml:space="preserve">, </w:t>
      </w:r>
      <w:r>
        <w:t>le Comité note également que la notion de famille peut différer à certains égards d’un État à l’autre</w:t>
      </w:r>
      <w:r w:rsidRPr="006A7663">
        <w:t xml:space="preserve">, </w:t>
      </w:r>
      <w:r>
        <w:t>et même d’une région à l’autre à l’intérieur d’un même État</w:t>
      </w:r>
      <w:r w:rsidRPr="006A7663">
        <w:t xml:space="preserve">, </w:t>
      </w:r>
      <w:r>
        <w:t xml:space="preserve">et souligne que lorsque la législation et la pratique d’un État considèrent un groupe de personnes comme une famille, celle-ci doit faire l’objet de la </w:t>
      </w:r>
      <w:r w:rsidRPr="006A7663">
        <w:t xml:space="preserve">protection </w:t>
      </w:r>
      <w:r>
        <w:t>visée à l’</w:t>
      </w:r>
      <w:r w:rsidRPr="006A7663">
        <w:t>article</w:t>
      </w:r>
      <w:r w:rsidR="009E6FAC">
        <w:t> </w:t>
      </w:r>
      <w:r w:rsidRPr="006A7663">
        <w:t>23.</w:t>
      </w:r>
    </w:p>
    <w:p w:rsidR="00E82317" w:rsidRPr="006A7663" w:rsidRDefault="00E82317" w:rsidP="00E82317">
      <w:pPr>
        <w:pStyle w:val="SingleTxtG"/>
      </w:pPr>
      <w:r w:rsidRPr="006A7663">
        <w:t>10.4</w:t>
      </w:r>
      <w:r w:rsidRPr="006A7663">
        <w:tab/>
      </w:r>
      <w:r>
        <w:t>Le Comité rappelle que l’</w:t>
      </w:r>
      <w:r w:rsidRPr="006A7663">
        <w:t>article</w:t>
      </w:r>
      <w:r w:rsidR="009E6FAC">
        <w:t> </w:t>
      </w:r>
      <w:r w:rsidRPr="006A7663">
        <w:t xml:space="preserve">23 </w:t>
      </w:r>
      <w:r>
        <w:t xml:space="preserve">du Pacte garantit la </w:t>
      </w:r>
      <w:r w:rsidRPr="006A7663">
        <w:t xml:space="preserve">protection </w:t>
      </w:r>
      <w:r>
        <w:t>de la vie familiale</w:t>
      </w:r>
      <w:r w:rsidRPr="006A7663">
        <w:t xml:space="preserve">, </w:t>
      </w:r>
      <w:r>
        <w:t>ce qui comprend le droit au regroupement familial</w:t>
      </w:r>
      <w:r w:rsidRPr="006A7663">
        <w:t xml:space="preserve">. </w:t>
      </w:r>
      <w:r>
        <w:t>Il rappelle aussi que le mot « famille », aux fins du Pacte, doit être entendu au sens large, pour inclure toutes les personnes qui composent la famille telle qu’elle est perçue dans la société concernée</w:t>
      </w:r>
      <w:r w:rsidRPr="006A7663">
        <w:t xml:space="preserve">. </w:t>
      </w:r>
      <w:r>
        <w:t xml:space="preserve">La séparation géographique, l’infidélité ou l’absence de relations conjugales ne remettent pas automatiquement en cause le droit à la </w:t>
      </w:r>
      <w:r w:rsidRPr="006A7663">
        <w:t xml:space="preserve">protection </w:t>
      </w:r>
      <w:r>
        <w:t>de la famille</w:t>
      </w:r>
      <w:r w:rsidRPr="00E47167">
        <w:rPr>
          <w:rStyle w:val="Appelnotedebasdep"/>
        </w:rPr>
        <w:footnoteReference w:id="43"/>
      </w:r>
      <w:r>
        <w:t>.</w:t>
      </w:r>
      <w:r w:rsidRPr="006A7663">
        <w:t xml:space="preserve"> </w:t>
      </w:r>
      <w:r>
        <w:t>Toutefois, il faut qu’il y ait un lien familial à protéger</w:t>
      </w:r>
      <w:r w:rsidRPr="006A7663">
        <w:t>.</w:t>
      </w:r>
    </w:p>
    <w:p w:rsidR="00E82317" w:rsidRPr="006A7663" w:rsidRDefault="00E82317" w:rsidP="00E82317">
      <w:pPr>
        <w:pStyle w:val="SingleTxtG"/>
      </w:pPr>
      <w:r w:rsidRPr="006A7663">
        <w:t>10.5</w:t>
      </w:r>
      <w:r w:rsidRPr="006A7663">
        <w:tab/>
      </w:r>
      <w:r>
        <w:t xml:space="preserve">Le Comité rappelle qu’il appartient généralement aux juridictions des États parties d’apprécier les faits et les éléments de preuve dans une affaire donnée afin de </w:t>
      </w:r>
      <w:r w:rsidRPr="005E6F37">
        <w:t>décider de l</w:t>
      </w:r>
      <w:r>
        <w:t>’</w:t>
      </w:r>
      <w:r w:rsidRPr="005E6F37">
        <w:t>applica</w:t>
      </w:r>
      <w:r w:rsidRPr="003D27B9">
        <w:t>bilité</w:t>
      </w:r>
      <w:r>
        <w:t xml:space="preserve"> de la législation interne, en l’espèce de l’article</w:t>
      </w:r>
      <w:r w:rsidR="009E6FAC">
        <w:t> </w:t>
      </w:r>
      <w:r w:rsidRPr="006A7663">
        <w:t>9</w:t>
      </w:r>
      <w:r w:rsidR="009E6FAC">
        <w:t> </w:t>
      </w:r>
      <w:r w:rsidRPr="006A7663">
        <w:t xml:space="preserve">8) </w:t>
      </w:r>
      <w:r>
        <w:t>de la loi sur les étrangers</w:t>
      </w:r>
      <w:r w:rsidRPr="006A7663">
        <w:t xml:space="preserve">, </w:t>
      </w:r>
      <w:r>
        <w:t xml:space="preserve">sauf s’il peut être établi que cette appréciation a été arbitraire ou </w:t>
      </w:r>
      <w:r w:rsidRPr="006A7663">
        <w:t>manifest</w:t>
      </w:r>
      <w:r>
        <w:t xml:space="preserve">ement entachée d’erreur, ou qu’elle a constitué un déni de </w:t>
      </w:r>
      <w:r w:rsidRPr="006A7663">
        <w:t>justice.</w:t>
      </w:r>
    </w:p>
    <w:p w:rsidR="00E82317" w:rsidRPr="00EB113E" w:rsidRDefault="00E82317" w:rsidP="00E82317">
      <w:pPr>
        <w:pStyle w:val="SingleTxtG"/>
        <w:rPr>
          <w:spacing w:val="-2"/>
        </w:rPr>
      </w:pPr>
      <w:r w:rsidRPr="00EB113E">
        <w:rPr>
          <w:spacing w:val="-2"/>
        </w:rPr>
        <w:t>10.6</w:t>
      </w:r>
      <w:r w:rsidRPr="00EB113E">
        <w:rPr>
          <w:spacing w:val="-2"/>
        </w:rPr>
        <w:tab/>
        <w:t xml:space="preserve">En l’espèce, le Comité observe qu’il n’est pas contesté que les auteurs se sont mariés légalement au Kenya ; ce qui est contesté est principalement la façon dont les auteurs auraient pu démontrer que leur relation n’était pas un mariage forcé et qu’ils s’étaient mariés librement et de leur plein gré. Le Comité note que la </w:t>
      </w:r>
      <w:r w:rsidRPr="00EB113E">
        <w:rPr>
          <w:spacing w:val="-2"/>
          <w:lang w:val="fr-FR"/>
        </w:rPr>
        <w:t xml:space="preserve">Commission des recours en matière d’immigration a conclu que </w:t>
      </w:r>
      <w:r w:rsidRPr="00EB113E">
        <w:rPr>
          <w:spacing w:val="-2"/>
        </w:rPr>
        <w:t>les auteurs n’avaient pas démontré qu’il existait des raisons sérieuses de croire que leur mariage était volontaire, en conséquence de quoi ils n’ont pas pu contester effectivement et renverser la présomption de mariage forcé énoncée à l’article</w:t>
      </w:r>
      <w:r w:rsidR="009E6FAC" w:rsidRPr="00EB113E">
        <w:rPr>
          <w:spacing w:val="-2"/>
        </w:rPr>
        <w:t> </w:t>
      </w:r>
      <w:r w:rsidRPr="00EB113E">
        <w:rPr>
          <w:spacing w:val="-2"/>
        </w:rPr>
        <w:t>9</w:t>
      </w:r>
      <w:r w:rsidR="009E6FAC" w:rsidRPr="00EB113E">
        <w:rPr>
          <w:spacing w:val="-2"/>
        </w:rPr>
        <w:t> </w:t>
      </w:r>
      <w:r w:rsidRPr="00EB113E">
        <w:rPr>
          <w:spacing w:val="-2"/>
        </w:rPr>
        <w:t>8) de la loi sur les étrangers. Le Comité note que la Commission a fondé son raisonnement sur le fait que les auteurs sont cousins et n’ont pas vécu ensemble avant leur mariage ni après et a conclu qu’ils n’avaient pas démontré qu’il existait un lien familial à protéger. Toutefois, le Comité rappelle que cette décision a été prise sans que M</w:t>
      </w:r>
      <w:r w:rsidRPr="00EB113E">
        <w:rPr>
          <w:spacing w:val="-2"/>
          <w:vertAlign w:val="superscript"/>
        </w:rPr>
        <w:t>me</w:t>
      </w:r>
      <w:r w:rsidR="009E6FAC" w:rsidRPr="00EB113E">
        <w:rPr>
          <w:spacing w:val="-2"/>
        </w:rPr>
        <w:t> </w:t>
      </w:r>
      <w:r w:rsidRPr="00EB113E">
        <w:rPr>
          <w:spacing w:val="-2"/>
        </w:rPr>
        <w:t xml:space="preserve">Aden se soit vu donner la </w:t>
      </w:r>
      <w:r w:rsidRPr="00EB113E">
        <w:rPr>
          <w:spacing w:val="-2"/>
          <w:lang w:val="fr-FR"/>
        </w:rPr>
        <w:t>possibilité de faire une déclaration et sans qu’aucun autre témoin soit appelé devant la Commission</w:t>
      </w:r>
      <w:r w:rsidRPr="00EB113E">
        <w:rPr>
          <w:spacing w:val="-2"/>
        </w:rPr>
        <w:t>. Les</w:t>
      </w:r>
      <w:r w:rsidR="00EB113E">
        <w:rPr>
          <w:spacing w:val="-2"/>
        </w:rPr>
        <w:t> </w:t>
      </w:r>
      <w:r w:rsidRPr="00EB113E">
        <w:rPr>
          <w:spacing w:val="-2"/>
        </w:rPr>
        <w:t>autorités chargées des questions d’immigration n’ont donc pas évalué le lien conjugal des auteurs en se basant sur le témoignage direct de M</w:t>
      </w:r>
      <w:r w:rsidRPr="00EB113E">
        <w:rPr>
          <w:spacing w:val="-2"/>
          <w:vertAlign w:val="superscript"/>
        </w:rPr>
        <w:t>me</w:t>
      </w:r>
      <w:r w:rsidR="009E6FAC" w:rsidRPr="00EB113E">
        <w:rPr>
          <w:spacing w:val="-2"/>
        </w:rPr>
        <w:t> </w:t>
      </w:r>
      <w:r w:rsidRPr="00EB113E">
        <w:rPr>
          <w:spacing w:val="-2"/>
        </w:rPr>
        <w:t>Aden. Le Comité observe également qu’on ne sait pas bien quels éléments les auteurs auraient pu avancer, en dehors d’une cohabitation, pour prouver l’existence de leur lien conjugal, étant donné qu’ils avaient plusieurs fois signalé aux autorités danoises qu’ils s’étaient mariés de leur propre gré, qu’ils avaient un enfant et qu’ils communiquaient fréquemment entre eux par téléphone et aussi lorsque M.</w:t>
      </w:r>
      <w:r w:rsidR="009E6FAC" w:rsidRPr="00EB113E">
        <w:rPr>
          <w:spacing w:val="-2"/>
        </w:rPr>
        <w:t> </w:t>
      </w:r>
      <w:r w:rsidRPr="00EB113E">
        <w:rPr>
          <w:spacing w:val="-2"/>
        </w:rPr>
        <w:t xml:space="preserve">Hassan rendait visite à son épouse, ce qui laisse penser que leur relation, qui dure </w:t>
      </w:r>
      <w:r w:rsidRPr="00EB113E">
        <w:t>depuis sept ans, correspond à la définition de la « famille » au sens des articles</w:t>
      </w:r>
      <w:r w:rsidR="009E6FAC" w:rsidRPr="00EB113E">
        <w:t> </w:t>
      </w:r>
      <w:r w:rsidRPr="00EB113E">
        <w:t>17 et 23.</w:t>
      </w:r>
    </w:p>
    <w:p w:rsidR="00E82317" w:rsidRPr="006A7663" w:rsidRDefault="00E82317" w:rsidP="00E82317">
      <w:pPr>
        <w:pStyle w:val="SingleTxtG"/>
      </w:pPr>
      <w:r w:rsidRPr="006A7663">
        <w:t>10.7</w:t>
      </w:r>
      <w:r w:rsidRPr="006A7663">
        <w:tab/>
      </w:r>
      <w:r>
        <w:t>Le Comité note que l’État partie fait valoir que la règle de la présomption énoncée à l’article</w:t>
      </w:r>
      <w:r w:rsidR="009E6FAC">
        <w:t> </w:t>
      </w:r>
      <w:r w:rsidRPr="006A7663">
        <w:t>9</w:t>
      </w:r>
      <w:r w:rsidR="009E6FAC">
        <w:t> </w:t>
      </w:r>
      <w:r w:rsidRPr="006A7663">
        <w:t xml:space="preserve">8) </w:t>
      </w:r>
      <w:r>
        <w:t>d</w:t>
      </w:r>
      <w:r w:rsidR="007A007B">
        <w:t>e</w:t>
      </w:r>
      <w:r>
        <w:t xml:space="preserve"> la loi sur les étrangers a été établie dans le but de protéger le mariage librement et pleinement consenti</w:t>
      </w:r>
      <w:r w:rsidRPr="006A7663">
        <w:t xml:space="preserve">. </w:t>
      </w:r>
      <w:r>
        <w:t>Il considère cependant, compte tenu de ce qui précède, que les autorités chargées de questions d’</w:t>
      </w:r>
      <w:r w:rsidRPr="006A7663">
        <w:t>immigration</w:t>
      </w:r>
      <w:r>
        <w:t xml:space="preserve"> n’ont pas évalué le lien conjugal entre les auteurs en prenant dûment en considération leur situation personnelle et le contexte culturel dans leur pays d’origine</w:t>
      </w:r>
      <w:r w:rsidRPr="006A7663">
        <w:t>.</w:t>
      </w:r>
    </w:p>
    <w:p w:rsidR="00E82317" w:rsidRPr="006A7663" w:rsidRDefault="00E82317" w:rsidP="00E82317">
      <w:pPr>
        <w:pStyle w:val="SingleTxtG"/>
      </w:pPr>
      <w:r w:rsidRPr="006A7663">
        <w:t>10.8</w:t>
      </w:r>
      <w:r w:rsidRPr="006A7663">
        <w:tab/>
      </w:r>
      <w:r>
        <w:t xml:space="preserve">En ce qui concerne les griefs soulevés par les auteurs au titre des </w:t>
      </w:r>
      <w:r w:rsidRPr="006A7663">
        <w:t>articles</w:t>
      </w:r>
      <w:r w:rsidR="009E6FAC">
        <w:t> </w:t>
      </w:r>
      <w:r w:rsidRPr="006A7663">
        <w:t xml:space="preserve">17 </w:t>
      </w:r>
      <w:r>
        <w:t xml:space="preserve">et </w:t>
      </w:r>
      <w:r w:rsidRPr="006A7663">
        <w:t xml:space="preserve">23, </w:t>
      </w:r>
      <w:r>
        <w:t>le</w:t>
      </w:r>
      <w:r w:rsidR="009E6FAC">
        <w:t> </w:t>
      </w:r>
      <w:r>
        <w:t xml:space="preserve">Comité observe que l’action </w:t>
      </w:r>
      <w:r w:rsidRPr="003D27B9">
        <w:t>de</w:t>
      </w:r>
      <w:r w:rsidRPr="00DF692E">
        <w:t xml:space="preserve"> l</w:t>
      </w:r>
      <w:r>
        <w:t>’</w:t>
      </w:r>
      <w:r w:rsidRPr="00DF692E">
        <w:t xml:space="preserve">État partie </w:t>
      </w:r>
      <w:r>
        <w:t>a constitué un obstacle au regroupement de la famille au Danemark</w:t>
      </w:r>
      <w:r w:rsidRPr="006A7663">
        <w:t xml:space="preserve">. </w:t>
      </w:r>
      <w:r>
        <w:t xml:space="preserve">Le Comité estime que la vie en commun du mari, de la femme et </w:t>
      </w:r>
      <w:r>
        <w:lastRenderedPageBreak/>
        <w:t>de l’enfant doit être considérée comme la situation normale d’une famille</w:t>
      </w:r>
      <w:r w:rsidRPr="00E47167">
        <w:rPr>
          <w:rStyle w:val="Appelnotedebasdep"/>
        </w:rPr>
        <w:footnoteReference w:id="44"/>
      </w:r>
      <w:r>
        <w:t>.</w:t>
      </w:r>
      <w:r w:rsidRPr="006A7663">
        <w:t xml:space="preserve"> </w:t>
      </w:r>
      <w:r>
        <w:t>Il s’ensuit que</w:t>
      </w:r>
      <w:r w:rsidRPr="006A7663">
        <w:t xml:space="preserve"> </w:t>
      </w:r>
      <w:r>
        <w:t xml:space="preserve">le refus d’accorder un </w:t>
      </w:r>
      <w:r w:rsidRPr="006A7663">
        <w:t xml:space="preserve">visa </w:t>
      </w:r>
      <w:r>
        <w:t>à une personne dans le pays où réside son conjoint et leurs enfants pourrait constituer une immixtion au sens de l’</w:t>
      </w:r>
      <w:r w:rsidRPr="006A7663">
        <w:t>article</w:t>
      </w:r>
      <w:r w:rsidR="009E6FAC">
        <w:t> </w:t>
      </w:r>
      <w:r w:rsidRPr="006A7663">
        <w:t xml:space="preserve">17. </w:t>
      </w:r>
      <w:r>
        <w:t>Le Comité considère donc que l’État partie a manqué à l’obligation qui lui incombe, en vertu des articles</w:t>
      </w:r>
      <w:r w:rsidR="009E6FAC">
        <w:t> </w:t>
      </w:r>
      <w:r>
        <w:t>17 et 23, de respecter l’unité familiale</w:t>
      </w:r>
      <w:r w:rsidRPr="006A7663">
        <w:t>.</w:t>
      </w:r>
    </w:p>
    <w:p w:rsidR="00E82317" w:rsidRPr="006A7663" w:rsidRDefault="00E82317" w:rsidP="00E82317">
      <w:pPr>
        <w:pStyle w:val="SingleTxtG"/>
      </w:pPr>
      <w:r w:rsidRPr="006A7663">
        <w:t>11.</w:t>
      </w:r>
      <w:r w:rsidRPr="006A7663">
        <w:tab/>
      </w:r>
      <w:r>
        <w:t>Le Comité, agissant en vertu du paragraphe</w:t>
      </w:r>
      <w:r w:rsidR="009E6FAC">
        <w:t> </w:t>
      </w:r>
      <w:r>
        <w:t>4 de l’</w:t>
      </w:r>
      <w:r w:rsidRPr="006A7663">
        <w:t>article</w:t>
      </w:r>
      <w:r w:rsidR="009E6FAC">
        <w:t> </w:t>
      </w:r>
      <w:r w:rsidRPr="006A7663">
        <w:t xml:space="preserve">5 </w:t>
      </w:r>
      <w:r>
        <w:t xml:space="preserve">du </w:t>
      </w:r>
      <w:r w:rsidRPr="006A7663">
        <w:t>Protocol</w:t>
      </w:r>
      <w:r>
        <w:t>e facultatif</w:t>
      </w:r>
      <w:r w:rsidRPr="006A7663">
        <w:t xml:space="preserve">, </w:t>
      </w:r>
      <w:r>
        <w:t xml:space="preserve">constate que les faits dont il est saisi font apparaître une immixtion injustifiée dans la vie familiale et une </w:t>
      </w:r>
      <w:r w:rsidRPr="006A7663">
        <w:t xml:space="preserve">violation </w:t>
      </w:r>
      <w:r>
        <w:t xml:space="preserve">par l’État partie des </w:t>
      </w:r>
      <w:r w:rsidRPr="006A7663">
        <w:t>articles</w:t>
      </w:r>
      <w:r w:rsidR="009E6FAC">
        <w:t> </w:t>
      </w:r>
      <w:r w:rsidRPr="006A7663">
        <w:t xml:space="preserve">17 </w:t>
      </w:r>
      <w:r>
        <w:t xml:space="preserve">et </w:t>
      </w:r>
      <w:r w:rsidRPr="006A7663">
        <w:t xml:space="preserve">23 </w:t>
      </w:r>
      <w:r>
        <w:t xml:space="preserve">du Pacte en ce qui concerne </w:t>
      </w:r>
      <w:r w:rsidRPr="006A7663">
        <w:t>M.</w:t>
      </w:r>
      <w:r w:rsidR="009E6FAC">
        <w:t> </w:t>
      </w:r>
      <w:r w:rsidRPr="006A7663">
        <w:t xml:space="preserve">Hassan. </w:t>
      </w:r>
      <w:r>
        <w:t xml:space="preserve">Ayant conclu à une violation des </w:t>
      </w:r>
      <w:r w:rsidRPr="006A7663">
        <w:t>articles</w:t>
      </w:r>
      <w:r w:rsidR="009E6FAC">
        <w:t> </w:t>
      </w:r>
      <w:r w:rsidRPr="006A7663">
        <w:t xml:space="preserve">17 </w:t>
      </w:r>
      <w:r>
        <w:t xml:space="preserve">et </w:t>
      </w:r>
      <w:r w:rsidRPr="006A7663">
        <w:t xml:space="preserve">23 </w:t>
      </w:r>
      <w:r>
        <w:t xml:space="preserve">du Pacte à l’égard de </w:t>
      </w:r>
      <w:r w:rsidRPr="006A7663">
        <w:t>M.</w:t>
      </w:r>
      <w:r w:rsidR="009E6FAC">
        <w:t> </w:t>
      </w:r>
      <w:r w:rsidRPr="006A7663">
        <w:t xml:space="preserve">Hassan, </w:t>
      </w:r>
      <w:r>
        <w:t>le Comité décide qu’il n’examinera pas séparément la plainte de son épouse</w:t>
      </w:r>
      <w:r w:rsidRPr="006A7663">
        <w:t>.</w:t>
      </w:r>
    </w:p>
    <w:p w:rsidR="00E82317" w:rsidRPr="006A7663" w:rsidRDefault="00E82317" w:rsidP="00E82317">
      <w:pPr>
        <w:pStyle w:val="SingleTxtG"/>
      </w:pPr>
      <w:r w:rsidRPr="006A7663">
        <w:t>12.</w:t>
      </w:r>
      <w:r w:rsidRPr="006A7663">
        <w:tab/>
      </w:r>
      <w:r>
        <w:t>Conformément au paragraphe</w:t>
      </w:r>
      <w:r w:rsidR="009E6FAC">
        <w:t> </w:t>
      </w:r>
      <w:r>
        <w:t>3</w:t>
      </w:r>
      <w:r w:rsidR="009E6FAC">
        <w:t> </w:t>
      </w:r>
      <w:r>
        <w:t>a) de l’</w:t>
      </w:r>
      <w:r w:rsidRPr="006A7663">
        <w:t>article</w:t>
      </w:r>
      <w:r w:rsidR="009E6FAC">
        <w:t> </w:t>
      </w:r>
      <w:r w:rsidRPr="006A7663">
        <w:t xml:space="preserve">2 </w:t>
      </w:r>
      <w:r>
        <w:t>du Pacte, l’État partie est tenu d’assurer à M</w:t>
      </w:r>
      <w:r w:rsidRPr="006A7663">
        <w:t>.</w:t>
      </w:r>
      <w:r w:rsidR="009E6FAC">
        <w:t> </w:t>
      </w:r>
      <w:r w:rsidRPr="006A7663">
        <w:t xml:space="preserve">Hassan </w:t>
      </w:r>
      <w:r>
        <w:t>un recours utile</w:t>
      </w:r>
      <w:r w:rsidRPr="006A7663">
        <w:t xml:space="preserve">. </w:t>
      </w:r>
      <w:r>
        <w:t>Il a l’obligation d’accorder une réparation intégrale aux individus dont les droits garantis par le Pacte ont été violés.</w:t>
      </w:r>
      <w:r w:rsidRPr="006A7663">
        <w:t xml:space="preserve"> </w:t>
      </w:r>
      <w:r>
        <w:t>En conséquence</w:t>
      </w:r>
      <w:r w:rsidRPr="006A7663">
        <w:t xml:space="preserve">, </w:t>
      </w:r>
      <w:r>
        <w:t>l’État partie est tenu de réexaminer la demande de l’auteur en procédant à une évaluation des critères du regroupement familial</w:t>
      </w:r>
      <w:r w:rsidRPr="006A7663">
        <w:t xml:space="preserve">. </w:t>
      </w:r>
      <w:r>
        <w:t>Il est également tenu de veiller à ce que des violations analogues ne se reproduisent pas</w:t>
      </w:r>
      <w:r w:rsidRPr="006A7663">
        <w:t>.</w:t>
      </w:r>
    </w:p>
    <w:p w:rsidR="005A651C" w:rsidRDefault="00E82317" w:rsidP="005A651C">
      <w:pPr>
        <w:pStyle w:val="SingleTxtG"/>
      </w:pPr>
      <w:r w:rsidRPr="006A7663">
        <w:t>13.</w:t>
      </w:r>
      <w:r w:rsidRPr="006A7663">
        <w:tab/>
      </w:r>
      <w:r>
        <w:t>Étant donné qu’en adhérant au Protocole facultatif, l’État partie a reconnu que le</w:t>
      </w:r>
      <w:r w:rsidR="009E6FAC">
        <w:t> </w:t>
      </w:r>
      <w:r>
        <w:t>Comité a compétence pour déterminer s’il y a ou non violation du Pacte</w:t>
      </w:r>
      <w:r w:rsidRPr="006A7663">
        <w:t xml:space="preserve">, </w:t>
      </w:r>
      <w:r>
        <w:t>et que, conformément à l’article</w:t>
      </w:r>
      <w:r w:rsidR="009E6FAC">
        <w:t> </w:t>
      </w:r>
      <w:r>
        <w:t>2 du Pacte, il s’est engagé à garantir à tous les individus se trouvant sur son territoire et relevant de sa juridiction les droits reconnus dans le Pacte et à assurer un recours utile lorsqu’une violation a été établie,</w:t>
      </w:r>
      <w:r w:rsidRPr="00C66651">
        <w:t xml:space="preserve"> </w:t>
      </w:r>
      <w:r>
        <w:t>le Comité souhaite recevoir de l’État partie, dans un délai de cent-quatre-vingts jours, des renseignements sur les mesures prises pour donner effet aux présentes constatations.</w:t>
      </w:r>
      <w:r w:rsidRPr="00C66651">
        <w:t xml:space="preserve"> </w:t>
      </w:r>
      <w:r>
        <w:t>L’État partie est invité en outre à rendre celles-ci publiques et à les diffuser largement dans ses langues officielles</w:t>
      </w:r>
      <w:r w:rsidRPr="006A7663">
        <w:t>.</w:t>
      </w:r>
    </w:p>
    <w:p w:rsidR="005A651C" w:rsidRDefault="005A651C" w:rsidP="005A651C">
      <w:pPr>
        <w:pStyle w:val="SingleTxtG"/>
      </w:pPr>
    </w:p>
    <w:p w:rsidR="004E0D53" w:rsidRDefault="004E0D53" w:rsidP="005A651C">
      <w:pPr>
        <w:pStyle w:val="SingleTxtG"/>
        <w:sectPr w:rsidR="004E0D53" w:rsidSect="0033518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5A651C" w:rsidRPr="006A7663" w:rsidRDefault="005A651C" w:rsidP="005A651C">
      <w:pPr>
        <w:pStyle w:val="HChG"/>
      </w:pPr>
      <w:r w:rsidRPr="006A7663">
        <w:lastRenderedPageBreak/>
        <w:t>Annex</w:t>
      </w:r>
      <w:r>
        <w:t>e</w:t>
      </w:r>
      <w:r w:rsidR="004E0D53">
        <w:t> </w:t>
      </w:r>
      <w:r w:rsidRPr="006A7663">
        <w:t>I</w:t>
      </w:r>
    </w:p>
    <w:p w:rsidR="005A651C" w:rsidRPr="006A7663" w:rsidRDefault="005A651C" w:rsidP="005A651C">
      <w:pPr>
        <w:pStyle w:val="HChG"/>
      </w:pPr>
      <w:r w:rsidRPr="006A7663">
        <w:tab/>
      </w:r>
      <w:r w:rsidRPr="006A7663">
        <w:tab/>
      </w:r>
      <w:r>
        <w:t xml:space="preserve">Opinion individuelle (dissidente) de </w:t>
      </w:r>
      <w:r w:rsidRPr="006A7663">
        <w:t>Yuval Shany</w:t>
      </w:r>
    </w:p>
    <w:p w:rsidR="005A651C" w:rsidRPr="006A7663" w:rsidRDefault="005A651C" w:rsidP="005A651C">
      <w:pPr>
        <w:pStyle w:val="SingleTxtG"/>
      </w:pPr>
      <w:r w:rsidRPr="006A7663">
        <w:t>1.</w:t>
      </w:r>
      <w:r w:rsidRPr="006A7663">
        <w:tab/>
      </w:r>
      <w:r>
        <w:t xml:space="preserve">Je regrette de ne pas être en mesure de m’associer aux membres du Comité qui, en l’espèce, ont conclu à une </w:t>
      </w:r>
      <w:r w:rsidRPr="006A7663">
        <w:t xml:space="preserve">violation. </w:t>
      </w:r>
      <w:r>
        <w:t xml:space="preserve">Si je conviens que les faits exposés font apparaître une violation du Pacte quant au fond, j’estime que le Comité aurait dû rejeter la </w:t>
      </w:r>
      <w:r w:rsidRPr="006A7663">
        <w:t xml:space="preserve">communication </w:t>
      </w:r>
      <w:r>
        <w:t>pour non-épuisement des recours internes</w:t>
      </w:r>
      <w:r w:rsidRPr="006A7663">
        <w:t xml:space="preserve">. </w:t>
      </w:r>
      <w:r>
        <w:t xml:space="preserve">J’ai également des doutes quant à la compétence </w:t>
      </w:r>
      <w:r w:rsidRPr="001056A1">
        <w:rPr>
          <w:i/>
          <w:iCs/>
        </w:rPr>
        <w:t>ratione</w:t>
      </w:r>
      <w:r w:rsidR="004E0D53">
        <w:t> </w:t>
      </w:r>
      <w:r w:rsidRPr="001056A1">
        <w:rPr>
          <w:i/>
          <w:iCs/>
        </w:rPr>
        <w:t>personae</w:t>
      </w:r>
      <w:r w:rsidRPr="006A7663">
        <w:t xml:space="preserve"> </w:t>
      </w:r>
      <w:r>
        <w:t>du Comité à l’égard de</w:t>
      </w:r>
      <w:r w:rsidRPr="006A7663">
        <w:t xml:space="preserve"> Nimo Mohamed Aden.</w:t>
      </w:r>
    </w:p>
    <w:p w:rsidR="005A651C" w:rsidRPr="006A7663" w:rsidRDefault="005A651C" w:rsidP="005A651C">
      <w:pPr>
        <w:pStyle w:val="SingleTxtG"/>
      </w:pPr>
      <w:r w:rsidRPr="006A7663">
        <w:t>2.</w:t>
      </w:r>
      <w:r w:rsidRPr="006A7663">
        <w:tab/>
        <w:t>I</w:t>
      </w:r>
      <w:r>
        <w:t xml:space="preserve">l n’est pas contesté que la demande des auteurs a été rejetée par le </w:t>
      </w:r>
      <w:r w:rsidRPr="006A7663">
        <w:t>Service</w:t>
      </w:r>
      <w:r>
        <w:t xml:space="preserve"> danois de l’immigration</w:t>
      </w:r>
      <w:r w:rsidRPr="006A7663">
        <w:t xml:space="preserve">, </w:t>
      </w:r>
      <w:r>
        <w:t>que leur recours devant la Commission des recours en matière d’i</w:t>
      </w:r>
      <w:r w:rsidRPr="006A7663">
        <w:t xml:space="preserve">mmigration </w:t>
      </w:r>
      <w:r>
        <w:t xml:space="preserve">a été rejeté et qu’ils n’ont pas </w:t>
      </w:r>
      <w:r w:rsidRPr="003D27B9">
        <w:t>engagé d</w:t>
      </w:r>
      <w:r>
        <w:t>’</w:t>
      </w:r>
      <w:r w:rsidRPr="003D27B9">
        <w:t>action devant</w:t>
      </w:r>
      <w:r w:rsidRPr="004B63DC">
        <w:t xml:space="preserve"> les juridictions danoises</w:t>
      </w:r>
      <w:r w:rsidRPr="006A7663">
        <w:t xml:space="preserve">. </w:t>
      </w:r>
      <w:r>
        <w:t>M</w:t>
      </w:r>
      <w:r w:rsidRPr="006A7663">
        <w:t>.</w:t>
      </w:r>
      <w:r>
        <w:t> </w:t>
      </w:r>
      <w:r w:rsidRPr="006A7663">
        <w:t xml:space="preserve">Hassan </w:t>
      </w:r>
      <w:r>
        <w:t>a toutefois tenté d’obtenir une aide financière afin de saisir la justice</w:t>
      </w:r>
      <w:r w:rsidRPr="006A7663">
        <w:t xml:space="preserve">, </w:t>
      </w:r>
      <w:r>
        <w:t>mais le Département des affaires civiles a rejeté sa demande car il a estimé que son action</w:t>
      </w:r>
      <w:r w:rsidRPr="006A7663">
        <w:t xml:space="preserve"> </w:t>
      </w:r>
      <w:r>
        <w:t>n’avait pas de chances raisonnables d’aboutir</w:t>
      </w:r>
      <w:r w:rsidRPr="006A7663">
        <w:t xml:space="preserve">. </w:t>
      </w:r>
      <w:r>
        <w:t>Le Comité a considéré que cette évaluation semblait indiquer qu’il n’existait pas de recours utile,</w:t>
      </w:r>
      <w:r w:rsidRPr="006A7663">
        <w:t xml:space="preserve"> </w:t>
      </w:r>
      <w:r>
        <w:t xml:space="preserve">et a relevé que l’État partie ne l’avait pas contesté </w:t>
      </w:r>
      <w:r w:rsidRPr="006A7663">
        <w:t>(par.</w:t>
      </w:r>
      <w:r>
        <w:t> </w:t>
      </w:r>
      <w:r w:rsidRPr="006A7663">
        <w:t>9.6).</w:t>
      </w:r>
    </w:p>
    <w:p w:rsidR="005A651C" w:rsidRPr="006A7663" w:rsidRDefault="005A651C" w:rsidP="005A651C">
      <w:pPr>
        <w:pStyle w:val="SingleTxtG"/>
      </w:pPr>
      <w:r w:rsidRPr="006A7663">
        <w:t>3.</w:t>
      </w:r>
      <w:r w:rsidRPr="006A7663">
        <w:tab/>
      </w:r>
      <w:r>
        <w:t>Comme le Comité l’a signalé, il a appliqué, dans de précédentes constatations, le principe selon lequel les recours sont inutiles « s’ils n’ont objectivement aucune chance d’aboutir</w:t>
      </w:r>
      <w:r w:rsidR="004E0D53">
        <w:t> </w:t>
      </w:r>
      <w:r w:rsidRPr="006A7663">
        <w:t xml:space="preserve">: </w:t>
      </w:r>
      <w:r>
        <w:t>tel est le cas lorsque, en vertu de la législation interne applicable, la plainte serait immanquablement rejetée ou lorsque la jurisprudence des juridictions nationales supérieures exclut que le plaignant puisse avoir gain de cause »</w:t>
      </w:r>
      <w:r w:rsidRPr="00E47167">
        <w:rPr>
          <w:rStyle w:val="Appelnotedebasdep"/>
        </w:rPr>
        <w:footnoteReference w:id="45"/>
      </w:r>
      <w:r>
        <w:t>.</w:t>
      </w:r>
      <w:r w:rsidRPr="006A7663">
        <w:t xml:space="preserve"> </w:t>
      </w:r>
      <w:r>
        <w:t>Le Comité a en outre précédemment affirmé que « le simple fait de douter » qu’un recours puisse aboutir ne rend pas celui-ci inutile</w:t>
      </w:r>
      <w:r w:rsidRPr="00E47167">
        <w:rPr>
          <w:rStyle w:val="Appelnotedebasdep"/>
        </w:rPr>
        <w:footnoteReference w:id="46"/>
      </w:r>
      <w:r>
        <w:t>.</w:t>
      </w:r>
    </w:p>
    <w:p w:rsidR="005A651C" w:rsidRPr="006A7663" w:rsidRDefault="005A651C" w:rsidP="005A651C">
      <w:pPr>
        <w:pStyle w:val="SingleTxtG"/>
      </w:pPr>
      <w:r w:rsidRPr="006A7663">
        <w:t>4.</w:t>
      </w:r>
      <w:r w:rsidRPr="006A7663">
        <w:tab/>
      </w:r>
      <w:r>
        <w:t>Manifestement, les auteurs doutaient des chances que leur recours avait d’aboutir</w:t>
      </w:r>
      <w:r w:rsidRPr="006A7663">
        <w:t xml:space="preserve">, </w:t>
      </w:r>
      <w:r>
        <w:t>compte tenu de la présomption contre l’authenticité des mariages contractés entre proches parents énoncée à l’</w:t>
      </w:r>
      <w:r w:rsidRPr="006A7663">
        <w:t>article</w:t>
      </w:r>
      <w:r>
        <w:t> </w:t>
      </w:r>
      <w:r w:rsidRPr="006A7663">
        <w:t>9</w:t>
      </w:r>
      <w:r>
        <w:t> </w:t>
      </w:r>
      <w:r w:rsidRPr="006A7663">
        <w:t xml:space="preserve">8) </w:t>
      </w:r>
      <w:r>
        <w:t xml:space="preserve">de la loi sur les étrangers et de l’interprétation restrictive de l’exception à la présomption qu’avait faite la Cour suprême dans la décision rendue sur cette question le </w:t>
      </w:r>
      <w:r w:rsidRPr="006A7663">
        <w:t>30</w:t>
      </w:r>
      <w:r>
        <w:t xml:space="preserve"> janvier </w:t>
      </w:r>
      <w:r w:rsidRPr="006A7663">
        <w:t xml:space="preserve">2007. </w:t>
      </w:r>
      <w:r>
        <w:t>Ces doutes étaient renforcés par l’évaluation négative faite par le Bureau d’aide juridictionnelle des chances de succès de leur recours −</w:t>
      </w:r>
      <w:r w:rsidRPr="006A7663">
        <w:t xml:space="preserve"> </w:t>
      </w:r>
      <w:r>
        <w:t>dans une décision qui pourtant concernait la recevabilité de la demande d’aide juridictionnelle et qui n’avait pas d’incidence juridique sur le fond de l’affaire</w:t>
      </w:r>
      <w:r w:rsidRPr="006A7663">
        <w:t>.</w:t>
      </w:r>
    </w:p>
    <w:p w:rsidR="005A651C" w:rsidRPr="006A7663" w:rsidRDefault="005A651C" w:rsidP="005A651C">
      <w:pPr>
        <w:pStyle w:val="SingleTxtG"/>
      </w:pPr>
      <w:r w:rsidRPr="006A7663">
        <w:t>5.</w:t>
      </w:r>
      <w:r w:rsidRPr="006A7663">
        <w:tab/>
      </w:r>
      <w:r>
        <w:t>Néanmoins, qu’un recours judiciaire ait de faibles chances d’aboutir ne veut pas dire qu’il n’a aucune chance ni qu’il soit inévitablement voué à l’échec</w:t>
      </w:r>
      <w:r w:rsidRPr="006A7663">
        <w:t xml:space="preserve">, </w:t>
      </w:r>
      <w:r>
        <w:t>en particulier dans une affaire basée sur des faits (la question de l’authenticité du lien conjugal</w:t>
      </w:r>
      <w:r w:rsidRPr="006A7663">
        <w:t xml:space="preserve">) </w:t>
      </w:r>
      <w:r>
        <w:t>et lorsqu’il ne semble pas exister une série de décisions de justice constituant une « jurisprudence établie » qui empêcherait immanquablement que les auteurs aient gain de cause</w:t>
      </w:r>
      <w:r w:rsidRPr="006A7663">
        <w:t>.</w:t>
      </w:r>
    </w:p>
    <w:p w:rsidR="005A651C" w:rsidRPr="006A7663" w:rsidRDefault="005A651C" w:rsidP="005A651C">
      <w:pPr>
        <w:pStyle w:val="SingleTxtG"/>
      </w:pPr>
      <w:r w:rsidRPr="006A7663">
        <w:t>6.</w:t>
      </w:r>
      <w:r w:rsidRPr="006A7663">
        <w:tab/>
      </w:r>
      <w:r>
        <w:t>On se souviendra à cet égard que l’obligation d’épuisement des recours internes vise à donner à un État partie la possibilité de « remédier par ses propres moyens, dans le cadre de son ordre juridique interne » à la violation présumée du droit international</w:t>
      </w:r>
      <w:r w:rsidRPr="00E47167">
        <w:rPr>
          <w:rStyle w:val="Appelnotedebasdep"/>
        </w:rPr>
        <w:footnoteReference w:id="47"/>
      </w:r>
      <w:r>
        <w:t>. En permettant aux auteurs de contourner l’ordre juridique danois et de s’adresser directement à lui, en raison de l’évaluation selon laquelle leur action avait peu de chances d’aboutir</w:t>
      </w:r>
      <w:r w:rsidRPr="006A7663">
        <w:t xml:space="preserve">, </w:t>
      </w:r>
      <w:r>
        <w:t>le Comité a privé l’État partie, sans raison valable, de la possibilité de remédier à une violation du Pacte</w:t>
      </w:r>
      <w:r w:rsidRPr="006A7663">
        <w:t xml:space="preserve"> (</w:t>
      </w:r>
      <w:r>
        <w:t>un grief qui ne semble pas avoir été soulevé devant les organes chargées des questions d’immigration</w:t>
      </w:r>
      <w:r w:rsidRPr="006A7663">
        <w:t>).</w:t>
      </w:r>
    </w:p>
    <w:p w:rsidR="005A651C" w:rsidRPr="006A7663" w:rsidRDefault="005A651C" w:rsidP="005A651C">
      <w:pPr>
        <w:pStyle w:val="SingleTxtG"/>
      </w:pPr>
      <w:r w:rsidRPr="006A7663">
        <w:t>7.</w:t>
      </w:r>
      <w:r w:rsidRPr="006A7663">
        <w:tab/>
      </w:r>
      <w:r>
        <w:t>On notera également à cet égard que les frais de justice liés à la saisine du système judiciaire danois dans les affaires liées à la législation sur l’immigration sont peu élevés</w:t>
      </w:r>
      <w:r w:rsidRPr="006A7663">
        <w:t xml:space="preserve"> (500</w:t>
      </w:r>
      <w:r>
        <w:t> couronnes danoises</w:t>
      </w:r>
      <w:r w:rsidRPr="006A7663">
        <w:t xml:space="preserve">) </w:t>
      </w:r>
      <w:r>
        <w:t xml:space="preserve">et que, bien que les auteurs prétendent qu’en cas d’échec de leur action, ils auraient pu être contraints de s’acquitter des dépens </w:t>
      </w:r>
      <w:r w:rsidRPr="006A7663">
        <w:t>(par.</w:t>
      </w:r>
      <w:r>
        <w:t> </w:t>
      </w:r>
      <w:r w:rsidRPr="006A7663">
        <w:t xml:space="preserve">5.6), </w:t>
      </w:r>
      <w:r>
        <w:t xml:space="preserve">l’État partie a établi qu’il est loisible aux tribunaux de ne pas imposer de frais si des raisons particulières </w:t>
      </w:r>
      <w:r>
        <w:lastRenderedPageBreak/>
        <w:t xml:space="preserve">le justifient </w:t>
      </w:r>
      <w:r w:rsidRPr="006A7663">
        <w:t>(par.</w:t>
      </w:r>
      <w:r>
        <w:t> </w:t>
      </w:r>
      <w:r w:rsidRPr="006A7663">
        <w:t xml:space="preserve">6.2). </w:t>
      </w:r>
      <w:r>
        <w:t xml:space="preserve">Dans ces </w:t>
      </w:r>
      <w:r w:rsidRPr="006A7663">
        <w:t xml:space="preserve">conditions, </w:t>
      </w:r>
      <w:r>
        <w:t>il me semble difficile de considérer la saisine des juridictions danoises, même sans aide juridictionnelle, comme inutile ou d’un coût prohibitif</w:t>
      </w:r>
      <w:r w:rsidRPr="006A7663">
        <w:t>.</w:t>
      </w:r>
    </w:p>
    <w:p w:rsidR="004E0D53" w:rsidRDefault="005A651C" w:rsidP="005A651C">
      <w:pPr>
        <w:pStyle w:val="SingleTxtG"/>
      </w:pPr>
      <w:r w:rsidRPr="006A7663">
        <w:t>8.</w:t>
      </w:r>
      <w:r w:rsidRPr="006A7663">
        <w:tab/>
      </w:r>
      <w:r>
        <w:t xml:space="preserve">Enfin, je doute que les </w:t>
      </w:r>
      <w:r w:rsidRPr="006A7663">
        <w:t xml:space="preserve">protections </w:t>
      </w:r>
      <w:r>
        <w:t xml:space="preserve">offertes par les </w:t>
      </w:r>
      <w:r w:rsidRPr="006A7663">
        <w:t>articles</w:t>
      </w:r>
      <w:r>
        <w:t> </w:t>
      </w:r>
      <w:r w:rsidRPr="006A7663">
        <w:t xml:space="preserve">17 </w:t>
      </w:r>
      <w:r>
        <w:t xml:space="preserve">et </w:t>
      </w:r>
      <w:r w:rsidRPr="006A7663">
        <w:t xml:space="preserve">23 </w:t>
      </w:r>
      <w:r>
        <w:t>du Pacte puissent s’appliquer à M</w:t>
      </w:r>
      <w:r w:rsidRPr="005A651C">
        <w:rPr>
          <w:vertAlign w:val="superscript"/>
        </w:rPr>
        <w:t>me</w:t>
      </w:r>
      <w:r>
        <w:t> </w:t>
      </w:r>
      <w:r w:rsidRPr="006A7663">
        <w:t xml:space="preserve">Aden </w:t>
      </w:r>
      <w:r>
        <w:t xml:space="preserve">alors qu’elle se trouvait au </w:t>
      </w:r>
      <w:r w:rsidRPr="006A7663">
        <w:t xml:space="preserve">Kenya. </w:t>
      </w:r>
      <w:r>
        <w:t>Contrairement à M. </w:t>
      </w:r>
      <w:r w:rsidRPr="006A7663">
        <w:t xml:space="preserve">Hassan, </w:t>
      </w:r>
      <w:r>
        <w:t>dont les droits découlant du Pacte étaient clairement concernés, puisqu’il vivait au Danemark et relevait de la juridiction de ce pays</w:t>
      </w:r>
      <w:r w:rsidRPr="006A7663">
        <w:t>, M</w:t>
      </w:r>
      <w:r w:rsidRPr="005A651C">
        <w:rPr>
          <w:vertAlign w:val="superscript"/>
        </w:rPr>
        <w:t>me</w:t>
      </w:r>
      <w:r>
        <w:t> </w:t>
      </w:r>
      <w:r w:rsidRPr="006A7663">
        <w:t xml:space="preserve">Aden </w:t>
      </w:r>
      <w:r>
        <w:t xml:space="preserve">a présenté une demande pour entrer sur le territoire danois aux fins de regroupement familial auprès de l’ambassade du Danemark au </w:t>
      </w:r>
      <w:r w:rsidRPr="006A7663">
        <w:t xml:space="preserve">Kenya, </w:t>
      </w:r>
      <w:r>
        <w:t xml:space="preserve">et il n’est pas certain qu’une telle interaction avec les autorités danoises la place sous la juridiction du Danemark pour ce qui est de sa capacité de jouir des droits consacrés par les </w:t>
      </w:r>
      <w:r w:rsidRPr="006A7663">
        <w:t>articles</w:t>
      </w:r>
      <w:r>
        <w:t> </w:t>
      </w:r>
      <w:r w:rsidRPr="006A7663">
        <w:t xml:space="preserve">17 </w:t>
      </w:r>
      <w:r>
        <w:t xml:space="preserve">et </w:t>
      </w:r>
      <w:r w:rsidRPr="006A7663">
        <w:t xml:space="preserve">23. </w:t>
      </w:r>
      <w:r>
        <w:t xml:space="preserve">Étant d’avis que l’affaire est irrecevable, je réserverai toutefois mon jugement sur ce </w:t>
      </w:r>
      <w:r w:rsidRPr="006A7663">
        <w:t>point.</w:t>
      </w:r>
    </w:p>
    <w:p w:rsidR="004E0D53" w:rsidRDefault="004E0D53" w:rsidP="005A651C">
      <w:pPr>
        <w:pStyle w:val="SingleTxtG"/>
      </w:pPr>
    </w:p>
    <w:p w:rsidR="005A651C" w:rsidRDefault="005A651C" w:rsidP="005A651C">
      <w:pPr>
        <w:pStyle w:val="SingleTxtG"/>
        <w:sectPr w:rsidR="005A651C" w:rsidSect="005A651C">
          <w:headerReference w:type="first" r:id="rId13"/>
          <w:footnotePr>
            <w:numRestart w:val="eachSect"/>
          </w:footnotePr>
          <w:endnotePr>
            <w:numFmt w:val="decimal"/>
          </w:endnotePr>
          <w:pgSz w:w="11906" w:h="16838" w:code="9"/>
          <w:pgMar w:top="1417" w:right="1134" w:bottom="1134" w:left="1134" w:header="850" w:footer="567" w:gutter="0"/>
          <w:cols w:space="708"/>
          <w:docGrid w:linePitch="360"/>
        </w:sectPr>
      </w:pPr>
    </w:p>
    <w:p w:rsidR="005A651C" w:rsidRPr="006A7663" w:rsidRDefault="005A651C" w:rsidP="005A651C">
      <w:pPr>
        <w:pStyle w:val="HChG"/>
      </w:pPr>
      <w:r w:rsidRPr="006A7663">
        <w:lastRenderedPageBreak/>
        <w:t>Annex</w:t>
      </w:r>
      <w:r>
        <w:t>e</w:t>
      </w:r>
      <w:r w:rsidR="004E0D53">
        <w:t> </w:t>
      </w:r>
      <w:r w:rsidRPr="006A7663">
        <w:t>II</w:t>
      </w:r>
    </w:p>
    <w:p w:rsidR="005A651C" w:rsidRPr="006A7663" w:rsidRDefault="005A651C" w:rsidP="005A651C">
      <w:pPr>
        <w:pStyle w:val="HChG"/>
      </w:pPr>
      <w:r w:rsidRPr="006A7663">
        <w:tab/>
      </w:r>
      <w:r w:rsidRPr="006A7663">
        <w:tab/>
      </w:r>
      <w:r>
        <w:t>O</w:t>
      </w:r>
      <w:r w:rsidRPr="006A7663">
        <w:t xml:space="preserve">pinion </w:t>
      </w:r>
      <w:r>
        <w:t xml:space="preserve">individuelle (partiellement dissidente) </w:t>
      </w:r>
      <w:r>
        <w:br/>
        <w:t>d’</w:t>
      </w:r>
      <w:r w:rsidRPr="006A7663">
        <w:t>Andreas Zimmermann</w:t>
      </w:r>
    </w:p>
    <w:p w:rsidR="005A651C" w:rsidRPr="006A7663" w:rsidRDefault="005A651C" w:rsidP="005A651C">
      <w:pPr>
        <w:pStyle w:val="SingleTxtG"/>
      </w:pPr>
      <w:r w:rsidRPr="006A7663">
        <w:t>1.</w:t>
      </w:r>
      <w:r w:rsidRPr="006A7663">
        <w:tab/>
      </w:r>
      <w:r>
        <w:t>Tout en souscrivant aux constatations qu’ont adoptées la majorité des membres du</w:t>
      </w:r>
      <w:r w:rsidR="004E0D53">
        <w:t> </w:t>
      </w:r>
      <w:r>
        <w:t>Comité</w:t>
      </w:r>
      <w:r w:rsidRPr="006A7663">
        <w:t xml:space="preserve">, </w:t>
      </w:r>
      <w:r>
        <w:t xml:space="preserve">je me permets de me dissocier du raisonnement qui a été suivi en ce qui concerne la plainte de </w:t>
      </w:r>
      <w:r w:rsidRPr="006A7663">
        <w:t>Nimo Mohamed Aden.</w:t>
      </w:r>
    </w:p>
    <w:p w:rsidR="005A651C" w:rsidRPr="006A7663" w:rsidRDefault="005A651C" w:rsidP="005A651C">
      <w:pPr>
        <w:pStyle w:val="SingleTxtG"/>
      </w:pPr>
      <w:r w:rsidRPr="006A7663">
        <w:t>2.</w:t>
      </w:r>
      <w:r w:rsidRPr="006A7663">
        <w:tab/>
      </w:r>
      <w:r>
        <w:t>Ainsi qu’il l’a indiqué dans de précédentes décisions, le Comité, avant de prendre une</w:t>
      </w:r>
      <w:r w:rsidRPr="006A7663">
        <w:t xml:space="preserve"> d</w:t>
      </w:r>
      <w:r>
        <w:t>é</w:t>
      </w:r>
      <w:r w:rsidRPr="006A7663">
        <w:t xml:space="preserve">cision </w:t>
      </w:r>
      <w:r>
        <w:t>sur la recevabilité d’une communication, doit examiner, au besoin d’office</w:t>
      </w:r>
      <w:r w:rsidRPr="006A7663">
        <w:t xml:space="preserve"> (</w:t>
      </w:r>
      <w:r>
        <w:t>sans que l’État partie ait soulevé la question</w:t>
      </w:r>
      <w:r w:rsidRPr="006A7663">
        <w:t xml:space="preserve">), </w:t>
      </w:r>
      <w:r>
        <w:t>s’il a compétence pour recevoir et examiner la communication en vertu de l’article</w:t>
      </w:r>
      <w:r w:rsidR="007663F1">
        <w:t> </w:t>
      </w:r>
      <w:r w:rsidRPr="006A7663">
        <w:t>1</w:t>
      </w:r>
      <w:r w:rsidRPr="003D27B9">
        <w:rPr>
          <w:vertAlign w:val="superscript"/>
        </w:rPr>
        <w:t>er</w:t>
      </w:r>
      <w:r>
        <w:t xml:space="preserve"> du </w:t>
      </w:r>
      <w:r w:rsidRPr="006A7663">
        <w:t>Protocol</w:t>
      </w:r>
      <w:r>
        <w:t>e facultatif, compte tenu des dispositions du paragraphe</w:t>
      </w:r>
      <w:r w:rsidR="007663F1">
        <w:t> </w:t>
      </w:r>
      <w:r>
        <w:t>1 de l’</w:t>
      </w:r>
      <w:r w:rsidRPr="006A7663">
        <w:t>article</w:t>
      </w:r>
      <w:r w:rsidR="007663F1">
        <w:t> </w:t>
      </w:r>
      <w:r w:rsidRPr="006A7663">
        <w:t xml:space="preserve">2 </w:t>
      </w:r>
      <w:r>
        <w:t>du Pacte</w:t>
      </w:r>
      <w:r w:rsidRPr="00E47167">
        <w:rPr>
          <w:rStyle w:val="Appelnotedebasdep"/>
        </w:rPr>
        <w:footnoteReference w:id="48"/>
      </w:r>
      <w:r>
        <w:t>.</w:t>
      </w:r>
    </w:p>
    <w:p w:rsidR="005A651C" w:rsidRPr="006A7663" w:rsidRDefault="005A651C" w:rsidP="005A651C">
      <w:pPr>
        <w:pStyle w:val="SingleTxtG"/>
      </w:pPr>
      <w:r w:rsidRPr="006A7663">
        <w:t>3.</w:t>
      </w:r>
      <w:r w:rsidRPr="006A7663">
        <w:tab/>
      </w:r>
      <w:r>
        <w:t xml:space="preserve">Il s’ensuit que le rejet de la plainte de </w:t>
      </w:r>
      <w:r w:rsidRPr="00B1028B">
        <w:t>M</w:t>
      </w:r>
      <w:r w:rsidRPr="00B1028B">
        <w:rPr>
          <w:vertAlign w:val="superscript"/>
        </w:rPr>
        <w:t>me</w:t>
      </w:r>
      <w:r w:rsidR="00B1028B">
        <w:t> </w:t>
      </w:r>
      <w:r w:rsidRPr="00B1028B">
        <w:t>Aden</w:t>
      </w:r>
      <w:r w:rsidRPr="006A7663">
        <w:t xml:space="preserve"> </w:t>
      </w:r>
      <w:r>
        <w:t>pour non-épuisement des recours internes</w:t>
      </w:r>
      <w:r w:rsidRPr="006A7663">
        <w:t xml:space="preserve">, </w:t>
      </w:r>
      <w:r>
        <w:t>même s’il répondait à une simple question de commodité</w:t>
      </w:r>
      <w:r w:rsidRPr="006A7663">
        <w:t>,</w:t>
      </w:r>
      <w:r>
        <w:t xml:space="preserve"> pourrait donner lieu à une interprétation erronée de</w:t>
      </w:r>
      <w:r w:rsidRPr="006A7663">
        <w:t xml:space="preserve"> </w:t>
      </w:r>
      <w:r>
        <w:t>l’</w:t>
      </w:r>
      <w:r w:rsidRPr="006A7663">
        <w:t xml:space="preserve">opinion </w:t>
      </w:r>
      <w:r>
        <w:t>de la majorité comme impliquant que le Comité avait compétence pour recevoir et examiner la communication</w:t>
      </w:r>
      <w:r w:rsidR="007663F1">
        <w:t>,</w:t>
      </w:r>
      <w:r>
        <w:t xml:space="preserve"> y</w:t>
      </w:r>
      <w:r w:rsidR="007663F1">
        <w:t> </w:t>
      </w:r>
      <w:r>
        <w:t>compris en ce qui concerne la plainte de M</w:t>
      </w:r>
      <w:r w:rsidRPr="007663F1">
        <w:rPr>
          <w:vertAlign w:val="superscript"/>
        </w:rPr>
        <w:t>me</w:t>
      </w:r>
      <w:r w:rsidR="007663F1">
        <w:t> </w:t>
      </w:r>
      <w:r>
        <w:t>Aden</w:t>
      </w:r>
      <w:r w:rsidRPr="006A7663">
        <w:t>.</w:t>
      </w:r>
    </w:p>
    <w:p w:rsidR="005A651C" w:rsidRPr="006A7663" w:rsidRDefault="005A651C" w:rsidP="005A651C">
      <w:pPr>
        <w:pStyle w:val="SingleTxtG"/>
      </w:pPr>
      <w:r w:rsidRPr="006A7663">
        <w:t>4.</w:t>
      </w:r>
      <w:r w:rsidRPr="006A7663">
        <w:tab/>
      </w:r>
      <w:r>
        <w:t>Pourtant, M</w:t>
      </w:r>
      <w:r w:rsidRPr="007663F1">
        <w:rPr>
          <w:vertAlign w:val="superscript"/>
        </w:rPr>
        <w:t>me</w:t>
      </w:r>
      <w:r w:rsidR="007663F1">
        <w:t> </w:t>
      </w:r>
      <w:r w:rsidRPr="006A7663">
        <w:t xml:space="preserve">Aden </w:t>
      </w:r>
      <w:r>
        <w:t>n’a jamais eu aucune forme de lien territorial avec le Danemark et n’a jamais non plus relevé de la juridiction de l’État partie</w:t>
      </w:r>
      <w:r w:rsidRPr="006A7663">
        <w:t xml:space="preserve">. </w:t>
      </w:r>
      <w:r>
        <w:t>Le simple fait de soumettre une demande de regroupement familial aux autorités danoises depuis l’étranger et le fait que son mari vivait au Danemark ne suffisent pas à la placer sous la juridiction de ce pays, même selon une interprétation large</w:t>
      </w:r>
      <w:r w:rsidRPr="006A7663">
        <w:t>.</w:t>
      </w:r>
    </w:p>
    <w:p w:rsidR="005A651C" w:rsidRDefault="005A651C" w:rsidP="005A651C">
      <w:pPr>
        <w:pStyle w:val="SingleTxtG"/>
      </w:pPr>
      <w:bookmarkStart w:id="1" w:name="_gjdgxs" w:colFirst="0" w:colLast="0"/>
      <w:bookmarkEnd w:id="1"/>
      <w:r w:rsidRPr="006A7663">
        <w:t>5.</w:t>
      </w:r>
      <w:r w:rsidRPr="006A7663">
        <w:tab/>
      </w:r>
      <w:r>
        <w:t>En conséquence, le Comité aurait dû rejeter la</w:t>
      </w:r>
      <w:r w:rsidRPr="006A7663">
        <w:t xml:space="preserve"> communication </w:t>
      </w:r>
      <w:r>
        <w:t>de M</w:t>
      </w:r>
      <w:r w:rsidRPr="007663F1">
        <w:rPr>
          <w:vertAlign w:val="superscript"/>
        </w:rPr>
        <w:t>me</w:t>
      </w:r>
      <w:r w:rsidR="007663F1">
        <w:t> </w:t>
      </w:r>
      <w:r>
        <w:t>Aden comme ne relevant pas de la compétence que lui confère le Protocole facultatif</w:t>
      </w:r>
      <w:r w:rsidRPr="006A7663">
        <w:t xml:space="preserve">, </w:t>
      </w:r>
      <w:r>
        <w:t>tout en rejetant la communication de son mari pour non-épuisement des recours internes disponibles</w:t>
      </w:r>
      <w:r w:rsidRPr="006A7663">
        <w:t>.</w:t>
      </w:r>
    </w:p>
    <w:p w:rsidR="007663F1" w:rsidRPr="007663F1" w:rsidRDefault="007663F1" w:rsidP="007663F1">
      <w:pPr>
        <w:pStyle w:val="SingleTxtG"/>
        <w:spacing w:before="240" w:after="0"/>
        <w:jc w:val="center"/>
        <w:rPr>
          <w:u w:val="single"/>
        </w:rPr>
      </w:pPr>
      <w:r>
        <w:rPr>
          <w:u w:val="single"/>
        </w:rPr>
        <w:tab/>
      </w:r>
      <w:r>
        <w:rPr>
          <w:u w:val="single"/>
        </w:rPr>
        <w:tab/>
      </w:r>
      <w:r>
        <w:rPr>
          <w:u w:val="single"/>
        </w:rPr>
        <w:tab/>
      </w:r>
    </w:p>
    <w:sectPr w:rsidR="007663F1" w:rsidRPr="007663F1" w:rsidSect="005A651C">
      <w:headerReference w:type="default" r:id="rId1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317" w:rsidRDefault="00E82317" w:rsidP="00F95C08">
      <w:pPr>
        <w:spacing w:line="240" w:lineRule="auto"/>
      </w:pPr>
    </w:p>
  </w:endnote>
  <w:endnote w:type="continuationSeparator" w:id="0">
    <w:p w:rsidR="00E82317" w:rsidRPr="00AC3823" w:rsidRDefault="00E82317" w:rsidP="00AC3823">
      <w:pPr>
        <w:pStyle w:val="Pieddepage"/>
      </w:pPr>
    </w:p>
  </w:endnote>
  <w:endnote w:type="continuationNotice" w:id="1">
    <w:p w:rsidR="00E82317" w:rsidRDefault="00E823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317" w:rsidRPr="00335182" w:rsidRDefault="00E82317" w:rsidP="00335182">
    <w:pPr>
      <w:pStyle w:val="Pieddepage"/>
      <w:tabs>
        <w:tab w:val="right" w:pos="9638"/>
      </w:tabs>
    </w:pPr>
    <w:r w:rsidRPr="00335182">
      <w:rPr>
        <w:b/>
        <w:sz w:val="18"/>
      </w:rPr>
      <w:fldChar w:fldCharType="begin"/>
    </w:r>
    <w:r w:rsidRPr="00335182">
      <w:rPr>
        <w:b/>
        <w:sz w:val="18"/>
      </w:rPr>
      <w:instrText xml:space="preserve"> PAGE  \* MERGEFORMAT </w:instrText>
    </w:r>
    <w:r w:rsidRPr="00335182">
      <w:rPr>
        <w:b/>
        <w:sz w:val="18"/>
      </w:rPr>
      <w:fldChar w:fldCharType="separate"/>
    </w:r>
    <w:r w:rsidRPr="00335182">
      <w:rPr>
        <w:b/>
        <w:noProof/>
        <w:sz w:val="18"/>
      </w:rPr>
      <w:t>2</w:t>
    </w:r>
    <w:r w:rsidRPr="00335182">
      <w:rPr>
        <w:b/>
        <w:sz w:val="18"/>
      </w:rPr>
      <w:fldChar w:fldCharType="end"/>
    </w:r>
    <w:r>
      <w:rPr>
        <w:b/>
        <w:sz w:val="18"/>
      </w:rPr>
      <w:tab/>
    </w:r>
    <w:r>
      <w:t>GE.19-20085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317" w:rsidRPr="00335182" w:rsidRDefault="00E82317" w:rsidP="00335182">
    <w:pPr>
      <w:pStyle w:val="Pieddepage"/>
      <w:tabs>
        <w:tab w:val="right" w:pos="9638"/>
      </w:tabs>
      <w:rPr>
        <w:b/>
        <w:sz w:val="18"/>
      </w:rPr>
    </w:pPr>
    <w:r>
      <w:t>GE.19-20085</w:t>
    </w:r>
    <w:r>
      <w:tab/>
    </w:r>
    <w:r w:rsidRPr="00335182">
      <w:rPr>
        <w:b/>
        <w:sz w:val="18"/>
      </w:rPr>
      <w:fldChar w:fldCharType="begin"/>
    </w:r>
    <w:r w:rsidRPr="00335182">
      <w:rPr>
        <w:b/>
        <w:sz w:val="18"/>
      </w:rPr>
      <w:instrText xml:space="preserve"> PAGE  \* MERGEFORMAT </w:instrText>
    </w:r>
    <w:r w:rsidRPr="00335182">
      <w:rPr>
        <w:b/>
        <w:sz w:val="18"/>
      </w:rPr>
      <w:fldChar w:fldCharType="separate"/>
    </w:r>
    <w:r w:rsidRPr="00335182">
      <w:rPr>
        <w:b/>
        <w:noProof/>
        <w:sz w:val="18"/>
      </w:rPr>
      <w:t>3</w:t>
    </w:r>
    <w:r w:rsidRPr="003351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317" w:rsidRPr="00335182" w:rsidRDefault="00E82317" w:rsidP="0033518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19-20085  (F)    070720    0</w:t>
    </w:r>
    <w:r w:rsidR="002757E6">
      <w:rPr>
        <w:sz w:val="20"/>
      </w:rPr>
      <w:t>8</w:t>
    </w:r>
    <w:r>
      <w:rPr>
        <w:sz w:val="20"/>
      </w:rPr>
      <w:t>0720</w:t>
    </w:r>
    <w:r>
      <w:rPr>
        <w:sz w:val="20"/>
      </w:rPr>
      <w:br/>
    </w:r>
    <w:r w:rsidRPr="00335182">
      <w:rPr>
        <w:rFonts w:ascii="C39T30Lfz" w:hAnsi="C39T30Lfz"/>
        <w:sz w:val="56"/>
      </w:rPr>
      <w:t></w:t>
    </w:r>
    <w:r w:rsidRPr="00335182">
      <w:rPr>
        <w:rFonts w:ascii="C39T30Lfz" w:hAnsi="C39T30Lfz"/>
        <w:sz w:val="56"/>
      </w:rPr>
      <w:t></w:t>
    </w:r>
    <w:r w:rsidRPr="00335182">
      <w:rPr>
        <w:rFonts w:ascii="C39T30Lfz" w:hAnsi="C39T30Lfz"/>
        <w:sz w:val="56"/>
      </w:rPr>
      <w:t></w:t>
    </w:r>
    <w:r w:rsidRPr="00335182">
      <w:rPr>
        <w:rFonts w:ascii="C39T30Lfz" w:hAnsi="C39T30Lfz"/>
        <w:sz w:val="56"/>
      </w:rPr>
      <w:t></w:t>
    </w:r>
    <w:r w:rsidRPr="00335182">
      <w:rPr>
        <w:rFonts w:ascii="C39T30Lfz" w:hAnsi="C39T30Lfz"/>
        <w:sz w:val="56"/>
      </w:rPr>
      <w:t></w:t>
    </w:r>
    <w:r w:rsidRPr="00335182">
      <w:rPr>
        <w:rFonts w:ascii="C39T30Lfz" w:hAnsi="C39T30Lfz"/>
        <w:sz w:val="56"/>
      </w:rPr>
      <w:t></w:t>
    </w:r>
    <w:r w:rsidRPr="00335182">
      <w:rPr>
        <w:rFonts w:ascii="C39T30Lfz" w:hAnsi="C39T30Lfz"/>
        <w:sz w:val="56"/>
      </w:rPr>
      <w:t></w:t>
    </w:r>
    <w:r w:rsidRPr="00335182">
      <w:rPr>
        <w:rFonts w:ascii="C39T30Lfz" w:hAnsi="C39T30Lfz"/>
        <w:sz w:val="56"/>
      </w:rPr>
      <w:t></w:t>
    </w:r>
    <w:r w:rsidRPr="00335182">
      <w:rPr>
        <w:rFonts w:ascii="C39T30Lfz" w:hAnsi="C39T30Lfz"/>
        <w:sz w:val="56"/>
      </w:rPr>
      <w:t></w:t>
    </w:r>
    <w:r>
      <w:rPr>
        <w:noProof/>
        <w:sz w:val="20"/>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317" w:rsidRPr="00AC3823" w:rsidRDefault="00E82317" w:rsidP="00AC3823">
      <w:pPr>
        <w:pStyle w:val="Pieddepage"/>
        <w:tabs>
          <w:tab w:val="right" w:pos="2155"/>
        </w:tabs>
        <w:spacing w:after="80" w:line="240" w:lineRule="atLeast"/>
        <w:ind w:left="680"/>
        <w:rPr>
          <w:u w:val="single"/>
        </w:rPr>
      </w:pPr>
      <w:r>
        <w:rPr>
          <w:u w:val="single"/>
        </w:rPr>
        <w:tab/>
      </w:r>
    </w:p>
  </w:footnote>
  <w:footnote w:type="continuationSeparator" w:id="0">
    <w:p w:rsidR="00E82317" w:rsidRPr="00AC3823" w:rsidRDefault="00E82317" w:rsidP="00AC3823">
      <w:pPr>
        <w:pStyle w:val="Pieddepage"/>
        <w:tabs>
          <w:tab w:val="right" w:pos="2155"/>
        </w:tabs>
        <w:spacing w:after="80" w:line="240" w:lineRule="atLeast"/>
        <w:ind w:left="680"/>
        <w:rPr>
          <w:u w:val="single"/>
        </w:rPr>
      </w:pPr>
      <w:r>
        <w:rPr>
          <w:u w:val="single"/>
        </w:rPr>
        <w:tab/>
      </w:r>
    </w:p>
  </w:footnote>
  <w:footnote w:type="continuationNotice" w:id="1">
    <w:p w:rsidR="00E82317" w:rsidRPr="00AC3823" w:rsidRDefault="00E82317">
      <w:pPr>
        <w:spacing w:line="240" w:lineRule="auto"/>
        <w:rPr>
          <w:sz w:val="2"/>
          <w:szCs w:val="2"/>
        </w:rPr>
      </w:pPr>
    </w:p>
  </w:footnote>
  <w:footnote w:id="2">
    <w:p w:rsidR="00E82317" w:rsidRPr="00E82317" w:rsidRDefault="00E82317">
      <w:pPr>
        <w:pStyle w:val="Notedebasdepage"/>
      </w:pPr>
      <w:r>
        <w:rPr>
          <w:rStyle w:val="Appelnotedebasdep"/>
        </w:rPr>
        <w:tab/>
      </w:r>
      <w:r w:rsidRPr="00E82317">
        <w:rPr>
          <w:rStyle w:val="Appelnotedebasdep"/>
          <w:sz w:val="20"/>
          <w:vertAlign w:val="baseline"/>
        </w:rPr>
        <w:t>*</w:t>
      </w:r>
      <w:r>
        <w:rPr>
          <w:rStyle w:val="Appelnotedebasdep"/>
          <w:sz w:val="20"/>
          <w:vertAlign w:val="baseline"/>
        </w:rPr>
        <w:tab/>
      </w:r>
      <w:r w:rsidRPr="007B03C7">
        <w:t>Adopt</w:t>
      </w:r>
      <w:r>
        <w:t xml:space="preserve">ées par le Comité à sa </w:t>
      </w:r>
      <w:r w:rsidRPr="007B03C7">
        <w:t>126</w:t>
      </w:r>
      <w:r w:rsidRPr="003D27B9">
        <w:rPr>
          <w:vertAlign w:val="superscript"/>
        </w:rPr>
        <w:t>e</w:t>
      </w:r>
      <w:r>
        <w:t> </w:t>
      </w:r>
      <w:r w:rsidRPr="007B03C7">
        <w:t>session (1</w:t>
      </w:r>
      <w:r w:rsidRPr="003D27B9">
        <w:rPr>
          <w:vertAlign w:val="superscript"/>
        </w:rPr>
        <w:t>er</w:t>
      </w:r>
      <w:r>
        <w:t>-</w:t>
      </w:r>
      <w:r w:rsidRPr="007B03C7">
        <w:t>26</w:t>
      </w:r>
      <w:r>
        <w:t xml:space="preserve"> juillet </w:t>
      </w:r>
      <w:r w:rsidRPr="007B03C7">
        <w:t>2019).</w:t>
      </w:r>
    </w:p>
  </w:footnote>
  <w:footnote w:id="3">
    <w:p w:rsidR="00E82317" w:rsidRPr="00E82317" w:rsidRDefault="00E82317">
      <w:pPr>
        <w:pStyle w:val="Notedebasdepage"/>
      </w:pPr>
      <w:r>
        <w:rPr>
          <w:rStyle w:val="Appelnotedebasdep"/>
        </w:rPr>
        <w:tab/>
      </w:r>
      <w:r w:rsidRPr="00E82317">
        <w:rPr>
          <w:rStyle w:val="Appelnotedebasdep"/>
          <w:sz w:val="20"/>
          <w:vertAlign w:val="baseline"/>
        </w:rPr>
        <w:t>**</w:t>
      </w:r>
      <w:r>
        <w:rPr>
          <w:rStyle w:val="Appelnotedebasdep"/>
          <w:sz w:val="20"/>
          <w:vertAlign w:val="baseline"/>
        </w:rPr>
        <w:tab/>
      </w:r>
      <w:r>
        <w:t xml:space="preserve">Les membres du </w:t>
      </w:r>
      <w:r w:rsidRPr="007B03C7">
        <w:t>Com</w:t>
      </w:r>
      <w:r>
        <w:t xml:space="preserve">ité dont le nom suit ont participé à l’examen de la </w:t>
      </w:r>
      <w:r w:rsidRPr="007B03C7">
        <w:t>communication</w:t>
      </w:r>
      <w:r>
        <w:t> </w:t>
      </w:r>
      <w:r w:rsidRPr="007B03C7">
        <w:t>: Tania María Abdo Rocholl, Yadh Ben Achour, Ilze Brands Kehris, Arif Bulkan, Ahmed Amin Fathalla, Shuichi Furuya, Christof Heyns, Bamariam Koita, Duncan Laki Muhumuza, Photini Pazartzis, Hernán Quezada Cabrera, Vasilka Sancin, José Manuel Santos Pais, Yuval Shany, Hélène Tigroudja, Andreas</w:t>
      </w:r>
      <w:r w:rsidR="00EB113E">
        <w:t> </w:t>
      </w:r>
      <w:r w:rsidRPr="007B03C7">
        <w:t xml:space="preserve">Zimmermann </w:t>
      </w:r>
      <w:r>
        <w:t>et</w:t>
      </w:r>
      <w:r w:rsidRPr="007B03C7">
        <w:t xml:space="preserve"> Gentian Zyberi.</w:t>
      </w:r>
    </w:p>
  </w:footnote>
  <w:footnote w:id="4">
    <w:p w:rsidR="00E82317" w:rsidRPr="00E82317" w:rsidRDefault="00E82317">
      <w:pPr>
        <w:pStyle w:val="Notedebasdepage"/>
      </w:pPr>
      <w:r>
        <w:rPr>
          <w:rStyle w:val="Appelnotedebasdep"/>
        </w:rPr>
        <w:tab/>
      </w:r>
      <w:r w:rsidRPr="00E82317">
        <w:rPr>
          <w:rStyle w:val="Appelnotedebasdep"/>
          <w:sz w:val="20"/>
          <w:vertAlign w:val="baseline"/>
        </w:rPr>
        <w:t>***</w:t>
      </w:r>
      <w:r>
        <w:rPr>
          <w:rStyle w:val="Appelnotedebasdep"/>
          <w:sz w:val="20"/>
          <w:vertAlign w:val="baseline"/>
        </w:rPr>
        <w:tab/>
      </w:r>
      <w:r>
        <w:t xml:space="preserve">Le texte d’opinions individuelles signées de </w:t>
      </w:r>
      <w:r w:rsidRPr="007B03C7">
        <w:t xml:space="preserve">Yuval Shany </w:t>
      </w:r>
      <w:r>
        <w:t xml:space="preserve">et </w:t>
      </w:r>
      <w:r w:rsidRPr="007B03C7">
        <w:t xml:space="preserve">Andreas Zimmermann </w:t>
      </w:r>
      <w:r>
        <w:t>est joint aux présentes constatations</w:t>
      </w:r>
      <w:r w:rsidRPr="007B03C7">
        <w:t>.</w:t>
      </w:r>
    </w:p>
  </w:footnote>
  <w:footnote w:id="5">
    <w:p w:rsidR="00E82317" w:rsidRPr="00531951" w:rsidRDefault="00E82317" w:rsidP="00EA5264">
      <w:pPr>
        <w:pStyle w:val="Notedebasdepage"/>
        <w:rPr>
          <w:lang w:val="fr-FR"/>
        </w:rPr>
      </w:pPr>
      <w:r w:rsidRPr="00531951">
        <w:rPr>
          <w:lang w:val="fr-FR"/>
        </w:rPr>
        <w:tab/>
      </w:r>
      <w:r w:rsidRPr="00E47167">
        <w:rPr>
          <w:rStyle w:val="Appelnotedebasdep"/>
        </w:rPr>
        <w:footnoteRef/>
      </w:r>
      <w:r w:rsidRPr="00531951">
        <w:rPr>
          <w:lang w:val="fr-FR"/>
        </w:rPr>
        <w:tab/>
        <w:t>D</w:t>
      </w:r>
      <w:r>
        <w:rPr>
          <w:lang w:val="fr-FR"/>
        </w:rPr>
        <w:t>’</w:t>
      </w:r>
      <w:r w:rsidRPr="00531951">
        <w:rPr>
          <w:lang w:val="fr-FR"/>
        </w:rPr>
        <w:t xml:space="preserve">après les </w:t>
      </w:r>
      <w:r>
        <w:rPr>
          <w:lang w:val="fr-FR"/>
        </w:rPr>
        <w:t>renseignements</w:t>
      </w:r>
      <w:r w:rsidRPr="00531951">
        <w:rPr>
          <w:lang w:val="fr-FR"/>
        </w:rPr>
        <w:t xml:space="preserve"> </w:t>
      </w:r>
      <w:r>
        <w:rPr>
          <w:lang w:val="fr-FR"/>
        </w:rPr>
        <w:t xml:space="preserve">communiqués </w:t>
      </w:r>
      <w:r w:rsidRPr="00531951">
        <w:rPr>
          <w:lang w:val="fr-FR"/>
        </w:rPr>
        <w:t xml:space="preserve">au Comité, </w:t>
      </w:r>
      <w:r>
        <w:rPr>
          <w:lang w:val="fr-FR"/>
        </w:rPr>
        <w:t>M.</w:t>
      </w:r>
      <w:r w:rsidR="00EA5264">
        <w:rPr>
          <w:lang w:val="fr-FR"/>
        </w:rPr>
        <w:t> </w:t>
      </w:r>
      <w:r w:rsidRPr="00531951">
        <w:rPr>
          <w:lang w:val="fr-FR"/>
        </w:rPr>
        <w:t xml:space="preserve">Hassan </w:t>
      </w:r>
      <w:r>
        <w:rPr>
          <w:lang w:val="fr-FR"/>
        </w:rPr>
        <w:t xml:space="preserve">est entré au Danemark le </w:t>
      </w:r>
      <w:r w:rsidRPr="00531951">
        <w:rPr>
          <w:lang w:val="fr-FR"/>
        </w:rPr>
        <w:t>28</w:t>
      </w:r>
      <w:r>
        <w:rPr>
          <w:lang w:val="fr-FR"/>
        </w:rPr>
        <w:t xml:space="preserve"> février </w:t>
      </w:r>
      <w:r w:rsidRPr="00531951">
        <w:rPr>
          <w:lang w:val="fr-FR"/>
        </w:rPr>
        <w:t xml:space="preserve">1993. </w:t>
      </w:r>
      <w:r>
        <w:rPr>
          <w:lang w:val="fr-FR"/>
        </w:rPr>
        <w:t xml:space="preserve">Il s’est vu accorder un </w:t>
      </w:r>
      <w:r w:rsidRPr="000E7BEB">
        <w:rPr>
          <w:lang w:val="fr-FR"/>
        </w:rPr>
        <w:t>permis de séjour</w:t>
      </w:r>
      <w:r>
        <w:rPr>
          <w:lang w:val="fr-FR"/>
        </w:rPr>
        <w:t xml:space="preserve"> le </w:t>
      </w:r>
      <w:r w:rsidRPr="00531951">
        <w:rPr>
          <w:lang w:val="fr-FR"/>
        </w:rPr>
        <w:t>30</w:t>
      </w:r>
      <w:r>
        <w:rPr>
          <w:lang w:val="fr-FR"/>
        </w:rPr>
        <w:t> avril</w:t>
      </w:r>
      <w:r w:rsidRPr="00531951">
        <w:rPr>
          <w:lang w:val="fr-FR"/>
        </w:rPr>
        <w:t xml:space="preserve"> 1993</w:t>
      </w:r>
      <w:r>
        <w:rPr>
          <w:lang w:val="fr-FR"/>
        </w:rPr>
        <w:t xml:space="preserve">, puis un </w:t>
      </w:r>
      <w:r w:rsidRPr="000E7BEB">
        <w:rPr>
          <w:lang w:val="fr-FR"/>
        </w:rPr>
        <w:t>permis de résidence permanente</w:t>
      </w:r>
      <w:r>
        <w:rPr>
          <w:lang w:val="fr-FR"/>
        </w:rPr>
        <w:t xml:space="preserve"> le </w:t>
      </w:r>
      <w:r w:rsidRPr="00531951">
        <w:rPr>
          <w:lang w:val="fr-FR"/>
        </w:rPr>
        <w:t>17</w:t>
      </w:r>
      <w:r>
        <w:rPr>
          <w:lang w:val="fr-FR"/>
        </w:rPr>
        <w:t xml:space="preserve"> juin </w:t>
      </w:r>
      <w:r w:rsidRPr="00531951">
        <w:rPr>
          <w:lang w:val="fr-FR"/>
        </w:rPr>
        <w:t>2003</w:t>
      </w:r>
      <w:r>
        <w:rPr>
          <w:lang w:val="fr-FR"/>
        </w:rPr>
        <w:t xml:space="preserve"> ; il a obtenu la nationalité danoise le </w:t>
      </w:r>
      <w:r w:rsidRPr="00531951">
        <w:rPr>
          <w:lang w:val="fr-FR"/>
        </w:rPr>
        <w:t>27</w:t>
      </w:r>
      <w:r>
        <w:rPr>
          <w:lang w:val="fr-FR"/>
        </w:rPr>
        <w:t xml:space="preserve"> décembre </w:t>
      </w:r>
      <w:r w:rsidRPr="00531951">
        <w:rPr>
          <w:lang w:val="fr-FR"/>
        </w:rPr>
        <w:t>2004.</w:t>
      </w:r>
    </w:p>
  </w:footnote>
  <w:footnote w:id="6">
    <w:p w:rsidR="00E82317" w:rsidRPr="00531951" w:rsidRDefault="00E82317" w:rsidP="00EA5264">
      <w:pPr>
        <w:pStyle w:val="Notedebasdepage"/>
        <w:rPr>
          <w:lang w:val="fr-FR" w:eastAsia="ja-JP"/>
        </w:rPr>
      </w:pPr>
      <w:r w:rsidRPr="00531951">
        <w:rPr>
          <w:lang w:val="fr-FR"/>
        </w:rPr>
        <w:tab/>
      </w:r>
      <w:r w:rsidRPr="00E47167">
        <w:rPr>
          <w:rStyle w:val="Appelnotedebasdep"/>
        </w:rPr>
        <w:footnoteRef/>
      </w:r>
      <w:r w:rsidRPr="00531951">
        <w:rPr>
          <w:lang w:val="fr-FR"/>
        </w:rPr>
        <w:tab/>
      </w:r>
      <w:r>
        <w:rPr>
          <w:lang w:val="fr-FR"/>
        </w:rPr>
        <w:t xml:space="preserve">Les auteurs n’ont été représentés par un conseil ni dans le cadre de la procédure devant le </w:t>
      </w:r>
      <w:r w:rsidRPr="00710ADF">
        <w:rPr>
          <w:lang w:val="fr-FR" w:eastAsia="ja-JP"/>
        </w:rPr>
        <w:t>Service de l</w:t>
      </w:r>
      <w:r>
        <w:rPr>
          <w:lang w:val="fr-FR" w:eastAsia="ja-JP"/>
        </w:rPr>
        <w:t>’</w:t>
      </w:r>
      <w:r w:rsidRPr="00710ADF">
        <w:rPr>
          <w:lang w:val="fr-FR" w:eastAsia="ja-JP"/>
        </w:rPr>
        <w:t>immigration</w:t>
      </w:r>
      <w:r>
        <w:rPr>
          <w:lang w:val="fr-FR" w:eastAsia="ja-JP"/>
        </w:rPr>
        <w:t xml:space="preserve"> ni dans le cadre de la procédure d’appel devant la </w:t>
      </w:r>
      <w:r w:rsidRPr="00710ADF">
        <w:rPr>
          <w:lang w:val="fr-FR" w:eastAsia="ja-JP"/>
        </w:rPr>
        <w:t>Commission des recours en matière d</w:t>
      </w:r>
      <w:r>
        <w:rPr>
          <w:lang w:val="fr-FR" w:eastAsia="ja-JP"/>
        </w:rPr>
        <w:t>’</w:t>
      </w:r>
      <w:r w:rsidRPr="00710ADF">
        <w:rPr>
          <w:lang w:val="fr-FR" w:eastAsia="ja-JP"/>
        </w:rPr>
        <w:t>immigration</w:t>
      </w:r>
      <w:r w:rsidRPr="00531951">
        <w:rPr>
          <w:lang w:val="fr-FR" w:eastAsia="ja-JP"/>
        </w:rPr>
        <w:t>.</w:t>
      </w:r>
    </w:p>
  </w:footnote>
  <w:footnote w:id="7">
    <w:p w:rsidR="00E82317" w:rsidRPr="00531951" w:rsidRDefault="00E82317" w:rsidP="00EA5264">
      <w:pPr>
        <w:pStyle w:val="Notedebasdepage"/>
        <w:rPr>
          <w:lang w:val="fr-FR"/>
        </w:rPr>
      </w:pPr>
      <w:r w:rsidRPr="00531951">
        <w:rPr>
          <w:lang w:val="fr-FR"/>
        </w:rPr>
        <w:tab/>
      </w:r>
      <w:r w:rsidRPr="00E47167">
        <w:rPr>
          <w:rStyle w:val="Appelnotedebasdep"/>
        </w:rPr>
        <w:footnoteRef/>
      </w:r>
      <w:r w:rsidRPr="00531951">
        <w:rPr>
          <w:lang w:val="fr-FR"/>
        </w:rPr>
        <w:tab/>
      </w:r>
      <w:r>
        <w:rPr>
          <w:lang w:val="fr-FR"/>
        </w:rPr>
        <w:t>L’article</w:t>
      </w:r>
      <w:r w:rsidR="00EA5264">
        <w:rPr>
          <w:lang w:val="fr-FR"/>
        </w:rPr>
        <w:t> </w:t>
      </w:r>
      <w:r>
        <w:rPr>
          <w:lang w:val="fr-FR"/>
        </w:rPr>
        <w:t>9</w:t>
      </w:r>
      <w:r w:rsidR="00EA5264">
        <w:rPr>
          <w:lang w:val="fr-FR"/>
        </w:rPr>
        <w:t> </w:t>
      </w:r>
      <w:r>
        <w:rPr>
          <w:lang w:val="fr-FR"/>
        </w:rPr>
        <w:t>8) de la loi sur les étrangers dispose ce qui suit : « À moins que des raisons exceptionnelles le justifient</w:t>
      </w:r>
      <w:r w:rsidRPr="00531951">
        <w:rPr>
          <w:lang w:val="fr-FR"/>
        </w:rPr>
        <w:t xml:space="preserve">, </w:t>
      </w:r>
      <w:r>
        <w:rPr>
          <w:lang w:val="fr-FR"/>
        </w:rPr>
        <w:t>un permis de séjour au titre de l’article</w:t>
      </w:r>
      <w:r w:rsidR="00CB77BD">
        <w:rPr>
          <w:lang w:val="fr-FR"/>
        </w:rPr>
        <w:t> </w:t>
      </w:r>
      <w:r>
        <w:rPr>
          <w:lang w:val="fr-FR"/>
        </w:rPr>
        <w:t>1</w:t>
      </w:r>
      <w:r w:rsidRPr="00FD229E">
        <w:rPr>
          <w:vertAlign w:val="superscript"/>
          <w:lang w:val="fr-FR"/>
        </w:rPr>
        <w:t>er</w:t>
      </w:r>
      <w:r w:rsidR="00CB77BD">
        <w:rPr>
          <w:lang w:val="fr-FR"/>
        </w:rPr>
        <w:t> </w:t>
      </w:r>
      <w:r>
        <w:rPr>
          <w:lang w:val="fr-FR"/>
        </w:rPr>
        <w:t>i) ne peut être délivré s’il y</w:t>
      </w:r>
      <w:r w:rsidR="00CB77BD">
        <w:rPr>
          <w:lang w:val="fr-FR"/>
        </w:rPr>
        <w:t xml:space="preserve"> </w:t>
      </w:r>
      <w:r>
        <w:rPr>
          <w:lang w:val="fr-FR"/>
        </w:rPr>
        <w:t>a lieu de douter que le mariage a été contracté ou la cohabitation établie par les deux parties</w:t>
      </w:r>
      <w:r w:rsidRPr="00FD229E">
        <w:rPr>
          <w:lang w:val="fr-FR"/>
        </w:rPr>
        <w:t xml:space="preserve"> </w:t>
      </w:r>
      <w:r>
        <w:rPr>
          <w:lang w:val="fr-FR"/>
        </w:rPr>
        <w:t>de leur propre gré</w:t>
      </w:r>
      <w:r w:rsidRPr="00531951">
        <w:rPr>
          <w:lang w:val="fr-FR"/>
        </w:rPr>
        <w:t xml:space="preserve">. </w:t>
      </w:r>
      <w:r>
        <w:rPr>
          <w:lang w:val="fr-FR"/>
        </w:rPr>
        <w:t>Si le mariage a été contracté ou la cohabitation établie entre de proches parents ou entre des personnes liées par d’autres liens étroits</w:t>
      </w:r>
      <w:r w:rsidRPr="00531951">
        <w:rPr>
          <w:lang w:val="fr-FR"/>
        </w:rPr>
        <w:t xml:space="preserve">, </w:t>
      </w:r>
      <w:r>
        <w:rPr>
          <w:lang w:val="fr-FR"/>
        </w:rPr>
        <w:t xml:space="preserve">il y a lieu, sauf si des raisons particulières </w:t>
      </w:r>
      <w:r w:rsidR="00EA5264">
        <w:rPr>
          <w:lang w:val="fr-FR"/>
        </w:rPr>
        <w:t>−</w:t>
      </w:r>
      <w:r>
        <w:rPr>
          <w:lang w:val="fr-FR"/>
        </w:rPr>
        <w:t> comme l’unité familiale </w:t>
      </w:r>
      <w:r w:rsidR="00EA5264">
        <w:rPr>
          <w:lang w:val="fr-FR"/>
        </w:rPr>
        <w:t>−</w:t>
      </w:r>
      <w:r>
        <w:rPr>
          <w:lang w:val="fr-FR"/>
        </w:rPr>
        <w:t xml:space="preserve"> justifient de ne pas le faire</w:t>
      </w:r>
      <w:r w:rsidRPr="00531951">
        <w:rPr>
          <w:lang w:val="fr-FR"/>
        </w:rPr>
        <w:t xml:space="preserve">, </w:t>
      </w:r>
      <w:r>
        <w:rPr>
          <w:lang w:val="fr-FR"/>
        </w:rPr>
        <w:t>de douter</w:t>
      </w:r>
      <w:r w:rsidRPr="00531951">
        <w:rPr>
          <w:lang w:val="fr-FR"/>
        </w:rPr>
        <w:t xml:space="preserve"> </w:t>
      </w:r>
      <w:r>
        <w:rPr>
          <w:lang w:val="fr-FR"/>
        </w:rPr>
        <w:t>que le mariage ait été contracté ou la cohabitation établie par les deux parties de leur propre gré. ».</w:t>
      </w:r>
    </w:p>
  </w:footnote>
  <w:footnote w:id="8">
    <w:p w:rsidR="00E82317" w:rsidRPr="00EB113E" w:rsidRDefault="00E82317" w:rsidP="00EA5264">
      <w:pPr>
        <w:pStyle w:val="Notedebasdepage"/>
        <w:rPr>
          <w:spacing w:val="-2"/>
          <w:lang w:val="fr-FR" w:eastAsia="ja-JP"/>
        </w:rPr>
      </w:pPr>
      <w:r w:rsidRPr="00EB113E">
        <w:rPr>
          <w:spacing w:val="-2"/>
          <w:lang w:val="fr-FR"/>
        </w:rPr>
        <w:tab/>
      </w:r>
      <w:r w:rsidRPr="00EB113E">
        <w:rPr>
          <w:rStyle w:val="Appelnotedebasdep"/>
          <w:spacing w:val="-2"/>
        </w:rPr>
        <w:footnoteRef/>
      </w:r>
      <w:r w:rsidRPr="00EB113E">
        <w:rPr>
          <w:spacing w:val="-2"/>
          <w:lang w:val="fr-FR"/>
        </w:rPr>
        <w:tab/>
        <w:t>Les auteurs ont fait valoir que M. Hassan</w:t>
      </w:r>
      <w:r w:rsidRPr="00EB113E">
        <w:rPr>
          <w:spacing w:val="-2"/>
          <w:lang w:val="fr-FR" w:eastAsia="ja-JP"/>
        </w:rPr>
        <w:t xml:space="preserve"> vivait au Danemark depuis plus de vingt ans, qu’il était opposé au mariage forcé et qu’il était soucieux de la sécurité de sa femme et de celle de leur enfant à naître, dont il pouvait prouver qu’il était le père au moyen d’un test sanguin.</w:t>
      </w:r>
    </w:p>
  </w:footnote>
  <w:footnote w:id="9">
    <w:p w:rsidR="00E82317" w:rsidRPr="00531951" w:rsidRDefault="00E82317" w:rsidP="00EA5264">
      <w:pPr>
        <w:pStyle w:val="Notedebasdepage"/>
        <w:rPr>
          <w:rFonts w:eastAsia="MS Mincho"/>
          <w:lang w:val="fr-FR" w:eastAsia="ja-JP"/>
        </w:rPr>
      </w:pPr>
      <w:r w:rsidRPr="00531951">
        <w:rPr>
          <w:lang w:val="fr-FR"/>
        </w:rPr>
        <w:tab/>
      </w:r>
      <w:r w:rsidRPr="00E47167">
        <w:rPr>
          <w:rStyle w:val="Appelnotedebasdep"/>
        </w:rPr>
        <w:footnoteRef/>
      </w:r>
      <w:r w:rsidRPr="00531951">
        <w:rPr>
          <w:lang w:val="fr-FR"/>
        </w:rPr>
        <w:tab/>
      </w:r>
      <w:r>
        <w:rPr>
          <w:lang w:val="fr-FR"/>
        </w:rPr>
        <w:t>Selon la Commission des recours en matière d’immigration, dans la pratique la cohabitation doit durer plus de deux ans et il est fait une distinction entre une cohabitation au Danemark et une cohabitation dans le pays d’origine du demandeur</w:t>
      </w:r>
      <w:r w:rsidRPr="00531951">
        <w:rPr>
          <w:rFonts w:eastAsia="MS Mincho"/>
          <w:lang w:val="fr-FR" w:eastAsia="ja-JP"/>
        </w:rPr>
        <w:t>.</w:t>
      </w:r>
    </w:p>
  </w:footnote>
  <w:footnote w:id="10">
    <w:p w:rsidR="00E82317" w:rsidRPr="00531951" w:rsidRDefault="00E82317" w:rsidP="00EA5264">
      <w:pPr>
        <w:pStyle w:val="Notedebasdepage"/>
        <w:rPr>
          <w:rFonts w:eastAsia="MS Mincho"/>
          <w:lang w:val="fr-FR" w:eastAsia="ja-JP"/>
        </w:rPr>
      </w:pPr>
      <w:r w:rsidRPr="00531951">
        <w:rPr>
          <w:lang w:val="fr-FR"/>
        </w:rPr>
        <w:tab/>
      </w:r>
      <w:r w:rsidRPr="00E47167">
        <w:rPr>
          <w:rStyle w:val="Appelnotedebasdep"/>
        </w:rPr>
        <w:footnoteRef/>
      </w:r>
      <w:r w:rsidRPr="00531951">
        <w:rPr>
          <w:lang w:val="fr-FR"/>
        </w:rPr>
        <w:tab/>
      </w:r>
      <w:r>
        <w:rPr>
          <w:lang w:val="fr-FR"/>
        </w:rPr>
        <w:t>Ceci est conforme à la procédure prévue aux articles</w:t>
      </w:r>
      <w:r w:rsidR="00EA5264">
        <w:rPr>
          <w:lang w:val="fr-FR"/>
        </w:rPr>
        <w:t> </w:t>
      </w:r>
      <w:r w:rsidRPr="00531951">
        <w:rPr>
          <w:rFonts w:eastAsia="MS Mincho"/>
          <w:lang w:val="fr-FR" w:eastAsia="ja-JP"/>
        </w:rPr>
        <w:t xml:space="preserve">325, 327 </w:t>
      </w:r>
      <w:r>
        <w:rPr>
          <w:rFonts w:eastAsia="MS Mincho"/>
          <w:lang w:val="fr-FR" w:eastAsia="ja-JP"/>
        </w:rPr>
        <w:t xml:space="preserve">et </w:t>
      </w:r>
      <w:r w:rsidRPr="00531951">
        <w:rPr>
          <w:rFonts w:eastAsia="MS Mincho"/>
          <w:lang w:val="fr-FR" w:eastAsia="ja-JP"/>
        </w:rPr>
        <w:t xml:space="preserve">328 </w:t>
      </w:r>
      <w:r>
        <w:rPr>
          <w:rFonts w:eastAsia="MS Mincho"/>
          <w:lang w:val="fr-FR" w:eastAsia="ja-JP"/>
        </w:rPr>
        <w:t>de la loi sur l’administration de la j</w:t>
      </w:r>
      <w:r w:rsidRPr="00531951">
        <w:rPr>
          <w:rFonts w:eastAsia="MS Mincho"/>
          <w:lang w:val="fr-FR" w:eastAsia="ja-JP"/>
        </w:rPr>
        <w:t>ustice</w:t>
      </w:r>
      <w:r>
        <w:rPr>
          <w:rFonts w:eastAsia="MS Mincho"/>
          <w:lang w:val="fr-FR" w:eastAsia="ja-JP"/>
        </w:rPr>
        <w:t>, qui prévoit qu’une aide juridictionnelle peut être accordée si la personne qui en fait la demande remplit les conditions de ressources et si l’on considère qu’elle a un motif raisonnable de saisir la justice</w:t>
      </w:r>
      <w:r w:rsidRPr="00531951">
        <w:rPr>
          <w:rFonts w:eastAsia="MS Mincho"/>
          <w:lang w:val="fr-FR" w:eastAsia="ja-JP"/>
        </w:rPr>
        <w:t>.</w:t>
      </w:r>
    </w:p>
  </w:footnote>
  <w:footnote w:id="11">
    <w:p w:rsidR="00E82317" w:rsidRPr="00531951" w:rsidRDefault="00E82317" w:rsidP="00EA5264">
      <w:pPr>
        <w:pStyle w:val="Notedebasdepage"/>
        <w:rPr>
          <w:rFonts w:eastAsia="MS Mincho"/>
          <w:lang w:val="fr-FR" w:eastAsia="ja-JP"/>
        </w:rPr>
      </w:pPr>
      <w:r w:rsidRPr="00531951">
        <w:rPr>
          <w:lang w:val="fr-FR"/>
        </w:rPr>
        <w:tab/>
      </w:r>
      <w:r w:rsidRPr="00E47167">
        <w:rPr>
          <w:rStyle w:val="Appelnotedebasdep"/>
        </w:rPr>
        <w:footnoteRef/>
      </w:r>
      <w:r w:rsidRPr="00531951">
        <w:rPr>
          <w:lang w:val="fr-FR"/>
        </w:rPr>
        <w:tab/>
      </w:r>
      <w:r>
        <w:rPr>
          <w:lang w:val="fr-FR"/>
        </w:rPr>
        <w:t>Le</w:t>
      </w:r>
      <w:r w:rsidRPr="00531951">
        <w:rPr>
          <w:lang w:val="fr-FR"/>
        </w:rPr>
        <w:t xml:space="preserve"> 9</w:t>
      </w:r>
      <w:r>
        <w:rPr>
          <w:lang w:val="fr-FR"/>
        </w:rPr>
        <w:t xml:space="preserve"> avril </w:t>
      </w:r>
      <w:r w:rsidRPr="00531951">
        <w:rPr>
          <w:lang w:val="fr-FR"/>
        </w:rPr>
        <w:t xml:space="preserve">2014, </w:t>
      </w:r>
      <w:r>
        <w:rPr>
          <w:lang w:val="fr-FR"/>
        </w:rPr>
        <w:t>M</w:t>
      </w:r>
      <w:r w:rsidRPr="00AF3304">
        <w:rPr>
          <w:vertAlign w:val="superscript"/>
          <w:lang w:val="fr-FR"/>
        </w:rPr>
        <w:t>me</w:t>
      </w:r>
      <w:r w:rsidRPr="00EA5264">
        <w:rPr>
          <w:lang w:val="fr-FR"/>
        </w:rPr>
        <w:t> </w:t>
      </w:r>
      <w:r w:rsidRPr="00531951">
        <w:rPr>
          <w:lang w:val="fr-FR"/>
        </w:rPr>
        <w:t xml:space="preserve">Aden </w:t>
      </w:r>
      <w:r>
        <w:rPr>
          <w:lang w:val="fr-FR"/>
        </w:rPr>
        <w:t xml:space="preserve">a de nouveau demandé un permis de séjour par l’intermédiaire de l’Ambassade du Danemark au </w:t>
      </w:r>
      <w:r w:rsidRPr="00531951">
        <w:rPr>
          <w:lang w:val="fr-FR"/>
        </w:rPr>
        <w:t xml:space="preserve">Kenya </w:t>
      </w:r>
      <w:r w:rsidRPr="00F9621B">
        <w:rPr>
          <w:lang w:val="fr-FR"/>
        </w:rPr>
        <w:t>aux fins du regroupement familial avec sa fille</w:t>
      </w:r>
      <w:r>
        <w:rPr>
          <w:lang w:val="fr-FR"/>
        </w:rPr>
        <w:t>, qui vit au Danemark</w:t>
      </w:r>
      <w:r w:rsidRPr="00531951">
        <w:rPr>
          <w:lang w:val="fr-FR"/>
        </w:rPr>
        <w:t xml:space="preserve">. </w:t>
      </w:r>
      <w:r>
        <w:rPr>
          <w:lang w:val="fr-FR"/>
        </w:rPr>
        <w:t xml:space="preserve">Le </w:t>
      </w:r>
      <w:r w:rsidRPr="00531951">
        <w:rPr>
          <w:lang w:val="fr-FR"/>
        </w:rPr>
        <w:t>23</w:t>
      </w:r>
      <w:r>
        <w:rPr>
          <w:lang w:val="fr-FR"/>
        </w:rPr>
        <w:t xml:space="preserve"> juin </w:t>
      </w:r>
      <w:r w:rsidRPr="00531951">
        <w:rPr>
          <w:lang w:val="fr-FR"/>
        </w:rPr>
        <w:t xml:space="preserve">2014, </w:t>
      </w:r>
      <w:r>
        <w:rPr>
          <w:lang w:val="fr-FR"/>
        </w:rPr>
        <w:t>le Service de l’i</w:t>
      </w:r>
      <w:r w:rsidRPr="00531951">
        <w:rPr>
          <w:lang w:val="fr-FR"/>
        </w:rPr>
        <w:t xml:space="preserve">mmigration </w:t>
      </w:r>
      <w:r>
        <w:rPr>
          <w:lang w:val="fr-FR"/>
        </w:rPr>
        <w:t>a rejeté cette demande</w:t>
      </w:r>
      <w:r w:rsidRPr="00531951">
        <w:rPr>
          <w:lang w:val="fr-FR"/>
        </w:rPr>
        <w:t xml:space="preserve">. </w:t>
      </w:r>
      <w:r>
        <w:rPr>
          <w:lang w:val="fr-FR"/>
        </w:rPr>
        <w:t xml:space="preserve">Le </w:t>
      </w:r>
      <w:r w:rsidRPr="00531951">
        <w:rPr>
          <w:lang w:val="fr-FR"/>
        </w:rPr>
        <w:t>6</w:t>
      </w:r>
      <w:r>
        <w:rPr>
          <w:lang w:val="fr-FR"/>
        </w:rPr>
        <w:t xml:space="preserve"> novembre </w:t>
      </w:r>
      <w:r w:rsidRPr="00531951">
        <w:rPr>
          <w:lang w:val="fr-FR"/>
        </w:rPr>
        <w:t xml:space="preserve">2014, </w:t>
      </w:r>
      <w:r>
        <w:rPr>
          <w:lang w:val="fr-FR"/>
        </w:rPr>
        <w:t xml:space="preserve">c’est-à-dire après que les auteurs aient soulevé le grief de violation de leurs droits de l’homme auprès du Comité le </w:t>
      </w:r>
      <w:r w:rsidRPr="00531951">
        <w:rPr>
          <w:lang w:val="fr-FR"/>
        </w:rPr>
        <w:t>15</w:t>
      </w:r>
      <w:r>
        <w:rPr>
          <w:lang w:val="fr-FR"/>
        </w:rPr>
        <w:t xml:space="preserve"> septembre </w:t>
      </w:r>
      <w:r w:rsidRPr="00531951">
        <w:rPr>
          <w:lang w:val="fr-FR"/>
        </w:rPr>
        <w:t xml:space="preserve">2014, </w:t>
      </w:r>
      <w:r>
        <w:rPr>
          <w:lang w:val="fr-FR"/>
        </w:rPr>
        <w:t>la Commission des recours en matière d’i</w:t>
      </w:r>
      <w:r w:rsidRPr="00531951">
        <w:rPr>
          <w:lang w:val="fr-FR"/>
        </w:rPr>
        <w:t xml:space="preserve">mmigration </w:t>
      </w:r>
      <w:r>
        <w:rPr>
          <w:lang w:val="fr-FR"/>
        </w:rPr>
        <w:t xml:space="preserve">a confirmé la décision du </w:t>
      </w:r>
      <w:r w:rsidRPr="00531951">
        <w:rPr>
          <w:lang w:val="fr-FR"/>
        </w:rPr>
        <w:t>23</w:t>
      </w:r>
      <w:r>
        <w:rPr>
          <w:lang w:val="fr-FR"/>
        </w:rPr>
        <w:t xml:space="preserve"> juin </w:t>
      </w:r>
      <w:r w:rsidRPr="00531951">
        <w:rPr>
          <w:lang w:val="fr-FR"/>
        </w:rPr>
        <w:t xml:space="preserve">2014 </w:t>
      </w:r>
      <w:r>
        <w:rPr>
          <w:lang w:val="fr-FR"/>
        </w:rPr>
        <w:t>par laquelle le Service de l’immigration avait refusé un permis de séjour à M</w:t>
      </w:r>
      <w:r w:rsidRPr="00AF3304">
        <w:rPr>
          <w:vertAlign w:val="superscript"/>
          <w:lang w:val="fr-FR"/>
        </w:rPr>
        <w:t>me</w:t>
      </w:r>
      <w:r>
        <w:rPr>
          <w:lang w:val="fr-FR"/>
        </w:rPr>
        <w:t> </w:t>
      </w:r>
      <w:r w:rsidRPr="00531951">
        <w:rPr>
          <w:lang w:val="fr-FR"/>
        </w:rPr>
        <w:t>Aden.</w:t>
      </w:r>
    </w:p>
  </w:footnote>
  <w:footnote w:id="12">
    <w:p w:rsidR="00E82317" w:rsidRPr="00531951" w:rsidRDefault="00E82317" w:rsidP="00EA5264">
      <w:pPr>
        <w:pStyle w:val="Notedebasdepage"/>
        <w:rPr>
          <w:rFonts w:eastAsia="MS Mincho"/>
          <w:lang w:val="fr-FR" w:eastAsia="ja-JP"/>
        </w:rPr>
      </w:pPr>
      <w:r w:rsidRPr="00531951">
        <w:rPr>
          <w:lang w:val="fr-FR"/>
        </w:rPr>
        <w:tab/>
      </w:r>
      <w:r w:rsidRPr="00E47167">
        <w:rPr>
          <w:rStyle w:val="Appelnotedebasdep"/>
        </w:rPr>
        <w:footnoteRef/>
      </w:r>
      <w:r w:rsidRPr="00531951">
        <w:rPr>
          <w:rFonts w:ascii="MS Mincho" w:eastAsia="MS Mincho" w:hAnsi="MS Mincho"/>
          <w:lang w:val="fr-FR" w:eastAsia="ja-JP"/>
        </w:rPr>
        <w:tab/>
      </w:r>
      <w:r w:rsidRPr="00531951">
        <w:rPr>
          <w:i/>
          <w:lang w:val="fr-FR"/>
        </w:rPr>
        <w:t xml:space="preserve">Ngambi </w:t>
      </w:r>
      <w:r>
        <w:rPr>
          <w:i/>
          <w:lang w:val="fr-FR"/>
        </w:rPr>
        <w:t>et Nébol c</w:t>
      </w:r>
      <w:r w:rsidRPr="00531951">
        <w:rPr>
          <w:i/>
          <w:lang w:val="fr-FR"/>
        </w:rPr>
        <w:t>.</w:t>
      </w:r>
      <w:r>
        <w:rPr>
          <w:i/>
          <w:lang w:val="fr-FR"/>
        </w:rPr>
        <w:t> </w:t>
      </w:r>
      <w:r w:rsidRPr="00531951">
        <w:rPr>
          <w:i/>
          <w:lang w:val="fr-FR"/>
        </w:rPr>
        <w:t xml:space="preserve">France </w:t>
      </w:r>
      <w:r w:rsidRPr="00531951">
        <w:rPr>
          <w:lang w:val="fr-FR"/>
        </w:rPr>
        <w:t>(CCPR/C/81/D/1179/2003), par.</w:t>
      </w:r>
      <w:r w:rsidR="00EA5264">
        <w:rPr>
          <w:lang w:val="fr-FR"/>
        </w:rPr>
        <w:t> </w:t>
      </w:r>
      <w:r w:rsidRPr="00531951">
        <w:rPr>
          <w:lang w:val="fr-FR"/>
        </w:rPr>
        <w:t xml:space="preserve">6.4, </w:t>
      </w:r>
      <w:r>
        <w:rPr>
          <w:lang w:val="fr-FR"/>
        </w:rPr>
        <w:t>qui étend au regroupement familial la protection prévue à l’</w:t>
      </w:r>
      <w:r w:rsidRPr="00531951">
        <w:rPr>
          <w:lang w:val="fr-FR"/>
        </w:rPr>
        <w:t>article</w:t>
      </w:r>
      <w:r w:rsidR="00EA5264">
        <w:rPr>
          <w:lang w:val="fr-FR"/>
        </w:rPr>
        <w:t> </w:t>
      </w:r>
      <w:r w:rsidRPr="00531951">
        <w:rPr>
          <w:lang w:val="fr-FR"/>
        </w:rPr>
        <w:t xml:space="preserve">23 </w:t>
      </w:r>
      <w:r>
        <w:rPr>
          <w:lang w:val="fr-FR"/>
        </w:rPr>
        <w:t>du Pacte</w:t>
      </w:r>
      <w:r w:rsidRPr="00531951">
        <w:rPr>
          <w:lang w:val="fr-FR"/>
        </w:rPr>
        <w:t>.</w:t>
      </w:r>
    </w:p>
  </w:footnote>
  <w:footnote w:id="13">
    <w:p w:rsidR="00E82317" w:rsidRPr="00531951" w:rsidRDefault="00E82317" w:rsidP="00EA5264">
      <w:pPr>
        <w:pStyle w:val="Notedebasdepage"/>
        <w:rPr>
          <w:rFonts w:eastAsia="MS Mincho"/>
          <w:lang w:val="fr-FR" w:eastAsia="ja-JP"/>
        </w:rPr>
      </w:pPr>
      <w:r w:rsidRPr="00531951">
        <w:rPr>
          <w:lang w:val="fr-FR"/>
        </w:rPr>
        <w:tab/>
      </w:r>
      <w:r w:rsidRPr="00E47167">
        <w:rPr>
          <w:rStyle w:val="Appelnotedebasdep"/>
        </w:rPr>
        <w:footnoteRef/>
      </w:r>
      <w:r w:rsidRPr="00531951">
        <w:rPr>
          <w:lang w:val="fr-FR"/>
        </w:rPr>
        <w:tab/>
      </w:r>
      <w:r>
        <w:rPr>
          <w:lang w:val="fr-FR"/>
        </w:rPr>
        <w:t xml:space="preserve">Les auteurs renvoient à la définition de la discrimination indirecte qui est donnée dans </w:t>
      </w:r>
      <w:r w:rsidRPr="00531951">
        <w:rPr>
          <w:i/>
          <w:lang w:val="fr-FR"/>
        </w:rPr>
        <w:t xml:space="preserve">Althammer et </w:t>
      </w:r>
      <w:r>
        <w:rPr>
          <w:i/>
          <w:lang w:val="fr-FR"/>
        </w:rPr>
        <w:t xml:space="preserve">consorts c. Autriche </w:t>
      </w:r>
      <w:r w:rsidRPr="00531951">
        <w:rPr>
          <w:lang w:val="fr-FR"/>
        </w:rPr>
        <w:t>(</w:t>
      </w:r>
      <w:r w:rsidRPr="00531951">
        <w:rPr>
          <w:bCs/>
          <w:lang w:val="fr-FR"/>
        </w:rPr>
        <w:t>CCPR/C/78/D/998/2001</w:t>
      </w:r>
      <w:r w:rsidRPr="00531951">
        <w:rPr>
          <w:lang w:val="fr-FR"/>
        </w:rPr>
        <w:t>), par.</w:t>
      </w:r>
      <w:r w:rsidR="00EA5264">
        <w:rPr>
          <w:lang w:val="fr-FR"/>
        </w:rPr>
        <w:t> </w:t>
      </w:r>
      <w:r w:rsidRPr="00531951">
        <w:rPr>
          <w:lang w:val="fr-FR"/>
        </w:rPr>
        <w:t>10.2</w:t>
      </w:r>
      <w:r>
        <w:rPr>
          <w:lang w:val="fr-FR"/>
        </w:rPr>
        <w:t>,</w:t>
      </w:r>
      <w:r w:rsidRPr="00531951">
        <w:rPr>
          <w:lang w:val="fr-FR"/>
        </w:rPr>
        <w:t xml:space="preserve"> </w:t>
      </w:r>
      <w:r>
        <w:rPr>
          <w:lang w:val="fr-FR"/>
        </w:rPr>
        <w:t xml:space="preserve">et dans </w:t>
      </w:r>
      <w:r w:rsidRPr="00531951">
        <w:rPr>
          <w:i/>
          <w:lang w:val="fr-FR"/>
        </w:rPr>
        <w:t xml:space="preserve">Derksen </w:t>
      </w:r>
      <w:r>
        <w:rPr>
          <w:i/>
          <w:lang w:val="fr-FR"/>
        </w:rPr>
        <w:t>c</w:t>
      </w:r>
      <w:r w:rsidRPr="00531951">
        <w:rPr>
          <w:i/>
          <w:lang w:val="fr-FR"/>
        </w:rPr>
        <w:t>.</w:t>
      </w:r>
      <w:r>
        <w:rPr>
          <w:i/>
          <w:lang w:val="fr-FR"/>
        </w:rPr>
        <w:t xml:space="preserve"> Pays-Bas </w:t>
      </w:r>
      <w:r w:rsidRPr="00531951">
        <w:rPr>
          <w:lang w:val="fr-FR"/>
        </w:rPr>
        <w:t>(CCPR/C/80/D/976/2001), par.</w:t>
      </w:r>
      <w:r w:rsidR="00EA5264">
        <w:rPr>
          <w:lang w:val="fr-FR"/>
        </w:rPr>
        <w:t> </w:t>
      </w:r>
      <w:r w:rsidRPr="00531951">
        <w:rPr>
          <w:lang w:val="fr-FR"/>
        </w:rPr>
        <w:t xml:space="preserve">9.3. </w:t>
      </w:r>
      <w:r>
        <w:rPr>
          <w:lang w:val="fr-FR"/>
        </w:rPr>
        <w:t>Ils expliquent aussi que la pratique du mariage entre cousins est plus courante chez les Somaliens de religion musulmane que dans d’autres cultures</w:t>
      </w:r>
      <w:r w:rsidRPr="00531951">
        <w:rPr>
          <w:lang w:val="fr-FR"/>
        </w:rPr>
        <w:t>.</w:t>
      </w:r>
    </w:p>
  </w:footnote>
  <w:footnote w:id="14">
    <w:p w:rsidR="00E82317" w:rsidRPr="00EA5264" w:rsidRDefault="00E82317" w:rsidP="00EA5264">
      <w:pPr>
        <w:pStyle w:val="Notedebasdepage"/>
        <w:rPr>
          <w:spacing w:val="-1"/>
          <w:lang w:val="fr-FR"/>
        </w:rPr>
      </w:pPr>
      <w:r w:rsidRPr="00EA5264">
        <w:rPr>
          <w:spacing w:val="-1"/>
          <w:lang w:val="fr-FR"/>
        </w:rPr>
        <w:tab/>
      </w:r>
      <w:r w:rsidRPr="00EA5264">
        <w:rPr>
          <w:rStyle w:val="Appelnotedebasdep"/>
          <w:spacing w:val="-1"/>
        </w:rPr>
        <w:footnoteRef/>
      </w:r>
      <w:r w:rsidRPr="00EA5264">
        <w:rPr>
          <w:spacing w:val="-1"/>
          <w:lang w:val="fr-FR"/>
        </w:rPr>
        <w:tab/>
        <w:t>En particulier, la Convention de sauvegarde des droits de l’homme et des libertés fondamentales, la Convention contre la torture et autres peines ou traitements cruels, inhumains ou dégradants et le Pacte.</w:t>
      </w:r>
    </w:p>
  </w:footnote>
  <w:footnote w:id="15">
    <w:p w:rsidR="00E82317" w:rsidRPr="00531951" w:rsidRDefault="00E82317" w:rsidP="00EA5264">
      <w:pPr>
        <w:pStyle w:val="Notedebasdepage"/>
        <w:rPr>
          <w:rFonts w:eastAsia="MS Mincho"/>
          <w:lang w:val="fr-FR" w:eastAsia="ja-JP"/>
        </w:rPr>
      </w:pPr>
      <w:r w:rsidRPr="00531951">
        <w:rPr>
          <w:lang w:val="fr-FR"/>
        </w:rPr>
        <w:tab/>
      </w:r>
      <w:r w:rsidRPr="00E47167">
        <w:rPr>
          <w:rStyle w:val="Appelnotedebasdep"/>
        </w:rPr>
        <w:footnoteRef/>
      </w:r>
      <w:r w:rsidRPr="00531951">
        <w:rPr>
          <w:lang w:val="fr-FR"/>
        </w:rPr>
        <w:tab/>
      </w:r>
      <w:r>
        <w:rPr>
          <w:lang w:val="fr-FR"/>
        </w:rPr>
        <w:t>La demande d’examen séparé présentée par l’État partie a été rejetée et la recevabilité et le fond de la communication ont été examinés conjointement</w:t>
      </w:r>
      <w:r w:rsidRPr="00531951">
        <w:rPr>
          <w:rFonts w:eastAsia="MS Mincho"/>
          <w:lang w:val="fr-FR" w:eastAsia="ja-JP"/>
        </w:rPr>
        <w:t>.</w:t>
      </w:r>
    </w:p>
  </w:footnote>
  <w:footnote w:id="16">
    <w:p w:rsidR="00E82317" w:rsidRPr="00531951" w:rsidRDefault="00E82317" w:rsidP="00EA5264">
      <w:pPr>
        <w:pStyle w:val="Notedebasdepage"/>
        <w:rPr>
          <w:lang w:val="fr-FR"/>
        </w:rPr>
      </w:pPr>
      <w:r w:rsidRPr="00531951">
        <w:rPr>
          <w:rFonts w:eastAsia="MS Mincho"/>
          <w:lang w:val="fr-FR" w:eastAsia="ja-JP"/>
        </w:rPr>
        <w:tab/>
      </w:r>
      <w:r w:rsidRPr="00E47167">
        <w:rPr>
          <w:rStyle w:val="Appelnotedebasdep"/>
        </w:rPr>
        <w:footnoteRef/>
      </w:r>
      <w:r w:rsidRPr="00531951">
        <w:rPr>
          <w:rFonts w:eastAsia="MS Mincho"/>
          <w:lang w:val="fr-FR" w:eastAsia="ja-JP"/>
        </w:rPr>
        <w:tab/>
      </w:r>
      <w:r w:rsidRPr="00531951">
        <w:rPr>
          <w:rFonts w:eastAsia="MS Mincho"/>
          <w:i/>
          <w:lang w:val="fr-FR" w:eastAsia="ja-JP"/>
        </w:rPr>
        <w:t>P.</w:t>
      </w:r>
      <w:r w:rsidR="00EA5264">
        <w:rPr>
          <w:rFonts w:eastAsia="MS Mincho"/>
          <w:i/>
          <w:lang w:val="fr-FR" w:eastAsia="ja-JP"/>
        </w:rPr>
        <w:t> </w:t>
      </w:r>
      <w:r w:rsidRPr="00531951">
        <w:rPr>
          <w:rFonts w:eastAsia="MS Mincho"/>
          <w:i/>
          <w:lang w:val="fr-FR" w:eastAsia="ja-JP"/>
        </w:rPr>
        <w:t xml:space="preserve">S. </w:t>
      </w:r>
      <w:r>
        <w:rPr>
          <w:rFonts w:eastAsia="MS Mincho"/>
          <w:i/>
          <w:lang w:val="fr-FR" w:eastAsia="ja-JP"/>
        </w:rPr>
        <w:t>c</w:t>
      </w:r>
      <w:r w:rsidRPr="00531951">
        <w:rPr>
          <w:rFonts w:eastAsia="MS Mincho"/>
          <w:i/>
          <w:lang w:val="fr-FR" w:eastAsia="ja-JP"/>
        </w:rPr>
        <w:t>.</w:t>
      </w:r>
      <w:r w:rsidR="00EA5264">
        <w:rPr>
          <w:rFonts w:eastAsia="MS Mincho"/>
          <w:i/>
          <w:lang w:val="fr-FR" w:eastAsia="ja-JP"/>
        </w:rPr>
        <w:t> </w:t>
      </w:r>
      <w:r>
        <w:rPr>
          <w:rFonts w:eastAsia="MS Mincho"/>
          <w:i/>
          <w:lang w:val="fr-FR" w:eastAsia="ja-JP"/>
        </w:rPr>
        <w:t xml:space="preserve">Danemark </w:t>
      </w:r>
      <w:r w:rsidRPr="00531951">
        <w:rPr>
          <w:rFonts w:eastAsia="MS Mincho"/>
          <w:lang w:val="fr-FR" w:eastAsia="ja-JP"/>
        </w:rPr>
        <w:t>(CCPR/C/45/D/397/1990), par.</w:t>
      </w:r>
      <w:r w:rsidR="00EA5264">
        <w:rPr>
          <w:rFonts w:eastAsia="MS Mincho"/>
          <w:lang w:val="fr-FR" w:eastAsia="ja-JP"/>
        </w:rPr>
        <w:t> </w:t>
      </w:r>
      <w:r w:rsidRPr="00531951">
        <w:rPr>
          <w:rFonts w:eastAsia="MS Mincho"/>
          <w:lang w:val="fr-FR" w:eastAsia="ja-JP"/>
        </w:rPr>
        <w:t>5.4</w:t>
      </w:r>
      <w:r>
        <w:rPr>
          <w:rFonts w:eastAsia="MS Mincho"/>
          <w:lang w:val="fr-FR" w:eastAsia="ja-JP"/>
        </w:rPr>
        <w:t> </w:t>
      </w:r>
      <w:r w:rsidRPr="00531951">
        <w:rPr>
          <w:rFonts w:eastAsia="MS Mincho"/>
          <w:lang w:val="fr-FR" w:eastAsia="ja-JP"/>
        </w:rPr>
        <w:t xml:space="preserve">; </w:t>
      </w:r>
      <w:r>
        <w:rPr>
          <w:i/>
          <w:lang w:val="fr-FR"/>
        </w:rPr>
        <w:t>Patiño c</w:t>
      </w:r>
      <w:r w:rsidRPr="00531951">
        <w:rPr>
          <w:i/>
          <w:lang w:val="fr-FR"/>
        </w:rPr>
        <w:t>.</w:t>
      </w:r>
      <w:r>
        <w:rPr>
          <w:i/>
          <w:lang w:val="fr-FR"/>
        </w:rPr>
        <w:t> </w:t>
      </w:r>
      <w:r w:rsidRPr="00531951">
        <w:rPr>
          <w:i/>
          <w:lang w:val="fr-FR"/>
        </w:rPr>
        <w:t>Panama</w:t>
      </w:r>
      <w:r w:rsidRPr="00531951">
        <w:rPr>
          <w:lang w:val="fr-FR"/>
        </w:rPr>
        <w:t xml:space="preserve"> (CCPR/C/52/D/437/1990), </w:t>
      </w:r>
      <w:r>
        <w:rPr>
          <w:lang w:val="fr-FR"/>
        </w:rPr>
        <w:t>par.</w:t>
      </w:r>
      <w:r w:rsidR="00EA5264">
        <w:rPr>
          <w:lang w:val="fr-FR"/>
        </w:rPr>
        <w:t> </w:t>
      </w:r>
      <w:r w:rsidRPr="00531951">
        <w:rPr>
          <w:lang w:val="fr-FR"/>
        </w:rPr>
        <w:t>5</w:t>
      </w:r>
      <w:r w:rsidRPr="00EA5264">
        <w:rPr>
          <w:lang w:val="fr-FR"/>
        </w:rPr>
        <w:t>.</w:t>
      </w:r>
      <w:r w:rsidRPr="00EA5264">
        <w:rPr>
          <w:rStyle w:val="Appelnotedebasdep"/>
          <w:vertAlign w:val="baseline"/>
        </w:rPr>
        <w:t>2</w:t>
      </w:r>
      <w:r w:rsidRPr="00EA5264">
        <w:rPr>
          <w:lang w:val="fr-FR"/>
        </w:rPr>
        <w:t> </w:t>
      </w:r>
      <w:r w:rsidRPr="00531951">
        <w:rPr>
          <w:lang w:val="fr-FR"/>
        </w:rPr>
        <w:t xml:space="preserve">; </w:t>
      </w:r>
      <w:r>
        <w:rPr>
          <w:lang w:val="fr-FR"/>
        </w:rPr>
        <w:t xml:space="preserve">et </w:t>
      </w:r>
      <w:r w:rsidRPr="00531951">
        <w:rPr>
          <w:i/>
          <w:lang w:val="fr-FR"/>
        </w:rPr>
        <w:t>R.</w:t>
      </w:r>
      <w:r w:rsidR="00EA5264">
        <w:rPr>
          <w:i/>
          <w:lang w:val="fr-FR"/>
        </w:rPr>
        <w:t> </w:t>
      </w:r>
      <w:r w:rsidRPr="00531951">
        <w:rPr>
          <w:i/>
          <w:lang w:val="fr-FR"/>
        </w:rPr>
        <w:t xml:space="preserve">T. </w:t>
      </w:r>
      <w:r>
        <w:rPr>
          <w:i/>
          <w:lang w:val="fr-FR"/>
        </w:rPr>
        <w:t>c. </w:t>
      </w:r>
      <w:r w:rsidRPr="00531951">
        <w:rPr>
          <w:i/>
          <w:lang w:val="fr-FR"/>
        </w:rPr>
        <w:t>France</w:t>
      </w:r>
      <w:r w:rsidRPr="00531951">
        <w:rPr>
          <w:lang w:val="fr-FR"/>
        </w:rPr>
        <w:t xml:space="preserve"> (CCPR/C/35/D/262/1987), </w:t>
      </w:r>
      <w:r>
        <w:rPr>
          <w:lang w:val="fr-FR"/>
        </w:rPr>
        <w:t>par. </w:t>
      </w:r>
      <w:r w:rsidRPr="00531951">
        <w:rPr>
          <w:lang w:val="fr-FR"/>
        </w:rPr>
        <w:t xml:space="preserve">7.4. </w:t>
      </w:r>
      <w:r>
        <w:rPr>
          <w:lang w:val="fr-FR"/>
        </w:rPr>
        <w:t xml:space="preserve">L’État partie renvoie également aux arrêts rendus par la Cour européenne des droits de l’homme dans les affaires </w:t>
      </w:r>
      <w:r>
        <w:rPr>
          <w:i/>
          <w:lang w:val="fr-FR"/>
        </w:rPr>
        <w:t>D. c</w:t>
      </w:r>
      <w:r w:rsidRPr="00531951">
        <w:rPr>
          <w:i/>
          <w:lang w:val="fr-FR"/>
        </w:rPr>
        <w:t>.</w:t>
      </w:r>
      <w:r>
        <w:rPr>
          <w:i/>
          <w:lang w:val="fr-FR"/>
        </w:rPr>
        <w:t> </w:t>
      </w:r>
      <w:r w:rsidRPr="00531951">
        <w:rPr>
          <w:i/>
          <w:lang w:val="fr-FR"/>
        </w:rPr>
        <w:t>I</w:t>
      </w:r>
      <w:r>
        <w:rPr>
          <w:i/>
          <w:lang w:val="fr-FR"/>
        </w:rPr>
        <w:t>rlande</w:t>
      </w:r>
      <w:r w:rsidRPr="00531951">
        <w:rPr>
          <w:lang w:val="fr-FR"/>
        </w:rPr>
        <w:t xml:space="preserve"> (</w:t>
      </w:r>
      <w:r>
        <w:rPr>
          <w:lang w:val="fr-FR"/>
        </w:rPr>
        <w:t xml:space="preserve">requête </w:t>
      </w:r>
      <w:r w:rsidRPr="00AF3304">
        <w:rPr>
          <w:rFonts w:eastAsia="MS Mincho"/>
          <w:szCs w:val="22"/>
          <w:lang w:val="fr-FR"/>
        </w:rPr>
        <w:t>n</w:t>
      </w:r>
      <w:r w:rsidRPr="00AF3304">
        <w:rPr>
          <w:rFonts w:eastAsia="MS Mincho"/>
          <w:szCs w:val="22"/>
          <w:vertAlign w:val="superscript"/>
          <w:lang w:val="fr-FR"/>
        </w:rPr>
        <w:t>o</w:t>
      </w:r>
      <w:r>
        <w:rPr>
          <w:lang w:val="fr-FR"/>
        </w:rPr>
        <w:t> </w:t>
      </w:r>
      <w:r w:rsidRPr="00531951">
        <w:rPr>
          <w:lang w:val="fr-FR"/>
        </w:rPr>
        <w:t xml:space="preserve">26499/02), </w:t>
      </w:r>
      <w:r>
        <w:rPr>
          <w:lang w:val="fr-FR"/>
        </w:rPr>
        <w:t>décision du 27</w:t>
      </w:r>
      <w:r w:rsidR="00EA5264">
        <w:rPr>
          <w:lang w:val="fr-FR"/>
        </w:rPr>
        <w:t> </w:t>
      </w:r>
      <w:r>
        <w:rPr>
          <w:lang w:val="fr-FR"/>
        </w:rPr>
        <w:t>juin 2006</w:t>
      </w:r>
      <w:r w:rsidR="00CB77BD">
        <w:rPr>
          <w:lang w:val="fr-FR"/>
        </w:rPr>
        <w:t> ;</w:t>
      </w:r>
      <w:r>
        <w:rPr>
          <w:lang w:val="fr-FR"/>
        </w:rPr>
        <w:t xml:space="preserve"> </w:t>
      </w:r>
      <w:r>
        <w:rPr>
          <w:i/>
          <w:lang w:val="fr-FR"/>
        </w:rPr>
        <w:t>Chypre c</w:t>
      </w:r>
      <w:r w:rsidRPr="00531951">
        <w:rPr>
          <w:i/>
          <w:lang w:val="fr-FR"/>
        </w:rPr>
        <w:t>.</w:t>
      </w:r>
      <w:r w:rsidR="00EA5264">
        <w:rPr>
          <w:i/>
          <w:lang w:val="fr-FR"/>
        </w:rPr>
        <w:t> </w:t>
      </w:r>
      <w:r>
        <w:rPr>
          <w:i/>
          <w:lang w:val="fr-FR"/>
        </w:rPr>
        <w:t xml:space="preserve">Turquie </w:t>
      </w:r>
      <w:r w:rsidRPr="00531951">
        <w:rPr>
          <w:lang w:val="fr-FR"/>
        </w:rPr>
        <w:t>(</w:t>
      </w:r>
      <w:r>
        <w:rPr>
          <w:lang w:val="fr-FR"/>
        </w:rPr>
        <w:t xml:space="preserve">requête </w:t>
      </w:r>
      <w:r w:rsidRPr="00AF3304">
        <w:rPr>
          <w:rFonts w:eastAsia="MS Mincho"/>
          <w:szCs w:val="22"/>
          <w:lang w:val="fr-FR"/>
        </w:rPr>
        <w:t>n</w:t>
      </w:r>
      <w:r w:rsidRPr="00AF3304">
        <w:rPr>
          <w:rFonts w:eastAsia="MS Mincho"/>
          <w:szCs w:val="22"/>
          <w:vertAlign w:val="superscript"/>
          <w:lang w:val="fr-FR"/>
        </w:rPr>
        <w:t>o</w:t>
      </w:r>
      <w:r>
        <w:rPr>
          <w:lang w:val="fr-FR"/>
        </w:rPr>
        <w:t> </w:t>
      </w:r>
      <w:r w:rsidRPr="00531951">
        <w:rPr>
          <w:lang w:val="fr-FR"/>
        </w:rPr>
        <w:t xml:space="preserve">25781/94), </w:t>
      </w:r>
      <w:r>
        <w:rPr>
          <w:lang w:val="fr-FR"/>
        </w:rPr>
        <w:t>arrêt du 10</w:t>
      </w:r>
      <w:r w:rsidR="00EA5264">
        <w:rPr>
          <w:lang w:val="fr-FR"/>
        </w:rPr>
        <w:t> </w:t>
      </w:r>
      <w:r>
        <w:rPr>
          <w:lang w:val="fr-FR"/>
        </w:rPr>
        <w:t>mai 2001</w:t>
      </w:r>
      <w:r w:rsidR="00CB77BD">
        <w:rPr>
          <w:lang w:val="fr-FR"/>
        </w:rPr>
        <w:t> ;</w:t>
      </w:r>
      <w:r>
        <w:rPr>
          <w:lang w:val="fr-FR"/>
        </w:rPr>
        <w:t xml:space="preserve"> </w:t>
      </w:r>
      <w:r w:rsidRPr="00531951">
        <w:rPr>
          <w:i/>
          <w:lang w:val="fr-FR"/>
        </w:rPr>
        <w:t xml:space="preserve">Van Oosterwijck </w:t>
      </w:r>
      <w:r>
        <w:rPr>
          <w:i/>
          <w:lang w:val="fr-FR"/>
        </w:rPr>
        <w:t>c. </w:t>
      </w:r>
      <w:r w:rsidRPr="00531951">
        <w:rPr>
          <w:i/>
          <w:lang w:val="fr-FR"/>
        </w:rPr>
        <w:t>Belgi</w:t>
      </w:r>
      <w:r>
        <w:rPr>
          <w:i/>
          <w:lang w:val="fr-FR"/>
        </w:rPr>
        <w:t>que</w:t>
      </w:r>
      <w:r w:rsidRPr="00531951">
        <w:rPr>
          <w:lang w:val="fr-FR"/>
        </w:rPr>
        <w:t xml:space="preserve"> (</w:t>
      </w:r>
      <w:r>
        <w:rPr>
          <w:lang w:val="fr-FR"/>
        </w:rPr>
        <w:t xml:space="preserve">requête </w:t>
      </w:r>
      <w:r w:rsidRPr="00AF3304">
        <w:rPr>
          <w:rFonts w:eastAsia="MS Mincho"/>
          <w:szCs w:val="22"/>
          <w:lang w:val="fr-FR"/>
        </w:rPr>
        <w:t>n</w:t>
      </w:r>
      <w:r w:rsidRPr="00AF3304">
        <w:rPr>
          <w:rFonts w:eastAsia="MS Mincho"/>
          <w:szCs w:val="22"/>
          <w:vertAlign w:val="superscript"/>
          <w:lang w:val="fr-FR"/>
        </w:rPr>
        <w:t>o</w:t>
      </w:r>
      <w:r>
        <w:rPr>
          <w:lang w:val="fr-FR"/>
        </w:rPr>
        <w:t> </w:t>
      </w:r>
      <w:r w:rsidRPr="00531951">
        <w:rPr>
          <w:lang w:val="fr-FR"/>
        </w:rPr>
        <w:t>7654/76)</w:t>
      </w:r>
      <w:r>
        <w:rPr>
          <w:lang w:val="fr-FR"/>
        </w:rPr>
        <w:t>, arrêt du 6</w:t>
      </w:r>
      <w:r w:rsidR="00EA5264">
        <w:rPr>
          <w:lang w:val="fr-FR"/>
        </w:rPr>
        <w:t> </w:t>
      </w:r>
      <w:r>
        <w:rPr>
          <w:lang w:val="fr-FR"/>
        </w:rPr>
        <w:t>novembre 1980</w:t>
      </w:r>
      <w:r w:rsidR="00CB77BD">
        <w:rPr>
          <w:lang w:val="fr-FR"/>
        </w:rPr>
        <w:t> ;</w:t>
      </w:r>
      <w:r w:rsidRPr="00531951">
        <w:rPr>
          <w:lang w:val="fr-FR"/>
        </w:rPr>
        <w:t xml:space="preserve"> </w:t>
      </w:r>
      <w:r>
        <w:rPr>
          <w:lang w:val="fr-FR"/>
        </w:rPr>
        <w:t>et</w:t>
      </w:r>
      <w:r w:rsidRPr="00531951">
        <w:rPr>
          <w:lang w:val="fr-FR"/>
        </w:rPr>
        <w:t xml:space="preserve"> </w:t>
      </w:r>
      <w:r w:rsidRPr="00531951">
        <w:rPr>
          <w:i/>
          <w:lang w:val="fr-FR"/>
        </w:rPr>
        <w:t xml:space="preserve">Akdivar </w:t>
      </w:r>
      <w:r>
        <w:rPr>
          <w:i/>
          <w:lang w:val="fr-FR"/>
        </w:rPr>
        <w:t xml:space="preserve">et autres c. Turquie </w:t>
      </w:r>
      <w:r w:rsidRPr="00531951">
        <w:rPr>
          <w:lang w:val="fr-FR"/>
        </w:rPr>
        <w:t>(</w:t>
      </w:r>
      <w:r>
        <w:rPr>
          <w:lang w:val="fr-FR"/>
        </w:rPr>
        <w:t xml:space="preserve">requête </w:t>
      </w:r>
      <w:r w:rsidRPr="00AF3304">
        <w:rPr>
          <w:rFonts w:eastAsia="MS Mincho"/>
          <w:szCs w:val="22"/>
          <w:lang w:val="fr-FR"/>
        </w:rPr>
        <w:t>n</w:t>
      </w:r>
      <w:r w:rsidRPr="00AF3304">
        <w:rPr>
          <w:rFonts w:eastAsia="MS Mincho"/>
          <w:szCs w:val="22"/>
          <w:vertAlign w:val="superscript"/>
          <w:lang w:val="fr-FR"/>
        </w:rPr>
        <w:t>o</w:t>
      </w:r>
      <w:r>
        <w:rPr>
          <w:lang w:val="fr-FR"/>
        </w:rPr>
        <w:t> </w:t>
      </w:r>
      <w:r w:rsidRPr="00531951">
        <w:rPr>
          <w:lang w:val="fr-FR"/>
        </w:rPr>
        <w:t>21893/93)</w:t>
      </w:r>
      <w:r>
        <w:rPr>
          <w:lang w:val="fr-FR"/>
        </w:rPr>
        <w:t>, arrêt du 16</w:t>
      </w:r>
      <w:r w:rsidR="00EA5264">
        <w:rPr>
          <w:lang w:val="fr-FR"/>
        </w:rPr>
        <w:t> </w:t>
      </w:r>
      <w:r>
        <w:rPr>
          <w:lang w:val="fr-FR"/>
        </w:rPr>
        <w:t>septembre 1996</w:t>
      </w:r>
      <w:r w:rsidRPr="00531951">
        <w:rPr>
          <w:lang w:val="fr-FR"/>
        </w:rPr>
        <w:t>.</w:t>
      </w:r>
    </w:p>
  </w:footnote>
  <w:footnote w:id="17">
    <w:p w:rsidR="00E82317" w:rsidRPr="00531951" w:rsidRDefault="00E82317" w:rsidP="00EA5264">
      <w:pPr>
        <w:pStyle w:val="Notedebasdepage"/>
        <w:rPr>
          <w:lang w:val="fr-FR"/>
        </w:rPr>
      </w:pPr>
      <w:r w:rsidRPr="00531951">
        <w:rPr>
          <w:lang w:val="fr-FR"/>
        </w:rPr>
        <w:tab/>
      </w:r>
      <w:r w:rsidRPr="00E47167">
        <w:rPr>
          <w:rStyle w:val="Appelnotedebasdep"/>
        </w:rPr>
        <w:footnoteRef/>
      </w:r>
      <w:r w:rsidRPr="00531951">
        <w:rPr>
          <w:lang w:val="fr-FR"/>
        </w:rPr>
        <w:tab/>
      </w:r>
      <w:r>
        <w:rPr>
          <w:lang w:val="fr-FR"/>
        </w:rPr>
        <w:t>L’État partie souligne qu’il est incorrect d’affirmer que l’aide juridictionnelle n’est octroyée qu’à la condition que celui ou celle qui en fait la demande ait des motifs raisonnables d’introduire une action en justice</w:t>
      </w:r>
      <w:r w:rsidRPr="00531951">
        <w:rPr>
          <w:lang w:val="fr-FR"/>
        </w:rPr>
        <w:t xml:space="preserve">. </w:t>
      </w:r>
      <w:r>
        <w:rPr>
          <w:lang w:val="fr-FR"/>
        </w:rPr>
        <w:t xml:space="preserve">Cette </w:t>
      </w:r>
      <w:r w:rsidRPr="00531951">
        <w:rPr>
          <w:lang w:val="fr-FR"/>
        </w:rPr>
        <w:t xml:space="preserve">condition </w:t>
      </w:r>
      <w:r>
        <w:rPr>
          <w:lang w:val="fr-FR"/>
        </w:rPr>
        <w:t>ne s’applique pas s’il existe des raisons particulières qui justifient l’octroi d’une aide judiciaire gratuite</w:t>
      </w:r>
      <w:r w:rsidRPr="00531951">
        <w:rPr>
          <w:lang w:val="fr-FR"/>
        </w:rPr>
        <w:t xml:space="preserve">. </w:t>
      </w:r>
      <w:r>
        <w:rPr>
          <w:lang w:val="fr-FR"/>
        </w:rPr>
        <w:t>L’article</w:t>
      </w:r>
      <w:r w:rsidR="00EA5264">
        <w:rPr>
          <w:lang w:val="fr-FR"/>
        </w:rPr>
        <w:t> </w:t>
      </w:r>
      <w:r w:rsidRPr="00531951">
        <w:rPr>
          <w:lang w:val="fr-FR"/>
        </w:rPr>
        <w:t xml:space="preserve">329 </w:t>
      </w:r>
      <w:r>
        <w:rPr>
          <w:lang w:val="fr-FR"/>
        </w:rPr>
        <w:t>de la loi sur l’a</w:t>
      </w:r>
      <w:r w:rsidRPr="00531951">
        <w:rPr>
          <w:lang w:val="fr-FR"/>
        </w:rPr>
        <w:t xml:space="preserve">dministration </w:t>
      </w:r>
      <w:r>
        <w:rPr>
          <w:lang w:val="fr-FR"/>
        </w:rPr>
        <w:t>de la j</w:t>
      </w:r>
      <w:r w:rsidRPr="00531951">
        <w:rPr>
          <w:lang w:val="fr-FR"/>
        </w:rPr>
        <w:t>ustice</w:t>
      </w:r>
      <w:r>
        <w:rPr>
          <w:lang w:val="fr-FR"/>
        </w:rPr>
        <w:t xml:space="preserve"> prévoit qu’une aide judiciaire gratuite peut être accordée lorsque l’affaire porte sur une question d’importance pour le grand public ou d’intérêt public ou lorsqu’elle est d’une </w:t>
      </w:r>
      <w:r w:rsidRPr="00531951">
        <w:rPr>
          <w:lang w:val="fr-FR"/>
        </w:rPr>
        <w:t xml:space="preserve">importance </w:t>
      </w:r>
      <w:r>
        <w:rPr>
          <w:lang w:val="fr-FR"/>
        </w:rPr>
        <w:t>majeure pour la situation sociale ou professionnelle du demandeur</w:t>
      </w:r>
      <w:r w:rsidRPr="00531951">
        <w:rPr>
          <w:lang w:val="fr-FR"/>
        </w:rPr>
        <w:t>.</w:t>
      </w:r>
    </w:p>
  </w:footnote>
  <w:footnote w:id="18">
    <w:p w:rsidR="00E82317" w:rsidRPr="00531951" w:rsidRDefault="00E82317" w:rsidP="00EA5264">
      <w:pPr>
        <w:pStyle w:val="Notedebasdepage"/>
        <w:rPr>
          <w:rFonts w:eastAsia="MS Mincho"/>
          <w:lang w:val="fr-FR" w:eastAsia="ja-JP"/>
        </w:rPr>
      </w:pPr>
      <w:r w:rsidRPr="00531951">
        <w:rPr>
          <w:lang w:val="fr-FR"/>
        </w:rPr>
        <w:tab/>
      </w:r>
      <w:r w:rsidRPr="00E47167">
        <w:rPr>
          <w:rStyle w:val="Appelnotedebasdep"/>
        </w:rPr>
        <w:footnoteRef/>
      </w:r>
      <w:r w:rsidRPr="00531951">
        <w:rPr>
          <w:lang w:val="fr-FR"/>
        </w:rPr>
        <w:tab/>
        <w:t>500</w:t>
      </w:r>
      <w:r w:rsidR="00EA5264">
        <w:rPr>
          <w:lang w:val="fr-FR"/>
        </w:rPr>
        <w:t> </w:t>
      </w:r>
      <w:r>
        <w:rPr>
          <w:lang w:val="fr-FR"/>
        </w:rPr>
        <w:t xml:space="preserve">couronnes danoises équivalent à environ </w:t>
      </w:r>
      <w:r w:rsidRPr="00531951">
        <w:rPr>
          <w:lang w:val="fr-FR"/>
        </w:rPr>
        <w:t>67</w:t>
      </w:r>
      <w:r>
        <w:rPr>
          <w:lang w:val="fr-FR"/>
        </w:rPr>
        <w:t> euros</w:t>
      </w:r>
      <w:r w:rsidRPr="00531951">
        <w:rPr>
          <w:lang w:val="fr-FR"/>
        </w:rPr>
        <w:t>.</w:t>
      </w:r>
    </w:p>
  </w:footnote>
  <w:footnote w:id="19">
    <w:p w:rsidR="00E82317" w:rsidRPr="00531951" w:rsidRDefault="00E82317" w:rsidP="00EA5264">
      <w:pPr>
        <w:pStyle w:val="Notedebasdepage"/>
        <w:rPr>
          <w:lang w:val="fr-FR" w:eastAsia="ja-JP"/>
        </w:rPr>
      </w:pPr>
      <w:r w:rsidRPr="00531951">
        <w:rPr>
          <w:lang w:val="fr-FR"/>
        </w:rPr>
        <w:tab/>
      </w:r>
      <w:r w:rsidRPr="00E47167">
        <w:rPr>
          <w:rStyle w:val="Appelnotedebasdep"/>
        </w:rPr>
        <w:footnoteRef/>
      </w:r>
      <w:r w:rsidRPr="00531951">
        <w:rPr>
          <w:lang w:val="fr-FR"/>
        </w:rPr>
        <w:tab/>
      </w:r>
      <w:r>
        <w:rPr>
          <w:lang w:val="fr-FR"/>
        </w:rPr>
        <w:t>L’État partie relève notamment : que M</w:t>
      </w:r>
      <w:r w:rsidRPr="00AF3304">
        <w:rPr>
          <w:vertAlign w:val="superscript"/>
          <w:lang w:val="fr-FR"/>
        </w:rPr>
        <w:t>me</w:t>
      </w:r>
      <w:r>
        <w:rPr>
          <w:lang w:val="fr-FR"/>
        </w:rPr>
        <w:t> </w:t>
      </w:r>
      <w:r w:rsidRPr="00531951">
        <w:rPr>
          <w:lang w:val="fr-FR"/>
        </w:rPr>
        <w:t xml:space="preserve">Aden </w:t>
      </w:r>
      <w:r>
        <w:rPr>
          <w:lang w:val="fr-FR"/>
        </w:rPr>
        <w:t xml:space="preserve">n’avait que </w:t>
      </w:r>
      <w:r w:rsidRPr="00531951">
        <w:rPr>
          <w:lang w:val="fr-FR"/>
        </w:rPr>
        <w:t>22</w:t>
      </w:r>
      <w:r w:rsidR="00EA5264">
        <w:rPr>
          <w:lang w:val="fr-FR"/>
        </w:rPr>
        <w:t> </w:t>
      </w:r>
      <w:r>
        <w:rPr>
          <w:lang w:val="fr-FR"/>
        </w:rPr>
        <w:t>ans lorsqu’elle s’est mariée </w:t>
      </w:r>
      <w:r w:rsidRPr="00531951">
        <w:rPr>
          <w:lang w:val="fr-FR"/>
        </w:rPr>
        <w:t xml:space="preserve">; </w:t>
      </w:r>
      <w:r>
        <w:rPr>
          <w:lang w:val="fr-FR"/>
        </w:rPr>
        <w:t>que les auteurs sont cousins </w:t>
      </w:r>
      <w:r w:rsidRPr="00531951">
        <w:rPr>
          <w:lang w:val="fr-FR"/>
        </w:rPr>
        <w:t xml:space="preserve">; </w:t>
      </w:r>
      <w:r>
        <w:rPr>
          <w:lang w:val="fr-FR"/>
        </w:rPr>
        <w:t>que c’est le frère de M</w:t>
      </w:r>
      <w:r w:rsidRPr="00EB113E">
        <w:rPr>
          <w:vertAlign w:val="superscript"/>
          <w:lang w:val="fr-FR"/>
        </w:rPr>
        <w:t>me</w:t>
      </w:r>
      <w:r w:rsidR="00EB113E">
        <w:rPr>
          <w:lang w:val="fr-FR"/>
        </w:rPr>
        <w:t> </w:t>
      </w:r>
      <w:r>
        <w:rPr>
          <w:lang w:val="fr-FR"/>
        </w:rPr>
        <w:t>Aden qui a présenté les auteurs l’un à l’autre </w:t>
      </w:r>
      <w:r w:rsidRPr="00531951">
        <w:rPr>
          <w:lang w:val="fr-FR"/>
        </w:rPr>
        <w:t xml:space="preserve">; </w:t>
      </w:r>
      <w:r>
        <w:rPr>
          <w:lang w:val="fr-FR"/>
        </w:rPr>
        <w:t>que ceux-ci auraient décidé de se marier sans s’être jamais rencontrés </w:t>
      </w:r>
      <w:r w:rsidRPr="00531951">
        <w:rPr>
          <w:lang w:val="fr-FR"/>
        </w:rPr>
        <w:t xml:space="preserve">; </w:t>
      </w:r>
      <w:r>
        <w:rPr>
          <w:lang w:val="fr-FR"/>
        </w:rPr>
        <w:t>qu’ils se seraient rencontrés pour la première fois trois jours seulement avant leur mariage </w:t>
      </w:r>
      <w:r w:rsidRPr="00531951">
        <w:rPr>
          <w:lang w:val="fr-FR"/>
        </w:rPr>
        <w:t xml:space="preserve">; </w:t>
      </w:r>
      <w:r>
        <w:rPr>
          <w:lang w:val="fr-FR"/>
        </w:rPr>
        <w:t xml:space="preserve">qu’ils ne vivaient pas ensemble avant de se marier et que la vie familiale dont les auteurs font état </w:t>
      </w:r>
      <w:r w:rsidRPr="004D25CF">
        <w:rPr>
          <w:lang w:val="fr-FR"/>
        </w:rPr>
        <w:t xml:space="preserve">se </w:t>
      </w:r>
      <w:r>
        <w:rPr>
          <w:lang w:val="fr-FR"/>
        </w:rPr>
        <w:t>limite aux trois visites que M. Hassan aurait rendues à son épouse au Kenya</w:t>
      </w:r>
      <w:r w:rsidRPr="00531951">
        <w:rPr>
          <w:lang w:val="fr-FR"/>
        </w:rPr>
        <w:t>.</w:t>
      </w:r>
    </w:p>
  </w:footnote>
  <w:footnote w:id="20">
    <w:p w:rsidR="00E82317" w:rsidRPr="00EA5264" w:rsidRDefault="00E82317" w:rsidP="00EA5264">
      <w:pPr>
        <w:pStyle w:val="Notedebasdepage"/>
        <w:rPr>
          <w:spacing w:val="-2"/>
          <w:lang w:val="fr-FR"/>
        </w:rPr>
      </w:pPr>
      <w:r w:rsidRPr="00EA5264">
        <w:rPr>
          <w:spacing w:val="-2"/>
          <w:lang w:val="fr-FR"/>
        </w:rPr>
        <w:tab/>
      </w:r>
      <w:r w:rsidRPr="00EA5264">
        <w:rPr>
          <w:rStyle w:val="Appelnotedebasdep"/>
          <w:spacing w:val="-2"/>
        </w:rPr>
        <w:footnoteRef/>
      </w:r>
      <w:r w:rsidRPr="00EA5264">
        <w:rPr>
          <w:spacing w:val="-2"/>
          <w:lang w:val="fr-FR"/>
        </w:rPr>
        <w:tab/>
        <w:t>Voir le paragraphe</w:t>
      </w:r>
      <w:r w:rsidR="00EA5264" w:rsidRPr="00EA5264">
        <w:rPr>
          <w:spacing w:val="-2"/>
          <w:lang w:val="fr-FR"/>
        </w:rPr>
        <w:t> </w:t>
      </w:r>
      <w:r w:rsidRPr="00EA5264">
        <w:rPr>
          <w:spacing w:val="-2"/>
          <w:lang w:val="fr-FR"/>
        </w:rPr>
        <w:t>2 de l’article</w:t>
      </w:r>
      <w:r w:rsidR="00EA5264" w:rsidRPr="00EA5264">
        <w:rPr>
          <w:spacing w:val="-2"/>
          <w:lang w:val="fr-FR"/>
        </w:rPr>
        <w:t> </w:t>
      </w:r>
      <w:r w:rsidRPr="00EA5264">
        <w:rPr>
          <w:spacing w:val="-2"/>
          <w:lang w:val="fr-FR"/>
        </w:rPr>
        <w:t>16 de la Déclaration universelle des droits de l’homme, le paragraphe 3 de l’article</w:t>
      </w:r>
      <w:r w:rsidR="00EA5264" w:rsidRPr="00EA5264">
        <w:rPr>
          <w:spacing w:val="-2"/>
          <w:lang w:val="fr-FR"/>
        </w:rPr>
        <w:t> </w:t>
      </w:r>
      <w:r w:rsidRPr="00EA5264">
        <w:rPr>
          <w:spacing w:val="-2"/>
          <w:lang w:val="fr-FR"/>
        </w:rPr>
        <w:t>23 du Pacte international relatif aux droits civils et politiques, le paragraphe 1 de l’article</w:t>
      </w:r>
      <w:r w:rsidR="00EA5264" w:rsidRPr="00EA5264">
        <w:rPr>
          <w:spacing w:val="-2"/>
          <w:lang w:val="fr-FR"/>
        </w:rPr>
        <w:t> </w:t>
      </w:r>
      <w:r w:rsidRPr="00EA5264">
        <w:rPr>
          <w:spacing w:val="-2"/>
          <w:lang w:val="fr-FR"/>
        </w:rPr>
        <w:t xml:space="preserve">10 </w:t>
      </w:r>
      <w:r w:rsidRPr="00EA5264">
        <w:rPr>
          <w:spacing w:val="-3"/>
          <w:lang w:val="fr-FR"/>
        </w:rPr>
        <w:t>du Pacte international relatif aux droits économiques, sociaux et culturels et le paragraphe 1 de l’article</w:t>
      </w:r>
      <w:r w:rsidR="00EA5264" w:rsidRPr="00EA5264">
        <w:rPr>
          <w:spacing w:val="-3"/>
          <w:lang w:val="fr-FR"/>
        </w:rPr>
        <w:t> </w:t>
      </w:r>
      <w:r w:rsidRPr="00EA5264">
        <w:rPr>
          <w:spacing w:val="-3"/>
          <w:lang w:val="fr-FR"/>
        </w:rPr>
        <w:t>16</w:t>
      </w:r>
      <w:r w:rsidRPr="00EA5264">
        <w:rPr>
          <w:spacing w:val="-2"/>
          <w:lang w:val="fr-FR"/>
        </w:rPr>
        <w:t xml:space="preserve"> de la Convention sur l’élimination de toutes les formes de discrimination à l’égard des femmes.</w:t>
      </w:r>
    </w:p>
  </w:footnote>
  <w:footnote w:id="21">
    <w:p w:rsidR="00E82317" w:rsidRPr="00531951" w:rsidRDefault="00E82317" w:rsidP="00EA5264">
      <w:pPr>
        <w:pStyle w:val="Notedebasdepage"/>
        <w:rPr>
          <w:lang w:val="fr-FR"/>
        </w:rPr>
      </w:pPr>
      <w:r w:rsidRPr="00EB113E">
        <w:rPr>
          <w:spacing w:val="-2"/>
          <w:lang w:val="fr-FR"/>
        </w:rPr>
        <w:tab/>
      </w:r>
      <w:r w:rsidRPr="00EB113E">
        <w:rPr>
          <w:rStyle w:val="Appelnotedebasdep"/>
          <w:spacing w:val="-2"/>
        </w:rPr>
        <w:footnoteRef/>
      </w:r>
      <w:r w:rsidRPr="00EB113E">
        <w:rPr>
          <w:spacing w:val="-2"/>
          <w:lang w:val="fr-FR"/>
        </w:rPr>
        <w:tab/>
        <w:t>Voir la deuxième phrase de l’article</w:t>
      </w:r>
      <w:r w:rsidR="00EA5264" w:rsidRPr="00EB113E">
        <w:rPr>
          <w:spacing w:val="-2"/>
          <w:lang w:val="fr-FR"/>
        </w:rPr>
        <w:t> </w:t>
      </w:r>
      <w:r w:rsidRPr="00EB113E">
        <w:rPr>
          <w:spacing w:val="-2"/>
          <w:lang w:val="fr-FR"/>
        </w:rPr>
        <w:t>31</w:t>
      </w:r>
      <w:r w:rsidR="00EA5264" w:rsidRPr="00EB113E">
        <w:rPr>
          <w:spacing w:val="-2"/>
          <w:lang w:val="fr-FR"/>
        </w:rPr>
        <w:t> </w:t>
      </w:r>
      <w:r w:rsidRPr="00EB113E">
        <w:rPr>
          <w:spacing w:val="-2"/>
          <w:lang w:val="fr-FR"/>
        </w:rPr>
        <w:t>2) du décret concernant le règlement intérieur de la Commission</w:t>
      </w:r>
      <w:r>
        <w:rPr>
          <w:lang w:val="fr-FR"/>
        </w:rPr>
        <w:t xml:space="preserve"> </w:t>
      </w:r>
      <w:r w:rsidRPr="00EB113E">
        <w:rPr>
          <w:spacing w:val="-3"/>
          <w:lang w:val="fr-FR"/>
        </w:rPr>
        <w:t xml:space="preserve">des recours en matière d’immigration (décret </w:t>
      </w:r>
      <w:r w:rsidRPr="00EB113E">
        <w:rPr>
          <w:rFonts w:eastAsia="MS Mincho"/>
          <w:spacing w:val="-3"/>
          <w:szCs w:val="22"/>
          <w:lang w:val="fr-FR"/>
        </w:rPr>
        <w:t>n</w:t>
      </w:r>
      <w:r w:rsidRPr="00EB113E">
        <w:rPr>
          <w:rFonts w:eastAsia="MS Mincho"/>
          <w:spacing w:val="-3"/>
          <w:szCs w:val="22"/>
          <w:vertAlign w:val="superscript"/>
          <w:lang w:val="fr-FR"/>
        </w:rPr>
        <w:t>o</w:t>
      </w:r>
      <w:r w:rsidRPr="00EB113E">
        <w:rPr>
          <w:spacing w:val="-3"/>
          <w:lang w:val="fr-FR"/>
        </w:rPr>
        <w:t> 207 du 26</w:t>
      </w:r>
      <w:r w:rsidR="00EA5264" w:rsidRPr="00EB113E">
        <w:rPr>
          <w:spacing w:val="-3"/>
          <w:lang w:val="fr-FR"/>
        </w:rPr>
        <w:t> </w:t>
      </w:r>
      <w:r w:rsidRPr="00EB113E">
        <w:rPr>
          <w:spacing w:val="-3"/>
          <w:lang w:val="fr-FR"/>
        </w:rPr>
        <w:t xml:space="preserve">février 2015). Voir aussi les notes explicatives de la loi </w:t>
      </w:r>
      <w:r w:rsidRPr="00EB113E">
        <w:rPr>
          <w:rFonts w:eastAsia="MS Mincho"/>
          <w:spacing w:val="-3"/>
          <w:szCs w:val="22"/>
          <w:lang w:val="fr-FR"/>
        </w:rPr>
        <w:t>n</w:t>
      </w:r>
      <w:r w:rsidRPr="00EB113E">
        <w:rPr>
          <w:rFonts w:eastAsia="MS Mincho"/>
          <w:spacing w:val="-3"/>
          <w:szCs w:val="22"/>
          <w:vertAlign w:val="superscript"/>
          <w:lang w:val="fr-FR"/>
        </w:rPr>
        <w:t>o</w:t>
      </w:r>
      <w:r w:rsidRPr="00EB113E">
        <w:rPr>
          <w:spacing w:val="-3"/>
          <w:lang w:val="fr-FR"/>
        </w:rPr>
        <w:t xml:space="preserve"> 571 du 18 juin 2012 et les commentaires du projet de loi </w:t>
      </w:r>
      <w:r w:rsidRPr="00EB113E">
        <w:rPr>
          <w:rFonts w:eastAsia="MS Mincho"/>
          <w:spacing w:val="-3"/>
          <w:szCs w:val="22"/>
          <w:lang w:val="fr-FR"/>
        </w:rPr>
        <w:t>n</w:t>
      </w:r>
      <w:r w:rsidRPr="00EB113E">
        <w:rPr>
          <w:rFonts w:eastAsia="MS Mincho"/>
          <w:spacing w:val="-3"/>
          <w:szCs w:val="22"/>
          <w:vertAlign w:val="superscript"/>
          <w:lang w:val="fr-FR"/>
        </w:rPr>
        <w:t>o</w:t>
      </w:r>
      <w:r w:rsidRPr="00EB113E">
        <w:rPr>
          <w:spacing w:val="-3"/>
          <w:lang w:val="fr-FR"/>
        </w:rPr>
        <w:t> L</w:t>
      </w:r>
      <w:r w:rsidR="00EA5264" w:rsidRPr="00EB113E">
        <w:rPr>
          <w:spacing w:val="-3"/>
          <w:lang w:val="fr-FR"/>
        </w:rPr>
        <w:t> </w:t>
      </w:r>
      <w:r w:rsidRPr="00EB113E">
        <w:rPr>
          <w:spacing w:val="-3"/>
          <w:lang w:val="fr-FR"/>
        </w:rPr>
        <w:t>178 du 25 avril 2012.</w:t>
      </w:r>
    </w:p>
  </w:footnote>
  <w:footnote w:id="22">
    <w:p w:rsidR="00E82317" w:rsidRPr="00531951" w:rsidRDefault="00E82317" w:rsidP="00EA5264">
      <w:pPr>
        <w:pStyle w:val="Notedebasdepage"/>
        <w:rPr>
          <w:i/>
          <w:iCs/>
          <w:lang w:val="fr-FR"/>
        </w:rPr>
      </w:pPr>
      <w:r w:rsidRPr="00531951">
        <w:rPr>
          <w:lang w:val="fr-FR"/>
        </w:rPr>
        <w:tab/>
      </w:r>
      <w:r w:rsidRPr="00875D7E">
        <w:rPr>
          <w:rStyle w:val="Appelnotedebasdep"/>
          <w:spacing w:val="-2"/>
        </w:rPr>
        <w:footnoteRef/>
      </w:r>
      <w:r w:rsidRPr="00875D7E">
        <w:rPr>
          <w:spacing w:val="-2"/>
          <w:lang w:val="fr-FR"/>
        </w:rPr>
        <w:tab/>
        <w:t>Voir observation générale</w:t>
      </w:r>
      <w:r w:rsidR="00EA5264" w:rsidRPr="00875D7E">
        <w:rPr>
          <w:spacing w:val="-2"/>
          <w:lang w:val="fr-FR"/>
        </w:rPr>
        <w:t xml:space="preserve"> n</w:t>
      </w:r>
      <w:r w:rsidR="00EA5264" w:rsidRPr="00875D7E">
        <w:rPr>
          <w:spacing w:val="-2"/>
          <w:vertAlign w:val="superscript"/>
          <w:lang w:val="fr-FR"/>
        </w:rPr>
        <w:t>o</w:t>
      </w:r>
      <w:r w:rsidR="00EA5264" w:rsidRPr="00875D7E">
        <w:rPr>
          <w:spacing w:val="-2"/>
          <w:lang w:val="fr-FR"/>
        </w:rPr>
        <w:t> </w:t>
      </w:r>
      <w:r w:rsidRPr="00875D7E">
        <w:rPr>
          <w:spacing w:val="-2"/>
          <w:lang w:val="fr-FR"/>
        </w:rPr>
        <w:t>18</w:t>
      </w:r>
      <w:r w:rsidR="00EA5264" w:rsidRPr="00875D7E">
        <w:rPr>
          <w:spacing w:val="-2"/>
          <w:lang w:val="fr-FR"/>
        </w:rPr>
        <w:t xml:space="preserve"> </w:t>
      </w:r>
      <w:r w:rsidRPr="00875D7E">
        <w:rPr>
          <w:spacing w:val="-2"/>
          <w:lang w:val="fr-FR"/>
        </w:rPr>
        <w:t xml:space="preserve">(1989) sur la non-discrimination, et </w:t>
      </w:r>
      <w:r w:rsidRPr="00875D7E">
        <w:rPr>
          <w:i/>
          <w:iCs/>
          <w:spacing w:val="-2"/>
          <w:lang w:val="fr-FR"/>
        </w:rPr>
        <w:t>Althammer et consorts c. Autriche</w:t>
      </w:r>
      <w:r>
        <w:rPr>
          <w:i/>
          <w:iCs/>
          <w:lang w:val="fr-FR"/>
        </w:rPr>
        <w:t xml:space="preserve"> </w:t>
      </w:r>
      <w:r w:rsidRPr="00531951">
        <w:rPr>
          <w:lang w:val="fr-FR"/>
        </w:rPr>
        <w:t xml:space="preserve">(CCPR/C/78/D/998/2001), </w:t>
      </w:r>
      <w:r>
        <w:rPr>
          <w:lang w:val="fr-FR"/>
        </w:rPr>
        <w:t>par.</w:t>
      </w:r>
      <w:r w:rsidR="00EA5264">
        <w:rPr>
          <w:lang w:val="fr-FR"/>
        </w:rPr>
        <w:t> </w:t>
      </w:r>
      <w:r w:rsidRPr="00531951">
        <w:rPr>
          <w:lang w:val="fr-FR"/>
        </w:rPr>
        <w:t>10.2.</w:t>
      </w:r>
    </w:p>
  </w:footnote>
  <w:footnote w:id="23">
    <w:p w:rsidR="00E82317" w:rsidRPr="00531951" w:rsidRDefault="00E82317" w:rsidP="00EA5264">
      <w:pPr>
        <w:pStyle w:val="Notedebasdepage"/>
        <w:rPr>
          <w:rFonts w:eastAsia="MS Mincho"/>
          <w:lang w:val="fr-FR" w:eastAsia="ja-JP"/>
        </w:rPr>
      </w:pPr>
      <w:r w:rsidRPr="00531951">
        <w:rPr>
          <w:lang w:val="fr-FR"/>
        </w:rPr>
        <w:tab/>
      </w:r>
      <w:r w:rsidRPr="00E47167">
        <w:rPr>
          <w:rStyle w:val="Appelnotedebasdep"/>
        </w:rPr>
        <w:footnoteRef/>
      </w:r>
      <w:r w:rsidRPr="00531951">
        <w:rPr>
          <w:lang w:val="fr-FR"/>
        </w:rPr>
        <w:tab/>
      </w:r>
      <w:r>
        <w:rPr>
          <w:lang w:val="fr-FR"/>
        </w:rPr>
        <w:t>L’État partie signale que la règle énoncée à l’article</w:t>
      </w:r>
      <w:r w:rsidR="00EA5264">
        <w:rPr>
          <w:lang w:val="fr-FR"/>
        </w:rPr>
        <w:t> </w:t>
      </w:r>
      <w:r>
        <w:rPr>
          <w:lang w:val="fr-FR"/>
        </w:rPr>
        <w:t>9</w:t>
      </w:r>
      <w:r w:rsidR="00EA5264">
        <w:rPr>
          <w:lang w:val="fr-FR"/>
        </w:rPr>
        <w:t> </w:t>
      </w:r>
      <w:r>
        <w:rPr>
          <w:lang w:val="fr-FR"/>
        </w:rPr>
        <w:t>8) de la loi sur les étrangers a pour but d’aider les personnes qui risquent d’être forcées à épouser un proche parent ou une proche relation contre leur gré ou de subir des pressions dans ce sens</w:t>
      </w:r>
      <w:r w:rsidRPr="00531951">
        <w:rPr>
          <w:lang w:val="fr-FR"/>
        </w:rPr>
        <w:t xml:space="preserve">. </w:t>
      </w:r>
      <w:r>
        <w:rPr>
          <w:lang w:val="fr-FR"/>
        </w:rPr>
        <w:t>Cette règle a également pour but d’éviter les problèmes d’intégration résultant de la pratique, qui se développe chez les immigrants ou descendants d’immigrants vivant au Danemark, sous la pression de leurs parents, consistant à faire venir leur conjoint au Danemark depuis leur pays d’origine ou celui de leurs parents</w:t>
      </w:r>
      <w:r w:rsidRPr="00531951">
        <w:rPr>
          <w:lang w:val="fr-FR"/>
        </w:rPr>
        <w:t xml:space="preserve">. </w:t>
      </w:r>
      <w:r>
        <w:rPr>
          <w:lang w:val="fr-FR"/>
        </w:rPr>
        <w:t xml:space="preserve">Cette pratique contribue à maintenir ces personnes dans une </w:t>
      </w:r>
      <w:r w:rsidRPr="00531951">
        <w:rPr>
          <w:lang w:val="fr-FR"/>
        </w:rPr>
        <w:t xml:space="preserve">situation </w:t>
      </w:r>
      <w:r>
        <w:rPr>
          <w:lang w:val="fr-FR"/>
        </w:rPr>
        <w:t>où elles ressentent, plus que d’autres, l’isolement et ont du mal à s’adapter dans la société danoise</w:t>
      </w:r>
      <w:r w:rsidRPr="00531951">
        <w:rPr>
          <w:lang w:val="fr-FR"/>
        </w:rPr>
        <w:t xml:space="preserve">. </w:t>
      </w:r>
      <w:r>
        <w:rPr>
          <w:lang w:val="fr-FR"/>
        </w:rPr>
        <w:t>L’État partie estime que la règle énoncée à l’article</w:t>
      </w:r>
      <w:r w:rsidR="00EA5264">
        <w:rPr>
          <w:lang w:val="fr-FR"/>
        </w:rPr>
        <w:t> </w:t>
      </w:r>
      <w:r>
        <w:rPr>
          <w:lang w:val="fr-FR"/>
        </w:rPr>
        <w:t>9</w:t>
      </w:r>
      <w:r w:rsidR="00EA5264">
        <w:rPr>
          <w:lang w:val="fr-FR"/>
        </w:rPr>
        <w:t> </w:t>
      </w:r>
      <w:r>
        <w:rPr>
          <w:lang w:val="fr-FR"/>
        </w:rPr>
        <w:t xml:space="preserve">8) de la loi sur les étrangers établit un juste équilibre dans une </w:t>
      </w:r>
      <w:r w:rsidRPr="00531951">
        <w:rPr>
          <w:lang w:val="fr-FR"/>
        </w:rPr>
        <w:t xml:space="preserve">situation </w:t>
      </w:r>
      <w:r>
        <w:rPr>
          <w:lang w:val="fr-FR"/>
        </w:rPr>
        <w:t>dans laquelle il est difficile pour un demandeur d’informer les services d’immigration qu’il a contracté un mariage forcé ou semi-forcé</w:t>
      </w:r>
      <w:r w:rsidRPr="00531951">
        <w:rPr>
          <w:lang w:val="fr-FR"/>
        </w:rPr>
        <w:t xml:space="preserve">. </w:t>
      </w:r>
      <w:r>
        <w:rPr>
          <w:lang w:val="fr-FR"/>
        </w:rPr>
        <w:t>Grace à cette règle, il suffit que le demandeur signale aux autorités que le mariage a été contracté avec un proche parent ou une proche relation.</w:t>
      </w:r>
      <w:r w:rsidRPr="00531951">
        <w:rPr>
          <w:lang w:val="fr-FR"/>
        </w:rPr>
        <w:t xml:space="preserve"> </w:t>
      </w:r>
      <w:r>
        <w:rPr>
          <w:lang w:val="fr-FR"/>
        </w:rPr>
        <w:t>Cela permet, dans une certaine mesure, de</w:t>
      </w:r>
      <w:r w:rsidR="00CB77BD">
        <w:rPr>
          <w:lang w:val="fr-FR"/>
        </w:rPr>
        <w:t xml:space="preserve"> </w:t>
      </w:r>
      <w:r>
        <w:rPr>
          <w:lang w:val="fr-FR"/>
        </w:rPr>
        <w:t xml:space="preserve">faire en sorte que les demandeurs n’aient pas à craindre de subir des représailles de la part de leur famille, crainte qui pourrait, sinon, les dissuader de faire savoir aux services de l’immigration que leur mariage est un mariage forcé ou </w:t>
      </w:r>
      <w:r w:rsidRPr="00531951">
        <w:rPr>
          <w:lang w:val="fr-FR"/>
        </w:rPr>
        <w:t>semi-forc</w:t>
      </w:r>
      <w:r>
        <w:rPr>
          <w:lang w:val="fr-FR"/>
        </w:rPr>
        <w:t>é</w:t>
      </w:r>
      <w:r w:rsidRPr="00531951">
        <w:rPr>
          <w:lang w:val="fr-FR"/>
        </w:rPr>
        <w:t>.</w:t>
      </w:r>
    </w:p>
  </w:footnote>
  <w:footnote w:id="24">
    <w:p w:rsidR="00E82317" w:rsidRPr="00531951" w:rsidRDefault="00E82317" w:rsidP="00CF08AB">
      <w:pPr>
        <w:pStyle w:val="Notedebasdepage"/>
        <w:rPr>
          <w:rFonts w:eastAsia="MS Mincho"/>
          <w:lang w:val="fr-FR"/>
        </w:rPr>
      </w:pPr>
      <w:r w:rsidRPr="00531951">
        <w:rPr>
          <w:lang w:val="fr-FR"/>
        </w:rPr>
        <w:tab/>
      </w:r>
      <w:r w:rsidRPr="00E47167">
        <w:rPr>
          <w:rStyle w:val="Appelnotedebasdep"/>
        </w:rPr>
        <w:footnoteRef/>
      </w:r>
      <w:r w:rsidRPr="00531951">
        <w:rPr>
          <w:lang w:val="fr-FR"/>
        </w:rPr>
        <w:tab/>
      </w:r>
      <w:r>
        <w:rPr>
          <w:rFonts w:eastAsia="MS Mincho"/>
          <w:lang w:val="fr-FR"/>
        </w:rPr>
        <w:t xml:space="preserve">Les auteurs renvoient à </w:t>
      </w:r>
      <w:r w:rsidRPr="00531951">
        <w:rPr>
          <w:rFonts w:eastAsia="MS Mincho"/>
          <w:i/>
          <w:lang w:val="fr-FR"/>
        </w:rPr>
        <w:t xml:space="preserve">Toala </w:t>
      </w:r>
      <w:r>
        <w:rPr>
          <w:rFonts w:eastAsia="MS Mincho"/>
          <w:i/>
          <w:lang w:val="fr-FR"/>
        </w:rPr>
        <w:t>c.</w:t>
      </w:r>
      <w:r w:rsidR="00CF08AB">
        <w:rPr>
          <w:rFonts w:eastAsia="MS Mincho"/>
          <w:i/>
          <w:lang w:val="fr-FR"/>
        </w:rPr>
        <w:t> </w:t>
      </w:r>
      <w:r w:rsidRPr="00531951">
        <w:rPr>
          <w:rFonts w:eastAsia="MS Mincho"/>
          <w:i/>
          <w:lang w:val="fr-FR"/>
        </w:rPr>
        <w:t>N</w:t>
      </w:r>
      <w:r>
        <w:rPr>
          <w:rFonts w:eastAsia="MS Mincho"/>
          <w:i/>
          <w:lang w:val="fr-FR"/>
        </w:rPr>
        <w:t>ouvelle-Zélande</w:t>
      </w:r>
      <w:r w:rsidRPr="00531951">
        <w:rPr>
          <w:rFonts w:eastAsia="MS Mincho"/>
          <w:lang w:val="fr-FR"/>
        </w:rPr>
        <w:t xml:space="preserve"> (CCPR/C/63/D/675/1995)</w:t>
      </w:r>
      <w:r>
        <w:rPr>
          <w:rFonts w:eastAsia="MS Mincho"/>
          <w:lang w:val="fr-FR"/>
        </w:rPr>
        <w:t>,</w:t>
      </w:r>
      <w:r w:rsidRPr="00531951">
        <w:rPr>
          <w:rFonts w:eastAsia="MS Mincho"/>
          <w:lang w:val="fr-FR"/>
        </w:rPr>
        <w:t xml:space="preserve"> </w:t>
      </w:r>
      <w:r>
        <w:rPr>
          <w:rFonts w:eastAsia="MS Mincho"/>
          <w:lang w:val="fr-FR"/>
        </w:rPr>
        <w:t>par.</w:t>
      </w:r>
      <w:r w:rsidR="00CF08AB">
        <w:rPr>
          <w:rFonts w:eastAsia="MS Mincho"/>
          <w:lang w:val="fr-FR"/>
        </w:rPr>
        <w:t> </w:t>
      </w:r>
      <w:r w:rsidRPr="00531951">
        <w:rPr>
          <w:rFonts w:eastAsia="MS Mincho"/>
          <w:lang w:val="fr-FR"/>
        </w:rPr>
        <w:t>6.4</w:t>
      </w:r>
      <w:r w:rsidR="00CB77BD">
        <w:rPr>
          <w:rFonts w:eastAsia="MS Mincho"/>
          <w:lang w:val="fr-FR"/>
        </w:rPr>
        <w:t> ;</w:t>
      </w:r>
      <w:r w:rsidRPr="00531951">
        <w:rPr>
          <w:rFonts w:eastAsia="MS Mincho"/>
          <w:lang w:val="fr-FR"/>
        </w:rPr>
        <w:t xml:space="preserve"> </w:t>
      </w:r>
      <w:r w:rsidRPr="00531951">
        <w:rPr>
          <w:rFonts w:eastAsia="MS Mincho"/>
          <w:i/>
          <w:lang w:val="fr-FR"/>
        </w:rPr>
        <w:t xml:space="preserve">Chongwe </w:t>
      </w:r>
      <w:r>
        <w:rPr>
          <w:rFonts w:eastAsia="MS Mincho"/>
          <w:i/>
          <w:lang w:val="fr-FR"/>
        </w:rPr>
        <w:t>c. </w:t>
      </w:r>
      <w:r w:rsidRPr="00531951">
        <w:rPr>
          <w:rFonts w:eastAsia="MS Mincho"/>
          <w:i/>
          <w:lang w:val="fr-FR"/>
        </w:rPr>
        <w:t>Zambi</w:t>
      </w:r>
      <w:r>
        <w:rPr>
          <w:rFonts w:eastAsia="MS Mincho"/>
          <w:i/>
          <w:lang w:val="fr-FR"/>
        </w:rPr>
        <w:t>e</w:t>
      </w:r>
      <w:r w:rsidRPr="00531951">
        <w:rPr>
          <w:rFonts w:eastAsia="MS Mincho"/>
          <w:i/>
          <w:lang w:val="fr-FR"/>
        </w:rPr>
        <w:t xml:space="preserve"> </w:t>
      </w:r>
      <w:r w:rsidRPr="00531951">
        <w:rPr>
          <w:rFonts w:eastAsia="MS Mincho"/>
          <w:lang w:val="fr-FR"/>
        </w:rPr>
        <w:t>(CCPR/C/70/D/821/1998)</w:t>
      </w:r>
      <w:r>
        <w:rPr>
          <w:rFonts w:eastAsia="MS Mincho"/>
          <w:lang w:val="fr-FR"/>
        </w:rPr>
        <w:t>,</w:t>
      </w:r>
      <w:r w:rsidRPr="00531951">
        <w:rPr>
          <w:rFonts w:eastAsia="MS Mincho"/>
          <w:lang w:val="fr-FR"/>
        </w:rPr>
        <w:t xml:space="preserve"> </w:t>
      </w:r>
      <w:r>
        <w:rPr>
          <w:rFonts w:eastAsia="MS Mincho"/>
          <w:lang w:val="fr-FR"/>
        </w:rPr>
        <w:t>par.</w:t>
      </w:r>
      <w:r w:rsidR="00CF08AB">
        <w:rPr>
          <w:rFonts w:eastAsia="MS Mincho"/>
          <w:lang w:val="fr-FR"/>
        </w:rPr>
        <w:t> </w:t>
      </w:r>
      <w:r w:rsidRPr="00531951">
        <w:rPr>
          <w:rFonts w:eastAsia="MS Mincho"/>
          <w:lang w:val="fr-FR"/>
        </w:rPr>
        <w:t>4.3</w:t>
      </w:r>
      <w:r w:rsidR="00CB77BD">
        <w:rPr>
          <w:rFonts w:eastAsia="MS Mincho"/>
          <w:lang w:val="fr-FR"/>
        </w:rPr>
        <w:t> ;</w:t>
      </w:r>
      <w:r>
        <w:rPr>
          <w:rFonts w:eastAsia="MS Mincho"/>
          <w:lang w:val="fr-FR"/>
        </w:rPr>
        <w:t xml:space="preserve"> et</w:t>
      </w:r>
      <w:r w:rsidRPr="00531951">
        <w:rPr>
          <w:rFonts w:eastAsia="MS Mincho"/>
          <w:lang w:val="fr-FR"/>
        </w:rPr>
        <w:t xml:space="preserve"> </w:t>
      </w:r>
      <w:r w:rsidRPr="00531951">
        <w:rPr>
          <w:rFonts w:eastAsia="MS Mincho"/>
          <w:i/>
          <w:lang w:val="fr-FR"/>
        </w:rPr>
        <w:t xml:space="preserve">Saker </w:t>
      </w:r>
      <w:r>
        <w:rPr>
          <w:rFonts w:eastAsia="MS Mincho"/>
          <w:i/>
          <w:lang w:val="fr-FR"/>
        </w:rPr>
        <w:t>c. </w:t>
      </w:r>
      <w:r w:rsidRPr="00531951">
        <w:rPr>
          <w:rFonts w:eastAsia="MS Mincho"/>
          <w:i/>
          <w:lang w:val="fr-FR"/>
        </w:rPr>
        <w:t>Alg</w:t>
      </w:r>
      <w:r>
        <w:rPr>
          <w:rFonts w:eastAsia="MS Mincho"/>
          <w:i/>
          <w:lang w:val="fr-FR"/>
        </w:rPr>
        <w:t>érie</w:t>
      </w:r>
      <w:r w:rsidRPr="00531951">
        <w:rPr>
          <w:rFonts w:eastAsia="MS Mincho"/>
          <w:lang w:val="fr-FR"/>
        </w:rPr>
        <w:t xml:space="preserve"> (CCPR/C/86/</w:t>
      </w:r>
      <w:r>
        <w:rPr>
          <w:rFonts w:eastAsia="MS Mincho"/>
          <w:lang w:val="fr-FR"/>
        </w:rPr>
        <w:t>D/</w:t>
      </w:r>
      <w:r w:rsidRPr="00531951">
        <w:rPr>
          <w:rFonts w:eastAsia="MS Mincho"/>
          <w:lang w:val="fr-FR"/>
        </w:rPr>
        <w:t>992/2001)</w:t>
      </w:r>
      <w:r>
        <w:rPr>
          <w:rFonts w:eastAsia="MS Mincho"/>
          <w:lang w:val="fr-FR"/>
        </w:rPr>
        <w:t>,</w:t>
      </w:r>
      <w:r w:rsidRPr="00531951">
        <w:rPr>
          <w:rFonts w:eastAsia="MS Mincho"/>
          <w:lang w:val="fr-FR"/>
        </w:rPr>
        <w:t xml:space="preserve"> </w:t>
      </w:r>
      <w:r>
        <w:rPr>
          <w:rFonts w:eastAsia="MS Mincho"/>
          <w:lang w:val="fr-FR"/>
        </w:rPr>
        <w:t>par. </w:t>
      </w:r>
      <w:r w:rsidRPr="00531951">
        <w:rPr>
          <w:rFonts w:eastAsia="MS Mincho"/>
          <w:lang w:val="fr-FR"/>
        </w:rPr>
        <w:t xml:space="preserve">8.3 </w:t>
      </w:r>
      <w:r>
        <w:rPr>
          <w:rFonts w:eastAsia="MS Mincho"/>
          <w:lang w:val="fr-FR"/>
        </w:rPr>
        <w:t>(où le Comité indique que c’est à l’État partie qu’il incombe de démontrer qu’un recours doit être jugé utile, compte tenu des circonstances de l’espèce</w:t>
      </w:r>
      <w:r w:rsidRPr="00531951">
        <w:rPr>
          <w:rFonts w:eastAsia="MS Mincho"/>
          <w:lang w:val="fr-FR"/>
        </w:rPr>
        <w:t xml:space="preserve">), </w:t>
      </w:r>
      <w:r>
        <w:rPr>
          <w:rFonts w:eastAsia="MS Mincho"/>
          <w:lang w:val="fr-FR"/>
        </w:rPr>
        <w:t xml:space="preserve">ainsi qu’à la </w:t>
      </w:r>
      <w:r w:rsidRPr="00531951">
        <w:rPr>
          <w:rFonts w:eastAsia="MS Mincho"/>
          <w:lang w:val="fr-FR"/>
        </w:rPr>
        <w:t xml:space="preserve">jurisprudence </w:t>
      </w:r>
      <w:r>
        <w:rPr>
          <w:rFonts w:eastAsia="MS Mincho"/>
          <w:lang w:val="fr-FR"/>
        </w:rPr>
        <w:t xml:space="preserve">de la Cour européenne des droits de l’homme </w:t>
      </w:r>
      <w:r w:rsidRPr="00531951">
        <w:rPr>
          <w:rFonts w:eastAsia="MS Mincho"/>
          <w:lang w:val="fr-FR"/>
        </w:rPr>
        <w:t>(</w:t>
      </w:r>
      <w:r w:rsidRPr="00531951">
        <w:rPr>
          <w:rFonts w:eastAsia="MS Mincho"/>
          <w:i/>
          <w:lang w:val="fr-FR"/>
        </w:rPr>
        <w:t>L.</w:t>
      </w:r>
      <w:r w:rsidR="00CF08AB">
        <w:rPr>
          <w:rFonts w:eastAsia="MS Mincho"/>
          <w:i/>
          <w:lang w:val="fr-FR"/>
        </w:rPr>
        <w:t> </w:t>
      </w:r>
      <w:r w:rsidRPr="00531951">
        <w:rPr>
          <w:rFonts w:eastAsia="MS Mincho"/>
          <w:i/>
          <w:lang w:val="fr-FR"/>
        </w:rPr>
        <w:t xml:space="preserve">L. </w:t>
      </w:r>
      <w:r>
        <w:rPr>
          <w:rFonts w:eastAsia="MS Mincho"/>
          <w:i/>
          <w:lang w:val="fr-FR"/>
        </w:rPr>
        <w:t xml:space="preserve">c. France </w:t>
      </w:r>
      <w:r>
        <w:rPr>
          <w:rFonts w:eastAsia="MS Mincho"/>
          <w:iCs/>
          <w:lang w:val="fr-FR"/>
        </w:rPr>
        <w:t xml:space="preserve">(requête </w:t>
      </w:r>
      <w:r w:rsidR="00CF08AB">
        <w:rPr>
          <w:rFonts w:eastAsia="MS Mincho"/>
          <w:iCs/>
          <w:lang w:val="fr-FR"/>
        </w:rPr>
        <w:t>n</w:t>
      </w:r>
      <w:r w:rsidR="00CF08AB" w:rsidRPr="00CF08AB">
        <w:rPr>
          <w:rFonts w:eastAsia="MS Mincho"/>
          <w:iCs/>
          <w:vertAlign w:val="superscript"/>
          <w:lang w:val="fr-FR"/>
        </w:rPr>
        <w:t>o</w:t>
      </w:r>
      <w:r w:rsidR="00CF08AB">
        <w:rPr>
          <w:rFonts w:eastAsia="MS Mincho"/>
          <w:iCs/>
          <w:lang w:val="fr-FR"/>
        </w:rPr>
        <w:t> </w:t>
      </w:r>
      <w:r>
        <w:rPr>
          <w:rFonts w:eastAsia="MS Mincho"/>
          <w:iCs/>
          <w:lang w:val="fr-FR"/>
        </w:rPr>
        <w:t>7508/02), arrêt du</w:t>
      </w:r>
      <w:r w:rsidRPr="00531951">
        <w:rPr>
          <w:rFonts w:eastAsia="MS Mincho"/>
          <w:lang w:val="fr-FR"/>
        </w:rPr>
        <w:t xml:space="preserve"> 10</w:t>
      </w:r>
      <w:r>
        <w:rPr>
          <w:rFonts w:eastAsia="MS Mincho"/>
          <w:lang w:val="fr-FR"/>
        </w:rPr>
        <w:t> octobre</w:t>
      </w:r>
      <w:r w:rsidRPr="00531951">
        <w:rPr>
          <w:rFonts w:eastAsia="MS Mincho"/>
          <w:lang w:val="fr-FR"/>
        </w:rPr>
        <w:t xml:space="preserve"> 2006, </w:t>
      </w:r>
      <w:r>
        <w:rPr>
          <w:rFonts w:eastAsia="MS Mincho"/>
          <w:lang w:val="fr-FR"/>
        </w:rPr>
        <w:t>par.</w:t>
      </w:r>
      <w:r w:rsidR="00CF08AB">
        <w:rPr>
          <w:rFonts w:eastAsia="MS Mincho"/>
          <w:lang w:val="fr-FR"/>
        </w:rPr>
        <w:t> </w:t>
      </w:r>
      <w:r>
        <w:rPr>
          <w:rFonts w:eastAsia="MS Mincho"/>
          <w:lang w:val="fr-FR"/>
        </w:rPr>
        <w:t xml:space="preserve">23, et </w:t>
      </w:r>
      <w:r w:rsidRPr="00531951">
        <w:rPr>
          <w:rFonts w:eastAsia="MS Mincho"/>
          <w:i/>
          <w:lang w:val="fr-FR"/>
        </w:rPr>
        <w:t>Gnahor</w:t>
      </w:r>
      <w:r>
        <w:rPr>
          <w:rFonts w:eastAsia="MS Mincho"/>
          <w:i/>
          <w:lang w:val="fr-FR"/>
        </w:rPr>
        <w:t>é</w:t>
      </w:r>
      <w:r w:rsidRPr="00531951">
        <w:rPr>
          <w:rFonts w:eastAsia="MS Mincho"/>
          <w:i/>
          <w:lang w:val="fr-FR"/>
        </w:rPr>
        <w:t xml:space="preserve"> </w:t>
      </w:r>
      <w:r>
        <w:rPr>
          <w:rFonts w:eastAsia="MS Mincho"/>
          <w:i/>
          <w:lang w:val="fr-FR"/>
        </w:rPr>
        <w:t xml:space="preserve">c. France </w:t>
      </w:r>
      <w:r>
        <w:rPr>
          <w:rFonts w:eastAsia="MS Mincho"/>
          <w:iCs/>
          <w:lang w:val="fr-FR"/>
        </w:rPr>
        <w:t xml:space="preserve">(requête </w:t>
      </w:r>
      <w:r w:rsidR="00CF08AB">
        <w:rPr>
          <w:rFonts w:eastAsia="MS Mincho"/>
          <w:iCs/>
          <w:lang w:val="fr-FR"/>
        </w:rPr>
        <w:t>n</w:t>
      </w:r>
      <w:r w:rsidR="00CF08AB" w:rsidRPr="00CF08AB">
        <w:rPr>
          <w:rFonts w:eastAsia="MS Mincho"/>
          <w:iCs/>
          <w:vertAlign w:val="superscript"/>
          <w:lang w:val="fr-FR"/>
        </w:rPr>
        <w:t>o</w:t>
      </w:r>
      <w:r w:rsidR="00CF08AB">
        <w:rPr>
          <w:rFonts w:eastAsia="MS Mincho"/>
          <w:iCs/>
          <w:lang w:val="fr-FR"/>
        </w:rPr>
        <w:t> </w:t>
      </w:r>
      <w:r>
        <w:rPr>
          <w:rFonts w:eastAsia="MS Mincho"/>
          <w:iCs/>
          <w:lang w:val="fr-FR"/>
        </w:rPr>
        <w:t>40031/98), arrêt du 19</w:t>
      </w:r>
      <w:r w:rsidR="00CF08AB">
        <w:rPr>
          <w:rFonts w:eastAsia="MS Mincho"/>
          <w:iCs/>
          <w:lang w:val="fr-FR"/>
        </w:rPr>
        <w:t> </w:t>
      </w:r>
      <w:r>
        <w:rPr>
          <w:rFonts w:eastAsia="MS Mincho"/>
          <w:iCs/>
          <w:lang w:val="fr-FR"/>
        </w:rPr>
        <w:t>septembre 2000</w:t>
      </w:r>
      <w:r w:rsidRPr="00531951">
        <w:rPr>
          <w:rFonts w:eastAsia="MS Mincho"/>
          <w:lang w:val="fr-FR"/>
        </w:rPr>
        <w:t xml:space="preserve">, </w:t>
      </w:r>
      <w:r>
        <w:rPr>
          <w:rFonts w:eastAsia="MS Mincho"/>
          <w:lang w:val="fr-FR"/>
        </w:rPr>
        <w:t>par.</w:t>
      </w:r>
      <w:r w:rsidR="00CF08AB">
        <w:rPr>
          <w:rFonts w:eastAsia="MS Mincho"/>
          <w:lang w:val="fr-FR"/>
        </w:rPr>
        <w:t> </w:t>
      </w:r>
      <w:r w:rsidRPr="00531951">
        <w:rPr>
          <w:rFonts w:eastAsia="MS Mincho"/>
          <w:lang w:val="fr-FR"/>
        </w:rPr>
        <w:t>46</w:t>
      </w:r>
      <w:r>
        <w:rPr>
          <w:rFonts w:eastAsia="MS Mincho"/>
          <w:lang w:val="fr-FR"/>
        </w:rPr>
        <w:t xml:space="preserve"> à </w:t>
      </w:r>
      <w:r w:rsidRPr="00531951">
        <w:rPr>
          <w:rFonts w:eastAsia="MS Mincho"/>
          <w:lang w:val="fr-FR"/>
        </w:rPr>
        <w:t>48).</w:t>
      </w:r>
    </w:p>
  </w:footnote>
  <w:footnote w:id="25">
    <w:p w:rsidR="00E82317" w:rsidRPr="00531951" w:rsidRDefault="00E82317" w:rsidP="00CF08AB">
      <w:pPr>
        <w:pStyle w:val="Notedebasdepage"/>
        <w:rPr>
          <w:rFonts w:eastAsia="MS Mincho"/>
          <w:lang w:val="fr-FR"/>
        </w:rPr>
      </w:pPr>
      <w:r w:rsidRPr="00531951">
        <w:rPr>
          <w:lang w:val="fr-FR"/>
        </w:rPr>
        <w:tab/>
      </w:r>
      <w:r w:rsidRPr="00E47167">
        <w:rPr>
          <w:rStyle w:val="Appelnotedebasdep"/>
        </w:rPr>
        <w:footnoteRef/>
      </w:r>
      <w:r w:rsidRPr="00531951">
        <w:rPr>
          <w:lang w:val="fr-FR"/>
        </w:rPr>
        <w:tab/>
      </w:r>
      <w:r>
        <w:rPr>
          <w:lang w:val="fr-FR"/>
        </w:rPr>
        <w:t>Les auteurs relèvent que le Département des affaires civiles a fait référence à un arrêt de la Cour suprême du Danemark en date du 30</w:t>
      </w:r>
      <w:r w:rsidR="00CF08AB">
        <w:rPr>
          <w:lang w:val="fr-FR"/>
        </w:rPr>
        <w:t> </w:t>
      </w:r>
      <w:r>
        <w:rPr>
          <w:lang w:val="fr-FR"/>
        </w:rPr>
        <w:t>janvier 2007</w:t>
      </w:r>
      <w:r w:rsidRPr="00531951">
        <w:rPr>
          <w:lang w:val="fr-FR"/>
        </w:rPr>
        <w:t xml:space="preserve">, </w:t>
      </w:r>
      <w:r>
        <w:rPr>
          <w:lang w:val="fr-FR"/>
        </w:rPr>
        <w:t>dans lequel la Cour a affirmé, en se basant sur l’article</w:t>
      </w:r>
      <w:r w:rsidR="00CF08AB">
        <w:rPr>
          <w:lang w:val="fr-FR"/>
        </w:rPr>
        <w:t> </w:t>
      </w:r>
      <w:r>
        <w:rPr>
          <w:lang w:val="fr-FR"/>
        </w:rPr>
        <w:t>9</w:t>
      </w:r>
      <w:r w:rsidR="00CF08AB">
        <w:rPr>
          <w:lang w:val="fr-FR"/>
        </w:rPr>
        <w:t> </w:t>
      </w:r>
      <w:r>
        <w:rPr>
          <w:lang w:val="fr-FR"/>
        </w:rPr>
        <w:t>8) de la loi sur les étrangers, qu’un mariage entre parents proches ne pouvait pas ouvrir droit au regroupement familial</w:t>
      </w:r>
      <w:r w:rsidR="005A628D">
        <w:rPr>
          <w:lang w:val="fr-FR"/>
        </w:rPr>
        <w:t> </w:t>
      </w:r>
      <w:r w:rsidRPr="00DF6DB7">
        <w:rPr>
          <w:lang w:val="fr-FR"/>
        </w:rPr>
        <w:t xml:space="preserve">; dans </w:t>
      </w:r>
      <w:r>
        <w:rPr>
          <w:lang w:val="fr-FR"/>
        </w:rPr>
        <w:t>l’</w:t>
      </w:r>
      <w:r w:rsidRPr="00DF6DB7">
        <w:rPr>
          <w:lang w:val="fr-FR"/>
        </w:rPr>
        <w:t>affaire</w:t>
      </w:r>
      <w:r>
        <w:rPr>
          <w:lang w:val="fr-FR"/>
        </w:rPr>
        <w:t xml:space="preserve"> considérée</w:t>
      </w:r>
      <w:r w:rsidRPr="00DF6DB7">
        <w:rPr>
          <w:lang w:val="fr-FR"/>
        </w:rPr>
        <w:t xml:space="preserve">, le demandeur avait bénéficié </w:t>
      </w:r>
      <w:r>
        <w:rPr>
          <w:lang w:val="fr-FR"/>
        </w:rPr>
        <w:t>d’une aide judiciaire gratuite</w:t>
      </w:r>
      <w:r w:rsidRPr="00531951">
        <w:rPr>
          <w:lang w:val="fr-FR"/>
        </w:rPr>
        <w:t>.</w:t>
      </w:r>
    </w:p>
  </w:footnote>
  <w:footnote w:id="26">
    <w:p w:rsidR="00E82317" w:rsidRPr="00531951" w:rsidRDefault="00E82317" w:rsidP="00CF08AB">
      <w:pPr>
        <w:pStyle w:val="Notedebasdepage"/>
        <w:rPr>
          <w:rFonts w:eastAsia="MS Mincho"/>
          <w:lang w:val="fr-FR"/>
        </w:rPr>
      </w:pPr>
      <w:r w:rsidRPr="00531951">
        <w:rPr>
          <w:lang w:val="fr-FR"/>
        </w:rPr>
        <w:tab/>
      </w:r>
      <w:r w:rsidRPr="00E47167">
        <w:rPr>
          <w:rStyle w:val="Appelnotedebasdep"/>
        </w:rPr>
        <w:footnoteRef/>
      </w:r>
      <w:r w:rsidRPr="00531951">
        <w:rPr>
          <w:lang w:val="fr-FR"/>
        </w:rPr>
        <w:tab/>
      </w:r>
      <w:r>
        <w:rPr>
          <w:lang w:val="fr-FR"/>
        </w:rPr>
        <w:t>Les auteurs renvoient aux affaires</w:t>
      </w:r>
      <w:r>
        <w:rPr>
          <w:rFonts w:eastAsia="MS Mincho"/>
          <w:lang w:val="fr-FR"/>
        </w:rPr>
        <w:t xml:space="preserve"> </w:t>
      </w:r>
      <w:r w:rsidRPr="00531951">
        <w:rPr>
          <w:rFonts w:eastAsia="MS Mincho"/>
          <w:i/>
          <w:lang w:val="fr-FR"/>
        </w:rPr>
        <w:t xml:space="preserve">Sextus </w:t>
      </w:r>
      <w:r>
        <w:rPr>
          <w:rFonts w:eastAsia="MS Mincho"/>
          <w:i/>
          <w:lang w:val="fr-FR"/>
        </w:rPr>
        <w:t>c. </w:t>
      </w:r>
      <w:r w:rsidRPr="00531951">
        <w:rPr>
          <w:rFonts w:eastAsia="MS Mincho"/>
          <w:i/>
          <w:lang w:val="fr-FR"/>
        </w:rPr>
        <w:t>Trini</w:t>
      </w:r>
      <w:r>
        <w:rPr>
          <w:rFonts w:eastAsia="MS Mincho"/>
          <w:i/>
          <w:lang w:val="fr-FR"/>
        </w:rPr>
        <w:t>té-et-</w:t>
      </w:r>
      <w:r w:rsidRPr="00531951">
        <w:rPr>
          <w:rFonts w:eastAsia="MS Mincho"/>
          <w:i/>
          <w:lang w:val="fr-FR"/>
        </w:rPr>
        <w:t>Tobago</w:t>
      </w:r>
      <w:r w:rsidRPr="00531951">
        <w:rPr>
          <w:rFonts w:eastAsia="MS Mincho"/>
          <w:lang w:val="fr-FR"/>
        </w:rPr>
        <w:t xml:space="preserve"> (CCPR/C/72/D/818/1998)</w:t>
      </w:r>
      <w:r>
        <w:rPr>
          <w:rFonts w:eastAsia="MS Mincho"/>
          <w:lang w:val="fr-FR"/>
        </w:rPr>
        <w:t>,</w:t>
      </w:r>
      <w:r w:rsidRPr="00531951">
        <w:rPr>
          <w:rFonts w:eastAsia="MS Mincho"/>
          <w:lang w:val="fr-FR"/>
        </w:rPr>
        <w:t xml:space="preserve"> </w:t>
      </w:r>
      <w:r>
        <w:rPr>
          <w:rFonts w:eastAsia="MS Mincho"/>
          <w:lang w:val="fr-FR"/>
        </w:rPr>
        <w:t>par. </w:t>
      </w:r>
      <w:r w:rsidRPr="00531951">
        <w:rPr>
          <w:rFonts w:eastAsia="MS Mincho"/>
          <w:lang w:val="fr-FR"/>
        </w:rPr>
        <w:t>6.2</w:t>
      </w:r>
      <w:r w:rsidR="00CB77BD">
        <w:rPr>
          <w:rFonts w:eastAsia="MS Mincho"/>
          <w:lang w:val="fr-FR"/>
        </w:rPr>
        <w:t xml:space="preserve"> ; </w:t>
      </w:r>
      <w:r w:rsidRPr="00531951">
        <w:rPr>
          <w:rFonts w:eastAsia="MS Mincho"/>
          <w:i/>
          <w:lang w:val="fr-FR"/>
        </w:rPr>
        <w:t>Siewpersaud et</w:t>
      </w:r>
      <w:r>
        <w:rPr>
          <w:rFonts w:eastAsia="MS Mincho"/>
          <w:i/>
          <w:lang w:val="fr-FR"/>
        </w:rPr>
        <w:t xml:space="preserve"> consorts c. </w:t>
      </w:r>
      <w:r w:rsidRPr="00531951">
        <w:rPr>
          <w:rFonts w:eastAsia="MS Mincho"/>
          <w:i/>
          <w:lang w:val="fr-FR"/>
        </w:rPr>
        <w:t>Trini</w:t>
      </w:r>
      <w:r>
        <w:rPr>
          <w:rFonts w:eastAsia="MS Mincho"/>
          <w:i/>
          <w:lang w:val="fr-FR"/>
        </w:rPr>
        <w:t>té-et-</w:t>
      </w:r>
      <w:r w:rsidRPr="00531951">
        <w:rPr>
          <w:rFonts w:eastAsia="MS Mincho"/>
          <w:i/>
          <w:lang w:val="fr-FR"/>
        </w:rPr>
        <w:t>Tobago</w:t>
      </w:r>
      <w:r w:rsidRPr="00531951">
        <w:rPr>
          <w:rFonts w:eastAsia="MS Mincho"/>
          <w:lang w:val="fr-FR"/>
        </w:rPr>
        <w:t xml:space="preserve"> (CCPR/C/81/D/938/2000)</w:t>
      </w:r>
      <w:r>
        <w:rPr>
          <w:rFonts w:eastAsia="MS Mincho"/>
          <w:lang w:val="fr-FR"/>
        </w:rPr>
        <w:t>, par.</w:t>
      </w:r>
      <w:r w:rsidR="00CF08AB">
        <w:rPr>
          <w:rFonts w:eastAsia="MS Mincho"/>
          <w:lang w:val="fr-FR"/>
        </w:rPr>
        <w:t> </w:t>
      </w:r>
      <w:r w:rsidRPr="00531951">
        <w:rPr>
          <w:rFonts w:eastAsia="MS Mincho"/>
          <w:lang w:val="fr-FR"/>
        </w:rPr>
        <w:t>5.3</w:t>
      </w:r>
      <w:r w:rsidR="00CB77BD">
        <w:rPr>
          <w:rFonts w:eastAsia="MS Mincho"/>
          <w:lang w:val="fr-FR"/>
        </w:rPr>
        <w:t> ;</w:t>
      </w:r>
      <w:r w:rsidRPr="00531951">
        <w:rPr>
          <w:rFonts w:eastAsia="MS Mincho"/>
          <w:lang w:val="fr-FR"/>
        </w:rPr>
        <w:t xml:space="preserve"> </w:t>
      </w:r>
      <w:r w:rsidRPr="003D27B9">
        <w:rPr>
          <w:rFonts w:eastAsia="MS Mincho"/>
          <w:i/>
          <w:iCs/>
          <w:lang w:val="fr-FR"/>
        </w:rPr>
        <w:t>Dean c.</w:t>
      </w:r>
      <w:r w:rsidR="00CB77BD">
        <w:rPr>
          <w:rFonts w:eastAsia="MS Mincho"/>
          <w:i/>
          <w:iCs/>
          <w:lang w:val="fr-FR"/>
        </w:rPr>
        <w:t> </w:t>
      </w:r>
      <w:r w:rsidRPr="003D27B9">
        <w:rPr>
          <w:rFonts w:eastAsia="MS Mincho"/>
          <w:i/>
          <w:iCs/>
          <w:lang w:val="fr-FR"/>
        </w:rPr>
        <w:t>Nouvelle</w:t>
      </w:r>
      <w:r w:rsidR="00CF08AB">
        <w:rPr>
          <w:rFonts w:eastAsia="MS Mincho"/>
          <w:i/>
          <w:iCs/>
          <w:lang w:val="fr-FR"/>
        </w:rPr>
        <w:noBreakHyphen/>
      </w:r>
      <w:r w:rsidRPr="003D27B9">
        <w:rPr>
          <w:rFonts w:eastAsia="MS Mincho"/>
          <w:i/>
          <w:iCs/>
          <w:lang w:val="fr-FR"/>
        </w:rPr>
        <w:t>Zélande</w:t>
      </w:r>
      <w:r>
        <w:rPr>
          <w:rFonts w:eastAsia="MS Mincho"/>
          <w:lang w:val="fr-FR"/>
        </w:rPr>
        <w:t xml:space="preserve"> (CCPR/C/95/D/</w:t>
      </w:r>
      <w:r w:rsidRPr="00531951">
        <w:rPr>
          <w:rFonts w:eastAsia="MS Mincho"/>
          <w:lang w:val="fr-FR"/>
        </w:rPr>
        <w:t>1512/2006</w:t>
      </w:r>
      <w:r>
        <w:rPr>
          <w:rFonts w:eastAsia="MS Mincho"/>
          <w:lang w:val="fr-FR"/>
        </w:rPr>
        <w:t>),</w:t>
      </w:r>
      <w:r w:rsidRPr="00531951">
        <w:rPr>
          <w:rFonts w:eastAsia="MS Mincho"/>
          <w:lang w:val="fr-FR"/>
        </w:rPr>
        <w:t xml:space="preserve"> </w:t>
      </w:r>
      <w:r>
        <w:rPr>
          <w:rFonts w:eastAsia="MS Mincho"/>
          <w:lang w:val="fr-FR"/>
        </w:rPr>
        <w:t>par.</w:t>
      </w:r>
      <w:r w:rsidR="00CF08AB">
        <w:rPr>
          <w:rFonts w:eastAsia="MS Mincho"/>
          <w:lang w:val="fr-FR"/>
        </w:rPr>
        <w:t> </w:t>
      </w:r>
      <w:r w:rsidRPr="00531951">
        <w:rPr>
          <w:rFonts w:eastAsia="MS Mincho"/>
          <w:lang w:val="fr-FR"/>
        </w:rPr>
        <w:t>5.7</w:t>
      </w:r>
      <w:r>
        <w:rPr>
          <w:rFonts w:eastAsia="MS Mincho"/>
          <w:lang w:val="fr-FR"/>
        </w:rPr>
        <w:t xml:space="preserve"> et </w:t>
      </w:r>
      <w:r w:rsidRPr="00531951">
        <w:rPr>
          <w:rFonts w:eastAsia="MS Mincho"/>
          <w:lang w:val="fr-FR"/>
        </w:rPr>
        <w:t>6.9</w:t>
      </w:r>
      <w:r w:rsidR="00CB77BD">
        <w:rPr>
          <w:rFonts w:eastAsia="MS Mincho"/>
          <w:lang w:val="fr-FR"/>
        </w:rPr>
        <w:t> ;</w:t>
      </w:r>
      <w:r w:rsidRPr="00531951">
        <w:rPr>
          <w:rFonts w:eastAsia="MS Mincho"/>
          <w:lang w:val="fr-FR"/>
        </w:rPr>
        <w:t xml:space="preserve"> </w:t>
      </w:r>
      <w:r>
        <w:rPr>
          <w:rFonts w:eastAsia="MS Mincho"/>
          <w:i/>
          <w:iCs/>
          <w:szCs w:val="22"/>
          <w:lang w:val="fr-FR"/>
        </w:rPr>
        <w:t>Howell c.</w:t>
      </w:r>
      <w:r w:rsidR="00CF08AB">
        <w:rPr>
          <w:rFonts w:eastAsia="MS Mincho"/>
          <w:i/>
          <w:iCs/>
          <w:szCs w:val="22"/>
          <w:lang w:val="fr-FR"/>
        </w:rPr>
        <w:t> </w:t>
      </w:r>
      <w:r>
        <w:rPr>
          <w:rFonts w:eastAsia="MS Mincho"/>
          <w:i/>
          <w:iCs/>
          <w:szCs w:val="22"/>
          <w:lang w:val="fr-FR"/>
        </w:rPr>
        <w:t>Jamaïque</w:t>
      </w:r>
      <w:r w:rsidR="00CF08AB">
        <w:rPr>
          <w:rFonts w:eastAsia="MS Mincho"/>
          <w:lang w:val="fr-FR"/>
        </w:rPr>
        <w:t xml:space="preserve"> </w:t>
      </w:r>
      <w:r>
        <w:rPr>
          <w:rFonts w:eastAsia="MS Mincho"/>
          <w:lang w:val="fr-FR"/>
        </w:rPr>
        <w:t>(CCPR/C/79/D/</w:t>
      </w:r>
      <w:r w:rsidRPr="00531951">
        <w:rPr>
          <w:rFonts w:eastAsia="MS Mincho"/>
          <w:lang w:val="fr-FR"/>
        </w:rPr>
        <w:t>798/1998</w:t>
      </w:r>
      <w:r>
        <w:rPr>
          <w:rFonts w:eastAsia="MS Mincho"/>
          <w:lang w:val="fr-FR"/>
        </w:rPr>
        <w:t>),</w:t>
      </w:r>
      <w:r w:rsidRPr="00531951">
        <w:rPr>
          <w:rFonts w:eastAsia="MS Mincho"/>
          <w:lang w:val="fr-FR"/>
        </w:rPr>
        <w:t xml:space="preserve"> </w:t>
      </w:r>
      <w:r>
        <w:rPr>
          <w:rFonts w:eastAsia="MS Mincho"/>
          <w:lang w:val="fr-FR"/>
        </w:rPr>
        <w:t>par.</w:t>
      </w:r>
      <w:r w:rsidR="00CF08AB">
        <w:rPr>
          <w:rFonts w:eastAsia="MS Mincho"/>
          <w:lang w:val="fr-FR"/>
        </w:rPr>
        <w:t> </w:t>
      </w:r>
      <w:r w:rsidRPr="00531951">
        <w:rPr>
          <w:rFonts w:eastAsia="MS Mincho"/>
          <w:lang w:val="fr-FR"/>
        </w:rPr>
        <w:t>5.3</w:t>
      </w:r>
      <w:r w:rsidR="00CB77BD">
        <w:rPr>
          <w:rFonts w:eastAsia="MS Mincho"/>
          <w:lang w:val="fr-FR"/>
        </w:rPr>
        <w:t> ;</w:t>
      </w:r>
      <w:r w:rsidRPr="00531951">
        <w:rPr>
          <w:rFonts w:eastAsia="MS Mincho"/>
          <w:lang w:val="fr-FR"/>
        </w:rPr>
        <w:t xml:space="preserve"> </w:t>
      </w:r>
      <w:r>
        <w:rPr>
          <w:rFonts w:eastAsia="MS Mincho"/>
          <w:i/>
          <w:iCs/>
          <w:lang w:val="fr-FR"/>
        </w:rPr>
        <w:t>Pryce c.</w:t>
      </w:r>
      <w:r w:rsidR="00CF08AB">
        <w:rPr>
          <w:rFonts w:eastAsia="MS Mincho"/>
          <w:i/>
          <w:iCs/>
          <w:lang w:val="fr-FR"/>
        </w:rPr>
        <w:t> </w:t>
      </w:r>
      <w:r>
        <w:rPr>
          <w:rFonts w:eastAsia="MS Mincho"/>
          <w:i/>
          <w:iCs/>
          <w:lang w:val="fr-FR"/>
        </w:rPr>
        <w:t xml:space="preserve">Jamaïque </w:t>
      </w:r>
      <w:r>
        <w:rPr>
          <w:rFonts w:eastAsia="MS Mincho"/>
          <w:lang w:val="fr-FR"/>
        </w:rPr>
        <w:t>(CCPR/C/80/D</w:t>
      </w:r>
      <w:r w:rsidR="008632D7">
        <w:rPr>
          <w:rFonts w:eastAsia="MS Mincho"/>
          <w:lang w:val="fr-FR"/>
        </w:rPr>
        <w:t>/</w:t>
      </w:r>
      <w:r w:rsidRPr="00531951">
        <w:rPr>
          <w:rFonts w:eastAsia="MS Mincho"/>
          <w:lang w:val="fr-FR"/>
        </w:rPr>
        <w:t>793/1998</w:t>
      </w:r>
      <w:r>
        <w:rPr>
          <w:rFonts w:eastAsia="MS Mincho"/>
          <w:lang w:val="fr-FR"/>
        </w:rPr>
        <w:t>),</w:t>
      </w:r>
      <w:r w:rsidRPr="00531951">
        <w:rPr>
          <w:rFonts w:eastAsia="MS Mincho"/>
          <w:lang w:val="fr-FR"/>
        </w:rPr>
        <w:t xml:space="preserve"> </w:t>
      </w:r>
      <w:r>
        <w:rPr>
          <w:rFonts w:eastAsia="MS Mincho"/>
          <w:lang w:val="fr-FR"/>
        </w:rPr>
        <w:t>par. </w:t>
      </w:r>
      <w:r w:rsidRPr="00531951">
        <w:rPr>
          <w:rFonts w:eastAsia="MS Mincho"/>
          <w:lang w:val="fr-FR"/>
        </w:rPr>
        <w:t>5.4</w:t>
      </w:r>
      <w:r w:rsidR="008632D7">
        <w:rPr>
          <w:rFonts w:eastAsia="MS Mincho"/>
          <w:lang w:val="fr-FR"/>
        </w:rPr>
        <w:t> ;</w:t>
      </w:r>
      <w:r w:rsidRPr="00531951">
        <w:rPr>
          <w:rFonts w:eastAsia="MS Mincho"/>
          <w:lang w:val="fr-FR"/>
        </w:rPr>
        <w:t xml:space="preserve"> </w:t>
      </w:r>
      <w:r>
        <w:rPr>
          <w:rFonts w:eastAsia="MS Mincho"/>
          <w:i/>
          <w:iCs/>
          <w:lang w:val="fr-FR"/>
        </w:rPr>
        <w:t>El</w:t>
      </w:r>
      <w:r w:rsidR="008632D7">
        <w:rPr>
          <w:rFonts w:eastAsia="MS Mincho"/>
          <w:i/>
          <w:iCs/>
          <w:lang w:val="fr-FR"/>
        </w:rPr>
        <w:t> </w:t>
      </w:r>
      <w:r>
        <w:rPr>
          <w:rFonts w:eastAsia="MS Mincho"/>
          <w:i/>
          <w:iCs/>
          <w:lang w:val="fr-FR"/>
        </w:rPr>
        <w:t>Ghar c.</w:t>
      </w:r>
      <w:r w:rsidR="00CF08AB">
        <w:rPr>
          <w:rFonts w:eastAsia="MS Mincho"/>
          <w:i/>
          <w:iCs/>
          <w:lang w:val="fr-FR"/>
        </w:rPr>
        <w:t> </w:t>
      </w:r>
      <w:r w:rsidRPr="008632D7">
        <w:rPr>
          <w:i/>
          <w:iCs/>
        </w:rPr>
        <w:t xml:space="preserve">Jamahiriya </w:t>
      </w:r>
      <w:r w:rsidRPr="003D27B9">
        <w:rPr>
          <w:i/>
          <w:iCs/>
        </w:rPr>
        <w:t>arabe libyenne</w:t>
      </w:r>
      <w:r w:rsidRPr="00B02C24">
        <w:rPr>
          <w:rFonts w:eastAsia="MS Mincho"/>
          <w:szCs w:val="22"/>
          <w:lang w:val="fr-FR"/>
        </w:rPr>
        <w:t xml:space="preserve"> </w:t>
      </w:r>
      <w:r>
        <w:rPr>
          <w:rFonts w:eastAsia="MS Mincho"/>
          <w:szCs w:val="22"/>
          <w:lang w:val="fr-FR"/>
        </w:rPr>
        <w:t>(CCPR/C/82/D/</w:t>
      </w:r>
      <w:r w:rsidRPr="00531951">
        <w:rPr>
          <w:rFonts w:eastAsia="MS Mincho"/>
          <w:lang w:val="fr-FR"/>
        </w:rPr>
        <w:t>1107/2002</w:t>
      </w:r>
      <w:r>
        <w:rPr>
          <w:rFonts w:eastAsia="MS Mincho"/>
          <w:lang w:val="fr-FR"/>
        </w:rPr>
        <w:t>),</w:t>
      </w:r>
      <w:r w:rsidRPr="00531951">
        <w:rPr>
          <w:rFonts w:eastAsia="MS Mincho"/>
          <w:lang w:val="fr-FR"/>
        </w:rPr>
        <w:t xml:space="preserve"> </w:t>
      </w:r>
      <w:r>
        <w:rPr>
          <w:rFonts w:eastAsia="MS Mincho"/>
          <w:lang w:val="fr-FR"/>
        </w:rPr>
        <w:t>par.</w:t>
      </w:r>
      <w:r w:rsidR="00CF08AB">
        <w:rPr>
          <w:rFonts w:eastAsia="MS Mincho"/>
          <w:lang w:val="fr-FR"/>
        </w:rPr>
        <w:t> </w:t>
      </w:r>
      <w:r w:rsidRPr="00531951">
        <w:rPr>
          <w:rFonts w:eastAsia="MS Mincho"/>
          <w:lang w:val="fr-FR"/>
        </w:rPr>
        <w:t>6.3</w:t>
      </w:r>
      <w:r w:rsidR="008632D7">
        <w:rPr>
          <w:rFonts w:eastAsia="MS Mincho"/>
          <w:lang w:val="fr-FR"/>
        </w:rPr>
        <w:t> ;</w:t>
      </w:r>
      <w:r>
        <w:rPr>
          <w:rFonts w:eastAsia="MS Mincho"/>
          <w:lang w:val="fr-FR"/>
        </w:rPr>
        <w:t xml:space="preserve"> et </w:t>
      </w:r>
      <w:r>
        <w:rPr>
          <w:rFonts w:eastAsia="MS Mincho"/>
          <w:i/>
          <w:iCs/>
          <w:lang w:val="fr-FR"/>
        </w:rPr>
        <w:t>Dudko c.</w:t>
      </w:r>
      <w:r w:rsidR="00CF08AB">
        <w:rPr>
          <w:rFonts w:eastAsia="MS Mincho"/>
          <w:i/>
          <w:iCs/>
          <w:lang w:val="fr-FR"/>
        </w:rPr>
        <w:t> </w:t>
      </w:r>
      <w:r>
        <w:rPr>
          <w:rFonts w:eastAsia="MS Mincho"/>
          <w:i/>
          <w:iCs/>
          <w:lang w:val="fr-FR"/>
        </w:rPr>
        <w:t xml:space="preserve">Australie </w:t>
      </w:r>
      <w:r>
        <w:rPr>
          <w:rFonts w:eastAsia="MS Mincho"/>
          <w:lang w:val="fr-FR"/>
        </w:rPr>
        <w:t>(CCPR/C/90/D/</w:t>
      </w:r>
      <w:r w:rsidRPr="00531951">
        <w:rPr>
          <w:rFonts w:eastAsia="MS Mincho"/>
          <w:lang w:val="fr-FR"/>
        </w:rPr>
        <w:t>1347/2005</w:t>
      </w:r>
      <w:r>
        <w:rPr>
          <w:rFonts w:eastAsia="MS Mincho"/>
          <w:lang w:val="fr-FR"/>
        </w:rPr>
        <w:t>),</w:t>
      </w:r>
      <w:r w:rsidRPr="00531951">
        <w:rPr>
          <w:rFonts w:eastAsia="MS Mincho"/>
          <w:lang w:val="fr-FR"/>
        </w:rPr>
        <w:t xml:space="preserve"> </w:t>
      </w:r>
      <w:r>
        <w:rPr>
          <w:rFonts w:eastAsia="MS Mincho"/>
          <w:lang w:val="fr-FR"/>
        </w:rPr>
        <w:t>par. </w:t>
      </w:r>
      <w:r w:rsidRPr="00531951">
        <w:rPr>
          <w:rFonts w:eastAsia="MS Mincho"/>
          <w:lang w:val="fr-FR"/>
        </w:rPr>
        <w:t>6.2.</w:t>
      </w:r>
    </w:p>
  </w:footnote>
  <w:footnote w:id="27">
    <w:p w:rsidR="00E82317" w:rsidRPr="00531951" w:rsidRDefault="00E82317" w:rsidP="00CF08AB">
      <w:pPr>
        <w:pStyle w:val="Notedebasdepage"/>
        <w:rPr>
          <w:rFonts w:eastAsia="MS Mincho"/>
          <w:lang w:val="fr-FR"/>
        </w:rPr>
      </w:pPr>
      <w:r w:rsidRPr="00531951">
        <w:rPr>
          <w:lang w:val="fr-FR"/>
        </w:rPr>
        <w:tab/>
      </w:r>
      <w:r w:rsidRPr="00E47167">
        <w:rPr>
          <w:rStyle w:val="Appelnotedebasdep"/>
        </w:rPr>
        <w:footnoteRef/>
      </w:r>
      <w:r w:rsidRPr="00531951">
        <w:rPr>
          <w:lang w:val="fr-FR"/>
        </w:rPr>
        <w:tab/>
      </w:r>
      <w:r>
        <w:rPr>
          <w:lang w:val="fr-FR"/>
        </w:rPr>
        <w:t>Voir Cour européenne des droits de l’homme,</w:t>
      </w:r>
      <w:r w:rsidRPr="00531951">
        <w:rPr>
          <w:lang w:val="fr-FR"/>
        </w:rPr>
        <w:t xml:space="preserve"> </w:t>
      </w:r>
      <w:r w:rsidRPr="00531951">
        <w:rPr>
          <w:i/>
          <w:lang w:val="fr-FR"/>
        </w:rPr>
        <w:t xml:space="preserve">Earl </w:t>
      </w:r>
      <w:r>
        <w:rPr>
          <w:i/>
          <w:lang w:val="fr-FR"/>
        </w:rPr>
        <w:t xml:space="preserve">Spencer et Comtesse </w:t>
      </w:r>
      <w:r w:rsidRPr="00531951">
        <w:rPr>
          <w:i/>
          <w:lang w:val="fr-FR"/>
        </w:rPr>
        <w:t xml:space="preserve">Spencer </w:t>
      </w:r>
      <w:r>
        <w:rPr>
          <w:i/>
          <w:lang w:val="fr-FR"/>
        </w:rPr>
        <w:t xml:space="preserve">c. Royaume-Uni </w:t>
      </w:r>
      <w:r w:rsidRPr="00531951">
        <w:rPr>
          <w:lang w:val="fr-FR"/>
        </w:rPr>
        <w:t>(</w:t>
      </w:r>
      <w:r>
        <w:rPr>
          <w:lang w:val="fr-FR"/>
        </w:rPr>
        <w:t xml:space="preserve">requêtes </w:t>
      </w:r>
      <w:r w:rsidRPr="00B02C24">
        <w:rPr>
          <w:rFonts w:eastAsia="MS Mincho"/>
          <w:szCs w:val="22"/>
          <w:lang w:val="fr-FR"/>
        </w:rPr>
        <w:t>n</w:t>
      </w:r>
      <w:r w:rsidRPr="00B02C24">
        <w:rPr>
          <w:rFonts w:eastAsia="MS Mincho"/>
          <w:szCs w:val="22"/>
          <w:vertAlign w:val="superscript"/>
          <w:lang w:val="fr-FR"/>
        </w:rPr>
        <w:t>o</w:t>
      </w:r>
      <w:r>
        <w:rPr>
          <w:rFonts w:eastAsia="MS Mincho"/>
          <w:szCs w:val="22"/>
          <w:vertAlign w:val="superscript"/>
          <w:lang w:val="fr-FR"/>
        </w:rPr>
        <w:t>s</w:t>
      </w:r>
      <w:r>
        <w:rPr>
          <w:lang w:val="fr-FR"/>
        </w:rPr>
        <w:t> </w:t>
      </w:r>
      <w:r w:rsidRPr="00531951">
        <w:rPr>
          <w:lang w:val="fr-FR"/>
        </w:rPr>
        <w:t xml:space="preserve">28851/95 </w:t>
      </w:r>
      <w:r>
        <w:rPr>
          <w:lang w:val="fr-FR"/>
        </w:rPr>
        <w:t>et</w:t>
      </w:r>
      <w:r w:rsidRPr="00531951">
        <w:rPr>
          <w:lang w:val="fr-FR"/>
        </w:rPr>
        <w:t xml:space="preserve"> 28852/95)</w:t>
      </w:r>
      <w:r>
        <w:rPr>
          <w:lang w:val="fr-FR"/>
        </w:rPr>
        <w:t>, arrêt du 16</w:t>
      </w:r>
      <w:r w:rsidR="00CF08AB">
        <w:rPr>
          <w:lang w:val="fr-FR"/>
        </w:rPr>
        <w:t> </w:t>
      </w:r>
      <w:r>
        <w:rPr>
          <w:lang w:val="fr-FR"/>
        </w:rPr>
        <w:t>janvier 1998</w:t>
      </w:r>
      <w:r w:rsidRPr="00531951">
        <w:rPr>
          <w:lang w:val="fr-FR"/>
        </w:rPr>
        <w:t>.</w:t>
      </w:r>
    </w:p>
  </w:footnote>
  <w:footnote w:id="28">
    <w:p w:rsidR="00E82317" w:rsidRPr="00531951" w:rsidRDefault="00E82317" w:rsidP="00CF08AB">
      <w:pPr>
        <w:pStyle w:val="Notedebasdepage"/>
        <w:rPr>
          <w:lang w:val="fr-FR"/>
        </w:rPr>
      </w:pPr>
      <w:r w:rsidRPr="00531951">
        <w:rPr>
          <w:lang w:val="fr-FR"/>
        </w:rPr>
        <w:tab/>
      </w:r>
      <w:r w:rsidRPr="00E47167">
        <w:rPr>
          <w:rStyle w:val="Appelnotedebasdep"/>
        </w:rPr>
        <w:footnoteRef/>
      </w:r>
      <w:r w:rsidRPr="00531951">
        <w:rPr>
          <w:lang w:val="fr-FR"/>
        </w:rPr>
        <w:tab/>
      </w:r>
      <w:r>
        <w:rPr>
          <w:lang w:val="fr-FR"/>
        </w:rPr>
        <w:t xml:space="preserve">Soit entre </w:t>
      </w:r>
      <w:r w:rsidRPr="00531951">
        <w:rPr>
          <w:lang w:val="fr-FR"/>
        </w:rPr>
        <w:t>3</w:t>
      </w:r>
      <w:r>
        <w:rPr>
          <w:lang w:val="fr-FR"/>
        </w:rPr>
        <w:t> </w:t>
      </w:r>
      <w:r w:rsidRPr="00531951">
        <w:rPr>
          <w:lang w:val="fr-FR"/>
        </w:rPr>
        <w:t xml:space="preserve">345 </w:t>
      </w:r>
      <w:r>
        <w:rPr>
          <w:lang w:val="fr-FR"/>
        </w:rPr>
        <w:t xml:space="preserve">et </w:t>
      </w:r>
      <w:r w:rsidRPr="00531951">
        <w:rPr>
          <w:lang w:val="fr-FR"/>
        </w:rPr>
        <w:t>8</w:t>
      </w:r>
      <w:r w:rsidR="008632D7">
        <w:rPr>
          <w:lang w:val="fr-FR"/>
        </w:rPr>
        <w:t> </w:t>
      </w:r>
      <w:r w:rsidRPr="00531951">
        <w:rPr>
          <w:lang w:val="fr-FR"/>
        </w:rPr>
        <w:t>030</w:t>
      </w:r>
      <w:r w:rsidR="008632D7">
        <w:rPr>
          <w:lang w:val="fr-FR"/>
        </w:rPr>
        <w:t> </w:t>
      </w:r>
      <w:r>
        <w:rPr>
          <w:lang w:val="fr-FR"/>
        </w:rPr>
        <w:t>euros environ</w:t>
      </w:r>
      <w:r w:rsidRPr="00531951">
        <w:rPr>
          <w:lang w:val="fr-FR"/>
        </w:rPr>
        <w:t>.</w:t>
      </w:r>
    </w:p>
  </w:footnote>
  <w:footnote w:id="29">
    <w:p w:rsidR="00E82317" w:rsidRPr="00531951" w:rsidRDefault="00E82317" w:rsidP="00CF08AB">
      <w:pPr>
        <w:pStyle w:val="Notedebasdepage"/>
        <w:rPr>
          <w:lang w:val="fr-FR"/>
        </w:rPr>
      </w:pPr>
      <w:r w:rsidRPr="00531951">
        <w:rPr>
          <w:lang w:val="fr-FR"/>
        </w:rPr>
        <w:tab/>
      </w:r>
      <w:r w:rsidRPr="00E47167">
        <w:rPr>
          <w:rStyle w:val="Appelnotedebasdep"/>
        </w:rPr>
        <w:footnoteRef/>
      </w:r>
      <w:r w:rsidRPr="00531951">
        <w:rPr>
          <w:lang w:val="fr-FR"/>
        </w:rPr>
        <w:tab/>
      </w:r>
      <w:r w:rsidRPr="00531951">
        <w:rPr>
          <w:spacing w:val="-2"/>
          <w:lang w:val="fr-FR"/>
        </w:rPr>
        <w:t>I</w:t>
      </w:r>
      <w:r>
        <w:rPr>
          <w:spacing w:val="-2"/>
          <w:lang w:val="fr-FR"/>
        </w:rPr>
        <w:t xml:space="preserve">l est également indiqué que les auteurs se sont vu accorder une aide judiciaire gratuite en vertu de la loi danoise sur la présentation de plaintes aux organes internationaux relatifs aux droits de l’homme (loi </w:t>
      </w:r>
      <w:r w:rsidRPr="00DD2A4B">
        <w:rPr>
          <w:rFonts w:eastAsia="MS Mincho"/>
          <w:spacing w:val="-2"/>
          <w:szCs w:val="22"/>
          <w:lang w:val="fr-FR"/>
        </w:rPr>
        <w:t>n</w:t>
      </w:r>
      <w:r w:rsidRPr="00DD2A4B">
        <w:rPr>
          <w:rFonts w:eastAsia="MS Mincho"/>
          <w:spacing w:val="-2"/>
          <w:szCs w:val="22"/>
          <w:vertAlign w:val="superscript"/>
          <w:lang w:val="fr-FR"/>
        </w:rPr>
        <w:t>o</w:t>
      </w:r>
      <w:r>
        <w:rPr>
          <w:spacing w:val="-2"/>
          <w:lang w:val="fr-FR"/>
        </w:rPr>
        <w:t> 940 du 20 décembre 1999)</w:t>
      </w:r>
      <w:r w:rsidRPr="00531951">
        <w:rPr>
          <w:spacing w:val="-2"/>
          <w:lang w:val="fr-FR"/>
        </w:rPr>
        <w:t xml:space="preserve">. </w:t>
      </w:r>
      <w:r>
        <w:rPr>
          <w:spacing w:val="-2"/>
          <w:lang w:val="fr-FR"/>
        </w:rPr>
        <w:t xml:space="preserve">La question du recours à un conseil pour soumettre la présente communication au Comité n’est donc pas pertinente pour évaluer la recevabilité de la communication soumise le </w:t>
      </w:r>
      <w:r w:rsidRPr="00531951">
        <w:rPr>
          <w:spacing w:val="-2"/>
          <w:lang w:val="fr-FR"/>
        </w:rPr>
        <w:t>12</w:t>
      </w:r>
      <w:r>
        <w:rPr>
          <w:spacing w:val="-2"/>
          <w:lang w:val="fr-FR"/>
        </w:rPr>
        <w:t xml:space="preserve"> septembre </w:t>
      </w:r>
      <w:r w:rsidRPr="00531951">
        <w:rPr>
          <w:spacing w:val="-2"/>
          <w:lang w:val="fr-FR"/>
        </w:rPr>
        <w:t xml:space="preserve">2014. </w:t>
      </w:r>
      <w:r>
        <w:rPr>
          <w:spacing w:val="-2"/>
          <w:lang w:val="fr-FR"/>
        </w:rPr>
        <w:t>En outre, l’auteur ne voit pas d’intérêt à se prévaloir du dispositif visé à l’article</w:t>
      </w:r>
      <w:r w:rsidR="00CF08AB">
        <w:rPr>
          <w:spacing w:val="-2"/>
          <w:lang w:val="fr-FR"/>
        </w:rPr>
        <w:t> </w:t>
      </w:r>
      <w:r w:rsidRPr="00531951">
        <w:rPr>
          <w:spacing w:val="-2"/>
          <w:lang w:val="fr-FR"/>
        </w:rPr>
        <w:t>323</w:t>
      </w:r>
      <w:r w:rsidR="00CF08AB">
        <w:rPr>
          <w:spacing w:val="-2"/>
          <w:lang w:val="fr-FR"/>
        </w:rPr>
        <w:t> </w:t>
      </w:r>
      <w:r>
        <w:rPr>
          <w:spacing w:val="-2"/>
          <w:lang w:val="fr-FR"/>
        </w:rPr>
        <w:t>2) de la loi sur l’a</w:t>
      </w:r>
      <w:r w:rsidRPr="00531951">
        <w:rPr>
          <w:spacing w:val="-2"/>
          <w:lang w:val="fr-FR"/>
        </w:rPr>
        <w:t xml:space="preserve">dministration </w:t>
      </w:r>
      <w:r>
        <w:rPr>
          <w:spacing w:val="-2"/>
          <w:lang w:val="fr-FR"/>
        </w:rPr>
        <w:t>de la j</w:t>
      </w:r>
      <w:r w:rsidRPr="00531951">
        <w:rPr>
          <w:spacing w:val="-2"/>
          <w:lang w:val="fr-FR"/>
        </w:rPr>
        <w:t xml:space="preserve">ustice, </w:t>
      </w:r>
      <w:r>
        <w:rPr>
          <w:spacing w:val="-2"/>
          <w:lang w:val="fr-FR"/>
        </w:rPr>
        <w:t>qui permet d’obtenir, auprès d’avocats non spécialisés, des conseils dispensés oralement sur des questions juridiques élémentaires</w:t>
      </w:r>
      <w:r w:rsidRPr="00531951">
        <w:rPr>
          <w:spacing w:val="-2"/>
          <w:lang w:val="fr-FR"/>
        </w:rPr>
        <w:t>.</w:t>
      </w:r>
    </w:p>
  </w:footnote>
  <w:footnote w:id="30">
    <w:p w:rsidR="00E82317" w:rsidRPr="00531951" w:rsidRDefault="00E82317" w:rsidP="00CF08AB">
      <w:pPr>
        <w:pStyle w:val="Notedebasdepage"/>
        <w:rPr>
          <w:lang w:val="fr-FR"/>
        </w:rPr>
      </w:pPr>
      <w:r w:rsidRPr="00531951">
        <w:rPr>
          <w:lang w:val="fr-FR"/>
        </w:rPr>
        <w:tab/>
      </w:r>
      <w:r w:rsidRPr="00E47167">
        <w:rPr>
          <w:rStyle w:val="Appelnotedebasdep"/>
        </w:rPr>
        <w:footnoteRef/>
      </w:r>
      <w:r w:rsidRPr="00531951">
        <w:rPr>
          <w:lang w:val="fr-FR"/>
        </w:rPr>
        <w:tab/>
      </w:r>
      <w:r>
        <w:rPr>
          <w:lang w:val="fr-FR"/>
        </w:rPr>
        <w:t xml:space="preserve">Voir Cour européenne des droits de l’homme, </w:t>
      </w:r>
      <w:r w:rsidRPr="00531951">
        <w:rPr>
          <w:i/>
          <w:lang w:val="fr-FR"/>
        </w:rPr>
        <w:t xml:space="preserve">Abdulaziz, Cabales </w:t>
      </w:r>
      <w:r>
        <w:rPr>
          <w:i/>
          <w:lang w:val="fr-FR"/>
        </w:rPr>
        <w:t>et</w:t>
      </w:r>
      <w:r w:rsidRPr="00531951">
        <w:rPr>
          <w:i/>
          <w:lang w:val="fr-FR"/>
        </w:rPr>
        <w:t xml:space="preserve"> Balkandali </w:t>
      </w:r>
      <w:r>
        <w:rPr>
          <w:i/>
          <w:lang w:val="fr-FR"/>
        </w:rPr>
        <w:t>c. Royaume-Uni</w:t>
      </w:r>
      <w:r w:rsidRPr="00531951">
        <w:rPr>
          <w:lang w:val="fr-FR"/>
        </w:rPr>
        <w:t xml:space="preserve"> (</w:t>
      </w:r>
      <w:r>
        <w:rPr>
          <w:lang w:val="fr-FR"/>
        </w:rPr>
        <w:t xml:space="preserve">requêtes </w:t>
      </w:r>
      <w:r w:rsidRPr="002F193B">
        <w:rPr>
          <w:rFonts w:eastAsia="MS Mincho"/>
          <w:szCs w:val="22"/>
          <w:lang w:val="fr-FR"/>
        </w:rPr>
        <w:t>n</w:t>
      </w:r>
      <w:r w:rsidRPr="002F193B">
        <w:rPr>
          <w:rFonts w:eastAsia="MS Mincho"/>
          <w:szCs w:val="22"/>
          <w:vertAlign w:val="superscript"/>
          <w:lang w:val="fr-FR"/>
        </w:rPr>
        <w:t>o</w:t>
      </w:r>
      <w:r>
        <w:rPr>
          <w:rFonts w:eastAsia="MS Mincho"/>
          <w:szCs w:val="22"/>
          <w:vertAlign w:val="superscript"/>
          <w:lang w:val="fr-FR"/>
        </w:rPr>
        <w:t>s</w:t>
      </w:r>
      <w:r>
        <w:rPr>
          <w:lang w:val="fr-FR"/>
        </w:rPr>
        <w:t> </w:t>
      </w:r>
      <w:r w:rsidRPr="00531951">
        <w:rPr>
          <w:lang w:val="fr-FR"/>
        </w:rPr>
        <w:t>9214/80</w:t>
      </w:r>
      <w:r w:rsidR="008632D7">
        <w:rPr>
          <w:lang w:val="fr-FR"/>
        </w:rPr>
        <w:t>,</w:t>
      </w:r>
      <w:r w:rsidRPr="00531951">
        <w:rPr>
          <w:lang w:val="fr-FR"/>
        </w:rPr>
        <w:t xml:space="preserve"> 9473/81</w:t>
      </w:r>
      <w:r w:rsidR="008632D7">
        <w:rPr>
          <w:lang w:val="fr-FR"/>
        </w:rPr>
        <w:t xml:space="preserve"> </w:t>
      </w:r>
      <w:r>
        <w:rPr>
          <w:lang w:val="fr-FR"/>
        </w:rPr>
        <w:t>et</w:t>
      </w:r>
      <w:r w:rsidRPr="00531951">
        <w:rPr>
          <w:lang w:val="fr-FR"/>
        </w:rPr>
        <w:t xml:space="preserve"> 9474/81)</w:t>
      </w:r>
      <w:r>
        <w:rPr>
          <w:lang w:val="fr-FR"/>
        </w:rPr>
        <w:t>, arrêt du 28</w:t>
      </w:r>
      <w:r w:rsidR="00CF08AB">
        <w:rPr>
          <w:lang w:val="fr-FR"/>
        </w:rPr>
        <w:t> </w:t>
      </w:r>
      <w:r>
        <w:rPr>
          <w:lang w:val="fr-FR"/>
        </w:rPr>
        <w:t>mai 1985,</w:t>
      </w:r>
      <w:r w:rsidRPr="00531951">
        <w:rPr>
          <w:lang w:val="fr-FR"/>
        </w:rPr>
        <w:t xml:space="preserve"> </w:t>
      </w:r>
      <w:r>
        <w:rPr>
          <w:lang w:val="fr-FR"/>
        </w:rPr>
        <w:t>par. </w:t>
      </w:r>
      <w:r w:rsidRPr="00531951">
        <w:rPr>
          <w:lang w:val="fr-FR"/>
        </w:rPr>
        <w:t>62.</w:t>
      </w:r>
    </w:p>
  </w:footnote>
  <w:footnote w:id="31">
    <w:p w:rsidR="00E82317" w:rsidRPr="00531951" w:rsidRDefault="00E82317" w:rsidP="00CF08AB">
      <w:pPr>
        <w:pStyle w:val="Notedebasdepage"/>
        <w:rPr>
          <w:lang w:val="fr-FR"/>
        </w:rPr>
      </w:pPr>
      <w:r w:rsidRPr="00531951">
        <w:rPr>
          <w:lang w:val="fr-FR"/>
        </w:rPr>
        <w:tab/>
      </w:r>
      <w:r w:rsidRPr="00E47167">
        <w:rPr>
          <w:rStyle w:val="Appelnotedebasdep"/>
        </w:rPr>
        <w:footnoteRef/>
      </w:r>
      <w:r w:rsidRPr="00531951">
        <w:rPr>
          <w:lang w:val="fr-FR"/>
        </w:rPr>
        <w:tab/>
      </w:r>
      <w:r w:rsidRPr="00531951">
        <w:rPr>
          <w:i/>
          <w:lang w:val="fr-FR"/>
        </w:rPr>
        <w:t xml:space="preserve">Althammer et </w:t>
      </w:r>
      <w:r>
        <w:rPr>
          <w:i/>
          <w:lang w:val="fr-FR"/>
        </w:rPr>
        <w:t>consorts c. Autriche</w:t>
      </w:r>
      <w:r w:rsidRPr="00531951">
        <w:rPr>
          <w:lang w:val="fr-FR"/>
        </w:rPr>
        <w:t>, par</w:t>
      </w:r>
      <w:r>
        <w:rPr>
          <w:lang w:val="fr-FR"/>
        </w:rPr>
        <w:t>. </w:t>
      </w:r>
      <w:r w:rsidRPr="00531951">
        <w:rPr>
          <w:lang w:val="fr-FR"/>
        </w:rPr>
        <w:t xml:space="preserve">10.2, </w:t>
      </w:r>
      <w:r>
        <w:rPr>
          <w:lang w:val="fr-FR"/>
        </w:rPr>
        <w:t xml:space="preserve">et </w:t>
      </w:r>
      <w:r w:rsidRPr="00531951">
        <w:rPr>
          <w:i/>
          <w:lang w:val="fr-FR"/>
        </w:rPr>
        <w:t xml:space="preserve">Derksen </w:t>
      </w:r>
      <w:r>
        <w:rPr>
          <w:i/>
          <w:lang w:val="fr-FR"/>
        </w:rPr>
        <w:t>c. Pays-Bas</w:t>
      </w:r>
      <w:r w:rsidRPr="00531951">
        <w:rPr>
          <w:lang w:val="fr-FR"/>
        </w:rPr>
        <w:t>, par</w:t>
      </w:r>
      <w:r>
        <w:rPr>
          <w:lang w:val="fr-FR"/>
        </w:rPr>
        <w:t>.</w:t>
      </w:r>
      <w:r w:rsidR="00CF08AB">
        <w:rPr>
          <w:lang w:val="fr-FR"/>
        </w:rPr>
        <w:t> </w:t>
      </w:r>
      <w:r w:rsidRPr="00531951">
        <w:rPr>
          <w:lang w:val="fr-FR"/>
        </w:rPr>
        <w:t>9.3.</w:t>
      </w:r>
    </w:p>
  </w:footnote>
  <w:footnote w:id="32">
    <w:p w:rsidR="00E82317" w:rsidRPr="00531951" w:rsidRDefault="00E82317" w:rsidP="00CF08AB">
      <w:pPr>
        <w:pStyle w:val="Notedebasdepage"/>
        <w:rPr>
          <w:rFonts w:eastAsia="MS Mincho"/>
          <w:lang w:val="fr-FR"/>
        </w:rPr>
      </w:pPr>
      <w:r w:rsidRPr="00531951">
        <w:rPr>
          <w:lang w:val="fr-FR"/>
        </w:rPr>
        <w:tab/>
      </w:r>
      <w:r w:rsidRPr="00E47167">
        <w:rPr>
          <w:rStyle w:val="Appelnotedebasdep"/>
        </w:rPr>
        <w:footnoteRef/>
      </w:r>
      <w:r w:rsidRPr="00531951">
        <w:rPr>
          <w:lang w:val="fr-FR"/>
        </w:rPr>
        <w:tab/>
      </w:r>
      <w:r>
        <w:rPr>
          <w:lang w:val="fr-FR"/>
        </w:rPr>
        <w:t>Pour les auteurs, on pourrait ne tenir aucun compte d’un éventuel lien de parenté entre les époux, ou ne prendre cet élément en considération que si d’autres facteurs donnent à penser que le mariage peut être un mariage forcé, par exemple des entretiens avec les époux visant à établir la nature volontaire du mariage ou la réalisation d’enquêtes une fois le permis accordé</w:t>
      </w:r>
      <w:r w:rsidRPr="00531951">
        <w:rPr>
          <w:lang w:val="fr-FR"/>
        </w:rPr>
        <w:t>.</w:t>
      </w:r>
    </w:p>
  </w:footnote>
  <w:footnote w:id="33">
    <w:p w:rsidR="00E82317" w:rsidRPr="00531951" w:rsidRDefault="00E82317" w:rsidP="00CF08AB">
      <w:pPr>
        <w:pStyle w:val="Notedebasdepage"/>
        <w:rPr>
          <w:lang w:val="fr-FR"/>
        </w:rPr>
      </w:pPr>
      <w:r w:rsidRPr="00531951">
        <w:rPr>
          <w:lang w:val="fr-FR"/>
        </w:rPr>
        <w:tab/>
      </w:r>
      <w:r w:rsidRPr="00E47167">
        <w:rPr>
          <w:rStyle w:val="Appelnotedebasdep"/>
        </w:rPr>
        <w:footnoteRef/>
      </w:r>
      <w:r w:rsidRPr="00531951">
        <w:rPr>
          <w:lang w:val="fr-FR"/>
        </w:rPr>
        <w:tab/>
      </w:r>
      <w:r>
        <w:rPr>
          <w:lang w:val="fr-FR"/>
        </w:rPr>
        <w:t>Voir l’article</w:t>
      </w:r>
      <w:r w:rsidR="00CF08AB">
        <w:rPr>
          <w:lang w:val="fr-FR"/>
        </w:rPr>
        <w:t> </w:t>
      </w:r>
      <w:r w:rsidRPr="00531951">
        <w:rPr>
          <w:lang w:val="fr-FR"/>
        </w:rPr>
        <w:t>312</w:t>
      </w:r>
      <w:r w:rsidR="00CF08AB">
        <w:rPr>
          <w:lang w:val="fr-FR"/>
        </w:rPr>
        <w:t> </w:t>
      </w:r>
      <w:r>
        <w:rPr>
          <w:lang w:val="fr-FR"/>
        </w:rPr>
        <w:t>1) de la loi sur l’a</w:t>
      </w:r>
      <w:r w:rsidRPr="00531951">
        <w:rPr>
          <w:lang w:val="fr-FR"/>
        </w:rPr>
        <w:t xml:space="preserve">dministration </w:t>
      </w:r>
      <w:r>
        <w:rPr>
          <w:lang w:val="fr-FR"/>
        </w:rPr>
        <w:t>de la j</w:t>
      </w:r>
      <w:r w:rsidRPr="00531951">
        <w:rPr>
          <w:lang w:val="fr-FR"/>
        </w:rPr>
        <w:t>ustice</w:t>
      </w:r>
      <w:r>
        <w:rPr>
          <w:lang w:val="fr-FR"/>
        </w:rPr>
        <w:t>, qui dispose que la partie perdante doit acquitter les frais de justice de l’autre partie</w:t>
      </w:r>
      <w:r w:rsidRPr="00531951">
        <w:rPr>
          <w:lang w:val="fr-FR"/>
        </w:rPr>
        <w:t xml:space="preserve">, </w:t>
      </w:r>
      <w:r>
        <w:rPr>
          <w:lang w:val="fr-FR"/>
        </w:rPr>
        <w:t>sauf si les parties en ont décidé autrement</w:t>
      </w:r>
      <w:r w:rsidRPr="00531951">
        <w:rPr>
          <w:lang w:val="fr-FR"/>
        </w:rPr>
        <w:t xml:space="preserve">. </w:t>
      </w:r>
      <w:r>
        <w:rPr>
          <w:lang w:val="fr-FR"/>
        </w:rPr>
        <w:t>En outre, il découle de l’article</w:t>
      </w:r>
      <w:r w:rsidR="00CF08AB">
        <w:rPr>
          <w:lang w:val="fr-FR"/>
        </w:rPr>
        <w:t> </w:t>
      </w:r>
      <w:r w:rsidRPr="00531951">
        <w:rPr>
          <w:lang w:val="fr-FR"/>
        </w:rPr>
        <w:t>312</w:t>
      </w:r>
      <w:r w:rsidR="00CF08AB">
        <w:rPr>
          <w:lang w:val="fr-FR"/>
        </w:rPr>
        <w:t> </w:t>
      </w:r>
      <w:r>
        <w:rPr>
          <w:lang w:val="fr-FR"/>
        </w:rPr>
        <w:t>3) de la loi sur l’a</w:t>
      </w:r>
      <w:r w:rsidRPr="00531951">
        <w:rPr>
          <w:lang w:val="fr-FR"/>
        </w:rPr>
        <w:t xml:space="preserve">dministration </w:t>
      </w:r>
      <w:r>
        <w:rPr>
          <w:lang w:val="fr-FR"/>
        </w:rPr>
        <w:t>de la j</w:t>
      </w:r>
      <w:r w:rsidRPr="00531951">
        <w:rPr>
          <w:lang w:val="fr-FR"/>
        </w:rPr>
        <w:t xml:space="preserve">ustice </w:t>
      </w:r>
      <w:r>
        <w:rPr>
          <w:lang w:val="fr-FR"/>
        </w:rPr>
        <w:t>que le tribunal peut décider que la partie perdante est exonérée de tout ou partie des frais de justice de l’autre partie si des raisons particulières le justifient</w:t>
      </w:r>
      <w:r w:rsidRPr="00531951">
        <w:rPr>
          <w:lang w:val="fr-FR"/>
        </w:rPr>
        <w:t>.</w:t>
      </w:r>
    </w:p>
  </w:footnote>
  <w:footnote w:id="34">
    <w:p w:rsidR="00E82317" w:rsidRPr="00531951" w:rsidRDefault="00E82317" w:rsidP="00CF08AB">
      <w:pPr>
        <w:pStyle w:val="Notedebasdepage"/>
        <w:rPr>
          <w:lang w:val="fr-FR"/>
        </w:rPr>
      </w:pPr>
      <w:r w:rsidRPr="00531951">
        <w:rPr>
          <w:lang w:val="fr-FR"/>
        </w:rPr>
        <w:tab/>
      </w:r>
      <w:r w:rsidRPr="00E47167">
        <w:rPr>
          <w:rStyle w:val="Appelnotedebasdep"/>
        </w:rPr>
        <w:footnoteRef/>
      </w:r>
      <w:r w:rsidRPr="00531951">
        <w:rPr>
          <w:lang w:val="fr-FR"/>
        </w:rPr>
        <w:tab/>
      </w:r>
      <w:r>
        <w:rPr>
          <w:lang w:val="fr-FR"/>
        </w:rPr>
        <w:t xml:space="preserve">Voir </w:t>
      </w:r>
      <w:r w:rsidRPr="00531951">
        <w:rPr>
          <w:i/>
          <w:lang w:val="fr-FR"/>
        </w:rPr>
        <w:t>R.</w:t>
      </w:r>
      <w:r w:rsidR="00CF08AB">
        <w:rPr>
          <w:i/>
          <w:lang w:val="fr-FR"/>
        </w:rPr>
        <w:t> </w:t>
      </w:r>
      <w:r w:rsidRPr="00531951">
        <w:rPr>
          <w:i/>
          <w:lang w:val="fr-FR"/>
        </w:rPr>
        <w:t xml:space="preserve">T. </w:t>
      </w:r>
      <w:r>
        <w:rPr>
          <w:i/>
          <w:lang w:val="fr-FR"/>
        </w:rPr>
        <w:t>c. </w:t>
      </w:r>
      <w:r w:rsidRPr="00531951">
        <w:rPr>
          <w:i/>
          <w:lang w:val="fr-FR"/>
        </w:rPr>
        <w:t>France</w:t>
      </w:r>
      <w:r w:rsidRPr="00531951">
        <w:rPr>
          <w:lang w:val="fr-FR"/>
        </w:rPr>
        <w:t xml:space="preserve"> (CCPR/C/35/D/262/1987)</w:t>
      </w:r>
      <w:r>
        <w:rPr>
          <w:lang w:val="fr-FR"/>
        </w:rPr>
        <w:t>, constatations adoptées le 30 mars 1989, par. </w:t>
      </w:r>
      <w:r w:rsidRPr="00531951">
        <w:rPr>
          <w:lang w:val="fr-FR"/>
        </w:rPr>
        <w:t>7.4</w:t>
      </w:r>
      <w:r w:rsidR="00056DAF">
        <w:rPr>
          <w:lang w:val="fr-FR"/>
        </w:rPr>
        <w:t> ;</w:t>
      </w:r>
      <w:r w:rsidRPr="00531951">
        <w:rPr>
          <w:lang w:val="fr-FR"/>
        </w:rPr>
        <w:t xml:space="preserve"> </w:t>
      </w:r>
      <w:r>
        <w:rPr>
          <w:lang w:val="fr-FR"/>
        </w:rPr>
        <w:t xml:space="preserve">et </w:t>
      </w:r>
      <w:r w:rsidRPr="00531951">
        <w:rPr>
          <w:i/>
          <w:lang w:val="fr-FR"/>
        </w:rPr>
        <w:t xml:space="preserve">Kaaber </w:t>
      </w:r>
      <w:r>
        <w:rPr>
          <w:i/>
          <w:lang w:val="fr-FR"/>
        </w:rPr>
        <w:t>c. Islande</w:t>
      </w:r>
      <w:r w:rsidRPr="00531951">
        <w:rPr>
          <w:lang w:val="fr-FR"/>
        </w:rPr>
        <w:t xml:space="preserve"> (CCPR/C/58/D/674/1995), </w:t>
      </w:r>
      <w:r>
        <w:rPr>
          <w:lang w:val="fr-FR"/>
        </w:rPr>
        <w:t xml:space="preserve">constatations adoptées le </w:t>
      </w:r>
      <w:r w:rsidRPr="003055BE">
        <w:t>5</w:t>
      </w:r>
      <w:r>
        <w:t> </w:t>
      </w:r>
      <w:r w:rsidRPr="003055BE">
        <w:t>novembre</w:t>
      </w:r>
      <w:r>
        <w:rPr>
          <w:lang w:val="fr-FR"/>
        </w:rPr>
        <w:t xml:space="preserve"> 1996, par. </w:t>
      </w:r>
      <w:r w:rsidRPr="00531951">
        <w:rPr>
          <w:lang w:val="fr-FR"/>
        </w:rPr>
        <w:t>6.2.</w:t>
      </w:r>
    </w:p>
  </w:footnote>
  <w:footnote w:id="35">
    <w:p w:rsidR="00E82317" w:rsidRPr="005348AA" w:rsidRDefault="00E82317" w:rsidP="00CF08AB">
      <w:pPr>
        <w:pStyle w:val="Notedebasdepage"/>
        <w:rPr>
          <w:rFonts w:eastAsia="MS Mincho"/>
          <w:spacing w:val="-1"/>
          <w:lang w:val="fr-FR"/>
        </w:rPr>
      </w:pPr>
      <w:r w:rsidRPr="00531951">
        <w:rPr>
          <w:lang w:val="fr-FR"/>
        </w:rPr>
        <w:tab/>
      </w:r>
      <w:r w:rsidRPr="00E47167">
        <w:rPr>
          <w:rStyle w:val="Appelnotedebasdep"/>
        </w:rPr>
        <w:footnoteRef/>
      </w:r>
      <w:r w:rsidRPr="00531951">
        <w:rPr>
          <w:lang w:val="fr-FR"/>
        </w:rPr>
        <w:tab/>
      </w:r>
      <w:r w:rsidRPr="005348AA">
        <w:rPr>
          <w:spacing w:val="-1"/>
          <w:lang w:val="fr-FR"/>
        </w:rPr>
        <w:t>L</w:t>
      </w:r>
      <w:r>
        <w:rPr>
          <w:spacing w:val="-1"/>
          <w:lang w:val="fr-FR"/>
        </w:rPr>
        <w:t>’</w:t>
      </w:r>
      <w:r w:rsidRPr="005348AA">
        <w:rPr>
          <w:spacing w:val="-1"/>
          <w:lang w:val="fr-FR"/>
        </w:rPr>
        <w:t>État partie indique, à cet égard, qu</w:t>
      </w:r>
      <w:r>
        <w:rPr>
          <w:spacing w:val="-1"/>
          <w:lang w:val="fr-FR"/>
        </w:rPr>
        <w:t>’</w:t>
      </w:r>
      <w:r w:rsidRPr="005348AA">
        <w:rPr>
          <w:spacing w:val="-1"/>
          <w:lang w:val="fr-FR"/>
        </w:rPr>
        <w:t>en 2013, 2014 et 2015, la Commission des recours en matière d</w:t>
      </w:r>
      <w:r>
        <w:rPr>
          <w:spacing w:val="-1"/>
          <w:lang w:val="fr-FR"/>
        </w:rPr>
        <w:t>’</w:t>
      </w:r>
      <w:r w:rsidRPr="005348AA">
        <w:rPr>
          <w:spacing w:val="-1"/>
          <w:lang w:val="fr-FR"/>
        </w:rPr>
        <w:t>immigration a examiné 28, 26 et 51</w:t>
      </w:r>
      <w:r w:rsidR="00CF08AB">
        <w:rPr>
          <w:spacing w:val="-1"/>
          <w:lang w:val="fr-FR"/>
        </w:rPr>
        <w:t> </w:t>
      </w:r>
      <w:r w:rsidRPr="005348AA">
        <w:rPr>
          <w:spacing w:val="-1"/>
          <w:lang w:val="fr-FR"/>
        </w:rPr>
        <w:t>cas, respectivement, soit 105</w:t>
      </w:r>
      <w:r w:rsidR="00CF08AB">
        <w:rPr>
          <w:spacing w:val="-1"/>
          <w:lang w:val="fr-FR"/>
        </w:rPr>
        <w:t> </w:t>
      </w:r>
      <w:r w:rsidRPr="005348AA">
        <w:rPr>
          <w:spacing w:val="-1"/>
          <w:lang w:val="fr-FR"/>
        </w:rPr>
        <w:t xml:space="preserve">cas au total dans lesquels les demandeurs se sont vu refuser un permis de </w:t>
      </w:r>
      <w:r>
        <w:rPr>
          <w:spacing w:val="-1"/>
          <w:lang w:val="fr-FR"/>
        </w:rPr>
        <w:t>séjour</w:t>
      </w:r>
      <w:r w:rsidRPr="005348AA">
        <w:rPr>
          <w:spacing w:val="-1"/>
          <w:lang w:val="fr-FR"/>
        </w:rPr>
        <w:t xml:space="preserve"> en vertu de la deuxième phrase de l</w:t>
      </w:r>
      <w:r>
        <w:rPr>
          <w:spacing w:val="-1"/>
          <w:lang w:val="fr-FR"/>
        </w:rPr>
        <w:t>’</w:t>
      </w:r>
      <w:r w:rsidRPr="005348AA">
        <w:rPr>
          <w:spacing w:val="-1"/>
          <w:lang w:val="fr-FR"/>
        </w:rPr>
        <w:t>article</w:t>
      </w:r>
      <w:r>
        <w:rPr>
          <w:spacing w:val="-1"/>
          <w:lang w:val="fr-FR"/>
        </w:rPr>
        <w:t> </w:t>
      </w:r>
      <w:r w:rsidRPr="005348AA">
        <w:rPr>
          <w:spacing w:val="-1"/>
          <w:lang w:val="fr-FR"/>
        </w:rPr>
        <w:t>9</w:t>
      </w:r>
      <w:r>
        <w:rPr>
          <w:spacing w:val="-1"/>
          <w:lang w:val="fr-FR"/>
        </w:rPr>
        <w:t> </w:t>
      </w:r>
      <w:r w:rsidRPr="005348AA">
        <w:rPr>
          <w:spacing w:val="-1"/>
          <w:lang w:val="fr-FR"/>
        </w:rPr>
        <w:t xml:space="preserve">8) de la loi sur les étrangers. </w:t>
      </w:r>
      <w:r w:rsidR="00CF08AB">
        <w:rPr>
          <w:spacing w:val="-1"/>
          <w:lang w:val="fr-FR"/>
        </w:rPr>
        <w:t xml:space="preserve">Sept </w:t>
      </w:r>
      <w:r w:rsidRPr="005348AA">
        <w:rPr>
          <w:spacing w:val="-1"/>
          <w:lang w:val="fr-FR"/>
        </w:rPr>
        <w:t>dossiers ont été classés sans que la Commission ait statué, les demandeurs ayant retiré leur recours. Dans 75</w:t>
      </w:r>
      <w:r w:rsidR="00056DAF">
        <w:rPr>
          <w:spacing w:val="-1"/>
          <w:lang w:val="fr-FR"/>
        </w:rPr>
        <w:t> </w:t>
      </w:r>
      <w:r w:rsidRPr="005348AA">
        <w:rPr>
          <w:spacing w:val="-1"/>
          <w:lang w:val="fr-FR"/>
        </w:rPr>
        <w:t>cas, la Commission a confirmé la décision du Service de l</w:t>
      </w:r>
      <w:r>
        <w:rPr>
          <w:spacing w:val="-1"/>
          <w:lang w:val="fr-FR"/>
        </w:rPr>
        <w:t>’</w:t>
      </w:r>
      <w:r w:rsidRPr="005348AA">
        <w:rPr>
          <w:spacing w:val="-1"/>
          <w:lang w:val="fr-FR"/>
        </w:rPr>
        <w:t xml:space="preserve">immigration. </w:t>
      </w:r>
      <w:r w:rsidR="00CF08AB">
        <w:rPr>
          <w:spacing w:val="-1"/>
          <w:lang w:val="fr-FR"/>
        </w:rPr>
        <w:t xml:space="preserve">Huit </w:t>
      </w:r>
      <w:r w:rsidRPr="005348AA">
        <w:rPr>
          <w:spacing w:val="-1"/>
          <w:lang w:val="fr-FR"/>
        </w:rPr>
        <w:t>dossiers ont été renvoyés au Service de l</w:t>
      </w:r>
      <w:r>
        <w:rPr>
          <w:spacing w:val="-1"/>
          <w:lang w:val="fr-FR"/>
        </w:rPr>
        <w:t>’</w:t>
      </w:r>
      <w:r w:rsidRPr="005348AA">
        <w:rPr>
          <w:spacing w:val="-1"/>
          <w:lang w:val="fr-FR"/>
        </w:rPr>
        <w:t xml:space="preserve">immigration pour réexamen. Dans </w:t>
      </w:r>
      <w:r w:rsidR="00056DAF">
        <w:rPr>
          <w:spacing w:val="-1"/>
          <w:lang w:val="fr-FR"/>
        </w:rPr>
        <w:t>7 </w:t>
      </w:r>
      <w:r w:rsidRPr="005348AA">
        <w:rPr>
          <w:spacing w:val="-1"/>
          <w:lang w:val="fr-FR"/>
        </w:rPr>
        <w:t xml:space="preserve">cas, la </w:t>
      </w:r>
      <w:r>
        <w:rPr>
          <w:spacing w:val="-1"/>
          <w:lang w:val="fr-FR"/>
        </w:rPr>
        <w:t xml:space="preserve">Commission a annulé la </w:t>
      </w:r>
      <w:r w:rsidRPr="005348AA">
        <w:rPr>
          <w:spacing w:val="-1"/>
          <w:lang w:val="fr-FR"/>
        </w:rPr>
        <w:t>décision du Service de l</w:t>
      </w:r>
      <w:r>
        <w:rPr>
          <w:spacing w:val="-1"/>
          <w:lang w:val="fr-FR"/>
        </w:rPr>
        <w:t>’</w:t>
      </w:r>
      <w:r w:rsidRPr="005348AA">
        <w:rPr>
          <w:spacing w:val="-1"/>
          <w:lang w:val="fr-FR"/>
        </w:rPr>
        <w:t xml:space="preserve">immigration, </w:t>
      </w:r>
      <w:r>
        <w:rPr>
          <w:spacing w:val="-1"/>
          <w:lang w:val="fr-FR"/>
        </w:rPr>
        <w:t xml:space="preserve">estimant </w:t>
      </w:r>
      <w:r w:rsidRPr="005348AA">
        <w:rPr>
          <w:spacing w:val="-1"/>
          <w:lang w:val="fr-FR"/>
        </w:rPr>
        <w:t>qu</w:t>
      </w:r>
      <w:r>
        <w:rPr>
          <w:spacing w:val="-1"/>
          <w:lang w:val="fr-FR"/>
        </w:rPr>
        <w:t>’</w:t>
      </w:r>
      <w:r w:rsidRPr="005348AA">
        <w:rPr>
          <w:spacing w:val="-1"/>
          <w:lang w:val="fr-FR"/>
        </w:rPr>
        <w:t>il n</w:t>
      </w:r>
      <w:r>
        <w:rPr>
          <w:spacing w:val="-1"/>
          <w:lang w:val="fr-FR"/>
        </w:rPr>
        <w:t>’</w:t>
      </w:r>
      <w:r w:rsidRPr="005348AA">
        <w:rPr>
          <w:spacing w:val="-1"/>
          <w:lang w:val="fr-FR"/>
        </w:rPr>
        <w:t xml:space="preserve">y avait pas lieu de refuser le permis de </w:t>
      </w:r>
      <w:r>
        <w:rPr>
          <w:spacing w:val="-1"/>
          <w:lang w:val="fr-FR"/>
        </w:rPr>
        <w:t>séjour</w:t>
      </w:r>
      <w:r w:rsidRPr="005348AA">
        <w:rPr>
          <w:spacing w:val="-1"/>
          <w:lang w:val="fr-FR"/>
        </w:rPr>
        <w:t xml:space="preserve"> sur le fondement de la deuxième phrase de l</w:t>
      </w:r>
      <w:r>
        <w:rPr>
          <w:spacing w:val="-1"/>
          <w:lang w:val="fr-FR"/>
        </w:rPr>
        <w:t>’</w:t>
      </w:r>
      <w:r w:rsidRPr="005348AA">
        <w:rPr>
          <w:spacing w:val="-1"/>
          <w:lang w:val="fr-FR"/>
        </w:rPr>
        <w:t>article</w:t>
      </w:r>
      <w:r w:rsidR="00CF08AB">
        <w:rPr>
          <w:spacing w:val="-1"/>
          <w:lang w:val="fr-FR"/>
        </w:rPr>
        <w:t> </w:t>
      </w:r>
      <w:r w:rsidRPr="005348AA">
        <w:rPr>
          <w:spacing w:val="-1"/>
          <w:lang w:val="fr-FR"/>
        </w:rPr>
        <w:t>9</w:t>
      </w:r>
      <w:r w:rsidR="00CF08AB">
        <w:rPr>
          <w:spacing w:val="-1"/>
          <w:lang w:val="fr-FR"/>
        </w:rPr>
        <w:t> </w:t>
      </w:r>
      <w:r w:rsidRPr="005348AA">
        <w:rPr>
          <w:spacing w:val="-1"/>
          <w:lang w:val="fr-FR"/>
        </w:rPr>
        <w:t xml:space="preserve">8). Enfin, le recours a été rejeté dans </w:t>
      </w:r>
      <w:r>
        <w:rPr>
          <w:spacing w:val="-1"/>
          <w:lang w:val="fr-FR"/>
        </w:rPr>
        <w:t>8 </w:t>
      </w:r>
      <w:r w:rsidRPr="005348AA">
        <w:rPr>
          <w:spacing w:val="-1"/>
          <w:lang w:val="fr-FR"/>
        </w:rPr>
        <w:t>cas parce qu</w:t>
      </w:r>
      <w:r>
        <w:rPr>
          <w:spacing w:val="-1"/>
          <w:lang w:val="fr-FR"/>
        </w:rPr>
        <w:t>’</w:t>
      </w:r>
      <w:r w:rsidRPr="005348AA">
        <w:rPr>
          <w:spacing w:val="-1"/>
          <w:lang w:val="fr-FR"/>
        </w:rPr>
        <w:t>il avait été présenté hors délai. Les demandeurs étaient originaires d</w:t>
      </w:r>
      <w:r>
        <w:rPr>
          <w:spacing w:val="-1"/>
          <w:lang w:val="fr-FR"/>
        </w:rPr>
        <w:t>’</w:t>
      </w:r>
      <w:r w:rsidRPr="005348AA">
        <w:rPr>
          <w:spacing w:val="-1"/>
          <w:lang w:val="fr-FR"/>
        </w:rPr>
        <w:t xml:space="preserve">Afghanistan, </w:t>
      </w:r>
      <w:r>
        <w:rPr>
          <w:spacing w:val="-1"/>
          <w:lang w:val="fr-FR"/>
        </w:rPr>
        <w:t xml:space="preserve">d’Égypte, d’Érythrée, d’Iran (République islamique d’), </w:t>
      </w:r>
      <w:r w:rsidRPr="005348AA">
        <w:rPr>
          <w:spacing w:val="-1"/>
          <w:lang w:val="fr-FR"/>
        </w:rPr>
        <w:t>d</w:t>
      </w:r>
      <w:r>
        <w:rPr>
          <w:spacing w:val="-1"/>
          <w:lang w:val="fr-FR"/>
        </w:rPr>
        <w:t>’</w:t>
      </w:r>
      <w:r w:rsidRPr="005348AA">
        <w:rPr>
          <w:spacing w:val="-1"/>
          <w:lang w:val="fr-FR"/>
        </w:rPr>
        <w:t xml:space="preserve">Iraq, du Liban, du Maroc, </w:t>
      </w:r>
      <w:r>
        <w:rPr>
          <w:spacing w:val="-1"/>
          <w:lang w:val="fr-FR"/>
        </w:rPr>
        <w:t>du Pakistan, de République arabe syrienne, de Somalie, de Sri</w:t>
      </w:r>
      <w:r w:rsidR="00056DAF">
        <w:rPr>
          <w:spacing w:val="-1"/>
          <w:lang w:val="fr-FR"/>
        </w:rPr>
        <w:t> </w:t>
      </w:r>
      <w:r>
        <w:rPr>
          <w:spacing w:val="-1"/>
          <w:lang w:val="fr-FR"/>
        </w:rPr>
        <w:t>Lanka, et de Turquie</w:t>
      </w:r>
      <w:r w:rsidRPr="005348AA">
        <w:rPr>
          <w:spacing w:val="-1"/>
          <w:lang w:val="fr-FR"/>
        </w:rPr>
        <w:t>, et certains étaient des Palestiniens apatrides ou d</w:t>
      </w:r>
      <w:r>
        <w:rPr>
          <w:spacing w:val="-1"/>
          <w:lang w:val="fr-FR"/>
        </w:rPr>
        <w:t>’</w:t>
      </w:r>
      <w:r w:rsidRPr="005348AA">
        <w:rPr>
          <w:spacing w:val="-1"/>
          <w:lang w:val="fr-FR"/>
        </w:rPr>
        <w:t>autres personnes apatrides.</w:t>
      </w:r>
    </w:p>
  </w:footnote>
  <w:footnote w:id="36">
    <w:p w:rsidR="00E82317" w:rsidRPr="00531951" w:rsidRDefault="00E82317" w:rsidP="00CF08AB">
      <w:pPr>
        <w:pStyle w:val="Notedebasdepage"/>
        <w:rPr>
          <w:lang w:val="fr-FR"/>
        </w:rPr>
      </w:pPr>
      <w:r w:rsidRPr="00531951">
        <w:rPr>
          <w:lang w:val="fr-FR"/>
        </w:rPr>
        <w:tab/>
      </w:r>
      <w:r w:rsidRPr="00E47167">
        <w:rPr>
          <w:rStyle w:val="Appelnotedebasdep"/>
        </w:rPr>
        <w:footnoteRef/>
      </w:r>
      <w:r w:rsidRPr="00531951">
        <w:rPr>
          <w:lang w:val="fr-FR"/>
        </w:rPr>
        <w:tab/>
      </w:r>
      <w:r>
        <w:rPr>
          <w:lang w:val="fr-FR"/>
        </w:rPr>
        <w:t xml:space="preserve">Voir la décision de la Cour européenne des droits de l’homme dans l’affaire </w:t>
      </w:r>
      <w:r w:rsidRPr="00770169">
        <w:rPr>
          <w:i/>
          <w:iCs/>
          <w:lang w:val="fr-FR"/>
        </w:rPr>
        <w:t>Biao</w:t>
      </w:r>
      <w:r>
        <w:rPr>
          <w:i/>
          <w:iCs/>
          <w:lang w:val="fr-FR"/>
        </w:rPr>
        <w:t> </w:t>
      </w:r>
      <w:r w:rsidRPr="00770169">
        <w:rPr>
          <w:i/>
          <w:iCs/>
          <w:lang w:val="fr-FR"/>
        </w:rPr>
        <w:t>c.</w:t>
      </w:r>
      <w:r>
        <w:rPr>
          <w:i/>
          <w:iCs/>
          <w:lang w:val="fr-FR"/>
        </w:rPr>
        <w:t> </w:t>
      </w:r>
      <w:r w:rsidRPr="00770169">
        <w:rPr>
          <w:i/>
          <w:iCs/>
          <w:lang w:val="fr-FR"/>
        </w:rPr>
        <w:t>Danemark</w:t>
      </w:r>
      <w:r>
        <w:rPr>
          <w:lang w:val="fr-FR"/>
        </w:rPr>
        <w:t xml:space="preserve"> </w:t>
      </w:r>
      <w:r w:rsidRPr="00531951">
        <w:rPr>
          <w:lang w:val="fr-FR"/>
        </w:rPr>
        <w:t>(</w:t>
      </w:r>
      <w:r>
        <w:rPr>
          <w:lang w:val="fr-FR"/>
        </w:rPr>
        <w:t xml:space="preserve">requête </w:t>
      </w:r>
      <w:r w:rsidRPr="009160C0">
        <w:rPr>
          <w:rFonts w:eastAsia="MS Mincho"/>
          <w:szCs w:val="22"/>
          <w:lang w:val="fr-FR"/>
        </w:rPr>
        <w:t>n</w:t>
      </w:r>
      <w:r w:rsidRPr="009160C0">
        <w:rPr>
          <w:rFonts w:eastAsia="MS Mincho"/>
          <w:szCs w:val="22"/>
          <w:vertAlign w:val="superscript"/>
          <w:lang w:val="fr-FR"/>
        </w:rPr>
        <w:t>o</w:t>
      </w:r>
      <w:r>
        <w:rPr>
          <w:lang w:val="fr-FR"/>
        </w:rPr>
        <w:t> </w:t>
      </w:r>
      <w:r w:rsidRPr="00531951">
        <w:rPr>
          <w:lang w:val="fr-FR"/>
        </w:rPr>
        <w:t>38590/10)</w:t>
      </w:r>
      <w:r>
        <w:rPr>
          <w:lang w:val="fr-FR"/>
        </w:rPr>
        <w:t>, arrêt du 24</w:t>
      </w:r>
      <w:r w:rsidR="009E6FAC">
        <w:rPr>
          <w:lang w:val="fr-FR"/>
        </w:rPr>
        <w:t> </w:t>
      </w:r>
      <w:r>
        <w:rPr>
          <w:lang w:val="fr-FR"/>
        </w:rPr>
        <w:t>mai 2016, dans lequel la Cour a conclu que le Danemark avait violé l’article</w:t>
      </w:r>
      <w:r w:rsidR="009E6FAC">
        <w:rPr>
          <w:lang w:val="fr-FR"/>
        </w:rPr>
        <w:t> </w:t>
      </w:r>
      <w:r w:rsidRPr="00531951">
        <w:rPr>
          <w:lang w:val="fr-FR"/>
        </w:rPr>
        <w:t>14</w:t>
      </w:r>
      <w:r>
        <w:rPr>
          <w:lang w:val="fr-FR"/>
        </w:rPr>
        <w:t xml:space="preserve"> combiné avec l’a</w:t>
      </w:r>
      <w:r w:rsidRPr="00531951">
        <w:rPr>
          <w:lang w:val="fr-FR"/>
        </w:rPr>
        <w:t>rticle</w:t>
      </w:r>
      <w:r w:rsidR="009E6FAC">
        <w:rPr>
          <w:lang w:val="fr-FR"/>
        </w:rPr>
        <w:t> </w:t>
      </w:r>
      <w:r w:rsidRPr="00531951">
        <w:rPr>
          <w:lang w:val="fr-FR"/>
        </w:rPr>
        <w:t xml:space="preserve">8 </w:t>
      </w:r>
      <w:r>
        <w:rPr>
          <w:lang w:val="fr-FR"/>
        </w:rPr>
        <w:t>de la Convention pour la sauvegarde des droits de l’homme et des libertés fondamentales en exigeant que les époux aient des attaches plus fortes avec le Danemark qu’avec un autre pays</w:t>
      </w:r>
      <w:r w:rsidRPr="00531951">
        <w:rPr>
          <w:lang w:val="fr-FR"/>
        </w:rPr>
        <w:t xml:space="preserve">. </w:t>
      </w:r>
      <w:r>
        <w:rPr>
          <w:lang w:val="fr-FR"/>
        </w:rPr>
        <w:t>La Cour a initialement conclu que la disposition de la loi sur les étrangers exigeant des attaches plus fortes avec le Danemark qu’avec un autre pays affectait davantage les citoyens danois d’origine non danoise que les citoyens danois d’origine danoise et constituait donc une différence de traitement indirecte</w:t>
      </w:r>
      <w:r w:rsidRPr="00531951">
        <w:rPr>
          <w:lang w:val="fr-FR"/>
        </w:rPr>
        <w:t xml:space="preserve">. </w:t>
      </w:r>
      <w:r>
        <w:rPr>
          <w:lang w:val="fr-FR"/>
        </w:rPr>
        <w:t xml:space="preserve">Elle a par la suite conclu que le Danemark n’avait pas démontré qu’il existait des raisons impérieuses ou très fortes sans lien avec l’origine ethnique propres à justifier la différence de traitement </w:t>
      </w:r>
      <w:r w:rsidRPr="00531951">
        <w:rPr>
          <w:lang w:val="fr-FR"/>
        </w:rPr>
        <w:t>indirect</w:t>
      </w:r>
      <w:r>
        <w:rPr>
          <w:lang w:val="fr-FR"/>
        </w:rPr>
        <w:t>e</w:t>
      </w:r>
      <w:r w:rsidRPr="00531951">
        <w:rPr>
          <w:lang w:val="fr-FR"/>
        </w:rPr>
        <w:t>.</w:t>
      </w:r>
    </w:p>
  </w:footnote>
  <w:footnote w:id="37">
    <w:p w:rsidR="00E82317" w:rsidRPr="00531951" w:rsidRDefault="00E82317" w:rsidP="00CF08AB">
      <w:pPr>
        <w:pStyle w:val="Notedebasdepage"/>
        <w:rPr>
          <w:lang w:val="fr-FR"/>
        </w:rPr>
      </w:pPr>
      <w:r w:rsidRPr="00531951">
        <w:rPr>
          <w:lang w:val="fr-FR"/>
        </w:rPr>
        <w:tab/>
      </w:r>
      <w:r w:rsidRPr="00E47167">
        <w:rPr>
          <w:rStyle w:val="Appelnotedebasdep"/>
        </w:rPr>
        <w:footnoteRef/>
      </w:r>
      <w:r w:rsidRPr="00531951">
        <w:rPr>
          <w:lang w:val="fr-FR"/>
        </w:rPr>
        <w:tab/>
      </w:r>
      <w:r>
        <w:rPr>
          <w:lang w:val="fr-FR"/>
        </w:rPr>
        <w:t xml:space="preserve">En ce qui concerne la référence faite par les auteurs à l’arrêt rendu par la Cour européenne des droits de l’homme le </w:t>
      </w:r>
      <w:r w:rsidRPr="00531951">
        <w:rPr>
          <w:lang w:val="fr-FR"/>
        </w:rPr>
        <w:t>24</w:t>
      </w:r>
      <w:r>
        <w:rPr>
          <w:lang w:val="fr-FR"/>
        </w:rPr>
        <w:t xml:space="preserve"> mai </w:t>
      </w:r>
      <w:r w:rsidRPr="00531951">
        <w:rPr>
          <w:lang w:val="fr-FR"/>
        </w:rPr>
        <w:t xml:space="preserve">2016 </w:t>
      </w:r>
      <w:r>
        <w:rPr>
          <w:lang w:val="fr-FR"/>
        </w:rPr>
        <w:t xml:space="preserve">dans l’affaire </w:t>
      </w:r>
      <w:r w:rsidRPr="00737C80">
        <w:rPr>
          <w:i/>
          <w:iCs/>
          <w:lang w:val="fr-FR"/>
        </w:rPr>
        <w:t xml:space="preserve">Biao </w:t>
      </w:r>
      <w:r>
        <w:rPr>
          <w:i/>
          <w:iCs/>
          <w:lang w:val="fr-FR"/>
        </w:rPr>
        <w:t>c. </w:t>
      </w:r>
      <w:r w:rsidRPr="00737C80">
        <w:rPr>
          <w:i/>
          <w:iCs/>
          <w:lang w:val="fr-FR"/>
        </w:rPr>
        <w:t>Danemark</w:t>
      </w:r>
      <w:r>
        <w:rPr>
          <w:lang w:val="fr-FR"/>
        </w:rPr>
        <w:t xml:space="preserve"> </w:t>
      </w:r>
      <w:r w:rsidRPr="00531951">
        <w:rPr>
          <w:lang w:val="fr-FR"/>
        </w:rPr>
        <w:t>(</w:t>
      </w:r>
      <w:r>
        <w:rPr>
          <w:lang w:val="fr-FR"/>
        </w:rPr>
        <w:t xml:space="preserve">requête </w:t>
      </w:r>
      <w:r w:rsidRPr="009160C0">
        <w:rPr>
          <w:rFonts w:eastAsia="MS Mincho"/>
          <w:szCs w:val="22"/>
          <w:lang w:val="fr-FR"/>
        </w:rPr>
        <w:t>n</w:t>
      </w:r>
      <w:r w:rsidRPr="009160C0">
        <w:rPr>
          <w:rFonts w:eastAsia="MS Mincho"/>
          <w:szCs w:val="22"/>
          <w:vertAlign w:val="superscript"/>
          <w:lang w:val="fr-FR"/>
        </w:rPr>
        <w:t>o</w:t>
      </w:r>
      <w:r>
        <w:rPr>
          <w:lang w:val="fr-FR"/>
        </w:rPr>
        <w:t> </w:t>
      </w:r>
      <w:r w:rsidRPr="00531951">
        <w:rPr>
          <w:lang w:val="fr-FR"/>
        </w:rPr>
        <w:t>38590/10),</w:t>
      </w:r>
      <w:r>
        <w:rPr>
          <w:lang w:val="fr-FR"/>
        </w:rPr>
        <w:t xml:space="preserve"> l’État partie souligne que l’affaire portait sur la condition des attaches applicable au regroupement familial énoncée à l’article</w:t>
      </w:r>
      <w:r w:rsidR="00056DAF">
        <w:rPr>
          <w:lang w:val="fr-FR"/>
        </w:rPr>
        <w:t> </w:t>
      </w:r>
      <w:r w:rsidRPr="00531951">
        <w:rPr>
          <w:lang w:val="fr-FR"/>
        </w:rPr>
        <w:t>9</w:t>
      </w:r>
      <w:r w:rsidR="00056DAF">
        <w:rPr>
          <w:lang w:val="fr-FR"/>
        </w:rPr>
        <w:t> </w:t>
      </w:r>
      <w:r>
        <w:rPr>
          <w:lang w:val="fr-FR"/>
        </w:rPr>
        <w:t>7) de la loi sur les étrangers</w:t>
      </w:r>
      <w:r w:rsidRPr="00531951">
        <w:rPr>
          <w:lang w:val="fr-FR"/>
        </w:rPr>
        <w:t xml:space="preserve">. </w:t>
      </w:r>
      <w:r>
        <w:rPr>
          <w:lang w:val="fr-FR"/>
        </w:rPr>
        <w:t>L’État partie considère que les affaires ne sont pas comparables car l’affaire concernant les auteurs relève de l’article 9</w:t>
      </w:r>
      <w:r w:rsidR="00056DAF">
        <w:rPr>
          <w:lang w:val="fr-FR"/>
        </w:rPr>
        <w:t> </w:t>
      </w:r>
      <w:r>
        <w:rPr>
          <w:lang w:val="fr-FR"/>
        </w:rPr>
        <w:t>8) de ladite loi</w:t>
      </w:r>
      <w:r w:rsidRPr="00531951">
        <w:rPr>
          <w:lang w:val="fr-FR"/>
        </w:rPr>
        <w:t>.</w:t>
      </w:r>
    </w:p>
  </w:footnote>
  <w:footnote w:id="38">
    <w:p w:rsidR="00E82317" w:rsidRPr="00531951" w:rsidRDefault="00E82317" w:rsidP="00CF08AB">
      <w:pPr>
        <w:pStyle w:val="Notedebasdepage"/>
        <w:rPr>
          <w:rFonts w:eastAsia="MS Mincho"/>
          <w:lang w:val="fr-FR" w:eastAsia="ja-JP"/>
        </w:rPr>
      </w:pPr>
      <w:r w:rsidRPr="00531951">
        <w:rPr>
          <w:lang w:val="fr-FR"/>
        </w:rPr>
        <w:tab/>
      </w:r>
      <w:r w:rsidRPr="00E47167">
        <w:rPr>
          <w:rStyle w:val="Appelnotedebasdep"/>
        </w:rPr>
        <w:footnoteRef/>
      </w:r>
      <w:r w:rsidRPr="00531951">
        <w:rPr>
          <w:lang w:val="fr-FR"/>
        </w:rPr>
        <w:tab/>
      </w:r>
      <w:r w:rsidRPr="009160C0">
        <w:rPr>
          <w:spacing w:val="-2"/>
          <w:lang w:val="fr-FR"/>
        </w:rPr>
        <w:t>L</w:t>
      </w:r>
      <w:r>
        <w:rPr>
          <w:spacing w:val="-2"/>
          <w:lang w:val="fr-FR"/>
        </w:rPr>
        <w:t>’</w:t>
      </w:r>
      <w:r w:rsidRPr="009160C0">
        <w:rPr>
          <w:spacing w:val="-2"/>
          <w:lang w:val="fr-FR"/>
        </w:rPr>
        <w:t>État partie relève aussi que l</w:t>
      </w:r>
      <w:r>
        <w:rPr>
          <w:spacing w:val="-2"/>
          <w:lang w:val="fr-FR"/>
        </w:rPr>
        <w:t>’</w:t>
      </w:r>
      <w:r w:rsidRPr="009160C0">
        <w:rPr>
          <w:rFonts w:eastAsia="MS Mincho"/>
          <w:spacing w:val="-2"/>
          <w:lang w:val="fr-FR" w:eastAsia="ja-JP"/>
        </w:rPr>
        <w:t>article</w:t>
      </w:r>
      <w:r w:rsidR="00056DAF">
        <w:rPr>
          <w:rFonts w:eastAsia="MS Mincho"/>
          <w:spacing w:val="-2"/>
          <w:lang w:val="fr-FR" w:eastAsia="ja-JP"/>
        </w:rPr>
        <w:t> </w:t>
      </w:r>
      <w:r w:rsidRPr="009160C0">
        <w:rPr>
          <w:rFonts w:eastAsia="MS Mincho"/>
          <w:spacing w:val="-2"/>
          <w:lang w:val="fr-FR" w:eastAsia="ja-JP"/>
        </w:rPr>
        <w:t xml:space="preserve">26 de la Convention est mentionné spécialement dans </w:t>
      </w:r>
      <w:r w:rsidRPr="00497BA1">
        <w:rPr>
          <w:rFonts w:eastAsia="MS Mincho"/>
          <w:spacing w:val="-2"/>
          <w:lang w:val="fr-FR" w:eastAsia="ja-JP"/>
        </w:rPr>
        <w:t xml:space="preserve">les </w:t>
      </w:r>
      <w:r w:rsidRPr="003D27B9">
        <w:rPr>
          <w:rFonts w:eastAsia="MS Mincho"/>
          <w:spacing w:val="-2"/>
          <w:lang w:val="fr-FR" w:eastAsia="ja-JP"/>
        </w:rPr>
        <w:t>travaux préparatoires</w:t>
      </w:r>
      <w:r w:rsidRPr="009160C0">
        <w:rPr>
          <w:rFonts w:eastAsia="MS Mincho"/>
          <w:spacing w:val="-2"/>
          <w:lang w:val="fr-FR" w:eastAsia="ja-JP"/>
        </w:rPr>
        <w:t xml:space="preserve"> de la loi </w:t>
      </w:r>
      <w:r w:rsidRPr="009160C0">
        <w:rPr>
          <w:rFonts w:eastAsia="MS Mincho"/>
          <w:spacing w:val="-2"/>
          <w:szCs w:val="22"/>
          <w:lang w:val="fr-FR" w:eastAsia="ja-JP"/>
        </w:rPr>
        <w:t>n</w:t>
      </w:r>
      <w:r w:rsidRPr="009160C0">
        <w:rPr>
          <w:rFonts w:eastAsia="MS Mincho"/>
          <w:spacing w:val="-2"/>
          <w:szCs w:val="22"/>
          <w:vertAlign w:val="superscript"/>
          <w:lang w:val="fr-FR" w:eastAsia="ja-JP"/>
        </w:rPr>
        <w:t>o</w:t>
      </w:r>
      <w:r w:rsidRPr="009160C0">
        <w:rPr>
          <w:rFonts w:eastAsia="MS Mincho"/>
          <w:spacing w:val="-2"/>
          <w:lang w:val="fr-FR" w:eastAsia="ja-JP"/>
        </w:rPr>
        <w:t> 1204 du 27 décembre 2003 portant modification de la loi sur les étrangers.</w:t>
      </w:r>
    </w:p>
  </w:footnote>
  <w:footnote w:id="39">
    <w:p w:rsidR="00E82317" w:rsidRPr="007B03C7" w:rsidRDefault="00E82317" w:rsidP="00CF08AB">
      <w:pPr>
        <w:pStyle w:val="Notedebasdepage"/>
      </w:pPr>
      <w:r w:rsidRPr="007B03C7">
        <w:tab/>
      </w:r>
      <w:r w:rsidRPr="00E47167">
        <w:rPr>
          <w:rStyle w:val="Appelnotedebasdep"/>
        </w:rPr>
        <w:footnoteRef/>
      </w:r>
      <w:r w:rsidRPr="007B03C7">
        <w:tab/>
      </w:r>
      <w:r>
        <w:t xml:space="preserve">Voir la </w:t>
      </w:r>
      <w:r w:rsidRPr="007B03C7">
        <w:t>note</w:t>
      </w:r>
      <w:r w:rsidR="009E6FAC">
        <w:t> </w:t>
      </w:r>
      <w:r w:rsidRPr="007B03C7">
        <w:t xml:space="preserve">21 </w:t>
      </w:r>
      <w:r>
        <w:t xml:space="preserve">et la décision de la Cour dans laquelle celle-ci a affirmé </w:t>
      </w:r>
      <w:r>
        <w:rPr>
          <w:lang w:val="fr-FR"/>
        </w:rPr>
        <w:t>qu’un mariage entre parents proches ne pouvait pas ouvrir droit au regroupement familial</w:t>
      </w:r>
      <w:r w:rsidRPr="007B03C7">
        <w:t>.</w:t>
      </w:r>
    </w:p>
  </w:footnote>
  <w:footnote w:id="40">
    <w:p w:rsidR="00E82317" w:rsidRPr="00531951" w:rsidRDefault="00E82317" w:rsidP="00CF08AB">
      <w:pPr>
        <w:pStyle w:val="Notedebasdepage"/>
        <w:rPr>
          <w:lang w:val="fr-FR"/>
        </w:rPr>
      </w:pPr>
      <w:r w:rsidRPr="00531951">
        <w:rPr>
          <w:lang w:val="fr-FR"/>
        </w:rPr>
        <w:tab/>
      </w:r>
      <w:r w:rsidRPr="00E47167">
        <w:rPr>
          <w:rStyle w:val="Appelnotedebasdep"/>
        </w:rPr>
        <w:footnoteRef/>
      </w:r>
      <w:r w:rsidRPr="00531951">
        <w:rPr>
          <w:lang w:val="fr-FR"/>
        </w:rPr>
        <w:tab/>
      </w:r>
      <w:r w:rsidRPr="00531951">
        <w:rPr>
          <w:i/>
          <w:lang w:val="fr-FR"/>
        </w:rPr>
        <w:t xml:space="preserve">Vicente et </w:t>
      </w:r>
      <w:r>
        <w:rPr>
          <w:i/>
          <w:lang w:val="fr-FR"/>
        </w:rPr>
        <w:t xml:space="preserve">consorts c. Colombie </w:t>
      </w:r>
      <w:r w:rsidRPr="00531951">
        <w:rPr>
          <w:lang w:val="fr-FR"/>
        </w:rPr>
        <w:t xml:space="preserve">(CCPR/C/60/D/612/1995), </w:t>
      </w:r>
      <w:r>
        <w:rPr>
          <w:lang w:val="fr-FR"/>
        </w:rPr>
        <w:t>par.</w:t>
      </w:r>
      <w:r w:rsidR="009E6FAC">
        <w:rPr>
          <w:lang w:val="fr-FR"/>
        </w:rPr>
        <w:t> </w:t>
      </w:r>
      <w:r w:rsidRPr="00531951">
        <w:rPr>
          <w:lang w:val="fr-FR"/>
        </w:rPr>
        <w:t>5.2.</w:t>
      </w:r>
    </w:p>
  </w:footnote>
  <w:footnote w:id="41">
    <w:p w:rsidR="00E82317" w:rsidRPr="009E06DF" w:rsidRDefault="00E82317" w:rsidP="00CF08AB">
      <w:pPr>
        <w:pStyle w:val="Notedebasdepage"/>
        <w:rPr>
          <w:lang w:val="es-ES"/>
        </w:rPr>
      </w:pPr>
      <w:r w:rsidRPr="00531951">
        <w:rPr>
          <w:lang w:val="fr-FR"/>
        </w:rPr>
        <w:tab/>
      </w:r>
      <w:r w:rsidRPr="00E47167">
        <w:rPr>
          <w:rStyle w:val="Appelnotedebasdep"/>
        </w:rPr>
        <w:footnoteRef/>
      </w:r>
      <w:r w:rsidRPr="009E06DF">
        <w:rPr>
          <w:lang w:val="es-ES"/>
        </w:rPr>
        <w:tab/>
      </w:r>
      <w:r w:rsidRPr="009E06DF">
        <w:rPr>
          <w:i/>
          <w:lang w:val="es-ES"/>
        </w:rPr>
        <w:t>Patiño c.</w:t>
      </w:r>
      <w:r>
        <w:rPr>
          <w:i/>
          <w:lang w:val="es-ES"/>
        </w:rPr>
        <w:t> </w:t>
      </w:r>
      <w:r w:rsidRPr="009E06DF">
        <w:rPr>
          <w:i/>
          <w:lang w:val="es-ES"/>
        </w:rPr>
        <w:t>Panama</w:t>
      </w:r>
      <w:r w:rsidRPr="009E06DF">
        <w:rPr>
          <w:lang w:val="es-ES"/>
        </w:rPr>
        <w:t xml:space="preserve"> (CCPR/C/52/D/437/1990), par.</w:t>
      </w:r>
      <w:r>
        <w:rPr>
          <w:lang w:val="es-ES"/>
        </w:rPr>
        <w:t> </w:t>
      </w:r>
      <w:r w:rsidRPr="009E06DF">
        <w:rPr>
          <w:lang w:val="es-ES"/>
        </w:rPr>
        <w:t>5.2.</w:t>
      </w:r>
    </w:p>
  </w:footnote>
  <w:footnote w:id="42">
    <w:p w:rsidR="00E82317" w:rsidRPr="009E6FAC" w:rsidRDefault="00E82317" w:rsidP="00CF08AB">
      <w:pPr>
        <w:pStyle w:val="Notedebasdepage"/>
        <w:rPr>
          <w:spacing w:val="-1"/>
          <w:lang w:val="fr-FR"/>
        </w:rPr>
      </w:pPr>
      <w:r w:rsidRPr="00875D7E">
        <w:rPr>
          <w:spacing w:val="-2"/>
          <w:lang w:val="es-ES"/>
        </w:rPr>
        <w:tab/>
      </w:r>
      <w:r w:rsidRPr="00875D7E">
        <w:rPr>
          <w:rStyle w:val="Appelnotedebasdep"/>
          <w:spacing w:val="-2"/>
        </w:rPr>
        <w:footnoteRef/>
      </w:r>
      <w:r w:rsidRPr="00875D7E">
        <w:rPr>
          <w:spacing w:val="-2"/>
          <w:lang w:val="fr-FR"/>
        </w:rPr>
        <w:tab/>
      </w:r>
      <w:r w:rsidRPr="00875D7E">
        <w:rPr>
          <w:i/>
          <w:spacing w:val="-2"/>
          <w:lang w:val="fr-FR"/>
        </w:rPr>
        <w:t xml:space="preserve">Young c. Australie </w:t>
      </w:r>
      <w:r w:rsidRPr="00875D7E">
        <w:rPr>
          <w:iCs/>
          <w:spacing w:val="-2"/>
          <w:lang w:val="fr-FR"/>
        </w:rPr>
        <w:t>(CCPR/C/78/D/941/2000), par.</w:t>
      </w:r>
      <w:r w:rsidR="009E6FAC" w:rsidRPr="00875D7E">
        <w:rPr>
          <w:iCs/>
          <w:spacing w:val="-2"/>
          <w:lang w:val="fr-FR"/>
        </w:rPr>
        <w:t> </w:t>
      </w:r>
      <w:r w:rsidRPr="00875D7E">
        <w:rPr>
          <w:iCs/>
          <w:spacing w:val="-2"/>
          <w:lang w:val="fr-FR"/>
        </w:rPr>
        <w:t>9.4</w:t>
      </w:r>
      <w:r w:rsidR="00875D7E" w:rsidRPr="00875D7E">
        <w:rPr>
          <w:spacing w:val="-2"/>
          <w:lang w:val="fr-FR"/>
        </w:rPr>
        <w:t> ;</w:t>
      </w:r>
      <w:r w:rsidRPr="00875D7E">
        <w:rPr>
          <w:spacing w:val="-2"/>
          <w:lang w:val="fr-FR"/>
        </w:rPr>
        <w:t xml:space="preserve"> et </w:t>
      </w:r>
      <w:r w:rsidRPr="00875D7E">
        <w:rPr>
          <w:i/>
          <w:spacing w:val="-2"/>
          <w:lang w:val="fr-FR"/>
        </w:rPr>
        <w:t>Barzhig c. France</w:t>
      </w:r>
      <w:r w:rsidRPr="00875D7E">
        <w:rPr>
          <w:spacing w:val="-2"/>
          <w:lang w:val="fr-FR"/>
        </w:rPr>
        <w:t xml:space="preserve"> (CCPR/C/41/D/327/1988),</w:t>
      </w:r>
      <w:r w:rsidRPr="009E6FAC">
        <w:rPr>
          <w:spacing w:val="-1"/>
          <w:lang w:val="fr-FR"/>
        </w:rPr>
        <w:t xml:space="preserve"> par.</w:t>
      </w:r>
      <w:r w:rsidR="009E6FAC" w:rsidRPr="009E6FAC">
        <w:rPr>
          <w:spacing w:val="-1"/>
          <w:lang w:val="fr-FR"/>
        </w:rPr>
        <w:t> </w:t>
      </w:r>
      <w:r w:rsidRPr="009E6FAC">
        <w:rPr>
          <w:spacing w:val="-1"/>
          <w:lang w:val="fr-FR"/>
        </w:rPr>
        <w:t>5.1.</w:t>
      </w:r>
    </w:p>
  </w:footnote>
  <w:footnote w:id="43">
    <w:p w:rsidR="00E82317" w:rsidRPr="003D27B9" w:rsidRDefault="00E82317" w:rsidP="00CF08AB">
      <w:pPr>
        <w:pStyle w:val="Notedebasdepage"/>
      </w:pPr>
      <w:r w:rsidRPr="003D27B9">
        <w:tab/>
      </w:r>
      <w:r w:rsidRPr="00E47167">
        <w:rPr>
          <w:rStyle w:val="Appelnotedebasdep"/>
        </w:rPr>
        <w:footnoteRef/>
      </w:r>
      <w:r w:rsidRPr="003D27B9">
        <w:tab/>
      </w:r>
      <w:r w:rsidRPr="003D27B9">
        <w:rPr>
          <w:i/>
        </w:rPr>
        <w:t>Ngambi et Nébol c.</w:t>
      </w:r>
      <w:r w:rsidR="009E6FAC">
        <w:rPr>
          <w:i/>
        </w:rPr>
        <w:t> </w:t>
      </w:r>
      <w:r w:rsidRPr="003D27B9">
        <w:rPr>
          <w:i/>
        </w:rPr>
        <w:t xml:space="preserve">France </w:t>
      </w:r>
      <w:r w:rsidRPr="003D27B9">
        <w:t>(CCPR/C/81/D/1179/2003), par.</w:t>
      </w:r>
      <w:r w:rsidR="009E6FAC">
        <w:t> </w:t>
      </w:r>
      <w:r w:rsidRPr="003D27B9">
        <w:t>6.4.</w:t>
      </w:r>
    </w:p>
  </w:footnote>
  <w:footnote w:id="44">
    <w:p w:rsidR="00E82317" w:rsidRPr="007768AE" w:rsidRDefault="00E82317" w:rsidP="00CF08AB">
      <w:pPr>
        <w:pStyle w:val="Notedebasdepage"/>
        <w:rPr>
          <w:lang w:eastAsia="ja-JP"/>
        </w:rPr>
      </w:pPr>
      <w:r w:rsidRPr="003D27B9">
        <w:tab/>
      </w:r>
      <w:r w:rsidRPr="00E47167">
        <w:rPr>
          <w:rStyle w:val="Appelnotedebasdep"/>
        </w:rPr>
        <w:footnoteRef/>
      </w:r>
      <w:r w:rsidRPr="003D27B9">
        <w:tab/>
      </w:r>
      <w:r w:rsidRPr="003D27B9">
        <w:rPr>
          <w:i/>
          <w:iCs/>
        </w:rPr>
        <w:t>Aumeeruddy-Cziffra et consorts c.</w:t>
      </w:r>
      <w:r w:rsidR="009E6FAC">
        <w:rPr>
          <w:i/>
          <w:iCs/>
        </w:rPr>
        <w:t> </w:t>
      </w:r>
      <w:r w:rsidRPr="003D27B9">
        <w:rPr>
          <w:i/>
          <w:iCs/>
        </w:rPr>
        <w:t>Maurice</w:t>
      </w:r>
      <w:r w:rsidRPr="003D27B9">
        <w:t xml:space="preserve"> (CCPR/C/12/D/35/1978), par.</w:t>
      </w:r>
      <w:r w:rsidR="009E6FAC">
        <w:t> </w:t>
      </w:r>
      <w:r w:rsidRPr="007768AE">
        <w:t xml:space="preserve">9.2, </w:t>
      </w:r>
      <w:r>
        <w:t>où il est dit qu’en principe, le paragraphe</w:t>
      </w:r>
      <w:r w:rsidR="009E6FAC">
        <w:t> </w:t>
      </w:r>
      <w:r>
        <w:t>1 de l’article</w:t>
      </w:r>
      <w:r w:rsidR="009E6FAC">
        <w:t> </w:t>
      </w:r>
      <w:r w:rsidRPr="007768AE">
        <w:t xml:space="preserve">17 </w:t>
      </w:r>
      <w:r>
        <w:t>s’applique également lorsque l’un des conjoints est étranger</w:t>
      </w:r>
      <w:r w:rsidRPr="007768AE">
        <w:t>.</w:t>
      </w:r>
    </w:p>
  </w:footnote>
  <w:footnote w:id="45">
    <w:p w:rsidR="005A651C" w:rsidRPr="007768AE" w:rsidRDefault="005A651C" w:rsidP="005A651C">
      <w:pPr>
        <w:pStyle w:val="Notedebasdepage"/>
      </w:pPr>
      <w:r w:rsidRPr="007768AE">
        <w:tab/>
      </w:r>
      <w:r w:rsidRPr="00E47167">
        <w:rPr>
          <w:rStyle w:val="Appelnotedebasdep"/>
        </w:rPr>
        <w:footnoteRef/>
      </w:r>
      <w:r w:rsidRPr="003D27B9">
        <w:tab/>
      </w:r>
      <w:r w:rsidRPr="003D27B9">
        <w:rPr>
          <w:i/>
          <w:iCs/>
        </w:rPr>
        <w:t>Young c.</w:t>
      </w:r>
      <w:r>
        <w:rPr>
          <w:i/>
          <w:iCs/>
        </w:rPr>
        <w:t> </w:t>
      </w:r>
      <w:r w:rsidRPr="003D27B9">
        <w:rPr>
          <w:i/>
          <w:iCs/>
        </w:rPr>
        <w:t>Australie</w:t>
      </w:r>
      <w:r w:rsidRPr="003D27B9">
        <w:t xml:space="preserve"> (CCPR/C/78/D/941/2000), par.</w:t>
      </w:r>
      <w:r>
        <w:t> </w:t>
      </w:r>
      <w:r w:rsidRPr="007768AE">
        <w:t>9.4.</w:t>
      </w:r>
    </w:p>
  </w:footnote>
  <w:footnote w:id="46">
    <w:p w:rsidR="005A651C" w:rsidRPr="007768AE" w:rsidRDefault="005A651C" w:rsidP="005A651C">
      <w:pPr>
        <w:pStyle w:val="Notedebasdepage"/>
      </w:pPr>
      <w:r w:rsidRPr="007768AE">
        <w:tab/>
      </w:r>
      <w:r w:rsidRPr="00E47167">
        <w:rPr>
          <w:rStyle w:val="Appelnotedebasdep"/>
        </w:rPr>
        <w:footnoteRef/>
      </w:r>
      <w:r w:rsidRPr="007768AE">
        <w:tab/>
      </w:r>
      <w:r w:rsidRPr="007768AE">
        <w:rPr>
          <w:i/>
          <w:iCs/>
        </w:rPr>
        <w:t>J.</w:t>
      </w:r>
      <w:r>
        <w:rPr>
          <w:i/>
          <w:iCs/>
        </w:rPr>
        <w:t> </w:t>
      </w:r>
      <w:r w:rsidRPr="007768AE">
        <w:rPr>
          <w:i/>
          <w:iCs/>
        </w:rPr>
        <w:t xml:space="preserve">B </w:t>
      </w:r>
      <w:r>
        <w:rPr>
          <w:i/>
          <w:iCs/>
        </w:rPr>
        <w:t>et</w:t>
      </w:r>
      <w:r w:rsidRPr="007768AE">
        <w:rPr>
          <w:i/>
          <w:iCs/>
        </w:rPr>
        <w:t xml:space="preserve"> H.</w:t>
      </w:r>
      <w:r>
        <w:rPr>
          <w:i/>
          <w:iCs/>
        </w:rPr>
        <w:t> </w:t>
      </w:r>
      <w:r w:rsidRPr="007768AE">
        <w:rPr>
          <w:i/>
          <w:iCs/>
        </w:rPr>
        <w:t xml:space="preserve">K. </w:t>
      </w:r>
      <w:r>
        <w:rPr>
          <w:i/>
          <w:iCs/>
        </w:rPr>
        <w:t>c</w:t>
      </w:r>
      <w:r w:rsidRPr="007768AE">
        <w:rPr>
          <w:i/>
          <w:iCs/>
        </w:rPr>
        <w:t>.</w:t>
      </w:r>
      <w:r>
        <w:rPr>
          <w:i/>
          <w:iCs/>
        </w:rPr>
        <w:t> </w:t>
      </w:r>
      <w:r w:rsidRPr="007768AE">
        <w:rPr>
          <w:i/>
          <w:iCs/>
        </w:rPr>
        <w:t>France</w:t>
      </w:r>
      <w:r w:rsidRPr="007768AE">
        <w:t xml:space="preserve"> (CCPR/C/34/D/324/1988), par.</w:t>
      </w:r>
      <w:r>
        <w:t> </w:t>
      </w:r>
      <w:r w:rsidRPr="007768AE">
        <w:t>3.3.</w:t>
      </w:r>
    </w:p>
  </w:footnote>
  <w:footnote w:id="47">
    <w:p w:rsidR="005A651C" w:rsidRPr="007768AE" w:rsidRDefault="005A651C" w:rsidP="005A651C">
      <w:pPr>
        <w:pStyle w:val="Notedebasdepage"/>
      </w:pPr>
      <w:r w:rsidRPr="007768AE">
        <w:tab/>
      </w:r>
      <w:r w:rsidRPr="00E47167">
        <w:rPr>
          <w:rStyle w:val="Appelnotedebasdep"/>
        </w:rPr>
        <w:footnoteRef/>
      </w:r>
      <w:r w:rsidRPr="007768AE">
        <w:tab/>
      </w:r>
      <w:r>
        <w:t>C</w:t>
      </w:r>
      <w:r w:rsidRPr="007768AE">
        <w:t>our</w:t>
      </w:r>
      <w:r>
        <w:t xml:space="preserve"> internationale de</w:t>
      </w:r>
      <w:r w:rsidRPr="007768AE">
        <w:t xml:space="preserve"> Justice, </w:t>
      </w:r>
      <w:r>
        <w:rPr>
          <w:i/>
          <w:iCs/>
        </w:rPr>
        <w:t>Suisse c. États-Unis d’Amérique</w:t>
      </w:r>
      <w:r w:rsidRPr="007768AE">
        <w:t xml:space="preserve">, </w:t>
      </w:r>
      <w:r>
        <w:t xml:space="preserve">jugement du </w:t>
      </w:r>
      <w:r w:rsidRPr="007768AE">
        <w:t>21</w:t>
      </w:r>
      <w:r>
        <w:t xml:space="preserve"> mars </w:t>
      </w:r>
      <w:r w:rsidRPr="007768AE">
        <w:t>1959.</w:t>
      </w:r>
    </w:p>
  </w:footnote>
  <w:footnote w:id="48">
    <w:p w:rsidR="005A651C" w:rsidRPr="007768AE" w:rsidRDefault="005A651C" w:rsidP="007663F1">
      <w:pPr>
        <w:pStyle w:val="Notedebasdepage"/>
      </w:pPr>
      <w:r w:rsidRPr="007768AE">
        <w:tab/>
      </w:r>
      <w:r w:rsidRPr="00E47167">
        <w:rPr>
          <w:rStyle w:val="Appelnotedebasdep"/>
        </w:rPr>
        <w:footnoteRef/>
      </w:r>
      <w:r w:rsidRPr="003D27B9">
        <w:tab/>
      </w:r>
      <w:r w:rsidRPr="007663F1">
        <w:rPr>
          <w:i/>
          <w:iCs/>
        </w:rPr>
        <w:t>Montero c.</w:t>
      </w:r>
      <w:r w:rsidR="007663F1" w:rsidRPr="007663F1">
        <w:rPr>
          <w:i/>
          <w:iCs/>
        </w:rPr>
        <w:t> </w:t>
      </w:r>
      <w:r w:rsidRPr="007663F1">
        <w:rPr>
          <w:i/>
          <w:iCs/>
        </w:rPr>
        <w:t>Uruguay</w:t>
      </w:r>
      <w:r w:rsidRPr="003D27B9">
        <w:t xml:space="preserve"> (CCPR/C/18/D/106/1981), par.</w:t>
      </w:r>
      <w:r w:rsidR="007663F1">
        <w:t> </w:t>
      </w:r>
      <w:r w:rsidRPr="007768AE">
        <w:t>5</w:t>
      </w:r>
      <w:r w:rsidR="007663F1">
        <w:t> </w:t>
      </w:r>
      <w:r w:rsidRPr="007768AE">
        <w:t xml:space="preserve">; </w:t>
      </w:r>
      <w:r>
        <w:t>voir aussi</w:t>
      </w:r>
      <w:r w:rsidRPr="007768AE">
        <w:t xml:space="preserve"> </w:t>
      </w:r>
      <w:r w:rsidRPr="007663F1">
        <w:rPr>
          <w:i/>
          <w:iCs/>
        </w:rPr>
        <w:t>mutatis mutandis Application de la</w:t>
      </w:r>
      <w:r w:rsidR="007663F1">
        <w:rPr>
          <w:i/>
          <w:iCs/>
        </w:rPr>
        <w:t> </w:t>
      </w:r>
      <w:r w:rsidRPr="007663F1">
        <w:rPr>
          <w:i/>
          <w:iCs/>
        </w:rPr>
        <w:t>convention pour la prévention et la répression du crime de génocide</w:t>
      </w:r>
      <w:r w:rsidRPr="007768AE">
        <w:t xml:space="preserve"> (</w:t>
      </w:r>
      <w:r w:rsidRPr="007663F1">
        <w:rPr>
          <w:i/>
          <w:iCs/>
        </w:rPr>
        <w:t>Bosnie-Herzégovine c.</w:t>
      </w:r>
      <w:r w:rsidR="007663F1">
        <w:rPr>
          <w:i/>
          <w:iCs/>
        </w:rPr>
        <w:t> </w:t>
      </w:r>
      <w:r w:rsidRPr="007663F1">
        <w:rPr>
          <w:i/>
          <w:iCs/>
        </w:rPr>
        <w:t>Serbie</w:t>
      </w:r>
      <w:r w:rsidR="007663F1">
        <w:rPr>
          <w:i/>
          <w:iCs/>
        </w:rPr>
        <w:noBreakHyphen/>
      </w:r>
      <w:r w:rsidRPr="007663F1">
        <w:rPr>
          <w:i/>
          <w:iCs/>
        </w:rPr>
        <w:t>et-Monténégro</w:t>
      </w:r>
      <w:r w:rsidRPr="007768AE">
        <w:t xml:space="preserve">), </w:t>
      </w:r>
      <w:r>
        <w:t>arrêt</w:t>
      </w:r>
      <w:r w:rsidRPr="007768AE">
        <w:t xml:space="preserve">, </w:t>
      </w:r>
      <w:r w:rsidRPr="00CB77BD">
        <w:rPr>
          <w:i/>
          <w:iCs/>
        </w:rPr>
        <w:t>C.I.J. Recueil 2007</w:t>
      </w:r>
      <w:r w:rsidRPr="007768AE">
        <w:t>, p.</w:t>
      </w:r>
      <w:r w:rsidR="007663F1">
        <w:t> </w:t>
      </w:r>
      <w:r w:rsidRPr="007768AE">
        <w:t>52 (91), par.</w:t>
      </w:r>
      <w:r w:rsidR="007663F1">
        <w:t> </w:t>
      </w:r>
      <w:r w:rsidRPr="007768AE">
        <w:t>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317" w:rsidRPr="00335182" w:rsidRDefault="005F1354">
    <w:pPr>
      <w:pStyle w:val="En-tte"/>
    </w:pPr>
    <w:r>
      <w:fldChar w:fldCharType="begin"/>
    </w:r>
    <w:r>
      <w:instrText xml:space="preserve"> TITLE  \* MERGEFORMAT </w:instrText>
    </w:r>
    <w:r>
      <w:fldChar w:fldCharType="separate"/>
    </w:r>
    <w:r w:rsidR="00B33A29">
      <w:t>CCPR/C/126/D/2531/2015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317" w:rsidRPr="00335182" w:rsidRDefault="005F1354" w:rsidP="00335182">
    <w:pPr>
      <w:pStyle w:val="En-tte"/>
      <w:jc w:val="right"/>
    </w:pPr>
    <w:r>
      <w:fldChar w:fldCharType="begin"/>
    </w:r>
    <w:r>
      <w:instrText xml:space="preserve"> TITLE  \* MERGEFORMAT </w:instrText>
    </w:r>
    <w:r>
      <w:fldChar w:fldCharType="separate"/>
    </w:r>
    <w:r w:rsidR="00B33A29">
      <w:t>CCPR/C/126/D/2531/2015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1C" w:rsidRDefault="005A651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51C" w:rsidRPr="00335182" w:rsidRDefault="005F1354" w:rsidP="00335182">
    <w:pPr>
      <w:pStyle w:val="En-tte"/>
      <w:jc w:val="right"/>
    </w:pPr>
    <w:r>
      <w:fldChar w:fldCharType="begin"/>
    </w:r>
    <w:r>
      <w:instrText xml:space="preserve"> TITLE  \* MERGEFORMAT </w:instrText>
    </w:r>
    <w:r>
      <w:fldChar w:fldCharType="separate"/>
    </w:r>
    <w:r w:rsidR="00B33A29">
      <w:t>CCPR/C/126/D/2531/2015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4"/>
  </w:num>
  <w:num w:numId="18">
    <w:abstractNumId w:val="12"/>
  </w:num>
  <w:num w:numId="19">
    <w:abstractNumId w:val="11"/>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04E9"/>
    <w:rsid w:val="00017F94"/>
    <w:rsid w:val="00023842"/>
    <w:rsid w:val="000334F9"/>
    <w:rsid w:val="00056DAF"/>
    <w:rsid w:val="0007796D"/>
    <w:rsid w:val="000B7790"/>
    <w:rsid w:val="000C2225"/>
    <w:rsid w:val="00111F2F"/>
    <w:rsid w:val="0014365E"/>
    <w:rsid w:val="001444F1"/>
    <w:rsid w:val="00176178"/>
    <w:rsid w:val="001B379B"/>
    <w:rsid w:val="001F525A"/>
    <w:rsid w:val="00223272"/>
    <w:rsid w:val="0024779E"/>
    <w:rsid w:val="002757E6"/>
    <w:rsid w:val="002B7BC7"/>
    <w:rsid w:val="002E2D46"/>
    <w:rsid w:val="0032225A"/>
    <w:rsid w:val="00335182"/>
    <w:rsid w:val="003402F1"/>
    <w:rsid w:val="00351332"/>
    <w:rsid w:val="003A6E96"/>
    <w:rsid w:val="003D303F"/>
    <w:rsid w:val="00446FE5"/>
    <w:rsid w:val="00452396"/>
    <w:rsid w:val="004A5FB0"/>
    <w:rsid w:val="004B1D54"/>
    <w:rsid w:val="004E0D53"/>
    <w:rsid w:val="005505B7"/>
    <w:rsid w:val="00573BE5"/>
    <w:rsid w:val="00586ED3"/>
    <w:rsid w:val="00596AA9"/>
    <w:rsid w:val="005A628D"/>
    <w:rsid w:val="005A651C"/>
    <w:rsid w:val="00674FC3"/>
    <w:rsid w:val="00687F34"/>
    <w:rsid w:val="006F7144"/>
    <w:rsid w:val="006F71EA"/>
    <w:rsid w:val="0071601D"/>
    <w:rsid w:val="007663F1"/>
    <w:rsid w:val="00793E85"/>
    <w:rsid w:val="007A007B"/>
    <w:rsid w:val="007A611C"/>
    <w:rsid w:val="007A62E6"/>
    <w:rsid w:val="007D03E9"/>
    <w:rsid w:val="007E2032"/>
    <w:rsid w:val="0080684C"/>
    <w:rsid w:val="008560DB"/>
    <w:rsid w:val="008632D7"/>
    <w:rsid w:val="00871C75"/>
    <w:rsid w:val="00875D7E"/>
    <w:rsid w:val="008776DC"/>
    <w:rsid w:val="0090710C"/>
    <w:rsid w:val="009705C8"/>
    <w:rsid w:val="009B1E6C"/>
    <w:rsid w:val="009E2C6A"/>
    <w:rsid w:val="009E6FAC"/>
    <w:rsid w:val="00A52577"/>
    <w:rsid w:val="00A9151D"/>
    <w:rsid w:val="00AA6A35"/>
    <w:rsid w:val="00AC3823"/>
    <w:rsid w:val="00AE323C"/>
    <w:rsid w:val="00B00181"/>
    <w:rsid w:val="00B1028B"/>
    <w:rsid w:val="00B17136"/>
    <w:rsid w:val="00B33A29"/>
    <w:rsid w:val="00B41E07"/>
    <w:rsid w:val="00B71CC5"/>
    <w:rsid w:val="00B765F7"/>
    <w:rsid w:val="00BA0CA9"/>
    <w:rsid w:val="00C01ACF"/>
    <w:rsid w:val="00C02897"/>
    <w:rsid w:val="00CA7BC4"/>
    <w:rsid w:val="00CB77BD"/>
    <w:rsid w:val="00CF08AB"/>
    <w:rsid w:val="00D05667"/>
    <w:rsid w:val="00D3439C"/>
    <w:rsid w:val="00D744E5"/>
    <w:rsid w:val="00D83177"/>
    <w:rsid w:val="00DB1831"/>
    <w:rsid w:val="00DD3BFD"/>
    <w:rsid w:val="00DF6678"/>
    <w:rsid w:val="00E51CAD"/>
    <w:rsid w:val="00E82317"/>
    <w:rsid w:val="00E85C42"/>
    <w:rsid w:val="00EA5264"/>
    <w:rsid w:val="00EB113E"/>
    <w:rsid w:val="00EB47E3"/>
    <w:rsid w:val="00EC30D5"/>
    <w:rsid w:val="00EE11B0"/>
    <w:rsid w:val="00EE1BD4"/>
    <w:rsid w:val="00F12152"/>
    <w:rsid w:val="00F660DF"/>
    <w:rsid w:val="00F804E9"/>
    <w:rsid w:val="00F95C08"/>
    <w:rsid w:val="00FD57A3"/>
    <w:rsid w:val="00FF0C4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D838C"/>
  <w15:docId w15:val="{2FE6E40E-CCC1-494E-97EB-CEF68D0D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D744E5"/>
    <w:pPr>
      <w:spacing w:after="120"/>
      <w:ind w:left="1134" w:right="1134"/>
      <w:jc w:val="both"/>
    </w:p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17</Pages>
  <Words>8594</Words>
  <Characters>44605</Characters>
  <Application>Microsoft Office Word</Application>
  <DocSecurity>0</DocSecurity>
  <Lines>665</Lines>
  <Paragraphs>146</Paragraphs>
  <ScaleCrop>false</ScaleCrop>
  <HeadingPairs>
    <vt:vector size="2" baseType="variant">
      <vt:variant>
        <vt:lpstr>Titre</vt:lpstr>
      </vt:variant>
      <vt:variant>
        <vt:i4>1</vt:i4>
      </vt:variant>
    </vt:vector>
  </HeadingPairs>
  <TitlesOfParts>
    <vt:vector size="1" baseType="lpstr">
      <vt:lpstr>CCPR/C/126/D/2531/2015</vt:lpstr>
    </vt:vector>
  </TitlesOfParts>
  <Company>DCM</Company>
  <LinksUpToDate>false</LinksUpToDate>
  <CharactersWithSpaces>53053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CCPR/C/126/D/2531/2015</dc:title>
  <dc:subject/>
  <dc:creator>Marie DESCHAMPS</dc:creator>
  <cp:keywords/>
  <cp:lastModifiedBy>Marie Deschamps</cp:lastModifiedBy>
  <cp:revision>2</cp:revision>
  <cp:lastPrinted>2014-05-14T10:59:00Z</cp:lastPrinted>
  <dcterms:created xsi:type="dcterms:W3CDTF">2020-07-08T07:39:00Z</dcterms:created>
  <dcterms:modified xsi:type="dcterms:W3CDTF">2020-07-08T07:39:00Z</dcterms:modified>
</cp:coreProperties>
</file>