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456BC"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456BC" w:rsidP="00EF3639">
            <w:pPr>
              <w:bidi w:val="0"/>
              <w:spacing w:after="20"/>
              <w:jc w:val="left"/>
              <w:rPr>
                <w:szCs w:val="20"/>
              </w:rPr>
            </w:pPr>
            <w:r w:rsidRPr="00A456BC">
              <w:rPr>
                <w:sz w:val="40"/>
                <w:szCs w:val="20"/>
              </w:rPr>
              <w:t>CCPR</w:t>
            </w:r>
            <w:r>
              <w:rPr>
                <w:szCs w:val="20"/>
              </w:rPr>
              <w:t>/C/122/D/2228/2012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F3639" w:rsidP="00EF3639">
            <w:pPr>
              <w:bidi w:val="0"/>
              <w:spacing w:before="240"/>
              <w:jc w:val="left"/>
              <w:rPr>
                <w:szCs w:val="20"/>
              </w:rPr>
            </w:pPr>
            <w:r>
              <w:rPr>
                <w:szCs w:val="20"/>
              </w:rPr>
              <w:t>Distr.: General</w:t>
            </w:r>
          </w:p>
          <w:p w:rsidR="00EF3639" w:rsidRDefault="00677633" w:rsidP="00EF3639">
            <w:pPr>
              <w:bidi w:val="0"/>
              <w:jc w:val="left"/>
              <w:rPr>
                <w:szCs w:val="20"/>
              </w:rPr>
            </w:pPr>
            <w:r>
              <w:rPr>
                <w:szCs w:val="20"/>
              </w:rPr>
              <w:t xml:space="preserve">6 June </w:t>
            </w:r>
            <w:r w:rsidR="00EF3639">
              <w:rPr>
                <w:szCs w:val="20"/>
              </w:rPr>
              <w:t>2018</w:t>
            </w:r>
          </w:p>
          <w:p w:rsidR="00EF3639" w:rsidRDefault="00EF3639" w:rsidP="00EF3639">
            <w:pPr>
              <w:bidi w:val="0"/>
              <w:jc w:val="left"/>
              <w:rPr>
                <w:szCs w:val="20"/>
              </w:rPr>
            </w:pPr>
            <w:r>
              <w:rPr>
                <w:szCs w:val="20"/>
              </w:rPr>
              <w:t>Arabic</w:t>
            </w:r>
          </w:p>
          <w:p w:rsidR="00EF3639" w:rsidRPr="00CB6622" w:rsidRDefault="00EF3639" w:rsidP="00EF3639">
            <w:pPr>
              <w:bidi w:val="0"/>
              <w:jc w:val="left"/>
              <w:rPr>
                <w:szCs w:val="20"/>
              </w:rPr>
            </w:pPr>
            <w:r>
              <w:rPr>
                <w:szCs w:val="20"/>
              </w:rPr>
              <w:t>Original: English</w:t>
            </w:r>
          </w:p>
        </w:tc>
      </w:tr>
    </w:tbl>
    <w:p w:rsidR="00EF3639" w:rsidRPr="00E23B21" w:rsidRDefault="00EF3639" w:rsidP="00EF3639">
      <w:pPr>
        <w:spacing w:before="120" w:after="120" w:line="380" w:lineRule="exact"/>
        <w:rPr>
          <w:b/>
          <w:bCs/>
          <w:sz w:val="26"/>
          <w:szCs w:val="36"/>
          <w:rtl/>
          <w:lang w:eastAsia="ar-SA" w:bidi="ar-EG"/>
        </w:rPr>
      </w:pPr>
      <w:r w:rsidRPr="00E23B21">
        <w:rPr>
          <w:rFonts w:hint="cs"/>
          <w:b/>
          <w:bCs/>
          <w:sz w:val="26"/>
          <w:szCs w:val="36"/>
          <w:rtl/>
          <w:lang w:eastAsia="ar-SA" w:bidi="ar-EG"/>
        </w:rPr>
        <w:t xml:space="preserve">اللجنة المعنية بحقوق الإنسان </w:t>
      </w:r>
    </w:p>
    <w:p w:rsidR="00EF3639" w:rsidRPr="00E23B21" w:rsidRDefault="00EF3639" w:rsidP="00021C6A">
      <w:pPr>
        <w:pStyle w:val="HChGA"/>
        <w:tabs>
          <w:tab w:val="right" w:pos="1842"/>
        </w:tabs>
        <w:rPr>
          <w:rtl/>
          <w:lang w:eastAsia="ar-SA" w:bidi="ar-EG"/>
        </w:rPr>
      </w:pPr>
      <w:r w:rsidRPr="00E23B21">
        <w:rPr>
          <w:rtl/>
          <w:lang w:eastAsia="ar-SA" w:bidi="ar-EG"/>
        </w:rPr>
        <w:tab/>
      </w:r>
      <w:r w:rsidRPr="00E23B21">
        <w:rPr>
          <w:rtl/>
          <w:lang w:eastAsia="ar-SA" w:bidi="ar-EG"/>
        </w:rPr>
        <w:tab/>
      </w:r>
      <w:r w:rsidRPr="00E23B21">
        <w:rPr>
          <w:rFonts w:hint="cs"/>
          <w:rtl/>
          <w:lang w:eastAsia="ar-SA" w:bidi="ar-EG"/>
        </w:rPr>
        <w:t>الآراء التي اعتمدتها اللجنة بموجب الفقرة 4 من المادة 5 من البروتوكول الاختياري، بشأن البلاغ رقم 2228/2012</w:t>
      </w:r>
      <w:r w:rsidRPr="00EF3639">
        <w:rPr>
          <w:szCs w:val="28"/>
          <w:rtl/>
          <w:lang w:eastAsia="ar-SA" w:bidi="ar-EG"/>
        </w:rPr>
        <w:footnoteReference w:customMarkFollows="1" w:id="1"/>
        <w:t>*</w:t>
      </w:r>
      <w:r w:rsidRPr="00EF3639">
        <w:rPr>
          <w:rFonts w:hint="cs"/>
          <w:rtl/>
          <w:lang w:eastAsia="ar-SA" w:bidi="ar-EG"/>
        </w:rPr>
        <w:t xml:space="preserve"> </w:t>
      </w:r>
      <w:r w:rsidRPr="00EF3639">
        <w:rPr>
          <w:szCs w:val="28"/>
          <w:rtl/>
          <w:lang w:eastAsia="ar-SA" w:bidi="ar-EG"/>
        </w:rPr>
        <w:footnoteReference w:customMarkFollows="1" w:id="2"/>
        <w:t>**</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البلاغ مقدم من</w:t>
      </w:r>
      <w:r w:rsidRPr="00E23B21">
        <w:rPr>
          <w:rFonts w:hint="cs"/>
          <w:rtl/>
          <w:lang w:eastAsia="ar-SA" w:bidi="ar-EG"/>
        </w:rPr>
        <w:t>:</w:t>
      </w:r>
      <w:r w:rsidRPr="00E23B21">
        <w:rPr>
          <w:rFonts w:hint="cs"/>
          <w:rtl/>
          <w:lang w:eastAsia="ar-SA" w:bidi="ar-EG"/>
        </w:rPr>
        <w:tab/>
        <w:t xml:space="preserve">مايا </w:t>
      </w:r>
      <w:proofErr w:type="spellStart"/>
      <w:r w:rsidRPr="00E23B21">
        <w:rPr>
          <w:rFonts w:hint="cs"/>
          <w:rtl/>
          <w:lang w:eastAsia="ar-SA" w:bidi="ar-EG"/>
        </w:rPr>
        <w:t>أبرومتشيك</w:t>
      </w:r>
      <w:proofErr w:type="spellEnd"/>
      <w:r w:rsidRPr="00E23B21">
        <w:rPr>
          <w:rFonts w:hint="cs"/>
          <w:rtl/>
          <w:lang w:eastAsia="ar-SA" w:bidi="ar-EG"/>
        </w:rPr>
        <w:t xml:space="preserve"> (يمثلها المحامي س</w:t>
      </w:r>
      <w:r>
        <w:rPr>
          <w:rFonts w:hint="cs"/>
          <w:rtl/>
          <w:lang w:eastAsia="ar-SA" w:bidi="ar-EG"/>
        </w:rPr>
        <w:t>ي</w:t>
      </w:r>
      <w:r w:rsidRPr="00E23B21">
        <w:rPr>
          <w:rFonts w:hint="cs"/>
          <w:rtl/>
          <w:lang w:eastAsia="ar-SA" w:bidi="ar-EG"/>
        </w:rPr>
        <w:t xml:space="preserve">رجي </w:t>
      </w:r>
      <w:proofErr w:type="spellStart"/>
      <w:r w:rsidRPr="00E23B21">
        <w:rPr>
          <w:rFonts w:hint="cs"/>
          <w:rtl/>
          <w:lang w:eastAsia="ar-SA" w:bidi="ar-EG"/>
        </w:rPr>
        <w:t>غولوبوك</w:t>
      </w:r>
      <w:proofErr w:type="spellEnd"/>
      <w:r w:rsidRPr="00E23B21">
        <w:rPr>
          <w:rFonts w:hint="cs"/>
          <w:rtl/>
          <w:lang w:eastAsia="ar-SA" w:bidi="ar-EG"/>
        </w:rPr>
        <w:t>)</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الشخص المدعى أنه ضحية</w:t>
      </w:r>
      <w:r w:rsidRPr="00E23B21">
        <w:rPr>
          <w:rFonts w:hint="cs"/>
          <w:rtl/>
          <w:lang w:eastAsia="ar-SA" w:bidi="ar-EG"/>
        </w:rPr>
        <w:t>:</w:t>
      </w:r>
      <w:r w:rsidRPr="00E23B21">
        <w:rPr>
          <w:rFonts w:hint="cs"/>
          <w:rtl/>
          <w:lang w:eastAsia="ar-SA" w:bidi="ar-EG"/>
        </w:rPr>
        <w:tab/>
        <w:t xml:space="preserve">صاحبة البلاغ </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الدولة الطرف</w:t>
      </w:r>
      <w:r w:rsidRPr="00E23B21">
        <w:rPr>
          <w:rFonts w:hint="cs"/>
          <w:rtl/>
          <w:lang w:eastAsia="ar-SA" w:bidi="ar-EG"/>
        </w:rPr>
        <w:t>:</w:t>
      </w:r>
      <w:r w:rsidRPr="00E23B21">
        <w:rPr>
          <w:rFonts w:hint="cs"/>
          <w:rtl/>
          <w:lang w:eastAsia="ar-SA" w:bidi="ar-EG"/>
        </w:rPr>
        <w:tab/>
        <w:t>بيلاروس</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تاريخ تقديم البلاغ</w:t>
      </w:r>
      <w:r w:rsidRPr="00E23B21">
        <w:rPr>
          <w:rFonts w:hint="cs"/>
          <w:rtl/>
          <w:lang w:eastAsia="ar-SA" w:bidi="ar-EG"/>
        </w:rPr>
        <w:t>:</w:t>
      </w:r>
      <w:r w:rsidRPr="00E23B21">
        <w:rPr>
          <w:rFonts w:hint="cs"/>
          <w:rtl/>
          <w:lang w:eastAsia="ar-SA" w:bidi="ar-EG"/>
        </w:rPr>
        <w:tab/>
        <w:t xml:space="preserve">9 آب/أغسطس 2012 (تاريخ </w:t>
      </w:r>
      <w:r>
        <w:rPr>
          <w:rFonts w:hint="cs"/>
          <w:rtl/>
          <w:lang w:eastAsia="ar-SA" w:bidi="ar-EG"/>
        </w:rPr>
        <w:t xml:space="preserve">تقديم </w:t>
      </w:r>
      <w:r w:rsidRPr="00E23B21">
        <w:rPr>
          <w:rFonts w:hint="cs"/>
          <w:rtl/>
          <w:lang w:eastAsia="ar-SA" w:bidi="ar-EG"/>
        </w:rPr>
        <w:t>الرسالة الأولى)</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الوثائق المرجعية</w:t>
      </w:r>
      <w:r w:rsidRPr="00E23B21">
        <w:rPr>
          <w:rFonts w:hint="cs"/>
          <w:rtl/>
          <w:lang w:eastAsia="ar-SA" w:bidi="ar-EG"/>
        </w:rPr>
        <w:t>:</w:t>
      </w:r>
      <w:r w:rsidRPr="00E23B21">
        <w:rPr>
          <w:rtl/>
          <w:lang w:eastAsia="ar-SA" w:bidi="ar-EG"/>
        </w:rPr>
        <w:tab/>
      </w:r>
      <w:r w:rsidRPr="00E23B21">
        <w:rPr>
          <w:rFonts w:hint="cs"/>
          <w:rtl/>
          <w:lang w:eastAsia="ar-SA" w:bidi="ar-EG"/>
        </w:rPr>
        <w:t>القرار المتخذ بموجب المادة 97 من النظام الداخلي للجنة، والمحال إلى الدولة الطرف في 17 آب/ أغسطس</w:t>
      </w:r>
      <w:r w:rsidRPr="00E23B21">
        <w:rPr>
          <w:rFonts w:hint="eastAsia"/>
          <w:rtl/>
          <w:lang w:eastAsia="ar-SA" w:bidi="ar-EG"/>
        </w:rPr>
        <w:t> </w:t>
      </w:r>
      <w:r w:rsidRPr="00E23B21">
        <w:rPr>
          <w:rFonts w:hint="cs"/>
          <w:rtl/>
          <w:lang w:eastAsia="ar-SA" w:bidi="ar-EG"/>
        </w:rPr>
        <w:t>2012 (لم يصدر في شكل وثيقة)</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تاريخ اعتماد الآراء</w:t>
      </w:r>
      <w:r w:rsidRPr="00E23B21">
        <w:rPr>
          <w:rFonts w:hint="cs"/>
          <w:rtl/>
          <w:lang w:eastAsia="ar-SA" w:bidi="ar-EG"/>
        </w:rPr>
        <w:t>:</w:t>
      </w:r>
      <w:r w:rsidRPr="00E23B21">
        <w:rPr>
          <w:rFonts w:hint="cs"/>
          <w:rtl/>
          <w:lang w:eastAsia="ar-SA" w:bidi="ar-EG"/>
        </w:rPr>
        <w:tab/>
        <w:t>20 آذار/مارس 2018</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الموضوع</w:t>
      </w:r>
      <w:r w:rsidRPr="00E23B21">
        <w:rPr>
          <w:rFonts w:hint="cs"/>
          <w:rtl/>
          <w:lang w:eastAsia="ar-SA" w:bidi="ar-EG"/>
        </w:rPr>
        <w:t>:</w:t>
      </w:r>
      <w:r w:rsidRPr="00E23B21">
        <w:rPr>
          <w:rFonts w:hint="cs"/>
          <w:rtl/>
          <w:lang w:eastAsia="ar-SA" w:bidi="ar-EG"/>
        </w:rPr>
        <w:tab/>
        <w:t xml:space="preserve">إساءة المعاملة </w:t>
      </w:r>
      <w:r>
        <w:rPr>
          <w:rFonts w:hint="cs"/>
          <w:rtl/>
          <w:lang w:eastAsia="ar-SA" w:bidi="ar-EG"/>
        </w:rPr>
        <w:t>من جانب</w:t>
      </w:r>
      <w:r w:rsidRPr="00E23B21">
        <w:rPr>
          <w:rFonts w:hint="cs"/>
          <w:rtl/>
          <w:lang w:eastAsia="ar-SA" w:bidi="ar-EG"/>
        </w:rPr>
        <w:t xml:space="preserve"> الشرطة</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المسائل الإجرائية</w:t>
      </w:r>
      <w:r w:rsidRPr="00E23B21">
        <w:rPr>
          <w:rFonts w:hint="cs"/>
          <w:rtl/>
          <w:lang w:eastAsia="ar-SA" w:bidi="ar-EG"/>
        </w:rPr>
        <w:t>:</w:t>
      </w:r>
      <w:r w:rsidRPr="00E23B21">
        <w:rPr>
          <w:rFonts w:hint="cs"/>
          <w:rtl/>
          <w:lang w:eastAsia="ar-SA" w:bidi="ar-EG"/>
        </w:rPr>
        <w:tab/>
        <w:t>استنفاد سبل الانتصاف المحلية؛ ودعم الادعاءات بأدلة</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المسائل الموضوعية</w:t>
      </w:r>
      <w:r w:rsidRPr="00E23B21">
        <w:rPr>
          <w:rFonts w:hint="cs"/>
          <w:rtl/>
          <w:lang w:eastAsia="ar-SA" w:bidi="ar-EG"/>
        </w:rPr>
        <w:t>:</w:t>
      </w:r>
      <w:r w:rsidRPr="00E23B21">
        <w:rPr>
          <w:rFonts w:hint="cs"/>
          <w:rtl/>
          <w:lang w:eastAsia="ar-SA" w:bidi="ar-EG"/>
        </w:rPr>
        <w:tab/>
        <w:t>التعذيب؛ والتحقيق الفعال</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مواد العهد</w:t>
      </w:r>
      <w:r w:rsidRPr="00E23B21">
        <w:rPr>
          <w:rFonts w:hint="cs"/>
          <w:rtl/>
          <w:lang w:eastAsia="ar-SA" w:bidi="ar-EG"/>
        </w:rPr>
        <w:t>:</w:t>
      </w:r>
      <w:r w:rsidRPr="00E23B21">
        <w:rPr>
          <w:rFonts w:hint="cs"/>
          <w:rtl/>
          <w:lang w:eastAsia="ar-SA" w:bidi="ar-EG"/>
        </w:rPr>
        <w:tab/>
        <w:t>2(3) و7</w:t>
      </w:r>
    </w:p>
    <w:p w:rsidR="00EF3639" w:rsidRPr="00E23B21" w:rsidRDefault="00EF3639" w:rsidP="00EF3639">
      <w:pPr>
        <w:tabs>
          <w:tab w:val="left" w:pos="4291"/>
          <w:tab w:val="left" w:pos="4649"/>
          <w:tab w:val="left" w:pos="5330"/>
        </w:tabs>
        <w:spacing w:after="120" w:line="380" w:lineRule="exact"/>
        <w:ind w:left="4292" w:right="1247" w:hanging="2251"/>
        <w:rPr>
          <w:rtl/>
          <w:lang w:eastAsia="ar-SA" w:bidi="ar-EG"/>
        </w:rPr>
      </w:pPr>
      <w:r w:rsidRPr="00E23B21">
        <w:rPr>
          <w:rFonts w:hint="cs"/>
          <w:i/>
          <w:iCs/>
          <w:rtl/>
          <w:lang w:eastAsia="ar-SA" w:bidi="ar-EG"/>
        </w:rPr>
        <w:t>مواد البروتوكول الاختياري</w:t>
      </w:r>
      <w:r w:rsidRPr="00E23B21">
        <w:rPr>
          <w:rFonts w:hint="cs"/>
          <w:rtl/>
          <w:lang w:eastAsia="ar-SA" w:bidi="ar-EG"/>
        </w:rPr>
        <w:t>:</w:t>
      </w:r>
      <w:r w:rsidRPr="00E23B21">
        <w:rPr>
          <w:rFonts w:hint="cs"/>
          <w:rtl/>
          <w:lang w:eastAsia="ar-SA" w:bidi="ar-EG"/>
        </w:rPr>
        <w:tab/>
        <w:t>1 و2 و5(2)(ب)</w:t>
      </w:r>
    </w:p>
    <w:p w:rsidR="00EF3639" w:rsidRPr="00E23B21" w:rsidRDefault="00EF3639" w:rsidP="00307A98">
      <w:pPr>
        <w:pStyle w:val="SingleTxtGA"/>
        <w:spacing w:before="240"/>
        <w:rPr>
          <w:rtl/>
          <w:lang w:eastAsia="ar-SA" w:bidi="ar-EG"/>
        </w:rPr>
      </w:pPr>
      <w:r w:rsidRPr="00E23B21">
        <w:rPr>
          <w:rFonts w:hint="cs"/>
          <w:rtl/>
          <w:lang w:eastAsia="ar-SA" w:bidi="ar-EG"/>
        </w:rPr>
        <w:t>1-</w:t>
      </w:r>
      <w:r w:rsidRPr="00E23B21">
        <w:rPr>
          <w:rFonts w:hint="cs"/>
          <w:rtl/>
          <w:lang w:eastAsia="ar-SA" w:bidi="ar-EG"/>
        </w:rPr>
        <w:tab/>
        <w:t xml:space="preserve">صاحبة البلاغ هي مايا </w:t>
      </w:r>
      <w:proofErr w:type="spellStart"/>
      <w:r w:rsidRPr="00E23B21">
        <w:rPr>
          <w:rFonts w:hint="cs"/>
          <w:rtl/>
          <w:lang w:eastAsia="ar-SA" w:bidi="ar-EG"/>
        </w:rPr>
        <w:t>أبرومتشيك</w:t>
      </w:r>
      <w:proofErr w:type="spellEnd"/>
      <w:r w:rsidRPr="00E23B21">
        <w:rPr>
          <w:rFonts w:hint="cs"/>
          <w:rtl/>
          <w:lang w:eastAsia="ar-SA" w:bidi="ar-EG"/>
        </w:rPr>
        <w:t xml:space="preserve">، المواطنة البيلاروسية المولودة في عام 1989. وهي تدعي أن الدولة الطرف انتهكت حقوقها </w:t>
      </w:r>
      <w:r>
        <w:rPr>
          <w:rFonts w:hint="cs"/>
          <w:rtl/>
          <w:lang w:eastAsia="ar-SA" w:bidi="ar-EG"/>
        </w:rPr>
        <w:t>التي تكفلها</w:t>
      </w:r>
      <w:r w:rsidRPr="00E23B21">
        <w:rPr>
          <w:rFonts w:hint="cs"/>
          <w:rtl/>
          <w:lang w:eastAsia="ar-SA" w:bidi="ar-EG"/>
        </w:rPr>
        <w:t xml:space="preserve"> المادة 7 من العهد. وقد دخل البروتوكول </w:t>
      </w:r>
      <w:r w:rsidRPr="00E23B21">
        <w:rPr>
          <w:rFonts w:hint="cs"/>
          <w:rtl/>
          <w:lang w:eastAsia="ar-SA" w:bidi="ar-EG"/>
        </w:rPr>
        <w:lastRenderedPageBreak/>
        <w:t>الاختياري حيز النفاذ بالنسبة إلى بيلاروس في 30 كانون الأول/ديسمبر 1992. ويمثل صاحبة البلاغ المحامي س</w:t>
      </w:r>
      <w:r>
        <w:rPr>
          <w:rFonts w:hint="cs"/>
          <w:rtl/>
          <w:lang w:eastAsia="ar-SA" w:bidi="ar-EG"/>
        </w:rPr>
        <w:t>ي</w:t>
      </w:r>
      <w:r w:rsidRPr="00E23B21">
        <w:rPr>
          <w:rFonts w:hint="cs"/>
          <w:rtl/>
          <w:lang w:eastAsia="ar-SA" w:bidi="ar-EG"/>
        </w:rPr>
        <w:t xml:space="preserve">رجي </w:t>
      </w:r>
      <w:proofErr w:type="spellStart"/>
      <w:r>
        <w:rPr>
          <w:rFonts w:hint="cs"/>
          <w:rtl/>
          <w:lang w:eastAsia="ar-SA" w:bidi="ar-EG"/>
        </w:rPr>
        <w:t>غ</w:t>
      </w:r>
      <w:r w:rsidRPr="00E23B21">
        <w:rPr>
          <w:rFonts w:hint="cs"/>
          <w:rtl/>
          <w:lang w:eastAsia="ar-SA" w:bidi="ar-EG"/>
        </w:rPr>
        <w:t>ولوبوك</w:t>
      </w:r>
      <w:proofErr w:type="spellEnd"/>
      <w:r w:rsidRPr="00E23B21">
        <w:rPr>
          <w:rFonts w:hint="cs"/>
          <w:rtl/>
          <w:lang w:eastAsia="ar-SA" w:bidi="ar-EG"/>
        </w:rPr>
        <w:t xml:space="preserve">. </w:t>
      </w:r>
    </w:p>
    <w:p w:rsidR="00EF3639" w:rsidRPr="00E23B21" w:rsidRDefault="00EF3639" w:rsidP="00EF3639">
      <w:pPr>
        <w:pStyle w:val="H23GA"/>
        <w:rPr>
          <w:rtl/>
          <w:lang w:bidi="ar-EG"/>
        </w:rPr>
      </w:pPr>
      <w:r w:rsidRPr="00E23B21">
        <w:rPr>
          <w:rtl/>
          <w:lang w:bidi="ar-EG"/>
        </w:rPr>
        <w:tab/>
      </w:r>
      <w:r w:rsidRPr="00E23B21">
        <w:rPr>
          <w:rtl/>
          <w:lang w:bidi="ar-EG"/>
        </w:rPr>
        <w:tab/>
      </w:r>
      <w:r w:rsidRPr="00E23B21">
        <w:rPr>
          <w:rFonts w:hint="cs"/>
          <w:rtl/>
          <w:lang w:bidi="ar-EG"/>
        </w:rPr>
        <w:t>الوقائع كما عرضتها صاحبة البلاغ</w:t>
      </w:r>
    </w:p>
    <w:p w:rsidR="00EF3639" w:rsidRPr="00E23B21" w:rsidRDefault="00EF3639" w:rsidP="00EF3639">
      <w:pPr>
        <w:pStyle w:val="SingleTxtGA"/>
        <w:rPr>
          <w:rtl/>
          <w:lang w:eastAsia="ar-SA" w:bidi="ar-EG"/>
        </w:rPr>
      </w:pPr>
      <w:r w:rsidRPr="00E23B21">
        <w:rPr>
          <w:rFonts w:hint="cs"/>
          <w:rtl/>
          <w:lang w:eastAsia="ar-SA" w:bidi="ar-EG"/>
        </w:rPr>
        <w:t>2-1</w:t>
      </w:r>
      <w:r w:rsidRPr="00E23B21">
        <w:rPr>
          <w:rFonts w:hint="cs"/>
          <w:rtl/>
          <w:lang w:eastAsia="ar-SA" w:bidi="ar-EG"/>
        </w:rPr>
        <w:tab/>
        <w:t xml:space="preserve">في مساء يوم 19 كانون الأول/ديسمبر 2010، كانت صاحبة البلاغ تعتزم </w:t>
      </w:r>
      <w:r>
        <w:rPr>
          <w:rFonts w:hint="cs"/>
          <w:rtl/>
          <w:lang w:eastAsia="ar-SA" w:bidi="ar-EG"/>
        </w:rPr>
        <w:t>المشاركة مع أصدقاء لها</w:t>
      </w:r>
      <w:r w:rsidRPr="00E23B21">
        <w:rPr>
          <w:rFonts w:hint="cs"/>
          <w:rtl/>
          <w:lang w:eastAsia="ar-SA" w:bidi="ar-EG"/>
        </w:rPr>
        <w:t xml:space="preserve"> في التجمع السلمي</w:t>
      </w:r>
      <w:r>
        <w:rPr>
          <w:rFonts w:hint="cs"/>
          <w:rtl/>
          <w:lang w:eastAsia="ar-SA" w:bidi="ar-EG"/>
        </w:rPr>
        <w:t xml:space="preserve"> الذي نُظم</w:t>
      </w:r>
      <w:r w:rsidRPr="00E23B21">
        <w:rPr>
          <w:rFonts w:hint="cs"/>
          <w:rtl/>
          <w:lang w:eastAsia="ar-SA" w:bidi="ar-EG"/>
        </w:rPr>
        <w:t xml:space="preserve"> في وسط</w:t>
      </w:r>
      <w:r>
        <w:rPr>
          <w:rFonts w:hint="cs"/>
          <w:rtl/>
          <w:lang w:eastAsia="ar-SA" w:bidi="ar-EG"/>
        </w:rPr>
        <w:t xml:space="preserve"> مدينة</w:t>
      </w:r>
      <w:r w:rsidRPr="00E23B21">
        <w:rPr>
          <w:rFonts w:hint="cs"/>
          <w:rtl/>
          <w:lang w:eastAsia="ar-SA" w:bidi="ar-EG"/>
        </w:rPr>
        <w:t xml:space="preserve"> مينسك</w:t>
      </w:r>
      <w:r>
        <w:rPr>
          <w:rFonts w:hint="cs"/>
          <w:rtl/>
          <w:lang w:eastAsia="ar-SA" w:bidi="ar-EG"/>
        </w:rPr>
        <w:t xml:space="preserve"> </w:t>
      </w:r>
      <w:r w:rsidRPr="00E23B21">
        <w:rPr>
          <w:rFonts w:hint="cs"/>
          <w:rtl/>
          <w:lang w:eastAsia="ar-SA" w:bidi="ar-EG"/>
        </w:rPr>
        <w:t xml:space="preserve">عقب </w:t>
      </w:r>
      <w:r>
        <w:rPr>
          <w:rFonts w:hint="cs"/>
          <w:rtl/>
          <w:lang w:eastAsia="ar-SA" w:bidi="ar-EG"/>
        </w:rPr>
        <w:t xml:space="preserve">إعلان نتائج </w:t>
      </w:r>
      <w:r w:rsidRPr="00E23B21">
        <w:rPr>
          <w:rFonts w:hint="cs"/>
          <w:rtl/>
          <w:lang w:eastAsia="ar-SA" w:bidi="ar-EG"/>
        </w:rPr>
        <w:t xml:space="preserve">الانتخابات الرئاسية في بيلاروس. وعقب هذا التجمع، </w:t>
      </w:r>
      <w:r>
        <w:rPr>
          <w:rFonts w:hint="cs"/>
          <w:rtl/>
          <w:lang w:eastAsia="ar-SA" w:bidi="ar-EG"/>
        </w:rPr>
        <w:t>و</w:t>
      </w:r>
      <w:r w:rsidRPr="00E23B21">
        <w:rPr>
          <w:rFonts w:hint="cs"/>
          <w:rtl/>
          <w:lang w:eastAsia="ar-SA" w:bidi="ar-EG"/>
        </w:rPr>
        <w:t>أثناء سير صاحبة البلاغ وأصدقائها في الطريق</w:t>
      </w:r>
      <w:r>
        <w:rPr>
          <w:rFonts w:hint="cs"/>
          <w:rtl/>
          <w:lang w:eastAsia="ar-SA" w:bidi="ar-EG"/>
        </w:rPr>
        <w:t>،</w:t>
      </w:r>
      <w:r w:rsidRPr="00E23B21">
        <w:rPr>
          <w:rFonts w:hint="cs"/>
          <w:rtl/>
          <w:lang w:eastAsia="ar-SA" w:bidi="ar-EG"/>
        </w:rPr>
        <w:t xml:space="preserve"> </w:t>
      </w:r>
      <w:r>
        <w:rPr>
          <w:rFonts w:hint="cs"/>
          <w:rtl/>
          <w:lang w:eastAsia="ar-SA" w:bidi="ar-EG"/>
        </w:rPr>
        <w:t>في</w:t>
      </w:r>
      <w:r w:rsidR="00307A98">
        <w:rPr>
          <w:rFonts w:hint="cs"/>
          <w:rtl/>
          <w:lang w:eastAsia="ar-SA" w:bidi="ar-EG"/>
        </w:rPr>
        <w:t xml:space="preserve"> </w:t>
      </w:r>
      <w:r>
        <w:rPr>
          <w:rFonts w:hint="cs"/>
          <w:rtl/>
          <w:lang w:eastAsia="ar-SA" w:bidi="ar-EG"/>
        </w:rPr>
        <w:t>حدود</w:t>
      </w:r>
      <w:r w:rsidRPr="00E23B21">
        <w:rPr>
          <w:rFonts w:hint="cs"/>
          <w:rtl/>
          <w:lang w:eastAsia="ar-SA" w:bidi="ar-EG"/>
        </w:rPr>
        <w:t xml:space="preserve"> الساعة 50/11 مساء</w:t>
      </w:r>
      <w:r>
        <w:rPr>
          <w:rFonts w:hint="cs"/>
          <w:rtl/>
          <w:lang w:eastAsia="ar-SA" w:bidi="ar-EG"/>
        </w:rPr>
        <w:t>ً،</w:t>
      </w:r>
      <w:r w:rsidRPr="00E23B21">
        <w:rPr>
          <w:rFonts w:hint="cs"/>
          <w:rtl/>
          <w:lang w:eastAsia="ar-SA" w:bidi="ar-EG"/>
        </w:rPr>
        <w:t xml:space="preserve"> استوقفتهم فجأة وحدة خاصة تابعة لشرطة مكافحة الشغب. وعندما حاول أفراد الشرطة</w:t>
      </w:r>
      <w:r w:rsidR="00307A98">
        <w:rPr>
          <w:rFonts w:hint="cs"/>
          <w:rtl/>
          <w:lang w:eastAsia="ar-SA" w:bidi="ar-EG"/>
        </w:rPr>
        <w:t xml:space="preserve"> </w:t>
      </w:r>
      <w:r>
        <w:rPr>
          <w:rFonts w:hint="cs"/>
          <w:rtl/>
          <w:lang w:eastAsia="ar-SA" w:bidi="ar-EG"/>
        </w:rPr>
        <w:t xml:space="preserve">القبض على </w:t>
      </w:r>
      <w:r w:rsidRPr="00E23B21">
        <w:rPr>
          <w:rFonts w:hint="cs"/>
          <w:rtl/>
          <w:lang w:eastAsia="ar-SA" w:bidi="ar-EG"/>
        </w:rPr>
        <w:t>بعض أصدقاء صاحبة البلاغ، حاولت هي</w:t>
      </w:r>
      <w:r w:rsidR="00307A98">
        <w:rPr>
          <w:rFonts w:hint="cs"/>
          <w:rtl/>
          <w:lang w:eastAsia="ar-SA" w:bidi="ar-EG"/>
        </w:rPr>
        <w:t xml:space="preserve"> و</w:t>
      </w:r>
      <w:r w:rsidRPr="00E23B21">
        <w:rPr>
          <w:rFonts w:hint="cs"/>
          <w:rtl/>
          <w:lang w:eastAsia="ar-SA" w:bidi="ar-EG"/>
        </w:rPr>
        <w:t xml:space="preserve">آخرون الفرار. ووصلوا إلى سور مركز الاحتجاز السابق للمحاكمة رقم 1 في مينسك، وحوصروا هناك. </w:t>
      </w:r>
    </w:p>
    <w:p w:rsidR="00EF3639" w:rsidRPr="00E23B21" w:rsidRDefault="00EF3639" w:rsidP="00EF3639">
      <w:pPr>
        <w:pStyle w:val="SingleTxtGA"/>
        <w:rPr>
          <w:rtl/>
          <w:lang w:eastAsia="ar-SA" w:bidi="ar-EG"/>
        </w:rPr>
      </w:pPr>
      <w:r w:rsidRPr="00E23B21">
        <w:rPr>
          <w:rFonts w:hint="cs"/>
          <w:rtl/>
          <w:lang w:eastAsia="ar-SA" w:bidi="ar-EG"/>
        </w:rPr>
        <w:t>2-2</w:t>
      </w:r>
      <w:r w:rsidRPr="00E23B21">
        <w:rPr>
          <w:rFonts w:hint="cs"/>
          <w:rtl/>
          <w:lang w:eastAsia="ar-SA" w:bidi="ar-EG"/>
        </w:rPr>
        <w:tab/>
        <w:t>وبدأ</w:t>
      </w:r>
      <w:r>
        <w:rPr>
          <w:rFonts w:hint="cs"/>
          <w:rtl/>
          <w:lang w:eastAsia="ar-SA" w:bidi="ar-EG"/>
        </w:rPr>
        <w:t xml:space="preserve"> أحد الضباط في </w:t>
      </w:r>
      <w:r w:rsidRPr="00E23B21">
        <w:rPr>
          <w:rFonts w:hint="cs"/>
          <w:rtl/>
          <w:lang w:eastAsia="ar-SA" w:bidi="ar-EG"/>
        </w:rPr>
        <w:t xml:space="preserve">ضرب صديق صاحبة البلاغ، أ. وعندما طلبت صاحبة البلاغ من الضابط التوقف، </w:t>
      </w:r>
      <w:r>
        <w:rPr>
          <w:rFonts w:hint="cs"/>
          <w:rtl/>
          <w:lang w:eastAsia="ar-SA" w:bidi="ar-EG"/>
        </w:rPr>
        <w:t>ضربها</w:t>
      </w:r>
      <w:r w:rsidRPr="00E23B21">
        <w:rPr>
          <w:rFonts w:hint="cs"/>
          <w:rtl/>
          <w:lang w:eastAsia="ar-SA" w:bidi="ar-EG"/>
        </w:rPr>
        <w:t xml:space="preserve"> بعصا مطاطية في رجلها اليسرى فسقطت على الأرض. وضربها ضابط الشرطة مرة أخرى وأمرها بالوقوف والسير إلى سيارة الشرطة. وأدركت صاحبة البلاغ أن رجلها أُصيبت بكسر، وأخبرت ضابط الشرطة بذلك. ولكنه جر</w:t>
      </w:r>
      <w:r>
        <w:rPr>
          <w:rFonts w:hint="cs"/>
          <w:rtl/>
          <w:lang w:eastAsia="ar-SA" w:bidi="ar-EG"/>
        </w:rPr>
        <w:t>َّ</w:t>
      </w:r>
      <w:r w:rsidRPr="00E23B21">
        <w:rPr>
          <w:rFonts w:hint="cs"/>
          <w:rtl/>
          <w:lang w:eastAsia="ar-SA" w:bidi="ar-EG"/>
        </w:rPr>
        <w:t xml:space="preserve">ها واقتادها إلى الشاحنة الصغيرة التابعة للشرطة. ولم تؤخذ صاحبة البلاغ إلى المستشفى إلا بعد عدة ساعات، </w:t>
      </w:r>
      <w:r>
        <w:rPr>
          <w:rFonts w:hint="cs"/>
          <w:rtl/>
          <w:lang w:eastAsia="ar-SA" w:bidi="ar-EG"/>
        </w:rPr>
        <w:t>بعد</w:t>
      </w:r>
      <w:r w:rsidRPr="00E23B21">
        <w:rPr>
          <w:rFonts w:hint="cs"/>
          <w:rtl/>
          <w:lang w:eastAsia="ar-SA" w:bidi="ar-EG"/>
        </w:rPr>
        <w:t xml:space="preserve"> تدخل زملائها المحتجزين</w:t>
      </w:r>
      <w:r>
        <w:rPr>
          <w:rFonts w:hint="cs"/>
          <w:rtl/>
          <w:lang w:eastAsia="ar-SA" w:bidi="ar-EG"/>
        </w:rPr>
        <w:t xml:space="preserve"> معها</w:t>
      </w:r>
      <w:r w:rsidRPr="00E23B21">
        <w:rPr>
          <w:rFonts w:hint="cs"/>
          <w:rtl/>
          <w:lang w:eastAsia="ar-SA" w:bidi="ar-EG"/>
        </w:rPr>
        <w:t>. وأ</w:t>
      </w:r>
      <w:r>
        <w:rPr>
          <w:rFonts w:hint="cs"/>
          <w:rtl/>
          <w:lang w:eastAsia="ar-SA" w:bidi="ar-EG"/>
        </w:rPr>
        <w:t>ُ</w:t>
      </w:r>
      <w:r w:rsidRPr="00E23B21">
        <w:rPr>
          <w:rFonts w:hint="cs"/>
          <w:rtl/>
          <w:lang w:eastAsia="ar-SA" w:bidi="ar-EG"/>
        </w:rPr>
        <w:t xml:space="preserve">جريت لها جراحة وعولجت في المستشفى السادس لمدينة مينسك في الفترة من 20 إلى 27 كانون الأول/ديسمبر 2010. </w:t>
      </w:r>
      <w:r>
        <w:rPr>
          <w:rFonts w:hint="cs"/>
          <w:rtl/>
          <w:lang w:eastAsia="ar-SA" w:bidi="ar-EG"/>
        </w:rPr>
        <w:t>وتبين</w:t>
      </w:r>
      <w:r w:rsidRPr="00E23B21">
        <w:rPr>
          <w:rFonts w:hint="cs"/>
          <w:rtl/>
          <w:lang w:eastAsia="ar-SA" w:bidi="ar-EG"/>
        </w:rPr>
        <w:t xml:space="preserve"> أنها مصابة بكسر مضاعف في الرجل، وظلت عاجزة جزئياً لمدة </w:t>
      </w:r>
      <w:r>
        <w:rPr>
          <w:rFonts w:hint="cs"/>
          <w:rtl/>
          <w:lang w:eastAsia="ar-SA" w:bidi="ar-EG"/>
        </w:rPr>
        <w:t>ستة</w:t>
      </w:r>
      <w:r w:rsidRPr="00E23B21">
        <w:rPr>
          <w:rFonts w:hint="cs"/>
          <w:rtl/>
          <w:lang w:eastAsia="ar-SA" w:bidi="ar-EG"/>
        </w:rPr>
        <w:t xml:space="preserve"> أسابيع بعد خروجها من المستشفى. </w:t>
      </w:r>
    </w:p>
    <w:p w:rsidR="00EF3639" w:rsidRPr="00E23B21" w:rsidRDefault="00EF3639" w:rsidP="00EF3639">
      <w:pPr>
        <w:pStyle w:val="SingleTxtGA"/>
        <w:rPr>
          <w:rtl/>
          <w:lang w:eastAsia="ar-SA" w:bidi="ar-EG"/>
        </w:rPr>
      </w:pPr>
      <w:r w:rsidRPr="00E23B21">
        <w:rPr>
          <w:rFonts w:hint="cs"/>
          <w:rtl/>
          <w:lang w:eastAsia="ar-SA" w:bidi="ar-EG"/>
        </w:rPr>
        <w:t>2-3</w:t>
      </w:r>
      <w:r w:rsidRPr="00E23B21">
        <w:rPr>
          <w:rFonts w:hint="cs"/>
          <w:rtl/>
          <w:lang w:eastAsia="ar-SA" w:bidi="ar-EG"/>
        </w:rPr>
        <w:tab/>
        <w:t xml:space="preserve">واشتكت صاحبة البلاغ </w:t>
      </w:r>
      <w:r w:rsidRPr="00082FA4">
        <w:rPr>
          <w:rtl/>
          <w:lang w:eastAsia="ar-SA" w:bidi="ar-EG"/>
        </w:rPr>
        <w:t>إلى مكتب النائب العام</w:t>
      </w:r>
      <w:r>
        <w:rPr>
          <w:rFonts w:hint="cs"/>
          <w:rtl/>
          <w:lang w:eastAsia="ar-SA" w:bidi="ar-EG"/>
        </w:rPr>
        <w:t xml:space="preserve">، </w:t>
      </w:r>
      <w:r w:rsidRPr="00E23B21">
        <w:rPr>
          <w:rFonts w:hint="cs"/>
          <w:rtl/>
          <w:lang w:eastAsia="ar-SA" w:bidi="ar-EG"/>
        </w:rPr>
        <w:t>فور وقوع الحادث تقريباً</w:t>
      </w:r>
      <w:r>
        <w:rPr>
          <w:rFonts w:hint="cs"/>
          <w:rtl/>
          <w:lang w:eastAsia="ar-SA" w:bidi="ar-EG"/>
        </w:rPr>
        <w:t>،</w:t>
      </w:r>
      <w:r w:rsidRPr="00082FA4">
        <w:rPr>
          <w:rtl/>
          <w:lang w:eastAsia="ar-SA" w:bidi="ar-EG"/>
        </w:rPr>
        <w:t xml:space="preserve"> </w:t>
      </w:r>
      <w:r w:rsidRPr="00E23B21">
        <w:rPr>
          <w:rFonts w:hint="cs"/>
          <w:rtl/>
          <w:lang w:eastAsia="ar-SA" w:bidi="ar-EG"/>
        </w:rPr>
        <w:t>من</w:t>
      </w:r>
      <w:r>
        <w:rPr>
          <w:rFonts w:hint="cs"/>
          <w:rtl/>
          <w:lang w:eastAsia="ar-SA" w:bidi="ar-EG"/>
        </w:rPr>
        <w:t xml:space="preserve"> </w:t>
      </w:r>
      <w:r w:rsidRPr="00EF3639">
        <w:rPr>
          <w:rFonts w:hint="cs"/>
          <w:spacing w:val="-6"/>
          <w:rtl/>
          <w:lang w:eastAsia="ar-SA" w:bidi="ar-EG"/>
        </w:rPr>
        <w:t>الأفعال غير القانونية التي ارتكبتها الشرطة في مدينة مينسك. وفي 30 كانون الأول/ديسمبر 2010، أحال</w:t>
      </w:r>
      <w:r w:rsidRPr="00E23B21">
        <w:rPr>
          <w:rFonts w:hint="cs"/>
          <w:rtl/>
          <w:lang w:eastAsia="ar-SA" w:bidi="ar-EG"/>
        </w:rPr>
        <w:t xml:space="preserve"> مكتب النائب العام في مدينة مينسك شكواها إلى النائب العام </w:t>
      </w:r>
      <w:r>
        <w:rPr>
          <w:rFonts w:hint="cs"/>
          <w:rtl/>
          <w:lang w:eastAsia="ar-SA" w:bidi="ar-EG"/>
        </w:rPr>
        <w:t>ل</w:t>
      </w:r>
      <w:r w:rsidRPr="00E23B21">
        <w:rPr>
          <w:rFonts w:hint="cs"/>
          <w:rtl/>
          <w:lang w:eastAsia="ar-SA" w:bidi="ar-EG"/>
        </w:rPr>
        <w:t>منطقة</w:t>
      </w:r>
      <w:r w:rsidR="00307A98">
        <w:rPr>
          <w:rFonts w:hint="cs"/>
          <w:rtl/>
          <w:lang w:eastAsia="ar-SA" w:bidi="ar-EG"/>
        </w:rPr>
        <w:t xml:space="preserve"> </w:t>
      </w:r>
      <w:r w:rsidRPr="00E23B21">
        <w:rPr>
          <w:rFonts w:hint="cs"/>
          <w:rtl/>
          <w:lang w:eastAsia="ar-SA" w:bidi="ar-EG"/>
        </w:rPr>
        <w:t xml:space="preserve">موسكو </w:t>
      </w:r>
      <w:r>
        <w:rPr>
          <w:rFonts w:hint="cs"/>
          <w:rtl/>
          <w:lang w:eastAsia="ar-SA" w:bidi="ar-EG"/>
        </w:rPr>
        <w:t xml:space="preserve">في </w:t>
      </w:r>
      <w:r w:rsidRPr="00E23B21">
        <w:rPr>
          <w:rFonts w:hint="cs"/>
          <w:rtl/>
          <w:lang w:eastAsia="ar-SA" w:bidi="ar-EG"/>
        </w:rPr>
        <w:t>مينسك الذي أحالها إلى مركز شرطة مدينة مينسك في 3 كانون الثاني/يناير 2011. وفي</w:t>
      </w:r>
      <w:r>
        <w:rPr>
          <w:rFonts w:hint="eastAsia"/>
          <w:rtl/>
          <w:lang w:eastAsia="ar-SA" w:bidi="ar-EG"/>
        </w:rPr>
        <w:t> </w:t>
      </w:r>
      <w:r w:rsidRPr="00E23B21">
        <w:rPr>
          <w:rFonts w:hint="cs"/>
          <w:rtl/>
          <w:lang w:eastAsia="ar-SA" w:bidi="ar-EG"/>
        </w:rPr>
        <w:t xml:space="preserve">12 كانون الثاني/يناير 2011، أعادت شرطة مدينة مينسك شكوى صاحبة البلاغ إلى النائب العام </w:t>
      </w:r>
      <w:r>
        <w:rPr>
          <w:rFonts w:hint="cs"/>
          <w:rtl/>
          <w:lang w:eastAsia="ar-SA" w:bidi="ar-EG"/>
        </w:rPr>
        <w:t>ل</w:t>
      </w:r>
      <w:r w:rsidRPr="00E23B21">
        <w:rPr>
          <w:rFonts w:hint="cs"/>
          <w:rtl/>
          <w:lang w:eastAsia="ar-SA" w:bidi="ar-EG"/>
        </w:rPr>
        <w:t>منطقة</w:t>
      </w:r>
      <w:r w:rsidR="00307A98">
        <w:rPr>
          <w:rFonts w:hint="cs"/>
          <w:rtl/>
          <w:lang w:eastAsia="ar-SA" w:bidi="ar-EG"/>
        </w:rPr>
        <w:t xml:space="preserve"> </w:t>
      </w:r>
      <w:r w:rsidRPr="00E23B21">
        <w:rPr>
          <w:rFonts w:hint="cs"/>
          <w:rtl/>
          <w:lang w:eastAsia="ar-SA" w:bidi="ar-EG"/>
        </w:rPr>
        <w:t>موسكو</w:t>
      </w:r>
      <w:r>
        <w:rPr>
          <w:rFonts w:hint="cs"/>
          <w:rtl/>
          <w:lang w:eastAsia="ar-SA" w:bidi="ar-EG"/>
        </w:rPr>
        <w:t xml:space="preserve"> في </w:t>
      </w:r>
      <w:r w:rsidRPr="00E23B21">
        <w:rPr>
          <w:rFonts w:hint="cs"/>
          <w:rtl/>
          <w:lang w:eastAsia="ar-SA" w:bidi="ar-EG"/>
        </w:rPr>
        <w:t xml:space="preserve">مينسك. </w:t>
      </w:r>
    </w:p>
    <w:p w:rsidR="00EF3639" w:rsidRPr="00E23B21" w:rsidRDefault="00EF3639" w:rsidP="00EF3639">
      <w:pPr>
        <w:pStyle w:val="SingleTxtGA"/>
        <w:rPr>
          <w:rtl/>
          <w:lang w:eastAsia="ar-SA" w:bidi="ar-EG"/>
        </w:rPr>
      </w:pPr>
      <w:r>
        <w:rPr>
          <w:rFonts w:hint="cs"/>
          <w:rtl/>
          <w:lang w:eastAsia="ar-SA" w:bidi="ar-EG"/>
        </w:rPr>
        <w:t>2-4</w:t>
      </w:r>
      <w:r>
        <w:rPr>
          <w:rFonts w:hint="cs"/>
          <w:rtl/>
          <w:lang w:eastAsia="ar-SA" w:bidi="ar-EG"/>
        </w:rPr>
        <w:tab/>
        <w:t xml:space="preserve">وبدأت رسمياً، </w:t>
      </w:r>
      <w:r w:rsidRPr="00E23B21">
        <w:rPr>
          <w:rFonts w:hint="cs"/>
          <w:rtl/>
          <w:lang w:eastAsia="ar-SA" w:bidi="ar-EG"/>
        </w:rPr>
        <w:t xml:space="preserve">في 18 نيسان/أبريل </w:t>
      </w:r>
      <w:r>
        <w:rPr>
          <w:rFonts w:hint="cs"/>
          <w:rtl/>
          <w:lang w:eastAsia="ar-SA" w:bidi="ar-EG"/>
        </w:rPr>
        <w:t xml:space="preserve">2011، </w:t>
      </w:r>
      <w:r w:rsidRPr="00E23B21">
        <w:rPr>
          <w:rFonts w:hint="cs"/>
          <w:rtl/>
          <w:lang w:eastAsia="ar-SA" w:bidi="ar-EG"/>
        </w:rPr>
        <w:t xml:space="preserve">الإجراءات الجنائية ضد ضباط الشرطة المشار إليهم في شكوى صاحبة البلاغ. </w:t>
      </w:r>
      <w:r>
        <w:rPr>
          <w:rFonts w:hint="cs"/>
          <w:rtl/>
          <w:lang w:eastAsia="ar-SA" w:bidi="ar-EG"/>
        </w:rPr>
        <w:t>ف</w:t>
      </w:r>
      <w:r w:rsidRPr="00E23B21">
        <w:rPr>
          <w:rFonts w:hint="cs"/>
          <w:rtl/>
          <w:lang w:eastAsia="ar-SA" w:bidi="ar-EG"/>
        </w:rPr>
        <w:t>في 19 أيار/مايو 2011، است</w:t>
      </w:r>
      <w:r>
        <w:rPr>
          <w:rFonts w:hint="cs"/>
          <w:rtl/>
          <w:lang w:eastAsia="ar-SA" w:bidi="ar-EG"/>
        </w:rPr>
        <w:t>ُ</w:t>
      </w:r>
      <w:r w:rsidRPr="00E23B21">
        <w:rPr>
          <w:rFonts w:hint="cs"/>
          <w:rtl/>
          <w:lang w:eastAsia="ar-SA" w:bidi="ar-EG"/>
        </w:rPr>
        <w:t>جوبت صاحبة البلاغ أمام محقق من مكتب نيابة مدينة مينسك. وقدمت صاحبة البلاغ تفاصيل عن الحادث الذي وقع في 19 كانون الأول/ديسمبر 2010، وقدمت وصفاً لضابط الشرطة الذي أساء معاملتها.</w:t>
      </w:r>
    </w:p>
    <w:p w:rsidR="00EF3639" w:rsidRPr="00E23B21" w:rsidRDefault="00EF3639" w:rsidP="00EF3639">
      <w:pPr>
        <w:pStyle w:val="SingleTxtGA"/>
        <w:rPr>
          <w:rtl/>
          <w:lang w:eastAsia="ar-SA" w:bidi="ar-DZ"/>
        </w:rPr>
      </w:pPr>
      <w:r w:rsidRPr="00E23B21">
        <w:rPr>
          <w:rFonts w:hint="cs"/>
          <w:rtl/>
          <w:lang w:eastAsia="ar-SA" w:bidi="ar-EG"/>
        </w:rPr>
        <w:t>2-5</w:t>
      </w:r>
      <w:r w:rsidRPr="00E23B21">
        <w:rPr>
          <w:rFonts w:hint="cs"/>
          <w:rtl/>
          <w:lang w:eastAsia="ar-SA" w:bidi="ar-EG"/>
        </w:rPr>
        <w:tab/>
        <w:t>وفي أيار/مايو 2011، سجَّل محامي صاحبة البلاغ شهادة كل</w:t>
      </w:r>
      <w:r>
        <w:rPr>
          <w:rFonts w:hint="cs"/>
          <w:rtl/>
          <w:lang w:eastAsia="ar-SA" w:bidi="ar-EG"/>
        </w:rPr>
        <w:t>ٍ</w:t>
      </w:r>
      <w:r w:rsidRPr="00E23B21">
        <w:rPr>
          <w:rFonts w:hint="cs"/>
          <w:rtl/>
          <w:lang w:eastAsia="ar-SA" w:bidi="ar-EG"/>
        </w:rPr>
        <w:t xml:space="preserve"> من س. </w:t>
      </w:r>
      <w:proofErr w:type="spellStart"/>
      <w:r w:rsidRPr="00E23B21">
        <w:rPr>
          <w:rFonts w:hint="cs"/>
          <w:rtl/>
          <w:lang w:eastAsia="ar-SA" w:bidi="ar-EG"/>
        </w:rPr>
        <w:t>وص</w:t>
      </w:r>
      <w:proofErr w:type="spellEnd"/>
      <w:r w:rsidRPr="00E23B21">
        <w:rPr>
          <w:rFonts w:hint="cs"/>
          <w:rtl/>
          <w:lang w:eastAsia="ar-SA" w:bidi="ar-EG"/>
        </w:rPr>
        <w:t>.، اللذين شهدا الأحداث. وطلب محامي صاحبة البلاغ أيضاً أن يستجوب المحقق رسمياً هذين الشخصين، ولكن لم ي</w:t>
      </w:r>
      <w:r>
        <w:rPr>
          <w:rFonts w:hint="cs"/>
          <w:rtl/>
          <w:lang w:eastAsia="ar-SA" w:bidi="ar-EG"/>
        </w:rPr>
        <w:t>ُ</w:t>
      </w:r>
      <w:r w:rsidRPr="00E23B21">
        <w:rPr>
          <w:rFonts w:hint="cs"/>
          <w:rtl/>
          <w:lang w:eastAsia="ar-SA" w:bidi="ar-EG"/>
        </w:rPr>
        <w:t>جر هذا الاستجواب. وباستثناء الاستجواب الإضافي لصاحبة البلاغ ومعاينة مسرح الجريمة، لم ت</w:t>
      </w:r>
      <w:r>
        <w:rPr>
          <w:rFonts w:hint="cs"/>
          <w:rtl/>
          <w:lang w:eastAsia="ar-SA" w:bidi="ar-EG"/>
        </w:rPr>
        <w:t>ُ</w:t>
      </w:r>
      <w:r w:rsidRPr="00E23B21">
        <w:rPr>
          <w:rFonts w:hint="cs"/>
          <w:rtl/>
          <w:lang w:eastAsia="ar-SA" w:bidi="ar-EG"/>
        </w:rPr>
        <w:t>نفذ أية إجراءات أخرى في إطار التحقيق ولم ت</w:t>
      </w:r>
      <w:r>
        <w:rPr>
          <w:rFonts w:hint="cs"/>
          <w:rtl/>
          <w:lang w:eastAsia="ar-SA" w:bidi="ar-EG"/>
        </w:rPr>
        <w:t>ُ</w:t>
      </w:r>
      <w:r w:rsidRPr="00E23B21">
        <w:rPr>
          <w:rFonts w:hint="cs"/>
          <w:rtl/>
          <w:lang w:eastAsia="ar-SA" w:bidi="ar-EG"/>
        </w:rPr>
        <w:t>بذل أية محاولات لتحديد هوية ضابط الشرطة الذي أساء معاملة صاحبة البلاغ، رغم تأكيدها أن بإمكانها التعرف عليه.</w:t>
      </w:r>
    </w:p>
    <w:p w:rsidR="00EF3639" w:rsidRPr="00E23B21" w:rsidRDefault="00EF3639" w:rsidP="00EF3639">
      <w:pPr>
        <w:pStyle w:val="SingleTxtGA"/>
        <w:rPr>
          <w:rtl/>
          <w:lang w:eastAsia="ar-SA" w:bidi="ar-EG"/>
        </w:rPr>
      </w:pPr>
      <w:r w:rsidRPr="00E23B21">
        <w:rPr>
          <w:rFonts w:hint="cs"/>
          <w:rtl/>
          <w:lang w:eastAsia="ar-SA" w:bidi="ar-EG"/>
        </w:rPr>
        <w:lastRenderedPageBreak/>
        <w:t>2-6</w:t>
      </w:r>
      <w:r w:rsidRPr="00E23B21">
        <w:rPr>
          <w:rFonts w:hint="cs"/>
          <w:rtl/>
          <w:lang w:eastAsia="ar-SA" w:bidi="ar-EG"/>
        </w:rPr>
        <w:tab/>
        <w:t>وفي 2 كانون الأول/ديسمبر 2011، أبلغ كبير محققين من مكتب نيابة مدينة مينسك محامي صاحبة البلاغ أن التحقيق ع</w:t>
      </w:r>
      <w:r>
        <w:rPr>
          <w:rFonts w:hint="cs"/>
          <w:rtl/>
          <w:lang w:eastAsia="ar-SA" w:bidi="ar-EG"/>
        </w:rPr>
        <w:t>ُ</w:t>
      </w:r>
      <w:r w:rsidRPr="00E23B21">
        <w:rPr>
          <w:rFonts w:hint="cs"/>
          <w:rtl/>
          <w:lang w:eastAsia="ar-SA" w:bidi="ar-EG"/>
        </w:rPr>
        <w:t xml:space="preserve">لِّق </w:t>
      </w:r>
      <w:r>
        <w:rPr>
          <w:rFonts w:hint="cs"/>
          <w:rtl/>
          <w:lang w:eastAsia="ar-SA" w:bidi="ar-EG"/>
        </w:rPr>
        <w:t>لتعذر</w:t>
      </w:r>
      <w:r w:rsidRPr="00E23B21">
        <w:rPr>
          <w:rFonts w:hint="cs"/>
          <w:rtl/>
          <w:lang w:eastAsia="ar-SA" w:bidi="ar-EG"/>
        </w:rPr>
        <w:t xml:space="preserve"> معرفة المسؤولين. وفي اليوم نفسه، طلب المحامي رسمياً أن </w:t>
      </w:r>
      <w:r>
        <w:rPr>
          <w:rFonts w:hint="cs"/>
          <w:rtl/>
          <w:lang w:eastAsia="ar-SA" w:bidi="ar-EG"/>
        </w:rPr>
        <w:t>يزوده</w:t>
      </w:r>
      <w:r w:rsidRPr="00E23B21">
        <w:rPr>
          <w:rFonts w:hint="cs"/>
          <w:rtl/>
          <w:lang w:eastAsia="ar-SA" w:bidi="ar-EG"/>
        </w:rPr>
        <w:t xml:space="preserve"> المحقق </w:t>
      </w:r>
      <w:r>
        <w:rPr>
          <w:rFonts w:hint="cs"/>
          <w:rtl/>
          <w:lang w:eastAsia="ar-SA" w:bidi="ar-EG"/>
        </w:rPr>
        <w:t>ب</w:t>
      </w:r>
      <w:r w:rsidRPr="00E23B21">
        <w:rPr>
          <w:rFonts w:hint="cs"/>
          <w:rtl/>
          <w:lang w:eastAsia="ar-SA" w:bidi="ar-EG"/>
        </w:rPr>
        <w:t xml:space="preserve">النص الكامل لقرار تعليق التحقيق، واحتج بضرورة وجود نسخة من القرار </w:t>
      </w:r>
      <w:r>
        <w:rPr>
          <w:rFonts w:hint="cs"/>
          <w:rtl/>
          <w:lang w:eastAsia="ar-SA" w:bidi="ar-EG"/>
        </w:rPr>
        <w:t>لتقديم</w:t>
      </w:r>
      <w:r w:rsidRPr="00E23B21">
        <w:rPr>
          <w:rFonts w:hint="cs"/>
          <w:rtl/>
          <w:lang w:eastAsia="ar-SA" w:bidi="ar-EG"/>
        </w:rPr>
        <w:t xml:space="preserve"> طعن فيه. وفي 5 كانون الأول/ديسمبر 2011، ر</w:t>
      </w:r>
      <w:r>
        <w:rPr>
          <w:rFonts w:hint="cs"/>
          <w:rtl/>
          <w:lang w:eastAsia="ar-SA" w:bidi="ar-EG"/>
        </w:rPr>
        <w:t>ُ</w:t>
      </w:r>
      <w:r w:rsidRPr="00E23B21">
        <w:rPr>
          <w:rFonts w:hint="cs"/>
          <w:rtl/>
          <w:lang w:eastAsia="ar-SA" w:bidi="ar-EG"/>
        </w:rPr>
        <w:t xml:space="preserve">فض طلب المحامي. </w:t>
      </w:r>
    </w:p>
    <w:p w:rsidR="00EF3639" w:rsidRPr="00E23B21" w:rsidRDefault="00EF3639" w:rsidP="00EF3639">
      <w:pPr>
        <w:pStyle w:val="SingleTxtGA"/>
        <w:rPr>
          <w:rtl/>
          <w:lang w:eastAsia="ar-SA" w:bidi="ar-EG"/>
        </w:rPr>
      </w:pPr>
      <w:r w:rsidRPr="00E23B21">
        <w:rPr>
          <w:rFonts w:hint="cs"/>
          <w:rtl/>
          <w:lang w:eastAsia="ar-SA" w:bidi="ar-EG"/>
        </w:rPr>
        <w:t>2-7</w:t>
      </w:r>
      <w:r w:rsidRPr="00E23B21">
        <w:rPr>
          <w:rFonts w:hint="cs"/>
          <w:rtl/>
          <w:lang w:eastAsia="ar-SA" w:bidi="ar-EG"/>
        </w:rPr>
        <w:tab/>
        <w:t>وفي 9 كانون الثاني/يناير 2012، أبلغ المحقق المحامي بأن التحقيق استؤنف. واست</w:t>
      </w:r>
      <w:r>
        <w:rPr>
          <w:rFonts w:hint="cs"/>
          <w:rtl/>
          <w:lang w:eastAsia="ar-SA" w:bidi="ar-EG"/>
        </w:rPr>
        <w:t>ُ</w:t>
      </w:r>
      <w:r w:rsidRPr="00E23B21">
        <w:rPr>
          <w:rFonts w:hint="cs"/>
          <w:rtl/>
          <w:lang w:eastAsia="ar-SA" w:bidi="ar-EG"/>
        </w:rPr>
        <w:t>جوبت صاحبة البلاغ مرة أخرى وكررت ادعاءاتها. وفي 1 شباط/فبراير 2012، أفاد المحقق بأن التحقيق عُلِّق مرة أخرى استناداً إلى نفس</w:t>
      </w:r>
      <w:r w:rsidR="00307A98">
        <w:rPr>
          <w:rFonts w:hint="cs"/>
          <w:rtl/>
          <w:lang w:eastAsia="ar-SA" w:bidi="ar-EG"/>
        </w:rPr>
        <w:t xml:space="preserve"> </w:t>
      </w:r>
      <w:r>
        <w:rPr>
          <w:rFonts w:hint="cs"/>
          <w:rtl/>
          <w:lang w:eastAsia="ar-SA" w:bidi="ar-EG"/>
        </w:rPr>
        <w:t>الأسباب</w:t>
      </w:r>
      <w:r w:rsidRPr="00E23B21">
        <w:rPr>
          <w:rFonts w:hint="cs"/>
          <w:rtl/>
          <w:lang w:eastAsia="ar-SA" w:bidi="ar-EG"/>
        </w:rPr>
        <w:t xml:space="preserve"> التي استُند إليها في 2 كانون الأول/ديسمبر 2011. ولم ي</w:t>
      </w:r>
      <w:r>
        <w:rPr>
          <w:rFonts w:hint="cs"/>
          <w:rtl/>
          <w:lang w:eastAsia="ar-SA" w:bidi="ar-EG"/>
        </w:rPr>
        <w:t>ُ</w:t>
      </w:r>
      <w:r w:rsidRPr="00E23B21">
        <w:rPr>
          <w:rFonts w:hint="cs"/>
          <w:rtl/>
          <w:lang w:eastAsia="ar-SA" w:bidi="ar-EG"/>
        </w:rPr>
        <w:t xml:space="preserve">قدم مطلقاً النص الكامل لقرار تعليق التحقيق، لا إلى صاحبة البلاغ ولا إلى المحامي. </w:t>
      </w:r>
    </w:p>
    <w:p w:rsidR="00EF3639" w:rsidRPr="00E23B21" w:rsidRDefault="00EF3639" w:rsidP="00EF3639">
      <w:pPr>
        <w:pStyle w:val="SingleTxtGA"/>
        <w:rPr>
          <w:rtl/>
          <w:lang w:eastAsia="ar-SA" w:bidi="ar-EG"/>
        </w:rPr>
      </w:pPr>
      <w:r w:rsidRPr="00E23B21">
        <w:rPr>
          <w:rFonts w:hint="cs"/>
          <w:rtl/>
          <w:lang w:eastAsia="ar-SA" w:bidi="ar-EG"/>
        </w:rPr>
        <w:t>2-8</w:t>
      </w:r>
      <w:r w:rsidRPr="00E23B21">
        <w:rPr>
          <w:rFonts w:hint="cs"/>
          <w:rtl/>
          <w:lang w:eastAsia="ar-SA" w:bidi="ar-EG"/>
        </w:rPr>
        <w:tab/>
        <w:t xml:space="preserve">وتدعي صاحبة البلاغ أنها استنفدت جميع سبل الانتصاف المحلية المتاحة. وتدعي أيضاً أن ليس من المنطقي </w:t>
      </w:r>
      <w:r>
        <w:rPr>
          <w:rFonts w:hint="cs"/>
          <w:rtl/>
          <w:lang w:eastAsia="ar-SA" w:bidi="ar-EG"/>
        </w:rPr>
        <w:t xml:space="preserve">أن </w:t>
      </w:r>
      <w:r w:rsidRPr="00E23B21">
        <w:rPr>
          <w:rFonts w:hint="cs"/>
          <w:rtl/>
          <w:lang w:eastAsia="ar-SA" w:bidi="ar-EG"/>
        </w:rPr>
        <w:t>ي</w:t>
      </w:r>
      <w:r>
        <w:rPr>
          <w:rFonts w:hint="cs"/>
          <w:rtl/>
          <w:lang w:eastAsia="ar-SA" w:bidi="ar-EG"/>
        </w:rPr>
        <w:t>ُ</w:t>
      </w:r>
      <w:r w:rsidRPr="00E23B21">
        <w:rPr>
          <w:rFonts w:hint="cs"/>
          <w:rtl/>
          <w:lang w:eastAsia="ar-SA" w:bidi="ar-EG"/>
        </w:rPr>
        <w:t xml:space="preserve">توقع منها الطعن في قرارات </w:t>
      </w:r>
      <w:r>
        <w:rPr>
          <w:rFonts w:hint="cs"/>
          <w:rtl/>
          <w:lang w:eastAsia="ar-SA" w:bidi="ar-EG"/>
        </w:rPr>
        <w:t xml:space="preserve">المحقق </w:t>
      </w:r>
      <w:r w:rsidRPr="00E23B21">
        <w:rPr>
          <w:rFonts w:hint="cs"/>
          <w:rtl/>
          <w:lang w:eastAsia="ar-SA" w:bidi="ar-EG"/>
        </w:rPr>
        <w:t xml:space="preserve">تعليق التحقيق </w:t>
      </w:r>
      <w:r>
        <w:rPr>
          <w:rFonts w:hint="cs"/>
          <w:rtl/>
          <w:lang w:eastAsia="ar-SA" w:bidi="ar-EG"/>
        </w:rPr>
        <w:t>دون أن</w:t>
      </w:r>
      <w:r w:rsidRPr="00E23B21">
        <w:rPr>
          <w:rFonts w:hint="cs"/>
          <w:rtl/>
          <w:lang w:eastAsia="ar-SA" w:bidi="ar-EG"/>
        </w:rPr>
        <w:t xml:space="preserve"> ت</w:t>
      </w:r>
      <w:r>
        <w:rPr>
          <w:rFonts w:hint="cs"/>
          <w:rtl/>
          <w:lang w:eastAsia="ar-SA" w:bidi="ar-EG"/>
        </w:rPr>
        <w:t>ُ</w:t>
      </w:r>
      <w:r w:rsidRPr="00E23B21">
        <w:rPr>
          <w:rFonts w:hint="cs"/>
          <w:rtl/>
          <w:lang w:eastAsia="ar-SA" w:bidi="ar-EG"/>
        </w:rPr>
        <w:t xml:space="preserve">زود </w:t>
      </w:r>
      <w:r>
        <w:rPr>
          <w:rFonts w:hint="cs"/>
          <w:rtl/>
          <w:lang w:eastAsia="ar-SA" w:bidi="ar-EG"/>
        </w:rPr>
        <w:t>ب</w:t>
      </w:r>
      <w:r w:rsidRPr="00E23B21">
        <w:rPr>
          <w:rFonts w:hint="cs"/>
          <w:rtl/>
          <w:lang w:eastAsia="ar-SA" w:bidi="ar-EG"/>
        </w:rPr>
        <w:t xml:space="preserve">تلك القرارات. فقد رُفض طلب المحامي تزويده </w:t>
      </w:r>
      <w:r>
        <w:rPr>
          <w:rFonts w:hint="cs"/>
          <w:rtl/>
          <w:lang w:eastAsia="ar-SA" w:bidi="ar-EG"/>
        </w:rPr>
        <w:t>ب</w:t>
      </w:r>
      <w:r w:rsidRPr="00E23B21">
        <w:rPr>
          <w:rFonts w:hint="cs"/>
          <w:rtl/>
          <w:lang w:eastAsia="ar-SA" w:bidi="ar-EG"/>
        </w:rPr>
        <w:t xml:space="preserve">تلك القرارات، </w:t>
      </w:r>
      <w:r>
        <w:rPr>
          <w:rFonts w:hint="cs"/>
          <w:rtl/>
          <w:lang w:eastAsia="ar-SA" w:bidi="ar-EG"/>
        </w:rPr>
        <w:t>و</w:t>
      </w:r>
      <w:r w:rsidRPr="00E23B21">
        <w:rPr>
          <w:rFonts w:hint="cs"/>
          <w:rtl/>
          <w:lang w:eastAsia="ar-SA" w:bidi="ar-EG"/>
        </w:rPr>
        <w:t xml:space="preserve">هو رفض غير قابل للمراجعة القضائية بموجب القانون البيلاروسي. ولذلك تحتج صاحبة البلاغ بعدم وجود سبل انتصاف محلية أخرى متاحة لها. </w:t>
      </w:r>
    </w:p>
    <w:p w:rsidR="00EF3639" w:rsidRPr="00E23B21" w:rsidRDefault="00EF3639" w:rsidP="00EF3639">
      <w:pPr>
        <w:pStyle w:val="SingleTxtGA"/>
        <w:rPr>
          <w:rtl/>
          <w:lang w:eastAsia="ar-SA" w:bidi="ar-EG"/>
        </w:rPr>
      </w:pPr>
      <w:r w:rsidRPr="00E23B21">
        <w:rPr>
          <w:rFonts w:hint="cs"/>
          <w:rtl/>
          <w:lang w:eastAsia="ar-SA" w:bidi="ar-EG"/>
        </w:rPr>
        <w:t>2-9</w:t>
      </w:r>
      <w:r w:rsidRPr="00E23B21">
        <w:rPr>
          <w:rFonts w:hint="cs"/>
          <w:rtl/>
          <w:lang w:eastAsia="ar-SA" w:bidi="ar-EG"/>
        </w:rPr>
        <w:tab/>
        <w:t xml:space="preserve">وتطلب صاحبة البلاغ أن </w:t>
      </w:r>
      <w:r>
        <w:rPr>
          <w:rFonts w:hint="cs"/>
          <w:rtl/>
          <w:lang w:eastAsia="ar-SA" w:bidi="ar-EG"/>
        </w:rPr>
        <w:t>توفر</w:t>
      </w:r>
      <w:r w:rsidRPr="00E23B21">
        <w:rPr>
          <w:rFonts w:hint="cs"/>
          <w:rtl/>
          <w:lang w:eastAsia="ar-SA" w:bidi="ar-EG"/>
        </w:rPr>
        <w:t xml:space="preserve"> لها الدولة الطرف سبل الانتصاف المناسبة، التي </w:t>
      </w:r>
      <w:r>
        <w:rPr>
          <w:rFonts w:hint="cs"/>
          <w:rtl/>
          <w:lang w:eastAsia="ar-SA" w:bidi="ar-EG"/>
        </w:rPr>
        <w:t>يمكن أن</w:t>
      </w:r>
      <w:r w:rsidRPr="00E23B21">
        <w:rPr>
          <w:rFonts w:hint="cs"/>
          <w:rtl/>
          <w:lang w:eastAsia="ar-SA" w:bidi="ar-EG"/>
        </w:rPr>
        <w:t xml:space="preserve"> تشمل</w:t>
      </w:r>
      <w:r>
        <w:rPr>
          <w:rFonts w:hint="cs"/>
          <w:rtl/>
          <w:lang w:eastAsia="ar-SA" w:bidi="ar-EG"/>
        </w:rPr>
        <w:t>،</w:t>
      </w:r>
      <w:r w:rsidRPr="00E23B21">
        <w:rPr>
          <w:rFonts w:hint="cs"/>
          <w:rtl/>
          <w:lang w:eastAsia="ar-SA" w:bidi="ar-EG"/>
        </w:rPr>
        <w:t xml:space="preserve"> على سبيل المثال لا الحصر: التعويض النقدي عما </w:t>
      </w:r>
      <w:proofErr w:type="spellStart"/>
      <w:r w:rsidRPr="00E23B21">
        <w:rPr>
          <w:rFonts w:hint="cs"/>
          <w:rtl/>
          <w:lang w:eastAsia="ar-SA" w:bidi="ar-EG"/>
        </w:rPr>
        <w:t>تكبدته</w:t>
      </w:r>
      <w:proofErr w:type="spellEnd"/>
      <w:r w:rsidRPr="00E23B21">
        <w:rPr>
          <w:rFonts w:hint="cs"/>
          <w:rtl/>
          <w:lang w:eastAsia="ar-SA" w:bidi="ar-EG"/>
        </w:rPr>
        <w:t xml:space="preserve"> من مصروفات طبية؛ وتعويضات غير نقدية؛ وإجراء تحقيق فعال في إساءة المعاملة يفضي إلى المقاضاة العادلة للمسؤولين ومعاقبتهم بالعقوبات الواجبة؛ وتقديم اعتذار رسمي. </w:t>
      </w:r>
    </w:p>
    <w:p w:rsidR="00EF3639" w:rsidRPr="00E23B21" w:rsidRDefault="00EF3639" w:rsidP="00EF3639">
      <w:pPr>
        <w:pStyle w:val="H23GA"/>
        <w:rPr>
          <w:rtl/>
          <w:lang w:bidi="ar-EG"/>
        </w:rPr>
      </w:pPr>
      <w:r w:rsidRPr="00E23B21">
        <w:rPr>
          <w:rtl/>
          <w:lang w:bidi="ar-EG"/>
        </w:rPr>
        <w:tab/>
      </w:r>
      <w:r w:rsidRPr="00E23B21">
        <w:rPr>
          <w:rtl/>
          <w:lang w:bidi="ar-EG"/>
        </w:rPr>
        <w:tab/>
      </w:r>
      <w:r w:rsidRPr="00E23B21">
        <w:rPr>
          <w:rFonts w:hint="cs"/>
          <w:rtl/>
          <w:lang w:bidi="ar-EG"/>
        </w:rPr>
        <w:t>الشكوى</w:t>
      </w:r>
    </w:p>
    <w:p w:rsidR="00EF3639" w:rsidRPr="00E23B21" w:rsidRDefault="00EF3639" w:rsidP="00021C6A">
      <w:pPr>
        <w:pStyle w:val="SingleTxtGA"/>
        <w:rPr>
          <w:rtl/>
          <w:lang w:eastAsia="ar-SA" w:bidi="ar-EG"/>
        </w:rPr>
      </w:pPr>
      <w:r w:rsidRPr="00E23B21">
        <w:rPr>
          <w:rFonts w:hint="cs"/>
          <w:rtl/>
          <w:lang w:eastAsia="ar-SA" w:bidi="ar-EG"/>
        </w:rPr>
        <w:t>3-1</w:t>
      </w:r>
      <w:r w:rsidRPr="00E23B21">
        <w:rPr>
          <w:rFonts w:hint="cs"/>
          <w:rtl/>
          <w:lang w:eastAsia="ar-SA" w:bidi="ar-EG"/>
        </w:rPr>
        <w:tab/>
        <w:t xml:space="preserve">تدعي صاحبة البلاغ أن إساءة </w:t>
      </w:r>
      <w:r>
        <w:rPr>
          <w:rFonts w:hint="cs"/>
          <w:rtl/>
          <w:lang w:eastAsia="ar-SA" w:bidi="ar-EG"/>
        </w:rPr>
        <w:t>ال</w:t>
      </w:r>
      <w:r w:rsidRPr="00E23B21">
        <w:rPr>
          <w:rFonts w:hint="cs"/>
          <w:rtl/>
          <w:lang w:eastAsia="ar-SA" w:bidi="ar-EG"/>
        </w:rPr>
        <w:t>معاملة</w:t>
      </w:r>
      <w:r>
        <w:rPr>
          <w:rFonts w:hint="cs"/>
          <w:rtl/>
          <w:lang w:eastAsia="ar-SA" w:bidi="ar-EG"/>
        </w:rPr>
        <w:t xml:space="preserve"> التي تعرضت لها</w:t>
      </w:r>
      <w:r w:rsidRPr="00E23B21">
        <w:rPr>
          <w:rFonts w:hint="cs"/>
          <w:rtl/>
          <w:lang w:eastAsia="ar-SA" w:bidi="ar-EG"/>
        </w:rPr>
        <w:t xml:space="preserve"> على أيدي الشرطة في الليلة الفاصلة بين يومي 19 و20 كانون الأول/ديسمبر 2010</w:t>
      </w:r>
      <w:r w:rsidR="00307A98">
        <w:rPr>
          <w:rFonts w:hint="cs"/>
          <w:rtl/>
          <w:lang w:eastAsia="ar-SA" w:bidi="ar-EG"/>
        </w:rPr>
        <w:t xml:space="preserve"> </w:t>
      </w:r>
      <w:r>
        <w:rPr>
          <w:rFonts w:hint="cs"/>
          <w:rtl/>
          <w:lang w:eastAsia="ar-SA" w:bidi="ar-EG"/>
        </w:rPr>
        <w:t>ترقى</w:t>
      </w:r>
      <w:r w:rsidRPr="00E23B21">
        <w:rPr>
          <w:rFonts w:hint="cs"/>
          <w:rtl/>
          <w:lang w:eastAsia="ar-SA" w:bidi="ar-EG"/>
        </w:rPr>
        <w:t xml:space="preserve"> إلى درجة انتهاك حقوقها بموجب المادة 7 من العهد. فقد ترتب على إساءة معاملته</w:t>
      </w:r>
      <w:r>
        <w:rPr>
          <w:rFonts w:hint="cs"/>
          <w:rtl/>
          <w:lang w:eastAsia="ar-SA" w:bidi="ar-EG"/>
        </w:rPr>
        <w:t>ا كسر رجلها وخضوعها لجراحة ومكوث</w:t>
      </w:r>
      <w:r w:rsidRPr="00E23B21">
        <w:rPr>
          <w:rFonts w:hint="cs"/>
          <w:rtl/>
          <w:lang w:eastAsia="ar-SA" w:bidi="ar-EG"/>
        </w:rPr>
        <w:t xml:space="preserve">ها في المستشفى لمدة أسبوع، </w:t>
      </w:r>
      <w:r>
        <w:rPr>
          <w:rFonts w:hint="cs"/>
          <w:rtl/>
          <w:lang w:eastAsia="ar-SA" w:bidi="ar-EG"/>
        </w:rPr>
        <w:t>ثم</w:t>
      </w:r>
      <w:r w:rsidRPr="00E23B21">
        <w:rPr>
          <w:rFonts w:hint="cs"/>
          <w:rtl/>
          <w:lang w:eastAsia="ar-SA" w:bidi="ar-EG"/>
        </w:rPr>
        <w:t xml:space="preserve"> فترة إعادة تأهيل طويلة. </w:t>
      </w:r>
      <w:r>
        <w:rPr>
          <w:rFonts w:hint="cs"/>
          <w:rtl/>
          <w:lang w:eastAsia="ar-SA" w:bidi="ar-EG"/>
        </w:rPr>
        <w:t>وتشير</w:t>
      </w:r>
      <w:r w:rsidRPr="00082FA4">
        <w:rPr>
          <w:rtl/>
        </w:rPr>
        <w:t xml:space="preserve"> </w:t>
      </w:r>
      <w:r w:rsidRPr="00082FA4">
        <w:rPr>
          <w:rtl/>
          <w:lang w:eastAsia="ar-SA" w:bidi="ar-EG"/>
        </w:rPr>
        <w:t>صاحبة البلاغ</w:t>
      </w:r>
      <w:r>
        <w:rPr>
          <w:rFonts w:hint="cs"/>
          <w:rtl/>
          <w:lang w:eastAsia="ar-SA" w:bidi="ar-EG"/>
        </w:rPr>
        <w:t xml:space="preserve"> إلى عدم وجود</w:t>
      </w:r>
      <w:r w:rsidRPr="00E23B21">
        <w:rPr>
          <w:rFonts w:hint="cs"/>
          <w:rtl/>
          <w:lang w:eastAsia="ar-SA" w:bidi="ar-EG"/>
        </w:rPr>
        <w:t xml:space="preserve"> </w:t>
      </w:r>
      <w:r>
        <w:rPr>
          <w:rFonts w:hint="cs"/>
          <w:rtl/>
          <w:lang w:eastAsia="ar-SA" w:bidi="ar-EG"/>
        </w:rPr>
        <w:t>ما يبرر</w:t>
      </w:r>
      <w:r w:rsidRPr="00E23B21">
        <w:rPr>
          <w:rFonts w:hint="cs"/>
          <w:rtl/>
          <w:lang w:eastAsia="ar-SA" w:bidi="ar-EG"/>
        </w:rPr>
        <w:t xml:space="preserve"> استخدام الشرطة للعنف، </w:t>
      </w:r>
      <w:r>
        <w:rPr>
          <w:rFonts w:hint="cs"/>
          <w:rtl/>
          <w:lang w:eastAsia="ar-SA" w:bidi="ar-EG"/>
        </w:rPr>
        <w:t>إذ</w:t>
      </w:r>
      <w:r w:rsidRPr="00E23B21">
        <w:rPr>
          <w:rFonts w:hint="cs"/>
          <w:rtl/>
          <w:lang w:eastAsia="ar-SA" w:bidi="ar-EG"/>
        </w:rPr>
        <w:t xml:space="preserve"> كانت </w:t>
      </w:r>
      <w:r>
        <w:rPr>
          <w:rFonts w:hint="cs"/>
          <w:rtl/>
          <w:lang w:eastAsia="ar-SA" w:bidi="ar-EG"/>
        </w:rPr>
        <w:t>تشارك</w:t>
      </w:r>
      <w:r w:rsidRPr="00E23B21">
        <w:rPr>
          <w:rFonts w:hint="cs"/>
          <w:rtl/>
          <w:lang w:eastAsia="ar-SA" w:bidi="ar-EG"/>
        </w:rPr>
        <w:t xml:space="preserve"> في تجمع سلمي. وتدَّعي صاحبة البلاغ أيضاً أنها لم تحصل فوراً على المساعدة الطبية، وتشير، </w:t>
      </w:r>
      <w:r>
        <w:rPr>
          <w:rFonts w:hint="cs"/>
          <w:rtl/>
          <w:lang w:eastAsia="ar-SA" w:bidi="ar-EG"/>
        </w:rPr>
        <w:t>من واقع ا</w:t>
      </w:r>
      <w:r w:rsidRPr="00E23B21">
        <w:rPr>
          <w:rFonts w:hint="cs"/>
          <w:rtl/>
          <w:lang w:eastAsia="ar-SA" w:bidi="ar-EG"/>
        </w:rPr>
        <w:t>ل</w:t>
      </w:r>
      <w:r>
        <w:rPr>
          <w:rFonts w:hint="cs"/>
          <w:rtl/>
          <w:lang w:eastAsia="ar-SA" w:bidi="ar-EG"/>
        </w:rPr>
        <w:t>سوابق القضائية للجنة، إلى أن الحظ</w:t>
      </w:r>
      <w:r w:rsidRPr="00E23B21">
        <w:rPr>
          <w:rFonts w:hint="cs"/>
          <w:rtl/>
          <w:lang w:eastAsia="ar-SA" w:bidi="ar-EG"/>
        </w:rPr>
        <w:t xml:space="preserve">ر المدرج في المادة 7 من العهد </w:t>
      </w:r>
      <w:r>
        <w:rPr>
          <w:rFonts w:hint="cs"/>
          <w:rtl/>
          <w:lang w:eastAsia="ar-SA" w:bidi="ar-EG"/>
        </w:rPr>
        <w:t>ي</w:t>
      </w:r>
      <w:r w:rsidRPr="00E23B21">
        <w:rPr>
          <w:rFonts w:hint="cs"/>
          <w:rtl/>
          <w:lang w:eastAsia="ar-SA" w:bidi="ar-EG"/>
        </w:rPr>
        <w:t>تعلق بالأفعال التي تسبب ألماً بدنياً و/أو</w:t>
      </w:r>
      <w:r w:rsidRPr="00E23B21">
        <w:rPr>
          <w:rFonts w:hint="eastAsia"/>
          <w:rtl/>
          <w:lang w:eastAsia="ar-SA" w:bidi="ar-EG"/>
        </w:rPr>
        <w:t> </w:t>
      </w:r>
      <w:r w:rsidRPr="00E23B21">
        <w:rPr>
          <w:rFonts w:hint="cs"/>
          <w:rtl/>
          <w:lang w:eastAsia="ar-SA" w:bidi="ar-EG"/>
        </w:rPr>
        <w:t xml:space="preserve">معاناة نفسية </w:t>
      </w:r>
      <w:proofErr w:type="gramStart"/>
      <w:r w:rsidRPr="00E23B21">
        <w:rPr>
          <w:rFonts w:hint="cs"/>
          <w:rtl/>
          <w:lang w:eastAsia="ar-SA" w:bidi="ar-EG"/>
        </w:rPr>
        <w:t>للضحية</w:t>
      </w:r>
      <w:r w:rsidRPr="00E23B21">
        <w:rPr>
          <w:vertAlign w:val="superscript"/>
          <w:rtl/>
          <w:lang w:eastAsia="ar-SA" w:bidi="ar-EG"/>
        </w:rPr>
        <w:t>(</w:t>
      </w:r>
      <w:proofErr w:type="gramEnd"/>
      <w:r w:rsidRPr="00E23B21">
        <w:rPr>
          <w:b/>
          <w:sz w:val="18"/>
          <w:szCs w:val="28"/>
          <w:vertAlign w:val="superscript"/>
          <w:rtl/>
          <w:lang w:eastAsia="ar-SA" w:bidi="ar-EG"/>
        </w:rPr>
        <w:footnoteReference w:id="3"/>
      </w:r>
      <w:r w:rsidRPr="00E23B21">
        <w:rPr>
          <w:vertAlign w:val="superscript"/>
          <w:rtl/>
          <w:lang w:eastAsia="ar-SA" w:bidi="ar-EG"/>
        </w:rPr>
        <w:t>)</w:t>
      </w:r>
      <w:r w:rsidRPr="00E23B21">
        <w:rPr>
          <w:rFonts w:hint="cs"/>
          <w:rtl/>
          <w:lang w:eastAsia="ar-SA" w:bidi="ar-EG"/>
        </w:rPr>
        <w:t>. وتدعي أيضاً أنها لم تتعرض للاعتداء البدني فحسب، وإنما ت</w:t>
      </w:r>
      <w:r>
        <w:rPr>
          <w:rFonts w:hint="cs"/>
          <w:rtl/>
          <w:lang w:eastAsia="ar-SA" w:bidi="ar-EG"/>
        </w:rPr>
        <w:t>ضرر</w:t>
      </w:r>
      <w:r w:rsidRPr="00E23B21">
        <w:rPr>
          <w:rFonts w:hint="cs"/>
          <w:rtl/>
          <w:lang w:eastAsia="ar-SA" w:bidi="ar-EG"/>
        </w:rPr>
        <w:t xml:space="preserve">ت أيضاً نفسياً، حيث أرادت السلطات </w:t>
      </w:r>
      <w:r>
        <w:rPr>
          <w:rFonts w:hint="cs"/>
          <w:rtl/>
          <w:lang w:eastAsia="ar-SA" w:bidi="ar-EG"/>
        </w:rPr>
        <w:t>أن تشعرها</w:t>
      </w:r>
      <w:r w:rsidRPr="00E23B21">
        <w:rPr>
          <w:rFonts w:hint="cs"/>
          <w:rtl/>
          <w:lang w:eastAsia="ar-SA" w:bidi="ar-EG"/>
        </w:rPr>
        <w:t xml:space="preserve"> باليأس وأن تؤذيها. وهي تدعي، علاوة</w:t>
      </w:r>
      <w:r>
        <w:rPr>
          <w:rFonts w:hint="cs"/>
          <w:rtl/>
          <w:lang w:eastAsia="ar-SA" w:bidi="ar-EG"/>
        </w:rPr>
        <w:t>ً</w:t>
      </w:r>
      <w:r w:rsidRPr="00E23B21">
        <w:rPr>
          <w:rFonts w:hint="cs"/>
          <w:rtl/>
          <w:lang w:eastAsia="ar-SA" w:bidi="ar-EG"/>
        </w:rPr>
        <w:t xml:space="preserve"> على ذلك، أنه ينبغي أن يؤخذ سنها ونوع جنسها في الاعتبار عند تقييم</w:t>
      </w:r>
      <w:r w:rsidR="00307A98">
        <w:rPr>
          <w:rFonts w:hint="cs"/>
          <w:rtl/>
          <w:lang w:eastAsia="ar-SA" w:bidi="ar-EG"/>
        </w:rPr>
        <w:t xml:space="preserve"> </w:t>
      </w:r>
      <w:r>
        <w:rPr>
          <w:rFonts w:hint="cs"/>
          <w:rtl/>
          <w:lang w:eastAsia="ar-SA" w:bidi="ar-EG"/>
        </w:rPr>
        <w:t>خطورة</w:t>
      </w:r>
      <w:r w:rsidRPr="00E23B21">
        <w:rPr>
          <w:rFonts w:hint="cs"/>
          <w:rtl/>
          <w:lang w:eastAsia="ar-SA" w:bidi="ar-EG"/>
        </w:rPr>
        <w:t xml:space="preserve"> إساءة المعاملة</w:t>
      </w:r>
      <w:r>
        <w:rPr>
          <w:rFonts w:hint="cs"/>
          <w:rtl/>
          <w:lang w:eastAsia="ar-SA" w:bidi="ar-EG"/>
        </w:rPr>
        <w:t xml:space="preserve"> التي تعرضت</w:t>
      </w:r>
      <w:r w:rsidR="00021C6A">
        <w:rPr>
          <w:rFonts w:hint="eastAsia"/>
          <w:rtl/>
          <w:lang w:eastAsia="ar-SA" w:bidi="ar-EG"/>
        </w:rPr>
        <w:t> </w:t>
      </w:r>
      <w:r>
        <w:rPr>
          <w:rFonts w:hint="cs"/>
          <w:rtl/>
          <w:lang w:eastAsia="ar-SA" w:bidi="ar-EG"/>
        </w:rPr>
        <w:t>لها</w:t>
      </w:r>
      <w:r w:rsidRPr="00E23B21">
        <w:rPr>
          <w:rFonts w:hint="cs"/>
          <w:rtl/>
          <w:lang w:eastAsia="ar-SA" w:bidi="ar-EG"/>
        </w:rPr>
        <w:t xml:space="preserve">. </w:t>
      </w:r>
    </w:p>
    <w:p w:rsidR="00EF3639" w:rsidRPr="00E23B21" w:rsidRDefault="00EF3639" w:rsidP="00021C6A">
      <w:pPr>
        <w:pStyle w:val="SingleTxtGA"/>
        <w:rPr>
          <w:rtl/>
          <w:lang w:eastAsia="ar-SA" w:bidi="ar-EG"/>
        </w:rPr>
      </w:pPr>
      <w:r w:rsidRPr="00E23B21">
        <w:rPr>
          <w:rFonts w:hint="cs"/>
          <w:rtl/>
          <w:lang w:eastAsia="ar-SA" w:bidi="ar-EG"/>
        </w:rPr>
        <w:t>3-2</w:t>
      </w:r>
      <w:r w:rsidRPr="00E23B21">
        <w:rPr>
          <w:rFonts w:hint="cs"/>
          <w:rtl/>
          <w:lang w:eastAsia="ar-SA" w:bidi="ar-EG"/>
        </w:rPr>
        <w:tab/>
        <w:t>وتلاحظ صاحبة البلاغ أن</w:t>
      </w:r>
      <w:r>
        <w:rPr>
          <w:rFonts w:hint="cs"/>
          <w:rtl/>
          <w:lang w:eastAsia="ar-SA" w:bidi="ar-EG"/>
        </w:rPr>
        <w:t xml:space="preserve"> من واجب </w:t>
      </w:r>
      <w:r w:rsidRPr="00E23B21">
        <w:rPr>
          <w:rFonts w:hint="cs"/>
          <w:rtl/>
          <w:lang w:eastAsia="ar-SA" w:bidi="ar-EG"/>
        </w:rPr>
        <w:t xml:space="preserve">السلطات المختصة، وفقاً للسوابق القضائية للجنة، </w:t>
      </w:r>
      <w:r>
        <w:rPr>
          <w:rFonts w:hint="cs"/>
          <w:rtl/>
          <w:lang w:eastAsia="ar-SA" w:bidi="ar-EG"/>
        </w:rPr>
        <w:t xml:space="preserve">إجراء </w:t>
      </w:r>
      <w:r w:rsidRPr="00E23B21">
        <w:rPr>
          <w:rFonts w:hint="cs"/>
          <w:rtl/>
          <w:lang w:eastAsia="ar-SA" w:bidi="ar-EG"/>
        </w:rPr>
        <w:t xml:space="preserve">تحقيق </w:t>
      </w:r>
      <w:r w:rsidRPr="00082FA4">
        <w:rPr>
          <w:rtl/>
          <w:lang w:eastAsia="ar-SA" w:bidi="ar-EG"/>
        </w:rPr>
        <w:t xml:space="preserve">فوري ونزيه </w:t>
      </w:r>
      <w:r>
        <w:rPr>
          <w:rFonts w:hint="cs"/>
          <w:rtl/>
          <w:lang w:eastAsia="ar-SA" w:bidi="ar-EG"/>
        </w:rPr>
        <w:t xml:space="preserve">في </w:t>
      </w:r>
      <w:r w:rsidRPr="00082FA4">
        <w:rPr>
          <w:rtl/>
          <w:lang w:eastAsia="ar-SA" w:bidi="ar-EG"/>
        </w:rPr>
        <w:t xml:space="preserve">شكاوى إساءة </w:t>
      </w:r>
      <w:proofErr w:type="gramStart"/>
      <w:r w:rsidRPr="00082FA4">
        <w:rPr>
          <w:rtl/>
          <w:lang w:eastAsia="ar-SA" w:bidi="ar-EG"/>
        </w:rPr>
        <w:t>المعاملة</w:t>
      </w:r>
      <w:r w:rsidRPr="00E23B21">
        <w:rPr>
          <w:vertAlign w:val="superscript"/>
          <w:rtl/>
          <w:lang w:eastAsia="ar-SA" w:bidi="ar-EG"/>
        </w:rPr>
        <w:t>(</w:t>
      </w:r>
      <w:proofErr w:type="gramEnd"/>
      <w:r w:rsidRPr="00E23B21">
        <w:rPr>
          <w:b/>
          <w:sz w:val="18"/>
          <w:szCs w:val="28"/>
          <w:vertAlign w:val="superscript"/>
          <w:rtl/>
          <w:lang w:eastAsia="ar-SA" w:bidi="ar-EG"/>
        </w:rPr>
        <w:footnoteReference w:id="4"/>
      </w:r>
      <w:r w:rsidRPr="00E23B21">
        <w:rPr>
          <w:vertAlign w:val="superscript"/>
          <w:rtl/>
          <w:lang w:eastAsia="ar-SA" w:bidi="ar-EG"/>
        </w:rPr>
        <w:t>)</w:t>
      </w:r>
      <w:r w:rsidRPr="00E23B21">
        <w:rPr>
          <w:rFonts w:hint="cs"/>
          <w:rtl/>
          <w:lang w:eastAsia="ar-SA" w:bidi="ar-EG"/>
        </w:rPr>
        <w:t xml:space="preserve">. وهي تدَّعي أن التحقيق الذي </w:t>
      </w:r>
      <w:r w:rsidRPr="00E23B21">
        <w:rPr>
          <w:rFonts w:hint="cs"/>
          <w:rtl/>
          <w:lang w:eastAsia="ar-SA" w:bidi="ar-EG"/>
        </w:rPr>
        <w:lastRenderedPageBreak/>
        <w:t xml:space="preserve">أُجري في قضيتها لا يفي </w:t>
      </w:r>
      <w:r>
        <w:rPr>
          <w:rFonts w:hint="cs"/>
          <w:rtl/>
          <w:lang w:eastAsia="ar-SA" w:bidi="ar-EG"/>
        </w:rPr>
        <w:t>ب</w:t>
      </w:r>
      <w:r w:rsidRPr="00E23B21">
        <w:rPr>
          <w:rFonts w:hint="cs"/>
          <w:rtl/>
          <w:lang w:eastAsia="ar-SA" w:bidi="ar-EG"/>
        </w:rPr>
        <w:t>متطلبات المادة 7 من العهد،</w:t>
      </w:r>
      <w:r w:rsidR="00307A98">
        <w:rPr>
          <w:rFonts w:hint="cs"/>
          <w:rtl/>
          <w:lang w:eastAsia="ar-SA" w:bidi="ar-EG"/>
        </w:rPr>
        <w:t xml:space="preserve"> </w:t>
      </w:r>
      <w:r>
        <w:rPr>
          <w:rFonts w:hint="cs"/>
          <w:rtl/>
          <w:lang w:eastAsia="ar-SA" w:bidi="ar-EG"/>
        </w:rPr>
        <w:t>لأن</w:t>
      </w:r>
      <w:r w:rsidRPr="00E23B21">
        <w:rPr>
          <w:rFonts w:hint="cs"/>
          <w:rtl/>
          <w:lang w:eastAsia="ar-SA" w:bidi="ar-EG"/>
        </w:rPr>
        <w:t xml:space="preserve"> مكتب النائب العام </w:t>
      </w:r>
      <w:r>
        <w:rPr>
          <w:rFonts w:hint="cs"/>
          <w:rtl/>
          <w:lang w:eastAsia="ar-SA" w:bidi="ar-EG"/>
        </w:rPr>
        <w:t xml:space="preserve">أحال </w:t>
      </w:r>
      <w:r w:rsidRPr="00E23B21">
        <w:rPr>
          <w:rFonts w:hint="cs"/>
          <w:rtl/>
          <w:lang w:eastAsia="ar-SA" w:bidi="ar-EG"/>
        </w:rPr>
        <w:t xml:space="preserve">شكواها في بادئ الأمر إلى الشرطة، </w:t>
      </w:r>
      <w:r>
        <w:rPr>
          <w:rFonts w:hint="cs"/>
          <w:rtl/>
          <w:lang w:eastAsia="ar-SA" w:bidi="ar-EG"/>
        </w:rPr>
        <w:t xml:space="preserve">أي إلى الجهة نفسها </w:t>
      </w:r>
      <w:r w:rsidRPr="00E23B21">
        <w:rPr>
          <w:rFonts w:hint="cs"/>
          <w:rtl/>
          <w:lang w:eastAsia="ar-SA" w:bidi="ar-EG"/>
        </w:rPr>
        <w:t>التي</w:t>
      </w:r>
      <w:r w:rsidR="00307A98">
        <w:rPr>
          <w:rFonts w:hint="cs"/>
          <w:rtl/>
          <w:lang w:eastAsia="ar-SA" w:bidi="ar-EG"/>
        </w:rPr>
        <w:t xml:space="preserve"> </w:t>
      </w:r>
      <w:r w:rsidRPr="00E23B21">
        <w:rPr>
          <w:rFonts w:hint="cs"/>
          <w:rtl/>
          <w:lang w:eastAsia="ar-SA" w:bidi="ar-EG"/>
        </w:rPr>
        <w:t>ينتمي إليها الجاني المدعى</w:t>
      </w:r>
      <w:r>
        <w:rPr>
          <w:rFonts w:hint="cs"/>
          <w:rtl/>
          <w:lang w:eastAsia="ar-SA" w:bidi="ar-EG"/>
        </w:rPr>
        <w:t xml:space="preserve"> عليه</w:t>
      </w:r>
      <w:r w:rsidRPr="00E23B21">
        <w:rPr>
          <w:rFonts w:hint="cs"/>
          <w:rtl/>
          <w:lang w:eastAsia="ar-SA" w:bidi="ar-EG"/>
        </w:rPr>
        <w:t>، و</w:t>
      </w:r>
      <w:r>
        <w:rPr>
          <w:rFonts w:hint="cs"/>
          <w:rtl/>
          <w:lang w:eastAsia="ar-SA" w:bidi="ar-EG"/>
        </w:rPr>
        <w:t xml:space="preserve">لأنه </w:t>
      </w:r>
      <w:r w:rsidRPr="00E23B21">
        <w:rPr>
          <w:rFonts w:hint="cs"/>
          <w:rtl/>
          <w:lang w:eastAsia="ar-SA" w:bidi="ar-EG"/>
        </w:rPr>
        <w:t>لم</w:t>
      </w:r>
      <w:r w:rsidR="00021C6A">
        <w:rPr>
          <w:rFonts w:hint="eastAsia"/>
          <w:rtl/>
          <w:lang w:eastAsia="ar-SA" w:bidi="ar-EG"/>
        </w:rPr>
        <w:t> </w:t>
      </w:r>
      <w:r w:rsidRPr="00E23B21">
        <w:rPr>
          <w:rFonts w:hint="cs"/>
          <w:rtl/>
          <w:lang w:eastAsia="ar-SA" w:bidi="ar-EG"/>
        </w:rPr>
        <w:t>ي</w:t>
      </w:r>
      <w:r>
        <w:rPr>
          <w:rFonts w:hint="cs"/>
          <w:rtl/>
          <w:lang w:eastAsia="ar-SA" w:bidi="ar-EG"/>
        </w:rPr>
        <w:t>ُ</w:t>
      </w:r>
      <w:r w:rsidRPr="00E23B21">
        <w:rPr>
          <w:rFonts w:hint="cs"/>
          <w:rtl/>
          <w:lang w:eastAsia="ar-SA" w:bidi="ar-EG"/>
        </w:rPr>
        <w:t>تخذ أي إجراء حتى أيار/مايو 2011 - أي بعد ستة أشهر من الأحداث. وفي ظروف هذه القضية</w:t>
      </w:r>
      <w:r>
        <w:rPr>
          <w:rFonts w:hint="cs"/>
          <w:rtl/>
          <w:lang w:eastAsia="ar-SA" w:bidi="ar-EG"/>
        </w:rPr>
        <w:t>،</w:t>
      </w:r>
      <w:r w:rsidRPr="00E23B21">
        <w:rPr>
          <w:rFonts w:hint="cs"/>
          <w:rtl/>
          <w:lang w:eastAsia="ar-SA" w:bidi="ar-EG"/>
        </w:rPr>
        <w:t xml:space="preserve"> افتقد التحقيق في مرحلته الأولى الحاسمة الاستقلالية المطلوبة ولم ي</w:t>
      </w:r>
      <w:r>
        <w:rPr>
          <w:rFonts w:hint="cs"/>
          <w:rtl/>
          <w:lang w:eastAsia="ar-SA" w:bidi="ar-EG"/>
        </w:rPr>
        <w:t>ُ</w:t>
      </w:r>
      <w:r w:rsidRPr="00E23B21">
        <w:rPr>
          <w:rFonts w:hint="cs"/>
          <w:rtl/>
          <w:lang w:eastAsia="ar-SA" w:bidi="ar-EG"/>
        </w:rPr>
        <w:t>جر بسرعة. ولم يحدد التحقيق، عندما أُعيد فتحه، المسؤولين عن إساءة معاملة صاحبة البلاغ. ولم يستجوب المحقق شهود العيان ولم يجر</w:t>
      </w:r>
      <w:r>
        <w:rPr>
          <w:rFonts w:hint="cs"/>
          <w:rtl/>
          <w:lang w:eastAsia="ar-SA" w:bidi="ar-EG"/>
        </w:rPr>
        <w:t>ِ</w:t>
      </w:r>
      <w:r w:rsidRPr="00E23B21">
        <w:rPr>
          <w:rFonts w:hint="cs"/>
          <w:rtl/>
          <w:lang w:eastAsia="ar-SA" w:bidi="ar-EG"/>
        </w:rPr>
        <w:t xml:space="preserve"> استعراضاً للمشتبه فيهم</w:t>
      </w:r>
      <w:r>
        <w:rPr>
          <w:rFonts w:hint="cs"/>
          <w:rtl/>
          <w:lang w:eastAsia="ar-SA" w:bidi="ar-EG"/>
        </w:rPr>
        <w:t xml:space="preserve"> للتعرف على الجاني</w:t>
      </w:r>
      <w:r w:rsidRPr="00E23B21">
        <w:rPr>
          <w:rFonts w:hint="cs"/>
          <w:rtl/>
          <w:lang w:eastAsia="ar-SA" w:bidi="ar-EG"/>
        </w:rPr>
        <w:t xml:space="preserve">. </w:t>
      </w:r>
    </w:p>
    <w:p w:rsidR="00EF3639" w:rsidRPr="00E23B21" w:rsidRDefault="00EF3639" w:rsidP="00EF3639">
      <w:pPr>
        <w:pStyle w:val="H23GA"/>
        <w:rPr>
          <w:rtl/>
          <w:lang w:bidi="ar-EG"/>
        </w:rPr>
      </w:pPr>
      <w:r w:rsidRPr="00E23B21">
        <w:rPr>
          <w:rtl/>
          <w:lang w:bidi="ar-EG"/>
        </w:rPr>
        <w:tab/>
      </w:r>
      <w:r w:rsidRPr="00E23B21">
        <w:rPr>
          <w:rtl/>
          <w:lang w:bidi="ar-EG"/>
        </w:rPr>
        <w:tab/>
      </w:r>
      <w:r w:rsidRPr="00E23B21">
        <w:rPr>
          <w:rFonts w:hint="cs"/>
          <w:rtl/>
          <w:lang w:bidi="ar-EG"/>
        </w:rPr>
        <w:t>إفادة الدولة الطرف</w:t>
      </w:r>
    </w:p>
    <w:p w:rsidR="00EF3639" w:rsidRDefault="00EF3639" w:rsidP="00021C6A">
      <w:pPr>
        <w:pStyle w:val="SingleTxtGA"/>
        <w:rPr>
          <w:rtl/>
          <w:lang w:eastAsia="ar-SA" w:bidi="ar-EG"/>
        </w:rPr>
      </w:pPr>
      <w:r w:rsidRPr="00E23B21">
        <w:rPr>
          <w:rFonts w:hint="cs"/>
          <w:rtl/>
          <w:lang w:eastAsia="ar-SA" w:bidi="ar-EG"/>
        </w:rPr>
        <w:t>4-</w:t>
      </w:r>
      <w:r w:rsidRPr="00E23B21">
        <w:rPr>
          <w:rFonts w:hint="cs"/>
          <w:rtl/>
          <w:lang w:eastAsia="ar-SA" w:bidi="ar-EG"/>
        </w:rPr>
        <w:tab/>
        <w:t>طلبت الدولة الطرف إلى صاحبة البلاغ، في مذكرة شفوية مؤرخة 5 كانون الثاني</w:t>
      </w:r>
      <w:proofErr w:type="gramStart"/>
      <w:r w:rsidRPr="00E23B21">
        <w:rPr>
          <w:rFonts w:hint="cs"/>
          <w:rtl/>
          <w:lang w:eastAsia="ar-SA" w:bidi="ar-EG"/>
        </w:rPr>
        <w:t>/</w:t>
      </w:r>
      <w:r w:rsidR="00307A98">
        <w:rPr>
          <w:rFonts w:hint="cs"/>
          <w:rtl/>
          <w:lang w:eastAsia="ar-SA" w:bidi="ar-EG"/>
        </w:rPr>
        <w:t xml:space="preserve"> </w:t>
      </w:r>
      <w:r>
        <w:rPr>
          <w:rFonts w:hint="cs"/>
          <w:rtl/>
          <w:lang w:eastAsia="ar-SA" w:bidi="ar-EG"/>
        </w:rPr>
        <w:t xml:space="preserve"> </w:t>
      </w:r>
      <w:r w:rsidRPr="00E23B21">
        <w:rPr>
          <w:rFonts w:hint="cs"/>
          <w:rtl/>
          <w:lang w:eastAsia="ar-SA" w:bidi="ar-EG"/>
        </w:rPr>
        <w:t>يناير</w:t>
      </w:r>
      <w:proofErr w:type="gramEnd"/>
      <w:r w:rsidRPr="00E23B21">
        <w:rPr>
          <w:rFonts w:hint="cs"/>
          <w:rtl/>
          <w:lang w:eastAsia="ar-SA" w:bidi="ar-EG"/>
        </w:rPr>
        <w:t xml:space="preserve"> 2013، أن تقدم الترجمة الروسية لبلاغها الأولي الذي قُدِّم بالإنكليزية. وأشارت الدولة الطرف إلى أنها، عند</w:t>
      </w:r>
      <w:r w:rsidR="00307A98">
        <w:rPr>
          <w:rFonts w:hint="cs"/>
          <w:rtl/>
          <w:lang w:eastAsia="ar-SA" w:bidi="ar-EG"/>
        </w:rPr>
        <w:t xml:space="preserve"> </w:t>
      </w:r>
      <w:r>
        <w:rPr>
          <w:rFonts w:hint="cs"/>
          <w:rtl/>
          <w:lang w:eastAsia="ar-SA" w:bidi="ar-EG"/>
        </w:rPr>
        <w:t xml:space="preserve">نظرها في </w:t>
      </w:r>
      <w:r w:rsidRPr="00E23B21">
        <w:rPr>
          <w:rFonts w:hint="cs"/>
          <w:rtl/>
          <w:lang w:eastAsia="ar-SA" w:bidi="ar-EG"/>
        </w:rPr>
        <w:t>بلاغات</w:t>
      </w:r>
      <w:r w:rsidR="00307A98">
        <w:rPr>
          <w:rFonts w:hint="cs"/>
          <w:rtl/>
          <w:lang w:eastAsia="ar-SA" w:bidi="ar-EG"/>
        </w:rPr>
        <w:t xml:space="preserve"> </w:t>
      </w:r>
      <w:r w:rsidRPr="00E23B21">
        <w:rPr>
          <w:rFonts w:hint="cs"/>
          <w:rtl/>
          <w:lang w:eastAsia="ar-SA" w:bidi="ar-EG"/>
        </w:rPr>
        <w:t>مقدمة بلغات غير ا</w:t>
      </w:r>
      <w:r>
        <w:rPr>
          <w:rFonts w:hint="cs"/>
          <w:rtl/>
          <w:lang w:eastAsia="ar-SA" w:bidi="ar-EG"/>
        </w:rPr>
        <w:t>لروسية أو البيلاروسية، قد لا يتس</w:t>
      </w:r>
      <w:r w:rsidRPr="00E23B21">
        <w:rPr>
          <w:rFonts w:hint="cs"/>
          <w:rtl/>
          <w:lang w:eastAsia="ar-SA" w:bidi="ar-EG"/>
        </w:rPr>
        <w:t>نى لها التأكد من دقة الترجمة ومن التحقق من الادعاءات الواردة في</w:t>
      </w:r>
      <w:r>
        <w:rPr>
          <w:rFonts w:hint="cs"/>
          <w:rtl/>
          <w:lang w:eastAsia="ar-SA" w:bidi="ar-EG"/>
        </w:rPr>
        <w:t xml:space="preserve"> هذه</w:t>
      </w:r>
      <w:r w:rsidRPr="00E23B21">
        <w:rPr>
          <w:rFonts w:hint="cs"/>
          <w:rtl/>
          <w:lang w:eastAsia="ar-SA" w:bidi="ar-EG"/>
        </w:rPr>
        <w:t xml:space="preserve"> البلاغات، ومن ثم قد </w:t>
      </w:r>
      <w:r>
        <w:rPr>
          <w:rFonts w:hint="cs"/>
          <w:rtl/>
          <w:lang w:eastAsia="ar-SA" w:bidi="ar-EG"/>
        </w:rPr>
        <w:t>لا</w:t>
      </w:r>
      <w:r w:rsidR="00021C6A">
        <w:rPr>
          <w:rFonts w:hint="eastAsia"/>
          <w:rtl/>
          <w:lang w:eastAsia="ar-SA" w:bidi="ar-EG"/>
        </w:rPr>
        <w:t> </w:t>
      </w:r>
      <w:r>
        <w:rPr>
          <w:rFonts w:hint="cs"/>
          <w:rtl/>
          <w:lang w:eastAsia="ar-SA" w:bidi="ar-EG"/>
        </w:rPr>
        <w:t>تتمكن</w:t>
      </w:r>
      <w:r w:rsidRPr="00E23B21">
        <w:rPr>
          <w:rFonts w:hint="cs"/>
          <w:rtl/>
          <w:lang w:eastAsia="ar-SA" w:bidi="ar-EG"/>
        </w:rPr>
        <w:t xml:space="preserve"> من الإسهام في النظر الموضوعي في البلاغات. والدولة الطرف على استعداد </w:t>
      </w:r>
      <w:r>
        <w:rPr>
          <w:rFonts w:hint="cs"/>
          <w:rtl/>
          <w:lang w:eastAsia="ar-SA" w:bidi="ar-EG"/>
        </w:rPr>
        <w:t>ل</w:t>
      </w:r>
      <w:r w:rsidRPr="00E23B21">
        <w:rPr>
          <w:rFonts w:hint="cs"/>
          <w:rtl/>
          <w:lang w:eastAsia="ar-SA" w:bidi="ar-EG"/>
        </w:rPr>
        <w:t>لنظر في مقبولية البلاغ</w:t>
      </w:r>
      <w:r w:rsidR="00307A98">
        <w:rPr>
          <w:rFonts w:hint="cs"/>
          <w:rtl/>
          <w:lang w:eastAsia="ar-SA" w:bidi="ar-EG"/>
        </w:rPr>
        <w:t xml:space="preserve"> </w:t>
      </w:r>
      <w:r>
        <w:rPr>
          <w:rFonts w:hint="cs"/>
          <w:rtl/>
          <w:lang w:eastAsia="ar-SA" w:bidi="ar-EG"/>
        </w:rPr>
        <w:t xml:space="preserve">بمجرد </w:t>
      </w:r>
      <w:r w:rsidRPr="00E23B21">
        <w:rPr>
          <w:rFonts w:hint="cs"/>
          <w:rtl/>
          <w:lang w:eastAsia="ar-SA" w:bidi="ar-EG"/>
        </w:rPr>
        <w:t xml:space="preserve">إتاحة الترجمة الروسية أو البيلاروسية للبلاغ. </w:t>
      </w:r>
    </w:p>
    <w:p w:rsidR="00EF3639" w:rsidRPr="007F5740" w:rsidRDefault="00EF3639" w:rsidP="00EF3639">
      <w:pPr>
        <w:pStyle w:val="H23GA"/>
        <w:rPr>
          <w:rtl/>
        </w:rPr>
      </w:pPr>
      <w:r>
        <w:rPr>
          <w:rtl/>
        </w:rPr>
        <w:tab/>
      </w:r>
      <w:r>
        <w:rPr>
          <w:rtl/>
        </w:rPr>
        <w:tab/>
      </w:r>
      <w:r w:rsidRPr="007F5740">
        <w:rPr>
          <w:rFonts w:hint="cs"/>
          <w:rtl/>
        </w:rPr>
        <w:t>إفادة صاحبة البلاغ</w:t>
      </w:r>
    </w:p>
    <w:p w:rsidR="00EF3639" w:rsidRPr="007F5740" w:rsidRDefault="00EF3639" w:rsidP="00EF3639">
      <w:pPr>
        <w:pStyle w:val="SingleTxtGA"/>
        <w:rPr>
          <w:rtl/>
        </w:rPr>
      </w:pPr>
      <w:r w:rsidRPr="007F5740">
        <w:rPr>
          <w:rFonts w:hint="cs"/>
          <w:rtl/>
        </w:rPr>
        <w:t>5-</w:t>
      </w:r>
      <w:r w:rsidRPr="007F5740">
        <w:rPr>
          <w:rFonts w:hint="cs"/>
          <w:rtl/>
        </w:rPr>
        <w:tab/>
        <w:t xml:space="preserve">في 11 كانون الثاني/يناير 2013، قدمت صاحبة البلاغ الترجمة الروسية لبلاغها الأولي. وهي تلاحظ أن الدولة الطرف ينبغي لها أن تنظم هيئاتها على نحو يتيح </w:t>
      </w:r>
      <w:r>
        <w:rPr>
          <w:rFonts w:hint="cs"/>
          <w:rtl/>
        </w:rPr>
        <w:t xml:space="preserve">لها </w:t>
      </w:r>
      <w:r w:rsidRPr="007F5740">
        <w:rPr>
          <w:rFonts w:hint="cs"/>
          <w:rtl/>
        </w:rPr>
        <w:t>التعامل مع البلاغات المقد</w:t>
      </w:r>
      <w:r>
        <w:rPr>
          <w:rFonts w:hint="cs"/>
          <w:rtl/>
        </w:rPr>
        <w:t>مة إلى اللجنة باللغات الرسمية و</w:t>
      </w:r>
      <w:r w:rsidRPr="007F5740">
        <w:rPr>
          <w:rFonts w:hint="cs"/>
          <w:rtl/>
        </w:rPr>
        <w:t xml:space="preserve">لغات العمل الخاصة باللجنة. </w:t>
      </w:r>
    </w:p>
    <w:p w:rsidR="00EF3639" w:rsidRPr="007F5740" w:rsidRDefault="00307A98" w:rsidP="00307A98">
      <w:pPr>
        <w:pStyle w:val="H23GA"/>
        <w:rPr>
          <w:rtl/>
        </w:rPr>
      </w:pPr>
      <w:r>
        <w:rPr>
          <w:rtl/>
        </w:rPr>
        <w:tab/>
      </w:r>
      <w:r>
        <w:rPr>
          <w:rtl/>
        </w:rPr>
        <w:tab/>
      </w:r>
      <w:r w:rsidR="00EF3639" w:rsidRPr="007F5740">
        <w:rPr>
          <w:rFonts w:hint="cs"/>
          <w:rtl/>
        </w:rPr>
        <w:t>ملاحظات الدولة الطرف بشأن المقبولية</w:t>
      </w:r>
    </w:p>
    <w:p w:rsidR="00EF3639" w:rsidRPr="007F5740" w:rsidRDefault="00EF3639" w:rsidP="00EF3639">
      <w:pPr>
        <w:pStyle w:val="SingleTxtGA"/>
        <w:rPr>
          <w:rtl/>
        </w:rPr>
      </w:pPr>
      <w:r w:rsidRPr="007F5740">
        <w:rPr>
          <w:rFonts w:hint="cs"/>
          <w:rtl/>
        </w:rPr>
        <w:t>6-1</w:t>
      </w:r>
      <w:r w:rsidRPr="007F5740">
        <w:rPr>
          <w:rFonts w:hint="cs"/>
          <w:rtl/>
        </w:rPr>
        <w:tab/>
        <w:t xml:space="preserve">قدمت الدولة الطرف، في مذكرة شفوية مؤرخة 17 كانون الأول/ديسمبر 2014، ملاحظاتها بشأن المقبولية فقط. ونظراً إلى أن البلاغ وترجمته الروسية قدمهما محامٍ، تعتبر الدولة الطرف أن مايا </w:t>
      </w:r>
      <w:proofErr w:type="spellStart"/>
      <w:r w:rsidRPr="007F5740">
        <w:rPr>
          <w:rFonts w:hint="cs"/>
          <w:rtl/>
        </w:rPr>
        <w:t>أبروم</w:t>
      </w:r>
      <w:r>
        <w:rPr>
          <w:rFonts w:hint="cs"/>
          <w:rtl/>
        </w:rPr>
        <w:t>ت</w:t>
      </w:r>
      <w:r w:rsidRPr="007F5740">
        <w:rPr>
          <w:rFonts w:hint="cs"/>
          <w:rtl/>
        </w:rPr>
        <w:t>شيك</w:t>
      </w:r>
      <w:proofErr w:type="spellEnd"/>
      <w:r w:rsidRPr="007F5740">
        <w:rPr>
          <w:rFonts w:hint="cs"/>
          <w:rtl/>
        </w:rPr>
        <w:t xml:space="preserve"> ليست صاحبة البلاغ، ومن ثم فإن البلاغ سُجل بما يخالف البروتوكول الاختياري. وتضيف الدولة الطرف أن التحقيق في الإصابة البدنية التي لحقت بصاحبة البلاغ لم ي</w:t>
      </w:r>
      <w:r>
        <w:rPr>
          <w:rFonts w:hint="cs"/>
          <w:rtl/>
        </w:rPr>
        <w:t>ُ</w:t>
      </w:r>
      <w:r w:rsidRPr="007F5740">
        <w:rPr>
          <w:rFonts w:hint="cs"/>
          <w:rtl/>
        </w:rPr>
        <w:t xml:space="preserve">غلق وإنما عُلّق </w:t>
      </w:r>
      <w:r>
        <w:rPr>
          <w:rFonts w:hint="cs"/>
          <w:rtl/>
        </w:rPr>
        <w:t>لتعذر</w:t>
      </w:r>
      <w:r w:rsidRPr="007F5740">
        <w:rPr>
          <w:rFonts w:hint="cs"/>
          <w:rtl/>
        </w:rPr>
        <w:t xml:space="preserve"> تحديد الأشخاص المسؤولين. ويمكن لصاحبة البلاغ الطعن في قرار تعليق التحقيق أمام وكيل نيابة. وتستنتج الدولة الطرف أن اللجنة لا ينبغي لها أن تنظر في البلاغ من حيث أسسه الموضوعية، لأنه قُدّم بما يخالف المواد 1 و2 و5 من البروتوكول الاختياري. وتشير الدولة الطرف إلى أنها، في ظل هذه الظروف، أوقف</w:t>
      </w:r>
      <w:r>
        <w:rPr>
          <w:rFonts w:hint="cs"/>
          <w:rtl/>
        </w:rPr>
        <w:t>ت</w:t>
      </w:r>
      <w:r w:rsidRPr="007F5740">
        <w:rPr>
          <w:rFonts w:hint="cs"/>
          <w:rtl/>
        </w:rPr>
        <w:t xml:space="preserve"> الإجراءات المتعلقة بهذه القضية. </w:t>
      </w:r>
    </w:p>
    <w:p w:rsidR="00EF3639" w:rsidRPr="007F5740" w:rsidRDefault="00EF3639" w:rsidP="00021C6A">
      <w:pPr>
        <w:pStyle w:val="SingleTxtGA"/>
        <w:rPr>
          <w:rtl/>
        </w:rPr>
      </w:pPr>
      <w:r w:rsidRPr="007F5740">
        <w:rPr>
          <w:rFonts w:hint="cs"/>
          <w:rtl/>
        </w:rPr>
        <w:t>6-2</w:t>
      </w:r>
      <w:r w:rsidRPr="007F5740">
        <w:rPr>
          <w:rFonts w:hint="cs"/>
          <w:rtl/>
        </w:rPr>
        <w:tab/>
        <w:t>وفي مذكرة شفوية مؤرخة 26 آذار/مارس 2015، كررت الدولة الطرف</w:t>
      </w:r>
      <w:r>
        <w:rPr>
          <w:rFonts w:hint="cs"/>
          <w:rtl/>
        </w:rPr>
        <w:t xml:space="preserve"> </w:t>
      </w:r>
      <w:r w:rsidRPr="007F5740">
        <w:rPr>
          <w:rFonts w:hint="cs"/>
          <w:rtl/>
        </w:rPr>
        <w:t xml:space="preserve">ملاحظاتها السابقة. </w:t>
      </w:r>
    </w:p>
    <w:p w:rsidR="00EF3639" w:rsidRPr="007F5740" w:rsidRDefault="00EF3639" w:rsidP="00EF3639">
      <w:pPr>
        <w:pStyle w:val="H23GA"/>
        <w:rPr>
          <w:rtl/>
        </w:rPr>
      </w:pPr>
      <w:r>
        <w:rPr>
          <w:rtl/>
        </w:rPr>
        <w:br w:type="page"/>
      </w:r>
      <w:r>
        <w:rPr>
          <w:rtl/>
        </w:rPr>
        <w:lastRenderedPageBreak/>
        <w:tab/>
      </w:r>
      <w:r>
        <w:rPr>
          <w:rtl/>
        </w:rPr>
        <w:tab/>
      </w:r>
      <w:r w:rsidRPr="007F5740">
        <w:rPr>
          <w:rFonts w:hint="cs"/>
          <w:rtl/>
        </w:rPr>
        <w:t>تعليقات صاحبة البلاغ على ملاحظات الدولة الطرف بشأن المقبولية</w:t>
      </w:r>
    </w:p>
    <w:p w:rsidR="00EF3639" w:rsidRPr="007F5740" w:rsidRDefault="00EF3639" w:rsidP="00EF3639">
      <w:pPr>
        <w:pStyle w:val="SingleTxtGA"/>
        <w:rPr>
          <w:rtl/>
        </w:rPr>
      </w:pPr>
      <w:r w:rsidRPr="007F5740">
        <w:rPr>
          <w:rFonts w:hint="cs"/>
          <w:rtl/>
        </w:rPr>
        <w:t>7-1</w:t>
      </w:r>
      <w:r w:rsidRPr="007F5740">
        <w:rPr>
          <w:rFonts w:hint="cs"/>
          <w:rtl/>
        </w:rPr>
        <w:tab/>
        <w:t xml:space="preserve">في 30 كانون الثاني/يناير 2015، أشارت صاحبة البلاغ إلى السوابق القضائية للجنة التي قضت فيها بأن </w:t>
      </w:r>
      <w:r>
        <w:rPr>
          <w:rFonts w:hint="cs"/>
          <w:rtl/>
        </w:rPr>
        <w:t xml:space="preserve">الأمر يعود </w:t>
      </w:r>
      <w:r w:rsidRPr="007F5740">
        <w:rPr>
          <w:rFonts w:hint="cs"/>
          <w:rtl/>
        </w:rPr>
        <w:t>للجنة أن تقرر ما إذا كان ينبغي تسجيل</w:t>
      </w:r>
      <w:r w:rsidR="00307A98">
        <w:rPr>
          <w:rFonts w:hint="cs"/>
          <w:rtl/>
        </w:rPr>
        <w:t xml:space="preserve"> </w:t>
      </w:r>
      <w:r w:rsidRPr="007F5740">
        <w:rPr>
          <w:rFonts w:hint="cs"/>
          <w:rtl/>
        </w:rPr>
        <w:t>بلاغ</w:t>
      </w:r>
      <w:r>
        <w:rPr>
          <w:rFonts w:hint="cs"/>
          <w:rtl/>
        </w:rPr>
        <w:t xml:space="preserve"> ما</w:t>
      </w:r>
      <w:r w:rsidRPr="007F5740">
        <w:rPr>
          <w:rFonts w:hint="cs"/>
          <w:rtl/>
        </w:rPr>
        <w:t xml:space="preserve"> أم </w:t>
      </w:r>
      <w:proofErr w:type="gramStart"/>
      <w:r w:rsidRPr="007F5740">
        <w:rPr>
          <w:rFonts w:hint="cs"/>
          <w:rtl/>
        </w:rPr>
        <w:t>لا</w:t>
      </w:r>
      <w:r w:rsidRPr="007F5740">
        <w:rPr>
          <w:vertAlign w:val="superscript"/>
          <w:rtl/>
        </w:rPr>
        <w:t>(</w:t>
      </w:r>
      <w:proofErr w:type="gramEnd"/>
      <w:r w:rsidRPr="007F5740">
        <w:rPr>
          <w:b/>
          <w:sz w:val="18"/>
          <w:szCs w:val="28"/>
          <w:vertAlign w:val="superscript"/>
          <w:rtl/>
        </w:rPr>
        <w:footnoteReference w:id="5"/>
      </w:r>
      <w:r w:rsidRPr="007F5740">
        <w:rPr>
          <w:vertAlign w:val="superscript"/>
          <w:rtl/>
        </w:rPr>
        <w:t>)</w:t>
      </w:r>
      <w:r w:rsidRPr="007F5740">
        <w:rPr>
          <w:rFonts w:hint="cs"/>
          <w:rtl/>
        </w:rPr>
        <w:t>. و</w:t>
      </w:r>
      <w:r>
        <w:rPr>
          <w:rFonts w:hint="cs"/>
          <w:rtl/>
        </w:rPr>
        <w:t>يمث</w:t>
      </w:r>
      <w:r w:rsidRPr="007F5740">
        <w:rPr>
          <w:rFonts w:hint="cs"/>
          <w:rtl/>
        </w:rPr>
        <w:t>ل صاحبة البلاغ أمام اللجنة محامٍ يمارس عمله في الاتحاد الروسي، وذلك بموجب توكيل رسمي وفقاً للنظام الداخلي للجنة. ولا تمثل أية شكوى ت</w:t>
      </w:r>
      <w:r>
        <w:rPr>
          <w:rFonts w:hint="cs"/>
          <w:rtl/>
        </w:rPr>
        <w:t>ُ</w:t>
      </w:r>
      <w:r w:rsidRPr="007F5740">
        <w:rPr>
          <w:rFonts w:hint="cs"/>
          <w:rtl/>
        </w:rPr>
        <w:t>قدم إلى مكتب النائب العام سبيل انتصاف فعالاً،</w:t>
      </w:r>
      <w:r w:rsidR="00307A98">
        <w:rPr>
          <w:rFonts w:hint="cs"/>
          <w:rtl/>
        </w:rPr>
        <w:t xml:space="preserve"> </w:t>
      </w:r>
      <w:r>
        <w:rPr>
          <w:rFonts w:hint="cs"/>
          <w:rtl/>
        </w:rPr>
        <w:t>لأن ذلك</w:t>
      </w:r>
      <w:r w:rsidRPr="007F5740">
        <w:rPr>
          <w:rFonts w:hint="cs"/>
          <w:rtl/>
        </w:rPr>
        <w:t xml:space="preserve"> لا</w:t>
      </w:r>
      <w:r w:rsidR="00307A98">
        <w:rPr>
          <w:rFonts w:hint="cs"/>
          <w:rtl/>
        </w:rPr>
        <w:t xml:space="preserve"> </w:t>
      </w:r>
      <w:r>
        <w:rPr>
          <w:rFonts w:hint="cs"/>
          <w:rtl/>
        </w:rPr>
        <w:t>تيح</w:t>
      </w:r>
      <w:r w:rsidRPr="007F5740">
        <w:rPr>
          <w:rFonts w:hint="cs"/>
          <w:rtl/>
        </w:rPr>
        <w:t xml:space="preserve"> </w:t>
      </w:r>
      <w:r>
        <w:rPr>
          <w:rFonts w:hint="cs"/>
          <w:rtl/>
        </w:rPr>
        <w:t>إجراء</w:t>
      </w:r>
      <w:r w:rsidR="00307A98">
        <w:rPr>
          <w:rFonts w:hint="cs"/>
          <w:rtl/>
        </w:rPr>
        <w:t xml:space="preserve"> </w:t>
      </w:r>
      <w:r>
        <w:rPr>
          <w:rFonts w:hint="cs"/>
          <w:rtl/>
        </w:rPr>
        <w:t>مراجعة</w:t>
      </w:r>
      <w:r w:rsidRPr="007F5740">
        <w:rPr>
          <w:rFonts w:hint="cs"/>
          <w:rtl/>
        </w:rPr>
        <w:t xml:space="preserve"> حضوري</w:t>
      </w:r>
      <w:r>
        <w:rPr>
          <w:rFonts w:hint="cs"/>
          <w:rtl/>
        </w:rPr>
        <w:t>ة</w:t>
      </w:r>
      <w:r w:rsidRPr="007F5740">
        <w:rPr>
          <w:rFonts w:hint="cs"/>
          <w:rtl/>
        </w:rPr>
        <w:t xml:space="preserve"> ومستقل</w:t>
      </w:r>
      <w:r>
        <w:rPr>
          <w:rFonts w:hint="cs"/>
          <w:rtl/>
        </w:rPr>
        <w:t>ة</w:t>
      </w:r>
      <w:r w:rsidRPr="007F5740">
        <w:rPr>
          <w:rFonts w:hint="cs"/>
          <w:rtl/>
        </w:rPr>
        <w:t xml:space="preserve"> </w:t>
      </w:r>
      <w:r>
        <w:rPr>
          <w:rFonts w:hint="cs"/>
          <w:rtl/>
        </w:rPr>
        <w:t>م</w:t>
      </w:r>
      <w:r w:rsidRPr="007F5740">
        <w:rPr>
          <w:rFonts w:hint="cs"/>
          <w:rtl/>
        </w:rPr>
        <w:t>ماثل</w:t>
      </w:r>
      <w:r>
        <w:rPr>
          <w:rFonts w:hint="cs"/>
          <w:rtl/>
        </w:rPr>
        <w:t>ة</w:t>
      </w:r>
      <w:r w:rsidR="00307A98">
        <w:rPr>
          <w:rFonts w:hint="cs"/>
          <w:rtl/>
        </w:rPr>
        <w:t xml:space="preserve"> </w:t>
      </w:r>
      <w:r>
        <w:rPr>
          <w:rFonts w:hint="cs"/>
          <w:rtl/>
        </w:rPr>
        <w:t>للمراجعة</w:t>
      </w:r>
      <w:r w:rsidRPr="007F5740">
        <w:rPr>
          <w:rFonts w:hint="cs"/>
          <w:rtl/>
        </w:rPr>
        <w:t xml:space="preserve"> القضائي</w:t>
      </w:r>
      <w:r>
        <w:rPr>
          <w:rFonts w:hint="cs"/>
          <w:rtl/>
        </w:rPr>
        <w:t>ة</w:t>
      </w:r>
      <w:r w:rsidRPr="007F5740">
        <w:rPr>
          <w:rFonts w:hint="cs"/>
          <w:rtl/>
        </w:rPr>
        <w:t>. ولذلك لا ينبغي أن ي</w:t>
      </w:r>
      <w:r>
        <w:rPr>
          <w:rFonts w:hint="cs"/>
          <w:rtl/>
        </w:rPr>
        <w:t>ُ</w:t>
      </w:r>
      <w:r w:rsidRPr="007F5740">
        <w:rPr>
          <w:rFonts w:hint="cs"/>
          <w:rtl/>
        </w:rPr>
        <w:t>شترط استنفاد هذا السبيل من سبل الانتصاف. وفيما يتعلق بالانتصاف القضائي، ف</w:t>
      </w:r>
      <w:r>
        <w:rPr>
          <w:rFonts w:hint="cs"/>
          <w:rtl/>
        </w:rPr>
        <w:t>هو</w:t>
      </w:r>
      <w:r w:rsidRPr="007F5740">
        <w:rPr>
          <w:rFonts w:hint="cs"/>
          <w:rtl/>
        </w:rPr>
        <w:t xml:space="preserve"> غير متاح</w:t>
      </w:r>
      <w:r>
        <w:rPr>
          <w:rFonts w:hint="cs"/>
          <w:rtl/>
        </w:rPr>
        <w:t>،</w:t>
      </w:r>
      <w:r w:rsidRPr="007F5740">
        <w:rPr>
          <w:rFonts w:hint="cs"/>
          <w:rtl/>
        </w:rPr>
        <w:t xml:space="preserve"> في قضية صاحبة البلاغ</w:t>
      </w:r>
      <w:r>
        <w:rPr>
          <w:rFonts w:hint="cs"/>
          <w:rtl/>
        </w:rPr>
        <w:t>،</w:t>
      </w:r>
      <w:r w:rsidR="00307A98">
        <w:rPr>
          <w:rFonts w:hint="cs"/>
          <w:rtl/>
        </w:rPr>
        <w:t xml:space="preserve"> </w:t>
      </w:r>
      <w:r>
        <w:rPr>
          <w:rFonts w:hint="cs"/>
          <w:rtl/>
        </w:rPr>
        <w:t>في إطار ا</w:t>
      </w:r>
      <w:r w:rsidRPr="007F5740">
        <w:rPr>
          <w:rFonts w:hint="cs"/>
          <w:rtl/>
        </w:rPr>
        <w:t xml:space="preserve">لقانون المحلي. </w:t>
      </w:r>
    </w:p>
    <w:p w:rsidR="00EF3639" w:rsidRPr="007F5740" w:rsidRDefault="00EF3639" w:rsidP="00021C6A">
      <w:pPr>
        <w:pStyle w:val="SingleTxtGA"/>
        <w:rPr>
          <w:rtl/>
        </w:rPr>
      </w:pPr>
      <w:r w:rsidRPr="007F5740">
        <w:rPr>
          <w:rFonts w:hint="cs"/>
          <w:rtl/>
        </w:rPr>
        <w:t>7-2</w:t>
      </w:r>
      <w:r w:rsidRPr="007F5740">
        <w:rPr>
          <w:rFonts w:hint="cs"/>
          <w:rtl/>
        </w:rPr>
        <w:tab/>
        <w:t>وفي 2 أيار/مايو 2015،</w:t>
      </w:r>
      <w:r w:rsidR="00307A98">
        <w:rPr>
          <w:rFonts w:hint="cs"/>
          <w:rtl/>
        </w:rPr>
        <w:t xml:space="preserve"> </w:t>
      </w:r>
      <w:r>
        <w:rPr>
          <w:rFonts w:hint="cs"/>
          <w:rtl/>
        </w:rPr>
        <w:t>دفعت</w:t>
      </w:r>
      <w:r w:rsidRPr="007F5740">
        <w:rPr>
          <w:rFonts w:hint="cs"/>
          <w:rtl/>
        </w:rPr>
        <w:t xml:space="preserve"> صاحبة البلاغ</w:t>
      </w:r>
      <w:r w:rsidR="00307A98">
        <w:rPr>
          <w:rFonts w:hint="cs"/>
          <w:rtl/>
        </w:rPr>
        <w:t xml:space="preserve"> </w:t>
      </w:r>
      <w:r>
        <w:rPr>
          <w:rFonts w:hint="cs"/>
          <w:rtl/>
        </w:rPr>
        <w:t>ب</w:t>
      </w:r>
      <w:r w:rsidRPr="007F5740">
        <w:rPr>
          <w:rFonts w:hint="cs"/>
          <w:rtl/>
        </w:rPr>
        <w:t xml:space="preserve">أن ملاحظات الدولة الطرف </w:t>
      </w:r>
      <w:r w:rsidRPr="00021C6A">
        <w:rPr>
          <w:rFonts w:hint="cs"/>
          <w:spacing w:val="-4"/>
          <w:rtl/>
        </w:rPr>
        <w:t>المؤرخة</w:t>
      </w:r>
      <w:r w:rsidR="00021C6A" w:rsidRPr="00021C6A">
        <w:rPr>
          <w:rFonts w:hint="eastAsia"/>
          <w:spacing w:val="-4"/>
          <w:rtl/>
        </w:rPr>
        <w:t> </w:t>
      </w:r>
      <w:r w:rsidRPr="00021C6A">
        <w:rPr>
          <w:rFonts w:hint="cs"/>
          <w:spacing w:val="-4"/>
          <w:rtl/>
        </w:rPr>
        <w:t>26 آذار/مارس 2015 كانت تماثل ملاحظاتها المؤرخة 17 كانون الأول/ديسمبر</w:t>
      </w:r>
      <w:r w:rsidRPr="007F5740">
        <w:rPr>
          <w:rFonts w:hint="cs"/>
          <w:rtl/>
        </w:rPr>
        <w:t xml:space="preserve"> 2014. ولذلك</w:t>
      </w:r>
      <w:r w:rsidR="00307A98">
        <w:rPr>
          <w:rFonts w:hint="cs"/>
          <w:rtl/>
        </w:rPr>
        <w:t xml:space="preserve"> </w:t>
      </w:r>
      <w:r>
        <w:rPr>
          <w:rFonts w:hint="cs"/>
          <w:rtl/>
        </w:rPr>
        <w:t>تحيل</w:t>
      </w:r>
      <w:r w:rsidRPr="007F5740">
        <w:rPr>
          <w:rFonts w:hint="cs"/>
          <w:rtl/>
        </w:rPr>
        <w:t xml:space="preserve"> صاحبة البلاغ إلى تعليقاتها المؤرخة 30 كانون الثاني/يناير 2015. وترى صاحبة البلاغ أن الدولة الطرف، بتقديمها ملاحظات مماثلة غير مدعومة بأدلة، تكون قد أساءت استعمال حقها بموجب المادة 4(2) من البروتوكول الاختياري.</w:t>
      </w:r>
    </w:p>
    <w:p w:rsidR="00EF3639" w:rsidRPr="007F5740" w:rsidRDefault="00EF3639" w:rsidP="00EF3639">
      <w:pPr>
        <w:pStyle w:val="H23GA"/>
        <w:rPr>
          <w:rtl/>
        </w:rPr>
      </w:pPr>
      <w:r>
        <w:rPr>
          <w:rtl/>
        </w:rPr>
        <w:tab/>
      </w:r>
      <w:r>
        <w:rPr>
          <w:rtl/>
        </w:rPr>
        <w:tab/>
      </w:r>
      <w:r w:rsidRPr="007F5740">
        <w:rPr>
          <w:rFonts w:hint="cs"/>
          <w:rtl/>
        </w:rPr>
        <w:t xml:space="preserve">المسائل والإجراءات المعروضة على اللجنة </w:t>
      </w:r>
    </w:p>
    <w:p w:rsidR="00EF3639" w:rsidRPr="000717C8" w:rsidRDefault="00EF3639" w:rsidP="00EF3639">
      <w:pPr>
        <w:pStyle w:val="H4GA"/>
        <w:rPr>
          <w:rtl/>
        </w:rPr>
      </w:pPr>
      <w:r>
        <w:rPr>
          <w:rtl/>
        </w:rPr>
        <w:tab/>
      </w:r>
      <w:r>
        <w:rPr>
          <w:rtl/>
        </w:rPr>
        <w:tab/>
      </w:r>
      <w:r w:rsidRPr="000717C8">
        <w:rPr>
          <w:rFonts w:hint="cs"/>
          <w:rtl/>
        </w:rPr>
        <w:t>عدم التعاون من جانب الدولة الطرف</w:t>
      </w:r>
    </w:p>
    <w:p w:rsidR="00EF3639" w:rsidRPr="007F5740" w:rsidRDefault="00EF3639" w:rsidP="00EF3639">
      <w:pPr>
        <w:pStyle w:val="SingleTxtGA"/>
        <w:rPr>
          <w:rtl/>
        </w:rPr>
      </w:pPr>
      <w:r w:rsidRPr="007F5740">
        <w:rPr>
          <w:rFonts w:hint="cs"/>
          <w:rtl/>
        </w:rPr>
        <w:t>8-1</w:t>
      </w:r>
      <w:r w:rsidRPr="007F5740">
        <w:rPr>
          <w:rFonts w:hint="cs"/>
          <w:rtl/>
        </w:rPr>
        <w:tab/>
      </w:r>
      <w:r>
        <w:rPr>
          <w:rFonts w:hint="cs"/>
          <w:rtl/>
        </w:rPr>
        <w:t>تحيط</w:t>
      </w:r>
      <w:r w:rsidRPr="007F5740">
        <w:rPr>
          <w:rFonts w:hint="cs"/>
          <w:rtl/>
        </w:rPr>
        <w:t xml:space="preserve"> اللجنة </w:t>
      </w:r>
      <w:r>
        <w:rPr>
          <w:rFonts w:hint="cs"/>
          <w:rtl/>
        </w:rPr>
        <w:t>علم</w:t>
      </w:r>
      <w:r w:rsidR="00021C6A">
        <w:rPr>
          <w:rFonts w:hint="cs"/>
          <w:rtl/>
        </w:rPr>
        <w:t xml:space="preserve">اً </w:t>
      </w:r>
      <w:r>
        <w:rPr>
          <w:rFonts w:hint="cs"/>
          <w:rtl/>
        </w:rPr>
        <w:t>ب</w:t>
      </w:r>
      <w:r w:rsidRPr="007F5740">
        <w:rPr>
          <w:rFonts w:hint="cs"/>
          <w:rtl/>
        </w:rPr>
        <w:t>تأكيد الدولة الطرف عدم وجود أسس قانونية للنظر في البلاغ،</w:t>
      </w:r>
      <w:r w:rsidR="00307A98">
        <w:rPr>
          <w:rFonts w:hint="cs"/>
          <w:rtl/>
        </w:rPr>
        <w:t xml:space="preserve"> </w:t>
      </w:r>
      <w:r>
        <w:rPr>
          <w:rFonts w:hint="cs"/>
          <w:rtl/>
        </w:rPr>
        <w:t>على اعتبار أنه</w:t>
      </w:r>
      <w:r w:rsidRPr="007F5740">
        <w:rPr>
          <w:rFonts w:hint="cs"/>
          <w:rtl/>
        </w:rPr>
        <w:t xml:space="preserve"> سُجل </w:t>
      </w:r>
      <w:r>
        <w:rPr>
          <w:rFonts w:hint="cs"/>
          <w:rtl/>
        </w:rPr>
        <w:t>بما</w:t>
      </w:r>
      <w:r w:rsidRPr="007F5740">
        <w:rPr>
          <w:rFonts w:hint="cs"/>
          <w:rtl/>
        </w:rPr>
        <w:t xml:space="preserve"> يخالف البروتوكول الاختياري، و</w:t>
      </w:r>
      <w:r>
        <w:rPr>
          <w:rFonts w:hint="cs"/>
          <w:rtl/>
        </w:rPr>
        <w:t>لا سيما أ</w:t>
      </w:r>
      <w:r w:rsidRPr="007F5740">
        <w:rPr>
          <w:rFonts w:hint="cs"/>
          <w:rtl/>
        </w:rPr>
        <w:t>ن صاحبة البلاغ لم تقدمه بنفسها وإنما قدمه محامٍ، ولأن سبل الانتصاف المحلية لم ت</w:t>
      </w:r>
      <w:r>
        <w:rPr>
          <w:rFonts w:hint="cs"/>
          <w:rtl/>
        </w:rPr>
        <w:t>ُ</w:t>
      </w:r>
      <w:r w:rsidRPr="007F5740">
        <w:rPr>
          <w:rFonts w:hint="cs"/>
          <w:rtl/>
        </w:rPr>
        <w:t>ستنفد.</w:t>
      </w:r>
      <w:r w:rsidR="00307A98">
        <w:rPr>
          <w:rFonts w:hint="cs"/>
          <w:rtl/>
        </w:rPr>
        <w:t xml:space="preserve"> و</w:t>
      </w:r>
      <w:r>
        <w:rPr>
          <w:rFonts w:hint="cs"/>
          <w:rtl/>
        </w:rPr>
        <w:t>تحيط</w:t>
      </w:r>
      <w:r w:rsidRPr="007F5740">
        <w:rPr>
          <w:rFonts w:hint="cs"/>
          <w:rtl/>
        </w:rPr>
        <w:t xml:space="preserve"> اللجنة</w:t>
      </w:r>
      <w:r>
        <w:rPr>
          <w:rFonts w:hint="cs"/>
          <w:rtl/>
        </w:rPr>
        <w:t xml:space="preserve"> علم</w:t>
      </w:r>
      <w:r w:rsidR="00021C6A">
        <w:rPr>
          <w:rFonts w:hint="cs"/>
          <w:rtl/>
        </w:rPr>
        <w:t xml:space="preserve">اً </w:t>
      </w:r>
      <w:r w:rsidRPr="007F5740">
        <w:rPr>
          <w:rFonts w:hint="cs"/>
          <w:rtl/>
        </w:rPr>
        <w:t xml:space="preserve">أيضاً </w:t>
      </w:r>
      <w:r>
        <w:rPr>
          <w:rFonts w:hint="cs"/>
          <w:rtl/>
        </w:rPr>
        <w:t>ب</w:t>
      </w:r>
      <w:r w:rsidRPr="007F5740">
        <w:rPr>
          <w:rFonts w:hint="cs"/>
          <w:rtl/>
        </w:rPr>
        <w:t>بيان الدولة الطرف الذي</w:t>
      </w:r>
      <w:r w:rsidR="00307A98">
        <w:rPr>
          <w:rFonts w:hint="cs"/>
          <w:rtl/>
        </w:rPr>
        <w:t xml:space="preserve"> </w:t>
      </w:r>
      <w:r>
        <w:rPr>
          <w:rFonts w:hint="cs"/>
          <w:rtl/>
        </w:rPr>
        <w:t>قالت</w:t>
      </w:r>
      <w:r w:rsidRPr="007F5740">
        <w:rPr>
          <w:rFonts w:hint="cs"/>
          <w:rtl/>
        </w:rPr>
        <w:t xml:space="preserve"> فيه</w:t>
      </w:r>
      <w:r w:rsidR="00307A98">
        <w:rPr>
          <w:rFonts w:hint="cs"/>
          <w:rtl/>
        </w:rPr>
        <w:t xml:space="preserve"> </w:t>
      </w:r>
      <w:r>
        <w:rPr>
          <w:rFonts w:hint="cs"/>
          <w:rtl/>
        </w:rPr>
        <w:t>إ</w:t>
      </w:r>
      <w:r w:rsidRPr="007F5740">
        <w:rPr>
          <w:rFonts w:hint="cs"/>
          <w:rtl/>
        </w:rPr>
        <w:t xml:space="preserve">نها أوقفت إجراءاتها المتعلقة بهذا البلاغ أمام اللجنة. </w:t>
      </w:r>
    </w:p>
    <w:p w:rsidR="00EF3639" w:rsidRPr="007F5740" w:rsidRDefault="00EF3639" w:rsidP="00EF3639">
      <w:pPr>
        <w:pStyle w:val="SingleTxtGA"/>
        <w:rPr>
          <w:rtl/>
        </w:rPr>
      </w:pPr>
      <w:r w:rsidRPr="007F5740">
        <w:rPr>
          <w:rFonts w:hint="cs"/>
          <w:rtl/>
        </w:rPr>
        <w:t>8-2</w:t>
      </w:r>
      <w:r w:rsidRPr="007F5740">
        <w:rPr>
          <w:rFonts w:hint="cs"/>
          <w:rtl/>
        </w:rPr>
        <w:tab/>
        <w:t>وتذكّر اللجنة بممارستها، على النحو المدرج في المادة 96(ب) من نظامها الداخلي، وهي جواز أن يُمثّ</w:t>
      </w:r>
      <w:r>
        <w:rPr>
          <w:rFonts w:hint="cs"/>
          <w:rtl/>
        </w:rPr>
        <w:t>َ</w:t>
      </w:r>
      <w:r w:rsidRPr="007F5740">
        <w:rPr>
          <w:rFonts w:hint="cs"/>
          <w:rtl/>
        </w:rPr>
        <w:t>ل الأفراد بشخص من اختيارهم، بشرط أن يكون مفوضاً على النحو</w:t>
      </w:r>
      <w:r w:rsidR="00307A98">
        <w:rPr>
          <w:rFonts w:hint="cs"/>
          <w:rtl/>
        </w:rPr>
        <w:t xml:space="preserve"> </w:t>
      </w:r>
      <w:r>
        <w:rPr>
          <w:rFonts w:hint="cs"/>
          <w:rtl/>
        </w:rPr>
        <w:t>الصحيح</w:t>
      </w:r>
      <w:r w:rsidRPr="007F5740">
        <w:rPr>
          <w:rFonts w:hint="cs"/>
          <w:rtl/>
        </w:rPr>
        <w:t xml:space="preserve">. ويجوز أيضاً قبول </w:t>
      </w:r>
      <w:r>
        <w:rPr>
          <w:rFonts w:hint="cs"/>
          <w:rtl/>
        </w:rPr>
        <w:t>بلاغ مُ</w:t>
      </w:r>
      <w:r w:rsidRPr="007F5740">
        <w:rPr>
          <w:rFonts w:hint="cs"/>
          <w:rtl/>
        </w:rPr>
        <w:t>قدم نيابة عن ضحية</w:t>
      </w:r>
      <w:r w:rsidR="00307A98">
        <w:rPr>
          <w:rFonts w:hint="cs"/>
          <w:rtl/>
        </w:rPr>
        <w:t xml:space="preserve"> </w:t>
      </w:r>
      <w:r>
        <w:rPr>
          <w:rFonts w:hint="cs"/>
          <w:rtl/>
        </w:rPr>
        <w:t>مزعومة</w:t>
      </w:r>
      <w:r w:rsidRPr="007F5740">
        <w:rPr>
          <w:rFonts w:hint="cs"/>
          <w:rtl/>
        </w:rPr>
        <w:t xml:space="preserve"> عندما يتضح أن الشخص المعني غير قادر على تقديم البلاغ</w:t>
      </w:r>
      <w:r w:rsidR="00307A98">
        <w:rPr>
          <w:rFonts w:hint="cs"/>
          <w:rtl/>
        </w:rPr>
        <w:t xml:space="preserve"> </w:t>
      </w:r>
      <w:r>
        <w:rPr>
          <w:rFonts w:hint="cs"/>
          <w:rtl/>
        </w:rPr>
        <w:t>بنفسه</w:t>
      </w:r>
      <w:r w:rsidRPr="007F5740">
        <w:rPr>
          <w:rFonts w:hint="cs"/>
          <w:rtl/>
        </w:rPr>
        <w:t>.</w:t>
      </w:r>
      <w:r w:rsidR="00307A98">
        <w:rPr>
          <w:rFonts w:hint="cs"/>
          <w:rtl/>
        </w:rPr>
        <w:t xml:space="preserve"> و</w:t>
      </w:r>
      <w:r w:rsidRPr="007F5740">
        <w:rPr>
          <w:rFonts w:hint="cs"/>
          <w:rtl/>
        </w:rPr>
        <w:t>انضمام</w:t>
      </w:r>
      <w:r w:rsidR="00307A98">
        <w:rPr>
          <w:rFonts w:hint="cs"/>
          <w:rtl/>
        </w:rPr>
        <w:t xml:space="preserve"> </w:t>
      </w:r>
      <w:r w:rsidRPr="007F5740">
        <w:rPr>
          <w:rFonts w:hint="cs"/>
          <w:rtl/>
        </w:rPr>
        <w:t>دول إلى البروتوكول الاختياري</w:t>
      </w:r>
      <w:r w:rsidR="00307A98">
        <w:rPr>
          <w:rFonts w:hint="cs"/>
          <w:rtl/>
        </w:rPr>
        <w:t xml:space="preserve"> </w:t>
      </w:r>
      <w:r w:rsidRPr="007F5740">
        <w:rPr>
          <w:rFonts w:hint="cs"/>
          <w:rtl/>
        </w:rPr>
        <w:t xml:space="preserve">يعني ضمناً </w:t>
      </w:r>
      <w:r>
        <w:rPr>
          <w:rFonts w:hint="cs"/>
          <w:rtl/>
        </w:rPr>
        <w:t xml:space="preserve">تعهدها </w:t>
      </w:r>
      <w:r w:rsidRPr="007F5740">
        <w:rPr>
          <w:rFonts w:hint="cs"/>
          <w:rtl/>
        </w:rPr>
        <w:t>بالتعاون مع اللجنة بحسن نية للسماح لها بالنظر في تلك البلاغات؛ وبعد الفراغ من النظر فيها،</w:t>
      </w:r>
      <w:r w:rsidR="00307A98">
        <w:rPr>
          <w:rFonts w:hint="cs"/>
          <w:rtl/>
        </w:rPr>
        <w:t xml:space="preserve"> </w:t>
      </w:r>
      <w:r>
        <w:rPr>
          <w:rFonts w:hint="cs"/>
          <w:rtl/>
        </w:rPr>
        <w:t>بإرسال آرائها</w:t>
      </w:r>
      <w:r w:rsidRPr="007F5740">
        <w:rPr>
          <w:rFonts w:hint="cs"/>
          <w:rtl/>
        </w:rPr>
        <w:t xml:space="preserve"> إلى الدولة الطرف المعنية وإلى الشخص المعني</w:t>
      </w:r>
      <w:r>
        <w:rPr>
          <w:rFonts w:hint="cs"/>
          <w:rtl/>
        </w:rPr>
        <w:t xml:space="preserve">، </w:t>
      </w:r>
      <w:r w:rsidRPr="007F5740">
        <w:rPr>
          <w:rFonts w:hint="cs"/>
          <w:rtl/>
        </w:rPr>
        <w:t>و</w:t>
      </w:r>
      <w:r>
        <w:rPr>
          <w:rFonts w:hint="cs"/>
          <w:rtl/>
        </w:rPr>
        <w:t>ل</w:t>
      </w:r>
      <w:r w:rsidRPr="007F5740">
        <w:rPr>
          <w:rFonts w:hint="cs"/>
          <w:rtl/>
        </w:rPr>
        <w:t>تمكينها من ذلك (انظر المادة 5(1) و(4</w:t>
      </w:r>
      <w:proofErr w:type="gramStart"/>
      <w:r w:rsidRPr="007F5740">
        <w:rPr>
          <w:rFonts w:hint="cs"/>
          <w:rtl/>
        </w:rPr>
        <w:t>))</w:t>
      </w:r>
      <w:r w:rsidRPr="007F5740">
        <w:rPr>
          <w:vertAlign w:val="superscript"/>
          <w:rtl/>
        </w:rPr>
        <w:t>(</w:t>
      </w:r>
      <w:proofErr w:type="gramEnd"/>
      <w:r w:rsidRPr="007F5740">
        <w:rPr>
          <w:b/>
          <w:sz w:val="18"/>
          <w:szCs w:val="28"/>
          <w:vertAlign w:val="superscript"/>
          <w:rtl/>
        </w:rPr>
        <w:footnoteReference w:id="6"/>
      </w:r>
      <w:r w:rsidRPr="007F5740">
        <w:rPr>
          <w:vertAlign w:val="superscript"/>
          <w:rtl/>
        </w:rPr>
        <w:t>)</w:t>
      </w:r>
      <w:r w:rsidRPr="007F5740">
        <w:rPr>
          <w:rFonts w:hint="cs"/>
          <w:rtl/>
        </w:rPr>
        <w:t>. و</w:t>
      </w:r>
      <w:r>
        <w:rPr>
          <w:rFonts w:hint="cs"/>
          <w:rtl/>
        </w:rPr>
        <w:t>مما</w:t>
      </w:r>
      <w:r w:rsidR="00307A98">
        <w:rPr>
          <w:rFonts w:hint="cs"/>
          <w:rtl/>
        </w:rPr>
        <w:t xml:space="preserve"> </w:t>
      </w:r>
      <w:r>
        <w:rPr>
          <w:rFonts w:hint="cs"/>
          <w:rtl/>
        </w:rPr>
        <w:t>ي</w:t>
      </w:r>
      <w:r w:rsidRPr="007F5740">
        <w:rPr>
          <w:rFonts w:hint="cs"/>
          <w:rtl/>
        </w:rPr>
        <w:t xml:space="preserve">نافي تلك الالتزامات أن تتخذ </w:t>
      </w:r>
      <w:r>
        <w:rPr>
          <w:rFonts w:hint="cs"/>
          <w:rtl/>
        </w:rPr>
        <w:t>الدولة الطرف أي إجراء قد يمنع أو</w:t>
      </w:r>
      <w:r w:rsidR="00307A98">
        <w:rPr>
          <w:rFonts w:hint="cs"/>
          <w:rtl/>
        </w:rPr>
        <w:t xml:space="preserve"> </w:t>
      </w:r>
      <w:r>
        <w:rPr>
          <w:rFonts w:hint="cs"/>
          <w:rtl/>
        </w:rPr>
        <w:t>يثبّط</w:t>
      </w:r>
      <w:r w:rsidRPr="007F5740">
        <w:rPr>
          <w:rFonts w:hint="cs"/>
          <w:rtl/>
        </w:rPr>
        <w:t xml:space="preserve"> نظر اللجنة في أي بلاغ ودراستها </w:t>
      </w:r>
      <w:r>
        <w:rPr>
          <w:rFonts w:hint="cs"/>
          <w:rtl/>
        </w:rPr>
        <w:t xml:space="preserve">له </w:t>
      </w:r>
      <w:r w:rsidRPr="007F5740">
        <w:rPr>
          <w:rFonts w:hint="cs"/>
          <w:rtl/>
        </w:rPr>
        <w:t xml:space="preserve">وإبداء آرائها </w:t>
      </w:r>
      <w:proofErr w:type="gramStart"/>
      <w:r w:rsidRPr="007F5740">
        <w:rPr>
          <w:rFonts w:hint="cs"/>
          <w:rtl/>
        </w:rPr>
        <w:t>بشأنه</w:t>
      </w:r>
      <w:r w:rsidRPr="007F5740">
        <w:rPr>
          <w:vertAlign w:val="superscript"/>
          <w:rtl/>
        </w:rPr>
        <w:t>(</w:t>
      </w:r>
      <w:proofErr w:type="gramEnd"/>
      <w:r w:rsidRPr="007F5740">
        <w:rPr>
          <w:b/>
          <w:sz w:val="18"/>
          <w:szCs w:val="28"/>
          <w:vertAlign w:val="superscript"/>
          <w:rtl/>
        </w:rPr>
        <w:footnoteReference w:id="7"/>
      </w:r>
      <w:r w:rsidRPr="007F5740">
        <w:rPr>
          <w:vertAlign w:val="superscript"/>
          <w:rtl/>
        </w:rPr>
        <w:t>)</w:t>
      </w:r>
      <w:r w:rsidRPr="007F5740">
        <w:rPr>
          <w:rFonts w:hint="cs"/>
          <w:rtl/>
        </w:rPr>
        <w:t xml:space="preserve">. ويعود إلى اللجنة أمر البتّ فيما إذا كان </w:t>
      </w:r>
      <w:r>
        <w:rPr>
          <w:rFonts w:hint="cs"/>
          <w:rtl/>
        </w:rPr>
        <w:t>ينبغي</w:t>
      </w:r>
      <w:r w:rsidRPr="007F5740">
        <w:rPr>
          <w:rFonts w:hint="cs"/>
          <w:rtl/>
        </w:rPr>
        <w:t xml:space="preserve"> تسجيل البلاغ </w:t>
      </w:r>
      <w:r>
        <w:rPr>
          <w:rFonts w:hint="cs"/>
          <w:rtl/>
        </w:rPr>
        <w:t>أم لا</w:t>
      </w:r>
      <w:r w:rsidRPr="007F5740">
        <w:rPr>
          <w:rFonts w:hint="cs"/>
          <w:rtl/>
        </w:rPr>
        <w:t xml:space="preserve">. وتلاحظ اللجنة أن الدولة الطرف، برفضها حق </w:t>
      </w:r>
      <w:r w:rsidRPr="007F5740">
        <w:rPr>
          <w:rFonts w:hint="cs"/>
          <w:rtl/>
        </w:rPr>
        <w:lastRenderedPageBreak/>
        <w:t>ال</w:t>
      </w:r>
      <w:r>
        <w:rPr>
          <w:rFonts w:hint="cs"/>
          <w:rtl/>
        </w:rPr>
        <w:t>شخص</w:t>
      </w:r>
      <w:r w:rsidRPr="007F5740">
        <w:rPr>
          <w:rFonts w:hint="cs"/>
          <w:rtl/>
        </w:rPr>
        <w:t xml:space="preserve"> في أن يُمثَّل</w:t>
      </w:r>
      <w:r>
        <w:rPr>
          <w:rFonts w:hint="cs"/>
          <w:rtl/>
        </w:rPr>
        <w:t>،</w:t>
      </w:r>
      <w:r w:rsidRPr="007F5740">
        <w:rPr>
          <w:rFonts w:hint="cs"/>
          <w:rtl/>
        </w:rPr>
        <w:t xml:space="preserve"> وبعد</w:t>
      </w:r>
      <w:r>
        <w:rPr>
          <w:rFonts w:hint="cs"/>
          <w:rtl/>
        </w:rPr>
        <w:t xml:space="preserve">م قبولها </w:t>
      </w:r>
      <w:r w:rsidRPr="007F5740">
        <w:rPr>
          <w:rFonts w:hint="cs"/>
          <w:rtl/>
        </w:rPr>
        <w:t xml:space="preserve">اختصاص اللجنة في البتّ فيما إذا كان </w:t>
      </w:r>
      <w:r>
        <w:rPr>
          <w:rFonts w:hint="cs"/>
          <w:rtl/>
        </w:rPr>
        <w:t>ينبغي</w:t>
      </w:r>
      <w:r w:rsidRPr="007F5740">
        <w:rPr>
          <w:rFonts w:hint="cs"/>
          <w:rtl/>
        </w:rPr>
        <w:t xml:space="preserve"> تسجيل بلاغ ما أم لا، </w:t>
      </w:r>
      <w:r>
        <w:rPr>
          <w:rFonts w:hint="cs"/>
          <w:rtl/>
        </w:rPr>
        <w:t>تكون قد أخلت</w:t>
      </w:r>
      <w:r w:rsidRPr="007F5740">
        <w:rPr>
          <w:rFonts w:hint="cs"/>
          <w:rtl/>
        </w:rPr>
        <w:t xml:space="preserve"> بالتزاماتها بموجب المادة 1 من البروتوكول </w:t>
      </w:r>
      <w:proofErr w:type="gramStart"/>
      <w:r w:rsidRPr="007F5740">
        <w:rPr>
          <w:rFonts w:hint="cs"/>
          <w:rtl/>
        </w:rPr>
        <w:t>الاختياري</w:t>
      </w:r>
      <w:r w:rsidRPr="007F5740">
        <w:rPr>
          <w:vertAlign w:val="superscript"/>
          <w:rtl/>
        </w:rPr>
        <w:t>(</w:t>
      </w:r>
      <w:proofErr w:type="gramEnd"/>
      <w:r w:rsidRPr="007F5740">
        <w:rPr>
          <w:b/>
          <w:sz w:val="18"/>
          <w:szCs w:val="28"/>
          <w:vertAlign w:val="superscript"/>
          <w:rtl/>
        </w:rPr>
        <w:footnoteReference w:id="8"/>
      </w:r>
      <w:r w:rsidRPr="007F5740">
        <w:rPr>
          <w:vertAlign w:val="superscript"/>
          <w:rtl/>
        </w:rPr>
        <w:t>)</w:t>
      </w:r>
      <w:r w:rsidRPr="007F5740">
        <w:rPr>
          <w:rFonts w:hint="cs"/>
          <w:rtl/>
        </w:rPr>
        <w:t xml:space="preserve">. </w:t>
      </w:r>
    </w:p>
    <w:p w:rsidR="00EF3639" w:rsidRPr="007F5740" w:rsidRDefault="00EF3639" w:rsidP="00C70E2C">
      <w:pPr>
        <w:pStyle w:val="H4GA"/>
        <w:rPr>
          <w:rtl/>
        </w:rPr>
      </w:pPr>
      <w:r>
        <w:rPr>
          <w:rtl/>
        </w:rPr>
        <w:tab/>
      </w:r>
      <w:r>
        <w:rPr>
          <w:rtl/>
        </w:rPr>
        <w:tab/>
      </w:r>
      <w:r w:rsidRPr="007F5740">
        <w:rPr>
          <w:rFonts w:hint="cs"/>
          <w:rtl/>
        </w:rPr>
        <w:t>النظر في المقبولية</w:t>
      </w:r>
    </w:p>
    <w:p w:rsidR="00EF3639" w:rsidRPr="007F5740" w:rsidRDefault="00EF3639" w:rsidP="00EF3639">
      <w:pPr>
        <w:pStyle w:val="SingleTxtGA"/>
        <w:rPr>
          <w:rtl/>
          <w:lang w:bidi="ar-DZ"/>
        </w:rPr>
      </w:pPr>
      <w:r w:rsidRPr="007F5740">
        <w:rPr>
          <w:rFonts w:hint="cs"/>
          <w:rtl/>
        </w:rPr>
        <w:t>9-1</w:t>
      </w:r>
      <w:r>
        <w:rPr>
          <w:rtl/>
        </w:rPr>
        <w:tab/>
      </w:r>
      <w:r w:rsidRPr="007F5740">
        <w:rPr>
          <w:rtl/>
          <w:lang w:bidi="ar-DZ"/>
        </w:rPr>
        <w:t>قبل النظر في أي ادعاء</w:t>
      </w:r>
      <w:r>
        <w:rPr>
          <w:rtl/>
          <w:lang w:bidi="ar-DZ"/>
        </w:rPr>
        <w:t xml:space="preserve"> يرد في بلاغ ما، يجب على اللجنة</w:t>
      </w:r>
      <w:r w:rsidRPr="007F5740">
        <w:rPr>
          <w:rtl/>
          <w:lang w:bidi="ar-DZ"/>
        </w:rPr>
        <w:t xml:space="preserve">، وفقاً للمادة 93 من نظامها الداخلي، أن تبت </w:t>
      </w:r>
      <w:proofErr w:type="gramStart"/>
      <w:r w:rsidRPr="007F5740">
        <w:rPr>
          <w:rtl/>
          <w:lang w:bidi="ar-DZ"/>
        </w:rPr>
        <w:t>في ما</w:t>
      </w:r>
      <w:proofErr w:type="gramEnd"/>
      <w:r w:rsidRPr="007F5740">
        <w:rPr>
          <w:rtl/>
          <w:lang w:bidi="ar-DZ"/>
        </w:rPr>
        <w:t xml:space="preserve"> إذا كان البلاغ مقبولاً أم لا بموجب البروتوكول الاختياري</w:t>
      </w:r>
      <w:r>
        <w:rPr>
          <w:rFonts w:hint="cs"/>
          <w:rtl/>
          <w:lang w:bidi="ar-DZ"/>
        </w:rPr>
        <w:t>.</w:t>
      </w:r>
    </w:p>
    <w:p w:rsidR="00EF3639" w:rsidRPr="007F5740" w:rsidRDefault="00EF3639" w:rsidP="00EF3639">
      <w:pPr>
        <w:pStyle w:val="SingleTxtGA"/>
        <w:rPr>
          <w:rtl/>
        </w:rPr>
      </w:pPr>
      <w:r w:rsidRPr="007F5740">
        <w:rPr>
          <w:rFonts w:hint="cs"/>
          <w:rtl/>
        </w:rPr>
        <w:t>9-2</w:t>
      </w:r>
      <w:r>
        <w:rPr>
          <w:rtl/>
        </w:rPr>
        <w:tab/>
      </w:r>
      <w:r w:rsidRPr="007F5740">
        <w:rPr>
          <w:rtl/>
        </w:rPr>
        <w:t xml:space="preserve">وقد تيقنت اللجنة، وفقاً لما </w:t>
      </w:r>
      <w:proofErr w:type="spellStart"/>
      <w:r w:rsidRPr="007F5740">
        <w:rPr>
          <w:rtl/>
        </w:rPr>
        <w:t>تقتضيه</w:t>
      </w:r>
      <w:proofErr w:type="spellEnd"/>
      <w:r w:rsidRPr="007F5740">
        <w:rPr>
          <w:rtl/>
        </w:rPr>
        <w:t xml:space="preserve"> الفقرة 2(أ) من المادة 5 من البروتوكول الاختياري من أن المسألة نفسها ليست قيد البحث في إطار إجراء آخر من إجراءات التحقيق الدولي أو التسوية الدولية</w:t>
      </w:r>
      <w:r>
        <w:rPr>
          <w:rFonts w:hint="cs"/>
          <w:rtl/>
        </w:rPr>
        <w:t>.</w:t>
      </w:r>
    </w:p>
    <w:p w:rsidR="00EF3639" w:rsidRDefault="00EF3639" w:rsidP="00C70E2C">
      <w:pPr>
        <w:pStyle w:val="SingleTxtGA"/>
        <w:rPr>
          <w:rtl/>
        </w:rPr>
      </w:pPr>
      <w:r w:rsidRPr="007F5740">
        <w:rPr>
          <w:rFonts w:hint="cs"/>
          <w:rtl/>
        </w:rPr>
        <w:t>9-3</w:t>
      </w:r>
      <w:r w:rsidRPr="007F5740">
        <w:rPr>
          <w:rFonts w:hint="cs"/>
          <w:rtl/>
        </w:rPr>
        <w:tab/>
        <w:t xml:space="preserve">وفيما يتعلق بالشرط المدرج في </w:t>
      </w:r>
      <w:r>
        <w:rPr>
          <w:rFonts w:hint="cs"/>
          <w:rtl/>
        </w:rPr>
        <w:t xml:space="preserve">الفقرة 2(ب) من </w:t>
      </w:r>
      <w:r w:rsidRPr="007F5740">
        <w:rPr>
          <w:rFonts w:hint="cs"/>
          <w:rtl/>
        </w:rPr>
        <w:t xml:space="preserve">المادة 5 من البروتوكول الاختياري، تلاحظ اللجنة أن الدولة الطرف طعنت في مقبولية البلاغ على أساس عدم استنفاد سبل الانتصاف المحلية، </w:t>
      </w:r>
      <w:r>
        <w:rPr>
          <w:rFonts w:hint="cs"/>
          <w:rtl/>
        </w:rPr>
        <w:t>إذ لم تطعن</w:t>
      </w:r>
      <w:r w:rsidRPr="007F5740">
        <w:rPr>
          <w:rFonts w:hint="cs"/>
          <w:rtl/>
        </w:rPr>
        <w:t xml:space="preserve"> صاحبة البلاغ</w:t>
      </w:r>
      <w:r>
        <w:rPr>
          <w:rFonts w:hint="cs"/>
          <w:rtl/>
        </w:rPr>
        <w:t xml:space="preserve"> </w:t>
      </w:r>
      <w:r w:rsidRPr="007F5740">
        <w:rPr>
          <w:rFonts w:hint="cs"/>
          <w:rtl/>
        </w:rPr>
        <w:t>أمام وكيل نيابة في قرارات تعليق التحقيق. وتلاحظ اللجنة أن الدولة الطرف لم</w:t>
      </w:r>
      <w:r w:rsidR="00307A98">
        <w:rPr>
          <w:rFonts w:hint="cs"/>
          <w:rtl/>
        </w:rPr>
        <w:t xml:space="preserve"> </w:t>
      </w:r>
      <w:r>
        <w:rPr>
          <w:rFonts w:hint="cs"/>
          <w:rtl/>
        </w:rPr>
        <w:t>تبيّن</w:t>
      </w:r>
      <w:r w:rsidRPr="007F5740">
        <w:rPr>
          <w:rFonts w:hint="cs"/>
          <w:rtl/>
        </w:rPr>
        <w:t xml:space="preserve"> </w:t>
      </w:r>
      <w:r>
        <w:rPr>
          <w:rFonts w:hint="cs"/>
          <w:rtl/>
        </w:rPr>
        <w:t>من هو</w:t>
      </w:r>
      <w:r w:rsidRPr="007F5740">
        <w:rPr>
          <w:rFonts w:hint="cs"/>
          <w:rtl/>
        </w:rPr>
        <w:t xml:space="preserve"> مكتب النيابة الذي كان ينبغي لصاحبة البلاغ تقديم الطعن إليه.</w:t>
      </w:r>
      <w:r w:rsidR="00307A98">
        <w:rPr>
          <w:rFonts w:hint="cs"/>
          <w:rtl/>
        </w:rPr>
        <w:t xml:space="preserve"> و</w:t>
      </w:r>
      <w:r>
        <w:rPr>
          <w:rFonts w:hint="cs"/>
          <w:rtl/>
        </w:rPr>
        <w:t>تحيط</w:t>
      </w:r>
      <w:r w:rsidRPr="007F5740">
        <w:rPr>
          <w:rFonts w:hint="cs"/>
          <w:rtl/>
        </w:rPr>
        <w:t xml:space="preserve"> اللجنة </w:t>
      </w:r>
      <w:r>
        <w:rPr>
          <w:rFonts w:hint="cs"/>
          <w:rtl/>
        </w:rPr>
        <w:t xml:space="preserve">علما </w:t>
      </w:r>
      <w:r w:rsidRPr="007F5740">
        <w:rPr>
          <w:rFonts w:hint="cs"/>
          <w:rtl/>
        </w:rPr>
        <w:t>أيضاً</w:t>
      </w:r>
      <w:r w:rsidR="00307A98">
        <w:rPr>
          <w:rFonts w:hint="cs"/>
          <w:rtl/>
        </w:rPr>
        <w:t xml:space="preserve"> </w:t>
      </w:r>
      <w:r>
        <w:rPr>
          <w:rFonts w:hint="cs"/>
          <w:rtl/>
        </w:rPr>
        <w:t>ب</w:t>
      </w:r>
      <w:r w:rsidRPr="007F5740">
        <w:rPr>
          <w:rFonts w:hint="cs"/>
          <w:rtl/>
        </w:rPr>
        <w:t>ادعاء صاحبة البلاغ</w:t>
      </w:r>
      <w:r>
        <w:rPr>
          <w:rFonts w:hint="cs"/>
          <w:rtl/>
        </w:rPr>
        <w:t xml:space="preserve"> الذي لم يُدحَض</w:t>
      </w:r>
      <w:r w:rsidR="00307A98">
        <w:rPr>
          <w:rFonts w:hint="cs"/>
          <w:rtl/>
        </w:rPr>
        <w:t xml:space="preserve"> و</w:t>
      </w:r>
      <w:r>
        <w:rPr>
          <w:rFonts w:hint="cs"/>
          <w:rtl/>
        </w:rPr>
        <w:t>مؤداه</w:t>
      </w:r>
      <w:r w:rsidRPr="007F5740">
        <w:rPr>
          <w:rFonts w:hint="cs"/>
          <w:rtl/>
        </w:rPr>
        <w:t xml:space="preserve"> أن رفض طلب محاميها الحصول على نسخة من ذلك القرار منعها من تقديم طعن. وتلاحظ اللجنة كذلك حجة صاحبة البلاغ أن تقديم طعن إلى وكيل النيابة الأعلى </w:t>
      </w:r>
      <w:r>
        <w:rPr>
          <w:rFonts w:hint="cs"/>
          <w:rtl/>
        </w:rPr>
        <w:t>درجة</w:t>
      </w:r>
      <w:r w:rsidRPr="007F5740">
        <w:rPr>
          <w:rFonts w:hint="cs"/>
          <w:rtl/>
        </w:rPr>
        <w:t xml:space="preserve"> لا يتيح إجراء مراجعة عادلة وحضورية ومستقلة على النحو الواجب، ومن ثم لا يشكل هذا الطعن سبيل انتصاف فعالاً. وقد أكدت صاحبة البلاغ أيضاً أن القانون المحلي لا ينص على إجراء مراجعة قضائية لقرار المحقق تعليق التحقيق. وتشير اللجنة إلى سوابقها القضائية التي قضت فيها بأن تقديم التماس لإجراء مراجعة رقابية إلى مكتب النيابة لا يشكل سبيل انتصاف فعالاً يجب استنفاده لأغراض </w:t>
      </w:r>
      <w:r>
        <w:rPr>
          <w:rFonts w:hint="cs"/>
          <w:rtl/>
        </w:rPr>
        <w:t>الفقرة 2</w:t>
      </w:r>
      <w:r w:rsidRPr="007F5740">
        <w:rPr>
          <w:rFonts w:hint="cs"/>
          <w:rtl/>
        </w:rPr>
        <w:t>(ب)</w:t>
      </w:r>
      <w:r>
        <w:rPr>
          <w:rFonts w:hint="cs"/>
          <w:rtl/>
        </w:rPr>
        <w:t xml:space="preserve"> من المادة 5</w:t>
      </w:r>
      <w:r w:rsidRPr="007F5740">
        <w:rPr>
          <w:rFonts w:hint="cs"/>
          <w:rtl/>
        </w:rPr>
        <w:t xml:space="preserve"> من البروتوكول </w:t>
      </w:r>
      <w:proofErr w:type="gramStart"/>
      <w:r w:rsidRPr="007F5740">
        <w:rPr>
          <w:rFonts w:hint="cs"/>
          <w:rtl/>
        </w:rPr>
        <w:t>الاختياري</w:t>
      </w:r>
      <w:r w:rsidRPr="007F5740">
        <w:rPr>
          <w:vertAlign w:val="superscript"/>
          <w:rtl/>
        </w:rPr>
        <w:t>(</w:t>
      </w:r>
      <w:proofErr w:type="gramEnd"/>
      <w:r w:rsidRPr="007F5740">
        <w:rPr>
          <w:b/>
          <w:sz w:val="18"/>
          <w:szCs w:val="28"/>
          <w:vertAlign w:val="superscript"/>
          <w:rtl/>
        </w:rPr>
        <w:footnoteReference w:id="9"/>
      </w:r>
      <w:r w:rsidRPr="007F5740">
        <w:rPr>
          <w:vertAlign w:val="superscript"/>
          <w:rtl/>
        </w:rPr>
        <w:t>)</w:t>
      </w:r>
      <w:r w:rsidRPr="007F5740">
        <w:rPr>
          <w:rFonts w:hint="cs"/>
          <w:rtl/>
        </w:rPr>
        <w:t xml:space="preserve">. وتلاحظ اللجنة أيضاً أن الدولة الطرف لم تقدم أية معلومات عن سبل الانتصاف القضائية التي كانت أو لا تزال متاحة لصاحبة </w:t>
      </w:r>
      <w:proofErr w:type="gramStart"/>
      <w:r w:rsidRPr="007F5740">
        <w:rPr>
          <w:rFonts w:hint="cs"/>
          <w:rtl/>
        </w:rPr>
        <w:t>البلاغ</w:t>
      </w:r>
      <w:r w:rsidRPr="007F5740">
        <w:rPr>
          <w:vertAlign w:val="superscript"/>
          <w:rtl/>
        </w:rPr>
        <w:t>(</w:t>
      </w:r>
      <w:proofErr w:type="gramEnd"/>
      <w:r w:rsidRPr="007F5740">
        <w:rPr>
          <w:b/>
          <w:sz w:val="18"/>
          <w:szCs w:val="28"/>
          <w:vertAlign w:val="superscript"/>
          <w:rtl/>
        </w:rPr>
        <w:footnoteReference w:id="10"/>
      </w:r>
      <w:r w:rsidRPr="007F5740">
        <w:rPr>
          <w:vertAlign w:val="superscript"/>
          <w:rtl/>
        </w:rPr>
        <w:t>)</w:t>
      </w:r>
      <w:r w:rsidRPr="007F5740">
        <w:rPr>
          <w:rFonts w:hint="cs"/>
          <w:rtl/>
        </w:rPr>
        <w:t xml:space="preserve">. وفي </w:t>
      </w:r>
      <w:r>
        <w:rPr>
          <w:rFonts w:hint="cs"/>
          <w:rtl/>
        </w:rPr>
        <w:t xml:space="preserve">ظل </w:t>
      </w:r>
      <w:r w:rsidRPr="007F5740">
        <w:rPr>
          <w:rFonts w:hint="cs"/>
          <w:rtl/>
        </w:rPr>
        <w:t>هذه الظروف، ترى اللجنة عدم وجود ما يمنعها، بموجب المادة</w:t>
      </w:r>
      <w:r w:rsidR="00C70E2C">
        <w:rPr>
          <w:rFonts w:hint="eastAsia"/>
          <w:rtl/>
        </w:rPr>
        <w:t> </w:t>
      </w:r>
      <w:r w:rsidRPr="007F5740">
        <w:rPr>
          <w:rFonts w:hint="cs"/>
          <w:rtl/>
        </w:rPr>
        <w:t xml:space="preserve">5(2) من البروتوكول الاختياري، من النظر في البلاغ. </w:t>
      </w:r>
    </w:p>
    <w:p w:rsidR="00EF3639" w:rsidRDefault="00EF3639" w:rsidP="00EF3639">
      <w:pPr>
        <w:pStyle w:val="SingleTxtGA"/>
        <w:rPr>
          <w:rtl/>
          <w:lang w:bidi="ar-DZ"/>
        </w:rPr>
      </w:pPr>
      <w:r>
        <w:rPr>
          <w:rFonts w:hint="cs"/>
          <w:rtl/>
          <w:lang w:bidi="ar-DZ"/>
        </w:rPr>
        <w:t>9-4</w:t>
      </w:r>
      <w:r>
        <w:rPr>
          <w:rtl/>
          <w:lang w:bidi="ar-DZ"/>
        </w:rPr>
        <w:tab/>
      </w:r>
      <w:r>
        <w:rPr>
          <w:rFonts w:hint="cs"/>
          <w:rtl/>
          <w:lang w:bidi="ar-DZ"/>
        </w:rPr>
        <w:t>وتلاحظ اللجنة ادعاءات صاحبة البلاغ، بموجب المادة 7 من العهد، أن إساءة المعاملة التي تعرضت لها على أيدي الشرطة</w:t>
      </w:r>
      <w:r w:rsidR="00307A98">
        <w:rPr>
          <w:rFonts w:hint="cs"/>
          <w:rtl/>
          <w:lang w:bidi="ar-DZ"/>
        </w:rPr>
        <w:t xml:space="preserve"> </w:t>
      </w:r>
      <w:r>
        <w:rPr>
          <w:rFonts w:hint="cs"/>
          <w:rtl/>
          <w:lang w:bidi="ar-DZ"/>
        </w:rPr>
        <w:t>ترقى إلى درجة التعذيب، وأن السلطات المحلية لم تجر أي تحقيق فعال في هذا الشأن. وترى اللجنة أن هذا الجزء من البلاغ يطرح أيضاً مسائل تدخل في إطار المادة 2(3) من العهد.</w:t>
      </w:r>
    </w:p>
    <w:p w:rsidR="00EF3639" w:rsidRDefault="00EF3639" w:rsidP="00C70E2C">
      <w:pPr>
        <w:pStyle w:val="SingleTxtGA"/>
        <w:rPr>
          <w:rtl/>
          <w:lang w:bidi="ar-DZ"/>
        </w:rPr>
      </w:pPr>
      <w:r>
        <w:rPr>
          <w:rFonts w:hint="cs"/>
          <w:rtl/>
          <w:lang w:bidi="ar-DZ"/>
        </w:rPr>
        <w:t>9-5</w:t>
      </w:r>
      <w:r>
        <w:rPr>
          <w:rFonts w:hint="cs"/>
          <w:rtl/>
          <w:lang w:bidi="ar-DZ"/>
        </w:rPr>
        <w:tab/>
        <w:t>وترى اللجنة أن صاحبة البلاغ دعمت ادعاءاتها، لأغراض المقبولية، بأدلة كافية بموجب المادة 7 من العهد، مقروءة منفردة وبالاقتران مع المادة 2(3) منه، وبذلك تمضي إلى النظر في البلاغ من حيث أسسه الموضوعية.</w:t>
      </w:r>
    </w:p>
    <w:p w:rsidR="00EF3639" w:rsidRPr="000717C8" w:rsidRDefault="00EF3639" w:rsidP="00EF3639">
      <w:pPr>
        <w:pStyle w:val="H4GA"/>
        <w:rPr>
          <w:rtl/>
          <w:lang w:bidi="ar-DZ"/>
        </w:rPr>
      </w:pPr>
      <w:r>
        <w:rPr>
          <w:rtl/>
          <w:lang w:bidi="ar-DZ"/>
        </w:rPr>
        <w:lastRenderedPageBreak/>
        <w:tab/>
      </w:r>
      <w:r>
        <w:rPr>
          <w:rtl/>
          <w:lang w:bidi="ar-DZ"/>
        </w:rPr>
        <w:tab/>
      </w:r>
      <w:r w:rsidRPr="000717C8">
        <w:rPr>
          <w:rFonts w:hint="cs"/>
          <w:rtl/>
          <w:lang w:bidi="ar-DZ"/>
        </w:rPr>
        <w:t>النظر في الأسس الموضوعية</w:t>
      </w:r>
    </w:p>
    <w:p w:rsidR="00EF3639" w:rsidRDefault="00EF3639" w:rsidP="00EF3639">
      <w:pPr>
        <w:pStyle w:val="SingleTxtGA"/>
        <w:rPr>
          <w:rtl/>
          <w:lang w:bidi="ar-DZ"/>
        </w:rPr>
      </w:pPr>
      <w:r>
        <w:rPr>
          <w:rFonts w:hint="cs"/>
          <w:rtl/>
          <w:lang w:bidi="ar-DZ"/>
        </w:rPr>
        <w:t>10-1</w:t>
      </w:r>
      <w:r>
        <w:rPr>
          <w:rtl/>
          <w:lang w:bidi="ar-DZ"/>
        </w:rPr>
        <w:tab/>
      </w:r>
      <w:r>
        <w:rPr>
          <w:rFonts w:hint="cs"/>
          <w:rtl/>
          <w:lang w:bidi="ar-DZ"/>
        </w:rPr>
        <w:t>نظرت اللجنة في البلاغ في ضوء جميع المعلومات التي أتاحتها لها الأطراف، وفقاً للمادة 5(1) من البروتوكول الاختياري.</w:t>
      </w:r>
    </w:p>
    <w:p w:rsidR="00EF3639" w:rsidRDefault="00EF3639" w:rsidP="00021C6A">
      <w:pPr>
        <w:pStyle w:val="SingleTxtGA"/>
        <w:rPr>
          <w:rtl/>
          <w:lang w:bidi="ar-DZ"/>
        </w:rPr>
      </w:pPr>
      <w:r>
        <w:rPr>
          <w:rFonts w:hint="cs"/>
          <w:rtl/>
          <w:lang w:bidi="ar-DZ"/>
        </w:rPr>
        <w:t>10-2</w:t>
      </w:r>
      <w:r>
        <w:rPr>
          <w:rtl/>
          <w:lang w:bidi="ar-DZ"/>
        </w:rPr>
        <w:tab/>
      </w:r>
      <w:r>
        <w:rPr>
          <w:rFonts w:hint="cs"/>
          <w:rtl/>
          <w:lang w:bidi="ar-DZ"/>
        </w:rPr>
        <w:t xml:space="preserve">وتلاحظ اللجنة ادعاءات صاحبة البلاغ، بموجب المادة 7 من العهد، أنها عقب مشاركتها في تجمع سلمي في وسط مدينة مينسك في 19 كانون الأول/ديسمبر 2010 تعرضت للضرب على يد ضابط شرطة، مما أدى إلى كسر مضاعف في رجلها ومكوثها في المستشفى لمدة </w:t>
      </w:r>
      <w:bookmarkStart w:id="0" w:name="_GoBack"/>
      <w:bookmarkEnd w:id="0"/>
      <w:r>
        <w:rPr>
          <w:rFonts w:hint="cs"/>
          <w:rtl/>
          <w:lang w:bidi="ar-DZ"/>
        </w:rPr>
        <w:t xml:space="preserve">سبعة أيام وإصابتها بعجز جزئي </w:t>
      </w:r>
      <w:proofErr w:type="gramStart"/>
      <w:r>
        <w:rPr>
          <w:rFonts w:hint="cs"/>
          <w:rtl/>
          <w:lang w:bidi="ar-DZ"/>
        </w:rPr>
        <w:t>مطول</w:t>
      </w:r>
      <w:r w:rsidRPr="00EF3639">
        <w:rPr>
          <w:rFonts w:hint="cs"/>
          <w:vertAlign w:val="superscript"/>
          <w:rtl/>
          <w:lang w:bidi="ar-DZ"/>
        </w:rPr>
        <w:t>(</w:t>
      </w:r>
      <w:proofErr w:type="gramEnd"/>
      <w:r w:rsidRPr="00EF3639">
        <w:rPr>
          <w:rStyle w:val="FootnoteReference"/>
          <w:rtl/>
          <w:lang w:bidi="ar-DZ"/>
        </w:rPr>
        <w:footnoteReference w:id="11"/>
      </w:r>
      <w:r w:rsidRPr="00EF3639">
        <w:rPr>
          <w:rFonts w:hint="cs"/>
          <w:vertAlign w:val="superscript"/>
          <w:rtl/>
          <w:lang w:bidi="ar-DZ"/>
        </w:rPr>
        <w:t>)</w:t>
      </w:r>
      <w:r>
        <w:rPr>
          <w:rFonts w:hint="cs"/>
          <w:rtl/>
          <w:lang w:bidi="ar-DZ"/>
        </w:rPr>
        <w:t>.</w:t>
      </w:r>
      <w:r w:rsidR="00307A98">
        <w:rPr>
          <w:rFonts w:hint="cs"/>
          <w:rtl/>
          <w:lang w:bidi="ar-DZ"/>
        </w:rPr>
        <w:t xml:space="preserve"> و</w:t>
      </w:r>
      <w:r>
        <w:rPr>
          <w:rFonts w:hint="cs"/>
          <w:rtl/>
          <w:lang w:bidi="ar-DZ"/>
        </w:rPr>
        <w:t>دفعت صاحبة البلاغ أيضاً</w:t>
      </w:r>
      <w:r w:rsidR="00307A98">
        <w:rPr>
          <w:rFonts w:hint="cs"/>
          <w:rtl/>
          <w:lang w:bidi="ar-DZ"/>
        </w:rPr>
        <w:t xml:space="preserve"> </w:t>
      </w:r>
      <w:r>
        <w:rPr>
          <w:rFonts w:hint="cs"/>
          <w:rtl/>
          <w:lang w:bidi="ar-DZ"/>
        </w:rPr>
        <w:t>بأنها لم</w:t>
      </w:r>
      <w:r w:rsidR="00021C6A">
        <w:rPr>
          <w:rFonts w:hint="eastAsia"/>
          <w:rtl/>
          <w:lang w:bidi="ar-DZ"/>
        </w:rPr>
        <w:t> </w:t>
      </w:r>
      <w:r>
        <w:rPr>
          <w:rFonts w:hint="cs"/>
          <w:rtl/>
          <w:lang w:bidi="ar-DZ"/>
        </w:rPr>
        <w:t>تتلق المساعدة الطبية في الوقت المناسب. وتلاحظ اللجنة أن صاحبة البلاغ قدمت رواية مفصلة لما تعرضت له من إساءة معاملة، ودليلاً طبياً داعماً لروايتها، وروايات لشهود عيان. وتلاحظ اللجنة أن الدولة الطرف لم تفند ادعاءات صاحبة البلاغ. ونظراً إلى عدم تقديم أي معلومات من الدولة الطرف، ترى اللجنة أن الوقائع المعروضة عليها</w:t>
      </w:r>
      <w:r w:rsidR="00307A98">
        <w:rPr>
          <w:rFonts w:hint="cs"/>
          <w:rtl/>
          <w:lang w:bidi="ar-DZ"/>
        </w:rPr>
        <w:t xml:space="preserve"> </w:t>
      </w:r>
      <w:r>
        <w:rPr>
          <w:rFonts w:hint="cs"/>
          <w:rtl/>
          <w:lang w:bidi="ar-DZ"/>
        </w:rPr>
        <w:t>ترقى إلى درجة انتهاك حقوق صاحبة البلاغ بموجب المادة 7 من العهد.</w:t>
      </w:r>
    </w:p>
    <w:p w:rsidR="00EF3639" w:rsidRDefault="00EF3639" w:rsidP="00EF3639">
      <w:pPr>
        <w:pStyle w:val="SingleTxtGA"/>
        <w:rPr>
          <w:rtl/>
          <w:lang w:bidi="ar-DZ"/>
        </w:rPr>
      </w:pPr>
      <w:r>
        <w:rPr>
          <w:rFonts w:hint="cs"/>
          <w:rtl/>
          <w:lang w:bidi="ar-DZ"/>
        </w:rPr>
        <w:t>10-3</w:t>
      </w:r>
      <w:r>
        <w:rPr>
          <w:rtl/>
          <w:lang w:bidi="ar-DZ"/>
        </w:rPr>
        <w:tab/>
      </w:r>
      <w:r>
        <w:rPr>
          <w:rFonts w:hint="cs"/>
          <w:rtl/>
          <w:lang w:bidi="ar-DZ"/>
        </w:rPr>
        <w:t>وتلاحظ اللجنة أيضاً ادعاء صاحبة البلاغ أن التحقيق في إساءة معاملتها لم يكن فعالاً، حيث لم يجر فوراً ولم يتسم بالنزاهة. فالإجراءات الجنائية، تحديداً، لم تُجر إلا في 18 نيسان/أبريل 2011، أي بعد أربعة أشهر من إبلاغ مكتب النيابة بالحادث، وعُلقت هذه الإجراءات في 2 كانون الأول/ديسمبر 2011 وفي 1 شباط/فبراير 2012 لعدم تحديد السلطات هوية الجاني.</w:t>
      </w:r>
    </w:p>
    <w:p w:rsidR="00EF3639" w:rsidRDefault="00EF3639" w:rsidP="00EF3639">
      <w:pPr>
        <w:pStyle w:val="SingleTxtGA"/>
        <w:rPr>
          <w:rtl/>
          <w:lang w:bidi="ar-DZ"/>
        </w:rPr>
      </w:pPr>
      <w:r>
        <w:rPr>
          <w:rFonts w:hint="cs"/>
          <w:rtl/>
          <w:lang w:bidi="ar-DZ"/>
        </w:rPr>
        <w:t>10-4</w:t>
      </w:r>
      <w:r>
        <w:rPr>
          <w:rtl/>
          <w:lang w:bidi="ar-DZ"/>
        </w:rPr>
        <w:tab/>
      </w:r>
      <w:r>
        <w:rPr>
          <w:rFonts w:hint="cs"/>
          <w:rtl/>
          <w:lang w:bidi="ar-DZ"/>
        </w:rPr>
        <w:t>وفي هذا الصدد، تلاحظ اللجنة حجة صاحبة البلاغ أن التحقيق لم يكن يستهدف حقاً تحديد الجاني، وأن طلباتها المتعلقة باستجواب المحققين لشهود العيان</w:t>
      </w:r>
      <w:r w:rsidR="00307A98">
        <w:rPr>
          <w:rFonts w:hint="cs"/>
          <w:rtl/>
          <w:lang w:bidi="ar-DZ"/>
        </w:rPr>
        <w:t xml:space="preserve"> و</w:t>
      </w:r>
      <w:r>
        <w:rPr>
          <w:rFonts w:hint="cs"/>
          <w:rtl/>
          <w:lang w:bidi="ar-DZ"/>
        </w:rPr>
        <w:t>تقديم المشتبه فيهم لمحاولة التعرف على الجاني رُفضت رغم</w:t>
      </w:r>
      <w:r w:rsidR="00307A98">
        <w:rPr>
          <w:rFonts w:hint="cs"/>
          <w:rtl/>
          <w:lang w:bidi="ar-DZ"/>
        </w:rPr>
        <w:t xml:space="preserve"> </w:t>
      </w:r>
      <w:r>
        <w:rPr>
          <w:rFonts w:hint="cs"/>
          <w:rtl/>
          <w:lang w:bidi="ar-DZ"/>
        </w:rPr>
        <w:t>ذكر صاحبة البلاغ</w:t>
      </w:r>
      <w:r w:rsidR="00307A98">
        <w:rPr>
          <w:rFonts w:hint="cs"/>
          <w:rtl/>
          <w:lang w:bidi="ar-DZ"/>
        </w:rPr>
        <w:t xml:space="preserve"> </w:t>
      </w:r>
      <w:r>
        <w:rPr>
          <w:rFonts w:hint="cs"/>
          <w:rtl/>
          <w:lang w:bidi="ar-DZ"/>
        </w:rPr>
        <w:t>أن بإمكانها التعرف على الضابط المسؤول. وتلاحظ اللجنة أيضاً ادعاء صاحبة البلاغ أن التحقيق افتقد النزاهة، حيث عُهد بإجرائه بادئ الأمر إلى شرطة مدينة مينسك، التي</w:t>
      </w:r>
      <w:r w:rsidR="00307A98">
        <w:rPr>
          <w:rFonts w:hint="cs"/>
          <w:rtl/>
          <w:lang w:bidi="ar-DZ"/>
        </w:rPr>
        <w:t xml:space="preserve"> </w:t>
      </w:r>
      <w:r>
        <w:rPr>
          <w:rFonts w:hint="cs"/>
          <w:rtl/>
          <w:lang w:bidi="ar-DZ"/>
        </w:rPr>
        <w:t>ينتمي إليها الجاني. وتلاحظ اللجنة أن الدولة الطرف لم تدحض هذه الادعاءات.</w:t>
      </w:r>
      <w:r w:rsidR="00307A98">
        <w:rPr>
          <w:rFonts w:hint="cs"/>
          <w:rtl/>
          <w:lang w:bidi="ar-DZ"/>
        </w:rPr>
        <w:t xml:space="preserve"> و</w:t>
      </w:r>
      <w:r>
        <w:rPr>
          <w:rFonts w:hint="cs"/>
          <w:rtl/>
          <w:lang w:bidi="ar-DZ"/>
        </w:rPr>
        <w:t>تذكّر اللجنة</w:t>
      </w:r>
      <w:r w:rsidR="00307A98">
        <w:rPr>
          <w:rFonts w:hint="cs"/>
          <w:rtl/>
          <w:lang w:bidi="ar-DZ"/>
        </w:rPr>
        <w:t xml:space="preserve"> </w:t>
      </w:r>
      <w:r>
        <w:rPr>
          <w:rFonts w:hint="cs"/>
          <w:rtl/>
          <w:lang w:bidi="ar-DZ"/>
        </w:rPr>
        <w:t>بأنه يتعين على أية دولة طرف، لدى تقديم شكوى بشأن إساءة المعاملة</w:t>
      </w:r>
      <w:r w:rsidR="00307A98">
        <w:rPr>
          <w:rFonts w:hint="cs"/>
          <w:rtl/>
          <w:lang w:bidi="ar-DZ"/>
        </w:rPr>
        <w:t xml:space="preserve"> </w:t>
      </w:r>
      <w:r>
        <w:rPr>
          <w:rFonts w:hint="cs"/>
          <w:rtl/>
          <w:lang w:bidi="ar-DZ"/>
        </w:rPr>
        <w:t>بما</w:t>
      </w:r>
      <w:r w:rsidR="00307A98">
        <w:rPr>
          <w:rFonts w:hint="cs"/>
          <w:rtl/>
          <w:lang w:bidi="ar-DZ"/>
        </w:rPr>
        <w:t xml:space="preserve"> </w:t>
      </w:r>
      <w:r>
        <w:rPr>
          <w:rFonts w:hint="cs"/>
          <w:rtl/>
          <w:lang w:bidi="ar-DZ"/>
        </w:rPr>
        <w:t xml:space="preserve">يخالف المادة 7، أن تجري تحقيقاً فورياً ونزيهاً في </w:t>
      </w:r>
      <w:proofErr w:type="gramStart"/>
      <w:r>
        <w:rPr>
          <w:rFonts w:hint="cs"/>
          <w:rtl/>
          <w:lang w:bidi="ar-DZ"/>
        </w:rPr>
        <w:t>الشكوى</w:t>
      </w:r>
      <w:r w:rsidRPr="00EF3639">
        <w:rPr>
          <w:rFonts w:hint="cs"/>
          <w:vertAlign w:val="superscript"/>
          <w:rtl/>
          <w:lang w:bidi="ar-DZ"/>
        </w:rPr>
        <w:t>(</w:t>
      </w:r>
      <w:proofErr w:type="gramEnd"/>
      <w:r w:rsidRPr="00EF3639">
        <w:rPr>
          <w:rStyle w:val="FootnoteReference"/>
          <w:rtl/>
          <w:lang w:bidi="ar-DZ"/>
        </w:rPr>
        <w:footnoteReference w:id="12"/>
      </w:r>
      <w:r w:rsidRPr="00EF3639">
        <w:rPr>
          <w:rFonts w:hint="cs"/>
          <w:vertAlign w:val="superscript"/>
          <w:rtl/>
          <w:lang w:bidi="ar-DZ"/>
        </w:rPr>
        <w:t>)</w:t>
      </w:r>
      <w:r>
        <w:rPr>
          <w:rFonts w:hint="cs"/>
          <w:rtl/>
          <w:lang w:bidi="ar-DZ"/>
        </w:rPr>
        <w:t xml:space="preserve">. وفي هذه القضية، مر أكثر من سبع سنوات على الواقعة دون تحديد الجناة ودون محاكمتهم. ونظراً إلى عدم تقديم أية معلومات في الموضوع من الدولة الطرف، وبخاصة فيما يتعلق بإجراء تحقيق فعال للبت على نحو سريع ومستقل وواف في ادعاءات صاحبة </w:t>
      </w:r>
      <w:proofErr w:type="gramStart"/>
      <w:r>
        <w:rPr>
          <w:rFonts w:hint="cs"/>
          <w:rtl/>
          <w:lang w:bidi="ar-DZ"/>
        </w:rPr>
        <w:t>البلاغ</w:t>
      </w:r>
      <w:r w:rsidRPr="00EF3639">
        <w:rPr>
          <w:rFonts w:hint="cs"/>
          <w:vertAlign w:val="superscript"/>
          <w:rtl/>
          <w:lang w:bidi="ar-DZ"/>
        </w:rPr>
        <w:t>(</w:t>
      </w:r>
      <w:proofErr w:type="gramEnd"/>
      <w:r w:rsidRPr="00EF3639">
        <w:rPr>
          <w:rStyle w:val="FootnoteReference"/>
          <w:rtl/>
          <w:lang w:bidi="ar-DZ"/>
        </w:rPr>
        <w:footnoteReference w:id="13"/>
      </w:r>
      <w:r w:rsidRPr="00EF3639">
        <w:rPr>
          <w:rFonts w:hint="cs"/>
          <w:vertAlign w:val="superscript"/>
          <w:rtl/>
          <w:lang w:bidi="ar-DZ"/>
        </w:rPr>
        <w:t>)</w:t>
      </w:r>
      <w:r>
        <w:rPr>
          <w:rFonts w:hint="cs"/>
          <w:rtl/>
          <w:lang w:bidi="ar-DZ"/>
        </w:rPr>
        <w:t xml:space="preserve">، فيجب إيلاء الاعتبار الواجب لادعاءات صاحبة البلاغ. وفي ظروف هذه القضية، ترى اللجنة أن الوقائع المعروضة عليها تكشف أن الدولة الطرف لم تف بواجبها في إجراء تحقيق وافٍ في ادعاءات صاحبة البلاغ. وبناءً على ذلك، تستنتج اللجنة أن هذا الجزء من البلاغ يكشف عن انتهاك حقوق صاحبة البلاغ بموجب المادة 7 من العهد، مقروءة بالاقتران مع المادة 2(3) </w:t>
      </w:r>
      <w:proofErr w:type="gramStart"/>
      <w:r>
        <w:rPr>
          <w:rFonts w:hint="cs"/>
          <w:rtl/>
          <w:lang w:bidi="ar-DZ"/>
        </w:rPr>
        <w:t>منه</w:t>
      </w:r>
      <w:r w:rsidRPr="00EF3639">
        <w:rPr>
          <w:rFonts w:hint="cs"/>
          <w:vertAlign w:val="superscript"/>
          <w:rtl/>
          <w:lang w:bidi="ar-DZ"/>
        </w:rPr>
        <w:t>(</w:t>
      </w:r>
      <w:proofErr w:type="gramEnd"/>
      <w:r w:rsidRPr="00EF3639">
        <w:rPr>
          <w:rStyle w:val="FootnoteReference"/>
          <w:rtl/>
          <w:lang w:bidi="ar-DZ"/>
        </w:rPr>
        <w:footnoteReference w:id="14"/>
      </w:r>
      <w:r w:rsidRPr="00EF3639">
        <w:rPr>
          <w:rFonts w:hint="cs"/>
          <w:vertAlign w:val="superscript"/>
          <w:rtl/>
          <w:lang w:bidi="ar-DZ"/>
        </w:rPr>
        <w:t>)</w:t>
      </w:r>
      <w:r>
        <w:rPr>
          <w:rFonts w:hint="cs"/>
          <w:rtl/>
          <w:lang w:bidi="ar-DZ"/>
        </w:rPr>
        <w:t>.</w:t>
      </w:r>
    </w:p>
    <w:p w:rsidR="00EF3639" w:rsidRDefault="00EF3639" w:rsidP="00EF3639">
      <w:pPr>
        <w:pStyle w:val="SingleTxtGA"/>
        <w:rPr>
          <w:rtl/>
          <w:lang w:bidi="ar-DZ"/>
        </w:rPr>
      </w:pPr>
      <w:r>
        <w:rPr>
          <w:rFonts w:hint="cs"/>
          <w:rtl/>
          <w:lang w:bidi="ar-DZ"/>
        </w:rPr>
        <w:lastRenderedPageBreak/>
        <w:t>11-</w:t>
      </w:r>
      <w:r>
        <w:rPr>
          <w:rtl/>
          <w:lang w:bidi="ar-DZ"/>
        </w:rPr>
        <w:tab/>
      </w:r>
      <w:r>
        <w:rPr>
          <w:rFonts w:hint="cs"/>
          <w:rtl/>
          <w:lang w:bidi="ar-DZ"/>
        </w:rPr>
        <w:t>واللجنة، إذ تتصرف بموجب المادة 5(4) من البروتوكول الاختياري، ترى أن الوقائع المعروضة عليها تكشف عن انتهاك بيلاروس للمادة 7 من العهد، مقروءة منفردة ومقترنة بالمادة</w:t>
      </w:r>
      <w:r>
        <w:rPr>
          <w:rFonts w:hint="eastAsia"/>
          <w:rtl/>
          <w:lang w:bidi="ar-DZ"/>
        </w:rPr>
        <w:t> </w:t>
      </w:r>
      <w:r>
        <w:rPr>
          <w:rFonts w:hint="cs"/>
          <w:rtl/>
          <w:lang w:bidi="ar-DZ"/>
        </w:rPr>
        <w:t>2(3) منه. وتكرر اللجنة استنتاجها أن الدولة الطرف انتهكت أيضاً التزامها بموجب المادة 1 من البروتوكول الاختياري.</w:t>
      </w:r>
    </w:p>
    <w:p w:rsidR="00EF3639" w:rsidRDefault="00EF3639" w:rsidP="00021C6A">
      <w:pPr>
        <w:pStyle w:val="SingleTxtGA"/>
        <w:rPr>
          <w:rtl/>
          <w:lang w:bidi="ar-DZ"/>
        </w:rPr>
      </w:pPr>
      <w:r>
        <w:rPr>
          <w:rFonts w:hint="cs"/>
          <w:rtl/>
          <w:lang w:bidi="ar-DZ"/>
        </w:rPr>
        <w:t>12-</w:t>
      </w:r>
      <w:r>
        <w:rPr>
          <w:rFonts w:hint="cs"/>
          <w:rtl/>
          <w:lang w:bidi="ar-DZ"/>
        </w:rPr>
        <w:tab/>
        <w:t>ويقع على عاتق الدولة الطرف، بموجب المادة 2(3)(أ) من العهد، التزام بتوفير سبيل انتصاف فعال لصاحبة البلاغ. ويقتضي ذلك تقديم جبر كامل للأشخاص الذين انتُهكت حقوقهم التي يكفلها العهد. وفي هذه القضية، يقع على عاتق الدولة الطرف التزام يشمل ما</w:t>
      </w:r>
      <w:r w:rsidR="00021C6A">
        <w:rPr>
          <w:rFonts w:hint="eastAsia"/>
          <w:rtl/>
          <w:lang w:bidi="ar-DZ"/>
        </w:rPr>
        <w:t> </w:t>
      </w:r>
      <w:r>
        <w:rPr>
          <w:rFonts w:hint="cs"/>
          <w:rtl/>
          <w:lang w:bidi="ar-DZ"/>
        </w:rPr>
        <w:t xml:space="preserve">يلي: (أ) إجراء تحقيق كامل وفعال في ادعاءات صاحبة البلاغ المتعلقة بإساءة المعاملة، ومقاضاة الجناة ومعاقبتهم بعقوبات مناسبة؛ (ب) تقديم التعويض الكافي وتدابير الترضية المناسبة، ويشمل ذلك سداد أي تكاليف قانونية ومصروفات طبية </w:t>
      </w:r>
      <w:proofErr w:type="spellStart"/>
      <w:r>
        <w:rPr>
          <w:rFonts w:hint="cs"/>
          <w:rtl/>
          <w:lang w:bidi="ar-DZ"/>
        </w:rPr>
        <w:t>تكبدتها</w:t>
      </w:r>
      <w:proofErr w:type="spellEnd"/>
      <w:r>
        <w:rPr>
          <w:rFonts w:hint="cs"/>
          <w:rtl/>
          <w:lang w:bidi="ar-DZ"/>
        </w:rPr>
        <w:t xml:space="preserve"> صاحبة البلاغ، إضافةً إلى الخسائر غير المالية؛ (ج) تقديم اعتذار رسمي لصاحبة البلاغ. ويقع على عاتق الدولة الطرف التزام أيضاً بأن تتخذ جميع الخطوات الضرورية لمنع حدوث انتهاكات مماثلة في المستقبل، وبأن تتعاون بنية حسنة مع اللجنة في ضوء التزاماتها بموجب البروتوكول </w:t>
      </w:r>
      <w:proofErr w:type="gramStart"/>
      <w:r>
        <w:rPr>
          <w:rFonts w:hint="cs"/>
          <w:rtl/>
          <w:lang w:bidi="ar-DZ"/>
        </w:rPr>
        <w:t>الاختياري</w:t>
      </w:r>
      <w:r w:rsidRPr="00EF3639">
        <w:rPr>
          <w:rFonts w:hint="cs"/>
          <w:vertAlign w:val="superscript"/>
          <w:rtl/>
          <w:lang w:bidi="ar-DZ"/>
        </w:rPr>
        <w:t>(</w:t>
      </w:r>
      <w:proofErr w:type="gramEnd"/>
      <w:r w:rsidRPr="00EF3639">
        <w:rPr>
          <w:rStyle w:val="FootnoteReference"/>
          <w:rtl/>
          <w:lang w:bidi="ar-DZ"/>
        </w:rPr>
        <w:footnoteReference w:id="15"/>
      </w:r>
      <w:r w:rsidRPr="00EF3639">
        <w:rPr>
          <w:rFonts w:hint="cs"/>
          <w:vertAlign w:val="superscript"/>
          <w:rtl/>
          <w:lang w:bidi="ar-DZ"/>
        </w:rPr>
        <w:t>)</w:t>
      </w:r>
      <w:r>
        <w:rPr>
          <w:rFonts w:hint="cs"/>
          <w:rtl/>
          <w:lang w:bidi="ar-DZ"/>
        </w:rPr>
        <w:t>.</w:t>
      </w:r>
    </w:p>
    <w:p w:rsidR="00EF3639" w:rsidRDefault="00EF3639" w:rsidP="00EF3639">
      <w:pPr>
        <w:pStyle w:val="SingleTxtGA"/>
        <w:rPr>
          <w:lang w:bidi="ar-DZ"/>
        </w:rPr>
      </w:pPr>
      <w:r>
        <w:rPr>
          <w:rFonts w:hint="cs"/>
          <w:rtl/>
          <w:lang w:bidi="ar-DZ"/>
        </w:rPr>
        <w:t>13-</w:t>
      </w:r>
      <w:r>
        <w:rPr>
          <w:rFonts w:hint="cs"/>
          <w:rtl/>
          <w:lang w:bidi="ar-DZ"/>
        </w:rPr>
        <w:tab/>
      </w:r>
      <w:r w:rsidRPr="0085534B">
        <w:rPr>
          <w:rtl/>
          <w:lang w:bidi="ar-DZ"/>
        </w:rPr>
        <w:t>و</w:t>
      </w:r>
      <w:r>
        <w:rPr>
          <w:rFonts w:hint="cs"/>
          <w:rtl/>
          <w:lang w:bidi="ar-DZ"/>
        </w:rPr>
        <w:t xml:space="preserve">اللجنة، </w:t>
      </w:r>
      <w:r w:rsidRPr="0085534B">
        <w:rPr>
          <w:rtl/>
          <w:lang w:bidi="ar-DZ"/>
        </w:rPr>
        <w:t>إذ تضع</w:t>
      </w:r>
      <w:r>
        <w:rPr>
          <w:rFonts w:hint="cs"/>
          <w:rtl/>
          <w:lang w:bidi="ar-DZ"/>
        </w:rPr>
        <w:t xml:space="preserve"> </w:t>
      </w:r>
      <w:r w:rsidRPr="0085534B">
        <w:rPr>
          <w:rtl/>
          <w:lang w:bidi="ar-DZ"/>
        </w:rPr>
        <w:t>في اعتبارها أن الدولة الطرف</w:t>
      </w:r>
      <w:r>
        <w:rPr>
          <w:rFonts w:hint="cs"/>
          <w:rtl/>
          <w:lang w:bidi="ar-DZ"/>
        </w:rPr>
        <w:t>،</w:t>
      </w:r>
      <w:r w:rsidRPr="0085534B">
        <w:rPr>
          <w:rtl/>
          <w:lang w:bidi="ar-DZ"/>
        </w:rPr>
        <w:t xml:space="preserve"> بانضمامها إلى البروتوكول الاختياري، قد اعترفت باختصاص اللجنة في تحديد ما إذا كان قد وقع انتهاك للعهد أم لا، وأنها تعهدت، عملاً بالمادة 2 من العهد، بأن تكفل لجميع الأفراد الموجودين في إقليمها أو الخاضعين لولايتها الحقوق المعترف بها في العهد، فإنها تود أن تتلقى من الدولة الطرف في غضون 180 يوماً معلومات عن التدابير التي اتخذتها لوضع آراء اللجنة موضع التنفيذ</w:t>
      </w:r>
      <w:r>
        <w:rPr>
          <w:rFonts w:hint="cs"/>
          <w:rtl/>
          <w:lang w:bidi="ar-DZ"/>
        </w:rPr>
        <w:t xml:space="preserve">. </w:t>
      </w:r>
      <w:r w:rsidRPr="0085534B">
        <w:rPr>
          <w:rStyle w:val="FootnoteReference"/>
          <w:b w:val="0"/>
          <w:sz w:val="20"/>
          <w:szCs w:val="30"/>
          <w:vertAlign w:val="baseline"/>
          <w:rtl/>
          <w:lang w:bidi="ar-DZ"/>
        </w:rPr>
        <w:t>والدولة الطرف مدعوة أيضاً إلى نشر هذه الآراء وتعميمها على نطاق واسع باللغات الرسمية للدولة الطرف</w:t>
      </w:r>
      <w:r>
        <w:rPr>
          <w:rFonts w:hint="cs"/>
          <w:rtl/>
          <w:lang w:bidi="ar-DZ"/>
        </w:rPr>
        <w:t>.</w:t>
      </w:r>
    </w:p>
    <w:p w:rsidR="00EF3639" w:rsidRPr="00EF3639" w:rsidRDefault="00EF3639" w:rsidP="00EF3639">
      <w:pPr>
        <w:spacing w:before="120"/>
        <w:jc w:val="center"/>
        <w:rPr>
          <w:u w:val="single"/>
          <w:rtl/>
          <w:lang w:bidi="ar-DZ"/>
        </w:rPr>
      </w:pPr>
      <w:r>
        <w:rPr>
          <w:u w:val="single"/>
          <w:rtl/>
          <w:lang w:bidi="ar-DZ"/>
        </w:rPr>
        <w:tab/>
      </w:r>
      <w:r>
        <w:rPr>
          <w:u w:val="single"/>
          <w:rtl/>
          <w:lang w:bidi="ar-DZ"/>
        </w:rPr>
        <w:tab/>
      </w:r>
      <w:r>
        <w:rPr>
          <w:u w:val="single"/>
          <w:rtl/>
          <w:lang w:bidi="ar-DZ"/>
        </w:rPr>
        <w:tab/>
      </w:r>
    </w:p>
    <w:sectPr w:rsidR="00EF3639" w:rsidRPr="00EF3639" w:rsidSect="00A456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21" w:rsidRPr="002901D9" w:rsidRDefault="00732A21" w:rsidP="002901D9">
      <w:pPr>
        <w:spacing w:after="60" w:line="240" w:lineRule="auto"/>
        <w:rPr>
          <w:i/>
          <w:iCs/>
        </w:rPr>
      </w:pPr>
      <w:r>
        <w:rPr>
          <w:rFonts w:hint="cs"/>
          <w:i/>
          <w:iCs/>
          <w:rtl/>
        </w:rPr>
        <w:t>الحواشي</w:t>
      </w:r>
    </w:p>
  </w:endnote>
  <w:endnote w:type="continuationSeparator" w:id="0">
    <w:p w:rsidR="00732A21" w:rsidRDefault="00732A2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BC" w:rsidRPr="00EF3639" w:rsidRDefault="00EF3639" w:rsidP="00EF3639">
    <w:pPr>
      <w:pStyle w:val="Footer"/>
      <w:tabs>
        <w:tab w:val="right" w:pos="9598"/>
      </w:tabs>
      <w:rPr>
        <w:sz w:val="17"/>
      </w:rPr>
    </w:pPr>
    <w:r>
      <w:rPr>
        <w:sz w:val="17"/>
      </w:rPr>
      <w:t>GE.18-09118</w:t>
    </w:r>
    <w:r>
      <w:rPr>
        <w:sz w:val="17"/>
      </w:rPr>
      <w:tab/>
    </w:r>
    <w:r w:rsidRPr="00EF3639">
      <w:rPr>
        <w:b/>
        <w:sz w:val="18"/>
      </w:rPr>
      <w:fldChar w:fldCharType="begin"/>
    </w:r>
    <w:r w:rsidRPr="00EF3639">
      <w:rPr>
        <w:b/>
        <w:sz w:val="18"/>
      </w:rPr>
      <w:instrText xml:space="preserve"> PAGE  \* MERGEFORMAT </w:instrText>
    </w:r>
    <w:r w:rsidRPr="00EF3639">
      <w:rPr>
        <w:b/>
        <w:sz w:val="18"/>
      </w:rPr>
      <w:fldChar w:fldCharType="separate"/>
    </w:r>
    <w:r w:rsidR="002F7A5C">
      <w:rPr>
        <w:b/>
        <w:noProof/>
        <w:sz w:val="18"/>
      </w:rPr>
      <w:t>6</w:t>
    </w:r>
    <w:r w:rsidRPr="00EF36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F3639" w:rsidRDefault="00EF3639" w:rsidP="006959B0">
    <w:pPr>
      <w:pStyle w:val="Footer"/>
      <w:tabs>
        <w:tab w:val="right" w:pos="9599"/>
      </w:tabs>
      <w:jc w:val="left"/>
      <w:rPr>
        <w:b/>
        <w:sz w:val="18"/>
        <w:lang w:val="en-US"/>
      </w:rPr>
    </w:pPr>
    <w:r w:rsidRPr="00EF3639">
      <w:rPr>
        <w:b/>
        <w:sz w:val="18"/>
        <w:lang w:val="en-US"/>
      </w:rPr>
      <w:fldChar w:fldCharType="begin"/>
    </w:r>
    <w:r w:rsidRPr="00EF3639">
      <w:rPr>
        <w:b/>
        <w:sz w:val="18"/>
        <w:lang w:val="en-US"/>
      </w:rPr>
      <w:instrText xml:space="preserve"> PAGE  \* MERGEFORMAT </w:instrText>
    </w:r>
    <w:r w:rsidRPr="00EF3639">
      <w:rPr>
        <w:b/>
        <w:sz w:val="18"/>
        <w:lang w:val="en-US"/>
      </w:rPr>
      <w:fldChar w:fldCharType="separate"/>
    </w:r>
    <w:r w:rsidR="002F7A5C">
      <w:rPr>
        <w:b/>
        <w:noProof/>
        <w:sz w:val="18"/>
        <w:lang w:val="en-US"/>
      </w:rPr>
      <w:t>7</w:t>
    </w:r>
    <w:r w:rsidRPr="00EF3639">
      <w:rPr>
        <w:b/>
        <w:sz w:val="18"/>
        <w:lang w:val="en-US"/>
      </w:rPr>
      <w:fldChar w:fldCharType="end"/>
    </w:r>
    <w:r>
      <w:rPr>
        <w:b/>
        <w:sz w:val="18"/>
        <w:lang w:val="en-US"/>
      </w:rPr>
      <w:tab/>
    </w:r>
    <w:r>
      <w:rPr>
        <w:sz w:val="17"/>
        <w:lang w:val="en-US"/>
      </w:rPr>
      <w:t>GE.18-09118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A456BC" w:rsidP="00982139">
    <w:pPr>
      <w:pStyle w:val="Footer"/>
      <w:spacing w:before="360"/>
      <w:jc w:val="right"/>
      <w:rPr>
        <w:sz w:val="20"/>
        <w:szCs w:val="20"/>
      </w:rPr>
    </w:pPr>
    <w:r>
      <w:rPr>
        <w:sz w:val="20"/>
        <w:szCs w:val="20"/>
      </w:rPr>
      <w:t>GE.18-09118</w:t>
    </w:r>
    <w:r w:rsidR="00DE50B1">
      <w:rPr>
        <w:noProof/>
        <w:lang w:val="en-US" w:eastAsia="zh-CN"/>
      </w:rPr>
      <w:drawing>
        <wp:anchor distT="0" distB="0" distL="114300" distR="114300" simplePos="0" relativeHeight="251665408" behindDoc="1" locked="1" layoutInCell="0" allowOverlap="1" wp14:anchorId="783FD470" wp14:editId="43C5C00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456BC" w:rsidRPr="00A456BC" w:rsidRDefault="00A456BC" w:rsidP="00A456B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21" w:rsidRDefault="00732A21" w:rsidP="000437B8">
      <w:pPr>
        <w:pStyle w:val="Footer"/>
        <w:bidi/>
        <w:spacing w:after="80" w:line="200" w:lineRule="exact"/>
        <w:ind w:left="680"/>
      </w:pPr>
      <w:r>
        <w:rPr>
          <w:rtl/>
        </w:rPr>
        <w:t>__________</w:t>
      </w:r>
    </w:p>
  </w:footnote>
  <w:footnote w:type="continuationSeparator" w:id="0">
    <w:p w:rsidR="00732A21" w:rsidRDefault="00732A21" w:rsidP="00656392">
      <w:pPr>
        <w:spacing w:line="240" w:lineRule="auto"/>
      </w:pPr>
      <w:r>
        <w:continuationSeparator/>
      </w:r>
    </w:p>
  </w:footnote>
  <w:footnote w:id="1">
    <w:p w:rsidR="00EF3639" w:rsidRPr="00116B25" w:rsidRDefault="00EF3639" w:rsidP="00EF3639">
      <w:pPr>
        <w:pStyle w:val="FootnoteText1"/>
        <w:rPr>
          <w:rtl/>
          <w:lang w:bidi="ar-EG"/>
        </w:rPr>
      </w:pPr>
      <w:r>
        <w:rPr>
          <w:rtl/>
          <w:lang w:bidi="ar-EG"/>
        </w:rPr>
        <w:t>*</w:t>
      </w:r>
      <w:r>
        <w:rPr>
          <w:rtl/>
          <w:lang w:bidi="ar-EG"/>
        </w:rPr>
        <w:tab/>
      </w:r>
      <w:r>
        <w:rPr>
          <w:rFonts w:hint="cs"/>
          <w:rtl/>
          <w:lang w:bidi="ar-EG"/>
        </w:rPr>
        <w:t>اعتمدتها اللجنة في دورتها 122 (12 آذار/مارس - 6 نيسان/أبريل 2018).</w:t>
      </w:r>
    </w:p>
  </w:footnote>
  <w:footnote w:id="2">
    <w:p w:rsidR="00EF3639" w:rsidRPr="00116B25" w:rsidRDefault="00EF3639" w:rsidP="00EF3639">
      <w:pPr>
        <w:pStyle w:val="FootnoteText1"/>
        <w:rPr>
          <w:rtl/>
          <w:lang w:bidi="ar-DZ"/>
        </w:rPr>
      </w:pPr>
      <w:r>
        <w:rPr>
          <w:rtl/>
          <w:lang w:bidi="ar-EG"/>
        </w:rPr>
        <w:t>**</w:t>
      </w:r>
      <w:r>
        <w:rPr>
          <w:rtl/>
          <w:lang w:bidi="ar-EG"/>
        </w:rPr>
        <w:tab/>
      </w:r>
      <w:r w:rsidRPr="00A91805">
        <w:rPr>
          <w:rtl/>
          <w:lang w:bidi="ar-EG"/>
        </w:rPr>
        <w:t xml:space="preserve">شارك في دراسة هذا البلاغ أعضاء اللجنة التالية أسماؤهم: تانيا ماريا عبده </w:t>
      </w:r>
      <w:proofErr w:type="spellStart"/>
      <w:r w:rsidRPr="00A91805">
        <w:rPr>
          <w:rtl/>
          <w:lang w:bidi="ar-EG"/>
        </w:rPr>
        <w:t>روتشول</w:t>
      </w:r>
      <w:proofErr w:type="spellEnd"/>
      <w:r w:rsidRPr="00A91805">
        <w:rPr>
          <w:rtl/>
          <w:lang w:bidi="ar-EG"/>
        </w:rPr>
        <w:t xml:space="preserve">، وعياض بن عاشور، </w:t>
      </w:r>
      <w:proofErr w:type="spellStart"/>
      <w:r w:rsidRPr="00A91805">
        <w:rPr>
          <w:rtl/>
          <w:lang w:bidi="ar-EG"/>
        </w:rPr>
        <w:t>وإيلزي</w:t>
      </w:r>
      <w:proofErr w:type="spellEnd"/>
      <w:r w:rsidRPr="00A91805">
        <w:rPr>
          <w:rtl/>
          <w:lang w:bidi="ar-EG"/>
        </w:rPr>
        <w:t xml:space="preserve"> </w:t>
      </w:r>
      <w:proofErr w:type="spellStart"/>
      <w:r w:rsidRPr="00A91805">
        <w:rPr>
          <w:rtl/>
          <w:lang w:bidi="ar-EG"/>
        </w:rPr>
        <w:t>براندس</w:t>
      </w:r>
      <w:proofErr w:type="spellEnd"/>
      <w:r w:rsidRPr="00A91805">
        <w:rPr>
          <w:rtl/>
          <w:lang w:bidi="ar-EG"/>
        </w:rPr>
        <w:t xml:space="preserve"> </w:t>
      </w:r>
      <w:proofErr w:type="spellStart"/>
      <w:r w:rsidRPr="00A91805">
        <w:rPr>
          <w:rtl/>
          <w:lang w:bidi="ar-EG"/>
        </w:rPr>
        <w:t>كيهريس</w:t>
      </w:r>
      <w:proofErr w:type="spellEnd"/>
      <w:r w:rsidRPr="00A91805">
        <w:rPr>
          <w:rtl/>
          <w:lang w:bidi="ar-EG"/>
        </w:rPr>
        <w:t xml:space="preserve">، </w:t>
      </w:r>
      <w:r>
        <w:rPr>
          <w:rFonts w:hint="cs"/>
          <w:rtl/>
          <w:lang w:bidi="ar-EG"/>
        </w:rPr>
        <w:t xml:space="preserve">وسارة كليفلاند، </w:t>
      </w:r>
      <w:proofErr w:type="spellStart"/>
      <w:r w:rsidRPr="00A91805">
        <w:rPr>
          <w:rtl/>
          <w:lang w:bidi="ar-EG"/>
        </w:rPr>
        <w:t>وأوليفييه</w:t>
      </w:r>
      <w:proofErr w:type="spellEnd"/>
      <w:r w:rsidRPr="00A91805">
        <w:rPr>
          <w:rtl/>
          <w:lang w:bidi="ar-EG"/>
        </w:rPr>
        <w:t xml:space="preserve"> دي </w:t>
      </w:r>
      <w:proofErr w:type="spellStart"/>
      <w:r w:rsidRPr="00A91805">
        <w:rPr>
          <w:rtl/>
          <w:lang w:bidi="ar-EG"/>
        </w:rPr>
        <w:t>فروفيل</w:t>
      </w:r>
      <w:proofErr w:type="spellEnd"/>
      <w:r w:rsidRPr="00A91805">
        <w:rPr>
          <w:rtl/>
          <w:lang w:bidi="ar-EG"/>
        </w:rPr>
        <w:t xml:space="preserve">، وكريستوف </w:t>
      </w:r>
      <w:proofErr w:type="spellStart"/>
      <w:r w:rsidRPr="00A91805">
        <w:rPr>
          <w:rtl/>
          <w:lang w:bidi="ar-EG"/>
        </w:rPr>
        <w:t>هاينس</w:t>
      </w:r>
      <w:proofErr w:type="spellEnd"/>
      <w:r w:rsidRPr="00A91805">
        <w:rPr>
          <w:rtl/>
          <w:lang w:bidi="ar-EG"/>
        </w:rPr>
        <w:t xml:space="preserve">، </w:t>
      </w:r>
      <w:r>
        <w:rPr>
          <w:rFonts w:hint="cs"/>
          <w:rtl/>
          <w:lang w:bidi="ar-EG"/>
        </w:rPr>
        <w:t xml:space="preserve">وإيفانا </w:t>
      </w:r>
      <w:proofErr w:type="spellStart"/>
      <w:r>
        <w:rPr>
          <w:rFonts w:hint="cs"/>
          <w:rtl/>
          <w:lang w:bidi="ar-EG"/>
        </w:rPr>
        <w:t>يليتش</w:t>
      </w:r>
      <w:proofErr w:type="spellEnd"/>
      <w:r>
        <w:rPr>
          <w:rtl/>
          <w:lang w:bidi="ar-EG"/>
        </w:rPr>
        <w:t xml:space="preserve">، </w:t>
      </w:r>
      <w:proofErr w:type="spellStart"/>
      <w:r>
        <w:rPr>
          <w:rtl/>
          <w:lang w:bidi="ar-EG"/>
        </w:rPr>
        <w:t>وبامري</w:t>
      </w:r>
      <w:r w:rsidRPr="00A91805">
        <w:rPr>
          <w:rtl/>
          <w:lang w:bidi="ar-EG"/>
        </w:rPr>
        <w:t>م</w:t>
      </w:r>
      <w:proofErr w:type="spellEnd"/>
      <w:r w:rsidRPr="00A91805">
        <w:rPr>
          <w:rtl/>
          <w:lang w:bidi="ar-EG"/>
        </w:rPr>
        <w:t xml:space="preserve"> كويتا، </w:t>
      </w:r>
      <w:proofErr w:type="spellStart"/>
      <w:r w:rsidRPr="00A91805">
        <w:rPr>
          <w:rtl/>
          <w:lang w:bidi="ar-EG"/>
        </w:rPr>
        <w:t>ومارسيا</w:t>
      </w:r>
      <w:proofErr w:type="spellEnd"/>
      <w:r w:rsidRPr="00A91805">
        <w:rPr>
          <w:rtl/>
          <w:lang w:bidi="ar-EG"/>
        </w:rPr>
        <w:t xml:space="preserve"> كران، </w:t>
      </w:r>
      <w:proofErr w:type="spellStart"/>
      <w:r w:rsidRPr="00A91805">
        <w:rPr>
          <w:rtl/>
          <w:lang w:bidi="ar-EG"/>
        </w:rPr>
        <w:t>ودنكان</w:t>
      </w:r>
      <w:proofErr w:type="spellEnd"/>
      <w:r w:rsidRPr="00A91805">
        <w:rPr>
          <w:rtl/>
          <w:lang w:bidi="ar-EG"/>
        </w:rPr>
        <w:t xml:space="preserve"> </w:t>
      </w:r>
      <w:proofErr w:type="spellStart"/>
      <w:r w:rsidRPr="00A91805">
        <w:rPr>
          <w:rtl/>
          <w:lang w:bidi="ar-EG"/>
        </w:rPr>
        <w:t>لاكي</w:t>
      </w:r>
      <w:proofErr w:type="spellEnd"/>
      <w:r w:rsidRPr="00A91805">
        <w:rPr>
          <w:rtl/>
          <w:lang w:bidi="ar-EG"/>
        </w:rPr>
        <w:t xml:space="preserve"> </w:t>
      </w:r>
      <w:proofErr w:type="spellStart"/>
      <w:r w:rsidRPr="00A91805">
        <w:rPr>
          <w:rtl/>
          <w:lang w:bidi="ar-EG"/>
        </w:rPr>
        <w:t>موهوموزا</w:t>
      </w:r>
      <w:proofErr w:type="spellEnd"/>
      <w:r w:rsidRPr="00A91805">
        <w:rPr>
          <w:rtl/>
          <w:lang w:bidi="ar-EG"/>
        </w:rPr>
        <w:t xml:space="preserve">، وفوتيني </w:t>
      </w:r>
      <w:proofErr w:type="spellStart"/>
      <w:r w:rsidRPr="00A91805">
        <w:rPr>
          <w:rtl/>
          <w:lang w:bidi="ar-EG"/>
        </w:rPr>
        <w:t>بازارتزيس</w:t>
      </w:r>
      <w:proofErr w:type="spellEnd"/>
      <w:r w:rsidRPr="00A91805">
        <w:rPr>
          <w:rtl/>
          <w:lang w:bidi="ar-EG"/>
        </w:rPr>
        <w:t xml:space="preserve">، </w:t>
      </w:r>
      <w:proofErr w:type="spellStart"/>
      <w:r w:rsidRPr="00A91805">
        <w:rPr>
          <w:rtl/>
          <w:lang w:bidi="ar-EG"/>
        </w:rPr>
        <w:t>وماورو</w:t>
      </w:r>
      <w:proofErr w:type="spellEnd"/>
      <w:r w:rsidRPr="00A91805">
        <w:rPr>
          <w:rtl/>
          <w:lang w:bidi="ar-EG"/>
        </w:rPr>
        <w:t xml:space="preserve"> بوليتي، وخوسيه مانويل سانتوس </w:t>
      </w:r>
      <w:proofErr w:type="spellStart"/>
      <w:r w:rsidRPr="00A91805">
        <w:rPr>
          <w:rtl/>
          <w:lang w:bidi="ar-EG"/>
        </w:rPr>
        <w:t>بايس</w:t>
      </w:r>
      <w:proofErr w:type="spellEnd"/>
      <w:r w:rsidRPr="00A91805">
        <w:rPr>
          <w:rtl/>
          <w:lang w:bidi="ar-EG"/>
        </w:rPr>
        <w:t xml:space="preserve">، ويوفال </w:t>
      </w:r>
      <w:proofErr w:type="spellStart"/>
      <w:r w:rsidRPr="00A91805">
        <w:rPr>
          <w:rtl/>
          <w:lang w:bidi="ar-EG"/>
        </w:rPr>
        <w:t>شاني</w:t>
      </w:r>
      <w:proofErr w:type="spellEnd"/>
      <w:r w:rsidRPr="00A91805">
        <w:rPr>
          <w:rtl/>
          <w:lang w:bidi="ar-EG"/>
        </w:rPr>
        <w:t xml:space="preserve">، ومارغو </w:t>
      </w:r>
      <w:proofErr w:type="spellStart"/>
      <w:r w:rsidRPr="00A91805">
        <w:rPr>
          <w:rtl/>
          <w:lang w:bidi="ar-EG"/>
        </w:rPr>
        <w:t>واترفال</w:t>
      </w:r>
      <w:proofErr w:type="spellEnd"/>
      <w:r>
        <w:rPr>
          <w:rFonts w:hint="cs"/>
          <w:rtl/>
          <w:lang w:bidi="ar-EG"/>
        </w:rPr>
        <w:t>.</w:t>
      </w:r>
    </w:p>
  </w:footnote>
  <w:footnote w:id="3">
    <w:p w:rsidR="00EF3639" w:rsidRPr="00423DCA" w:rsidRDefault="00EF3639" w:rsidP="00EF3639">
      <w:pPr>
        <w:pStyle w:val="FootnoteText1"/>
        <w:rPr>
          <w:lang w:bidi="ar-EG"/>
        </w:rPr>
      </w:pPr>
      <w:r w:rsidRPr="00423DCA">
        <w:rPr>
          <w:rtl/>
        </w:rPr>
        <w:t>(</w:t>
      </w:r>
      <w:r w:rsidRPr="00423DCA">
        <w:rPr>
          <w:rStyle w:val="FootnoteReference"/>
          <w:vertAlign w:val="baseline"/>
        </w:rPr>
        <w:footnoteRef/>
      </w:r>
      <w:r>
        <w:rPr>
          <w:sz w:val="26"/>
          <w:rtl/>
        </w:rPr>
        <w:t>)</w:t>
      </w:r>
      <w:r>
        <w:rPr>
          <w:sz w:val="26"/>
          <w:rtl/>
        </w:rPr>
        <w:tab/>
      </w:r>
      <w:r>
        <w:rPr>
          <w:rFonts w:hint="cs"/>
          <w:rtl/>
          <w:lang w:bidi="ar-EG"/>
        </w:rPr>
        <w:t>انظر تعليق اللجنة العام رقم 20(1992) بشأن حظر التعذيب أو المعاملة أو العقوبة القاسية أو اللاإنسانية أو المهينة، الفقرة 5.</w:t>
      </w:r>
    </w:p>
  </w:footnote>
  <w:footnote w:id="4">
    <w:p w:rsidR="00EF3639" w:rsidRPr="00423DCA" w:rsidRDefault="00EF3639" w:rsidP="00EF3639">
      <w:pPr>
        <w:pStyle w:val="FootnoteText1"/>
        <w:rPr>
          <w:lang w:bidi="ar-EG"/>
        </w:rPr>
      </w:pPr>
      <w:r w:rsidRPr="00423DCA">
        <w:rPr>
          <w:rtl/>
        </w:rPr>
        <w:t>(</w:t>
      </w:r>
      <w:r w:rsidRPr="00423DCA">
        <w:rPr>
          <w:rStyle w:val="FootnoteReference"/>
          <w:vertAlign w:val="baseline"/>
        </w:rPr>
        <w:footnoteRef/>
      </w:r>
      <w:r>
        <w:rPr>
          <w:sz w:val="26"/>
          <w:rtl/>
        </w:rPr>
        <w:t>)</w:t>
      </w:r>
      <w:r>
        <w:rPr>
          <w:sz w:val="26"/>
          <w:rtl/>
        </w:rPr>
        <w:tab/>
      </w:r>
      <w:r>
        <w:rPr>
          <w:rFonts w:hint="cs"/>
          <w:rtl/>
          <w:lang w:bidi="ar-EG"/>
        </w:rPr>
        <w:t xml:space="preserve">انظر </w:t>
      </w:r>
      <w:proofErr w:type="spellStart"/>
      <w:r w:rsidRPr="000717C8">
        <w:rPr>
          <w:rFonts w:hint="cs"/>
          <w:i/>
          <w:iCs/>
          <w:rtl/>
          <w:lang w:bidi="ar-EG"/>
        </w:rPr>
        <w:t>زيوسكين</w:t>
      </w:r>
      <w:proofErr w:type="spellEnd"/>
      <w:r w:rsidRPr="000717C8">
        <w:rPr>
          <w:rFonts w:hint="cs"/>
          <w:i/>
          <w:iCs/>
          <w:rtl/>
          <w:lang w:bidi="ar-EG"/>
        </w:rPr>
        <w:t xml:space="preserve"> ضد الاتحاد الروسي</w:t>
      </w:r>
      <w:r>
        <w:rPr>
          <w:rFonts w:hint="cs"/>
          <w:rtl/>
          <w:lang w:bidi="ar-EG"/>
        </w:rPr>
        <w:t xml:space="preserve"> (</w:t>
      </w:r>
      <w:r w:rsidRPr="00F55190">
        <w:t>CCPR/C/102/D/1605/2007</w:t>
      </w:r>
      <w:r>
        <w:rPr>
          <w:rFonts w:hint="cs"/>
          <w:rtl/>
          <w:lang w:bidi="ar-EG"/>
        </w:rPr>
        <w:t>)، الفقرة 11-5.</w:t>
      </w:r>
    </w:p>
  </w:footnote>
  <w:footnote w:id="5">
    <w:p w:rsidR="00EF3639" w:rsidRPr="009B7D95" w:rsidRDefault="00EF3639" w:rsidP="00EF3639">
      <w:pPr>
        <w:pStyle w:val="FootnoteText1"/>
      </w:pPr>
      <w:r w:rsidRPr="009B7D95">
        <w:rPr>
          <w:rtl/>
        </w:rPr>
        <w:t>(</w:t>
      </w:r>
      <w:r w:rsidRPr="009B7D95">
        <w:rPr>
          <w:rStyle w:val="FootnoteReference"/>
          <w:vertAlign w:val="baseline"/>
        </w:rPr>
        <w:footnoteRef/>
      </w:r>
      <w:r>
        <w:rPr>
          <w:sz w:val="26"/>
          <w:rtl/>
        </w:rPr>
        <w:t>)</w:t>
      </w:r>
      <w:r>
        <w:rPr>
          <w:sz w:val="26"/>
          <w:rtl/>
        </w:rPr>
        <w:tab/>
      </w:r>
      <w:r>
        <w:rPr>
          <w:rFonts w:hint="cs"/>
          <w:sz w:val="26"/>
          <w:rtl/>
        </w:rPr>
        <w:t xml:space="preserve">انظر </w:t>
      </w:r>
      <w:proofErr w:type="spellStart"/>
      <w:r w:rsidRPr="000717C8">
        <w:rPr>
          <w:rFonts w:hint="cs"/>
          <w:i/>
          <w:iCs/>
          <w:sz w:val="26"/>
          <w:rtl/>
        </w:rPr>
        <w:t>ستامبروفسكي</w:t>
      </w:r>
      <w:proofErr w:type="spellEnd"/>
      <w:r w:rsidRPr="000717C8">
        <w:rPr>
          <w:rFonts w:hint="cs"/>
          <w:i/>
          <w:iCs/>
          <w:sz w:val="26"/>
          <w:rtl/>
        </w:rPr>
        <w:t xml:space="preserve"> ضد بيلاروس</w:t>
      </w:r>
      <w:r>
        <w:rPr>
          <w:rFonts w:hint="cs"/>
          <w:sz w:val="26"/>
          <w:rtl/>
        </w:rPr>
        <w:t xml:space="preserve"> (</w:t>
      </w:r>
      <w:r w:rsidRPr="00F55190">
        <w:t>CCPR/C/112/D/1987/2010</w:t>
      </w:r>
      <w:r>
        <w:rPr>
          <w:rFonts w:hint="cs"/>
          <w:sz w:val="26"/>
          <w:rtl/>
        </w:rPr>
        <w:t>)</w:t>
      </w:r>
      <w:r>
        <w:rPr>
          <w:rFonts w:hint="cs"/>
          <w:rtl/>
        </w:rPr>
        <w:t>، الفقرة 5-2.</w:t>
      </w:r>
    </w:p>
  </w:footnote>
  <w:footnote w:id="6">
    <w:p w:rsidR="00EF3639" w:rsidRPr="00E75B42" w:rsidRDefault="00EF3639" w:rsidP="00EF3639">
      <w:pPr>
        <w:pStyle w:val="FootnoteText1"/>
      </w:pPr>
      <w:r w:rsidRPr="00E75B42">
        <w:rPr>
          <w:rtl/>
        </w:rPr>
        <w:t>(</w:t>
      </w:r>
      <w:r w:rsidRPr="00E75B42">
        <w:rPr>
          <w:rStyle w:val="FootnoteReference"/>
          <w:vertAlign w:val="baseline"/>
        </w:rPr>
        <w:footnoteRef/>
      </w:r>
      <w:r>
        <w:rPr>
          <w:sz w:val="26"/>
          <w:rtl/>
        </w:rPr>
        <w:t>)</w:t>
      </w:r>
      <w:r>
        <w:rPr>
          <w:sz w:val="26"/>
          <w:rtl/>
        </w:rPr>
        <w:tab/>
      </w:r>
      <w:r>
        <w:rPr>
          <w:rFonts w:hint="cs"/>
          <w:sz w:val="26"/>
          <w:rtl/>
        </w:rPr>
        <w:t>انظر، مع</w:t>
      </w:r>
      <w:r w:rsidR="00307A98">
        <w:rPr>
          <w:rFonts w:hint="cs"/>
          <w:sz w:val="26"/>
          <w:rtl/>
        </w:rPr>
        <w:t xml:space="preserve"> </w:t>
      </w:r>
      <w:r>
        <w:rPr>
          <w:rFonts w:hint="cs"/>
          <w:sz w:val="26"/>
          <w:rtl/>
        </w:rPr>
        <w:t xml:space="preserve">اعتبار الفروق، </w:t>
      </w:r>
      <w:proofErr w:type="spellStart"/>
      <w:r w:rsidRPr="000717C8">
        <w:rPr>
          <w:rFonts w:hint="cs"/>
          <w:i/>
          <w:iCs/>
          <w:sz w:val="26"/>
          <w:rtl/>
        </w:rPr>
        <w:t>لوزينكو</w:t>
      </w:r>
      <w:proofErr w:type="spellEnd"/>
      <w:r w:rsidRPr="000717C8">
        <w:rPr>
          <w:rFonts w:hint="cs"/>
          <w:i/>
          <w:iCs/>
          <w:sz w:val="26"/>
          <w:rtl/>
        </w:rPr>
        <w:t xml:space="preserve"> ضد بيلاروس</w:t>
      </w:r>
      <w:r>
        <w:rPr>
          <w:rFonts w:hint="cs"/>
          <w:sz w:val="26"/>
          <w:rtl/>
        </w:rPr>
        <w:t xml:space="preserve"> (</w:t>
      </w:r>
      <w:r w:rsidRPr="000E5AA7">
        <w:t>CCPR/C/112/D/1929/2010</w:t>
      </w:r>
      <w:r>
        <w:rPr>
          <w:rFonts w:hint="cs"/>
          <w:sz w:val="26"/>
          <w:rtl/>
        </w:rPr>
        <w:t xml:space="preserve">)، الفقرة 5-2. </w:t>
      </w:r>
    </w:p>
  </w:footnote>
  <w:footnote w:id="7">
    <w:p w:rsidR="00EF3639" w:rsidRPr="00E75B42" w:rsidRDefault="00EF3639" w:rsidP="00EF3639">
      <w:pPr>
        <w:pStyle w:val="FootnoteText1"/>
      </w:pPr>
      <w:r w:rsidRPr="00E75B42">
        <w:rPr>
          <w:rtl/>
        </w:rPr>
        <w:t>(</w:t>
      </w:r>
      <w:r w:rsidRPr="00E75B42">
        <w:rPr>
          <w:rStyle w:val="FootnoteReference"/>
          <w:vertAlign w:val="baseline"/>
        </w:rPr>
        <w:footnoteRef/>
      </w:r>
      <w:r>
        <w:rPr>
          <w:sz w:val="26"/>
          <w:rtl/>
        </w:rPr>
        <w:t>)</w:t>
      </w:r>
      <w:r>
        <w:rPr>
          <w:sz w:val="26"/>
          <w:rtl/>
        </w:rPr>
        <w:tab/>
      </w:r>
      <w:r>
        <w:rPr>
          <w:rFonts w:hint="cs"/>
          <w:sz w:val="26"/>
          <w:rtl/>
        </w:rPr>
        <w:t xml:space="preserve">انظر، مثلاً، </w:t>
      </w:r>
      <w:r w:rsidRPr="00CE1F35">
        <w:rPr>
          <w:i/>
          <w:iCs/>
        </w:rPr>
        <w:t>Padilla and Sunga</w:t>
      </w:r>
      <w:r w:rsidRPr="00BA050E">
        <w:rPr>
          <w:i/>
          <w:iCs/>
        </w:rPr>
        <w:t xml:space="preserve"> </w:t>
      </w:r>
      <w:r w:rsidRPr="00CE1F35">
        <w:rPr>
          <w:i/>
          <w:iCs/>
        </w:rPr>
        <w:t xml:space="preserve">v. </w:t>
      </w:r>
      <w:r w:rsidRPr="00BA050E">
        <w:rPr>
          <w:i/>
          <w:iCs/>
        </w:rPr>
        <w:t xml:space="preserve">Philippines </w:t>
      </w:r>
      <w:r w:rsidRPr="00BA050E">
        <w:rPr>
          <w:iCs/>
        </w:rPr>
        <w:t>(</w:t>
      </w:r>
      <w:r w:rsidRPr="00BA050E">
        <w:t>CCPR/C/70/D/869/</w:t>
      </w:r>
      <w:proofErr w:type="gramStart"/>
      <w:r w:rsidRPr="00BA050E">
        <w:t>1999),</w:t>
      </w:r>
      <w:proofErr w:type="gramEnd"/>
      <w:r w:rsidRPr="00BA050E">
        <w:t xml:space="preserve"> para. 5.1</w:t>
      </w:r>
      <w:r>
        <w:rPr>
          <w:rFonts w:hint="cs"/>
          <w:rtl/>
        </w:rPr>
        <w:t xml:space="preserve">، </w:t>
      </w:r>
      <w:proofErr w:type="spellStart"/>
      <w:r w:rsidRPr="000717C8">
        <w:rPr>
          <w:rFonts w:hint="cs"/>
          <w:i/>
          <w:iCs/>
          <w:rtl/>
        </w:rPr>
        <w:t>وتورشينياك</w:t>
      </w:r>
      <w:proofErr w:type="spellEnd"/>
      <w:r w:rsidRPr="000717C8">
        <w:rPr>
          <w:rFonts w:hint="cs"/>
          <w:i/>
          <w:iCs/>
          <w:rtl/>
        </w:rPr>
        <w:t xml:space="preserve"> وآخرون ضد بيلاروس</w:t>
      </w:r>
      <w:r>
        <w:rPr>
          <w:rFonts w:hint="cs"/>
          <w:rtl/>
        </w:rPr>
        <w:t xml:space="preserve"> (</w:t>
      </w:r>
      <w:r w:rsidRPr="00BA050E">
        <w:t>CCPR/C/108/D/1948/</w:t>
      </w:r>
      <w:proofErr w:type="gramStart"/>
      <w:r w:rsidRPr="00BA050E">
        <w:t>2010</w:t>
      </w:r>
      <w:r>
        <w:rPr>
          <w:rFonts w:hint="cs"/>
          <w:rtl/>
        </w:rPr>
        <w:t>)،</w:t>
      </w:r>
      <w:proofErr w:type="gramEnd"/>
      <w:r>
        <w:rPr>
          <w:rFonts w:hint="cs"/>
          <w:rtl/>
        </w:rPr>
        <w:t xml:space="preserve"> الفقرة 5-2. </w:t>
      </w:r>
    </w:p>
  </w:footnote>
  <w:footnote w:id="8">
    <w:p w:rsidR="00EF3639" w:rsidRPr="00E75B42" w:rsidRDefault="00EF3639" w:rsidP="00EF3639">
      <w:pPr>
        <w:pStyle w:val="FootnoteText1"/>
        <w:rPr>
          <w:lang w:bidi="ar-DZ"/>
        </w:rPr>
      </w:pPr>
      <w:r w:rsidRPr="00E75B42">
        <w:rPr>
          <w:rtl/>
        </w:rPr>
        <w:t>(</w:t>
      </w:r>
      <w:r w:rsidRPr="00E75B42">
        <w:rPr>
          <w:rStyle w:val="FootnoteReference"/>
          <w:vertAlign w:val="baseline"/>
        </w:rPr>
        <w:footnoteRef/>
      </w:r>
      <w:r>
        <w:rPr>
          <w:sz w:val="26"/>
          <w:rtl/>
        </w:rPr>
        <w:t>)</w:t>
      </w:r>
      <w:r>
        <w:rPr>
          <w:sz w:val="26"/>
          <w:rtl/>
        </w:rPr>
        <w:tab/>
      </w:r>
      <w:r>
        <w:rPr>
          <w:rFonts w:hint="cs"/>
          <w:sz w:val="26"/>
          <w:rtl/>
        </w:rPr>
        <w:t xml:space="preserve">انظر، </w:t>
      </w:r>
      <w:proofErr w:type="gramStart"/>
      <w:r>
        <w:rPr>
          <w:rFonts w:hint="cs"/>
          <w:sz w:val="26"/>
          <w:rtl/>
        </w:rPr>
        <w:t>مثلاً،</w:t>
      </w:r>
      <w:r>
        <w:rPr>
          <w:rFonts w:hint="cs"/>
          <w:rtl/>
        </w:rPr>
        <w:t>.</w:t>
      </w:r>
      <w:proofErr w:type="gramEnd"/>
      <w:r>
        <w:rPr>
          <w:rFonts w:hint="cs"/>
          <w:rtl/>
        </w:rPr>
        <w:t xml:space="preserve"> </w:t>
      </w:r>
      <w:r w:rsidRPr="00EF3639">
        <w:rPr>
          <w:rFonts w:hint="cs"/>
          <w:i/>
          <w:iCs/>
          <w:rtl/>
          <w:lang w:bidi="ar-DZ"/>
        </w:rPr>
        <w:t>م</w:t>
      </w:r>
      <w:r>
        <w:rPr>
          <w:rFonts w:hint="cs"/>
          <w:i/>
          <w:iCs/>
          <w:rtl/>
          <w:lang w:bidi="ar-DZ"/>
        </w:rPr>
        <w:t xml:space="preserve">. </w:t>
      </w:r>
      <w:r w:rsidRPr="00EF3639">
        <w:rPr>
          <w:rFonts w:hint="cs"/>
          <w:i/>
          <w:iCs/>
          <w:rtl/>
          <w:lang w:bidi="ar-DZ"/>
        </w:rPr>
        <w:t>ج</w:t>
      </w:r>
      <w:r>
        <w:rPr>
          <w:rFonts w:hint="cs"/>
          <w:i/>
          <w:iCs/>
          <w:rtl/>
          <w:lang w:bidi="ar-DZ"/>
        </w:rPr>
        <w:t>.</w:t>
      </w:r>
      <w:r w:rsidRPr="00EF3639">
        <w:rPr>
          <w:rFonts w:hint="cs"/>
          <w:i/>
          <w:iCs/>
          <w:rtl/>
          <w:lang w:bidi="ar-DZ"/>
        </w:rPr>
        <w:t xml:space="preserve"> ضد بيلاروس</w:t>
      </w:r>
      <w:r>
        <w:rPr>
          <w:rFonts w:hint="cs"/>
          <w:rtl/>
          <w:lang w:bidi="ar-DZ"/>
        </w:rPr>
        <w:t xml:space="preserve"> (</w:t>
      </w:r>
      <w:r w:rsidRPr="00BA050E">
        <w:t>CCPR/C/121/D/2471/2014</w:t>
      </w:r>
      <w:r>
        <w:rPr>
          <w:rFonts w:hint="cs"/>
          <w:rtl/>
          <w:lang w:bidi="ar-DZ"/>
        </w:rPr>
        <w:t>)، الفقرة 8-4.</w:t>
      </w:r>
    </w:p>
  </w:footnote>
  <w:footnote w:id="9">
    <w:p w:rsidR="00EF3639" w:rsidRPr="00E75B42" w:rsidRDefault="00EF3639" w:rsidP="00EF3639">
      <w:pPr>
        <w:pStyle w:val="FootnoteText1"/>
      </w:pPr>
      <w:r w:rsidRPr="00E75B42">
        <w:rPr>
          <w:rtl/>
        </w:rPr>
        <w:t>(</w:t>
      </w:r>
      <w:r w:rsidRPr="00E75B42">
        <w:rPr>
          <w:rStyle w:val="FootnoteReference"/>
          <w:vertAlign w:val="baseline"/>
        </w:rPr>
        <w:footnoteRef/>
      </w:r>
      <w:r>
        <w:rPr>
          <w:sz w:val="26"/>
          <w:rtl/>
        </w:rPr>
        <w:t>)</w:t>
      </w:r>
      <w:r>
        <w:rPr>
          <w:sz w:val="26"/>
          <w:rtl/>
        </w:rPr>
        <w:tab/>
      </w:r>
      <w:r>
        <w:rPr>
          <w:rFonts w:hint="cs"/>
          <w:sz w:val="26"/>
          <w:rtl/>
        </w:rPr>
        <w:t xml:space="preserve">انظر، مثلاً، </w:t>
      </w:r>
      <w:proofErr w:type="spellStart"/>
      <w:r w:rsidRPr="000717C8">
        <w:rPr>
          <w:rFonts w:hint="cs"/>
          <w:i/>
          <w:iCs/>
          <w:sz w:val="26"/>
          <w:rtl/>
        </w:rPr>
        <w:t>بولياكوف</w:t>
      </w:r>
      <w:proofErr w:type="spellEnd"/>
      <w:r w:rsidRPr="000717C8">
        <w:rPr>
          <w:rFonts w:hint="cs"/>
          <w:i/>
          <w:iCs/>
          <w:sz w:val="26"/>
          <w:rtl/>
        </w:rPr>
        <w:t xml:space="preserve"> ضد بيلاروس</w:t>
      </w:r>
      <w:r>
        <w:rPr>
          <w:rFonts w:hint="cs"/>
          <w:sz w:val="26"/>
          <w:rtl/>
        </w:rPr>
        <w:t xml:space="preserve"> (</w:t>
      </w:r>
      <w:r w:rsidRPr="00BA050E">
        <w:t>CCPR/C</w:t>
      </w:r>
      <w:r w:rsidRPr="005A1547">
        <w:t>/111/D/2030/2011</w:t>
      </w:r>
      <w:r>
        <w:rPr>
          <w:rFonts w:hint="cs"/>
          <w:sz w:val="26"/>
          <w:rtl/>
        </w:rPr>
        <w:t>)</w:t>
      </w:r>
      <w:r>
        <w:rPr>
          <w:rFonts w:hint="cs"/>
          <w:rtl/>
        </w:rPr>
        <w:t xml:space="preserve">، الفقرة 7-3. </w:t>
      </w:r>
    </w:p>
  </w:footnote>
  <w:footnote w:id="10">
    <w:p w:rsidR="00EF3639" w:rsidRPr="00E75B42" w:rsidRDefault="00EF3639" w:rsidP="00EF3639">
      <w:pPr>
        <w:pStyle w:val="FootnoteText1"/>
      </w:pPr>
      <w:r w:rsidRPr="00E75B42">
        <w:rPr>
          <w:rtl/>
        </w:rPr>
        <w:t>(</w:t>
      </w:r>
      <w:r w:rsidRPr="00E75B42">
        <w:rPr>
          <w:rStyle w:val="FootnoteReference"/>
          <w:vertAlign w:val="baseline"/>
        </w:rPr>
        <w:footnoteRef/>
      </w:r>
      <w:r>
        <w:rPr>
          <w:sz w:val="26"/>
          <w:rtl/>
        </w:rPr>
        <w:t>)</w:t>
      </w:r>
      <w:r>
        <w:rPr>
          <w:sz w:val="26"/>
          <w:rtl/>
        </w:rPr>
        <w:tab/>
      </w:r>
      <w:r>
        <w:rPr>
          <w:rFonts w:hint="cs"/>
          <w:sz w:val="26"/>
          <w:rtl/>
        </w:rPr>
        <w:t xml:space="preserve">انظر، مثلاً، </w:t>
      </w:r>
      <w:proofErr w:type="spellStart"/>
      <w:r w:rsidRPr="000717C8">
        <w:rPr>
          <w:rFonts w:hint="cs"/>
          <w:i/>
          <w:iCs/>
          <w:sz w:val="26"/>
          <w:rtl/>
        </w:rPr>
        <w:t>إيكليموفا</w:t>
      </w:r>
      <w:proofErr w:type="spellEnd"/>
      <w:r w:rsidRPr="000717C8">
        <w:rPr>
          <w:rFonts w:hint="cs"/>
          <w:i/>
          <w:iCs/>
          <w:sz w:val="26"/>
          <w:rtl/>
        </w:rPr>
        <w:t xml:space="preserve"> ضد تركمانستان</w:t>
      </w:r>
      <w:r>
        <w:rPr>
          <w:rFonts w:hint="cs"/>
          <w:sz w:val="26"/>
          <w:rtl/>
        </w:rPr>
        <w:t xml:space="preserve"> (</w:t>
      </w:r>
      <w:r w:rsidRPr="005A1547">
        <w:t>CCPR/C/96/D/1460/2006</w:t>
      </w:r>
      <w:r>
        <w:rPr>
          <w:rFonts w:hint="cs"/>
          <w:sz w:val="26"/>
          <w:rtl/>
        </w:rPr>
        <w:t>)</w:t>
      </w:r>
      <w:r>
        <w:rPr>
          <w:rFonts w:hint="cs"/>
          <w:rtl/>
        </w:rPr>
        <w:t xml:space="preserve">، الفقرة 6-2. </w:t>
      </w:r>
    </w:p>
  </w:footnote>
  <w:footnote w:id="11">
    <w:p w:rsidR="00EF3639" w:rsidRDefault="00EF3639" w:rsidP="00EF3639">
      <w:pPr>
        <w:pStyle w:val="FootnoteText1"/>
        <w:rPr>
          <w:lang w:bidi="ar-DZ"/>
        </w:rPr>
      </w:pPr>
      <w:r>
        <w:rPr>
          <w:sz w:val="26"/>
        </w:rPr>
        <w:t>(</w:t>
      </w:r>
      <w:r w:rsidRPr="007F5740">
        <w:rPr>
          <w:b/>
          <w:sz w:val="26"/>
        </w:rPr>
        <w:footnoteRef/>
      </w:r>
      <w:r>
        <w:rPr>
          <w:sz w:val="26"/>
        </w:rPr>
        <w:t>)</w:t>
      </w:r>
      <w:r>
        <w:rPr>
          <w:sz w:val="26"/>
          <w:rtl/>
        </w:rPr>
        <w:tab/>
      </w:r>
      <w:r w:rsidRPr="007F5740">
        <w:rPr>
          <w:rFonts w:hint="cs"/>
          <w:sz w:val="26"/>
          <w:rtl/>
        </w:rPr>
        <w:t>انظر الفقرة 2-2 أعلاه.</w:t>
      </w:r>
    </w:p>
  </w:footnote>
  <w:footnote w:id="12">
    <w:p w:rsidR="00EF3639" w:rsidRDefault="00EF3639" w:rsidP="00EF3639">
      <w:pPr>
        <w:pStyle w:val="FootnoteText1"/>
        <w:rPr>
          <w:lang w:bidi="ar-DZ"/>
        </w:rPr>
      </w:pPr>
      <w:r w:rsidRPr="00EF3639">
        <w:rPr>
          <w:rFonts w:hint="cs"/>
          <w:rtl/>
          <w:lang w:bidi="ar-DZ"/>
        </w:rPr>
        <w:t>(</w:t>
      </w:r>
      <w:r w:rsidRPr="00EF3639">
        <w:rPr>
          <w:rStyle w:val="FootnoteReference"/>
          <w:vertAlign w:val="baseline"/>
        </w:rPr>
        <w:footnoteRef/>
      </w:r>
      <w:r w:rsidRPr="00EF3639">
        <w:rPr>
          <w:rFonts w:hint="cs"/>
          <w:rtl/>
        </w:rPr>
        <w:t>)</w:t>
      </w:r>
      <w:r w:rsidRPr="00EF3639">
        <w:rPr>
          <w:rFonts w:hint="cs"/>
          <w:rtl/>
        </w:rPr>
        <w:tab/>
      </w:r>
      <w:r>
        <w:rPr>
          <w:rFonts w:hint="cs"/>
          <w:rtl/>
          <w:lang w:bidi="ar-DZ"/>
        </w:rPr>
        <w:t>انظر تعليق اللجنة العام رقم 20، الفقرة 14.</w:t>
      </w:r>
    </w:p>
  </w:footnote>
  <w:footnote w:id="13">
    <w:p w:rsidR="00EF3639" w:rsidRPr="004B27EB" w:rsidRDefault="00EF3639" w:rsidP="00EF3639">
      <w:pPr>
        <w:pStyle w:val="FootnoteText1"/>
        <w:rPr>
          <w:rtl/>
          <w:lang w:bidi="ar-DZ"/>
        </w:rPr>
      </w:pPr>
      <w:r w:rsidRPr="00EF3639">
        <w:rPr>
          <w:rFonts w:hint="cs"/>
          <w:rtl/>
        </w:rPr>
        <w:t>(</w:t>
      </w:r>
      <w:r w:rsidRPr="00EF3639">
        <w:rPr>
          <w:rStyle w:val="FootnoteReference"/>
          <w:vertAlign w:val="baseline"/>
          <w:rtl/>
        </w:rPr>
        <w:footnoteRef/>
      </w:r>
      <w:r w:rsidRPr="00EF3639">
        <w:rPr>
          <w:rFonts w:hint="cs"/>
          <w:rtl/>
        </w:rPr>
        <w:t>)</w:t>
      </w:r>
      <w:r w:rsidRPr="00EF3639">
        <w:rPr>
          <w:rFonts w:hint="cs"/>
          <w:rtl/>
        </w:rPr>
        <w:tab/>
      </w:r>
      <w:r>
        <w:rPr>
          <w:rFonts w:hint="cs"/>
          <w:rtl/>
          <w:lang w:bidi="ar-DZ"/>
        </w:rPr>
        <w:t xml:space="preserve">انظر، مثلاً، </w:t>
      </w:r>
      <w:proofErr w:type="spellStart"/>
      <w:r w:rsidRPr="000717C8">
        <w:rPr>
          <w:i/>
          <w:iCs/>
          <w:rtl/>
          <w:lang w:bidi="ar-DZ"/>
        </w:rPr>
        <w:t>ألابردييف</w:t>
      </w:r>
      <w:proofErr w:type="spellEnd"/>
      <w:r w:rsidRPr="000717C8">
        <w:rPr>
          <w:rFonts w:hint="cs"/>
          <w:i/>
          <w:iCs/>
          <w:rtl/>
          <w:lang w:bidi="ar-DZ"/>
        </w:rPr>
        <w:t xml:space="preserve"> ضد أوزبكستان</w:t>
      </w:r>
      <w:r>
        <w:rPr>
          <w:rFonts w:hint="cs"/>
          <w:rtl/>
          <w:lang w:bidi="ar-DZ"/>
        </w:rPr>
        <w:t xml:space="preserve"> </w:t>
      </w:r>
      <w:r>
        <w:rPr>
          <w:lang w:bidi="ar-DZ"/>
        </w:rPr>
        <w:t>(CCPR/C/119/D/2555/2015)</w:t>
      </w:r>
      <w:r>
        <w:rPr>
          <w:rFonts w:hint="cs"/>
          <w:rtl/>
          <w:lang w:bidi="ar-DZ"/>
        </w:rPr>
        <w:t>، الفقرة 8-3.</w:t>
      </w:r>
    </w:p>
  </w:footnote>
  <w:footnote w:id="14">
    <w:p w:rsidR="00EF3639" w:rsidRPr="004B27EB" w:rsidRDefault="00307A98" w:rsidP="00307A98">
      <w:pPr>
        <w:pStyle w:val="FootnoteText1"/>
        <w:rPr>
          <w:rtl/>
          <w:lang w:bidi="ar-DZ"/>
        </w:rPr>
      </w:pPr>
      <w:r>
        <w:rPr>
          <w:rFonts w:hint="cs"/>
          <w:rtl/>
          <w:lang w:bidi="ar-DZ"/>
        </w:rPr>
        <w:t>(</w:t>
      </w:r>
      <w:r w:rsidR="00EF3639" w:rsidRPr="00307A98">
        <w:rPr>
          <w:b/>
          <w:lang w:bidi="ar-DZ"/>
        </w:rPr>
        <w:footnoteRef/>
      </w:r>
      <w:r>
        <w:rPr>
          <w:rFonts w:hint="cs"/>
          <w:rtl/>
          <w:lang w:bidi="ar-DZ"/>
        </w:rPr>
        <w:t>)</w:t>
      </w:r>
      <w:r>
        <w:rPr>
          <w:rFonts w:hint="cs"/>
          <w:rtl/>
          <w:lang w:bidi="ar-DZ"/>
        </w:rPr>
        <w:tab/>
      </w:r>
      <w:r w:rsidR="00EF3639">
        <w:rPr>
          <w:rFonts w:hint="cs"/>
          <w:rtl/>
          <w:lang w:bidi="ar-DZ"/>
        </w:rPr>
        <w:t xml:space="preserve">انظر، مثلاً، </w:t>
      </w:r>
      <w:proofErr w:type="spellStart"/>
      <w:r w:rsidR="00EF3639" w:rsidRPr="000717C8">
        <w:rPr>
          <w:i/>
          <w:iCs/>
          <w:rtl/>
          <w:lang w:bidi="ar-DZ"/>
        </w:rPr>
        <w:t>أميروف</w:t>
      </w:r>
      <w:proofErr w:type="spellEnd"/>
      <w:r w:rsidR="00EF3639" w:rsidRPr="000717C8">
        <w:rPr>
          <w:i/>
          <w:iCs/>
          <w:rtl/>
          <w:lang w:bidi="ar-DZ"/>
        </w:rPr>
        <w:t xml:space="preserve"> ضد الاتحاد الروسي</w:t>
      </w:r>
      <w:r w:rsidR="00EF3639">
        <w:rPr>
          <w:rFonts w:hint="cs"/>
          <w:rtl/>
          <w:lang w:bidi="ar-DZ"/>
        </w:rPr>
        <w:t xml:space="preserve"> </w:t>
      </w:r>
      <w:r w:rsidR="00EF3639">
        <w:rPr>
          <w:lang w:bidi="ar-DZ"/>
        </w:rPr>
        <w:t>(CCPR/C/95/D/1447/2006)</w:t>
      </w:r>
      <w:r w:rsidR="00EF3639">
        <w:rPr>
          <w:rFonts w:hint="cs"/>
          <w:rtl/>
          <w:lang w:bidi="ar-DZ"/>
        </w:rPr>
        <w:t>، الفقرة 11-6.</w:t>
      </w:r>
    </w:p>
  </w:footnote>
  <w:footnote w:id="15">
    <w:p w:rsidR="00EF3639" w:rsidRPr="0085534B" w:rsidRDefault="00307A98" w:rsidP="00307A98">
      <w:pPr>
        <w:pStyle w:val="FootnoteText1"/>
        <w:rPr>
          <w:rtl/>
          <w:lang w:bidi="ar-DZ"/>
        </w:rPr>
      </w:pPr>
      <w:r w:rsidRPr="00307A98">
        <w:rPr>
          <w:rFonts w:hint="cs"/>
          <w:rtl/>
        </w:rPr>
        <w:t>(</w:t>
      </w:r>
      <w:r w:rsidR="00EF3639" w:rsidRPr="00307A98">
        <w:rPr>
          <w:rStyle w:val="FootnoteReference"/>
          <w:vertAlign w:val="baseline"/>
        </w:rPr>
        <w:footnoteRef/>
      </w:r>
      <w:r w:rsidRPr="00307A98">
        <w:rPr>
          <w:rFonts w:hint="cs"/>
          <w:rtl/>
          <w:lang w:bidi="ar-DZ"/>
        </w:rPr>
        <w:t>)</w:t>
      </w:r>
      <w:r>
        <w:rPr>
          <w:rFonts w:hint="cs"/>
          <w:rtl/>
          <w:lang w:bidi="ar-DZ"/>
        </w:rPr>
        <w:tab/>
      </w:r>
      <w:r w:rsidR="00EF3639">
        <w:rPr>
          <w:rFonts w:hint="cs"/>
          <w:rtl/>
          <w:lang w:bidi="ar-DZ"/>
        </w:rPr>
        <w:t xml:space="preserve">انظر، مثلاً، </w:t>
      </w:r>
      <w:proofErr w:type="spellStart"/>
      <w:r w:rsidR="00EF3639" w:rsidRPr="000717C8">
        <w:rPr>
          <w:i/>
          <w:iCs/>
          <w:rtl/>
          <w:lang w:bidi="ar-DZ"/>
        </w:rPr>
        <w:t>سيليون</w:t>
      </w:r>
      <w:proofErr w:type="spellEnd"/>
      <w:r w:rsidR="00EF3639" w:rsidRPr="000717C8">
        <w:rPr>
          <w:rFonts w:hint="cs"/>
          <w:i/>
          <w:iCs/>
          <w:rtl/>
          <w:lang w:bidi="ar-DZ"/>
        </w:rPr>
        <w:t xml:space="preserve"> ضد بيلاروس</w:t>
      </w:r>
      <w:r w:rsidR="00EF3639">
        <w:rPr>
          <w:rFonts w:hint="cs"/>
          <w:rtl/>
          <w:lang w:bidi="ar-DZ"/>
        </w:rPr>
        <w:t xml:space="preserve"> </w:t>
      </w:r>
      <w:r w:rsidR="00EF3639">
        <w:rPr>
          <w:lang w:bidi="ar-DZ"/>
        </w:rPr>
        <w:t>(CCPR/C/115/D/2289/2013)</w:t>
      </w:r>
      <w:r w:rsidR="00EF3639">
        <w:rPr>
          <w:rFonts w:hint="cs"/>
          <w:rtl/>
          <w:lang w:bidi="ar-DZ"/>
        </w:rPr>
        <w:t>، الفقرة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BC" w:rsidRPr="00EF3639" w:rsidRDefault="00EF3639" w:rsidP="00EF3639">
    <w:pPr>
      <w:pStyle w:val="Header"/>
      <w:jc w:val="right"/>
    </w:pPr>
    <w:r w:rsidRPr="00EF3639">
      <w:t>CCPR/C/122/D/2228/2012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BC" w:rsidRPr="00EF3639" w:rsidRDefault="00EF3639" w:rsidP="00EF3639">
    <w:pPr>
      <w:pStyle w:val="Header"/>
      <w:jc w:val="left"/>
    </w:pPr>
    <w:r w:rsidRPr="00EF3639">
      <w:t>CCPR/C/122/D/2228/2012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32A21"/>
    <w:rsid w:val="000076D5"/>
    <w:rsid w:val="00021C6A"/>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F7A5C"/>
    <w:rsid w:val="00307A98"/>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73D76"/>
    <w:rsid w:val="00677633"/>
    <w:rsid w:val="0068781D"/>
    <w:rsid w:val="006959B0"/>
    <w:rsid w:val="006B3E27"/>
    <w:rsid w:val="006B6507"/>
    <w:rsid w:val="006C104C"/>
    <w:rsid w:val="00732A21"/>
    <w:rsid w:val="00733704"/>
    <w:rsid w:val="0078071A"/>
    <w:rsid w:val="00787E1E"/>
    <w:rsid w:val="00852A9A"/>
    <w:rsid w:val="008F49E1"/>
    <w:rsid w:val="0090370F"/>
    <w:rsid w:val="009269D2"/>
    <w:rsid w:val="00942135"/>
    <w:rsid w:val="009521B0"/>
    <w:rsid w:val="00982139"/>
    <w:rsid w:val="009867A8"/>
    <w:rsid w:val="009967BB"/>
    <w:rsid w:val="009A7E9F"/>
    <w:rsid w:val="009E5018"/>
    <w:rsid w:val="00A12B37"/>
    <w:rsid w:val="00A456BC"/>
    <w:rsid w:val="00AB6758"/>
    <w:rsid w:val="00B13763"/>
    <w:rsid w:val="00B477A4"/>
    <w:rsid w:val="00B54045"/>
    <w:rsid w:val="00C438D7"/>
    <w:rsid w:val="00C70E2C"/>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EF3639"/>
    <w:rsid w:val="00EF67F0"/>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5A00AE"/>
  <w15:docId w15:val="{8B84AEC2-CBE8-44E2-A4D1-584089BF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01B0-A777-4D27-8858-F459AF67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CCPR/C/122/D/2228/2012</vt:lpstr>
    </vt:vector>
  </TitlesOfParts>
  <Company>DCM</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GE.1809118</dc:subject>
  <dc:creator>MBU, ASE</dc:creator>
  <cp:keywords>ODS No.1817077</cp:keywords>
  <dc:description>Distribution:_x000d_
Original: English_x000d_
Date: 6 June 2018</dc:description>
  <cp:lastModifiedBy>Ibrahim Balan</cp:lastModifiedBy>
  <cp:revision>2</cp:revision>
  <cp:lastPrinted>2018-06-28T06:18:00Z</cp:lastPrinted>
  <dcterms:created xsi:type="dcterms:W3CDTF">2018-06-28T14:32:00Z</dcterms:created>
  <dcterms:modified xsi:type="dcterms:W3CDTF">2018-06-28T14:32:00Z</dcterms:modified>
  <cp:category>Finale</cp:category>
</cp:coreProperties>
</file>