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64A43"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64A43" w:rsidP="000B38BA">
            <w:pPr>
              <w:bidi w:val="0"/>
              <w:spacing w:after="20"/>
              <w:jc w:val="left"/>
              <w:rPr>
                <w:szCs w:val="20"/>
              </w:rPr>
            </w:pPr>
            <w:r w:rsidRPr="00464A43">
              <w:rPr>
                <w:sz w:val="40"/>
                <w:szCs w:val="20"/>
              </w:rPr>
              <w:t>CCPR</w:t>
            </w:r>
            <w:r>
              <w:rPr>
                <w:szCs w:val="20"/>
              </w:rPr>
              <w:t>/C/126/D/2751/2016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0B38BA" w:rsidP="000B38BA">
            <w:pPr>
              <w:bidi w:val="0"/>
              <w:spacing w:before="240"/>
              <w:jc w:val="left"/>
              <w:rPr>
                <w:szCs w:val="20"/>
              </w:rPr>
            </w:pPr>
            <w:r>
              <w:rPr>
                <w:szCs w:val="20"/>
              </w:rPr>
              <w:t>Distr.: General</w:t>
            </w:r>
          </w:p>
          <w:p w:rsidR="000B38BA" w:rsidRDefault="000B38BA" w:rsidP="000B38BA">
            <w:pPr>
              <w:bidi w:val="0"/>
              <w:jc w:val="left"/>
              <w:rPr>
                <w:szCs w:val="20"/>
              </w:rPr>
            </w:pPr>
            <w:r>
              <w:rPr>
                <w:szCs w:val="20"/>
              </w:rPr>
              <w:t>20 September 2019</w:t>
            </w:r>
          </w:p>
          <w:p w:rsidR="000B38BA" w:rsidRDefault="000B38BA" w:rsidP="000B38BA">
            <w:pPr>
              <w:bidi w:val="0"/>
              <w:jc w:val="left"/>
              <w:rPr>
                <w:szCs w:val="20"/>
              </w:rPr>
            </w:pPr>
            <w:r>
              <w:rPr>
                <w:szCs w:val="20"/>
              </w:rPr>
              <w:t>Arabic</w:t>
            </w:r>
          </w:p>
          <w:p w:rsidR="000B38BA" w:rsidRPr="00CB6622" w:rsidRDefault="000B38BA" w:rsidP="000B38BA">
            <w:pPr>
              <w:bidi w:val="0"/>
              <w:jc w:val="left"/>
              <w:rPr>
                <w:szCs w:val="20"/>
              </w:rPr>
            </w:pPr>
            <w:r>
              <w:rPr>
                <w:szCs w:val="20"/>
              </w:rPr>
              <w:t>Original: Spanish</w:t>
            </w:r>
          </w:p>
        </w:tc>
      </w:tr>
    </w:tbl>
    <w:p w:rsidR="000B38BA" w:rsidRPr="00CA7A4E" w:rsidRDefault="000B38BA" w:rsidP="000B38BA">
      <w:pPr>
        <w:pStyle w:val="SingleTxtGA"/>
        <w:spacing w:before="120"/>
        <w:ind w:left="0"/>
        <w:rPr>
          <w:b/>
          <w:bCs/>
          <w:sz w:val="26"/>
          <w:szCs w:val="36"/>
          <w:rtl/>
        </w:rPr>
      </w:pPr>
      <w:r w:rsidRPr="00CA7A4E">
        <w:rPr>
          <w:b/>
          <w:bCs/>
          <w:sz w:val="26"/>
          <w:szCs w:val="36"/>
          <w:rtl/>
        </w:rPr>
        <w:t>اللجنة المعنية بحقوق الإنسان</w:t>
      </w:r>
    </w:p>
    <w:p w:rsidR="000B38BA" w:rsidRPr="00CA7A4E" w:rsidRDefault="000B38BA" w:rsidP="000B38BA">
      <w:pPr>
        <w:pStyle w:val="HChGA"/>
        <w:spacing w:line="400" w:lineRule="exact"/>
        <w:rPr>
          <w:rtl/>
        </w:rPr>
      </w:pPr>
      <w:r w:rsidRPr="00CA7A4E">
        <w:rPr>
          <w:spacing w:val="-4"/>
          <w:rtl/>
        </w:rPr>
        <w:tab/>
      </w:r>
      <w:r w:rsidRPr="00CA7A4E">
        <w:rPr>
          <w:spacing w:val="-4"/>
          <w:rtl/>
        </w:rPr>
        <w:tab/>
        <w:t>الآراء التي اعتمدتها اللجنة بموجب المادة ٥(٤) من البروتوكول الاختياري</w:t>
      </w:r>
      <w:r w:rsidRPr="00CA7A4E">
        <w:rPr>
          <w:rtl/>
        </w:rPr>
        <w:t>، بشأن البلاغ رقم</w:t>
      </w:r>
      <w:r w:rsidRPr="00CA7A4E">
        <w:rPr>
          <w:rFonts w:hint="cs"/>
          <w:rtl/>
        </w:rPr>
        <w:t xml:space="preserve"> 2751/2016</w:t>
      </w:r>
      <w:r w:rsidRPr="00CA7A4E">
        <w:rPr>
          <w:rStyle w:val="FootnoteReference"/>
          <w:sz w:val="20"/>
          <w:vertAlign w:val="baseline"/>
          <w:rtl/>
        </w:rPr>
        <w:footnoteReference w:customMarkFollows="1" w:id="1"/>
        <w:t>*</w:t>
      </w:r>
      <w:r w:rsidRPr="00CA7A4E">
        <w:rPr>
          <w:rFonts w:hint="cs"/>
          <w:rtl/>
        </w:rPr>
        <w:t xml:space="preserve"> </w:t>
      </w:r>
      <w:r w:rsidRPr="00CA7A4E">
        <w:rPr>
          <w:rStyle w:val="FootnoteReference"/>
          <w:sz w:val="20"/>
          <w:vertAlign w:val="baseline"/>
          <w:rtl/>
        </w:rPr>
        <w:footnoteReference w:customMarkFollows="1" w:id="2"/>
        <w:t>**</w:t>
      </w:r>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t>بلاغ مقدم من:</w:t>
      </w:r>
      <w:r w:rsidRPr="00CA7A4E">
        <w:rPr>
          <w:rtl/>
        </w:rPr>
        <w:tab/>
      </w:r>
      <w:r w:rsidRPr="00CA7A4E">
        <w:rPr>
          <w:spacing w:val="-4"/>
          <w:rtl/>
        </w:rPr>
        <w:t xml:space="preserve">نورما </w:t>
      </w:r>
      <w:proofErr w:type="spellStart"/>
      <w:r w:rsidRPr="00CA7A4E">
        <w:rPr>
          <w:spacing w:val="-4"/>
          <w:rtl/>
        </w:rPr>
        <w:t>بورتيلو</w:t>
      </w:r>
      <w:proofErr w:type="spellEnd"/>
      <w:r w:rsidRPr="00CA7A4E">
        <w:rPr>
          <w:spacing w:val="-4"/>
          <w:rtl/>
        </w:rPr>
        <w:t xml:space="preserve"> </w:t>
      </w:r>
      <w:proofErr w:type="spellStart"/>
      <w:r w:rsidRPr="00CA7A4E">
        <w:rPr>
          <w:spacing w:val="-4"/>
          <w:rtl/>
        </w:rPr>
        <w:t>كاسيريس</w:t>
      </w:r>
      <w:proofErr w:type="spellEnd"/>
      <w:r w:rsidRPr="00CA7A4E">
        <w:rPr>
          <w:spacing w:val="-4"/>
          <w:rtl/>
        </w:rPr>
        <w:t xml:space="preserve"> (بالأصالة عن نفسها وبالنيابة عن أخيها المتوفى روبن </w:t>
      </w:r>
      <w:proofErr w:type="spellStart"/>
      <w:r w:rsidRPr="00CA7A4E">
        <w:rPr>
          <w:spacing w:val="-4"/>
          <w:rtl/>
        </w:rPr>
        <w:t>بورتيلو</w:t>
      </w:r>
      <w:proofErr w:type="spellEnd"/>
      <w:r w:rsidRPr="00CA7A4E">
        <w:rPr>
          <w:spacing w:val="-4"/>
          <w:rtl/>
        </w:rPr>
        <w:t xml:space="preserve"> </w:t>
      </w:r>
      <w:proofErr w:type="spellStart"/>
      <w:r w:rsidRPr="00CA7A4E">
        <w:rPr>
          <w:spacing w:val="-4"/>
          <w:rtl/>
        </w:rPr>
        <w:t>كاسيريس</w:t>
      </w:r>
      <w:proofErr w:type="spellEnd"/>
      <w:r w:rsidRPr="00CA7A4E">
        <w:rPr>
          <w:spacing w:val="-4"/>
          <w:rtl/>
        </w:rPr>
        <w:t xml:space="preserve">)، </w:t>
      </w:r>
      <w:proofErr w:type="spellStart"/>
      <w:r w:rsidRPr="00CA7A4E">
        <w:rPr>
          <w:spacing w:val="-4"/>
          <w:rtl/>
        </w:rPr>
        <w:t>وهيرمينيغيلدا</w:t>
      </w:r>
      <w:proofErr w:type="spellEnd"/>
      <w:r w:rsidRPr="00CA7A4E">
        <w:rPr>
          <w:spacing w:val="-4"/>
          <w:rtl/>
        </w:rPr>
        <w:t xml:space="preserve"> </w:t>
      </w:r>
      <w:proofErr w:type="spellStart"/>
      <w:r w:rsidRPr="00CA7A4E">
        <w:rPr>
          <w:spacing w:val="-4"/>
          <w:rtl/>
        </w:rPr>
        <w:t>كاسيريس</w:t>
      </w:r>
      <w:proofErr w:type="spellEnd"/>
      <w:r w:rsidRPr="00CA7A4E">
        <w:rPr>
          <w:spacing w:val="-4"/>
          <w:rtl/>
        </w:rPr>
        <w:t xml:space="preserve">، وإيزابيل </w:t>
      </w:r>
      <w:proofErr w:type="spellStart"/>
      <w:r w:rsidRPr="00CA7A4E">
        <w:rPr>
          <w:spacing w:val="-4"/>
          <w:rtl/>
        </w:rPr>
        <w:t>بوردون</w:t>
      </w:r>
      <w:proofErr w:type="spellEnd"/>
      <w:r w:rsidRPr="00CA7A4E">
        <w:rPr>
          <w:spacing w:val="-4"/>
          <w:rtl/>
        </w:rPr>
        <w:t xml:space="preserve"> راميريز (بالأصالة عن نفسها وبالنيابة عن </w:t>
      </w:r>
      <w:r w:rsidRPr="00CA7A4E">
        <w:rPr>
          <w:rFonts w:hint="cs"/>
          <w:spacing w:val="-4"/>
          <w:rtl/>
        </w:rPr>
        <w:t>ا</w:t>
      </w:r>
      <w:r w:rsidRPr="00CA7A4E">
        <w:rPr>
          <w:spacing w:val="-4"/>
          <w:rtl/>
        </w:rPr>
        <w:t>ب</w:t>
      </w:r>
      <w:r w:rsidRPr="00CA7A4E">
        <w:rPr>
          <w:rFonts w:hint="cs"/>
          <w:spacing w:val="-4"/>
          <w:rtl/>
        </w:rPr>
        <w:t>ن</w:t>
      </w:r>
      <w:r w:rsidRPr="00CA7A4E">
        <w:rPr>
          <w:spacing w:val="-4"/>
          <w:rtl/>
        </w:rPr>
        <w:t xml:space="preserve">ها القاصر دييغو روبن </w:t>
      </w:r>
      <w:proofErr w:type="spellStart"/>
      <w:r w:rsidRPr="00CA7A4E">
        <w:rPr>
          <w:spacing w:val="-4"/>
          <w:rtl/>
        </w:rPr>
        <w:t>بورتيلو</w:t>
      </w:r>
      <w:proofErr w:type="spellEnd"/>
      <w:r w:rsidRPr="00CA7A4E">
        <w:rPr>
          <w:spacing w:val="-4"/>
          <w:rtl/>
        </w:rPr>
        <w:t xml:space="preserve"> </w:t>
      </w:r>
      <w:proofErr w:type="spellStart"/>
      <w:r w:rsidRPr="00CA7A4E">
        <w:rPr>
          <w:spacing w:val="-4"/>
          <w:rtl/>
        </w:rPr>
        <w:t>بوردون</w:t>
      </w:r>
      <w:proofErr w:type="spellEnd"/>
      <w:r w:rsidRPr="00CA7A4E">
        <w:rPr>
          <w:spacing w:val="-4"/>
          <w:rtl/>
        </w:rPr>
        <w:t xml:space="preserve">، </w:t>
      </w:r>
      <w:r w:rsidRPr="00CA7A4E">
        <w:rPr>
          <w:rtl/>
        </w:rPr>
        <w:t>ابن</w:t>
      </w:r>
      <w:r w:rsidRPr="00CA7A4E" w:rsidDel="00BE5184">
        <w:rPr>
          <w:spacing w:val="-4"/>
          <w:rtl/>
        </w:rPr>
        <w:t xml:space="preserve"> </w:t>
      </w:r>
      <w:r w:rsidRPr="00CA7A4E">
        <w:rPr>
          <w:spacing w:val="-4"/>
          <w:rtl/>
        </w:rPr>
        <w:t xml:space="preserve">المتوفى)، وروبرتو </w:t>
      </w:r>
      <w:proofErr w:type="spellStart"/>
      <w:r w:rsidRPr="00CA7A4E">
        <w:rPr>
          <w:spacing w:val="-4"/>
          <w:rtl/>
        </w:rPr>
        <w:t>بوردون</w:t>
      </w:r>
      <w:proofErr w:type="spellEnd"/>
      <w:r w:rsidRPr="00CA7A4E">
        <w:rPr>
          <w:spacing w:val="-4"/>
          <w:rtl/>
        </w:rPr>
        <w:t xml:space="preserve"> </w:t>
      </w:r>
      <w:proofErr w:type="spellStart"/>
      <w:r w:rsidRPr="00CA7A4E">
        <w:rPr>
          <w:spacing w:val="-4"/>
          <w:rtl/>
        </w:rPr>
        <w:t>خواريز</w:t>
      </w:r>
      <w:proofErr w:type="spellEnd"/>
      <w:r w:rsidRPr="00CA7A4E">
        <w:rPr>
          <w:spacing w:val="-4"/>
          <w:rtl/>
        </w:rPr>
        <w:t xml:space="preserve">، </w:t>
      </w:r>
      <w:proofErr w:type="spellStart"/>
      <w:r w:rsidRPr="00CA7A4E">
        <w:rPr>
          <w:spacing w:val="-4"/>
          <w:rtl/>
        </w:rPr>
        <w:t>وإغناسيو</w:t>
      </w:r>
      <w:proofErr w:type="spellEnd"/>
      <w:r w:rsidRPr="00CA7A4E">
        <w:rPr>
          <w:spacing w:val="-4"/>
          <w:rtl/>
        </w:rPr>
        <w:t xml:space="preserve"> </w:t>
      </w:r>
      <w:proofErr w:type="spellStart"/>
      <w:r w:rsidRPr="00CA7A4E">
        <w:rPr>
          <w:spacing w:val="-4"/>
          <w:rtl/>
        </w:rPr>
        <w:t>بوردون</w:t>
      </w:r>
      <w:proofErr w:type="spellEnd"/>
      <w:r w:rsidRPr="00CA7A4E">
        <w:rPr>
          <w:spacing w:val="-4"/>
          <w:rtl/>
        </w:rPr>
        <w:t xml:space="preserve"> راميريز، </w:t>
      </w:r>
      <w:proofErr w:type="spellStart"/>
      <w:r w:rsidRPr="00CA7A4E">
        <w:rPr>
          <w:spacing w:val="-4"/>
          <w:rtl/>
        </w:rPr>
        <w:t>وكافرينو</w:t>
      </w:r>
      <w:proofErr w:type="spellEnd"/>
      <w:r w:rsidRPr="00CA7A4E">
        <w:rPr>
          <w:spacing w:val="-4"/>
          <w:rtl/>
        </w:rPr>
        <w:t xml:space="preserve"> </w:t>
      </w:r>
      <w:proofErr w:type="spellStart"/>
      <w:r w:rsidRPr="00CA7A4E">
        <w:rPr>
          <w:spacing w:val="-4"/>
          <w:rtl/>
        </w:rPr>
        <w:t>بوردون</w:t>
      </w:r>
      <w:proofErr w:type="spellEnd"/>
      <w:r w:rsidRPr="00CA7A4E">
        <w:rPr>
          <w:spacing w:val="-4"/>
          <w:rtl/>
        </w:rPr>
        <w:t xml:space="preserve"> راميريز، وخوسيه </w:t>
      </w:r>
      <w:proofErr w:type="spellStart"/>
      <w:r w:rsidRPr="00CA7A4E">
        <w:rPr>
          <w:spacing w:val="-4"/>
          <w:rtl/>
        </w:rPr>
        <w:t>بوردون</w:t>
      </w:r>
      <w:proofErr w:type="spellEnd"/>
      <w:r w:rsidRPr="00CA7A4E">
        <w:rPr>
          <w:spacing w:val="-4"/>
          <w:rtl/>
        </w:rPr>
        <w:t xml:space="preserve"> راميريز، </w:t>
      </w:r>
      <w:proofErr w:type="spellStart"/>
      <w:r w:rsidRPr="00CA7A4E">
        <w:rPr>
          <w:spacing w:val="-4"/>
          <w:rtl/>
        </w:rPr>
        <w:t>وأليسيا</w:t>
      </w:r>
      <w:proofErr w:type="spellEnd"/>
      <w:r w:rsidRPr="00CA7A4E">
        <w:rPr>
          <w:spacing w:val="-4"/>
          <w:rtl/>
        </w:rPr>
        <w:t xml:space="preserve"> </w:t>
      </w:r>
      <w:proofErr w:type="spellStart"/>
      <w:r w:rsidRPr="00CA7A4E">
        <w:rPr>
          <w:spacing w:val="-4"/>
          <w:rtl/>
        </w:rPr>
        <w:t>أراندا</w:t>
      </w:r>
      <w:proofErr w:type="spellEnd"/>
      <w:r w:rsidRPr="00CA7A4E">
        <w:rPr>
          <w:spacing w:val="-4"/>
          <w:rtl/>
        </w:rPr>
        <w:t xml:space="preserve"> (بالأصالة عن نفسها ونيابة عن </w:t>
      </w:r>
      <w:r w:rsidRPr="00CA7A4E">
        <w:rPr>
          <w:rFonts w:hint="cs"/>
          <w:spacing w:val="-4"/>
          <w:rtl/>
        </w:rPr>
        <w:t>ا</w:t>
      </w:r>
      <w:r w:rsidRPr="00CA7A4E">
        <w:rPr>
          <w:spacing w:val="-4"/>
          <w:rtl/>
        </w:rPr>
        <w:t xml:space="preserve">بنها القاصر سانتياغو </w:t>
      </w:r>
      <w:proofErr w:type="spellStart"/>
      <w:r w:rsidRPr="00CA7A4E">
        <w:rPr>
          <w:spacing w:val="-4"/>
          <w:rtl/>
        </w:rPr>
        <w:t>بوردون</w:t>
      </w:r>
      <w:proofErr w:type="spellEnd"/>
      <w:r w:rsidRPr="00CA7A4E">
        <w:rPr>
          <w:spacing w:val="-4"/>
          <w:rtl/>
        </w:rPr>
        <w:t xml:space="preserve"> </w:t>
      </w:r>
      <w:proofErr w:type="spellStart"/>
      <w:r w:rsidRPr="00CA7A4E">
        <w:rPr>
          <w:spacing w:val="-4"/>
          <w:rtl/>
        </w:rPr>
        <w:t>أراندا</w:t>
      </w:r>
      <w:proofErr w:type="spellEnd"/>
      <w:r w:rsidRPr="00CA7A4E">
        <w:rPr>
          <w:spacing w:val="-4"/>
          <w:rtl/>
        </w:rPr>
        <w:t xml:space="preserve">)، </w:t>
      </w:r>
      <w:proofErr w:type="spellStart"/>
      <w:r w:rsidRPr="00CA7A4E">
        <w:rPr>
          <w:spacing w:val="-4"/>
          <w:rtl/>
        </w:rPr>
        <w:t>وبينيتو</w:t>
      </w:r>
      <w:proofErr w:type="spellEnd"/>
      <w:r w:rsidRPr="00CA7A4E">
        <w:rPr>
          <w:spacing w:val="-4"/>
          <w:rtl/>
        </w:rPr>
        <w:t xml:space="preserve"> </w:t>
      </w:r>
      <w:proofErr w:type="spellStart"/>
      <w:r w:rsidRPr="00CA7A4E">
        <w:rPr>
          <w:spacing w:val="-4"/>
          <w:rtl/>
        </w:rPr>
        <w:t>ميلسياديس</w:t>
      </w:r>
      <w:proofErr w:type="spellEnd"/>
      <w:r w:rsidRPr="00CA7A4E">
        <w:rPr>
          <w:spacing w:val="-4"/>
          <w:rtl/>
        </w:rPr>
        <w:t xml:space="preserve"> خارا سيلفا، (تمثله لجنة تنسيق حقوق الإنسان </w:t>
      </w:r>
      <w:r w:rsidRPr="00CA7A4E">
        <w:rPr>
          <w:rFonts w:hint="cs"/>
          <w:spacing w:val="-4"/>
          <w:rtl/>
        </w:rPr>
        <w:t>ل</w:t>
      </w:r>
      <w:r w:rsidRPr="00CA7A4E">
        <w:rPr>
          <w:spacing w:val="-4"/>
          <w:rtl/>
        </w:rPr>
        <w:t xml:space="preserve">باراغواي، وجمعية باسه للبحوث </w:t>
      </w:r>
      <w:r w:rsidRPr="00CA7A4E">
        <w:rPr>
          <w:rFonts w:hint="cs"/>
          <w:spacing w:val="-4"/>
          <w:rtl/>
        </w:rPr>
        <w:t>الاجتماعية)</w:t>
      </w:r>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t>الأشخاص المدعى أنهم ضحايا:</w:t>
      </w:r>
      <w:r w:rsidRPr="00CA7A4E">
        <w:rPr>
          <w:rtl/>
        </w:rPr>
        <w:tab/>
        <w:t xml:space="preserve">أصحاب البلاغ، والطفلان القاصران، وروبن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t>الدولة الطرف:</w:t>
      </w:r>
      <w:r w:rsidRPr="00CA7A4E">
        <w:rPr>
          <w:rtl/>
        </w:rPr>
        <w:tab/>
      </w:r>
      <w:r w:rsidRPr="00CA7A4E">
        <w:rPr>
          <w:rFonts w:hint="cs"/>
          <w:rtl/>
        </w:rPr>
        <w:t>باراغواي</w:t>
      </w:r>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t>تاريخ تقديم البلاغ:</w:t>
      </w:r>
      <w:r w:rsidRPr="00CA7A4E">
        <w:rPr>
          <w:rtl/>
        </w:rPr>
        <w:tab/>
      </w:r>
      <w:r w:rsidRPr="00CA7A4E">
        <w:rPr>
          <w:rFonts w:hint="cs"/>
          <w:rtl/>
        </w:rPr>
        <w:t>30</w:t>
      </w:r>
      <w:r w:rsidRPr="00CA7A4E">
        <w:rPr>
          <w:rtl/>
        </w:rPr>
        <w:t xml:space="preserve"> أيلول/سبتمبر 2013</w:t>
      </w:r>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t>الوثائق المرجعية:</w:t>
      </w:r>
      <w:r w:rsidRPr="00CA7A4E">
        <w:rPr>
          <w:rtl/>
        </w:rPr>
        <w:tab/>
      </w:r>
      <w:r w:rsidRPr="000F4896">
        <w:rPr>
          <w:spacing w:val="-4"/>
          <w:rtl/>
        </w:rPr>
        <w:t>القرار الذي اتخذه المقرر الخاص بموجب المادة 92،</w:t>
      </w:r>
      <w:r w:rsidRPr="00CA7A4E">
        <w:rPr>
          <w:rtl/>
        </w:rPr>
        <w:t xml:space="preserve"> </w:t>
      </w:r>
      <w:r w:rsidRPr="000F4896">
        <w:rPr>
          <w:spacing w:val="-6"/>
          <w:rtl/>
        </w:rPr>
        <w:t>والمحال إلى الدولة الطرف في 16 آذار/مارس 2016</w:t>
      </w:r>
      <w:r w:rsidRPr="00CA7A4E">
        <w:rPr>
          <w:rtl/>
        </w:rPr>
        <w:t xml:space="preserve"> (لم يصدر في شكل وثيقة) </w:t>
      </w:r>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lastRenderedPageBreak/>
        <w:t>تاريخ اعتماد الآراء:</w:t>
      </w:r>
      <w:r w:rsidRPr="00CA7A4E">
        <w:rPr>
          <w:rtl/>
        </w:rPr>
        <w:tab/>
        <w:t>25 تموز/يوليه 2019</w:t>
      </w:r>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t>الموضوع:</w:t>
      </w:r>
      <w:r w:rsidRPr="00CA7A4E">
        <w:rPr>
          <w:rtl/>
        </w:rPr>
        <w:tab/>
        <w:t>تبخير المحاصيل بالكيماويات الزراعية وأثره على حياة الناس</w:t>
      </w:r>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t>المسائل الإجرائية:</w:t>
      </w:r>
      <w:r w:rsidRPr="00CA7A4E">
        <w:rPr>
          <w:rtl/>
        </w:rPr>
        <w:tab/>
        <w:t>استنفاد سبل الانتصاف المحلية</w:t>
      </w:r>
    </w:p>
    <w:p w:rsidR="000B38BA" w:rsidRPr="00CA7A4E" w:rsidRDefault="000B38BA" w:rsidP="000B38BA">
      <w:pPr>
        <w:pStyle w:val="SingleTxtGA"/>
        <w:tabs>
          <w:tab w:val="clear" w:pos="2608"/>
          <w:tab w:val="clear" w:pos="3289"/>
          <w:tab w:val="clear" w:pos="3969"/>
        </w:tabs>
        <w:spacing w:line="360" w:lineRule="exact"/>
        <w:ind w:left="4650" w:hanging="2722"/>
        <w:rPr>
          <w:rtl/>
        </w:rPr>
      </w:pPr>
      <w:r w:rsidRPr="00CA7A4E">
        <w:rPr>
          <w:i/>
          <w:iCs/>
          <w:rtl/>
        </w:rPr>
        <w:t>المسائل الموضوعية:</w:t>
      </w:r>
      <w:r w:rsidRPr="00CA7A4E">
        <w:rPr>
          <w:rtl/>
        </w:rPr>
        <w:tab/>
        <w:t xml:space="preserve">الحق في </w:t>
      </w:r>
      <w:r>
        <w:rPr>
          <w:rFonts w:hint="cs"/>
          <w:rtl/>
        </w:rPr>
        <w:t xml:space="preserve">سبل </w:t>
      </w:r>
      <w:r w:rsidRPr="00CA7A4E">
        <w:rPr>
          <w:rtl/>
        </w:rPr>
        <w:t>الانتصاف الفعال؛ والحق في الحياة؛ وحظر المعاملة القاسية أو اللاإنسانية أو المهينة؛ والحق في عدم التعرّض للتدخل التعسفي أو غير القانوني في الخصوصية أو شؤون الأسرة أو البيت</w:t>
      </w:r>
    </w:p>
    <w:p w:rsidR="000B38BA" w:rsidRPr="00CA7A4E" w:rsidRDefault="000B38BA" w:rsidP="000B38BA">
      <w:pPr>
        <w:pStyle w:val="SingleTxtGA"/>
        <w:tabs>
          <w:tab w:val="clear" w:pos="2608"/>
          <w:tab w:val="clear" w:pos="3289"/>
          <w:tab w:val="clear" w:pos="3969"/>
        </w:tabs>
        <w:ind w:left="4649" w:hanging="2721"/>
        <w:rPr>
          <w:rtl/>
        </w:rPr>
      </w:pPr>
      <w:r w:rsidRPr="00CA7A4E">
        <w:rPr>
          <w:i/>
          <w:iCs/>
          <w:rtl/>
        </w:rPr>
        <w:t>مواد العهد:</w:t>
      </w:r>
      <w:r w:rsidRPr="00CA7A4E">
        <w:rPr>
          <w:rtl/>
        </w:rPr>
        <w:tab/>
        <w:t>2(3)، و6، و7، و17</w:t>
      </w:r>
    </w:p>
    <w:p w:rsidR="000B38BA" w:rsidRPr="00CA7A4E" w:rsidRDefault="000B38BA" w:rsidP="000B38BA">
      <w:pPr>
        <w:pStyle w:val="SingleTxtGA"/>
        <w:tabs>
          <w:tab w:val="clear" w:pos="2608"/>
          <w:tab w:val="clear" w:pos="3289"/>
          <w:tab w:val="clear" w:pos="3969"/>
        </w:tabs>
        <w:ind w:left="4649" w:hanging="2721"/>
      </w:pPr>
      <w:r w:rsidRPr="00CA7A4E">
        <w:rPr>
          <w:i/>
          <w:iCs/>
          <w:rtl/>
        </w:rPr>
        <w:t>مواد البروتوكول الاختياري:</w:t>
      </w:r>
      <w:r w:rsidRPr="00CA7A4E">
        <w:rPr>
          <w:rtl/>
        </w:rPr>
        <w:tab/>
        <w:t>5(2)(ب)</w:t>
      </w:r>
    </w:p>
    <w:p w:rsidR="000B38BA" w:rsidRPr="00CA7A4E" w:rsidRDefault="000B38BA" w:rsidP="00F95548">
      <w:pPr>
        <w:pStyle w:val="SingleTxtGA"/>
        <w:spacing w:before="240"/>
        <w:rPr>
          <w:rtl/>
        </w:rPr>
      </w:pPr>
      <w:r w:rsidRPr="00CA7A4E">
        <w:rPr>
          <w:rtl/>
        </w:rPr>
        <w:t>١-</w:t>
      </w:r>
      <w:r w:rsidRPr="00CA7A4E">
        <w:rPr>
          <w:rtl/>
        </w:rPr>
        <w:tab/>
        <w:t xml:space="preserve">أصحاب البلاغ، المؤرخ 30 أيلول/سبتمبر 2013، هم نورما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w:t>
      </w:r>
      <w:proofErr w:type="spellStart"/>
      <w:r w:rsidRPr="00CA7A4E">
        <w:rPr>
          <w:rtl/>
        </w:rPr>
        <w:t>وهيرمينيغيلدا</w:t>
      </w:r>
      <w:proofErr w:type="spellEnd"/>
      <w:r w:rsidRPr="00CA7A4E">
        <w:rPr>
          <w:rtl/>
        </w:rPr>
        <w:t xml:space="preserve"> </w:t>
      </w:r>
      <w:proofErr w:type="spellStart"/>
      <w:r w:rsidRPr="00CA7A4E">
        <w:rPr>
          <w:rtl/>
        </w:rPr>
        <w:t>كاسيريس</w:t>
      </w:r>
      <w:proofErr w:type="spellEnd"/>
      <w:r w:rsidRPr="00CA7A4E">
        <w:rPr>
          <w:rtl/>
        </w:rPr>
        <w:t xml:space="preserve">، وإيزابيل </w:t>
      </w:r>
      <w:proofErr w:type="spellStart"/>
      <w:r w:rsidRPr="00CA7A4E">
        <w:rPr>
          <w:rtl/>
        </w:rPr>
        <w:t>بوردون</w:t>
      </w:r>
      <w:proofErr w:type="spellEnd"/>
      <w:r w:rsidRPr="00CA7A4E">
        <w:rPr>
          <w:rtl/>
        </w:rPr>
        <w:t xml:space="preserve"> راميريز، وروبرتو </w:t>
      </w:r>
      <w:proofErr w:type="spellStart"/>
      <w:r w:rsidRPr="00CA7A4E">
        <w:rPr>
          <w:rtl/>
        </w:rPr>
        <w:t>بوردون</w:t>
      </w:r>
      <w:proofErr w:type="spellEnd"/>
      <w:r w:rsidRPr="00CA7A4E">
        <w:rPr>
          <w:rtl/>
        </w:rPr>
        <w:t xml:space="preserve"> </w:t>
      </w:r>
      <w:proofErr w:type="spellStart"/>
      <w:r w:rsidRPr="00CA7A4E">
        <w:rPr>
          <w:rtl/>
        </w:rPr>
        <w:t>خواريز</w:t>
      </w:r>
      <w:proofErr w:type="spellEnd"/>
      <w:r w:rsidRPr="00CA7A4E">
        <w:rPr>
          <w:rtl/>
        </w:rPr>
        <w:t xml:space="preserve">، </w:t>
      </w:r>
      <w:proofErr w:type="spellStart"/>
      <w:r w:rsidRPr="00CA7A4E">
        <w:rPr>
          <w:rtl/>
        </w:rPr>
        <w:t>وإغناسيو</w:t>
      </w:r>
      <w:proofErr w:type="spellEnd"/>
      <w:r w:rsidRPr="00CA7A4E">
        <w:rPr>
          <w:rtl/>
        </w:rPr>
        <w:t xml:space="preserve"> </w:t>
      </w:r>
      <w:proofErr w:type="spellStart"/>
      <w:r w:rsidRPr="00CA7A4E">
        <w:rPr>
          <w:rtl/>
        </w:rPr>
        <w:t>بوردون</w:t>
      </w:r>
      <w:proofErr w:type="spellEnd"/>
      <w:r w:rsidRPr="00CA7A4E">
        <w:rPr>
          <w:rtl/>
        </w:rPr>
        <w:t xml:space="preserve"> راميريز، </w:t>
      </w:r>
      <w:proofErr w:type="spellStart"/>
      <w:r w:rsidRPr="00CA7A4E">
        <w:rPr>
          <w:rtl/>
        </w:rPr>
        <w:t>وكافرينو</w:t>
      </w:r>
      <w:proofErr w:type="spellEnd"/>
      <w:r w:rsidRPr="00CA7A4E">
        <w:rPr>
          <w:rtl/>
        </w:rPr>
        <w:t xml:space="preserve"> </w:t>
      </w:r>
      <w:proofErr w:type="spellStart"/>
      <w:r w:rsidRPr="00CA7A4E">
        <w:rPr>
          <w:rtl/>
        </w:rPr>
        <w:t>بوردون</w:t>
      </w:r>
      <w:proofErr w:type="spellEnd"/>
      <w:r w:rsidRPr="00CA7A4E">
        <w:rPr>
          <w:rtl/>
        </w:rPr>
        <w:t xml:space="preserve"> راميريز، وخوسيه </w:t>
      </w:r>
      <w:proofErr w:type="spellStart"/>
      <w:r w:rsidRPr="00CA7A4E">
        <w:rPr>
          <w:rtl/>
        </w:rPr>
        <w:t>بوردون</w:t>
      </w:r>
      <w:proofErr w:type="spellEnd"/>
      <w:r w:rsidRPr="00CA7A4E">
        <w:rPr>
          <w:rtl/>
        </w:rPr>
        <w:t xml:space="preserve"> راميريز، </w:t>
      </w:r>
      <w:proofErr w:type="spellStart"/>
      <w:r w:rsidRPr="00CA7A4E">
        <w:rPr>
          <w:rtl/>
        </w:rPr>
        <w:t>وأليسيا</w:t>
      </w:r>
      <w:proofErr w:type="spellEnd"/>
      <w:r w:rsidRPr="00CA7A4E">
        <w:rPr>
          <w:rtl/>
        </w:rPr>
        <w:t xml:space="preserve"> </w:t>
      </w:r>
      <w:proofErr w:type="spellStart"/>
      <w:r w:rsidRPr="00CA7A4E">
        <w:rPr>
          <w:rtl/>
        </w:rPr>
        <w:t>أراندا</w:t>
      </w:r>
      <w:proofErr w:type="spellEnd"/>
      <w:r w:rsidRPr="00CA7A4E">
        <w:rPr>
          <w:rtl/>
        </w:rPr>
        <w:t xml:space="preserve"> </w:t>
      </w:r>
      <w:proofErr w:type="spellStart"/>
      <w:r w:rsidRPr="00CA7A4E">
        <w:rPr>
          <w:rtl/>
        </w:rPr>
        <w:t>وبينيتو</w:t>
      </w:r>
      <w:proofErr w:type="spellEnd"/>
      <w:r w:rsidRPr="00CA7A4E">
        <w:rPr>
          <w:rtl/>
        </w:rPr>
        <w:t xml:space="preserve"> </w:t>
      </w:r>
      <w:proofErr w:type="spellStart"/>
      <w:r w:rsidRPr="00CA7A4E">
        <w:rPr>
          <w:rtl/>
        </w:rPr>
        <w:t>ميلسياديس</w:t>
      </w:r>
      <w:proofErr w:type="spellEnd"/>
      <w:r w:rsidRPr="00CA7A4E">
        <w:rPr>
          <w:rtl/>
        </w:rPr>
        <w:t xml:space="preserve"> خارا سيلفا، و</w:t>
      </w:r>
      <w:r w:rsidRPr="00CA7A4E">
        <w:rPr>
          <w:rFonts w:hint="cs"/>
          <w:rtl/>
        </w:rPr>
        <w:t xml:space="preserve">جميعهم </w:t>
      </w:r>
      <w:r>
        <w:rPr>
          <w:rFonts w:hint="cs"/>
          <w:rtl/>
        </w:rPr>
        <w:t xml:space="preserve">بالغون </w:t>
      </w:r>
      <w:r w:rsidRPr="00CA7A4E">
        <w:rPr>
          <w:rtl/>
        </w:rPr>
        <w:t xml:space="preserve">من رعايا باراغواي، </w:t>
      </w:r>
      <w:r w:rsidRPr="00CA7A4E">
        <w:rPr>
          <w:rFonts w:hint="cs"/>
          <w:rtl/>
        </w:rPr>
        <w:t xml:space="preserve">يقدمون البلاغ </w:t>
      </w:r>
      <w:r w:rsidRPr="00CA7A4E">
        <w:rPr>
          <w:rtl/>
        </w:rPr>
        <w:t xml:space="preserve">أصالة عن أنفسهم ونيابة عن قريبهم المتوفى، روبن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وعن الطفلين دييغو روبن </w:t>
      </w:r>
      <w:proofErr w:type="spellStart"/>
      <w:r w:rsidRPr="00CA7A4E">
        <w:rPr>
          <w:rtl/>
        </w:rPr>
        <w:t>بورتيلو</w:t>
      </w:r>
      <w:proofErr w:type="spellEnd"/>
      <w:r w:rsidRPr="00CA7A4E">
        <w:rPr>
          <w:rtl/>
        </w:rPr>
        <w:t xml:space="preserve"> </w:t>
      </w:r>
      <w:proofErr w:type="spellStart"/>
      <w:r w:rsidRPr="00CA7A4E">
        <w:rPr>
          <w:rtl/>
        </w:rPr>
        <w:t>بوردون</w:t>
      </w:r>
      <w:proofErr w:type="spellEnd"/>
      <w:r w:rsidRPr="00CA7A4E">
        <w:rPr>
          <w:rtl/>
        </w:rPr>
        <w:t xml:space="preserve"> (ابن المتوفى) وسانتياغو </w:t>
      </w:r>
      <w:proofErr w:type="spellStart"/>
      <w:r w:rsidRPr="00CA7A4E">
        <w:rPr>
          <w:rtl/>
        </w:rPr>
        <w:t>بوردون</w:t>
      </w:r>
      <w:proofErr w:type="spellEnd"/>
      <w:r w:rsidRPr="00CA7A4E">
        <w:rPr>
          <w:rtl/>
        </w:rPr>
        <w:t xml:space="preserve"> </w:t>
      </w:r>
      <w:proofErr w:type="spellStart"/>
      <w:r w:rsidRPr="00CA7A4E">
        <w:rPr>
          <w:rtl/>
        </w:rPr>
        <w:t>أراندا</w:t>
      </w:r>
      <w:proofErr w:type="spellEnd"/>
      <w:r w:rsidRPr="00CA7A4E">
        <w:rPr>
          <w:rtl/>
        </w:rPr>
        <w:t xml:space="preserve"> (ابن أخ المتوفى)</w:t>
      </w:r>
      <w:r w:rsidRPr="00CA7A4E">
        <w:rPr>
          <w:rFonts w:hint="cs"/>
          <w:rtl/>
        </w:rPr>
        <w:t xml:space="preserve">. ويدّعي </w:t>
      </w:r>
      <w:r w:rsidRPr="00CA7A4E">
        <w:rPr>
          <w:rtl/>
        </w:rPr>
        <w:t>أصحاب البلاغ أن الدولة الطرف انتهكت حقوقهم بموجب المواد 6 و7 و17 من العهد، مقروءة بمفردها وبالاقتران مع المادة 2(3).</w:t>
      </w:r>
      <w:r w:rsidRPr="00CA7A4E">
        <w:rPr>
          <w:rFonts w:hint="cs"/>
          <w:rtl/>
        </w:rPr>
        <w:t xml:space="preserve"> </w:t>
      </w:r>
      <w:r w:rsidRPr="00CA7A4E">
        <w:rPr>
          <w:rtl/>
        </w:rPr>
        <w:t>وقد دخل البروتوكول الاختياري حيز النفاذ بالنسبة إلى الدولة الطرف في 10 نيسان/أبريل 1995.</w:t>
      </w:r>
      <w:r w:rsidRPr="00CA7A4E">
        <w:rPr>
          <w:rFonts w:hint="cs"/>
          <w:rtl/>
        </w:rPr>
        <w:t xml:space="preserve"> </w:t>
      </w:r>
      <w:r w:rsidRPr="00CA7A4E">
        <w:rPr>
          <w:rtl/>
        </w:rPr>
        <w:t>ويمثل أصحابَ البلاغ محامٍ.</w:t>
      </w:r>
    </w:p>
    <w:p w:rsidR="000B38BA" w:rsidRPr="00CA7A4E" w:rsidRDefault="000B38BA" w:rsidP="000B38BA">
      <w:pPr>
        <w:pStyle w:val="H23GA"/>
        <w:spacing w:after="240"/>
        <w:ind w:left="1253" w:right="1253"/>
        <w:rPr>
          <w:rtl/>
        </w:rPr>
      </w:pPr>
      <w:r w:rsidRPr="00CA7A4E">
        <w:rPr>
          <w:rtl/>
        </w:rPr>
        <w:tab/>
      </w:r>
      <w:r w:rsidRPr="00CA7A4E">
        <w:rPr>
          <w:rtl/>
        </w:rPr>
        <w:tab/>
        <w:t xml:space="preserve">الوقائع كما عرضها </w:t>
      </w:r>
      <w:r w:rsidRPr="00CA7A4E">
        <w:rPr>
          <w:rFonts w:hint="cs"/>
          <w:rtl/>
        </w:rPr>
        <w:t xml:space="preserve">أصحاب </w:t>
      </w:r>
      <w:r w:rsidRPr="00CA7A4E">
        <w:rPr>
          <w:rtl/>
        </w:rPr>
        <w:t xml:space="preserve">البلاغ </w:t>
      </w:r>
    </w:p>
    <w:p w:rsidR="000B38BA" w:rsidRPr="00CA7A4E" w:rsidRDefault="000B38BA" w:rsidP="000B38BA">
      <w:pPr>
        <w:pStyle w:val="SingleTxtGA"/>
        <w:spacing w:before="240" w:after="240"/>
        <w:ind w:left="1253" w:right="1253"/>
        <w:rPr>
          <w:i/>
          <w:iCs/>
          <w:rtl/>
        </w:rPr>
      </w:pPr>
      <w:r w:rsidRPr="00CA7A4E">
        <w:rPr>
          <w:i/>
          <w:iCs/>
          <w:rtl/>
        </w:rPr>
        <w:t>السياق:</w:t>
      </w:r>
      <w:r w:rsidRPr="00CA7A4E">
        <w:rPr>
          <w:rFonts w:hint="cs"/>
          <w:i/>
          <w:iCs/>
          <w:rtl/>
        </w:rPr>
        <w:t xml:space="preserve"> </w:t>
      </w:r>
      <w:r w:rsidRPr="00CA7A4E">
        <w:rPr>
          <w:i/>
          <w:iCs/>
          <w:rtl/>
        </w:rPr>
        <w:t>التبخير بكيماويات زراعية في مزارع صناعية مجاورة</w:t>
      </w:r>
    </w:p>
    <w:p w:rsidR="000B38BA" w:rsidRPr="00CA7A4E" w:rsidRDefault="000B38BA" w:rsidP="000B38BA">
      <w:pPr>
        <w:pStyle w:val="SingleTxtGA"/>
        <w:rPr>
          <w:rtl/>
        </w:rPr>
      </w:pPr>
      <w:r w:rsidRPr="00CA7A4E">
        <w:rPr>
          <w:rtl/>
        </w:rPr>
        <w:t>2-1</w:t>
      </w:r>
      <w:r w:rsidRPr="00CA7A4E">
        <w:rPr>
          <w:rtl/>
        </w:rPr>
        <w:tab/>
        <w:t xml:space="preserve">ينتمي أصحاب البلاغ إلى </w:t>
      </w:r>
      <w:r w:rsidRPr="00CA7A4E">
        <w:rPr>
          <w:rFonts w:hint="cs"/>
          <w:rtl/>
        </w:rPr>
        <w:t>أ</w:t>
      </w:r>
      <w:r w:rsidRPr="00CA7A4E">
        <w:rPr>
          <w:rtl/>
        </w:rPr>
        <w:t xml:space="preserve">سرتين </w:t>
      </w:r>
      <w:proofErr w:type="spellStart"/>
      <w:r w:rsidRPr="00CA7A4E">
        <w:rPr>
          <w:rtl/>
        </w:rPr>
        <w:t>متصاهرتين</w:t>
      </w:r>
      <w:proofErr w:type="spellEnd"/>
      <w:r w:rsidRPr="00CA7A4E">
        <w:rPr>
          <w:rtl/>
        </w:rPr>
        <w:t xml:space="preserve"> </w:t>
      </w:r>
      <w:r w:rsidRPr="00CA7A4E">
        <w:rPr>
          <w:rFonts w:hint="cs"/>
          <w:rtl/>
        </w:rPr>
        <w:t>ب</w:t>
      </w:r>
      <w:r w:rsidRPr="00CA7A4E">
        <w:rPr>
          <w:rtl/>
        </w:rPr>
        <w:t xml:space="preserve">زواج </w:t>
      </w:r>
      <w:r>
        <w:rPr>
          <w:rFonts w:hint="cs"/>
          <w:rtl/>
        </w:rPr>
        <w:t>إ</w:t>
      </w:r>
      <w:r w:rsidRPr="00CA7A4E">
        <w:rPr>
          <w:rtl/>
        </w:rPr>
        <w:t xml:space="preserve">حدى أصحاب البلاغ، </w:t>
      </w:r>
      <w:r>
        <w:rPr>
          <w:rFonts w:hint="cs"/>
          <w:rtl/>
        </w:rPr>
        <w:t>إ</w:t>
      </w:r>
      <w:r w:rsidRPr="00CA7A4E">
        <w:rPr>
          <w:rtl/>
        </w:rPr>
        <w:t xml:space="preserve">يزابيل </w:t>
      </w:r>
      <w:proofErr w:type="spellStart"/>
      <w:r w:rsidRPr="00CA7A4E">
        <w:rPr>
          <w:rtl/>
        </w:rPr>
        <w:t>بوردون</w:t>
      </w:r>
      <w:proofErr w:type="spellEnd"/>
      <w:r w:rsidRPr="00CA7A4E">
        <w:rPr>
          <w:rtl/>
        </w:rPr>
        <w:t xml:space="preserve"> راميريز، بالمتوفي روبن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ويشتغلون في </w:t>
      </w:r>
      <w:r w:rsidRPr="00CA7A4E">
        <w:rPr>
          <w:rFonts w:hint="cs"/>
          <w:rtl/>
        </w:rPr>
        <w:t>مزرعة</w:t>
      </w:r>
      <w:r w:rsidRPr="00CA7A4E">
        <w:rPr>
          <w:rtl/>
        </w:rPr>
        <w:t xml:space="preserve"> عائلية يُستخدم إنتاجها للاستهلاك العائلي وللبيع.</w:t>
      </w:r>
    </w:p>
    <w:p w:rsidR="000B38BA" w:rsidRPr="00CA7A4E" w:rsidRDefault="000B38BA" w:rsidP="000B38BA">
      <w:pPr>
        <w:pStyle w:val="SingleTxtGA"/>
        <w:rPr>
          <w:rtl/>
        </w:rPr>
      </w:pPr>
      <w:r w:rsidRPr="00CA7A4E">
        <w:rPr>
          <w:rtl/>
        </w:rPr>
        <w:t>2-2</w:t>
      </w:r>
      <w:r w:rsidRPr="00CA7A4E">
        <w:rPr>
          <w:rtl/>
        </w:rPr>
        <w:tab/>
        <w:t xml:space="preserve">وهم يعيشون في مستوطنة </w:t>
      </w:r>
      <w:proofErr w:type="spellStart"/>
      <w:r w:rsidRPr="00CA7A4E">
        <w:rPr>
          <w:rtl/>
        </w:rPr>
        <w:t>يروتي</w:t>
      </w:r>
      <w:proofErr w:type="spellEnd"/>
      <w:r w:rsidRPr="00CA7A4E">
        <w:rPr>
          <w:rtl/>
        </w:rPr>
        <w:t xml:space="preserve"> (في مقاطعة </w:t>
      </w:r>
      <w:proofErr w:type="spellStart"/>
      <w:r w:rsidRPr="00CA7A4E">
        <w:rPr>
          <w:rtl/>
        </w:rPr>
        <w:t>كانيندي</w:t>
      </w:r>
      <w:r w:rsidRPr="00CA7A4E">
        <w:rPr>
          <w:rFonts w:hint="cs"/>
          <w:rtl/>
        </w:rPr>
        <w:t>و</w:t>
      </w:r>
      <w:proofErr w:type="spellEnd"/>
      <w:r w:rsidRPr="00CA7A4E">
        <w:rPr>
          <w:rtl/>
        </w:rPr>
        <w:t xml:space="preserve">، بإقليم </w:t>
      </w:r>
      <w:proofErr w:type="spellStart"/>
      <w:r w:rsidRPr="00CA7A4E">
        <w:rPr>
          <w:rtl/>
        </w:rPr>
        <w:t>كوروغواتي</w:t>
      </w:r>
      <w:proofErr w:type="spellEnd"/>
      <w:r w:rsidRPr="00CA7A4E">
        <w:rPr>
          <w:rtl/>
        </w:rPr>
        <w:t xml:space="preserve">) </w:t>
      </w:r>
      <w:r w:rsidRPr="00CA7A4E">
        <w:rPr>
          <w:rFonts w:hint="cs"/>
          <w:rtl/>
        </w:rPr>
        <w:t xml:space="preserve">التي </w:t>
      </w:r>
      <w:r w:rsidRPr="00CA7A4E">
        <w:rPr>
          <w:rtl/>
        </w:rPr>
        <w:t>أُنشئت في عام 1991 على أرض مملوكة للدولة وُزعت على المزارعين في إطار برنامج الإصلاح الزراعي.</w:t>
      </w:r>
      <w:r w:rsidRPr="00CA7A4E">
        <w:rPr>
          <w:rFonts w:hint="cs"/>
          <w:rtl/>
        </w:rPr>
        <w:t xml:space="preserve"> </w:t>
      </w:r>
      <w:r w:rsidRPr="00CA7A4E">
        <w:rPr>
          <w:rtl/>
        </w:rPr>
        <w:t>ويدير المستوطنة معهد</w:t>
      </w:r>
      <w:r w:rsidRPr="00CA7A4E">
        <w:rPr>
          <w:rFonts w:hint="cs"/>
          <w:rtl/>
        </w:rPr>
        <w:t>ُ</w:t>
      </w:r>
      <w:r w:rsidRPr="00CA7A4E">
        <w:rPr>
          <w:rtl/>
        </w:rPr>
        <w:t xml:space="preserve"> التنمية الريفية واستصلاح الأراضي، وهو الوكالة الرائدة في تنفيذ سياسة البلد </w:t>
      </w:r>
      <w:r w:rsidRPr="00CA7A4E">
        <w:rPr>
          <w:rFonts w:hint="cs"/>
          <w:rtl/>
        </w:rPr>
        <w:t xml:space="preserve">في مجال </w:t>
      </w:r>
      <w:r w:rsidRPr="00CA7A4E">
        <w:rPr>
          <w:rtl/>
        </w:rPr>
        <w:t>استغلال الأراضي.</w:t>
      </w:r>
      <w:r w:rsidRPr="00CA7A4E">
        <w:rPr>
          <w:rFonts w:hint="cs"/>
          <w:rtl/>
        </w:rPr>
        <w:t xml:space="preserve"> </w:t>
      </w:r>
      <w:r w:rsidRPr="00CA7A4E">
        <w:rPr>
          <w:rtl/>
        </w:rPr>
        <w:t xml:space="preserve">وفي عام 2011، كانت </w:t>
      </w:r>
      <w:proofErr w:type="spellStart"/>
      <w:r w:rsidRPr="00CA7A4E">
        <w:rPr>
          <w:rtl/>
        </w:rPr>
        <w:t>يروتي</w:t>
      </w:r>
      <w:proofErr w:type="spellEnd"/>
      <w:r w:rsidRPr="00CA7A4E">
        <w:rPr>
          <w:rtl/>
        </w:rPr>
        <w:t xml:space="preserve"> موطن</w:t>
      </w:r>
      <w:r w:rsidR="00A03F01">
        <w:rPr>
          <w:rtl/>
        </w:rPr>
        <w:t xml:space="preserve">اً </w:t>
      </w:r>
      <w:r w:rsidRPr="00CA7A4E">
        <w:rPr>
          <w:rtl/>
        </w:rPr>
        <w:t>لما لا يزيد عن حوالي 400 شخص بسبب النزوح الذي أحدثته صعوبة ظروف العيش</w:t>
      </w:r>
      <w:r>
        <w:rPr>
          <w:rFonts w:hint="cs"/>
          <w:rtl/>
        </w:rPr>
        <w:t xml:space="preserve"> اللائق</w:t>
      </w:r>
      <w:r w:rsidRPr="00CA7A4E">
        <w:rPr>
          <w:rtl/>
        </w:rPr>
        <w:t xml:space="preserve"> (قلة فرص الوصول إلى الخدمات العامة، و</w:t>
      </w:r>
      <w:r>
        <w:rPr>
          <w:rFonts w:hint="cs"/>
          <w:rtl/>
        </w:rPr>
        <w:t xml:space="preserve">تكرار </w:t>
      </w:r>
      <w:r w:rsidRPr="00CA7A4E">
        <w:rPr>
          <w:rtl/>
        </w:rPr>
        <w:t xml:space="preserve">تبخير </w:t>
      </w:r>
      <w:r>
        <w:rPr>
          <w:rFonts w:hint="cs"/>
          <w:rtl/>
        </w:rPr>
        <w:t>ا</w:t>
      </w:r>
      <w:r w:rsidRPr="00CA7A4E">
        <w:rPr>
          <w:rtl/>
        </w:rPr>
        <w:t>لمحاصيل بالكيماويات الزراعية السامة، و</w:t>
      </w:r>
      <w:r>
        <w:rPr>
          <w:rFonts w:hint="cs"/>
          <w:rtl/>
        </w:rPr>
        <w:t xml:space="preserve">تزايد </w:t>
      </w:r>
      <w:r w:rsidRPr="00CA7A4E">
        <w:rPr>
          <w:rtl/>
        </w:rPr>
        <w:t xml:space="preserve">تلوث </w:t>
      </w:r>
      <w:r>
        <w:rPr>
          <w:rFonts w:hint="cs"/>
          <w:rtl/>
        </w:rPr>
        <w:t>ا</w:t>
      </w:r>
      <w:r w:rsidRPr="00CA7A4E">
        <w:rPr>
          <w:rtl/>
        </w:rPr>
        <w:t>لمجاري المائية في المنطقة).</w:t>
      </w:r>
    </w:p>
    <w:p w:rsidR="000B38BA" w:rsidRPr="00CA7A4E" w:rsidRDefault="000B38BA" w:rsidP="000B38BA">
      <w:pPr>
        <w:pStyle w:val="SingleTxtGA"/>
        <w:rPr>
          <w:rtl/>
        </w:rPr>
      </w:pPr>
      <w:r w:rsidRPr="00CA7A4E">
        <w:rPr>
          <w:rtl/>
        </w:rPr>
        <w:t>2-3</w:t>
      </w:r>
      <w:r w:rsidRPr="00CA7A4E">
        <w:rPr>
          <w:rtl/>
        </w:rPr>
        <w:tab/>
        <w:t>وتقع</w:t>
      </w:r>
      <w:r w:rsidRPr="00CA7A4E">
        <w:rPr>
          <w:rFonts w:hint="cs"/>
          <w:rtl/>
        </w:rPr>
        <w:t xml:space="preserve"> مستوطنة </w:t>
      </w:r>
      <w:proofErr w:type="spellStart"/>
      <w:r w:rsidRPr="00CA7A4E">
        <w:rPr>
          <w:rtl/>
        </w:rPr>
        <w:t>يروتي</w:t>
      </w:r>
      <w:proofErr w:type="spellEnd"/>
      <w:r w:rsidRPr="00CA7A4E">
        <w:rPr>
          <w:rtl/>
        </w:rPr>
        <w:t xml:space="preserve"> في </w:t>
      </w:r>
      <w:r>
        <w:rPr>
          <w:rFonts w:hint="cs"/>
          <w:rtl/>
        </w:rPr>
        <w:t>إ</w:t>
      </w:r>
      <w:r w:rsidRPr="00CA7A4E">
        <w:rPr>
          <w:rtl/>
        </w:rPr>
        <w:t>حدى المناطق التي شهدت أكبر توسع في الأعمال التجارية الزراعية.</w:t>
      </w:r>
      <w:r w:rsidRPr="00CA7A4E">
        <w:rPr>
          <w:rFonts w:hint="cs"/>
          <w:rtl/>
        </w:rPr>
        <w:t xml:space="preserve"> </w:t>
      </w:r>
      <w:r w:rsidRPr="00CA7A4E">
        <w:rPr>
          <w:rtl/>
        </w:rPr>
        <w:t xml:space="preserve">وتحيط بها مزارع </w:t>
      </w:r>
      <w:r w:rsidRPr="00CA7A4E">
        <w:rPr>
          <w:rFonts w:hint="cs"/>
          <w:rtl/>
        </w:rPr>
        <w:t xml:space="preserve">كانت تُستخدم </w:t>
      </w:r>
      <w:r w:rsidRPr="00CA7A4E">
        <w:rPr>
          <w:rtl/>
        </w:rPr>
        <w:t xml:space="preserve">لتربية الماشية </w:t>
      </w:r>
      <w:r w:rsidRPr="00CA7A4E">
        <w:rPr>
          <w:rFonts w:hint="cs"/>
          <w:rtl/>
        </w:rPr>
        <w:t>و</w:t>
      </w:r>
      <w:r w:rsidRPr="00CA7A4E">
        <w:rPr>
          <w:rtl/>
        </w:rPr>
        <w:t xml:space="preserve">أصبحت تُستخدم منذ عام 2005 </w:t>
      </w:r>
      <w:r w:rsidRPr="00CA7A4E">
        <w:rPr>
          <w:rtl/>
        </w:rPr>
        <w:lastRenderedPageBreak/>
        <w:t>فقط للزراعة الآلية الكثيفة لفول الصويا المحوّر جيني</w:t>
      </w:r>
      <w:r w:rsidR="00A03F01">
        <w:rPr>
          <w:rtl/>
        </w:rPr>
        <w:t xml:space="preserve">اً. </w:t>
      </w:r>
      <w:r w:rsidRPr="00CA7A4E">
        <w:rPr>
          <w:rtl/>
        </w:rPr>
        <w:t>وتقع منازل أصحاب البلاغ على الحدود الجنوبية الشرقية ل</w:t>
      </w:r>
      <w:r w:rsidRPr="00CA7A4E">
        <w:rPr>
          <w:rFonts w:hint="cs"/>
          <w:rtl/>
        </w:rPr>
        <w:t xml:space="preserve">مستوطنة </w:t>
      </w:r>
      <w:proofErr w:type="spellStart"/>
      <w:r w:rsidRPr="00CA7A4E">
        <w:rPr>
          <w:rtl/>
        </w:rPr>
        <w:t>يروتي</w:t>
      </w:r>
      <w:proofErr w:type="spellEnd"/>
      <w:r w:rsidRPr="00CA7A4E">
        <w:rPr>
          <w:rtl/>
        </w:rPr>
        <w:t xml:space="preserve"> و</w:t>
      </w:r>
      <w:r w:rsidRPr="00CA7A4E">
        <w:rPr>
          <w:rFonts w:hint="cs"/>
          <w:rtl/>
        </w:rPr>
        <w:t xml:space="preserve">بجوار </w:t>
      </w:r>
      <w:r w:rsidRPr="00CA7A4E">
        <w:rPr>
          <w:rtl/>
        </w:rPr>
        <w:t xml:space="preserve">المزارع الصناعية </w:t>
      </w:r>
      <w:r w:rsidRPr="00CA7A4E">
        <w:rPr>
          <w:rFonts w:hint="cs"/>
          <w:rtl/>
        </w:rPr>
        <w:t xml:space="preserve">الموجودة </w:t>
      </w:r>
      <w:r w:rsidRPr="00CA7A4E">
        <w:rPr>
          <w:rtl/>
        </w:rPr>
        <w:t>داخل المستوطنة وخارجها.</w:t>
      </w:r>
      <w:r w:rsidRPr="00CA7A4E">
        <w:rPr>
          <w:rFonts w:hint="cs"/>
          <w:rtl/>
        </w:rPr>
        <w:t xml:space="preserve"> </w:t>
      </w:r>
      <w:r w:rsidRPr="00CA7A4E">
        <w:rPr>
          <w:rtl/>
        </w:rPr>
        <w:t>وهذه المزارع الكبيرة، التي تُبخّر فيها المحاصيل بشدة بكيماويات زراعية، باستخدام جرارات أو طائرات خفيفة، تنتهك القوانين البيئية المحلية بشكل منهجي.</w:t>
      </w:r>
      <w:r w:rsidRPr="00CA7A4E">
        <w:rPr>
          <w:rFonts w:hint="cs"/>
          <w:rtl/>
        </w:rPr>
        <w:t xml:space="preserve"> </w:t>
      </w:r>
      <w:r w:rsidRPr="00CA7A4E">
        <w:rPr>
          <w:rtl/>
        </w:rPr>
        <w:t xml:space="preserve">وعلى وجه التحديد، تُزرع نباتات فول </w:t>
      </w:r>
      <w:r w:rsidRPr="000A7BED">
        <w:rPr>
          <w:spacing w:val="-4"/>
          <w:rtl/>
        </w:rPr>
        <w:t>الصويا مباشرة على جانب الممرات العامة، في خرق للقانون المحلي الذي ينص، في حالة استخدام</w:t>
      </w:r>
      <w:r w:rsidRPr="00CA7A4E">
        <w:rPr>
          <w:rtl/>
        </w:rPr>
        <w:t xml:space="preserve"> مبيدات الآفات، على وقاية الطرق المحلية المأهولة </w:t>
      </w:r>
      <w:r w:rsidRPr="00CA7A4E">
        <w:rPr>
          <w:rFonts w:hint="cs"/>
          <w:rtl/>
        </w:rPr>
        <w:t xml:space="preserve">بزرع </w:t>
      </w:r>
      <w:r w:rsidRPr="00CA7A4E">
        <w:rPr>
          <w:rtl/>
        </w:rPr>
        <w:t xml:space="preserve">حواجز </w:t>
      </w:r>
      <w:r w:rsidRPr="00CA7A4E">
        <w:rPr>
          <w:rFonts w:hint="cs"/>
          <w:rtl/>
        </w:rPr>
        <w:t>من الشجر ال</w:t>
      </w:r>
      <w:r w:rsidRPr="00CA7A4E">
        <w:rPr>
          <w:rtl/>
        </w:rPr>
        <w:t>كثيف</w:t>
      </w:r>
      <w:r w:rsidRPr="00CA7A4E">
        <w:rPr>
          <w:rFonts w:hint="cs"/>
          <w:rtl/>
        </w:rPr>
        <w:t xml:space="preserve"> الأوراق </w:t>
      </w:r>
      <w:r w:rsidRPr="00CA7A4E">
        <w:rPr>
          <w:rtl/>
        </w:rPr>
        <w:t>لا</w:t>
      </w:r>
      <w:r w:rsidR="000A7BED">
        <w:rPr>
          <w:rFonts w:hint="cs"/>
          <w:rtl/>
        </w:rPr>
        <w:t> </w:t>
      </w:r>
      <w:r w:rsidRPr="00CA7A4E">
        <w:rPr>
          <w:rtl/>
        </w:rPr>
        <w:t>يقل عرضها عن 5 أمتار وارتفاعها عن مترين.</w:t>
      </w:r>
      <w:r w:rsidRPr="00CA7A4E">
        <w:rPr>
          <w:rFonts w:hint="cs"/>
          <w:rtl/>
        </w:rPr>
        <w:t xml:space="preserve"> </w:t>
      </w:r>
      <w:r w:rsidRPr="00CA7A4E">
        <w:rPr>
          <w:rtl/>
        </w:rPr>
        <w:t>وينص القانون، في حالة عدم وجود مثل تلك الحواجز الوقائية، على عدم استخدام مبيدات الآفات على مسافة تقل عن 50 متر</w:t>
      </w:r>
      <w:r w:rsidR="003E0A2E">
        <w:rPr>
          <w:rFonts w:hint="cs"/>
          <w:rtl/>
        </w:rPr>
        <w:t>ا</w:t>
      </w:r>
      <w:r w:rsidR="006F3932">
        <w:rPr>
          <w:rFonts w:hint="cs"/>
          <w:rtl/>
        </w:rPr>
        <w:t>ً</w:t>
      </w:r>
      <w:r w:rsidRPr="00CA7A4E">
        <w:rPr>
          <w:rtl/>
        </w:rPr>
        <w:t xml:space="preserve"> من الطرق المجاورة</w:t>
      </w:r>
      <w:r w:rsidRPr="00CA7A4E">
        <w:rPr>
          <w:rStyle w:val="FootnoteReference"/>
          <w:rtl/>
        </w:rPr>
        <w:footnoteReference w:customMarkFollows="1" w:id="3"/>
        <w:t>(1)</w:t>
      </w:r>
      <w:r w:rsidRPr="00CA7A4E">
        <w:rPr>
          <w:rtl/>
        </w:rPr>
        <w:t>.</w:t>
      </w:r>
      <w:r w:rsidRPr="00CA7A4E">
        <w:rPr>
          <w:rFonts w:hint="cs"/>
          <w:rtl/>
        </w:rPr>
        <w:t xml:space="preserve"> </w:t>
      </w:r>
      <w:r w:rsidRPr="00CA7A4E">
        <w:rPr>
          <w:rtl/>
        </w:rPr>
        <w:t>و</w:t>
      </w:r>
      <w:r>
        <w:rPr>
          <w:rFonts w:hint="cs"/>
          <w:rtl/>
        </w:rPr>
        <w:t xml:space="preserve">إضافة إلى ذلك، </w:t>
      </w:r>
      <w:r w:rsidRPr="00CA7A4E">
        <w:rPr>
          <w:rtl/>
        </w:rPr>
        <w:t xml:space="preserve">زرعت المزارع الصناعية فول الصويا </w:t>
      </w:r>
      <w:r w:rsidRPr="00CA7A4E">
        <w:rPr>
          <w:rFonts w:hint="cs"/>
          <w:rtl/>
        </w:rPr>
        <w:t>أيضا</w:t>
      </w:r>
      <w:r>
        <w:rPr>
          <w:rFonts w:hint="cs"/>
          <w:rtl/>
        </w:rPr>
        <w:t>ً</w:t>
      </w:r>
      <w:r w:rsidRPr="00CA7A4E">
        <w:rPr>
          <w:rFonts w:hint="cs"/>
          <w:rtl/>
        </w:rPr>
        <w:t xml:space="preserve"> </w:t>
      </w:r>
      <w:r w:rsidRPr="00CA7A4E">
        <w:rPr>
          <w:rtl/>
        </w:rPr>
        <w:t>على الأرض المؤدية إلى منازل أصحاب البلاغ، منتهكة القانون ال</w:t>
      </w:r>
      <w:r w:rsidRPr="00CA7A4E">
        <w:rPr>
          <w:rFonts w:hint="cs"/>
          <w:rtl/>
        </w:rPr>
        <w:t xml:space="preserve">محلي </w:t>
      </w:r>
      <w:r w:rsidRPr="00CA7A4E">
        <w:rPr>
          <w:rtl/>
        </w:rPr>
        <w:t>الذي يقضي بوجود مسافة 100 متر تعزل بين المناطق التي تستخدم فيها مبيدات الآفات و</w:t>
      </w:r>
      <w:r>
        <w:rPr>
          <w:rFonts w:hint="cs"/>
          <w:rtl/>
        </w:rPr>
        <w:t xml:space="preserve">بين </w:t>
      </w:r>
      <w:r w:rsidRPr="00CA7A4E">
        <w:rPr>
          <w:rtl/>
        </w:rPr>
        <w:t>المستوطنات البشرية والمدارس ومرافق الرعاية الصحية وأماكن العبادة والأماكن العامة</w:t>
      </w:r>
      <w:r w:rsidRPr="00CA7A4E">
        <w:rPr>
          <w:rStyle w:val="FootnoteReference"/>
          <w:rtl/>
        </w:rPr>
        <w:footnoteReference w:customMarkFollows="1" w:id="4"/>
        <w:t>(2)</w:t>
      </w:r>
      <w:r w:rsidRPr="00CA7A4E">
        <w:rPr>
          <w:rtl/>
        </w:rPr>
        <w:t>.</w:t>
      </w:r>
      <w:r w:rsidRPr="00CA7A4E">
        <w:rPr>
          <w:rFonts w:hint="cs"/>
          <w:rtl/>
        </w:rPr>
        <w:t xml:space="preserve"> </w:t>
      </w:r>
      <w:r w:rsidRPr="00CA7A4E">
        <w:rPr>
          <w:rtl/>
        </w:rPr>
        <w:t>ولا تترك تلك المزارع الصناعية أيض</w:t>
      </w:r>
      <w:r w:rsidR="00A03F01">
        <w:rPr>
          <w:rtl/>
        </w:rPr>
        <w:t xml:space="preserve">اً </w:t>
      </w:r>
      <w:r w:rsidRPr="00CA7A4E">
        <w:rPr>
          <w:rtl/>
        </w:rPr>
        <w:t>مسافة</w:t>
      </w:r>
      <w:r w:rsidR="00F95548">
        <w:rPr>
          <w:rFonts w:hint="cs"/>
          <w:rtl/>
        </w:rPr>
        <w:t> </w:t>
      </w:r>
      <w:r w:rsidRPr="00CA7A4E">
        <w:rPr>
          <w:rtl/>
        </w:rPr>
        <w:t>100 متر المطلوبة لعزل الأنهار، والجداول، والعيون، والبحيرات</w:t>
      </w:r>
      <w:r w:rsidRPr="00CA7A4E">
        <w:rPr>
          <w:rStyle w:val="FootnoteReference"/>
          <w:rtl/>
        </w:rPr>
        <w:footnoteReference w:customMarkFollows="1" w:id="5"/>
        <w:t>(3)</w:t>
      </w:r>
      <w:r w:rsidRPr="00CA7A4E">
        <w:rPr>
          <w:rtl/>
        </w:rPr>
        <w:t>، وه</w:t>
      </w:r>
      <w:r w:rsidRPr="00CA7A4E">
        <w:rPr>
          <w:rFonts w:hint="cs"/>
          <w:rtl/>
        </w:rPr>
        <w:t>ي</w:t>
      </w:r>
      <w:r w:rsidRPr="00CA7A4E">
        <w:rPr>
          <w:rtl/>
        </w:rPr>
        <w:t xml:space="preserve"> </w:t>
      </w:r>
      <w:r w:rsidRPr="00CA7A4E">
        <w:rPr>
          <w:rFonts w:hint="cs"/>
          <w:rtl/>
        </w:rPr>
        <w:t>ت</w:t>
      </w:r>
      <w:r w:rsidRPr="00CA7A4E">
        <w:rPr>
          <w:rtl/>
        </w:rPr>
        <w:t>شطف صهاريج مواده</w:t>
      </w:r>
      <w:r w:rsidRPr="00CA7A4E">
        <w:rPr>
          <w:rFonts w:hint="cs"/>
          <w:rtl/>
        </w:rPr>
        <w:t>ا</w:t>
      </w:r>
      <w:r w:rsidRPr="00CA7A4E">
        <w:rPr>
          <w:rtl/>
        </w:rPr>
        <w:t xml:space="preserve"> الكيماوية الزراعية في الجداول</w:t>
      </w:r>
      <w:r w:rsidR="00F95548">
        <w:rPr>
          <w:rFonts w:hint="cs"/>
          <w:rtl/>
        </w:rPr>
        <w:t>.</w:t>
      </w:r>
    </w:p>
    <w:p w:rsidR="000B38BA" w:rsidRPr="00CA7A4E" w:rsidRDefault="000B38BA" w:rsidP="000B38BA">
      <w:pPr>
        <w:pStyle w:val="SingleTxtGA"/>
        <w:rPr>
          <w:rtl/>
        </w:rPr>
      </w:pPr>
      <w:r w:rsidRPr="00CA7A4E">
        <w:rPr>
          <w:rtl/>
        </w:rPr>
        <w:t>2-4</w:t>
      </w:r>
      <w:r w:rsidRPr="00CA7A4E">
        <w:rPr>
          <w:rtl/>
        </w:rPr>
        <w:tab/>
        <w:t>وذُكر أن تصر</w:t>
      </w:r>
      <w:r w:rsidRPr="00CA7A4E">
        <w:rPr>
          <w:rFonts w:hint="cs"/>
          <w:rtl/>
        </w:rPr>
        <w:t>ّ</w:t>
      </w:r>
      <w:r w:rsidRPr="00CA7A4E">
        <w:rPr>
          <w:rtl/>
        </w:rPr>
        <w:t>ف الأعمال التجارية الزراعية ب</w:t>
      </w:r>
      <w:r w:rsidRPr="00CA7A4E">
        <w:rPr>
          <w:rFonts w:hint="cs"/>
          <w:rtl/>
        </w:rPr>
        <w:t xml:space="preserve">تلك </w:t>
      </w:r>
      <w:r w:rsidRPr="00CA7A4E">
        <w:rPr>
          <w:rtl/>
        </w:rPr>
        <w:t xml:space="preserve">الطريقة يعود إلى </w:t>
      </w:r>
      <w:r>
        <w:rPr>
          <w:rFonts w:hint="cs"/>
          <w:rtl/>
        </w:rPr>
        <w:t xml:space="preserve">عدم وفاء </w:t>
      </w:r>
      <w:r w:rsidRPr="00CA7A4E">
        <w:rPr>
          <w:rtl/>
        </w:rPr>
        <w:t>الدولة بالتزاماتها في مجال الترخيص والرقابة.</w:t>
      </w:r>
      <w:r w:rsidRPr="00CA7A4E">
        <w:rPr>
          <w:rFonts w:hint="cs"/>
          <w:rtl/>
        </w:rPr>
        <w:t xml:space="preserve"> </w:t>
      </w:r>
      <w:r w:rsidRPr="00CA7A4E">
        <w:rPr>
          <w:rtl/>
        </w:rPr>
        <w:t>ووزارة البيئة، بصفتها الهيئة المكلفة بصياغة السياسات البيئية وتنسيقها وتنفيذها، مسؤولة أيض</w:t>
      </w:r>
      <w:r w:rsidR="00A03F01">
        <w:rPr>
          <w:rtl/>
        </w:rPr>
        <w:t xml:space="preserve">اً </w:t>
      </w:r>
      <w:r w:rsidRPr="00CA7A4E">
        <w:rPr>
          <w:rtl/>
        </w:rPr>
        <w:t>عن منح التصاريح البيئية و</w:t>
      </w:r>
      <w:r w:rsidRPr="00CA7A4E">
        <w:rPr>
          <w:rFonts w:hint="cs"/>
          <w:rtl/>
        </w:rPr>
        <w:t xml:space="preserve">عن </w:t>
      </w:r>
      <w:r w:rsidRPr="00CA7A4E">
        <w:rPr>
          <w:rtl/>
        </w:rPr>
        <w:t>التأكد من أن تلك المزارع لديها تلك التصاريح وتتبع الخطط الإدارية السارية</w:t>
      </w:r>
      <w:r w:rsidRPr="00CA7A4E">
        <w:rPr>
          <w:rStyle w:val="FootnoteReference"/>
          <w:rtl/>
        </w:rPr>
        <w:footnoteReference w:customMarkFollows="1" w:id="6"/>
        <w:t>(4)</w:t>
      </w:r>
      <w:r w:rsidRPr="00CA7A4E">
        <w:rPr>
          <w:rtl/>
        </w:rPr>
        <w:t>.</w:t>
      </w:r>
      <w:r w:rsidRPr="00CA7A4E">
        <w:rPr>
          <w:rFonts w:hint="cs"/>
          <w:rtl/>
        </w:rPr>
        <w:t xml:space="preserve"> </w:t>
      </w:r>
      <w:r w:rsidRPr="00CA7A4E">
        <w:rPr>
          <w:rtl/>
        </w:rPr>
        <w:t xml:space="preserve">وتتولى الهيئة الوطنية لجودة وصحة النباتات والبذور مسؤولية تسجيل ومراقبة شراء وبيع الكيماويات الزراعية، وضمان استخدام </w:t>
      </w:r>
      <w:r w:rsidRPr="00AA07C7">
        <w:rPr>
          <w:spacing w:val="-4"/>
          <w:rtl/>
        </w:rPr>
        <w:t xml:space="preserve">المزارع للمنتجات المرخص لها </w:t>
      </w:r>
      <w:r w:rsidRPr="00AA07C7">
        <w:rPr>
          <w:rFonts w:hint="cs"/>
          <w:spacing w:val="-4"/>
          <w:rtl/>
        </w:rPr>
        <w:t xml:space="preserve">بإشراف </w:t>
      </w:r>
      <w:r w:rsidRPr="00AA07C7">
        <w:rPr>
          <w:spacing w:val="-4"/>
          <w:rtl/>
        </w:rPr>
        <w:t xml:space="preserve">مستشار تقني مسجل لدى </w:t>
      </w:r>
      <w:r w:rsidRPr="00AA07C7">
        <w:rPr>
          <w:rFonts w:hint="cs"/>
          <w:spacing w:val="-4"/>
          <w:rtl/>
        </w:rPr>
        <w:t>الهيئة</w:t>
      </w:r>
      <w:r w:rsidRPr="00AA07C7">
        <w:rPr>
          <w:spacing w:val="-4"/>
          <w:rtl/>
        </w:rPr>
        <w:t>، وصيانة الحواجز الوقائية والمناطق العازلة المطلوبة.</w:t>
      </w:r>
      <w:r w:rsidRPr="00AA07C7">
        <w:rPr>
          <w:rFonts w:hint="cs"/>
          <w:spacing w:val="-4"/>
          <w:rtl/>
        </w:rPr>
        <w:t xml:space="preserve"> </w:t>
      </w:r>
      <w:r w:rsidRPr="00AA07C7">
        <w:rPr>
          <w:spacing w:val="-4"/>
          <w:rtl/>
        </w:rPr>
        <w:t>وال</w:t>
      </w:r>
      <w:r w:rsidRPr="00AA07C7">
        <w:rPr>
          <w:rFonts w:hint="cs"/>
          <w:spacing w:val="-4"/>
          <w:rtl/>
        </w:rPr>
        <w:t xml:space="preserve">هيئة </w:t>
      </w:r>
      <w:r w:rsidRPr="00AA07C7">
        <w:rPr>
          <w:spacing w:val="-4"/>
          <w:rtl/>
        </w:rPr>
        <w:t>مسؤولة أيض</w:t>
      </w:r>
      <w:r w:rsidR="00A03F01" w:rsidRPr="00AA07C7">
        <w:rPr>
          <w:spacing w:val="-4"/>
          <w:rtl/>
        </w:rPr>
        <w:t xml:space="preserve">اً </w:t>
      </w:r>
      <w:r w:rsidRPr="00AA07C7">
        <w:rPr>
          <w:spacing w:val="-4"/>
          <w:rtl/>
        </w:rPr>
        <w:t>عن الإشراف على كيفية تعفير المزروعات</w:t>
      </w:r>
      <w:r w:rsidRPr="00AA07C7">
        <w:rPr>
          <w:rStyle w:val="FootnoteReference"/>
          <w:spacing w:val="-4"/>
          <w:rtl/>
        </w:rPr>
        <w:footnoteReference w:customMarkFollows="1" w:id="7"/>
        <w:t>(5)</w:t>
      </w:r>
      <w:r w:rsidRPr="00AA07C7">
        <w:rPr>
          <w:spacing w:val="-4"/>
          <w:rtl/>
        </w:rPr>
        <w:t>.</w:t>
      </w:r>
      <w:r w:rsidRPr="00CA7A4E">
        <w:rPr>
          <w:rFonts w:hint="cs"/>
          <w:rtl/>
        </w:rPr>
        <w:t xml:space="preserve"> </w:t>
      </w:r>
      <w:r w:rsidRPr="00CA7A4E">
        <w:rPr>
          <w:rtl/>
        </w:rPr>
        <w:t>و</w:t>
      </w:r>
      <w:r>
        <w:rPr>
          <w:rFonts w:hint="cs"/>
          <w:rtl/>
        </w:rPr>
        <w:t xml:space="preserve">يضاف إلى ذلك أن </w:t>
      </w:r>
      <w:r w:rsidRPr="00CA7A4E">
        <w:rPr>
          <w:rtl/>
        </w:rPr>
        <w:t>وزارة الزراعة والثروة الحيوانية مسؤولة عن السياسة الزراعية وعن الحفاظ على الموارد الطبيعية والبيئة.</w:t>
      </w:r>
      <w:r w:rsidRPr="00CA7A4E">
        <w:rPr>
          <w:rFonts w:hint="cs"/>
          <w:rtl/>
        </w:rPr>
        <w:t xml:space="preserve"> </w:t>
      </w:r>
      <w:r w:rsidRPr="00CA7A4E">
        <w:rPr>
          <w:rtl/>
        </w:rPr>
        <w:t>ومعهد التنمية الريفية واستصلاح الأراضي مسؤول عن السياسات المتعلقة بالمستوطنات الريفية والرفاه، وعن منع الأنشطة غير القانونية، مثل بيع أراضي إنتاج فول الصويا إلى أشخاص لا يحق لهم الاستفادة من الإصلاح الزراعي.</w:t>
      </w:r>
    </w:p>
    <w:p w:rsidR="000B38BA" w:rsidRPr="00CA7A4E" w:rsidRDefault="00F95548" w:rsidP="00F95548">
      <w:pPr>
        <w:pStyle w:val="H4GA"/>
        <w:rPr>
          <w:rtl/>
        </w:rPr>
      </w:pPr>
      <w:r>
        <w:rPr>
          <w:rtl/>
        </w:rPr>
        <w:tab/>
      </w:r>
      <w:r>
        <w:rPr>
          <w:rtl/>
        </w:rPr>
        <w:tab/>
      </w:r>
      <w:r w:rsidR="000B38BA" w:rsidRPr="00CA7A4E">
        <w:rPr>
          <w:rtl/>
        </w:rPr>
        <w:t xml:space="preserve">تسبب التلوث في </w:t>
      </w:r>
      <w:r w:rsidR="000B38BA" w:rsidRPr="00CA7A4E">
        <w:rPr>
          <w:rFonts w:hint="cs"/>
          <w:rtl/>
        </w:rPr>
        <w:t>مستوطنة</w:t>
      </w:r>
      <w:r w:rsidR="000B38BA" w:rsidRPr="00CA7A4E">
        <w:rPr>
          <w:rtl/>
        </w:rPr>
        <w:t xml:space="preserve"> </w:t>
      </w:r>
      <w:proofErr w:type="spellStart"/>
      <w:r w:rsidR="000B38BA" w:rsidRPr="00CA7A4E">
        <w:rPr>
          <w:rtl/>
        </w:rPr>
        <w:t>يروتي</w:t>
      </w:r>
      <w:proofErr w:type="spellEnd"/>
      <w:r w:rsidR="000B38BA" w:rsidRPr="00CA7A4E">
        <w:rPr>
          <w:rtl/>
        </w:rPr>
        <w:t xml:space="preserve"> في وفاة السيد </w:t>
      </w:r>
      <w:proofErr w:type="spellStart"/>
      <w:r w:rsidR="000B38BA" w:rsidRPr="00CA7A4E">
        <w:rPr>
          <w:rtl/>
        </w:rPr>
        <w:t>بورتيلو</w:t>
      </w:r>
      <w:proofErr w:type="spellEnd"/>
      <w:r w:rsidR="000B38BA" w:rsidRPr="00CA7A4E">
        <w:rPr>
          <w:rtl/>
        </w:rPr>
        <w:t xml:space="preserve"> </w:t>
      </w:r>
      <w:proofErr w:type="spellStart"/>
      <w:r w:rsidR="000B38BA" w:rsidRPr="00CA7A4E">
        <w:rPr>
          <w:rtl/>
        </w:rPr>
        <w:t>كاسيريس</w:t>
      </w:r>
      <w:proofErr w:type="spellEnd"/>
      <w:r w:rsidR="000B38BA" w:rsidRPr="00CA7A4E">
        <w:rPr>
          <w:rtl/>
        </w:rPr>
        <w:t xml:space="preserve"> وتسمم أصحاب البلاغ</w:t>
      </w:r>
    </w:p>
    <w:p w:rsidR="000B38BA" w:rsidRPr="00CA7A4E" w:rsidRDefault="000B38BA" w:rsidP="000B38BA">
      <w:pPr>
        <w:pStyle w:val="SingleTxtGA"/>
        <w:rPr>
          <w:rtl/>
        </w:rPr>
      </w:pPr>
      <w:r w:rsidRPr="00CA7A4E">
        <w:rPr>
          <w:rtl/>
        </w:rPr>
        <w:t>2-5</w:t>
      </w:r>
      <w:r w:rsidRPr="00CA7A4E">
        <w:rPr>
          <w:rtl/>
        </w:rPr>
        <w:tab/>
        <w:t xml:space="preserve">أثّر استخدام الكيماويات الزراعية السامة على نطاق واسع </w:t>
      </w:r>
      <w:r w:rsidRPr="00CA7A4E">
        <w:rPr>
          <w:rFonts w:hint="cs"/>
          <w:rtl/>
        </w:rPr>
        <w:t>تأثير</w:t>
      </w:r>
      <w:r w:rsidR="00A03F01">
        <w:rPr>
          <w:rFonts w:hint="cs"/>
          <w:rtl/>
        </w:rPr>
        <w:t xml:space="preserve">اً </w:t>
      </w:r>
      <w:r w:rsidRPr="00CA7A4E">
        <w:rPr>
          <w:rFonts w:hint="cs"/>
          <w:rtl/>
        </w:rPr>
        <w:t>شديد</w:t>
      </w:r>
      <w:r w:rsidR="00A03F01">
        <w:rPr>
          <w:rFonts w:hint="cs"/>
          <w:rtl/>
        </w:rPr>
        <w:t xml:space="preserve">اً </w:t>
      </w:r>
      <w:r w:rsidRPr="00CA7A4E">
        <w:rPr>
          <w:rtl/>
        </w:rPr>
        <w:t>على ظروف معيشة أصحاب البلاغ وعلى سبل عيشهم وصحتهم.</w:t>
      </w:r>
      <w:r w:rsidRPr="00CA7A4E">
        <w:rPr>
          <w:rFonts w:hint="cs"/>
          <w:rtl/>
        </w:rPr>
        <w:t xml:space="preserve"> </w:t>
      </w:r>
      <w:r w:rsidRPr="00CA7A4E">
        <w:rPr>
          <w:rtl/>
        </w:rPr>
        <w:t xml:space="preserve">وعلى وجه التحديد، تسبب استخدام </w:t>
      </w:r>
      <w:r w:rsidRPr="00CA7A4E">
        <w:rPr>
          <w:rtl/>
        </w:rPr>
        <w:lastRenderedPageBreak/>
        <w:t>تلك المواد في تلويث</w:t>
      </w:r>
      <w:r>
        <w:rPr>
          <w:rFonts w:hint="cs"/>
          <w:rtl/>
        </w:rPr>
        <w:t xml:space="preserve"> موارد المياه</w:t>
      </w:r>
      <w:r w:rsidRPr="00CA7A4E">
        <w:rPr>
          <w:rtl/>
        </w:rPr>
        <w:t xml:space="preserve"> </w:t>
      </w:r>
      <w:r>
        <w:rPr>
          <w:rFonts w:hint="cs"/>
          <w:rtl/>
        </w:rPr>
        <w:t>و</w:t>
      </w:r>
      <w:r w:rsidRPr="00CA7A4E">
        <w:rPr>
          <w:rtl/>
        </w:rPr>
        <w:t>المياه الجوفية، فاستحال استخدام جد</w:t>
      </w:r>
      <w:r w:rsidRPr="00CA7A4E">
        <w:rPr>
          <w:rFonts w:hint="cs"/>
          <w:rtl/>
        </w:rPr>
        <w:t>ا</w:t>
      </w:r>
      <w:r w:rsidRPr="00CA7A4E">
        <w:rPr>
          <w:rtl/>
        </w:rPr>
        <w:t xml:space="preserve">ول </w:t>
      </w:r>
      <w:proofErr w:type="spellStart"/>
      <w:r w:rsidRPr="00CA7A4E">
        <w:rPr>
          <w:rtl/>
        </w:rPr>
        <w:t>يروتي</w:t>
      </w:r>
      <w:proofErr w:type="spellEnd"/>
      <w:r w:rsidRPr="00CA7A4E">
        <w:rPr>
          <w:rtl/>
        </w:rPr>
        <w:t xml:space="preserve"> </w:t>
      </w:r>
      <w:proofErr w:type="spellStart"/>
      <w:r w:rsidRPr="00CA7A4E">
        <w:rPr>
          <w:rtl/>
        </w:rPr>
        <w:t>وكويرو</w:t>
      </w:r>
      <w:proofErr w:type="spellEnd"/>
      <w:r w:rsidRPr="00CA7A4E">
        <w:rPr>
          <w:rtl/>
        </w:rPr>
        <w:t xml:space="preserve"> التي ظهرت فيها أسماك ميتة، وفقدت الأشجار ثمارها، ونفقت مختلف حيوانات المزارع، ولحقت بالمحاصيل أضرار بالغة.</w:t>
      </w:r>
    </w:p>
    <w:p w:rsidR="000B38BA" w:rsidRPr="00CA7A4E" w:rsidRDefault="000B38BA" w:rsidP="000B38BA">
      <w:pPr>
        <w:pStyle w:val="SingleTxtGA"/>
        <w:rPr>
          <w:rtl/>
        </w:rPr>
      </w:pPr>
      <w:r w:rsidRPr="00CA7A4E">
        <w:rPr>
          <w:rtl/>
        </w:rPr>
        <w:t>2-6</w:t>
      </w:r>
      <w:r w:rsidRPr="00CA7A4E">
        <w:rPr>
          <w:rtl/>
        </w:rPr>
        <w:tab/>
        <w:t>ومنذ حوالي عام 2005، عندما بدأت الأعمال التجارية الزراعية المجاورة استخدام تقنيات الإنتاج الآلية، شعر أصحاب البلاغ بعدة أعراض جسدية أثناء وبعد عمليات التبخير خلال موسم زراعة محاصيل فول الصويا.</w:t>
      </w:r>
      <w:r w:rsidRPr="00CA7A4E">
        <w:rPr>
          <w:rFonts w:hint="cs"/>
          <w:rtl/>
        </w:rPr>
        <w:t xml:space="preserve"> </w:t>
      </w:r>
      <w:r w:rsidRPr="00CA7A4E">
        <w:rPr>
          <w:rtl/>
        </w:rPr>
        <w:t>وشملت تلك الأعراض الغثيان، والدوار، والصداع، والحمى، وآلام المعدة، والقيء، والإسهال، والسعال، والالتهابات الجلدية.</w:t>
      </w:r>
      <w:r w:rsidRPr="00CA7A4E">
        <w:rPr>
          <w:rFonts w:hint="cs"/>
          <w:rtl/>
        </w:rPr>
        <w:t xml:space="preserve"> </w:t>
      </w:r>
      <w:r w:rsidRPr="00CA7A4E">
        <w:rPr>
          <w:rtl/>
        </w:rPr>
        <w:t>وكلٌ من المسارين الترابيين اللذين يربطان المستوطنة بالطريق المعبدة الرئيسية يعبران مساحات شاسعة من الحقول الخالية من أي حماية كافية.</w:t>
      </w:r>
      <w:r w:rsidRPr="00CA7A4E">
        <w:rPr>
          <w:rFonts w:hint="cs"/>
          <w:rtl/>
        </w:rPr>
        <w:t xml:space="preserve"> </w:t>
      </w:r>
      <w:r w:rsidRPr="00CA7A4E">
        <w:rPr>
          <w:rtl/>
        </w:rPr>
        <w:t>وبالتالي، يتعرض السكان المحليون الذين يحتاجون إلى الوصول إلى الطريق الرئيسية لكيماويات زراعية سامة.</w:t>
      </w:r>
      <w:r w:rsidRPr="00CA7A4E">
        <w:rPr>
          <w:rFonts w:hint="cs"/>
          <w:rtl/>
        </w:rPr>
        <w:t xml:space="preserve"> </w:t>
      </w:r>
      <w:r w:rsidRPr="00CA7A4E">
        <w:rPr>
          <w:rtl/>
        </w:rPr>
        <w:t xml:space="preserve">وفي كل عام، يقدم السكان المحليون خلال موسم زراعة فول الصويا شكاوى إلى مختلف السلطات الوزارية والإدارية والقضائية (بما في ذلك وزارة الزراعة والثروة الحيوانية، ووزارة البيئة، ومعهد التنمية الريفية واستصلاح الأراضي، والهيئة الوطنية لجودة وصحة النباتات والبذور، ومكتب المدعي الجنائي في </w:t>
      </w:r>
      <w:proofErr w:type="spellStart"/>
      <w:r w:rsidRPr="00CA7A4E">
        <w:rPr>
          <w:rtl/>
        </w:rPr>
        <w:t>كوروغواتي</w:t>
      </w:r>
      <w:proofErr w:type="spellEnd"/>
      <w:r w:rsidRPr="00CA7A4E">
        <w:rPr>
          <w:rtl/>
        </w:rPr>
        <w:t>)؛ ولم يتلقوا أي رد.</w:t>
      </w:r>
    </w:p>
    <w:p w:rsidR="000B38BA" w:rsidRPr="00CA7A4E" w:rsidRDefault="000B38BA" w:rsidP="000B38BA">
      <w:pPr>
        <w:pStyle w:val="SingleTxtGA"/>
        <w:rPr>
          <w:rtl/>
        </w:rPr>
      </w:pPr>
      <w:r w:rsidRPr="00CA7A4E">
        <w:rPr>
          <w:rtl/>
        </w:rPr>
        <w:t>2-7</w:t>
      </w:r>
      <w:r w:rsidRPr="00CA7A4E">
        <w:rPr>
          <w:rtl/>
        </w:rPr>
        <w:tab/>
        <w:t xml:space="preserve">وفي 3 كانون الثاني/يناير 2011، بدأ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وهو </w:t>
      </w:r>
      <w:r w:rsidRPr="00CA7A4E">
        <w:rPr>
          <w:rFonts w:hint="cs"/>
          <w:rtl/>
        </w:rPr>
        <w:t xml:space="preserve">مزارع </w:t>
      </w:r>
      <w:r w:rsidRPr="00CA7A4E">
        <w:rPr>
          <w:rtl/>
        </w:rPr>
        <w:t>في سن السادسة والعشرين، يعاني من القيء، والإسهال، والحمى، ويشعر بالضيق بصفة عامة.</w:t>
      </w:r>
      <w:r w:rsidRPr="00CA7A4E">
        <w:rPr>
          <w:rFonts w:hint="cs"/>
          <w:rtl/>
        </w:rPr>
        <w:t xml:space="preserve"> </w:t>
      </w:r>
      <w:r w:rsidRPr="00CA7A4E">
        <w:rPr>
          <w:rtl/>
        </w:rPr>
        <w:t>وكانت قد ظهرت في فمه وعلى وجهه وأصابعه، قبل ذلك بأسابيع، قروح متقي</w:t>
      </w:r>
      <w:r w:rsidRPr="00CA7A4E">
        <w:rPr>
          <w:rFonts w:hint="cs"/>
          <w:rtl/>
        </w:rPr>
        <w:t>ّ</w:t>
      </w:r>
      <w:r w:rsidRPr="00CA7A4E">
        <w:rPr>
          <w:rtl/>
        </w:rPr>
        <w:t>حة.</w:t>
      </w:r>
      <w:r w:rsidRPr="00CA7A4E">
        <w:rPr>
          <w:rFonts w:hint="cs"/>
          <w:rtl/>
        </w:rPr>
        <w:t xml:space="preserve"> </w:t>
      </w:r>
      <w:r w:rsidRPr="00CA7A4E">
        <w:rPr>
          <w:rtl/>
        </w:rPr>
        <w:t>وفي 6 كانون الثاني/يناير 2011، ساءت حالته ونُقل إلى المرفق الصحي بالمستوطنة حيث تلقى علا</w:t>
      </w:r>
      <w:r w:rsidR="00A03F01">
        <w:rPr>
          <w:rFonts w:hint="cs"/>
          <w:rtl/>
        </w:rPr>
        <w:t>ج</w:t>
      </w:r>
      <w:r w:rsidR="00A03F01">
        <w:rPr>
          <w:rtl/>
        </w:rPr>
        <w:t xml:space="preserve">اً </w:t>
      </w:r>
      <w:r w:rsidRPr="00CA7A4E">
        <w:rPr>
          <w:rtl/>
        </w:rPr>
        <w:t>للغثيان والقيء.</w:t>
      </w:r>
      <w:r w:rsidRPr="00CA7A4E">
        <w:rPr>
          <w:rFonts w:hint="cs"/>
          <w:rtl/>
        </w:rPr>
        <w:t xml:space="preserve"> </w:t>
      </w:r>
      <w:r w:rsidRPr="00CA7A4E">
        <w:rPr>
          <w:rtl/>
        </w:rPr>
        <w:t>وعندما لم تتحسن حالته، وكان شاحب</w:t>
      </w:r>
      <w:r w:rsidR="00A03F01">
        <w:rPr>
          <w:rtl/>
        </w:rPr>
        <w:t xml:space="preserve">اً </w:t>
      </w:r>
      <w:r w:rsidRPr="00CA7A4E">
        <w:rPr>
          <w:rtl/>
        </w:rPr>
        <w:t>وضعيف</w:t>
      </w:r>
      <w:r w:rsidR="00A03F01">
        <w:rPr>
          <w:rtl/>
        </w:rPr>
        <w:t xml:space="preserve">اً </w:t>
      </w:r>
      <w:r w:rsidRPr="00CA7A4E">
        <w:rPr>
          <w:rtl/>
        </w:rPr>
        <w:t xml:space="preserve">وغير قادر على الوقوف، تمكن أقرباؤه من الترتيب لنقله إلى مستشفى المقاطعة في </w:t>
      </w:r>
      <w:proofErr w:type="spellStart"/>
      <w:r w:rsidRPr="00CA7A4E">
        <w:rPr>
          <w:rtl/>
        </w:rPr>
        <w:t>كوروغواتي</w:t>
      </w:r>
      <w:proofErr w:type="spellEnd"/>
      <w:r w:rsidRPr="00CA7A4E">
        <w:rPr>
          <w:rtl/>
        </w:rPr>
        <w:t>، على بعد أكثر من أربع ساعات</w:t>
      </w:r>
      <w:r w:rsidRPr="00CA7A4E">
        <w:rPr>
          <w:rStyle w:val="FootnoteReference"/>
          <w:rtl/>
        </w:rPr>
        <w:footnoteReference w:customMarkFollows="1" w:id="8"/>
        <w:t>(6)</w:t>
      </w:r>
      <w:r w:rsidRPr="00CA7A4E">
        <w:rPr>
          <w:rtl/>
        </w:rPr>
        <w:t>.</w:t>
      </w:r>
      <w:r w:rsidRPr="00CA7A4E">
        <w:rPr>
          <w:rFonts w:hint="cs"/>
          <w:rtl/>
        </w:rPr>
        <w:t xml:space="preserve"> </w:t>
      </w:r>
      <w:r w:rsidRPr="00CA7A4E">
        <w:rPr>
          <w:rtl/>
        </w:rPr>
        <w:t xml:space="preserve">وتوفي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w:t>
      </w:r>
      <w:r w:rsidRPr="00CA7A4E">
        <w:rPr>
          <w:rFonts w:hint="cs"/>
          <w:rtl/>
        </w:rPr>
        <w:t xml:space="preserve">أثناء عملية النقل تلك. </w:t>
      </w:r>
      <w:r w:rsidRPr="00CA7A4E">
        <w:rPr>
          <w:rtl/>
        </w:rPr>
        <w:t>وفي المستشفى، حاول الطبيب الذي كان في الخدمة إ</w:t>
      </w:r>
      <w:r>
        <w:rPr>
          <w:rFonts w:hint="cs"/>
          <w:rtl/>
        </w:rPr>
        <w:t>نعاشه</w:t>
      </w:r>
      <w:r w:rsidRPr="00CA7A4E">
        <w:rPr>
          <w:rtl/>
        </w:rPr>
        <w:t>، ولكن بدون جدوى.</w:t>
      </w:r>
    </w:p>
    <w:p w:rsidR="000B38BA" w:rsidRPr="00CA7A4E" w:rsidRDefault="000B38BA" w:rsidP="000B38BA">
      <w:pPr>
        <w:pStyle w:val="SingleTxtGA"/>
        <w:rPr>
          <w:rtl/>
        </w:rPr>
      </w:pPr>
      <w:r w:rsidRPr="00CA7A4E">
        <w:rPr>
          <w:rtl/>
        </w:rPr>
        <w:t>2-8</w:t>
      </w:r>
      <w:r w:rsidRPr="00CA7A4E">
        <w:rPr>
          <w:rtl/>
        </w:rPr>
        <w:tab/>
        <w:t>وفي الفترة بين 8 و14 كانون الثاني/يناير 2011، أُدخل إلى المستشفى 22 آخر</w:t>
      </w:r>
      <w:r>
        <w:rPr>
          <w:rFonts w:hint="cs"/>
          <w:rtl/>
        </w:rPr>
        <w:t>ي</w:t>
      </w:r>
      <w:r w:rsidRPr="00CA7A4E">
        <w:rPr>
          <w:rtl/>
        </w:rPr>
        <w:t xml:space="preserve">ن من سكان </w:t>
      </w:r>
      <w:r w:rsidRPr="00CA7A4E">
        <w:rPr>
          <w:rFonts w:hint="cs"/>
          <w:rtl/>
        </w:rPr>
        <w:t>مستوطنة</w:t>
      </w:r>
      <w:r w:rsidRPr="00CA7A4E">
        <w:rPr>
          <w:rtl/>
        </w:rPr>
        <w:t xml:space="preserve"> </w:t>
      </w:r>
      <w:proofErr w:type="spellStart"/>
      <w:r w:rsidRPr="00CA7A4E">
        <w:rPr>
          <w:rtl/>
        </w:rPr>
        <w:t>يروتي</w:t>
      </w:r>
      <w:proofErr w:type="spellEnd"/>
      <w:r w:rsidRPr="00CA7A4E">
        <w:rPr>
          <w:rtl/>
        </w:rPr>
        <w:t>، من بينهم أصحاب البلاغ والطفلان، بعد معاناة من أعراض مماثلة.</w:t>
      </w:r>
      <w:r w:rsidRPr="00CA7A4E">
        <w:rPr>
          <w:rFonts w:hint="cs"/>
          <w:rtl/>
        </w:rPr>
        <w:t xml:space="preserve"> </w:t>
      </w:r>
      <w:r w:rsidRPr="00CA7A4E">
        <w:rPr>
          <w:rtl/>
        </w:rPr>
        <w:t>واتصل مدير المستشفى هاتفي</w:t>
      </w:r>
      <w:r w:rsidR="00A03F01">
        <w:rPr>
          <w:rtl/>
        </w:rPr>
        <w:t xml:space="preserve">اً </w:t>
      </w:r>
      <w:r w:rsidRPr="00CA7A4E">
        <w:rPr>
          <w:rtl/>
        </w:rPr>
        <w:t xml:space="preserve">بمختلف المؤسسات، بما في ذلك وزارة البيئة، والهيئة الوطنية لجودة وصحة النباتات والبذور، لإبلاغها بالأعراض التي ظهرت لدى أصحاب البلاغ، وبوفاة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w:t>
      </w:r>
    </w:p>
    <w:p w:rsidR="000B38BA" w:rsidRPr="00CA7A4E" w:rsidRDefault="00F95548" w:rsidP="00F95548">
      <w:pPr>
        <w:pStyle w:val="H4GA"/>
        <w:rPr>
          <w:rtl/>
        </w:rPr>
      </w:pPr>
      <w:r>
        <w:rPr>
          <w:rtl/>
        </w:rPr>
        <w:tab/>
      </w:r>
      <w:r>
        <w:rPr>
          <w:rtl/>
        </w:rPr>
        <w:tab/>
      </w:r>
      <w:r w:rsidR="000B38BA" w:rsidRPr="00CA7A4E">
        <w:rPr>
          <w:rtl/>
        </w:rPr>
        <w:t xml:space="preserve">التماس سبل الانتصاف المحلية بعد وفاة السيد </w:t>
      </w:r>
      <w:proofErr w:type="spellStart"/>
      <w:r w:rsidR="000B38BA" w:rsidRPr="00CA7A4E">
        <w:rPr>
          <w:rtl/>
        </w:rPr>
        <w:t>بورتيلو</w:t>
      </w:r>
      <w:proofErr w:type="spellEnd"/>
      <w:r w:rsidR="000B38BA" w:rsidRPr="00CA7A4E">
        <w:rPr>
          <w:rtl/>
        </w:rPr>
        <w:t xml:space="preserve"> </w:t>
      </w:r>
      <w:proofErr w:type="spellStart"/>
      <w:r w:rsidR="000B38BA" w:rsidRPr="00CA7A4E">
        <w:rPr>
          <w:rtl/>
        </w:rPr>
        <w:t>كاسيريس</w:t>
      </w:r>
      <w:proofErr w:type="spellEnd"/>
      <w:r w:rsidR="000B38BA" w:rsidRPr="00CA7A4E">
        <w:rPr>
          <w:rtl/>
        </w:rPr>
        <w:t xml:space="preserve"> وتسمم أفراد من المجتمع المحلي</w:t>
      </w:r>
    </w:p>
    <w:p w:rsidR="000B38BA" w:rsidRPr="00CA7A4E" w:rsidRDefault="00F95548" w:rsidP="00F95548">
      <w:pPr>
        <w:pStyle w:val="H4GA"/>
        <w:rPr>
          <w:rtl/>
        </w:rPr>
      </w:pPr>
      <w:r>
        <w:rPr>
          <w:rtl/>
        </w:rPr>
        <w:tab/>
      </w:r>
      <w:r>
        <w:rPr>
          <w:rtl/>
        </w:rPr>
        <w:tab/>
      </w:r>
      <w:r w:rsidR="000B38BA" w:rsidRPr="00CA7A4E">
        <w:rPr>
          <w:rtl/>
        </w:rPr>
        <w:t>الشكوى الجنائية</w:t>
      </w:r>
    </w:p>
    <w:p w:rsidR="000B38BA" w:rsidRPr="00CA7A4E" w:rsidRDefault="000B38BA" w:rsidP="000B38BA">
      <w:pPr>
        <w:pStyle w:val="SingleTxtGA"/>
        <w:rPr>
          <w:rtl/>
        </w:rPr>
      </w:pPr>
      <w:r w:rsidRPr="00CA7A4E">
        <w:rPr>
          <w:rtl/>
        </w:rPr>
        <w:t>2-9</w:t>
      </w:r>
      <w:r w:rsidRPr="00CA7A4E">
        <w:rPr>
          <w:rtl/>
        </w:rPr>
        <w:tab/>
        <w:t xml:space="preserve">في 13 كانون الثاني/يناير 2011، قدم أصحاب البلاغ شكوى إلى مكتب المدعي العام المحلي في </w:t>
      </w:r>
      <w:proofErr w:type="spellStart"/>
      <w:r w:rsidRPr="00CA7A4E">
        <w:rPr>
          <w:rtl/>
        </w:rPr>
        <w:t>كوروغواتي</w:t>
      </w:r>
      <w:proofErr w:type="spellEnd"/>
      <w:r w:rsidRPr="00CA7A4E">
        <w:rPr>
          <w:rtl/>
        </w:rPr>
        <w:t xml:space="preserve"> بشأن وفاة السيد </w:t>
      </w:r>
      <w:proofErr w:type="spellStart"/>
      <w:r w:rsidRPr="00CA7A4E">
        <w:rPr>
          <w:rtl/>
        </w:rPr>
        <w:t>بورتيلو</w:t>
      </w:r>
      <w:proofErr w:type="spellEnd"/>
      <w:r w:rsidRPr="00CA7A4E">
        <w:rPr>
          <w:rtl/>
        </w:rPr>
        <w:t xml:space="preserve"> وتسممهم.</w:t>
      </w:r>
      <w:r w:rsidRPr="00CA7A4E">
        <w:rPr>
          <w:rFonts w:hint="cs"/>
          <w:rtl/>
        </w:rPr>
        <w:t xml:space="preserve"> </w:t>
      </w:r>
      <w:r w:rsidRPr="00CA7A4E">
        <w:rPr>
          <w:rtl/>
        </w:rPr>
        <w:t>وأشعرت وحدة الجريمة البيئية رقم</w:t>
      </w:r>
      <w:r w:rsidR="000F4896">
        <w:rPr>
          <w:rFonts w:hint="cs"/>
          <w:rtl/>
        </w:rPr>
        <w:t> </w:t>
      </w:r>
      <w:r w:rsidRPr="00CA7A4E">
        <w:rPr>
          <w:rtl/>
        </w:rPr>
        <w:t xml:space="preserve">1 المحكمة الجنائية بفتح ملف القضية الجنائية رقم 60/2011، تحت عنوان </w:t>
      </w:r>
      <w:proofErr w:type="gramStart"/>
      <w:r w:rsidRPr="00CA7A4E">
        <w:rPr>
          <w:rFonts w:hint="cs"/>
          <w:rtl/>
        </w:rPr>
        <w:t>’’التحق</w:t>
      </w:r>
      <w:r w:rsidRPr="00CA7A4E">
        <w:rPr>
          <w:rFonts w:hint="eastAsia"/>
          <w:rtl/>
        </w:rPr>
        <w:t>ق</w:t>
      </w:r>
      <w:proofErr w:type="gramEnd"/>
      <w:r w:rsidRPr="00CA7A4E">
        <w:rPr>
          <w:rtl/>
        </w:rPr>
        <w:t xml:space="preserve"> من انتهاك مزعوم للمعايير البيئية، ومن حادثة تسمم‘‘.</w:t>
      </w:r>
    </w:p>
    <w:p w:rsidR="000B38BA" w:rsidRPr="00CA7A4E" w:rsidRDefault="000B38BA" w:rsidP="000B38BA">
      <w:pPr>
        <w:pStyle w:val="SingleTxtGA"/>
        <w:rPr>
          <w:rtl/>
        </w:rPr>
      </w:pPr>
      <w:r w:rsidRPr="00CA7A4E">
        <w:rPr>
          <w:rtl/>
        </w:rPr>
        <w:lastRenderedPageBreak/>
        <w:t>2-10</w:t>
      </w:r>
      <w:r w:rsidRPr="00CA7A4E">
        <w:rPr>
          <w:rtl/>
        </w:rPr>
        <w:tab/>
        <w:t xml:space="preserve">وفي نفس اليوم، أبلغ مكتب المدعي الجنائي مركز شرطة </w:t>
      </w:r>
      <w:proofErr w:type="spellStart"/>
      <w:r w:rsidRPr="00CA7A4E">
        <w:rPr>
          <w:rtl/>
        </w:rPr>
        <w:t>كوروغواتي</w:t>
      </w:r>
      <w:proofErr w:type="spellEnd"/>
      <w:r w:rsidRPr="00CA7A4E">
        <w:rPr>
          <w:rtl/>
        </w:rPr>
        <w:t xml:space="preserve"> والمركز المحلي في </w:t>
      </w:r>
      <w:proofErr w:type="spellStart"/>
      <w:r w:rsidRPr="00CA7A4E">
        <w:rPr>
          <w:rtl/>
        </w:rPr>
        <w:t>كامبو</w:t>
      </w:r>
      <w:proofErr w:type="spellEnd"/>
      <w:r w:rsidRPr="00CA7A4E">
        <w:rPr>
          <w:rtl/>
        </w:rPr>
        <w:t xml:space="preserve"> </w:t>
      </w:r>
      <w:proofErr w:type="spellStart"/>
      <w:r w:rsidRPr="00CA7A4E">
        <w:rPr>
          <w:rtl/>
        </w:rPr>
        <w:t>أغوا</w:t>
      </w:r>
      <w:proofErr w:type="spellEnd"/>
      <w:r w:rsidRPr="00CA7A4E">
        <w:rPr>
          <w:rtl/>
        </w:rPr>
        <w:t xml:space="preserve"> </w:t>
      </w:r>
      <w:r w:rsidRPr="00CA7A4E">
        <w:rPr>
          <w:rFonts w:hint="cs"/>
          <w:rtl/>
        </w:rPr>
        <w:t xml:space="preserve">بالأمر </w:t>
      </w:r>
      <w:r w:rsidRPr="00CA7A4E">
        <w:rPr>
          <w:rtl/>
        </w:rPr>
        <w:t>ليمكنهما التحقيق مع مالكي مزارع فول الصويا المحيطة بالمستوطنة.</w:t>
      </w:r>
      <w:r w:rsidRPr="00CA7A4E">
        <w:rPr>
          <w:rFonts w:hint="cs"/>
          <w:rtl/>
        </w:rPr>
        <w:t xml:space="preserve"> </w:t>
      </w:r>
      <w:r w:rsidRPr="00CA7A4E">
        <w:rPr>
          <w:rtl/>
        </w:rPr>
        <w:t>وقدم المركز المحلي أسماء مختلف المالكين والمستأجرين الذين يزرعون ما بين 17 و170 هكتار</w:t>
      </w:r>
      <w:r w:rsidR="00A03F01">
        <w:rPr>
          <w:rFonts w:hint="cs"/>
          <w:rtl/>
        </w:rPr>
        <w:t xml:space="preserve">اً </w:t>
      </w:r>
      <w:r w:rsidRPr="00CA7A4E">
        <w:rPr>
          <w:rtl/>
        </w:rPr>
        <w:t xml:space="preserve">من فول الصويا في </w:t>
      </w:r>
      <w:r w:rsidRPr="00CA7A4E">
        <w:rPr>
          <w:rFonts w:hint="cs"/>
          <w:rtl/>
        </w:rPr>
        <w:t>مستوطنة</w:t>
      </w:r>
      <w:r w:rsidRPr="00CA7A4E">
        <w:rPr>
          <w:rtl/>
        </w:rPr>
        <w:t xml:space="preserve"> </w:t>
      </w:r>
      <w:proofErr w:type="spellStart"/>
      <w:r w:rsidRPr="00CA7A4E">
        <w:rPr>
          <w:rtl/>
        </w:rPr>
        <w:t>يروتي</w:t>
      </w:r>
      <w:proofErr w:type="spellEnd"/>
      <w:r w:rsidRPr="00CA7A4E">
        <w:rPr>
          <w:rtl/>
        </w:rPr>
        <w:t>.</w:t>
      </w:r>
    </w:p>
    <w:p w:rsidR="000B38BA" w:rsidRPr="00CA7A4E" w:rsidRDefault="000B38BA" w:rsidP="000B38BA">
      <w:pPr>
        <w:pStyle w:val="SingleTxtGA"/>
        <w:rPr>
          <w:rtl/>
        </w:rPr>
      </w:pPr>
      <w:r w:rsidRPr="00CA7A4E">
        <w:rPr>
          <w:rtl/>
        </w:rPr>
        <w:t>2-11</w:t>
      </w:r>
      <w:r w:rsidRPr="00CA7A4E">
        <w:rPr>
          <w:rtl/>
        </w:rPr>
        <w:tab/>
        <w:t>وفي ذلك اليوم أيض</w:t>
      </w:r>
      <w:r w:rsidR="00A03F01">
        <w:rPr>
          <w:rtl/>
        </w:rPr>
        <w:t xml:space="preserve">اً، </w:t>
      </w:r>
      <w:r w:rsidRPr="00CA7A4E">
        <w:rPr>
          <w:rtl/>
        </w:rPr>
        <w:t>أجرى الفنيون من وحدة الجرائم البيئية و</w:t>
      </w:r>
      <w:r w:rsidRPr="00CA7A4E">
        <w:rPr>
          <w:rFonts w:hint="cs"/>
          <w:rtl/>
        </w:rPr>
        <w:t xml:space="preserve">من </w:t>
      </w:r>
      <w:r w:rsidRPr="00CA7A4E">
        <w:rPr>
          <w:rtl/>
        </w:rPr>
        <w:t>الهيئة الوطنية لجودة وصحة النباتات والبذور فحص</w:t>
      </w:r>
      <w:r w:rsidR="00A03F01">
        <w:rPr>
          <w:rtl/>
        </w:rPr>
        <w:t xml:space="preserve">اً </w:t>
      </w:r>
      <w:r w:rsidRPr="00CA7A4E">
        <w:rPr>
          <w:rtl/>
        </w:rPr>
        <w:t>للمستوطنة جمعوا خلاله عينات من بئر منزل أصحاب البلاغ، وأظهرت النتائج وجود كيماويات زراعية محظورة</w:t>
      </w:r>
      <w:r w:rsidRPr="00CA7A4E">
        <w:rPr>
          <w:rStyle w:val="FootnoteReference"/>
          <w:rtl/>
        </w:rPr>
        <w:footnoteReference w:customMarkFollows="1" w:id="9"/>
        <w:t>(7)</w:t>
      </w:r>
      <w:r w:rsidRPr="00CA7A4E">
        <w:rPr>
          <w:rtl/>
        </w:rPr>
        <w:t>.</w:t>
      </w:r>
    </w:p>
    <w:p w:rsidR="000B38BA" w:rsidRPr="00CA7A4E" w:rsidRDefault="000B38BA" w:rsidP="000B38BA">
      <w:pPr>
        <w:pStyle w:val="SingleTxtGA"/>
        <w:rPr>
          <w:rtl/>
        </w:rPr>
      </w:pPr>
      <w:r w:rsidRPr="00CA7A4E">
        <w:rPr>
          <w:rtl/>
        </w:rPr>
        <w:t>2-12</w:t>
      </w:r>
      <w:r w:rsidRPr="00CA7A4E">
        <w:rPr>
          <w:rtl/>
        </w:rPr>
        <w:tab/>
        <w:t xml:space="preserve">وفي 14 كانون الثاني/يناير 2011، </w:t>
      </w:r>
      <w:r>
        <w:rPr>
          <w:rFonts w:hint="cs"/>
          <w:rtl/>
        </w:rPr>
        <w:t xml:space="preserve">أجرت </w:t>
      </w:r>
      <w:r w:rsidRPr="00CA7A4E">
        <w:rPr>
          <w:rtl/>
        </w:rPr>
        <w:t xml:space="preserve">وزارة البيئة </w:t>
      </w:r>
      <w:r>
        <w:rPr>
          <w:rFonts w:hint="cs"/>
          <w:rtl/>
        </w:rPr>
        <w:t>تفتيش</w:t>
      </w:r>
      <w:r w:rsidR="00A03F01">
        <w:rPr>
          <w:rFonts w:hint="cs"/>
          <w:rtl/>
        </w:rPr>
        <w:t xml:space="preserve">اً </w:t>
      </w:r>
      <w:r>
        <w:rPr>
          <w:rFonts w:hint="cs"/>
          <w:rtl/>
        </w:rPr>
        <w:t xml:space="preserve">لدى </w:t>
      </w:r>
      <w:r w:rsidRPr="00CA7A4E">
        <w:rPr>
          <w:rtl/>
        </w:rPr>
        <w:t>اثنين من منتجي فول الصويا بجوار مزارع أصحاب البلاغ ولكن خارج المستوطنة</w:t>
      </w:r>
      <w:r w:rsidRPr="00CA7A4E">
        <w:rPr>
          <w:rStyle w:val="FootnoteReference"/>
          <w:rtl/>
        </w:rPr>
        <w:footnoteReference w:customMarkFollows="1" w:id="10"/>
        <w:t>(8)</w:t>
      </w:r>
      <w:r w:rsidRPr="00CA7A4E">
        <w:rPr>
          <w:rtl/>
        </w:rPr>
        <w:t xml:space="preserve"> ووجدت أنهما لم يكونا يقيمان منطقة عازلة، أو يحملان تصريح</w:t>
      </w:r>
      <w:r w:rsidR="00A03F01">
        <w:rPr>
          <w:rFonts w:hint="cs"/>
          <w:rtl/>
        </w:rPr>
        <w:t xml:space="preserve">اً </w:t>
      </w:r>
      <w:r w:rsidRPr="00CA7A4E">
        <w:rPr>
          <w:rtl/>
        </w:rPr>
        <w:t>بيئي</w:t>
      </w:r>
      <w:r w:rsidR="00A03F01">
        <w:rPr>
          <w:rFonts w:hint="cs"/>
          <w:rtl/>
        </w:rPr>
        <w:t xml:space="preserve">اً، </w:t>
      </w:r>
      <w:r w:rsidRPr="00CA7A4E">
        <w:rPr>
          <w:rtl/>
        </w:rPr>
        <w:t>وكانا يستخدمان كيماويات زراعية سامة بدون ترخيص باستخدامها أو وجود خدمات مستشار تقني</w:t>
      </w:r>
      <w:r w:rsidRPr="00CA7A4E">
        <w:rPr>
          <w:rStyle w:val="FootnoteReference"/>
          <w:rtl/>
        </w:rPr>
        <w:footnoteReference w:customMarkFollows="1" w:id="11"/>
        <w:t>(9)</w:t>
      </w:r>
      <w:r w:rsidRPr="00CA7A4E">
        <w:rPr>
          <w:rtl/>
        </w:rPr>
        <w:t>.</w:t>
      </w:r>
    </w:p>
    <w:p w:rsidR="000B38BA" w:rsidRPr="00CA7A4E" w:rsidRDefault="000B38BA" w:rsidP="000B38BA">
      <w:pPr>
        <w:pStyle w:val="SingleTxtGA"/>
        <w:rPr>
          <w:rtl/>
        </w:rPr>
      </w:pPr>
      <w:r w:rsidRPr="00CA7A4E">
        <w:rPr>
          <w:rtl/>
        </w:rPr>
        <w:t>2-13</w:t>
      </w:r>
      <w:r w:rsidRPr="00CA7A4E">
        <w:rPr>
          <w:rtl/>
        </w:rPr>
        <w:tab/>
        <w:t xml:space="preserve">وفي 14 آذار/مارس 2011، وفيما يتعلق بملف القضية الجنائية رقم 60/2011، وجهت النيابة العامة تهماً أولية بخرق القانون البيئي إلى سبعة من سكان </w:t>
      </w:r>
      <w:r w:rsidRPr="00CA7A4E">
        <w:rPr>
          <w:rFonts w:hint="cs"/>
          <w:rtl/>
        </w:rPr>
        <w:t>مستوطنة</w:t>
      </w:r>
      <w:r w:rsidRPr="00CA7A4E">
        <w:rPr>
          <w:rtl/>
        </w:rPr>
        <w:t xml:space="preserve"> </w:t>
      </w:r>
      <w:proofErr w:type="spellStart"/>
      <w:r w:rsidRPr="00CA7A4E">
        <w:rPr>
          <w:rtl/>
        </w:rPr>
        <w:t>يروتي</w:t>
      </w:r>
      <w:proofErr w:type="spellEnd"/>
      <w:r w:rsidRPr="00CA7A4E">
        <w:rPr>
          <w:rtl/>
        </w:rPr>
        <w:t>.</w:t>
      </w:r>
    </w:p>
    <w:p w:rsidR="000B38BA" w:rsidRPr="00CA7A4E" w:rsidRDefault="000B38BA" w:rsidP="000B38BA">
      <w:pPr>
        <w:pStyle w:val="SingleTxtGA"/>
        <w:rPr>
          <w:rtl/>
        </w:rPr>
      </w:pPr>
      <w:r w:rsidRPr="00CA7A4E">
        <w:rPr>
          <w:rtl/>
        </w:rPr>
        <w:t>2-14</w:t>
      </w:r>
      <w:r w:rsidRPr="00CA7A4E">
        <w:rPr>
          <w:rtl/>
        </w:rPr>
        <w:tab/>
        <w:t>وفي 14 أيلول/سبتمبر 2011، وجهت النيابة العامة تهم</w:t>
      </w:r>
      <w:r w:rsidR="00A03F01">
        <w:rPr>
          <w:rtl/>
        </w:rPr>
        <w:t xml:space="preserve">اً </w:t>
      </w:r>
      <w:r w:rsidRPr="00CA7A4E">
        <w:rPr>
          <w:rtl/>
        </w:rPr>
        <w:t>جنائية إلى أولئك الأفراد السبعة.</w:t>
      </w:r>
      <w:r w:rsidRPr="00CA7A4E">
        <w:rPr>
          <w:rFonts w:hint="cs"/>
          <w:rtl/>
        </w:rPr>
        <w:t xml:space="preserve"> </w:t>
      </w:r>
      <w:r w:rsidRPr="00CA7A4E">
        <w:rPr>
          <w:rtl/>
        </w:rPr>
        <w:t>وعُلقت الجلسة الأولية المقررة ليوم 20 أيلول/سبتمبر 2011، لأسباب إجرائية.</w:t>
      </w:r>
      <w:r w:rsidRPr="00CA7A4E">
        <w:rPr>
          <w:rFonts w:hint="cs"/>
          <w:rtl/>
        </w:rPr>
        <w:t xml:space="preserve"> </w:t>
      </w:r>
      <w:r w:rsidRPr="00CA7A4E">
        <w:rPr>
          <w:rtl/>
        </w:rPr>
        <w:t xml:space="preserve">وظلت الإجراءات متوقفة حتى 9 أيار/مايو 2012 عندما طلبت نورما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معلومات محدّثة عن القضية.</w:t>
      </w:r>
      <w:r w:rsidRPr="00CA7A4E">
        <w:rPr>
          <w:rFonts w:hint="cs"/>
          <w:rtl/>
        </w:rPr>
        <w:t xml:space="preserve"> </w:t>
      </w:r>
      <w:r w:rsidRPr="00CA7A4E">
        <w:rPr>
          <w:rtl/>
        </w:rPr>
        <w:t>ودعا القاضي إلى عقد جلسة تمهيدية في 29 أيار/مايو 2012، ولكن الجلسة لم تُعقد بسبب عدم إ</w:t>
      </w:r>
      <w:r w:rsidRPr="00CA7A4E">
        <w:rPr>
          <w:rFonts w:hint="cs"/>
          <w:rtl/>
        </w:rPr>
        <w:t>شعار</w:t>
      </w:r>
      <w:r w:rsidRPr="00CA7A4E">
        <w:rPr>
          <w:rtl/>
        </w:rPr>
        <w:t xml:space="preserve"> الأطراف.</w:t>
      </w:r>
    </w:p>
    <w:p w:rsidR="000B38BA" w:rsidRPr="00CA7A4E" w:rsidRDefault="000B38BA" w:rsidP="000B38BA">
      <w:pPr>
        <w:pStyle w:val="SingleTxtGA"/>
        <w:rPr>
          <w:rtl/>
        </w:rPr>
      </w:pPr>
      <w:r w:rsidRPr="00CA7A4E">
        <w:rPr>
          <w:rtl/>
        </w:rPr>
        <w:t>2-15</w:t>
      </w:r>
      <w:r w:rsidRPr="00CA7A4E">
        <w:rPr>
          <w:rtl/>
        </w:rPr>
        <w:tab/>
        <w:t>وعُقدت جلسة الاستماع الأولية في 25 حزيران/</w:t>
      </w:r>
      <w:proofErr w:type="gramStart"/>
      <w:r w:rsidRPr="00CA7A4E">
        <w:rPr>
          <w:rtl/>
        </w:rPr>
        <w:t>يونيه</w:t>
      </w:r>
      <w:proofErr w:type="gramEnd"/>
      <w:r w:rsidRPr="00CA7A4E">
        <w:rPr>
          <w:rtl/>
        </w:rPr>
        <w:t xml:space="preserve"> 2013.</w:t>
      </w:r>
      <w:r w:rsidRPr="00CA7A4E">
        <w:rPr>
          <w:rFonts w:hint="cs"/>
          <w:rtl/>
        </w:rPr>
        <w:t xml:space="preserve"> </w:t>
      </w:r>
      <w:r w:rsidRPr="00CA7A4E">
        <w:rPr>
          <w:rtl/>
        </w:rPr>
        <w:t>وقال الدفاع إن مزارع المدعى عليهم كانت أصغر بكثير من المزارع الكبيرة المجاورة المذكورة في التحقيق، وإن تبخير محاصيلهم حدث على نطاق أصغر بكثير مما حدث مع الممتلكات الكبيرة، و</w:t>
      </w:r>
      <w:r w:rsidRPr="00CA7A4E">
        <w:rPr>
          <w:rFonts w:hint="cs"/>
          <w:rtl/>
        </w:rPr>
        <w:t>إ</w:t>
      </w:r>
      <w:r w:rsidRPr="00CA7A4E">
        <w:rPr>
          <w:rtl/>
        </w:rPr>
        <w:t>ن الكيماويات الزراعية التي استخدموها لا يمكن أن تكون قد وصلت، بالتالي، إلى مزارع أصحاب البلاغ.</w:t>
      </w:r>
      <w:r w:rsidRPr="00CA7A4E">
        <w:rPr>
          <w:rFonts w:hint="cs"/>
          <w:rtl/>
        </w:rPr>
        <w:t xml:space="preserve"> </w:t>
      </w:r>
      <w:r w:rsidRPr="00CA7A4E">
        <w:rPr>
          <w:rtl/>
        </w:rPr>
        <w:t>وسحبت النيابة العامة التهم وطلبت وقف الإجراءات بحجة عدم وجود أدلة.</w:t>
      </w:r>
      <w:r w:rsidRPr="00CA7A4E">
        <w:rPr>
          <w:rFonts w:hint="cs"/>
          <w:rtl/>
        </w:rPr>
        <w:t xml:space="preserve"> </w:t>
      </w:r>
      <w:r w:rsidRPr="00CA7A4E">
        <w:rPr>
          <w:rtl/>
        </w:rPr>
        <w:t>وفي 31 تموز/</w:t>
      </w:r>
      <w:r w:rsidR="00F95548">
        <w:rPr>
          <w:rFonts w:hint="cs"/>
          <w:rtl/>
        </w:rPr>
        <w:t xml:space="preserve"> </w:t>
      </w:r>
      <w:r w:rsidRPr="00CA7A4E">
        <w:rPr>
          <w:rtl/>
        </w:rPr>
        <w:t>يوليه 2013، وقّع مكتب المدعي العام إشعار</w:t>
      </w:r>
      <w:r w:rsidR="00A03F01">
        <w:rPr>
          <w:rtl/>
        </w:rPr>
        <w:t xml:space="preserve">اً </w:t>
      </w:r>
      <w:r w:rsidRPr="00CA7A4E">
        <w:rPr>
          <w:rtl/>
        </w:rPr>
        <w:t xml:space="preserve">بوقف الإجراءات وطلب 22 بيّنة إضافية تُجمع خلال سنة، هي فترة وقف الاجراءات (أقوال شهود، وتقارير اختبارات معملية، وسجلات </w:t>
      </w:r>
      <w:r w:rsidRPr="00AA07C7">
        <w:rPr>
          <w:spacing w:val="-4"/>
          <w:rtl/>
        </w:rPr>
        <w:t xml:space="preserve">المدعى عليهم الجنائية، وسجلات الشرطة عنهم، والتقرير عن تشريح </w:t>
      </w:r>
      <w:r w:rsidRPr="00AA07C7">
        <w:rPr>
          <w:rFonts w:hint="cs"/>
          <w:spacing w:val="-4"/>
          <w:rtl/>
        </w:rPr>
        <w:t xml:space="preserve">جثة </w:t>
      </w:r>
      <w:r w:rsidRPr="00AA07C7">
        <w:rPr>
          <w:spacing w:val="-4"/>
          <w:rtl/>
        </w:rPr>
        <w:t xml:space="preserve">السيد </w:t>
      </w:r>
      <w:proofErr w:type="spellStart"/>
      <w:r w:rsidRPr="00AA07C7">
        <w:rPr>
          <w:spacing w:val="-4"/>
          <w:rtl/>
        </w:rPr>
        <w:t>بورتيلو</w:t>
      </w:r>
      <w:proofErr w:type="spellEnd"/>
      <w:r w:rsidRPr="00AA07C7">
        <w:rPr>
          <w:spacing w:val="-4"/>
          <w:rtl/>
        </w:rPr>
        <w:t xml:space="preserve"> </w:t>
      </w:r>
      <w:proofErr w:type="spellStart"/>
      <w:r w:rsidRPr="00AA07C7">
        <w:rPr>
          <w:spacing w:val="-4"/>
          <w:rtl/>
        </w:rPr>
        <w:t>كاسيريس</w:t>
      </w:r>
      <w:proofErr w:type="spellEnd"/>
      <w:r w:rsidRPr="00AA07C7">
        <w:rPr>
          <w:spacing w:val="-4"/>
          <w:rtl/>
        </w:rPr>
        <w:t>).</w:t>
      </w:r>
      <w:r w:rsidRPr="00CA7A4E">
        <w:rPr>
          <w:rFonts w:hint="cs"/>
          <w:rtl/>
        </w:rPr>
        <w:t xml:space="preserve"> </w:t>
      </w:r>
      <w:r w:rsidRPr="00CA7A4E">
        <w:rPr>
          <w:rtl/>
        </w:rPr>
        <w:t xml:space="preserve">وفي 3 أيلول/سبتمبر 2013، أوقفت المحكمة الجنائية في </w:t>
      </w:r>
      <w:proofErr w:type="spellStart"/>
      <w:r w:rsidRPr="00CA7A4E">
        <w:rPr>
          <w:rtl/>
        </w:rPr>
        <w:t>كوروغواتي</w:t>
      </w:r>
      <w:proofErr w:type="spellEnd"/>
      <w:r w:rsidRPr="00CA7A4E">
        <w:rPr>
          <w:rtl/>
        </w:rPr>
        <w:t xml:space="preserve"> الإجراءات ضد المدعى عليهم السبعة.</w:t>
      </w:r>
    </w:p>
    <w:p w:rsidR="000B38BA" w:rsidRPr="00CA7A4E" w:rsidRDefault="000B38BA" w:rsidP="006B0560">
      <w:pPr>
        <w:pStyle w:val="SingleTxtGA"/>
        <w:spacing w:line="360" w:lineRule="exact"/>
        <w:rPr>
          <w:rtl/>
        </w:rPr>
      </w:pPr>
      <w:r w:rsidRPr="00CA7A4E">
        <w:rPr>
          <w:rtl/>
        </w:rPr>
        <w:lastRenderedPageBreak/>
        <w:t>2-16</w:t>
      </w:r>
      <w:r w:rsidRPr="00CA7A4E">
        <w:rPr>
          <w:rtl/>
        </w:rPr>
        <w:tab/>
        <w:t>غير أن بعض الأدلة التي طلبها المدعي العام لم تُجمع.</w:t>
      </w:r>
      <w:r w:rsidRPr="00CA7A4E">
        <w:rPr>
          <w:rFonts w:hint="cs"/>
          <w:rtl/>
        </w:rPr>
        <w:t xml:space="preserve"> </w:t>
      </w:r>
      <w:r w:rsidRPr="00CA7A4E">
        <w:rPr>
          <w:rtl/>
        </w:rPr>
        <w:t>ولم يُجر أي تشريح لجث</w:t>
      </w:r>
      <w:r w:rsidRPr="00CA7A4E">
        <w:rPr>
          <w:rFonts w:hint="cs"/>
          <w:rtl/>
        </w:rPr>
        <w:t>ة</w:t>
      </w:r>
      <w:r w:rsidRPr="00CA7A4E">
        <w:rPr>
          <w:rtl/>
        </w:rPr>
        <w:t xml:space="preserve"> المتوفي، </w:t>
      </w:r>
      <w:r w:rsidRPr="00AA07C7">
        <w:rPr>
          <w:spacing w:val="-4"/>
          <w:rtl/>
        </w:rPr>
        <w:t>بالرغم من أن ذلك التشريح طُلب في أربع مناسبات بغرض تحديد ما إذا كانت الأعضاء الداخلية</w:t>
      </w:r>
      <w:r w:rsidRPr="00CA7A4E">
        <w:rPr>
          <w:rtl/>
        </w:rPr>
        <w:t xml:space="preserve"> للسيد </w:t>
      </w:r>
      <w:proofErr w:type="spellStart"/>
      <w:r w:rsidRPr="00CA7A4E">
        <w:rPr>
          <w:rtl/>
        </w:rPr>
        <w:t>كاسيريس</w:t>
      </w:r>
      <w:proofErr w:type="spellEnd"/>
      <w:r w:rsidRPr="00CA7A4E">
        <w:rPr>
          <w:rtl/>
        </w:rPr>
        <w:t xml:space="preserve"> تحمل آثار كيماويات زراعية تدل على وجود صلة بين موته وبين التعرض المتكرر للرش ولتلوث المياه والتربة والغذاء</w:t>
      </w:r>
      <w:r w:rsidRPr="00CA7A4E">
        <w:rPr>
          <w:rStyle w:val="FootnoteReference"/>
          <w:rtl/>
        </w:rPr>
        <w:footnoteReference w:customMarkFollows="1" w:id="12"/>
        <w:t>(10)</w:t>
      </w:r>
      <w:r w:rsidRPr="00CA7A4E">
        <w:rPr>
          <w:rtl/>
        </w:rPr>
        <w:t>.</w:t>
      </w:r>
      <w:r w:rsidRPr="00CA7A4E">
        <w:rPr>
          <w:rFonts w:hint="cs"/>
          <w:rtl/>
        </w:rPr>
        <w:t xml:space="preserve"> </w:t>
      </w:r>
      <w:r w:rsidRPr="00CA7A4E">
        <w:rPr>
          <w:rtl/>
        </w:rPr>
        <w:t>ولم يُدرج التاريخ الطبي لأصحاب البلاغ، ولم</w:t>
      </w:r>
      <w:r w:rsidR="00AA07C7">
        <w:rPr>
          <w:rFonts w:hint="cs"/>
          <w:rtl/>
        </w:rPr>
        <w:t> </w:t>
      </w:r>
      <w:r w:rsidRPr="00CA7A4E">
        <w:rPr>
          <w:rtl/>
        </w:rPr>
        <w:t>يتضمن ملف القضية نتائج اختبارات الدم والبول التي أجروها.</w:t>
      </w:r>
      <w:r w:rsidRPr="00CA7A4E">
        <w:rPr>
          <w:rFonts w:hint="cs"/>
          <w:rtl/>
        </w:rPr>
        <w:t xml:space="preserve"> </w:t>
      </w:r>
      <w:r w:rsidRPr="00CA7A4E">
        <w:rPr>
          <w:rtl/>
        </w:rPr>
        <w:t>وعلاوة على ذلك، لم تُوجّه أي تهمة جنائية إلى مالكي ومديري المزرعتين الصناعيتين الكبيرتين المجاورتين لمنازل المرضى.</w:t>
      </w:r>
    </w:p>
    <w:p w:rsidR="000B38BA" w:rsidRPr="00CA7A4E" w:rsidRDefault="00F95548" w:rsidP="006B0560">
      <w:pPr>
        <w:pStyle w:val="H4GA"/>
        <w:spacing w:before="200" w:line="360" w:lineRule="exact"/>
        <w:rPr>
          <w:rtl/>
        </w:rPr>
      </w:pPr>
      <w:r>
        <w:rPr>
          <w:rtl/>
        </w:rPr>
        <w:tab/>
      </w:r>
      <w:r>
        <w:rPr>
          <w:rtl/>
        </w:rPr>
        <w:tab/>
      </w:r>
      <w:r w:rsidR="000B38BA" w:rsidRPr="00CA7A4E">
        <w:rPr>
          <w:rtl/>
        </w:rPr>
        <w:t>إجراء الحماية القضائية</w:t>
      </w:r>
    </w:p>
    <w:p w:rsidR="000B38BA" w:rsidRPr="00CA7A4E" w:rsidRDefault="000B38BA" w:rsidP="006B0560">
      <w:pPr>
        <w:pStyle w:val="SingleTxtGA"/>
        <w:spacing w:line="360" w:lineRule="exact"/>
        <w:rPr>
          <w:rtl/>
        </w:rPr>
      </w:pPr>
      <w:r w:rsidRPr="00CA7A4E">
        <w:rPr>
          <w:rtl/>
        </w:rPr>
        <w:t>2-17</w:t>
      </w:r>
      <w:r w:rsidRPr="00CA7A4E">
        <w:rPr>
          <w:rtl/>
        </w:rPr>
        <w:tab/>
        <w:t xml:space="preserve">في 14 كانون الثاني/يناير 2011، قدمت نورما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طلب</w:t>
      </w:r>
      <w:r w:rsidR="00A03F01">
        <w:rPr>
          <w:rtl/>
        </w:rPr>
        <w:t xml:space="preserve">اً </w:t>
      </w:r>
      <w:r w:rsidRPr="00CA7A4E">
        <w:rPr>
          <w:rtl/>
        </w:rPr>
        <w:t xml:space="preserve">للحصول على أمر بحماية قضائية للبيئة ولصحة جميع سكان </w:t>
      </w:r>
      <w:proofErr w:type="spellStart"/>
      <w:r w:rsidRPr="00CA7A4E">
        <w:rPr>
          <w:rtl/>
        </w:rPr>
        <w:t>يروتي</w:t>
      </w:r>
      <w:proofErr w:type="spellEnd"/>
      <w:r w:rsidRPr="00CA7A4E">
        <w:rPr>
          <w:rtl/>
        </w:rPr>
        <w:t xml:space="preserve"> ضد أربع وكالات حكومية (وزارة الزراعة والثروة الحيوانية، والهيئة الوطنية لجودة وصحة النباتات والبذور، ووزارة البيئة، ومعهد التنمية الريفية واستصلاح الأراضي).</w:t>
      </w:r>
      <w:r w:rsidRPr="00CA7A4E">
        <w:rPr>
          <w:rFonts w:hint="cs"/>
          <w:rtl/>
        </w:rPr>
        <w:t xml:space="preserve"> </w:t>
      </w:r>
      <w:r w:rsidRPr="00CA7A4E">
        <w:rPr>
          <w:rtl/>
        </w:rPr>
        <w:t xml:space="preserve">وورد في </w:t>
      </w:r>
      <w:r w:rsidRPr="00CA7A4E">
        <w:rPr>
          <w:rFonts w:hint="cs"/>
          <w:rtl/>
        </w:rPr>
        <w:t xml:space="preserve">طلبها </w:t>
      </w:r>
      <w:r w:rsidRPr="00CA7A4E">
        <w:rPr>
          <w:rtl/>
        </w:rPr>
        <w:t xml:space="preserve">أن الدولة أخفقت في الاضطلاع بواجبها في توفير تلك الحماية، حيث </w:t>
      </w:r>
      <w:r>
        <w:rPr>
          <w:rFonts w:hint="cs"/>
          <w:rtl/>
        </w:rPr>
        <w:t>إ</w:t>
      </w:r>
      <w:r w:rsidRPr="00CA7A4E">
        <w:rPr>
          <w:rtl/>
        </w:rPr>
        <w:t xml:space="preserve">ن الدولة هي التي أقامت المستوطنة وباعت لأصحاب البلاغ مزارعهم، وأن وكالات الدولة هي التي سمحت بأن تصبح </w:t>
      </w:r>
      <w:r w:rsidRPr="00CA7A4E">
        <w:rPr>
          <w:rFonts w:hint="cs"/>
          <w:rtl/>
        </w:rPr>
        <w:t>مستوطنة</w:t>
      </w:r>
      <w:r w:rsidRPr="00CA7A4E">
        <w:rPr>
          <w:rtl/>
        </w:rPr>
        <w:t xml:space="preserve"> </w:t>
      </w:r>
      <w:proofErr w:type="spellStart"/>
      <w:r w:rsidRPr="00CA7A4E">
        <w:rPr>
          <w:rtl/>
        </w:rPr>
        <w:t>يروتي</w:t>
      </w:r>
      <w:proofErr w:type="spellEnd"/>
      <w:r w:rsidRPr="00CA7A4E">
        <w:rPr>
          <w:rtl/>
        </w:rPr>
        <w:t xml:space="preserve"> محاطة بمنتجين صناعيين لفول الصويا يرتكبون جميع أنواع الجرائم البيئية بدون عقاب.</w:t>
      </w:r>
      <w:r w:rsidRPr="00CA7A4E">
        <w:rPr>
          <w:rFonts w:hint="cs"/>
          <w:rtl/>
        </w:rPr>
        <w:t xml:space="preserve"> </w:t>
      </w:r>
      <w:r w:rsidRPr="00CA7A4E">
        <w:rPr>
          <w:rtl/>
        </w:rPr>
        <w:t xml:space="preserve">وذكر الأطراف في </w:t>
      </w:r>
      <w:r w:rsidRPr="00CA7A4E">
        <w:rPr>
          <w:rFonts w:hint="cs"/>
          <w:rtl/>
        </w:rPr>
        <w:t xml:space="preserve">الطلب </w:t>
      </w:r>
      <w:r w:rsidRPr="00CA7A4E">
        <w:rPr>
          <w:rtl/>
        </w:rPr>
        <w:t>أن عدم قيام الدولة بالرقابة على الإنتاج الزراعي وفشلها في تعليق الأنشطة المحظورة وتطبيق العقوبات، مكّن المنتجين من العمل بدون تصاريح بيئية، ومن تبخير محاصيلهم بدون إنشاء المنطقة العازلة القانونية.</w:t>
      </w:r>
      <w:r w:rsidRPr="00CA7A4E">
        <w:rPr>
          <w:rFonts w:hint="cs"/>
          <w:rtl/>
        </w:rPr>
        <w:t xml:space="preserve"> </w:t>
      </w:r>
      <w:r w:rsidRPr="00CA7A4E">
        <w:rPr>
          <w:rtl/>
        </w:rPr>
        <w:t>وذكروا أيض</w:t>
      </w:r>
      <w:r w:rsidR="00A03F01">
        <w:rPr>
          <w:rtl/>
        </w:rPr>
        <w:t xml:space="preserve">اً </w:t>
      </w:r>
      <w:r w:rsidRPr="00CA7A4E">
        <w:rPr>
          <w:rtl/>
        </w:rPr>
        <w:t>أن عدم الإشراف على إيجار قطع الأراضي وملكيتها داخل المستوطنة أدى إلى انتقال حيازة الأرض إلى أفراد لا يحق لهم استخدامها في زراعة فول الصويا.</w:t>
      </w:r>
      <w:r w:rsidRPr="00CA7A4E">
        <w:rPr>
          <w:rFonts w:hint="cs"/>
          <w:rtl/>
        </w:rPr>
        <w:t xml:space="preserve"> </w:t>
      </w:r>
      <w:r w:rsidRPr="00CA7A4E">
        <w:rPr>
          <w:rtl/>
        </w:rPr>
        <w:t>وادعى المشتكون أن حق السكان في الحياة، وفي العيش في بيئة صحية، وفي الغذاء والماء، وفي الصحة، وفي نوعية الحياة، وهي كلها حقوق منصوص عليها في الدستور، قد انتُهكت.</w:t>
      </w:r>
    </w:p>
    <w:p w:rsidR="000B38BA" w:rsidRPr="006B0560" w:rsidRDefault="000B38BA" w:rsidP="006B0560">
      <w:pPr>
        <w:pStyle w:val="SingleTxtGA"/>
        <w:spacing w:line="360" w:lineRule="exact"/>
        <w:rPr>
          <w:spacing w:val="-6"/>
          <w:rtl/>
        </w:rPr>
      </w:pPr>
      <w:r w:rsidRPr="006B0560">
        <w:rPr>
          <w:spacing w:val="-6"/>
          <w:rtl/>
        </w:rPr>
        <w:t>2-18</w:t>
      </w:r>
      <w:r w:rsidRPr="006B0560">
        <w:rPr>
          <w:spacing w:val="-6"/>
          <w:rtl/>
        </w:rPr>
        <w:tab/>
        <w:t>وفي اليوم نفسه، قبلت المحكمة الجنائية رقم 9 في أسونسيون الطلب</w:t>
      </w:r>
      <w:r w:rsidRPr="006B0560">
        <w:rPr>
          <w:rStyle w:val="FootnoteReference"/>
          <w:spacing w:val="-6"/>
          <w:rtl/>
        </w:rPr>
        <w:footnoteReference w:customMarkFollows="1" w:id="13"/>
        <w:t>(11)</w:t>
      </w:r>
      <w:r w:rsidRPr="006B0560">
        <w:rPr>
          <w:spacing w:val="-6"/>
          <w:rtl/>
        </w:rPr>
        <w:t xml:space="preserve"> وط</w:t>
      </w:r>
      <w:r w:rsidRPr="006B0560">
        <w:rPr>
          <w:rFonts w:hint="cs"/>
          <w:spacing w:val="-6"/>
          <w:rtl/>
        </w:rPr>
        <w:t>ُ</w:t>
      </w:r>
      <w:r w:rsidRPr="006B0560">
        <w:rPr>
          <w:spacing w:val="-6"/>
          <w:rtl/>
        </w:rPr>
        <w:t>لب من الكيانات المذكورة فيه تقديم تقرير.</w:t>
      </w:r>
      <w:r w:rsidRPr="006B0560">
        <w:rPr>
          <w:rFonts w:hint="cs"/>
          <w:spacing w:val="-6"/>
          <w:rtl/>
        </w:rPr>
        <w:t xml:space="preserve"> </w:t>
      </w:r>
      <w:r w:rsidRPr="006B0560">
        <w:rPr>
          <w:spacing w:val="-6"/>
          <w:rtl/>
        </w:rPr>
        <w:t>ودفعت وزارة الزراعة والثروة الحيوانية بعدم وجود أدلة كافية لدعم الاتهامات وأكدت مسؤولية الكيانات الثلاثة الأخرى.</w:t>
      </w:r>
      <w:r w:rsidRPr="006B0560">
        <w:rPr>
          <w:rFonts w:hint="cs"/>
          <w:spacing w:val="-6"/>
          <w:rtl/>
        </w:rPr>
        <w:t xml:space="preserve"> </w:t>
      </w:r>
      <w:r w:rsidRPr="006B0560">
        <w:rPr>
          <w:spacing w:val="-6"/>
          <w:rtl/>
        </w:rPr>
        <w:t>وردت الهيئة الوطنية لجودة وصحة النباتات والبذور بأنها</w:t>
      </w:r>
      <w:r w:rsidR="006B0560">
        <w:rPr>
          <w:rFonts w:hint="cs"/>
          <w:spacing w:val="-6"/>
          <w:rtl/>
        </w:rPr>
        <w:t> </w:t>
      </w:r>
      <w:r w:rsidRPr="006B0560">
        <w:rPr>
          <w:spacing w:val="-6"/>
          <w:rtl/>
        </w:rPr>
        <w:t>زارت المنطقة لجمع عينات من المياه.</w:t>
      </w:r>
      <w:r w:rsidRPr="006B0560">
        <w:rPr>
          <w:rFonts w:hint="cs"/>
          <w:spacing w:val="-6"/>
          <w:rtl/>
        </w:rPr>
        <w:t xml:space="preserve"> </w:t>
      </w:r>
      <w:r w:rsidRPr="006B0560">
        <w:rPr>
          <w:spacing w:val="-6"/>
          <w:rtl/>
        </w:rPr>
        <w:t>ووصفت وزارة البيئة الإجراءات التي اتخذتها في القضية واعترفت بدورها في عدم وجود رقابة</w:t>
      </w:r>
      <w:r w:rsidRPr="006B0560">
        <w:rPr>
          <w:rStyle w:val="FootnoteReference"/>
          <w:spacing w:val="-6"/>
          <w:rtl/>
        </w:rPr>
        <w:footnoteReference w:customMarkFollows="1" w:id="14"/>
        <w:t>(12)</w:t>
      </w:r>
      <w:r w:rsidRPr="006B0560">
        <w:rPr>
          <w:spacing w:val="-6"/>
          <w:rtl/>
        </w:rPr>
        <w:t>.</w:t>
      </w:r>
      <w:r w:rsidRPr="006B0560">
        <w:rPr>
          <w:rFonts w:hint="cs"/>
          <w:spacing w:val="-6"/>
          <w:rtl/>
        </w:rPr>
        <w:t xml:space="preserve"> </w:t>
      </w:r>
      <w:r w:rsidRPr="006B0560">
        <w:rPr>
          <w:spacing w:val="-6"/>
          <w:rtl/>
        </w:rPr>
        <w:t>ولم يرد</w:t>
      </w:r>
      <w:r w:rsidRPr="006B0560">
        <w:rPr>
          <w:rFonts w:hint="cs"/>
          <w:spacing w:val="-6"/>
          <w:rtl/>
        </w:rPr>
        <w:t>ّ</w:t>
      </w:r>
      <w:r w:rsidRPr="006B0560">
        <w:rPr>
          <w:spacing w:val="-6"/>
          <w:rtl/>
        </w:rPr>
        <w:t xml:space="preserve"> معهد التنمية الريفية واستصلاح الأراضي على الطلب.</w:t>
      </w:r>
    </w:p>
    <w:p w:rsidR="000B38BA" w:rsidRPr="00CA7A4E" w:rsidRDefault="000B38BA" w:rsidP="006B0560">
      <w:pPr>
        <w:pStyle w:val="SingleTxtGA"/>
        <w:spacing w:line="360" w:lineRule="exact"/>
        <w:rPr>
          <w:rtl/>
        </w:rPr>
      </w:pPr>
      <w:r w:rsidRPr="00CA7A4E">
        <w:rPr>
          <w:rtl/>
        </w:rPr>
        <w:t>2-19</w:t>
      </w:r>
      <w:r w:rsidRPr="00CA7A4E">
        <w:rPr>
          <w:rtl/>
        </w:rPr>
        <w:tab/>
        <w:t>وفي قرار صادر في 28 كانون الثاني/يناير 2011، ذكرت المحكمة الجنائية رقم 9 في أسونسيون أنها لا تتمتع بالولاية القضائية الإقليمية</w:t>
      </w:r>
      <w:r w:rsidRPr="00CA7A4E">
        <w:rPr>
          <w:rStyle w:val="FootnoteReference"/>
          <w:rtl/>
        </w:rPr>
        <w:footnoteReference w:customMarkFollows="1" w:id="15"/>
        <w:t>(13)</w:t>
      </w:r>
      <w:r w:rsidRPr="00CA7A4E">
        <w:rPr>
          <w:rtl/>
        </w:rPr>
        <w:t xml:space="preserve"> وأحالت القضية إلى محكمة </w:t>
      </w:r>
      <w:proofErr w:type="spellStart"/>
      <w:r w:rsidRPr="00CA7A4E">
        <w:rPr>
          <w:rtl/>
        </w:rPr>
        <w:t>كوروغواتي</w:t>
      </w:r>
      <w:proofErr w:type="spellEnd"/>
      <w:r w:rsidRPr="00CA7A4E">
        <w:rPr>
          <w:rtl/>
        </w:rPr>
        <w:t xml:space="preserve"> المحلية.</w:t>
      </w:r>
      <w:r w:rsidRPr="00CA7A4E">
        <w:rPr>
          <w:rFonts w:hint="cs"/>
          <w:rtl/>
        </w:rPr>
        <w:t xml:space="preserve"> </w:t>
      </w:r>
      <w:r w:rsidRPr="00CA7A4E">
        <w:rPr>
          <w:rtl/>
        </w:rPr>
        <w:t>وكانت تلك هي نفس المحكمة التي اتصل بها أصحاب البلاغ في البداية، ولكن موظفيها رفضوا التعامل مع طلب الحماية القضائية، قائلين إنه ينبغي إيداعه في العاصمة لأنه يتناول مؤسسات تابعة للدولة.</w:t>
      </w:r>
    </w:p>
    <w:p w:rsidR="000B38BA" w:rsidRPr="00CA7A4E" w:rsidRDefault="000B38BA" w:rsidP="000B38BA">
      <w:pPr>
        <w:pStyle w:val="SingleTxtGA"/>
        <w:rPr>
          <w:rtl/>
        </w:rPr>
      </w:pPr>
      <w:r w:rsidRPr="00CA7A4E">
        <w:rPr>
          <w:rtl/>
        </w:rPr>
        <w:lastRenderedPageBreak/>
        <w:t>2-20</w:t>
      </w:r>
      <w:r w:rsidRPr="00CA7A4E">
        <w:rPr>
          <w:rtl/>
        </w:rPr>
        <w:tab/>
        <w:t xml:space="preserve">وفي 15 نيسان/أبريل 2011، رفضت محكمة </w:t>
      </w:r>
      <w:proofErr w:type="spellStart"/>
      <w:r w:rsidRPr="00CA7A4E">
        <w:rPr>
          <w:rtl/>
        </w:rPr>
        <w:t>كوروغواتي</w:t>
      </w:r>
      <w:proofErr w:type="spellEnd"/>
      <w:r w:rsidRPr="00CA7A4E">
        <w:rPr>
          <w:rtl/>
        </w:rPr>
        <w:t xml:space="preserve"> المحلية الطلب فيما يتعلق بمعهد التنمية الريفية واستصلاح الأراضي، ووزارة الزراعة والثروة الحيوانية، على أساس أنهما غير مسؤولين عن الإشراف على الامتثال لمعايير السلامة في استخدام منتجات الصحة النباتية.</w:t>
      </w:r>
      <w:r w:rsidRPr="00CA7A4E">
        <w:rPr>
          <w:rFonts w:hint="cs"/>
          <w:rtl/>
        </w:rPr>
        <w:t xml:space="preserve"> </w:t>
      </w:r>
      <w:r w:rsidRPr="00CA7A4E">
        <w:rPr>
          <w:rtl/>
        </w:rPr>
        <w:t>وقبلت جزئي</w:t>
      </w:r>
      <w:r w:rsidR="00A03F01">
        <w:rPr>
          <w:rtl/>
        </w:rPr>
        <w:t xml:space="preserve">اً </w:t>
      </w:r>
      <w:r w:rsidRPr="00CA7A4E">
        <w:rPr>
          <w:rtl/>
        </w:rPr>
        <w:t>الطلب فيما يتعلق بالهيئة الوطنية لجودة وصحة النباتات والبذور، ووزارة البيئة.</w:t>
      </w:r>
      <w:r w:rsidRPr="00CA7A4E">
        <w:rPr>
          <w:rFonts w:hint="cs"/>
          <w:rtl/>
        </w:rPr>
        <w:t xml:space="preserve"> </w:t>
      </w:r>
      <w:r w:rsidRPr="00CA7A4E">
        <w:rPr>
          <w:rtl/>
        </w:rPr>
        <w:t xml:space="preserve">وأشارت المحكمة المحلية في قرارها إلى أن </w:t>
      </w:r>
      <w:r w:rsidRPr="00CA7A4E">
        <w:rPr>
          <w:rFonts w:hint="cs"/>
          <w:rtl/>
        </w:rPr>
        <w:t>الوزارة اعترفت ب</w:t>
      </w:r>
      <w:r w:rsidRPr="00CA7A4E">
        <w:rPr>
          <w:rtl/>
        </w:rPr>
        <w:t>مسؤولي</w:t>
      </w:r>
      <w:r w:rsidRPr="00CA7A4E">
        <w:rPr>
          <w:rFonts w:hint="cs"/>
          <w:rtl/>
        </w:rPr>
        <w:t xml:space="preserve">تها </w:t>
      </w:r>
      <w:r w:rsidRPr="00CA7A4E">
        <w:rPr>
          <w:rtl/>
        </w:rPr>
        <w:t>في</w:t>
      </w:r>
      <w:r w:rsidRPr="00CA7A4E">
        <w:rPr>
          <w:rFonts w:hint="cs"/>
          <w:rtl/>
        </w:rPr>
        <w:t xml:space="preserve"> </w:t>
      </w:r>
      <w:r w:rsidRPr="00CA7A4E">
        <w:rPr>
          <w:rtl/>
        </w:rPr>
        <w:t xml:space="preserve">عدم </w:t>
      </w:r>
      <w:r w:rsidRPr="00CA7A4E">
        <w:rPr>
          <w:rFonts w:hint="cs"/>
          <w:rtl/>
        </w:rPr>
        <w:t>ال</w:t>
      </w:r>
      <w:r w:rsidRPr="00CA7A4E">
        <w:rPr>
          <w:rtl/>
        </w:rPr>
        <w:t>وفا</w:t>
      </w:r>
      <w:r w:rsidRPr="00CA7A4E">
        <w:rPr>
          <w:rFonts w:hint="cs"/>
          <w:rtl/>
        </w:rPr>
        <w:t xml:space="preserve">ء </w:t>
      </w:r>
      <w:r w:rsidRPr="00CA7A4E">
        <w:rPr>
          <w:rtl/>
        </w:rPr>
        <w:t>بواجباتها</w:t>
      </w:r>
      <w:r w:rsidRPr="00CA7A4E">
        <w:rPr>
          <w:rFonts w:hint="cs"/>
          <w:rtl/>
        </w:rPr>
        <w:t>،</w:t>
      </w:r>
      <w:r w:rsidRPr="00CA7A4E">
        <w:rPr>
          <w:rtl/>
        </w:rPr>
        <w:t xml:space="preserve"> </w:t>
      </w:r>
      <w:r w:rsidRPr="00CA7A4E">
        <w:rPr>
          <w:rFonts w:hint="cs"/>
          <w:rtl/>
        </w:rPr>
        <w:t>وأنها تسببت بذلك أيض</w:t>
      </w:r>
      <w:r w:rsidR="00A03F01">
        <w:rPr>
          <w:rFonts w:hint="cs"/>
          <w:rtl/>
        </w:rPr>
        <w:t xml:space="preserve">اً </w:t>
      </w:r>
      <w:r w:rsidRPr="00CA7A4E">
        <w:rPr>
          <w:rtl/>
        </w:rPr>
        <w:t xml:space="preserve">في إلحاق أذى جسدي خطير بسكان </w:t>
      </w:r>
      <w:r w:rsidRPr="00CA7A4E">
        <w:rPr>
          <w:rFonts w:hint="cs"/>
          <w:rtl/>
        </w:rPr>
        <w:t>مستوطنة</w:t>
      </w:r>
      <w:r w:rsidRPr="00CA7A4E">
        <w:rPr>
          <w:rtl/>
        </w:rPr>
        <w:t xml:space="preserve"> </w:t>
      </w:r>
      <w:proofErr w:type="spellStart"/>
      <w:r w:rsidRPr="00CA7A4E">
        <w:rPr>
          <w:rtl/>
        </w:rPr>
        <w:t>يروتي</w:t>
      </w:r>
      <w:proofErr w:type="spellEnd"/>
      <w:r w:rsidRPr="00CA7A4E">
        <w:rPr>
          <w:rtl/>
        </w:rPr>
        <w:t xml:space="preserve"> نتيجة تبخير المنتجين الزراعيين لمحاصيلهم الزراعية.</w:t>
      </w:r>
      <w:r w:rsidRPr="00CA7A4E">
        <w:rPr>
          <w:rFonts w:hint="cs"/>
          <w:rtl/>
        </w:rPr>
        <w:t xml:space="preserve"> </w:t>
      </w:r>
      <w:r w:rsidRPr="00CA7A4E">
        <w:rPr>
          <w:rtl/>
        </w:rPr>
        <w:t xml:space="preserve">ورأت المحكمة المحلية أن </w:t>
      </w:r>
      <w:proofErr w:type="gramStart"/>
      <w:r w:rsidRPr="00CA7A4E">
        <w:rPr>
          <w:rtl/>
        </w:rPr>
        <w:t>’’الدولة</w:t>
      </w:r>
      <w:proofErr w:type="gramEnd"/>
      <w:r w:rsidRPr="00CA7A4E">
        <w:rPr>
          <w:rtl/>
        </w:rPr>
        <w:t xml:space="preserve"> فشلت في الوفاء بالتزامها أو</w:t>
      </w:r>
      <w:r w:rsidR="00A03F01">
        <w:rPr>
          <w:rFonts w:hint="cs"/>
          <w:rtl/>
        </w:rPr>
        <w:t> </w:t>
      </w:r>
      <w:r w:rsidRPr="00CA7A4E">
        <w:rPr>
          <w:rtl/>
        </w:rPr>
        <w:t>بواجبها في حماية الحق في الصحة، وهو حق إنساني أساسي‘‘.</w:t>
      </w:r>
      <w:r w:rsidRPr="00CA7A4E">
        <w:rPr>
          <w:rFonts w:hint="cs"/>
          <w:rtl/>
        </w:rPr>
        <w:t xml:space="preserve"> </w:t>
      </w:r>
      <w:r w:rsidRPr="00CA7A4E">
        <w:rPr>
          <w:rtl/>
        </w:rPr>
        <w:t>وذكرت أيض</w:t>
      </w:r>
      <w:r w:rsidR="00A03F01">
        <w:rPr>
          <w:rtl/>
        </w:rPr>
        <w:t xml:space="preserve">اً </w:t>
      </w:r>
      <w:r w:rsidRPr="00CA7A4E">
        <w:rPr>
          <w:rtl/>
        </w:rPr>
        <w:t xml:space="preserve">أن ذلك الوضع </w:t>
      </w:r>
      <w:proofErr w:type="gramStart"/>
      <w:r w:rsidRPr="00CA7A4E">
        <w:rPr>
          <w:rtl/>
        </w:rPr>
        <w:t>’’ينتهك</w:t>
      </w:r>
      <w:proofErr w:type="gramEnd"/>
      <w:r w:rsidRPr="00CA7A4E">
        <w:rPr>
          <w:rtl/>
        </w:rPr>
        <w:t xml:space="preserve"> أيض</w:t>
      </w:r>
      <w:r w:rsidR="00A03F01">
        <w:rPr>
          <w:rtl/>
        </w:rPr>
        <w:t xml:space="preserve">اً </w:t>
      </w:r>
      <w:r w:rsidRPr="00CA7A4E">
        <w:rPr>
          <w:rtl/>
        </w:rPr>
        <w:t xml:space="preserve">الحق الدستوري في </w:t>
      </w:r>
      <w:r>
        <w:rPr>
          <w:rFonts w:hint="cs"/>
          <w:rtl/>
        </w:rPr>
        <w:t xml:space="preserve">تلقي </w:t>
      </w:r>
      <w:r w:rsidRPr="00CA7A4E">
        <w:rPr>
          <w:rtl/>
        </w:rPr>
        <w:t xml:space="preserve">حماية </w:t>
      </w:r>
      <w:r>
        <w:rPr>
          <w:rFonts w:hint="cs"/>
          <w:rtl/>
        </w:rPr>
        <w:t xml:space="preserve">من </w:t>
      </w:r>
      <w:r w:rsidRPr="00CA7A4E">
        <w:rPr>
          <w:rtl/>
        </w:rPr>
        <w:t>الدولة للحق في السلامة الجسدية والنفسية</w:t>
      </w:r>
      <w:r>
        <w:rPr>
          <w:rFonts w:hint="cs"/>
          <w:rtl/>
        </w:rPr>
        <w:t>،</w:t>
      </w:r>
      <w:r w:rsidRPr="00CA7A4E">
        <w:rPr>
          <w:rtl/>
        </w:rPr>
        <w:t xml:space="preserve"> وفي نوعية الحياة</w:t>
      </w:r>
      <w:r>
        <w:rPr>
          <w:rFonts w:hint="cs"/>
          <w:rtl/>
        </w:rPr>
        <w:t>،</w:t>
      </w:r>
      <w:r w:rsidRPr="00CA7A4E">
        <w:rPr>
          <w:rtl/>
        </w:rPr>
        <w:t xml:space="preserve"> وفي العيش في بيئة صحية وسليمة بيئيا</w:t>
      </w:r>
      <w:r w:rsidR="000F4896">
        <w:rPr>
          <w:rFonts w:hint="cs"/>
          <w:rtl/>
        </w:rPr>
        <w:t>ً</w:t>
      </w:r>
      <w:r w:rsidRPr="00CA7A4E">
        <w:rPr>
          <w:rtl/>
        </w:rPr>
        <w:t>".</w:t>
      </w:r>
    </w:p>
    <w:p w:rsidR="000B38BA" w:rsidRPr="00CC4B48" w:rsidRDefault="000B38BA" w:rsidP="000B38BA">
      <w:pPr>
        <w:pStyle w:val="SingleTxtGA"/>
        <w:rPr>
          <w:spacing w:val="-4"/>
          <w:rtl/>
        </w:rPr>
      </w:pPr>
      <w:r w:rsidRPr="00CC4B48">
        <w:rPr>
          <w:spacing w:val="-4"/>
          <w:rtl/>
        </w:rPr>
        <w:t>2-21</w:t>
      </w:r>
      <w:r w:rsidRPr="00CC4B48">
        <w:rPr>
          <w:spacing w:val="-4"/>
          <w:rtl/>
        </w:rPr>
        <w:tab/>
        <w:t xml:space="preserve">وفيما يتعلق بالهيئة الوطنية لجودة وصحة النباتات والبذور، أشارت المحكمة إلى أنه </w:t>
      </w:r>
      <w:proofErr w:type="gramStart"/>
      <w:r w:rsidRPr="00CC4B48">
        <w:rPr>
          <w:spacing w:val="-4"/>
          <w:rtl/>
        </w:rPr>
        <w:t>’’من</w:t>
      </w:r>
      <w:proofErr w:type="gramEnd"/>
      <w:r w:rsidRPr="00CC4B48">
        <w:rPr>
          <w:spacing w:val="-4"/>
          <w:rtl/>
        </w:rPr>
        <w:t xml:space="preserve"> الواضح أنه لم تكن هناك أي رقابة على استخدام منتجات الصحة النباتية الزراعية‘‘، وأنه ’’لم يكن هناك إنفاذ لشروط إقامة المنطقة العازلة‘‘ وأن ’’الهيئة الوطنية لجودة وصحة النباتات والبذور لا تؤدي وظائفها المنصوص عليها في قانونها </w:t>
      </w:r>
      <w:r w:rsidRPr="00CC4B48">
        <w:rPr>
          <w:rFonts w:hint="cs"/>
          <w:spacing w:val="-4"/>
          <w:rtl/>
        </w:rPr>
        <w:t xml:space="preserve">الأساسي </w:t>
      </w:r>
      <w:r w:rsidRPr="00CC4B48">
        <w:rPr>
          <w:spacing w:val="-4"/>
          <w:rtl/>
        </w:rPr>
        <w:t xml:space="preserve">فيما يتعلق بالمنتجين الزراعيين الكبار الذين يبخّرون محاصيلهم بكيماويات زراعية بدون أي رقابة من قبل تلك </w:t>
      </w:r>
      <w:r w:rsidRPr="00CC4B48">
        <w:rPr>
          <w:rFonts w:hint="cs"/>
          <w:spacing w:val="-4"/>
          <w:rtl/>
        </w:rPr>
        <w:t>الهيئة</w:t>
      </w:r>
      <w:r w:rsidRPr="00CC4B48">
        <w:rPr>
          <w:spacing w:val="-4"/>
          <w:rtl/>
        </w:rPr>
        <w:t>، ويلحقون أضرار</w:t>
      </w:r>
      <w:r w:rsidR="00A03F01" w:rsidRPr="00CC4B48">
        <w:rPr>
          <w:spacing w:val="-4"/>
          <w:rtl/>
        </w:rPr>
        <w:t xml:space="preserve">اً </w:t>
      </w:r>
      <w:r w:rsidRPr="00CC4B48">
        <w:rPr>
          <w:spacing w:val="-4"/>
          <w:rtl/>
        </w:rPr>
        <w:t xml:space="preserve">جسيمة بصحة سكان </w:t>
      </w:r>
      <w:proofErr w:type="spellStart"/>
      <w:r w:rsidRPr="00CC4B48">
        <w:rPr>
          <w:spacing w:val="-4"/>
          <w:rtl/>
        </w:rPr>
        <w:t>يروتي</w:t>
      </w:r>
      <w:proofErr w:type="spellEnd"/>
      <w:r w:rsidRPr="00CC4B48">
        <w:rPr>
          <w:spacing w:val="-4"/>
          <w:rtl/>
        </w:rPr>
        <w:t>‘‘.</w:t>
      </w:r>
      <w:r w:rsidRPr="00CC4B48">
        <w:rPr>
          <w:rFonts w:hint="cs"/>
          <w:spacing w:val="-4"/>
          <w:rtl/>
        </w:rPr>
        <w:t xml:space="preserve"> </w:t>
      </w:r>
      <w:r w:rsidRPr="00CC4B48">
        <w:rPr>
          <w:spacing w:val="-4"/>
          <w:rtl/>
        </w:rPr>
        <w:t xml:space="preserve">وأضافت المحكمة المحلية تقول إن </w:t>
      </w:r>
      <w:proofErr w:type="gramStart"/>
      <w:r w:rsidRPr="00CC4B48">
        <w:rPr>
          <w:spacing w:val="-4"/>
          <w:rtl/>
        </w:rPr>
        <w:t>’’الإجراءات</w:t>
      </w:r>
      <w:proofErr w:type="gramEnd"/>
      <w:r w:rsidRPr="00CC4B48">
        <w:rPr>
          <w:spacing w:val="-4"/>
          <w:rtl/>
        </w:rPr>
        <w:t xml:space="preserve"> المذكورة تصبح تعسفية أو غير شرعية عندما يبخّر المنتجون الزراعيون حقولهم الكبيرة بدون إشراف أو</w:t>
      </w:r>
      <w:r w:rsidR="000F4896" w:rsidRPr="00CC4B48">
        <w:rPr>
          <w:rFonts w:hint="cs"/>
          <w:spacing w:val="-4"/>
          <w:rtl/>
        </w:rPr>
        <w:t> </w:t>
      </w:r>
      <w:r w:rsidRPr="00CC4B48">
        <w:rPr>
          <w:spacing w:val="-4"/>
          <w:rtl/>
        </w:rPr>
        <w:t>رعاية أو ضمانات من أي نوع، مما</w:t>
      </w:r>
      <w:r w:rsidR="00CC4B48">
        <w:rPr>
          <w:rFonts w:hint="cs"/>
          <w:spacing w:val="-4"/>
          <w:rtl/>
        </w:rPr>
        <w:t> </w:t>
      </w:r>
      <w:r w:rsidRPr="00CC4B48">
        <w:rPr>
          <w:spacing w:val="-4"/>
          <w:rtl/>
        </w:rPr>
        <w:t>يؤثر بالتالي تأثير</w:t>
      </w:r>
      <w:r w:rsidR="00A03F01" w:rsidRPr="00CC4B48">
        <w:rPr>
          <w:spacing w:val="-4"/>
          <w:rtl/>
        </w:rPr>
        <w:t xml:space="preserve">اً </w:t>
      </w:r>
      <w:r w:rsidRPr="00CC4B48">
        <w:rPr>
          <w:spacing w:val="-4"/>
          <w:rtl/>
        </w:rPr>
        <w:t>مباشر</w:t>
      </w:r>
      <w:r w:rsidR="00A03F01" w:rsidRPr="00CC4B48">
        <w:rPr>
          <w:spacing w:val="-4"/>
          <w:rtl/>
        </w:rPr>
        <w:t xml:space="preserve">اً </w:t>
      </w:r>
      <w:r w:rsidRPr="00CC4B48">
        <w:rPr>
          <w:spacing w:val="-4"/>
          <w:rtl/>
        </w:rPr>
        <w:t>على سكان المناطق المجاورة‘‘.</w:t>
      </w:r>
      <w:r w:rsidRPr="00CC4B48">
        <w:rPr>
          <w:rFonts w:hint="cs"/>
          <w:spacing w:val="-4"/>
          <w:rtl/>
        </w:rPr>
        <w:t xml:space="preserve"> </w:t>
      </w:r>
      <w:r w:rsidRPr="00CC4B48">
        <w:rPr>
          <w:spacing w:val="-4"/>
          <w:rtl/>
        </w:rPr>
        <w:t>وأقرت المحكمة في قرارها بالطابع الملح</w:t>
      </w:r>
      <w:r w:rsidRPr="00CC4B48">
        <w:rPr>
          <w:rFonts w:hint="cs"/>
          <w:spacing w:val="-4"/>
          <w:rtl/>
        </w:rPr>
        <w:t>ّ</w:t>
      </w:r>
      <w:r w:rsidRPr="00CC4B48">
        <w:rPr>
          <w:spacing w:val="-4"/>
          <w:rtl/>
        </w:rPr>
        <w:t xml:space="preserve"> للحالة التي تشكل خطراً كبير</w:t>
      </w:r>
      <w:r w:rsidR="00A03F01" w:rsidRPr="00CC4B48">
        <w:rPr>
          <w:spacing w:val="-4"/>
          <w:rtl/>
        </w:rPr>
        <w:t xml:space="preserve">اً </w:t>
      </w:r>
      <w:r w:rsidRPr="00CC4B48">
        <w:rPr>
          <w:rFonts w:hint="cs"/>
          <w:spacing w:val="-4"/>
          <w:rtl/>
        </w:rPr>
        <w:t>و</w:t>
      </w:r>
      <w:r w:rsidRPr="00CC4B48">
        <w:rPr>
          <w:spacing w:val="-4"/>
          <w:rtl/>
        </w:rPr>
        <w:t>مستمراً على صحة السكان.</w:t>
      </w:r>
      <w:r w:rsidRPr="00CC4B48">
        <w:rPr>
          <w:rFonts w:hint="cs"/>
          <w:spacing w:val="-4"/>
          <w:rtl/>
        </w:rPr>
        <w:t xml:space="preserve"> </w:t>
      </w:r>
      <w:r w:rsidRPr="00CC4B48">
        <w:rPr>
          <w:spacing w:val="-4"/>
          <w:rtl/>
        </w:rPr>
        <w:t>وأشارت المحكمة</w:t>
      </w:r>
      <w:r w:rsidRPr="00CC4B48">
        <w:rPr>
          <w:rFonts w:hint="cs"/>
          <w:spacing w:val="-4"/>
          <w:rtl/>
        </w:rPr>
        <w:t xml:space="preserve"> في الختام</w:t>
      </w:r>
      <w:r w:rsidRPr="00CC4B48">
        <w:rPr>
          <w:spacing w:val="-4"/>
          <w:rtl/>
        </w:rPr>
        <w:t xml:space="preserve"> إلى أنه </w:t>
      </w:r>
      <w:proofErr w:type="gramStart"/>
      <w:r w:rsidRPr="00CC4B48">
        <w:rPr>
          <w:spacing w:val="-4"/>
          <w:rtl/>
        </w:rPr>
        <w:t>’’لا</w:t>
      </w:r>
      <w:proofErr w:type="gramEnd"/>
      <w:r w:rsidR="00CC4B48">
        <w:rPr>
          <w:rFonts w:hint="cs"/>
          <w:spacing w:val="-4"/>
          <w:rtl/>
        </w:rPr>
        <w:t> </w:t>
      </w:r>
      <w:r w:rsidRPr="00CC4B48">
        <w:rPr>
          <w:spacing w:val="-4"/>
          <w:rtl/>
        </w:rPr>
        <w:t>توجد قنوات قانونية منتظمة لطلب الحماية للحق الذي انتُهك، نظر</w:t>
      </w:r>
      <w:r w:rsidR="00A03F01" w:rsidRPr="00CC4B48">
        <w:rPr>
          <w:spacing w:val="-4"/>
          <w:rtl/>
        </w:rPr>
        <w:t xml:space="preserve">اً </w:t>
      </w:r>
      <w:r w:rsidRPr="00CC4B48">
        <w:rPr>
          <w:spacing w:val="-4"/>
          <w:rtl/>
        </w:rPr>
        <w:t>لأن المؤسسات المسؤولة عن سياسات البيئة والصحة النباتية هي نفسها التي قصّرت في إنفاذ تلك السياسات‘‘.</w:t>
      </w:r>
    </w:p>
    <w:p w:rsidR="000B38BA" w:rsidRPr="00CA7A4E" w:rsidRDefault="000B38BA" w:rsidP="000B38BA">
      <w:pPr>
        <w:pStyle w:val="SingleTxtGA"/>
        <w:rPr>
          <w:rtl/>
        </w:rPr>
      </w:pPr>
      <w:r w:rsidRPr="00CA7A4E">
        <w:rPr>
          <w:rtl/>
        </w:rPr>
        <w:t>2-22</w:t>
      </w:r>
      <w:r w:rsidRPr="00CA7A4E">
        <w:rPr>
          <w:rtl/>
        </w:rPr>
        <w:tab/>
        <w:t xml:space="preserve">وبناءً على ذلك، أمرت المحكمة المحلية كلا المؤسستين بتنفيذ المهام المسندة إليهما في التسوية، والمتمثلة في </w:t>
      </w:r>
      <w:proofErr w:type="gramStart"/>
      <w:r w:rsidRPr="00CA7A4E">
        <w:rPr>
          <w:rtl/>
        </w:rPr>
        <w:t>’’التخطيط</w:t>
      </w:r>
      <w:proofErr w:type="gramEnd"/>
      <w:r w:rsidRPr="00CA7A4E">
        <w:rPr>
          <w:rtl/>
        </w:rPr>
        <w:t xml:space="preserve"> والتنفيذ والإشراف على السياسات ذات الصلة، وحماية الموارد البيئية، وضمان إقامة مناطق عازلة أو وقائية تفصل بين المناطق التي تُستخدم فيها منتجات الصحة النباتية الزراعية وبين المستوطنات البشرية</w:t>
      </w:r>
      <w:r w:rsidRPr="00CA7A4E">
        <w:rPr>
          <w:rFonts w:hint="cs"/>
          <w:rtl/>
        </w:rPr>
        <w:t>،</w:t>
      </w:r>
      <w:r w:rsidRPr="00CA7A4E">
        <w:rPr>
          <w:rtl/>
        </w:rPr>
        <w:t xml:space="preserve"> والمدارس</w:t>
      </w:r>
      <w:r w:rsidRPr="00CA7A4E">
        <w:rPr>
          <w:rFonts w:hint="cs"/>
          <w:rtl/>
        </w:rPr>
        <w:t>،</w:t>
      </w:r>
      <w:r w:rsidRPr="00CA7A4E">
        <w:rPr>
          <w:rtl/>
        </w:rPr>
        <w:t xml:space="preserve"> ومرافق الرعاية الصحية</w:t>
      </w:r>
      <w:r w:rsidRPr="00CA7A4E">
        <w:rPr>
          <w:rFonts w:hint="cs"/>
          <w:rtl/>
        </w:rPr>
        <w:t>،</w:t>
      </w:r>
      <w:r w:rsidRPr="00CA7A4E">
        <w:rPr>
          <w:rtl/>
        </w:rPr>
        <w:t xml:space="preserve"> وأماكن العبادة</w:t>
      </w:r>
      <w:r w:rsidRPr="00CA7A4E">
        <w:rPr>
          <w:rFonts w:hint="cs"/>
          <w:rtl/>
        </w:rPr>
        <w:t>،</w:t>
      </w:r>
      <w:r w:rsidRPr="00CA7A4E">
        <w:rPr>
          <w:rtl/>
        </w:rPr>
        <w:t xml:space="preserve"> والأماكن العامة</w:t>
      </w:r>
      <w:r w:rsidRPr="00CA7A4E">
        <w:rPr>
          <w:rFonts w:hint="cs"/>
          <w:rtl/>
        </w:rPr>
        <w:t>،</w:t>
      </w:r>
      <w:r w:rsidRPr="00CA7A4E">
        <w:rPr>
          <w:rtl/>
        </w:rPr>
        <w:t xml:space="preserve"> والمجاري المائية بشكل عام‘‘.</w:t>
      </w:r>
    </w:p>
    <w:p w:rsidR="000B38BA" w:rsidRDefault="000B38BA" w:rsidP="000B38BA">
      <w:pPr>
        <w:pStyle w:val="SingleTxtGA"/>
        <w:rPr>
          <w:rtl/>
        </w:rPr>
      </w:pPr>
      <w:r w:rsidRPr="00CA7A4E">
        <w:rPr>
          <w:rtl/>
        </w:rPr>
        <w:t>2-23</w:t>
      </w:r>
      <w:r w:rsidRPr="00CA7A4E">
        <w:rPr>
          <w:rtl/>
        </w:rPr>
        <w:tab/>
        <w:t xml:space="preserve">ويدعي أصحاب البلاغ أنه لم تُتخذ أي خطوات لتطبيق ذلك القرار، وأنه لم ينفَّذ، وأن التبخير استمر بدون أن تُتخذ أي تدابير لحماية </w:t>
      </w:r>
      <w:r w:rsidRPr="00CA7A4E">
        <w:rPr>
          <w:rFonts w:hint="cs"/>
          <w:rtl/>
        </w:rPr>
        <w:t>البيئة</w:t>
      </w:r>
      <w:r>
        <w:rPr>
          <w:rFonts w:hint="cs"/>
          <w:rtl/>
        </w:rPr>
        <w:t>.</w:t>
      </w:r>
    </w:p>
    <w:p w:rsidR="000B38BA" w:rsidRPr="00611193" w:rsidRDefault="003E0A2E" w:rsidP="003E0A2E">
      <w:pPr>
        <w:pStyle w:val="H23GA"/>
        <w:rPr>
          <w:rtl/>
        </w:rPr>
      </w:pPr>
      <w:r>
        <w:rPr>
          <w:rtl/>
        </w:rPr>
        <w:tab/>
      </w:r>
      <w:r>
        <w:rPr>
          <w:rtl/>
        </w:rPr>
        <w:tab/>
      </w:r>
      <w:r w:rsidR="000B38BA" w:rsidRPr="00611193">
        <w:rPr>
          <w:rtl/>
        </w:rPr>
        <w:t>الشكوى</w:t>
      </w:r>
    </w:p>
    <w:p w:rsidR="000B38BA" w:rsidRPr="00CA7A4E" w:rsidRDefault="000B38BA" w:rsidP="000B38BA">
      <w:pPr>
        <w:pStyle w:val="SingleTxtGA"/>
        <w:spacing w:line="370" w:lineRule="exact"/>
        <w:rPr>
          <w:rtl/>
        </w:rPr>
      </w:pPr>
      <w:r w:rsidRPr="00CA7A4E">
        <w:rPr>
          <w:rtl/>
        </w:rPr>
        <w:t>3-1</w:t>
      </w:r>
      <w:r w:rsidRPr="00CA7A4E">
        <w:rPr>
          <w:rtl/>
        </w:rPr>
        <w:tab/>
        <w:t>يدعي أصحاب البلاغ أن الدولة الطرف أخفقت في الوفاء بواجبها في توفير الحماية لأنها لم تمارس العناية الواجبة وسمحت بالرش الكثيف بالكيماويات الزراعية السامة في المزارع الصناعية المجاورة لمنازلهم، في انتهاك للقانون.</w:t>
      </w:r>
      <w:r w:rsidRPr="00CA7A4E">
        <w:rPr>
          <w:rFonts w:hint="cs"/>
          <w:rtl/>
        </w:rPr>
        <w:t xml:space="preserve"> </w:t>
      </w:r>
      <w:r w:rsidRPr="00CA7A4E">
        <w:rPr>
          <w:rtl/>
        </w:rPr>
        <w:t>وهم يزعمون أن تلك الانتهاكات يرتكبها موظفون عموميون أثناء ممارستهم لوظائفهم.</w:t>
      </w:r>
      <w:r w:rsidRPr="00CA7A4E">
        <w:rPr>
          <w:rFonts w:hint="cs"/>
          <w:rtl/>
        </w:rPr>
        <w:t xml:space="preserve"> </w:t>
      </w:r>
      <w:r w:rsidRPr="00CA7A4E">
        <w:rPr>
          <w:rtl/>
        </w:rPr>
        <w:t xml:space="preserve">ونتيجة لذلك، توفي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بعد أن ظهرت لديه أعراض التسمم بالكيمياويات الزراعية، وعانى أصحاب البلاغ من مشاكل صحية خطيرة.</w:t>
      </w:r>
    </w:p>
    <w:p w:rsidR="000B38BA" w:rsidRPr="00CA7A4E" w:rsidRDefault="000B38BA" w:rsidP="006B0560">
      <w:pPr>
        <w:pStyle w:val="SingleTxtGA"/>
        <w:spacing w:line="360" w:lineRule="exact"/>
        <w:rPr>
          <w:rtl/>
        </w:rPr>
      </w:pPr>
      <w:r w:rsidRPr="00CA7A4E">
        <w:rPr>
          <w:rFonts w:hint="cs"/>
          <w:rtl/>
        </w:rPr>
        <w:lastRenderedPageBreak/>
        <w:t>3</w:t>
      </w:r>
      <w:r w:rsidRPr="00CA7A4E">
        <w:rPr>
          <w:rtl/>
        </w:rPr>
        <w:t>-2</w:t>
      </w:r>
      <w:r w:rsidRPr="00CA7A4E">
        <w:rPr>
          <w:rtl/>
        </w:rPr>
        <w:tab/>
        <w:t xml:space="preserve">ويدعي أصحاب البلاغ أن هذه القضية مثال على حالات أخرى سبق أن لاحظتها هيئات </w:t>
      </w:r>
      <w:proofErr w:type="spellStart"/>
      <w:r w:rsidRPr="00CA7A4E">
        <w:rPr>
          <w:rFonts w:hint="cs"/>
          <w:rtl/>
        </w:rPr>
        <w:t>تعاهدي</w:t>
      </w:r>
      <w:r>
        <w:rPr>
          <w:rFonts w:hint="cs"/>
          <w:rtl/>
        </w:rPr>
        <w:t>ة</w:t>
      </w:r>
      <w:proofErr w:type="spellEnd"/>
      <w:r w:rsidRPr="00CA7A4E">
        <w:rPr>
          <w:rtl/>
        </w:rPr>
        <w:t xml:space="preserve"> وآليات غير </w:t>
      </w:r>
      <w:proofErr w:type="spellStart"/>
      <w:r w:rsidRPr="00CA7A4E">
        <w:rPr>
          <w:rtl/>
        </w:rPr>
        <w:t>تعاهدية</w:t>
      </w:r>
      <w:proofErr w:type="spellEnd"/>
      <w:r w:rsidRPr="00CA7A4E">
        <w:rPr>
          <w:rtl/>
        </w:rPr>
        <w:t xml:space="preserve"> تابعة للأمم المتحدة.</w:t>
      </w:r>
      <w:r w:rsidRPr="00CA7A4E">
        <w:rPr>
          <w:rFonts w:hint="cs"/>
          <w:rtl/>
        </w:rPr>
        <w:t xml:space="preserve"> </w:t>
      </w:r>
      <w:r w:rsidRPr="00CA7A4E">
        <w:rPr>
          <w:rtl/>
        </w:rPr>
        <w:t>وأشارت اللجنة المعنية بالحقوق الاقتصادية والاجتماعية والثقافية إلى</w:t>
      </w:r>
      <w:r w:rsidRPr="00CA7A4E">
        <w:rPr>
          <w:rFonts w:hint="cs"/>
          <w:rtl/>
        </w:rPr>
        <w:t xml:space="preserve"> </w:t>
      </w:r>
      <w:proofErr w:type="gramStart"/>
      <w:r w:rsidRPr="00CA7A4E">
        <w:rPr>
          <w:rtl/>
        </w:rPr>
        <w:t>’’أن</w:t>
      </w:r>
      <w:proofErr w:type="gramEnd"/>
      <w:r w:rsidRPr="00CA7A4E">
        <w:rPr>
          <w:rtl/>
        </w:rPr>
        <w:t xml:space="preserve"> التوسع في زراعة فول الصويا قد عزّز الاستخدام العشوائي للكيماويات الزراعية</w:t>
      </w:r>
      <w:r w:rsidR="0069070B">
        <w:rPr>
          <w:rtl/>
        </w:rPr>
        <w:t xml:space="preserve"> </w:t>
      </w:r>
      <w:r w:rsidRPr="00CA7A4E">
        <w:rPr>
          <w:rtl/>
        </w:rPr>
        <w:t>السامة، الأمر الذي أدّى إلى حدوث وفيات وأمراض‘‘</w:t>
      </w:r>
      <w:r w:rsidR="0069070B">
        <w:rPr>
          <w:rtl/>
        </w:rPr>
        <w:t xml:space="preserve"> </w:t>
      </w:r>
      <w:r w:rsidRPr="00CA7A4E">
        <w:rPr>
          <w:rtl/>
        </w:rPr>
        <w:t>وحثت الدولة الطرف على ’’اعتماد تدابير عاجلة كي تضمن عدم تسبب زراعة فول الصويا في تقويض قدرة السكان على ممارسة حقوقهم التي يعترف بها العهد‘‘</w:t>
      </w:r>
      <w:r w:rsidRPr="00CA7A4E">
        <w:rPr>
          <w:rStyle w:val="FootnoteReference"/>
          <w:rtl/>
        </w:rPr>
        <w:footnoteReference w:customMarkFollows="1" w:id="16"/>
        <w:t>(14)</w:t>
      </w:r>
      <w:r w:rsidRPr="00CA7A4E">
        <w:rPr>
          <w:rtl/>
        </w:rPr>
        <w:t>.</w:t>
      </w:r>
      <w:r w:rsidRPr="00CA7A4E">
        <w:rPr>
          <w:rFonts w:hint="cs"/>
          <w:rtl/>
        </w:rPr>
        <w:t xml:space="preserve"> </w:t>
      </w:r>
      <w:r w:rsidRPr="00CA7A4E">
        <w:rPr>
          <w:rtl/>
        </w:rPr>
        <w:t>وأعربت اللجنة المعنية بالقضاء على التمييز ضد المرأة عن قلقها من أن تُلحق إساءة استخدام الكيماويات الزراعية السامة ضرر</w:t>
      </w:r>
      <w:r w:rsidR="00A03F01">
        <w:rPr>
          <w:rtl/>
        </w:rPr>
        <w:t xml:space="preserve">اً </w:t>
      </w:r>
      <w:r w:rsidRPr="00CA7A4E">
        <w:rPr>
          <w:rtl/>
        </w:rPr>
        <w:t xml:space="preserve">بصحة المرأة الريفية، وطلبت إلى الدولة الطرف إجراء دراسة شاملة عن الأسباب السلبية المحتملة لإساءة استخدام الكيماويات الزراعية السامة في الزراعة </w:t>
      </w:r>
      <w:proofErr w:type="gramStart"/>
      <w:r w:rsidRPr="00CA7A4E">
        <w:rPr>
          <w:rtl/>
        </w:rPr>
        <w:t>’’بغية</w:t>
      </w:r>
      <w:proofErr w:type="gramEnd"/>
      <w:r w:rsidRPr="00CA7A4E">
        <w:rPr>
          <w:rtl/>
        </w:rPr>
        <w:t xml:space="preserve"> تنفيذ التدابير اللازمة للقضاء على تأثيرها على صحة المرأة وأطفالها‘‘</w:t>
      </w:r>
      <w:r w:rsidRPr="00CA7A4E">
        <w:rPr>
          <w:rStyle w:val="FootnoteReference"/>
          <w:rtl/>
        </w:rPr>
        <w:footnoteReference w:customMarkFollows="1" w:id="17"/>
        <w:t>(15)</w:t>
      </w:r>
      <w:r w:rsidRPr="00CA7A4E">
        <w:rPr>
          <w:rtl/>
        </w:rPr>
        <w:t>.</w:t>
      </w:r>
      <w:r w:rsidRPr="00CA7A4E">
        <w:rPr>
          <w:rFonts w:hint="cs"/>
          <w:rtl/>
        </w:rPr>
        <w:t xml:space="preserve"> </w:t>
      </w:r>
      <w:r w:rsidRPr="00CA7A4E">
        <w:rPr>
          <w:rtl/>
        </w:rPr>
        <w:t xml:space="preserve">وأعربت لجنة حقوق الطفل عن قلقها إزاء </w:t>
      </w:r>
      <w:proofErr w:type="gramStart"/>
      <w:r w:rsidRPr="00CA7A4E">
        <w:rPr>
          <w:rtl/>
        </w:rPr>
        <w:t>’’الآثار</w:t>
      </w:r>
      <w:proofErr w:type="gramEnd"/>
      <w:r w:rsidRPr="00CA7A4E">
        <w:rPr>
          <w:rtl/>
        </w:rPr>
        <w:t xml:space="preserve"> السلبية لتبخير المحاصيل الزراعية بمواد سامة على الأسر الزراعية‘‘، وأوصت الدولة الطرف بتنفيذ جميع التدابير اللازمة ’’للتصدي للآثار الشديدة الضرر التي يُحدثها تبخير المحاصيل الزراعية بمواد سامة في المجتمعات الريفية‘‘</w:t>
      </w:r>
      <w:r w:rsidRPr="00CA7A4E">
        <w:rPr>
          <w:rStyle w:val="FootnoteReference"/>
          <w:rtl/>
        </w:rPr>
        <w:footnoteReference w:customMarkFollows="1" w:id="18"/>
        <w:t>(16)</w:t>
      </w:r>
      <w:r w:rsidRPr="00CA7A4E">
        <w:rPr>
          <w:rtl/>
        </w:rPr>
        <w:t>.</w:t>
      </w:r>
      <w:r w:rsidRPr="00CA7A4E">
        <w:rPr>
          <w:rFonts w:hint="cs"/>
          <w:rtl/>
        </w:rPr>
        <w:t xml:space="preserve"> </w:t>
      </w:r>
      <w:r w:rsidRPr="00CA7A4E">
        <w:rPr>
          <w:rtl/>
        </w:rPr>
        <w:t xml:space="preserve">وأشارت المقررة الخاصة المعنية بمسألة الفقر المدقع وحقوق الإنسان، أثناء بعثتها إلى باراغواي، إلى أن التوسع في زراعة فول الصويا، كمحصول وحيد، وإساءة استخدام الكيماويات الزراعية يهدد بشدة صحة مجتمعات الشعوب الأصلية والمجتمعات المحلية وأن الدولة لم تتخذ أي إجراء على الإطلاق لحماية حق المتضررين في الصحة، مما يعرض حياة الأشخاص الذين تحيط مزارع فول الصويا بمنازلهم للخطر، ولا سيما في </w:t>
      </w:r>
      <w:proofErr w:type="spellStart"/>
      <w:r w:rsidRPr="00CA7A4E">
        <w:rPr>
          <w:rtl/>
        </w:rPr>
        <w:t>كانينديو</w:t>
      </w:r>
      <w:proofErr w:type="spellEnd"/>
      <w:r w:rsidRPr="00CA7A4E">
        <w:rPr>
          <w:rStyle w:val="FootnoteReference"/>
          <w:rtl/>
        </w:rPr>
        <w:footnoteReference w:customMarkFollows="1" w:id="19"/>
        <w:t>(17)</w:t>
      </w:r>
      <w:r w:rsidRPr="00CA7A4E">
        <w:rPr>
          <w:rtl/>
        </w:rPr>
        <w:t>.</w:t>
      </w:r>
      <w:r w:rsidRPr="00CA7A4E">
        <w:rPr>
          <w:rFonts w:hint="cs"/>
          <w:rtl/>
        </w:rPr>
        <w:t xml:space="preserve"> </w:t>
      </w:r>
    </w:p>
    <w:p w:rsidR="000B38BA" w:rsidRPr="006B0560" w:rsidRDefault="000B38BA" w:rsidP="006B0560">
      <w:pPr>
        <w:pStyle w:val="SingleTxtGA"/>
        <w:spacing w:line="360" w:lineRule="exact"/>
        <w:rPr>
          <w:spacing w:val="-2"/>
          <w:rtl/>
        </w:rPr>
      </w:pPr>
      <w:r w:rsidRPr="006B0560">
        <w:rPr>
          <w:spacing w:val="-2"/>
          <w:rtl/>
        </w:rPr>
        <w:t>3-3</w:t>
      </w:r>
      <w:r w:rsidRPr="006B0560">
        <w:rPr>
          <w:spacing w:val="-2"/>
          <w:rtl/>
        </w:rPr>
        <w:tab/>
        <w:t xml:space="preserve">ويؤكد أصحاب البلاغ أنهم معفون من شرط استنفاد سبل الانتصاف المحلية لأن الوكالات الحكومية التي ثبت أنها مسؤولة لم تمتثل لتعليمات المحكمة عملاً بأمرها المتعلق </w:t>
      </w:r>
      <w:r w:rsidRPr="006B0560">
        <w:rPr>
          <w:rFonts w:hint="cs"/>
          <w:spacing w:val="-2"/>
          <w:rtl/>
        </w:rPr>
        <w:t>ب</w:t>
      </w:r>
      <w:r w:rsidRPr="006B0560">
        <w:rPr>
          <w:spacing w:val="-2"/>
          <w:rtl/>
        </w:rPr>
        <w:t>الحماية القضائية.</w:t>
      </w:r>
      <w:r w:rsidRPr="006B0560">
        <w:rPr>
          <w:rFonts w:hint="cs"/>
          <w:spacing w:val="-2"/>
          <w:rtl/>
        </w:rPr>
        <w:t xml:space="preserve"> </w:t>
      </w:r>
      <w:r w:rsidRPr="006B0560">
        <w:rPr>
          <w:spacing w:val="-2"/>
          <w:rtl/>
        </w:rPr>
        <w:t>وبالإضافة إلى ذلك، فُتح التحقيق الجنائي منذ 12 كانون الثاني/يناير 2011 ومُدد لفترة غير معقولة، حيث استغرق الأمر عامين لتحديد موعد الجلسة ال</w:t>
      </w:r>
      <w:r w:rsidRPr="006B0560">
        <w:rPr>
          <w:rFonts w:hint="cs"/>
          <w:spacing w:val="-2"/>
          <w:rtl/>
        </w:rPr>
        <w:t>أولية</w:t>
      </w:r>
      <w:r w:rsidRPr="006B0560">
        <w:rPr>
          <w:spacing w:val="-2"/>
          <w:rtl/>
        </w:rPr>
        <w:t>، في انتهاك لقوانين الإجراءات الجنائية التي تقضي بتعيين موعد لعقد جلسة استماع في غضون 20 يوم</w:t>
      </w:r>
      <w:r w:rsidR="00A03F01" w:rsidRPr="006B0560">
        <w:rPr>
          <w:spacing w:val="-2"/>
          <w:rtl/>
        </w:rPr>
        <w:t xml:space="preserve">اً. </w:t>
      </w:r>
      <w:r w:rsidRPr="006B0560">
        <w:rPr>
          <w:spacing w:val="-2"/>
          <w:rtl/>
        </w:rPr>
        <w:t>ثم أوقفت الإجراءات من أجل إعطاء النيابة العامة وق</w:t>
      </w:r>
      <w:r w:rsidR="00A03F01" w:rsidRPr="006B0560">
        <w:rPr>
          <w:rFonts w:hint="cs"/>
          <w:spacing w:val="-2"/>
          <w:rtl/>
        </w:rPr>
        <w:t>ت</w:t>
      </w:r>
      <w:r w:rsidR="00A03F01" w:rsidRPr="006B0560">
        <w:rPr>
          <w:spacing w:val="-2"/>
          <w:rtl/>
        </w:rPr>
        <w:t xml:space="preserve">اً </w:t>
      </w:r>
      <w:r w:rsidRPr="006B0560">
        <w:rPr>
          <w:spacing w:val="-2"/>
          <w:rtl/>
        </w:rPr>
        <w:t>إضافي</w:t>
      </w:r>
      <w:r w:rsidR="00A03F01" w:rsidRPr="006B0560">
        <w:rPr>
          <w:spacing w:val="-2"/>
          <w:rtl/>
        </w:rPr>
        <w:t xml:space="preserve">اً </w:t>
      </w:r>
      <w:r w:rsidRPr="006B0560">
        <w:rPr>
          <w:spacing w:val="-2"/>
          <w:rtl/>
        </w:rPr>
        <w:t>لجمع الأدلة التي لم تُجمع أثناء التحقيق.</w:t>
      </w:r>
      <w:r w:rsidRPr="006B0560">
        <w:rPr>
          <w:rFonts w:hint="cs"/>
          <w:spacing w:val="-2"/>
          <w:rtl/>
        </w:rPr>
        <w:t xml:space="preserve"> </w:t>
      </w:r>
      <w:r w:rsidRPr="006B0560">
        <w:rPr>
          <w:spacing w:val="-2"/>
          <w:rtl/>
        </w:rPr>
        <w:t>وإلى حد تاريخ تقديم البلاغ، لم تُجمع الأدلة ولا يزال التحقيق متوقف</w:t>
      </w:r>
      <w:r w:rsidR="00A03F01" w:rsidRPr="006B0560">
        <w:rPr>
          <w:spacing w:val="-2"/>
          <w:rtl/>
        </w:rPr>
        <w:t xml:space="preserve">اً. </w:t>
      </w:r>
      <w:r w:rsidRPr="006B0560">
        <w:rPr>
          <w:spacing w:val="-2"/>
          <w:rtl/>
        </w:rPr>
        <w:t>ويستشهد أصحاب البلاغ بآراء اللجنة التي اعتبرت فيها أن مرور خمس سنوات بدون قيام السلطات بتقديم الجناة المشتبه بهم للمحاكمة يشكل تأخير</w:t>
      </w:r>
      <w:r w:rsidR="00A03F01" w:rsidRPr="006B0560">
        <w:rPr>
          <w:spacing w:val="-2"/>
          <w:rtl/>
        </w:rPr>
        <w:t xml:space="preserve">اً </w:t>
      </w:r>
      <w:r w:rsidRPr="006B0560">
        <w:rPr>
          <w:spacing w:val="-2"/>
          <w:rtl/>
        </w:rPr>
        <w:t>غير مبرر</w:t>
      </w:r>
      <w:r w:rsidRPr="006B0560">
        <w:rPr>
          <w:rStyle w:val="FootnoteReference"/>
          <w:spacing w:val="-2"/>
          <w:rtl/>
        </w:rPr>
        <w:footnoteReference w:customMarkFollows="1" w:id="20"/>
        <w:t>(18)</w:t>
      </w:r>
      <w:r w:rsidRPr="006B0560">
        <w:rPr>
          <w:spacing w:val="-2"/>
          <w:rtl/>
        </w:rPr>
        <w:t>، ووجدت فيها أنه، مع مرور خمس سنوات بدون تقديم السلطات تاريخ</w:t>
      </w:r>
      <w:r w:rsidR="00A03F01" w:rsidRPr="006B0560">
        <w:rPr>
          <w:spacing w:val="-2"/>
          <w:rtl/>
        </w:rPr>
        <w:t xml:space="preserve">اً </w:t>
      </w:r>
      <w:r w:rsidRPr="006B0560">
        <w:rPr>
          <w:spacing w:val="-2"/>
          <w:rtl/>
        </w:rPr>
        <w:t>ممكن</w:t>
      </w:r>
      <w:r w:rsidR="00A03F01" w:rsidRPr="006B0560">
        <w:rPr>
          <w:spacing w:val="-2"/>
          <w:rtl/>
        </w:rPr>
        <w:t xml:space="preserve">اً </w:t>
      </w:r>
      <w:r w:rsidRPr="006B0560">
        <w:rPr>
          <w:spacing w:val="-2"/>
          <w:rtl/>
        </w:rPr>
        <w:t>لإتمام التحقيق، يكون أمد سبل الانتصاف المحلية قد طال</w:t>
      </w:r>
      <w:r w:rsidR="00A03F01" w:rsidRPr="006B0560">
        <w:rPr>
          <w:rFonts w:hint="cs"/>
          <w:spacing w:val="-2"/>
          <w:rtl/>
        </w:rPr>
        <w:t> </w:t>
      </w:r>
      <w:r w:rsidRPr="006B0560">
        <w:rPr>
          <w:spacing w:val="-2"/>
          <w:rtl/>
        </w:rPr>
        <w:t>بشكل غير معقول</w:t>
      </w:r>
      <w:r w:rsidRPr="006B0560">
        <w:rPr>
          <w:rStyle w:val="FootnoteReference"/>
          <w:spacing w:val="-2"/>
          <w:rtl/>
        </w:rPr>
        <w:footnoteReference w:customMarkFollows="1" w:id="21"/>
        <w:t>(19)</w:t>
      </w:r>
      <w:r w:rsidRPr="006B0560">
        <w:rPr>
          <w:spacing w:val="-2"/>
          <w:rtl/>
        </w:rPr>
        <w:t>.</w:t>
      </w:r>
      <w:r w:rsidRPr="006B0560">
        <w:rPr>
          <w:rFonts w:hint="cs"/>
          <w:spacing w:val="-2"/>
          <w:rtl/>
        </w:rPr>
        <w:t xml:space="preserve"> </w:t>
      </w:r>
      <w:r w:rsidRPr="006B0560">
        <w:rPr>
          <w:spacing w:val="-2"/>
          <w:rtl/>
        </w:rPr>
        <w:t>وذكر أصحاب البلاغ أيض</w:t>
      </w:r>
      <w:r w:rsidR="00A03F01" w:rsidRPr="006B0560">
        <w:rPr>
          <w:spacing w:val="-2"/>
          <w:rtl/>
        </w:rPr>
        <w:t xml:space="preserve">اً </w:t>
      </w:r>
      <w:r w:rsidRPr="006B0560">
        <w:rPr>
          <w:spacing w:val="-2"/>
          <w:rtl/>
        </w:rPr>
        <w:t xml:space="preserve">قضية وجدت فيها اللجنة أنه لا يوجد ما يمنعها من النظر في بلاغ بعد أن </w:t>
      </w:r>
      <w:r w:rsidRPr="006B0560">
        <w:rPr>
          <w:rFonts w:hint="cs"/>
          <w:spacing w:val="-2"/>
          <w:rtl/>
        </w:rPr>
        <w:t>تأخر البت في قضية أكثر من ثلاث سنوات على مستوى المحكمة الابتدائية</w:t>
      </w:r>
      <w:r w:rsidRPr="006B0560">
        <w:rPr>
          <w:rStyle w:val="FootnoteReference"/>
          <w:spacing w:val="-2"/>
          <w:rtl/>
        </w:rPr>
        <w:footnoteReference w:customMarkFollows="1" w:id="22"/>
        <w:t>(20)</w:t>
      </w:r>
      <w:r w:rsidRPr="006B0560">
        <w:rPr>
          <w:spacing w:val="-2"/>
          <w:rtl/>
        </w:rPr>
        <w:t>.</w:t>
      </w:r>
    </w:p>
    <w:p w:rsidR="000B38BA" w:rsidRPr="00CA7A4E" w:rsidRDefault="000B38BA" w:rsidP="006B0560">
      <w:pPr>
        <w:pStyle w:val="SingleTxtGA"/>
        <w:spacing w:line="360" w:lineRule="exact"/>
        <w:rPr>
          <w:rtl/>
        </w:rPr>
      </w:pPr>
      <w:r w:rsidRPr="00CA7A4E">
        <w:rPr>
          <w:rtl/>
        </w:rPr>
        <w:t>3-4</w:t>
      </w:r>
      <w:r w:rsidRPr="00CA7A4E">
        <w:rPr>
          <w:rtl/>
        </w:rPr>
        <w:tab/>
        <w:t>ويد</w:t>
      </w:r>
      <w:r>
        <w:rPr>
          <w:rFonts w:hint="cs"/>
          <w:rtl/>
        </w:rPr>
        <w:t>ّ</w:t>
      </w:r>
      <w:r w:rsidRPr="00CA7A4E">
        <w:rPr>
          <w:rtl/>
        </w:rPr>
        <w:t>عي أصحاب البلاغ أن الأحداث في هذه القضية تمثل انتهاك</w:t>
      </w:r>
      <w:r w:rsidR="00A03F01">
        <w:rPr>
          <w:rtl/>
        </w:rPr>
        <w:t xml:space="preserve">اً </w:t>
      </w:r>
      <w:r w:rsidRPr="00CA7A4E">
        <w:rPr>
          <w:rtl/>
        </w:rPr>
        <w:t>للمواد 6 و7 و17 من العهد، مقروءة بمفردها وبالاقتران مع المادة 2(3).</w:t>
      </w:r>
    </w:p>
    <w:p w:rsidR="000B38BA" w:rsidRPr="00CA7A4E" w:rsidRDefault="000B38BA" w:rsidP="000B38BA">
      <w:pPr>
        <w:pStyle w:val="SingleTxtGA"/>
        <w:spacing w:line="370" w:lineRule="exact"/>
        <w:rPr>
          <w:rtl/>
        </w:rPr>
      </w:pPr>
      <w:r w:rsidRPr="00CA7A4E">
        <w:rPr>
          <w:rtl/>
        </w:rPr>
        <w:lastRenderedPageBreak/>
        <w:t>3-5</w:t>
      </w:r>
      <w:r w:rsidRPr="00CA7A4E">
        <w:rPr>
          <w:rtl/>
        </w:rPr>
        <w:tab/>
        <w:t xml:space="preserve">وفيما يتعلق بانتهاك الحق في الحياة والسلامة البدنية، يؤكد أصحاب البلاغ أنهم مرضوا وأن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توفي بسبب رش المحاصيل بدون أي إشراف من الدولة.</w:t>
      </w:r>
      <w:r w:rsidRPr="00CA7A4E">
        <w:rPr>
          <w:rFonts w:hint="cs"/>
          <w:rtl/>
        </w:rPr>
        <w:t xml:space="preserve"> </w:t>
      </w:r>
      <w:r w:rsidRPr="00CA7A4E">
        <w:rPr>
          <w:rtl/>
        </w:rPr>
        <w:t>و</w:t>
      </w:r>
      <w:r w:rsidRPr="00CA7A4E">
        <w:rPr>
          <w:rFonts w:hint="cs"/>
          <w:rtl/>
        </w:rPr>
        <w:t xml:space="preserve">هم يضيفون </w:t>
      </w:r>
      <w:r w:rsidRPr="00CA7A4E">
        <w:rPr>
          <w:rtl/>
        </w:rPr>
        <w:t xml:space="preserve">أن الدولة الطرف لم تفِ بواجبها في حماية حياتهم وسلامتهم الجسدية بسبب عدم </w:t>
      </w:r>
      <w:r w:rsidRPr="006B0560">
        <w:rPr>
          <w:spacing w:val="-2"/>
          <w:rtl/>
        </w:rPr>
        <w:t>حرصها على تطبيق المعايير والقوانين البيئية.</w:t>
      </w:r>
      <w:r w:rsidRPr="006B0560">
        <w:rPr>
          <w:rFonts w:hint="cs"/>
          <w:spacing w:val="-2"/>
          <w:rtl/>
        </w:rPr>
        <w:t xml:space="preserve"> </w:t>
      </w:r>
      <w:r w:rsidRPr="006B0560">
        <w:rPr>
          <w:spacing w:val="-2"/>
          <w:rtl/>
        </w:rPr>
        <w:t>ويدعي أصحاب البلاغ أيض</w:t>
      </w:r>
      <w:r w:rsidR="00A03F01" w:rsidRPr="006B0560">
        <w:rPr>
          <w:spacing w:val="-2"/>
          <w:rtl/>
        </w:rPr>
        <w:t xml:space="preserve">اً </w:t>
      </w:r>
      <w:r w:rsidRPr="006B0560">
        <w:rPr>
          <w:spacing w:val="-2"/>
          <w:rtl/>
        </w:rPr>
        <w:t xml:space="preserve">أن حقهم في الحياة </w:t>
      </w:r>
      <w:r w:rsidRPr="006B0560">
        <w:rPr>
          <w:rFonts w:hint="cs"/>
          <w:spacing w:val="-2"/>
          <w:rtl/>
        </w:rPr>
        <w:t>بكرامة</w:t>
      </w:r>
      <w:r w:rsidRPr="006B0560">
        <w:rPr>
          <w:spacing w:val="-2"/>
          <w:rtl/>
        </w:rPr>
        <w:t xml:space="preserve"> قد </w:t>
      </w:r>
      <w:r w:rsidRPr="006B0560">
        <w:rPr>
          <w:rFonts w:hint="cs"/>
          <w:spacing w:val="-2"/>
          <w:rtl/>
        </w:rPr>
        <w:t>ا</w:t>
      </w:r>
      <w:r w:rsidRPr="006B0560">
        <w:rPr>
          <w:spacing w:val="-2"/>
          <w:rtl/>
        </w:rPr>
        <w:t>نتُهك بسبب الظروف التي يعيشون فيها، لأنهم محاطون بتغبير غير منضبط للمحاصيل أضر بحياتهم اليومية وتسبب في تسممهم، ولوث المجاري المائية التي يصطادون فيها ومياه الآبار التي يشربونها، ودمر المحاصيل التي يستخدمونها في الغذاء، وتسبب في نفوق حيوانات مزارعهم.</w:t>
      </w:r>
    </w:p>
    <w:p w:rsidR="000B38BA" w:rsidRPr="00CA7A4E" w:rsidRDefault="000B38BA" w:rsidP="000B38BA">
      <w:pPr>
        <w:pStyle w:val="SingleTxtGA"/>
        <w:spacing w:line="370" w:lineRule="exact"/>
        <w:rPr>
          <w:rtl/>
        </w:rPr>
      </w:pPr>
      <w:r w:rsidRPr="00CA7A4E">
        <w:rPr>
          <w:rtl/>
        </w:rPr>
        <w:t>3-6</w:t>
      </w:r>
      <w:r w:rsidRPr="00CA7A4E">
        <w:rPr>
          <w:rtl/>
        </w:rPr>
        <w:tab/>
        <w:t>ويؤكد أصحاب البلاغ أن الحق المعترف به بموجب المادة 17 من العهد قد انت</w:t>
      </w:r>
      <w:r w:rsidRPr="00CA7A4E">
        <w:rPr>
          <w:rFonts w:hint="cs"/>
          <w:rtl/>
        </w:rPr>
        <w:t>ُ</w:t>
      </w:r>
      <w:r w:rsidRPr="00CA7A4E">
        <w:rPr>
          <w:rtl/>
        </w:rPr>
        <w:t>هك نتيجة للتلوث البيئي الذي أحدثته المزارع الصناعية المتاخمة لأراضيهم، ولعدم اتخاذ الدولة الطرف أي إجراء على الإطلاق للتصدي له.</w:t>
      </w:r>
      <w:r w:rsidRPr="00CA7A4E">
        <w:rPr>
          <w:rFonts w:hint="cs"/>
          <w:rtl/>
        </w:rPr>
        <w:t xml:space="preserve"> </w:t>
      </w:r>
      <w:r w:rsidRPr="00CA7A4E">
        <w:rPr>
          <w:rtl/>
        </w:rPr>
        <w:t xml:space="preserve">وهم يقولون إنه ينبغي تفسير الفقرة 8 من التعليق العام رقم 31(2004)، بشأن طبيعة الالتزام القانوني العام المفروض على الدول الأطراف في العهد، بمعنى أن مجال الحماية المنصوص عليه في المادة 17 يشمل حماية </w:t>
      </w:r>
      <w:r w:rsidRPr="00CA7A4E">
        <w:rPr>
          <w:rFonts w:hint="cs"/>
          <w:rtl/>
        </w:rPr>
        <w:t xml:space="preserve">البيت </w:t>
      </w:r>
      <w:r w:rsidRPr="00CA7A4E">
        <w:rPr>
          <w:rtl/>
        </w:rPr>
        <w:t>والحياة الخاصة من التلوث البيئي الذي تحدثه أفعال أطراف ثالثة عندما تشكل تلك الأفعال تدخلاً تعسفي</w:t>
      </w:r>
      <w:r w:rsidR="00A03F01">
        <w:rPr>
          <w:rtl/>
        </w:rPr>
        <w:t xml:space="preserve">اً </w:t>
      </w:r>
      <w:r w:rsidRPr="00CA7A4E">
        <w:rPr>
          <w:rtl/>
        </w:rPr>
        <w:t xml:space="preserve">أو غير قانوني في خصوصيتهم أو </w:t>
      </w:r>
      <w:r>
        <w:rPr>
          <w:rFonts w:hint="cs"/>
          <w:rtl/>
        </w:rPr>
        <w:t xml:space="preserve">شؤونهم </w:t>
      </w:r>
      <w:r w:rsidRPr="00CA7A4E">
        <w:rPr>
          <w:rtl/>
        </w:rPr>
        <w:t>الأسرية.</w:t>
      </w:r>
      <w:r w:rsidRPr="00CA7A4E">
        <w:rPr>
          <w:rFonts w:hint="cs"/>
          <w:rtl/>
        </w:rPr>
        <w:t xml:space="preserve"> </w:t>
      </w:r>
      <w:r w:rsidRPr="00CA7A4E">
        <w:rPr>
          <w:rtl/>
        </w:rPr>
        <w:t>ولذلك يطالب أصحاب البلاغ الدولة بالاعتراف بمسؤوليتها الناتجة عن عدم إنفاذها للقوانين التي تنظم أنشطة زراعية قامت بها أطراف ثالثة وتسبب</w:t>
      </w:r>
      <w:r w:rsidRPr="00CA7A4E">
        <w:rPr>
          <w:rFonts w:hint="cs"/>
          <w:rtl/>
        </w:rPr>
        <w:t>ت</w:t>
      </w:r>
      <w:r w:rsidRPr="00CA7A4E">
        <w:rPr>
          <w:rtl/>
        </w:rPr>
        <w:t xml:space="preserve"> في تلوث أضر</w:t>
      </w:r>
      <w:r w:rsidRPr="00CA7A4E">
        <w:rPr>
          <w:rFonts w:hint="cs"/>
          <w:rtl/>
        </w:rPr>
        <w:t>ّ</w:t>
      </w:r>
      <w:r w:rsidRPr="00CA7A4E">
        <w:rPr>
          <w:rtl/>
        </w:rPr>
        <w:t xml:space="preserve"> </w:t>
      </w:r>
      <w:r w:rsidRPr="00CA7A4E">
        <w:rPr>
          <w:rFonts w:hint="cs"/>
          <w:rtl/>
        </w:rPr>
        <w:t xml:space="preserve">بخصوصية </w:t>
      </w:r>
      <w:r w:rsidRPr="00CA7A4E">
        <w:rPr>
          <w:rtl/>
        </w:rPr>
        <w:t xml:space="preserve">أشخاص آخرين </w:t>
      </w:r>
      <w:r>
        <w:rPr>
          <w:rFonts w:hint="cs"/>
          <w:rtl/>
        </w:rPr>
        <w:t xml:space="preserve">أو </w:t>
      </w:r>
      <w:r w:rsidRPr="00CA7A4E">
        <w:rPr>
          <w:rFonts w:hint="cs"/>
          <w:rtl/>
        </w:rPr>
        <w:t>ب</w:t>
      </w:r>
      <w:r>
        <w:rPr>
          <w:rFonts w:hint="cs"/>
          <w:rtl/>
        </w:rPr>
        <w:t>شؤون أسرهم أو بيوتهم</w:t>
      </w:r>
      <w:r w:rsidRPr="00CA7A4E">
        <w:rPr>
          <w:rFonts w:hint="cs"/>
          <w:rtl/>
        </w:rPr>
        <w:t>.</w:t>
      </w:r>
    </w:p>
    <w:p w:rsidR="000B38BA" w:rsidRPr="00CA7A4E" w:rsidRDefault="000B38BA" w:rsidP="000B38BA">
      <w:pPr>
        <w:pStyle w:val="SingleTxtGA"/>
        <w:spacing w:line="370" w:lineRule="exact"/>
        <w:rPr>
          <w:rtl/>
        </w:rPr>
      </w:pPr>
      <w:r w:rsidRPr="00CA7A4E">
        <w:rPr>
          <w:rtl/>
        </w:rPr>
        <w:t>3-7</w:t>
      </w:r>
      <w:r w:rsidRPr="00CA7A4E">
        <w:rPr>
          <w:rtl/>
        </w:rPr>
        <w:tab/>
        <w:t>ويؤكد أصحاب البلاغ أن هذا التفسير غير غريب عن القانون الدولي لحقوق الإنسان؛ ويذكّرون بالسوابق القضائية المستقرة للمحكمة الأوروبية لحقوق الإنسان التي تشير إلى أنه بالرغم من أن اتفاقية حماية حقوق الإنسان والحريات الأساسية (الاتفاقية الأوروبية لحقوق الإنسان) لا</w:t>
      </w:r>
      <w:r w:rsidR="003E0A2E">
        <w:rPr>
          <w:rFonts w:hint="cs"/>
          <w:rtl/>
        </w:rPr>
        <w:t> </w:t>
      </w:r>
      <w:r w:rsidRPr="00CA7A4E">
        <w:rPr>
          <w:rtl/>
        </w:rPr>
        <w:t>تتضمن حكم</w:t>
      </w:r>
      <w:r w:rsidR="00A03F01">
        <w:rPr>
          <w:rtl/>
        </w:rPr>
        <w:t xml:space="preserve">اً </w:t>
      </w:r>
      <w:r w:rsidRPr="00CA7A4E">
        <w:rPr>
          <w:rtl/>
        </w:rPr>
        <w:t>يحمي الحقوق البيئية، فإن الخطر البيئي يصبح انتهاك</w:t>
      </w:r>
      <w:r w:rsidR="00A03F01">
        <w:rPr>
          <w:rtl/>
        </w:rPr>
        <w:t xml:space="preserve">اً </w:t>
      </w:r>
      <w:r w:rsidRPr="00CA7A4E">
        <w:rPr>
          <w:rtl/>
        </w:rPr>
        <w:t>لل</w:t>
      </w:r>
      <w:r>
        <w:rPr>
          <w:rFonts w:hint="cs"/>
          <w:rtl/>
        </w:rPr>
        <w:t>حق في ال</w:t>
      </w:r>
      <w:r w:rsidRPr="00CA7A4E">
        <w:rPr>
          <w:rtl/>
        </w:rPr>
        <w:t>خصوصية و</w:t>
      </w:r>
      <w:r>
        <w:rPr>
          <w:rFonts w:hint="cs"/>
          <w:rtl/>
        </w:rPr>
        <w:t>ا</w:t>
      </w:r>
      <w:r w:rsidRPr="00CA7A4E">
        <w:rPr>
          <w:rtl/>
        </w:rPr>
        <w:t xml:space="preserve">لحياة الأسرية، إذا بلغ من الشدة ما يجعله يحدّ </w:t>
      </w:r>
      <w:r>
        <w:rPr>
          <w:rFonts w:hint="cs"/>
          <w:rtl/>
        </w:rPr>
        <w:t xml:space="preserve">بدرجة كبيرة </w:t>
      </w:r>
      <w:r w:rsidRPr="00CA7A4E">
        <w:rPr>
          <w:rtl/>
        </w:rPr>
        <w:t xml:space="preserve">من قدرة الشخص على التمتع </w:t>
      </w:r>
      <w:r>
        <w:rPr>
          <w:rFonts w:hint="cs"/>
          <w:rtl/>
        </w:rPr>
        <w:t>ببيته و</w:t>
      </w:r>
      <w:r w:rsidRPr="00CA7A4E">
        <w:rPr>
          <w:rFonts w:hint="cs"/>
          <w:rtl/>
        </w:rPr>
        <w:t>بخصوصيته وب</w:t>
      </w:r>
      <w:r>
        <w:rPr>
          <w:rFonts w:hint="cs"/>
          <w:rtl/>
        </w:rPr>
        <w:t>حياته ال</w:t>
      </w:r>
      <w:r w:rsidRPr="00CA7A4E">
        <w:rPr>
          <w:rFonts w:hint="cs"/>
          <w:rtl/>
        </w:rPr>
        <w:t>أسر</w:t>
      </w:r>
      <w:r>
        <w:rPr>
          <w:rFonts w:hint="cs"/>
          <w:rtl/>
        </w:rPr>
        <w:t>ية</w:t>
      </w:r>
      <w:r w:rsidRPr="00CA7A4E">
        <w:rPr>
          <w:rtl/>
        </w:rPr>
        <w:t>.</w:t>
      </w:r>
      <w:r w:rsidRPr="00CA7A4E">
        <w:rPr>
          <w:rFonts w:hint="cs"/>
          <w:rtl/>
        </w:rPr>
        <w:t xml:space="preserve"> </w:t>
      </w:r>
      <w:r w:rsidRPr="00CA7A4E">
        <w:rPr>
          <w:rtl/>
        </w:rPr>
        <w:t>و</w:t>
      </w:r>
      <w:r w:rsidRPr="00CA7A4E">
        <w:rPr>
          <w:rFonts w:hint="cs"/>
          <w:rtl/>
        </w:rPr>
        <w:t xml:space="preserve">يمكن أن يؤثر </w:t>
      </w:r>
      <w:r w:rsidRPr="00CA7A4E">
        <w:rPr>
          <w:rtl/>
        </w:rPr>
        <w:t xml:space="preserve">التلوث البيئي الشديد على رفاه الأفراد ويحرمهم من الاستمتاع </w:t>
      </w:r>
      <w:r w:rsidRPr="00CA7A4E">
        <w:rPr>
          <w:rFonts w:hint="cs"/>
          <w:rtl/>
        </w:rPr>
        <w:t xml:space="preserve">ببيوتهم </w:t>
      </w:r>
      <w:r w:rsidRPr="00CA7A4E">
        <w:rPr>
          <w:rtl/>
        </w:rPr>
        <w:t>بطريقة تؤثر سلب</w:t>
      </w:r>
      <w:r w:rsidR="00A03F01">
        <w:rPr>
          <w:rtl/>
        </w:rPr>
        <w:t xml:space="preserve">اً </w:t>
      </w:r>
      <w:r w:rsidRPr="00CA7A4E">
        <w:rPr>
          <w:rtl/>
        </w:rPr>
        <w:t xml:space="preserve">على </w:t>
      </w:r>
      <w:r>
        <w:rPr>
          <w:rFonts w:hint="cs"/>
          <w:rtl/>
        </w:rPr>
        <w:t>خصوصيتهم و</w:t>
      </w:r>
      <w:r w:rsidRPr="00CA7A4E">
        <w:rPr>
          <w:rtl/>
        </w:rPr>
        <w:t>حياتهم الأسرية</w:t>
      </w:r>
      <w:r w:rsidRPr="00CA7A4E">
        <w:rPr>
          <w:rStyle w:val="FootnoteReference"/>
          <w:rtl/>
        </w:rPr>
        <w:footnoteReference w:customMarkFollows="1" w:id="23"/>
        <w:t>(21)</w:t>
      </w:r>
      <w:r w:rsidRPr="00CA7A4E">
        <w:rPr>
          <w:rtl/>
        </w:rPr>
        <w:t>.</w:t>
      </w:r>
      <w:r w:rsidRPr="00CA7A4E">
        <w:rPr>
          <w:rFonts w:hint="cs"/>
          <w:rtl/>
        </w:rPr>
        <w:t xml:space="preserve"> </w:t>
      </w:r>
      <w:r w:rsidRPr="00CA7A4E">
        <w:rPr>
          <w:rtl/>
        </w:rPr>
        <w:t xml:space="preserve">ويشدد أصحاب البلاغ على أنه ينبغي تفسير المادة 17 من العهد بطريقة متطورة في ضوء فقه المحكمة الأوروبية حيث </w:t>
      </w:r>
      <w:r>
        <w:rPr>
          <w:rFonts w:hint="cs"/>
          <w:rtl/>
        </w:rPr>
        <w:t>إ</w:t>
      </w:r>
      <w:r w:rsidRPr="00CA7A4E">
        <w:rPr>
          <w:rtl/>
        </w:rPr>
        <w:t xml:space="preserve">نه توجد، في القضية المطروحة، أدلة كافية على وجود علاقة سببية بين الرش الكثيف بمبيدات الآفات وبين تلوث مياه الشرب بالكيماويات الزراعية المحظورة، وتسمم أصحاب البلاغ ووفاة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w:t>
      </w:r>
    </w:p>
    <w:p w:rsidR="000B38BA" w:rsidRPr="00CA7A4E" w:rsidRDefault="000B38BA" w:rsidP="000B38BA">
      <w:pPr>
        <w:pStyle w:val="SingleTxtGA"/>
        <w:spacing w:line="370" w:lineRule="exact"/>
        <w:rPr>
          <w:rtl/>
        </w:rPr>
      </w:pPr>
      <w:r w:rsidRPr="00CA7A4E">
        <w:rPr>
          <w:rtl/>
        </w:rPr>
        <w:t>3-8</w:t>
      </w:r>
      <w:r w:rsidRPr="00CA7A4E">
        <w:rPr>
          <w:rtl/>
        </w:rPr>
        <w:tab/>
        <w:t xml:space="preserve">وأخيراً، يدعي أصحاب البلاغ حدوث انتهاك لحقهم في سبل الانتصاف القانوني الفعال على أساس أن التلوث البيئي الذي سمم أصحاب البلاغ وأدى إلى وفاة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لم يكن موضوع تحقيق فعال ومناسب وغير متحيز ودؤوب، ولأن الأطراف المسؤولة عن ذلك التلوث لم تعاقَب.</w:t>
      </w:r>
    </w:p>
    <w:p w:rsidR="000B38BA" w:rsidRPr="00CA7A4E" w:rsidRDefault="000B38BA" w:rsidP="000B38BA">
      <w:pPr>
        <w:pStyle w:val="SingleTxtGA"/>
        <w:spacing w:line="370" w:lineRule="exact"/>
        <w:rPr>
          <w:rtl/>
        </w:rPr>
      </w:pPr>
      <w:r w:rsidRPr="00CA7A4E">
        <w:rPr>
          <w:rtl/>
        </w:rPr>
        <w:t>3-9</w:t>
      </w:r>
      <w:r w:rsidRPr="00CA7A4E">
        <w:rPr>
          <w:rtl/>
        </w:rPr>
        <w:tab/>
        <w:t>وعلى وجه التحديد، يذكر أصحاب البلاغ عدم فعالية سبل الانتصاف التي لج</w:t>
      </w:r>
      <w:r w:rsidRPr="00CA7A4E">
        <w:rPr>
          <w:rFonts w:hint="cs"/>
          <w:rtl/>
        </w:rPr>
        <w:t>أ</w:t>
      </w:r>
      <w:r w:rsidRPr="00CA7A4E">
        <w:rPr>
          <w:rtl/>
        </w:rPr>
        <w:t xml:space="preserve">وا إليها، وذلك بالرغم من أن التفتيش الميداني الذي أجري أسفر عن تقديم أدلة كافية على افتراض </w:t>
      </w:r>
      <w:r w:rsidRPr="00CA7A4E">
        <w:rPr>
          <w:rtl/>
        </w:rPr>
        <w:lastRenderedPageBreak/>
        <w:t>وجود صلة مباشرة بين انتهاك القوانين البيئية وبين التلوث الذي سبب لهم الضرر:</w:t>
      </w:r>
      <w:r w:rsidRPr="00CA7A4E">
        <w:rPr>
          <w:rFonts w:hint="cs"/>
          <w:rtl/>
        </w:rPr>
        <w:t xml:space="preserve"> </w:t>
      </w:r>
      <w:r w:rsidRPr="00CA7A4E">
        <w:rPr>
          <w:rtl/>
        </w:rPr>
        <w:t xml:space="preserve">(أ) استغرق الأمر من السلطات عامين لعقد جلسة استماع أولية في قضية شملت بعض المنتجين، ولم تشمل أكبر اثنين منهم؛ (ب) صدر في نهاية المطاف أمر بوقف الإجراءات؛ (ج) لم تغتنم النيابة العامة الفرصة الإجرائية الممنوحة لها لتجمع الأدلة؛ (د) لم يُدرَج في الملف الخاص بالتحقيق لا التاريخ </w:t>
      </w:r>
      <w:r w:rsidRPr="003B04A8">
        <w:rPr>
          <w:spacing w:val="-4"/>
          <w:rtl/>
        </w:rPr>
        <w:t>الطبي لأصحاب البلاغ ولا نتائج اختباراتهم للدم والبول؛ (ه) الإفلات من العقاب سائد والتلوث</w:t>
      </w:r>
      <w:r w:rsidRPr="00CA7A4E">
        <w:rPr>
          <w:rtl/>
        </w:rPr>
        <w:t xml:space="preserve"> متواصل؛ (و) لم ينفَّذ قط أمر الحماية القضائية الصادر لفائدتهم.</w:t>
      </w:r>
    </w:p>
    <w:p w:rsidR="000B38BA" w:rsidRPr="00CA7A4E" w:rsidRDefault="000B38BA" w:rsidP="00AF4C1A">
      <w:pPr>
        <w:pStyle w:val="SingleTxtGA"/>
        <w:spacing w:line="360" w:lineRule="exact"/>
        <w:rPr>
          <w:rtl/>
        </w:rPr>
      </w:pPr>
      <w:r w:rsidRPr="00CA7A4E">
        <w:rPr>
          <w:rtl/>
        </w:rPr>
        <w:t>3-10</w:t>
      </w:r>
      <w:r w:rsidRPr="00CA7A4E">
        <w:rPr>
          <w:rtl/>
        </w:rPr>
        <w:tab/>
      </w:r>
      <w:r w:rsidRPr="003B04A8">
        <w:rPr>
          <w:spacing w:val="-4"/>
          <w:rtl/>
        </w:rPr>
        <w:t xml:space="preserve">ويطلب </w:t>
      </w:r>
      <w:r w:rsidRPr="003B04A8">
        <w:rPr>
          <w:rFonts w:hint="cs"/>
          <w:spacing w:val="-4"/>
          <w:rtl/>
        </w:rPr>
        <w:t xml:space="preserve">أصحاب البلاغ </w:t>
      </w:r>
      <w:r w:rsidRPr="003B04A8">
        <w:rPr>
          <w:spacing w:val="-4"/>
          <w:rtl/>
        </w:rPr>
        <w:t>تدابير الانتصاف التالية:</w:t>
      </w:r>
      <w:r w:rsidRPr="003B04A8">
        <w:rPr>
          <w:rFonts w:hint="cs"/>
          <w:spacing w:val="-4"/>
          <w:rtl/>
        </w:rPr>
        <w:t xml:space="preserve"> (أ) </w:t>
      </w:r>
      <w:r w:rsidRPr="003B04A8">
        <w:rPr>
          <w:spacing w:val="-4"/>
          <w:rtl/>
        </w:rPr>
        <w:t>إجراء تحقيق شامل وفعال ومعاقبة</w:t>
      </w:r>
      <w:r w:rsidRPr="00CA7A4E">
        <w:rPr>
          <w:rtl/>
        </w:rPr>
        <w:t xml:space="preserve"> الأطراف المسؤولة؛ (ب) اعتماد التدابير التشريعية والإدارية وغيرها من التدابير التي تكفل بفعالية عدم وقوع أحداث مماثلة في المستقبل؛ (ج) الجبر الكامل والملائم.</w:t>
      </w:r>
    </w:p>
    <w:p w:rsidR="000B38BA" w:rsidRPr="00CA7A4E" w:rsidRDefault="000B38BA" w:rsidP="00AF4C1A">
      <w:pPr>
        <w:pStyle w:val="H23GA"/>
        <w:spacing w:line="360" w:lineRule="exact"/>
        <w:rPr>
          <w:rtl/>
        </w:rPr>
      </w:pPr>
      <w:r w:rsidRPr="00CA7A4E">
        <w:rPr>
          <w:rtl/>
        </w:rPr>
        <w:tab/>
      </w:r>
      <w:r w:rsidRPr="00CA7A4E">
        <w:rPr>
          <w:rtl/>
        </w:rPr>
        <w:tab/>
        <w:t>ملاحظات الدولة الطرف على مقبولية البلاغ وأسسه الموضوعية</w:t>
      </w:r>
    </w:p>
    <w:p w:rsidR="000B38BA" w:rsidRPr="00270B7A" w:rsidRDefault="000B38BA" w:rsidP="00AF4C1A">
      <w:pPr>
        <w:pStyle w:val="SingleTxtGA"/>
        <w:spacing w:line="360" w:lineRule="exact"/>
        <w:rPr>
          <w:spacing w:val="-4"/>
          <w:rtl/>
        </w:rPr>
      </w:pPr>
      <w:r w:rsidRPr="00270B7A">
        <w:rPr>
          <w:rFonts w:hint="cs"/>
          <w:spacing w:val="-4"/>
          <w:rtl/>
        </w:rPr>
        <w:t>4-1</w:t>
      </w:r>
      <w:r w:rsidRPr="00270B7A">
        <w:rPr>
          <w:spacing w:val="-4"/>
          <w:rtl/>
        </w:rPr>
        <w:tab/>
        <w:t>تحتج الدولة الطرف، في ملاحظاتها المؤرخة 19 أيلول/سبتمبر 2018، بأن البلاغ غير مقبول من حيث الاختصاص الموضوعي لأن العهد لا يعترف بالحقوق البيئية</w:t>
      </w:r>
      <w:r w:rsidRPr="00270B7A">
        <w:rPr>
          <w:rStyle w:val="FootnoteReference"/>
          <w:spacing w:val="-4"/>
          <w:rtl/>
        </w:rPr>
        <w:footnoteReference w:customMarkFollows="1" w:id="24"/>
        <w:t>(22)</w:t>
      </w:r>
      <w:r w:rsidRPr="00270B7A">
        <w:rPr>
          <w:spacing w:val="-4"/>
          <w:rtl/>
        </w:rPr>
        <w:t>.</w:t>
      </w:r>
      <w:r w:rsidRPr="00270B7A">
        <w:rPr>
          <w:rFonts w:hint="cs"/>
          <w:spacing w:val="-4"/>
          <w:rtl/>
        </w:rPr>
        <w:t xml:space="preserve"> </w:t>
      </w:r>
      <w:r w:rsidRPr="00270B7A">
        <w:rPr>
          <w:spacing w:val="-4"/>
          <w:rtl/>
        </w:rPr>
        <w:t>وتضيف الدولة الطرف أنه لا توجد صلة بين الأحداث المعنية - المتعلقة بالانتهاكات المفترضة للوائح الإدارية في</w:t>
      </w:r>
      <w:r w:rsidR="00270B7A">
        <w:rPr>
          <w:rFonts w:hint="cs"/>
          <w:spacing w:val="-4"/>
          <w:rtl/>
        </w:rPr>
        <w:t> </w:t>
      </w:r>
      <w:r w:rsidRPr="00270B7A">
        <w:rPr>
          <w:spacing w:val="-4"/>
          <w:rtl/>
        </w:rPr>
        <w:t>باراغواي فيما يتعلق باستخدام الكيماويات الزراعية - وبين الحقوق المنصوص عليها في العهد.</w:t>
      </w:r>
    </w:p>
    <w:p w:rsidR="000B38BA" w:rsidRPr="00270B7A" w:rsidRDefault="000B38BA" w:rsidP="00AF4C1A">
      <w:pPr>
        <w:pStyle w:val="SingleTxtGA"/>
        <w:spacing w:line="360" w:lineRule="exact"/>
        <w:rPr>
          <w:rtl/>
        </w:rPr>
      </w:pPr>
      <w:r w:rsidRPr="006B0560">
        <w:rPr>
          <w:spacing w:val="-4"/>
          <w:rtl/>
        </w:rPr>
        <w:t>4-2</w:t>
      </w:r>
      <w:r w:rsidRPr="006B0560">
        <w:rPr>
          <w:spacing w:val="-4"/>
          <w:rtl/>
        </w:rPr>
        <w:tab/>
        <w:t xml:space="preserve">وتحتج الدولة الطرف أيضاً بأن البلاغ غير مقبول لأن سبل الانتصاف المحلية لم تُستنفد، </w:t>
      </w:r>
      <w:r w:rsidRPr="006B0560">
        <w:rPr>
          <w:rFonts w:hint="cs"/>
          <w:spacing w:val="-4"/>
          <w:rtl/>
        </w:rPr>
        <w:t>حيث إ</w:t>
      </w:r>
      <w:r w:rsidRPr="006B0560">
        <w:rPr>
          <w:spacing w:val="-4"/>
          <w:rtl/>
        </w:rPr>
        <w:t>ن الأحداث المعنية هي موضوع قضية جنائية مفتوحة.</w:t>
      </w:r>
      <w:r w:rsidRPr="006B0560">
        <w:rPr>
          <w:rFonts w:hint="cs"/>
          <w:spacing w:val="-4"/>
          <w:rtl/>
        </w:rPr>
        <w:t xml:space="preserve"> </w:t>
      </w:r>
      <w:r w:rsidRPr="006B0560">
        <w:rPr>
          <w:spacing w:val="-4"/>
          <w:rtl/>
        </w:rPr>
        <w:t>وتشير الدولة الطرف إلى أن القضية أعيد فتحها، وأن تهم</w:t>
      </w:r>
      <w:r w:rsidR="00A03F01" w:rsidRPr="006B0560">
        <w:rPr>
          <w:spacing w:val="-4"/>
          <w:rtl/>
        </w:rPr>
        <w:t xml:space="preserve">اً </w:t>
      </w:r>
      <w:r w:rsidRPr="006B0560">
        <w:rPr>
          <w:spacing w:val="-4"/>
          <w:rtl/>
        </w:rPr>
        <w:t>وُجهت في 30 أيلول/سبتمبر 2017 إلى أربعة من الأشخاص السبعة الذين وُجهت إليهم تهمٌ في البداية</w:t>
      </w:r>
      <w:r w:rsidRPr="006B0560">
        <w:rPr>
          <w:rStyle w:val="FootnoteReference"/>
          <w:spacing w:val="-4"/>
          <w:rtl/>
        </w:rPr>
        <w:footnoteReference w:customMarkFollows="1" w:id="25"/>
        <w:t>(23)</w:t>
      </w:r>
      <w:r w:rsidRPr="006B0560">
        <w:rPr>
          <w:spacing w:val="-4"/>
          <w:rtl/>
        </w:rPr>
        <w:t xml:space="preserve"> وأنه تم تحديد موعد لعقد جلسة استماع أولية في</w:t>
      </w:r>
      <w:r w:rsidR="003B04A8" w:rsidRPr="006B0560">
        <w:rPr>
          <w:rFonts w:hint="cs"/>
          <w:spacing w:val="-4"/>
          <w:rtl/>
        </w:rPr>
        <w:t> </w:t>
      </w:r>
      <w:r w:rsidRPr="006B0560">
        <w:rPr>
          <w:spacing w:val="-4"/>
          <w:rtl/>
        </w:rPr>
        <w:t>27 أيلول/</w:t>
      </w:r>
      <w:r w:rsidR="006B0560">
        <w:rPr>
          <w:rFonts w:hint="cs"/>
          <w:spacing w:val="-4"/>
          <w:rtl/>
        </w:rPr>
        <w:t xml:space="preserve">       </w:t>
      </w:r>
      <w:r w:rsidRPr="006B0560">
        <w:rPr>
          <w:spacing w:val="-4"/>
          <w:rtl/>
        </w:rPr>
        <w:t>سبتمبر 2018.</w:t>
      </w:r>
      <w:r w:rsidRPr="006B0560">
        <w:rPr>
          <w:rFonts w:hint="cs"/>
          <w:spacing w:val="-4"/>
          <w:rtl/>
        </w:rPr>
        <w:t xml:space="preserve"> </w:t>
      </w:r>
      <w:r w:rsidRPr="006B0560">
        <w:rPr>
          <w:spacing w:val="-4"/>
          <w:rtl/>
        </w:rPr>
        <w:t xml:space="preserve">وتؤكد الدولة الطرف أن أصحاب البلاغ سيحصلون على حقوقهم، في حالة إدانة </w:t>
      </w:r>
      <w:r w:rsidRPr="00270B7A">
        <w:rPr>
          <w:rtl/>
        </w:rPr>
        <w:t>المدعى عليهم.</w:t>
      </w:r>
      <w:r w:rsidRPr="00270B7A">
        <w:rPr>
          <w:rFonts w:hint="cs"/>
          <w:rtl/>
        </w:rPr>
        <w:t xml:space="preserve"> </w:t>
      </w:r>
      <w:r w:rsidRPr="00270B7A">
        <w:rPr>
          <w:rtl/>
        </w:rPr>
        <w:t>وتؤكد أيض</w:t>
      </w:r>
      <w:r w:rsidR="00A03F01" w:rsidRPr="00270B7A">
        <w:rPr>
          <w:rtl/>
        </w:rPr>
        <w:t xml:space="preserve">اً </w:t>
      </w:r>
      <w:r w:rsidRPr="00270B7A">
        <w:rPr>
          <w:rtl/>
        </w:rPr>
        <w:t>أن الإجراءات لم تكن مطولة بدون مبرر، للأسباب التالية:</w:t>
      </w:r>
      <w:r w:rsidRPr="00270B7A">
        <w:rPr>
          <w:rFonts w:hint="cs"/>
          <w:rtl/>
        </w:rPr>
        <w:t xml:space="preserve"> </w:t>
      </w:r>
      <w:r w:rsidRPr="00270B7A">
        <w:rPr>
          <w:rtl/>
        </w:rPr>
        <w:t xml:space="preserve">(أ) </w:t>
      </w:r>
      <w:r w:rsidRPr="00270B7A">
        <w:rPr>
          <w:spacing w:val="-4"/>
          <w:rtl/>
        </w:rPr>
        <w:t xml:space="preserve">تصرفت </w:t>
      </w:r>
      <w:r w:rsidRPr="00270B7A">
        <w:rPr>
          <w:rFonts w:hint="cs"/>
          <w:spacing w:val="-4"/>
          <w:rtl/>
        </w:rPr>
        <w:t xml:space="preserve">الدولة </w:t>
      </w:r>
      <w:r w:rsidRPr="00270B7A">
        <w:rPr>
          <w:spacing w:val="-4"/>
          <w:rtl/>
        </w:rPr>
        <w:t>وفق</w:t>
      </w:r>
      <w:r w:rsidR="00A03F01" w:rsidRPr="00270B7A">
        <w:rPr>
          <w:spacing w:val="-4"/>
          <w:rtl/>
        </w:rPr>
        <w:t xml:space="preserve">اً </w:t>
      </w:r>
      <w:r w:rsidRPr="00270B7A">
        <w:rPr>
          <w:spacing w:val="-4"/>
          <w:rtl/>
        </w:rPr>
        <w:t>لمبدأ الموضوعية واحترام الحق في افتراض البراءة؛ (ب)</w:t>
      </w:r>
      <w:r w:rsidR="003B04A8" w:rsidRPr="00270B7A">
        <w:rPr>
          <w:rFonts w:hint="cs"/>
          <w:spacing w:val="-4"/>
          <w:rtl/>
        </w:rPr>
        <w:t> </w:t>
      </w:r>
      <w:r w:rsidRPr="00270B7A">
        <w:rPr>
          <w:spacing w:val="-4"/>
          <w:rtl/>
        </w:rPr>
        <w:t>كانت القضية معقدة،</w:t>
      </w:r>
      <w:r w:rsidRPr="00270B7A">
        <w:rPr>
          <w:rtl/>
        </w:rPr>
        <w:t xml:space="preserve"> حيث</w:t>
      </w:r>
      <w:r w:rsidR="006B0560" w:rsidRPr="00270B7A">
        <w:rPr>
          <w:rFonts w:hint="cs"/>
          <w:rtl/>
        </w:rPr>
        <w:t> </w:t>
      </w:r>
      <w:r w:rsidRPr="00270B7A">
        <w:rPr>
          <w:rtl/>
        </w:rPr>
        <w:t>وجب أن يشمل التحقيق عدد</w:t>
      </w:r>
      <w:r w:rsidR="00A03F01" w:rsidRPr="00270B7A">
        <w:rPr>
          <w:rtl/>
        </w:rPr>
        <w:t xml:space="preserve">اً </w:t>
      </w:r>
      <w:r w:rsidRPr="00270B7A">
        <w:rPr>
          <w:rtl/>
        </w:rPr>
        <w:t>كبير</w:t>
      </w:r>
      <w:r w:rsidR="00A03F01" w:rsidRPr="00270B7A">
        <w:rPr>
          <w:rtl/>
        </w:rPr>
        <w:t xml:space="preserve">اً </w:t>
      </w:r>
      <w:r w:rsidRPr="00270B7A">
        <w:rPr>
          <w:rtl/>
        </w:rPr>
        <w:t>من الأشخاص، وكان الأمر ينطوي على إيجاد أدلة ذات طابع تقني؛ (ج) توقفت الإجراءات عدة مرات بسبب عدم مثول المتهمين أمام المحكمة.</w:t>
      </w:r>
    </w:p>
    <w:p w:rsidR="000B38BA" w:rsidRPr="00CA7A4E" w:rsidRDefault="000B38BA" w:rsidP="00AF4C1A">
      <w:pPr>
        <w:pStyle w:val="SingleTxtGA"/>
        <w:spacing w:line="360" w:lineRule="exact"/>
        <w:rPr>
          <w:rtl/>
        </w:rPr>
      </w:pPr>
      <w:r w:rsidRPr="00CA7A4E">
        <w:rPr>
          <w:rtl/>
        </w:rPr>
        <w:t>4-3</w:t>
      </w:r>
      <w:r w:rsidRPr="00CA7A4E">
        <w:rPr>
          <w:rtl/>
        </w:rPr>
        <w:tab/>
      </w:r>
      <w:r w:rsidRPr="00C05854">
        <w:rPr>
          <w:spacing w:val="-4"/>
          <w:rtl/>
        </w:rPr>
        <w:t>وتؤكد الدولة الطرف أيض</w:t>
      </w:r>
      <w:r w:rsidR="00A03F01" w:rsidRPr="00C05854">
        <w:rPr>
          <w:spacing w:val="-4"/>
          <w:rtl/>
        </w:rPr>
        <w:t xml:space="preserve">اً </w:t>
      </w:r>
      <w:r w:rsidRPr="00C05854">
        <w:rPr>
          <w:spacing w:val="-4"/>
          <w:rtl/>
        </w:rPr>
        <w:t>أن سبل الانتصاف الأخرى متاحة لأصحاب البلاغ بموجب</w:t>
      </w:r>
      <w:r w:rsidRPr="00CA7A4E">
        <w:rPr>
          <w:rtl/>
        </w:rPr>
        <w:t xml:space="preserve"> القانون المدني الذي يوفر إمكانية الوصول إلى حل أسرع وأوسع نطاق</w:t>
      </w:r>
      <w:r w:rsidR="00A03F01">
        <w:rPr>
          <w:rtl/>
        </w:rPr>
        <w:t xml:space="preserve">اً، </w:t>
      </w:r>
      <w:r w:rsidRPr="00CA7A4E">
        <w:rPr>
          <w:rtl/>
        </w:rPr>
        <w:t>مثل دعاوى الحيازة المدنية لحماية ممتلكاتهم الخاصة، وضمان وقف الأعمال غير القانونية، والمطالبة بالتعويض المناسب عن الأضرار</w:t>
      </w:r>
      <w:r w:rsidRPr="00CA7A4E">
        <w:rPr>
          <w:rStyle w:val="FootnoteReference"/>
          <w:rtl/>
        </w:rPr>
        <w:footnoteReference w:customMarkFollows="1" w:id="26"/>
        <w:t>(24)</w:t>
      </w:r>
      <w:r w:rsidRPr="00CA7A4E">
        <w:rPr>
          <w:rtl/>
        </w:rPr>
        <w:t>.</w:t>
      </w:r>
    </w:p>
    <w:p w:rsidR="000B38BA" w:rsidRPr="00CA7A4E" w:rsidRDefault="000B38BA" w:rsidP="003E0A2E">
      <w:pPr>
        <w:pStyle w:val="SingleTxtGA"/>
        <w:spacing w:line="360" w:lineRule="exact"/>
        <w:rPr>
          <w:rtl/>
        </w:rPr>
      </w:pPr>
      <w:r w:rsidRPr="00CA7A4E">
        <w:rPr>
          <w:rtl/>
        </w:rPr>
        <w:lastRenderedPageBreak/>
        <w:t>4-4</w:t>
      </w:r>
      <w:r w:rsidRPr="00CA7A4E">
        <w:rPr>
          <w:rtl/>
        </w:rPr>
        <w:tab/>
        <w:t xml:space="preserve">وفيما يتعلق بالأسس الموضوعية، تحتج الدولة الطرف بأنها لم تنتهك المادتين 6 أو 7 من العهد لأن أصحاب البلاغ لم يثبتوا أنهم أصيبوا بالتسمم بمبيدات الآفات، لأن اختبارات </w:t>
      </w:r>
      <w:r w:rsidRPr="000D0373">
        <w:rPr>
          <w:spacing w:val="-6"/>
          <w:rtl/>
        </w:rPr>
        <w:t>الدم والبول أعطت قيما</w:t>
      </w:r>
      <w:r w:rsidR="000D0373" w:rsidRPr="000D0373">
        <w:rPr>
          <w:rFonts w:hint="cs"/>
          <w:spacing w:val="-6"/>
          <w:rtl/>
        </w:rPr>
        <w:t>ً</w:t>
      </w:r>
      <w:r w:rsidRPr="000D0373">
        <w:rPr>
          <w:spacing w:val="-6"/>
          <w:rtl/>
        </w:rPr>
        <w:t xml:space="preserve"> </w:t>
      </w:r>
      <w:proofErr w:type="gramStart"/>
      <w:r w:rsidRPr="000D0373">
        <w:rPr>
          <w:spacing w:val="-6"/>
          <w:rtl/>
        </w:rPr>
        <w:t>’’في</w:t>
      </w:r>
      <w:proofErr w:type="gramEnd"/>
      <w:r w:rsidRPr="000D0373">
        <w:rPr>
          <w:spacing w:val="-6"/>
          <w:rtl/>
        </w:rPr>
        <w:t xml:space="preserve"> حدود المعايير العادية ولم تشر إلى وجود سموم متبقية في أجسادهم‘‘</w:t>
      </w:r>
      <w:r w:rsidRPr="000D0373">
        <w:rPr>
          <w:rStyle w:val="FootnoteReference"/>
          <w:spacing w:val="-6"/>
          <w:rtl/>
        </w:rPr>
        <w:footnoteReference w:customMarkFollows="1" w:id="27"/>
        <w:t>(25)</w:t>
      </w:r>
      <w:r w:rsidRPr="000D0373">
        <w:rPr>
          <w:spacing w:val="-6"/>
          <w:rtl/>
        </w:rPr>
        <w:t>.</w:t>
      </w:r>
      <w:r w:rsidRPr="000D0373">
        <w:rPr>
          <w:rFonts w:hint="cs"/>
          <w:spacing w:val="-4"/>
          <w:rtl/>
        </w:rPr>
        <w:t xml:space="preserve"> </w:t>
      </w:r>
      <w:r w:rsidRPr="000D0373">
        <w:rPr>
          <w:spacing w:val="-4"/>
          <w:rtl/>
        </w:rPr>
        <w:t xml:space="preserve">وتضيف الدولة الطرف أن </w:t>
      </w:r>
      <w:proofErr w:type="spellStart"/>
      <w:r w:rsidRPr="000D0373">
        <w:rPr>
          <w:spacing w:val="-4"/>
          <w:rtl/>
        </w:rPr>
        <w:t>الليند</w:t>
      </w:r>
      <w:r w:rsidRPr="000D0373">
        <w:rPr>
          <w:rFonts w:hint="cs"/>
          <w:spacing w:val="-4"/>
          <w:rtl/>
        </w:rPr>
        <w:t>ا</w:t>
      </w:r>
      <w:r w:rsidRPr="000D0373">
        <w:rPr>
          <w:spacing w:val="-4"/>
          <w:rtl/>
        </w:rPr>
        <w:t>ن</w:t>
      </w:r>
      <w:proofErr w:type="spellEnd"/>
      <w:r w:rsidRPr="000D0373">
        <w:rPr>
          <w:spacing w:val="-4"/>
          <w:rtl/>
        </w:rPr>
        <w:t xml:space="preserve"> هو العنصر النشط الوحيد الذي و</w:t>
      </w:r>
      <w:r w:rsidRPr="000D0373">
        <w:rPr>
          <w:rFonts w:hint="cs"/>
          <w:spacing w:val="-4"/>
          <w:rtl/>
        </w:rPr>
        <w:t>ُ</w:t>
      </w:r>
      <w:r w:rsidRPr="000D0373">
        <w:rPr>
          <w:spacing w:val="-4"/>
          <w:rtl/>
        </w:rPr>
        <w:t>جد بتركيز</w:t>
      </w:r>
      <w:r w:rsidRPr="00CA7A4E">
        <w:rPr>
          <w:rtl/>
        </w:rPr>
        <w:t xml:space="preserve"> أعلى من الحد المسموح به (0.03 ملغ/كغ، بدلاً من 0.01 ملغ/كغ).</w:t>
      </w:r>
      <w:r w:rsidRPr="00CA7A4E">
        <w:rPr>
          <w:rFonts w:hint="cs"/>
          <w:rtl/>
        </w:rPr>
        <w:t xml:space="preserve"> </w:t>
      </w:r>
      <w:r w:rsidRPr="00CA7A4E">
        <w:rPr>
          <w:rtl/>
        </w:rPr>
        <w:t xml:space="preserve">وتشدد الدولة الطرف </w:t>
      </w:r>
      <w:r w:rsidRPr="00C05854">
        <w:rPr>
          <w:spacing w:val="-4"/>
          <w:rtl/>
        </w:rPr>
        <w:t>أيضاً على أن أصحاب البلاغ ذكروا إصابتهم بالحمى، ولكن الحمى ليست في الواقع من الأعراض</w:t>
      </w:r>
      <w:r w:rsidRPr="00CA7A4E">
        <w:rPr>
          <w:rtl/>
        </w:rPr>
        <w:t xml:space="preserve"> المعتادة للتسمم </w:t>
      </w:r>
      <w:proofErr w:type="spellStart"/>
      <w:r w:rsidRPr="00CA7A4E">
        <w:rPr>
          <w:rtl/>
        </w:rPr>
        <w:t>بالليند</w:t>
      </w:r>
      <w:r w:rsidRPr="00CA7A4E">
        <w:rPr>
          <w:rFonts w:hint="cs"/>
          <w:rtl/>
        </w:rPr>
        <w:t>ا</w:t>
      </w:r>
      <w:r w:rsidRPr="00CA7A4E">
        <w:rPr>
          <w:rtl/>
        </w:rPr>
        <w:t>ن</w:t>
      </w:r>
      <w:proofErr w:type="spellEnd"/>
      <w:r w:rsidRPr="00CA7A4E">
        <w:rPr>
          <w:rtl/>
        </w:rPr>
        <w:t>.</w:t>
      </w:r>
    </w:p>
    <w:p w:rsidR="000B38BA" w:rsidRPr="00CA7A4E" w:rsidRDefault="000B38BA" w:rsidP="003E0A2E">
      <w:pPr>
        <w:pStyle w:val="SingleTxtGA"/>
        <w:spacing w:line="360" w:lineRule="exact"/>
        <w:rPr>
          <w:rtl/>
        </w:rPr>
      </w:pPr>
      <w:r w:rsidRPr="00CA7A4E">
        <w:rPr>
          <w:rtl/>
        </w:rPr>
        <w:t>4-5</w:t>
      </w:r>
      <w:r w:rsidRPr="00CA7A4E">
        <w:rPr>
          <w:rtl/>
        </w:rPr>
        <w:tab/>
        <w:t>وفيما يتعلق بالانتهاك المفترض للمادة 17 من العهد، تدّعي الدولة الطرف أن وجود قوانين سارية لحماية البيئة، إلى جانب وجود هيئات رقابة مرخص لها بتطبيق الجزاءات، يجعل غياب الإشراف على تلك الأنشطة أمر</w:t>
      </w:r>
      <w:r w:rsidR="00A03F01">
        <w:rPr>
          <w:rtl/>
        </w:rPr>
        <w:t xml:space="preserve">اً </w:t>
      </w:r>
      <w:r w:rsidRPr="00CA7A4E">
        <w:rPr>
          <w:rtl/>
        </w:rPr>
        <w:t>غير مرجح الحدوث.</w:t>
      </w:r>
      <w:r w:rsidRPr="00CA7A4E">
        <w:rPr>
          <w:rFonts w:hint="cs"/>
          <w:rtl/>
        </w:rPr>
        <w:t xml:space="preserve"> </w:t>
      </w:r>
      <w:r w:rsidRPr="00CA7A4E">
        <w:rPr>
          <w:rtl/>
        </w:rPr>
        <w:t>وتشير الدولة الطرف أيضاً إلى أن الأحداث المبلغ عنها تمثل حالة منعزلة سُلطت فيها عقوبات إدارية على شركتي الأعمال التجارية الزراعية الكبيرتين الواقعتين على أرض متاخمة لمساكن أصحاب البلاغ.</w:t>
      </w:r>
      <w:r w:rsidRPr="00CA7A4E">
        <w:rPr>
          <w:rFonts w:hint="cs"/>
          <w:rtl/>
        </w:rPr>
        <w:t xml:space="preserve"> </w:t>
      </w:r>
      <w:r w:rsidRPr="00CA7A4E">
        <w:rPr>
          <w:rtl/>
        </w:rPr>
        <w:t>وقد اتُخذت إجراءات إدارية، وغُرمت الأطراف التالية بما يعادل 000 5 يوم عمل بالأجر الأدنى</w:t>
      </w:r>
      <w:r w:rsidRPr="00CA7A4E">
        <w:rPr>
          <w:rFonts w:hint="cs"/>
          <w:rtl/>
        </w:rPr>
        <w:t xml:space="preserve">، </w:t>
      </w:r>
      <w:r w:rsidRPr="00CA7A4E">
        <w:rPr>
          <w:rtl/>
        </w:rPr>
        <w:t>وصدر أمر بمراقبة أنشطتها والإشراف عليها بانتظام</w:t>
      </w:r>
      <w:r w:rsidRPr="00CA7A4E">
        <w:rPr>
          <w:rFonts w:hint="cs"/>
          <w:rtl/>
        </w:rPr>
        <w:t>،</w:t>
      </w:r>
      <w:r w:rsidRPr="00CA7A4E">
        <w:rPr>
          <w:rtl/>
        </w:rPr>
        <w:t xml:space="preserve"> بموجب القرار رقم 217/2018 المؤرخ 13 نيسان/أبريل بالنسبة للشركة </w:t>
      </w:r>
      <w:proofErr w:type="spellStart"/>
      <w:r w:rsidRPr="00CA7A4E">
        <w:t>Cóndor</w:t>
      </w:r>
      <w:proofErr w:type="spellEnd"/>
      <w:r w:rsidRPr="00CA7A4E">
        <w:t xml:space="preserve"> S.A</w:t>
      </w:r>
      <w:r w:rsidRPr="00CA7A4E">
        <w:rPr>
          <w:rtl/>
        </w:rPr>
        <w:t>، والقرار رقم 250/2018 المؤرخ 26 نيسان/أبريل بالنسبة للشرك</w:t>
      </w:r>
      <w:r w:rsidRPr="00CA7A4E">
        <w:rPr>
          <w:rFonts w:hint="cs"/>
          <w:rtl/>
        </w:rPr>
        <w:t>ة</w:t>
      </w:r>
      <w:r w:rsidRPr="00CA7A4E">
        <w:rPr>
          <w:rtl/>
        </w:rPr>
        <w:t xml:space="preserve"> </w:t>
      </w:r>
      <w:r w:rsidR="001C3B34" w:rsidRPr="00935F78">
        <w:t xml:space="preserve">Hermanos </w:t>
      </w:r>
      <w:proofErr w:type="spellStart"/>
      <w:r w:rsidR="001C3B34" w:rsidRPr="00935F78">
        <w:t>Galhera</w:t>
      </w:r>
      <w:proofErr w:type="spellEnd"/>
      <w:r w:rsidR="001C3B34" w:rsidRPr="00935F78">
        <w:t xml:space="preserve"> </w:t>
      </w:r>
      <w:proofErr w:type="spellStart"/>
      <w:r w:rsidR="001C3B34" w:rsidRPr="00935F78">
        <w:t>Agrovalle</w:t>
      </w:r>
      <w:proofErr w:type="spellEnd"/>
      <w:r w:rsidR="001C3B34" w:rsidRPr="00935F78">
        <w:t xml:space="preserve"> del Sol S.A.</w:t>
      </w:r>
      <w:r w:rsidRPr="00CA7A4E">
        <w:rPr>
          <w:rtl/>
        </w:rPr>
        <w:t xml:space="preserve">، و/أو </w:t>
      </w:r>
      <w:r w:rsidR="005F0927" w:rsidRPr="00935F78">
        <w:t xml:space="preserve">Emmerson </w:t>
      </w:r>
      <w:proofErr w:type="spellStart"/>
      <w:r w:rsidR="005F0927" w:rsidRPr="00935F78">
        <w:t>Shimmin</w:t>
      </w:r>
      <w:proofErr w:type="spellEnd"/>
      <w:r w:rsidRPr="00CA7A4E">
        <w:rPr>
          <w:rtl/>
        </w:rPr>
        <w:t>.</w:t>
      </w:r>
    </w:p>
    <w:p w:rsidR="000B38BA" w:rsidRPr="00CA7A4E" w:rsidRDefault="000B38BA" w:rsidP="003E0A2E">
      <w:pPr>
        <w:pStyle w:val="SingleTxtGA"/>
        <w:spacing w:line="360" w:lineRule="exact"/>
        <w:rPr>
          <w:rtl/>
        </w:rPr>
      </w:pPr>
      <w:r w:rsidRPr="00CA7A4E">
        <w:rPr>
          <w:rtl/>
        </w:rPr>
        <w:t>4-6</w:t>
      </w:r>
      <w:r w:rsidRPr="00CA7A4E">
        <w:rPr>
          <w:rtl/>
        </w:rPr>
        <w:tab/>
        <w:t xml:space="preserve">وفيما يتعلق بالانتهاك المفترض للمادة 2(3) من العهد، تشير الدولة الطرف إلى أن </w:t>
      </w:r>
      <w:r w:rsidRPr="005F0927">
        <w:rPr>
          <w:spacing w:val="-4"/>
          <w:rtl/>
        </w:rPr>
        <w:t>تحقيق</w:t>
      </w:r>
      <w:r w:rsidR="00A03F01" w:rsidRPr="005F0927">
        <w:rPr>
          <w:spacing w:val="-4"/>
          <w:rtl/>
        </w:rPr>
        <w:t xml:space="preserve">اً </w:t>
      </w:r>
      <w:r w:rsidRPr="005F0927">
        <w:rPr>
          <w:spacing w:val="-4"/>
          <w:rtl/>
        </w:rPr>
        <w:t>جنائي</w:t>
      </w:r>
      <w:r w:rsidR="00A03F01" w:rsidRPr="005F0927">
        <w:rPr>
          <w:spacing w:val="-4"/>
          <w:rtl/>
        </w:rPr>
        <w:t xml:space="preserve">اً </w:t>
      </w:r>
      <w:r w:rsidRPr="005F0927">
        <w:rPr>
          <w:spacing w:val="-4"/>
          <w:rtl/>
        </w:rPr>
        <w:t xml:space="preserve">فُتح وحدد الأشخاص الذين يزرعون فول الصويا في </w:t>
      </w:r>
      <w:r w:rsidRPr="005F0927">
        <w:rPr>
          <w:rFonts w:hint="cs"/>
          <w:spacing w:val="-4"/>
          <w:rtl/>
        </w:rPr>
        <w:t>مستوطنة</w:t>
      </w:r>
      <w:r w:rsidRPr="005F0927">
        <w:rPr>
          <w:spacing w:val="-4"/>
          <w:rtl/>
        </w:rPr>
        <w:t xml:space="preserve"> </w:t>
      </w:r>
      <w:proofErr w:type="spellStart"/>
      <w:r w:rsidRPr="005F0927">
        <w:rPr>
          <w:spacing w:val="-4"/>
          <w:rtl/>
        </w:rPr>
        <w:t>يروتي</w:t>
      </w:r>
      <w:proofErr w:type="spellEnd"/>
      <w:r w:rsidRPr="005F0927">
        <w:rPr>
          <w:spacing w:val="-4"/>
          <w:rtl/>
        </w:rPr>
        <w:t xml:space="preserve"> والذين قد</w:t>
      </w:r>
      <w:r w:rsidR="005F0927" w:rsidRPr="005F0927">
        <w:rPr>
          <w:rFonts w:hint="cs"/>
          <w:spacing w:val="-4"/>
          <w:rtl/>
        </w:rPr>
        <w:t> </w:t>
      </w:r>
      <w:r w:rsidRPr="005F0927">
        <w:rPr>
          <w:spacing w:val="-4"/>
          <w:rtl/>
        </w:rPr>
        <w:t>تُفرض</w:t>
      </w:r>
      <w:r w:rsidRPr="00CA7A4E">
        <w:rPr>
          <w:rtl/>
        </w:rPr>
        <w:t xml:space="preserve"> عليهم عقوبات بمجرد اكتمال الإجراءات الجنائية.</w:t>
      </w:r>
    </w:p>
    <w:p w:rsidR="000B38BA" w:rsidRPr="00CA7A4E" w:rsidRDefault="000B38BA" w:rsidP="000B38BA">
      <w:pPr>
        <w:pStyle w:val="H23GA"/>
        <w:rPr>
          <w:rtl/>
        </w:rPr>
      </w:pPr>
      <w:r w:rsidRPr="00CA7A4E">
        <w:rPr>
          <w:rtl/>
        </w:rPr>
        <w:tab/>
      </w:r>
      <w:r w:rsidRPr="00CA7A4E">
        <w:rPr>
          <w:rtl/>
        </w:rPr>
        <w:tab/>
        <w:t xml:space="preserve">تعليقات </w:t>
      </w:r>
      <w:r w:rsidRPr="00CA7A4E">
        <w:rPr>
          <w:rFonts w:hint="cs"/>
          <w:rtl/>
        </w:rPr>
        <w:t xml:space="preserve">أصحاب </w:t>
      </w:r>
      <w:r w:rsidRPr="00CA7A4E">
        <w:rPr>
          <w:rtl/>
        </w:rPr>
        <w:t>البلاغ على ملاحظات الدولة الطرف بشأن المقبولية</w:t>
      </w:r>
    </w:p>
    <w:p w:rsidR="000B38BA" w:rsidRPr="00CA7A4E" w:rsidRDefault="000B38BA" w:rsidP="000B38BA">
      <w:pPr>
        <w:pStyle w:val="SingleTxtGA"/>
        <w:rPr>
          <w:rtl/>
        </w:rPr>
      </w:pPr>
      <w:r w:rsidRPr="00CA7A4E">
        <w:rPr>
          <w:rtl/>
        </w:rPr>
        <w:t>5-1</w:t>
      </w:r>
      <w:r w:rsidRPr="00CA7A4E">
        <w:rPr>
          <w:rtl/>
        </w:rPr>
        <w:tab/>
        <w:t>أشار أصحاب البلاغ في تعليقاتهم المؤرخة 23 كانون الأول/ديسمبر2018 إلى أنهم لا</w:t>
      </w:r>
      <w:r w:rsidR="00A03F01">
        <w:rPr>
          <w:rFonts w:hint="cs"/>
          <w:rtl/>
        </w:rPr>
        <w:t> </w:t>
      </w:r>
      <w:r w:rsidRPr="00CA7A4E">
        <w:rPr>
          <w:rtl/>
        </w:rPr>
        <w:t>يدّعون حدوث انتهاك للحق في بيئة صحية بل يحتجون على غزو خصوصيتهم وحياتهم الأسرية وانتهاك حقهم في الحياة والسلامة البدنية وعدم وجود سبل انتصاف فعالة</w:t>
      </w:r>
      <w:r w:rsidRPr="00CA7A4E">
        <w:rPr>
          <w:rStyle w:val="FootnoteReference"/>
          <w:rtl/>
        </w:rPr>
        <w:footnoteReference w:customMarkFollows="1" w:id="28"/>
        <w:t>(26)</w:t>
      </w:r>
      <w:r w:rsidRPr="00CA7A4E">
        <w:rPr>
          <w:rtl/>
        </w:rPr>
        <w:t>.</w:t>
      </w:r>
    </w:p>
    <w:p w:rsidR="000B38BA" w:rsidRPr="00CA7A4E" w:rsidRDefault="000B38BA" w:rsidP="000B38BA">
      <w:pPr>
        <w:pStyle w:val="SingleTxtGA"/>
        <w:rPr>
          <w:rtl/>
        </w:rPr>
      </w:pPr>
      <w:r w:rsidRPr="00CA7A4E">
        <w:rPr>
          <w:rtl/>
        </w:rPr>
        <w:t>5-2</w:t>
      </w:r>
      <w:r w:rsidRPr="00CA7A4E">
        <w:rPr>
          <w:rtl/>
        </w:rPr>
        <w:tab/>
        <w:t>وفيما يتعلق بافتراض عدم وجود صلة بين الأحداث المعنية والعهد، يؤكد أصحاب البلاغ أن الدولة الطرف تقدم تفسير</w:t>
      </w:r>
      <w:r w:rsidR="00A03F01">
        <w:rPr>
          <w:rtl/>
        </w:rPr>
        <w:t xml:space="preserve">اً </w:t>
      </w:r>
      <w:r w:rsidRPr="00CA7A4E">
        <w:rPr>
          <w:rtl/>
        </w:rPr>
        <w:t>خاطئ</w:t>
      </w:r>
      <w:r w:rsidR="00A03F01">
        <w:rPr>
          <w:rtl/>
        </w:rPr>
        <w:t xml:space="preserve">اً </w:t>
      </w:r>
      <w:r w:rsidRPr="00CA7A4E">
        <w:rPr>
          <w:rtl/>
        </w:rPr>
        <w:t>وضيق</w:t>
      </w:r>
      <w:r w:rsidR="00A03F01">
        <w:rPr>
          <w:rtl/>
        </w:rPr>
        <w:t xml:space="preserve">اً </w:t>
      </w:r>
      <w:r w:rsidRPr="00CA7A4E">
        <w:rPr>
          <w:rtl/>
        </w:rPr>
        <w:t>لالتزاماتها فيما يتعلق بالحق في الحياة، وهي</w:t>
      </w:r>
      <w:r w:rsidR="00C05854">
        <w:rPr>
          <w:rFonts w:hint="cs"/>
          <w:rtl/>
        </w:rPr>
        <w:t> </w:t>
      </w:r>
      <w:r w:rsidRPr="00CA7A4E">
        <w:rPr>
          <w:rtl/>
        </w:rPr>
        <w:t>التزامات تشمل، إضافة إلى الالتزام السلبي بعدم اتخاذ أي إجراء مباشر يحرم الشخص من</w:t>
      </w:r>
      <w:r w:rsidR="003E0A2E">
        <w:rPr>
          <w:rFonts w:hint="cs"/>
          <w:rtl/>
        </w:rPr>
        <w:t> </w:t>
      </w:r>
      <w:r w:rsidRPr="00CA7A4E">
        <w:rPr>
          <w:rtl/>
        </w:rPr>
        <w:t>حياته، الالتزامَ الإيجابي بضمان ظروف معيشية لائقة.</w:t>
      </w:r>
      <w:r w:rsidRPr="00CA7A4E">
        <w:rPr>
          <w:rFonts w:hint="cs"/>
          <w:rtl/>
        </w:rPr>
        <w:t xml:space="preserve"> </w:t>
      </w:r>
      <w:r w:rsidRPr="00CA7A4E">
        <w:rPr>
          <w:rtl/>
        </w:rPr>
        <w:t>ولذلك وجب تحليلُ الأسس الموضوعية للبلاغ.</w:t>
      </w:r>
    </w:p>
    <w:p w:rsidR="000B38BA" w:rsidRPr="00CA7A4E" w:rsidRDefault="000B38BA" w:rsidP="000B38BA">
      <w:pPr>
        <w:pStyle w:val="SingleTxtGA"/>
        <w:rPr>
          <w:rtl/>
        </w:rPr>
      </w:pPr>
      <w:r w:rsidRPr="00CA7A4E">
        <w:rPr>
          <w:rtl/>
        </w:rPr>
        <w:t>5-3</w:t>
      </w:r>
      <w:r w:rsidRPr="00CA7A4E">
        <w:rPr>
          <w:rtl/>
        </w:rPr>
        <w:tab/>
        <w:t>وفيما يتعلق بإعادة فتح الإجراءات الجنائية في عام 2017، يقول أصحاب البلاغ إنهم علموا بذلك القرار فقط عندما قرأوا ملاحظات الدولة الطرف في القضية.</w:t>
      </w:r>
      <w:r w:rsidRPr="00CA7A4E">
        <w:rPr>
          <w:rFonts w:hint="cs"/>
          <w:rtl/>
        </w:rPr>
        <w:t xml:space="preserve"> </w:t>
      </w:r>
      <w:r w:rsidRPr="00CA7A4E">
        <w:rPr>
          <w:rtl/>
        </w:rPr>
        <w:t xml:space="preserve">وهم يؤكدون أن هذه </w:t>
      </w:r>
      <w:proofErr w:type="gramStart"/>
      <w:r w:rsidRPr="00CA7A4E">
        <w:rPr>
          <w:rtl/>
        </w:rPr>
        <w:t>’’محاولة</w:t>
      </w:r>
      <w:proofErr w:type="gramEnd"/>
      <w:r w:rsidRPr="00CA7A4E">
        <w:rPr>
          <w:rtl/>
        </w:rPr>
        <w:t xml:space="preserve"> يائسة من الدولة لتجنب تحم</w:t>
      </w:r>
      <w:r w:rsidRPr="00CA7A4E">
        <w:rPr>
          <w:rFonts w:hint="cs"/>
          <w:rtl/>
        </w:rPr>
        <w:t>ّ</w:t>
      </w:r>
      <w:r w:rsidRPr="00CA7A4E">
        <w:rPr>
          <w:rtl/>
        </w:rPr>
        <w:t>ل مسؤوليتها، ودليل</w:t>
      </w:r>
      <w:r>
        <w:rPr>
          <w:rFonts w:hint="cs"/>
          <w:rtl/>
        </w:rPr>
        <w:t>اً</w:t>
      </w:r>
      <w:r w:rsidRPr="00CA7A4E">
        <w:rPr>
          <w:rtl/>
        </w:rPr>
        <w:t xml:space="preserve"> على عدم جديتها‘‘ كما يتضح من </w:t>
      </w:r>
      <w:r w:rsidRPr="00CA7A4E">
        <w:rPr>
          <w:rtl/>
        </w:rPr>
        <w:lastRenderedPageBreak/>
        <w:t>عدم عقد جلسة الاستماع الأولية التي قالت إنها ستُعقد في أيلول/سبتمبر 2018.</w:t>
      </w:r>
      <w:r w:rsidRPr="00CA7A4E">
        <w:rPr>
          <w:rFonts w:hint="cs"/>
          <w:rtl/>
        </w:rPr>
        <w:t xml:space="preserve"> </w:t>
      </w:r>
      <w:r w:rsidRPr="00CA7A4E">
        <w:rPr>
          <w:rtl/>
        </w:rPr>
        <w:t>و</w:t>
      </w:r>
      <w:r>
        <w:rPr>
          <w:rFonts w:hint="cs"/>
          <w:rtl/>
        </w:rPr>
        <w:t xml:space="preserve">لذلك، </w:t>
      </w:r>
      <w:r w:rsidRPr="00CA7A4E">
        <w:rPr>
          <w:rtl/>
        </w:rPr>
        <w:t>لا</w:t>
      </w:r>
      <w:r w:rsidR="003E0A2E">
        <w:rPr>
          <w:rFonts w:hint="cs"/>
          <w:rtl/>
        </w:rPr>
        <w:t> </w:t>
      </w:r>
      <w:r w:rsidRPr="00CA7A4E">
        <w:rPr>
          <w:rtl/>
        </w:rPr>
        <w:t>يزال أصحاب البلاغ، بعد مرور أكثر من سبع سنوات على الأحداث المعنية، في انتظار حصولهم على الانتصاف.</w:t>
      </w:r>
    </w:p>
    <w:p w:rsidR="000B38BA" w:rsidRPr="00CA7A4E" w:rsidRDefault="000B38BA" w:rsidP="000B38BA">
      <w:pPr>
        <w:pStyle w:val="SingleTxtGA"/>
        <w:rPr>
          <w:rtl/>
        </w:rPr>
      </w:pPr>
      <w:r w:rsidRPr="00CA7A4E">
        <w:rPr>
          <w:rtl/>
        </w:rPr>
        <w:t>5-4</w:t>
      </w:r>
      <w:r w:rsidRPr="00CA7A4E">
        <w:rPr>
          <w:rtl/>
        </w:rPr>
        <w:tab/>
        <w:t>وفيما يتعلق بموضوع دعاوى الحيازة المدنية، يذكر أصحاب البلاغ أن تلك الدعاوى ليست وسيلة فعالة لطلب حماية حقهم في الحياة والسلامة من الانتهاكات الناجمة عن عدم استجابة السلطات بشكل فعال.</w:t>
      </w:r>
      <w:r w:rsidRPr="00CA7A4E">
        <w:rPr>
          <w:rFonts w:hint="cs"/>
          <w:rtl/>
        </w:rPr>
        <w:t xml:space="preserve"> </w:t>
      </w:r>
      <w:r w:rsidRPr="00CA7A4E">
        <w:rPr>
          <w:rtl/>
        </w:rPr>
        <w:t>وهم يضيفون أنه وفق</w:t>
      </w:r>
      <w:r w:rsidR="00A03F01">
        <w:rPr>
          <w:rtl/>
        </w:rPr>
        <w:t xml:space="preserve">اً </w:t>
      </w:r>
      <w:r w:rsidRPr="00CA7A4E">
        <w:rPr>
          <w:rtl/>
        </w:rPr>
        <w:t>للوائح برازيلي</w:t>
      </w:r>
      <w:r w:rsidR="00A03F01">
        <w:rPr>
          <w:rtl/>
        </w:rPr>
        <w:t xml:space="preserve">اً </w:t>
      </w:r>
      <w:r w:rsidRPr="00CA7A4E">
        <w:rPr>
          <w:rtl/>
        </w:rPr>
        <w:t xml:space="preserve">بشأن وصول المستضعفين إلى العدالة، ينبغي أن يؤخذ في الحسبان الوضع الضعيف للمزارعين المقيمين في مستوطنة </w:t>
      </w:r>
      <w:proofErr w:type="spellStart"/>
      <w:r w:rsidRPr="00CA7A4E">
        <w:rPr>
          <w:rtl/>
        </w:rPr>
        <w:t>يروتي</w:t>
      </w:r>
      <w:proofErr w:type="spellEnd"/>
      <w:r w:rsidRPr="00CA7A4E">
        <w:rPr>
          <w:rtl/>
        </w:rPr>
        <w:t xml:space="preserve"> الريفية النائية</w:t>
      </w:r>
      <w:r w:rsidRPr="00CA7A4E">
        <w:rPr>
          <w:rStyle w:val="FootnoteReference"/>
          <w:rtl/>
        </w:rPr>
        <w:footnoteReference w:customMarkFollows="1" w:id="29"/>
        <w:t>(27)</w:t>
      </w:r>
      <w:r w:rsidRPr="00CA7A4E">
        <w:rPr>
          <w:rtl/>
        </w:rPr>
        <w:t xml:space="preserve">، الذي لا يمكنّهم من الاستعانة بمحامٍ ودفع أتعابه والمخاطرة بتكبد تكاليف المقاضاة </w:t>
      </w:r>
      <w:r w:rsidRPr="00CA7A4E">
        <w:rPr>
          <w:rFonts w:hint="cs"/>
          <w:rtl/>
        </w:rPr>
        <w:t>الباهظة</w:t>
      </w:r>
      <w:r w:rsidRPr="00CA7A4E">
        <w:rPr>
          <w:rtl/>
        </w:rPr>
        <w:t xml:space="preserve"> في حالة خسارة الدعوى.</w:t>
      </w:r>
      <w:r w:rsidRPr="00CA7A4E">
        <w:rPr>
          <w:rFonts w:hint="cs"/>
          <w:rtl/>
        </w:rPr>
        <w:t xml:space="preserve"> </w:t>
      </w:r>
      <w:r w:rsidRPr="00CA7A4E">
        <w:rPr>
          <w:rtl/>
        </w:rPr>
        <w:t>وهم يرون أنه بالرغم من وجود قوانين بيئية سارية، فإن القضاة في نظام العدالة المدنية الذي أنشئ للدفاع عن حقوق الملكية الخاصة للأفراد ليسوا ملزمين بالنظر في مبادئ القانون الزراعي أو القانون البيئي، وأنه ليس للدولة الطرف أي محاكم متخصصة لها صلاحية النظر في المسائل الزراعية والبيئية وتوفر لهم وسيلة قانونية مناسبة.</w:t>
      </w:r>
    </w:p>
    <w:p w:rsidR="000B38BA" w:rsidRPr="00CA7A4E" w:rsidRDefault="000B38BA" w:rsidP="000B38BA">
      <w:pPr>
        <w:pStyle w:val="SingleTxtGA"/>
        <w:rPr>
          <w:rtl/>
        </w:rPr>
      </w:pPr>
      <w:r w:rsidRPr="00CA7A4E">
        <w:rPr>
          <w:rtl/>
        </w:rPr>
        <w:t>5-5</w:t>
      </w:r>
      <w:r w:rsidRPr="00CA7A4E">
        <w:rPr>
          <w:rtl/>
        </w:rPr>
        <w:tab/>
        <w:t>وفيما يتعلق بالأسس الموضوعية للبلاغ، أشار أصحابه مرة أخرى إلى انتهاكات الحق في الحياة والحق في السلامة البدنية؛ وذكروا أن وكالة تابعة للدولة الطرف استنتجت أن آبارهم كانت ملوثة بالكيماويات الزراعية، وأن مكتب</w:t>
      </w:r>
      <w:r w:rsidR="00A03F01">
        <w:rPr>
          <w:rtl/>
        </w:rPr>
        <w:t xml:space="preserve">اً </w:t>
      </w:r>
      <w:r w:rsidRPr="00CA7A4E">
        <w:rPr>
          <w:rtl/>
        </w:rPr>
        <w:t>حكومي</w:t>
      </w:r>
      <w:r w:rsidR="00A03F01">
        <w:rPr>
          <w:rtl/>
        </w:rPr>
        <w:t xml:space="preserve">اً </w:t>
      </w:r>
      <w:r w:rsidRPr="00CA7A4E">
        <w:rPr>
          <w:rtl/>
        </w:rPr>
        <w:t>آخر وضع قائمة بالجرائم الإدارية التي ارتكبتها الشركات الموجودة بجوار مزارعهم.</w:t>
      </w:r>
      <w:r w:rsidRPr="00CA7A4E">
        <w:rPr>
          <w:rFonts w:hint="cs"/>
          <w:rtl/>
        </w:rPr>
        <w:t xml:space="preserve"> </w:t>
      </w:r>
      <w:r w:rsidRPr="00CA7A4E">
        <w:rPr>
          <w:rtl/>
        </w:rPr>
        <w:t>وهم يؤكدون أن إجراءات متعمدة</w:t>
      </w:r>
      <w:r w:rsidRPr="00CA7A4E">
        <w:rPr>
          <w:rFonts w:hint="cs"/>
          <w:rtl/>
        </w:rPr>
        <w:t>،</w:t>
      </w:r>
      <w:r w:rsidRPr="00CA7A4E">
        <w:rPr>
          <w:rtl/>
        </w:rPr>
        <w:t xml:space="preserve"> اتخذها أفرادٌ وكان بإمكان الدولة الطرف أن تتجنبها، تسببت في وفاة أحد المزارعين من سكان القرية، وأضرت بقدرة أفراد المجتمع المحلي الآخرين على ممارسة حقوقهم في العيش </w:t>
      </w:r>
      <w:r w:rsidRPr="00CA7A4E">
        <w:rPr>
          <w:rFonts w:hint="cs"/>
          <w:rtl/>
        </w:rPr>
        <w:t xml:space="preserve">بكرامة </w:t>
      </w:r>
      <w:r w:rsidRPr="00CA7A4E">
        <w:rPr>
          <w:rtl/>
        </w:rPr>
        <w:t>و</w:t>
      </w:r>
      <w:r w:rsidRPr="00CA7A4E">
        <w:rPr>
          <w:rFonts w:hint="cs"/>
          <w:rtl/>
        </w:rPr>
        <w:t xml:space="preserve">في </w:t>
      </w:r>
      <w:r w:rsidRPr="00CA7A4E">
        <w:rPr>
          <w:rtl/>
        </w:rPr>
        <w:t>السلامة البدنية.</w:t>
      </w:r>
    </w:p>
    <w:p w:rsidR="000B38BA" w:rsidRPr="00CA7A4E" w:rsidRDefault="000B38BA" w:rsidP="000B38BA">
      <w:pPr>
        <w:pStyle w:val="SingleTxtGA"/>
        <w:rPr>
          <w:rtl/>
        </w:rPr>
      </w:pPr>
      <w:r w:rsidRPr="00CA7A4E">
        <w:rPr>
          <w:rtl/>
        </w:rPr>
        <w:t>5-6</w:t>
      </w:r>
      <w:r w:rsidRPr="00CA7A4E">
        <w:rPr>
          <w:rtl/>
        </w:rPr>
        <w:tab/>
        <w:t xml:space="preserve">ويؤكد أصحاب البلاغ أنه إذا لم تكن الدولة تسعى إلى فرض ضوابط فعالة لتفادي تسمم المواد الغذائية، فإنها تنتهك </w:t>
      </w:r>
      <w:r w:rsidRPr="00CA7A4E">
        <w:rPr>
          <w:rFonts w:hint="cs"/>
          <w:rtl/>
        </w:rPr>
        <w:t xml:space="preserve">بذلك </w:t>
      </w:r>
      <w:r w:rsidRPr="00CA7A4E">
        <w:rPr>
          <w:rtl/>
        </w:rPr>
        <w:t>الحق في الحياة.</w:t>
      </w:r>
      <w:r w:rsidRPr="00CA7A4E">
        <w:rPr>
          <w:rFonts w:hint="cs"/>
          <w:rtl/>
        </w:rPr>
        <w:t xml:space="preserve"> </w:t>
      </w:r>
      <w:r w:rsidRPr="00CA7A4E">
        <w:rPr>
          <w:rtl/>
        </w:rPr>
        <w:t>وه</w:t>
      </w:r>
      <w:r w:rsidRPr="00CA7A4E">
        <w:rPr>
          <w:rFonts w:hint="cs"/>
          <w:rtl/>
        </w:rPr>
        <w:t>م</w:t>
      </w:r>
      <w:r w:rsidRPr="00CA7A4E">
        <w:rPr>
          <w:rtl/>
        </w:rPr>
        <w:t xml:space="preserve"> يرون أن توفير البيئة الصحية، وتقديم الرعاية الصحية العالية الجودة في الوقت المناسب، والمواد الغذائية الخالية من السموم، </w:t>
      </w:r>
      <w:r>
        <w:rPr>
          <w:rFonts w:hint="cs"/>
          <w:rtl/>
        </w:rPr>
        <w:t xml:space="preserve">هي من </w:t>
      </w:r>
      <w:r w:rsidRPr="00CA7A4E">
        <w:rPr>
          <w:rtl/>
        </w:rPr>
        <w:t>عناصر الحق في الحياة.</w:t>
      </w:r>
      <w:r w:rsidRPr="00CA7A4E">
        <w:rPr>
          <w:rFonts w:hint="cs"/>
          <w:rtl/>
        </w:rPr>
        <w:t xml:space="preserve"> </w:t>
      </w:r>
      <w:r w:rsidRPr="00CA7A4E">
        <w:rPr>
          <w:rtl/>
        </w:rPr>
        <w:t>ويشير أصحاب البلاغ إلى التعليق العام رقم 36 كأساس للتذكير بأنه:</w:t>
      </w:r>
      <w:r w:rsidRPr="00CA7A4E">
        <w:rPr>
          <w:rFonts w:hint="cs"/>
          <w:rtl/>
        </w:rPr>
        <w:t xml:space="preserve"> </w:t>
      </w:r>
      <w:proofErr w:type="gramStart"/>
      <w:r w:rsidRPr="00CA7A4E">
        <w:rPr>
          <w:rtl/>
        </w:rPr>
        <w:t>’’ينبغي</w:t>
      </w:r>
      <w:proofErr w:type="gramEnd"/>
      <w:r w:rsidRPr="00CA7A4E">
        <w:rPr>
          <w:rtl/>
        </w:rPr>
        <w:t xml:space="preserve"> للدول الأطراف أن تتخذ التدابير الملائمة لمعالجة الظروف الاجتماعية العامة التي </w:t>
      </w:r>
      <w:r w:rsidRPr="00513D02">
        <w:rPr>
          <w:spacing w:val="-4"/>
          <w:rtl/>
        </w:rPr>
        <w:t>قد تتسبب في أخطار مباشرة تهدد حياة الأشخاص أو تمنعهم من التمتع بحقهم في الحياة بكرامة‘‘</w:t>
      </w:r>
      <w:r w:rsidR="0069070B" w:rsidRPr="00513D02">
        <w:rPr>
          <w:spacing w:val="-4"/>
          <w:rtl/>
        </w:rPr>
        <w:t>،</w:t>
      </w:r>
      <w:r w:rsidR="0069070B">
        <w:rPr>
          <w:rtl/>
        </w:rPr>
        <w:t xml:space="preserve"> </w:t>
      </w:r>
      <w:r w:rsidRPr="00CA7A4E">
        <w:rPr>
          <w:rtl/>
        </w:rPr>
        <w:t>والتي ’’قد تشمل ... تدهور البيئة‘‘</w:t>
      </w:r>
      <w:r w:rsidRPr="00CA7A4E">
        <w:rPr>
          <w:rStyle w:val="FootnoteReference"/>
          <w:rtl/>
        </w:rPr>
        <w:footnoteReference w:customMarkFollows="1" w:id="30"/>
        <w:t>(28)</w:t>
      </w:r>
      <w:r w:rsidRPr="00CA7A4E">
        <w:rPr>
          <w:rtl/>
        </w:rPr>
        <w:t>.</w:t>
      </w:r>
      <w:r w:rsidRPr="00CA7A4E">
        <w:rPr>
          <w:rFonts w:hint="cs"/>
          <w:rtl/>
        </w:rPr>
        <w:t xml:space="preserve"> </w:t>
      </w:r>
      <w:r w:rsidRPr="00CA7A4E">
        <w:rPr>
          <w:rtl/>
        </w:rPr>
        <w:t xml:space="preserve">وهم يشددون على أن الحق في الحياة </w:t>
      </w:r>
      <w:proofErr w:type="gramStart"/>
      <w:r w:rsidRPr="00CA7A4E">
        <w:rPr>
          <w:rtl/>
        </w:rPr>
        <w:t>’’يشمل</w:t>
      </w:r>
      <w:proofErr w:type="gramEnd"/>
      <w:r w:rsidRPr="00CA7A4E">
        <w:rPr>
          <w:rtl/>
        </w:rPr>
        <w:t xml:space="preserve"> حق </w:t>
      </w:r>
      <w:r w:rsidRPr="00513D02">
        <w:rPr>
          <w:spacing w:val="-4"/>
          <w:rtl/>
        </w:rPr>
        <w:t>الأفراد في عدم الوقوع ضحية لأفعال وأوجه تقصير يُقصد بها أو يُتوقع منها أن تتسبب في وفاتهم</w:t>
      </w:r>
      <w:r w:rsidRPr="00CA7A4E">
        <w:rPr>
          <w:rtl/>
        </w:rPr>
        <w:t xml:space="preserve"> وفاةً غير طبيعية أو مبكرة‘‘</w:t>
      </w:r>
      <w:r w:rsidRPr="00CA7A4E">
        <w:rPr>
          <w:rStyle w:val="FootnoteReference"/>
          <w:rtl/>
        </w:rPr>
        <w:footnoteReference w:customMarkFollows="1" w:id="31"/>
        <w:t>(29)</w:t>
      </w:r>
      <w:r w:rsidRPr="00CA7A4E">
        <w:rPr>
          <w:rtl/>
        </w:rPr>
        <w:t>.</w:t>
      </w:r>
      <w:r w:rsidR="0069070B">
        <w:rPr>
          <w:rtl/>
        </w:rPr>
        <w:t xml:space="preserve"> </w:t>
      </w:r>
    </w:p>
    <w:p w:rsidR="000B38BA" w:rsidRPr="00CA7A4E" w:rsidRDefault="000B38BA" w:rsidP="000B38BA">
      <w:pPr>
        <w:pStyle w:val="SingleTxtGA"/>
        <w:rPr>
          <w:rtl/>
        </w:rPr>
      </w:pPr>
      <w:r w:rsidRPr="00CA7A4E">
        <w:rPr>
          <w:rtl/>
        </w:rPr>
        <w:t>5-7</w:t>
      </w:r>
      <w:r w:rsidRPr="00CA7A4E">
        <w:rPr>
          <w:rtl/>
        </w:rPr>
        <w:tab/>
        <w:t>وفيما يتعلق بانتهاك المادة 17 من العهد، يرى أصحاب البلاغ أنه لا يمكن للدولة الطرف أن تتنصل من مسؤوليتها بمجرد ادعاء اعتمادها لقوانين بيئية وبأن لديها وكالات مكلفة بإنفاذ القوانين واللوائح البيئية.</w:t>
      </w:r>
      <w:r w:rsidRPr="00CA7A4E">
        <w:rPr>
          <w:rFonts w:hint="cs"/>
          <w:rtl/>
        </w:rPr>
        <w:t xml:space="preserve"> </w:t>
      </w:r>
      <w:r w:rsidRPr="00CA7A4E">
        <w:rPr>
          <w:rtl/>
        </w:rPr>
        <w:t xml:space="preserve">فإخفاق الدولة في إنفاذ تلك القوانين واللوائح هو بالتحديد </w:t>
      </w:r>
      <w:r w:rsidRPr="00CA7A4E">
        <w:rPr>
          <w:rtl/>
        </w:rPr>
        <w:lastRenderedPageBreak/>
        <w:t>ما</w:t>
      </w:r>
      <w:r w:rsidR="00A03F01">
        <w:rPr>
          <w:rFonts w:hint="cs"/>
          <w:rtl/>
        </w:rPr>
        <w:t> </w:t>
      </w:r>
      <w:r w:rsidRPr="00CA7A4E">
        <w:rPr>
          <w:rtl/>
        </w:rPr>
        <w:t>يشكل تدخلاً تعسفياً في خصوصية الناس و</w:t>
      </w:r>
      <w:r>
        <w:rPr>
          <w:rFonts w:hint="cs"/>
          <w:rtl/>
        </w:rPr>
        <w:t xml:space="preserve">شؤون </w:t>
      </w:r>
      <w:r w:rsidRPr="00CA7A4E">
        <w:rPr>
          <w:rtl/>
        </w:rPr>
        <w:t>أسرهم و</w:t>
      </w:r>
      <w:r w:rsidRPr="00CA7A4E">
        <w:rPr>
          <w:rFonts w:hint="cs"/>
          <w:rtl/>
        </w:rPr>
        <w:t>بيوتهم</w:t>
      </w:r>
      <w:r w:rsidRPr="00CA7A4E">
        <w:rPr>
          <w:rtl/>
        </w:rPr>
        <w:t>.</w:t>
      </w:r>
      <w:r w:rsidRPr="00CA7A4E">
        <w:rPr>
          <w:rFonts w:hint="cs"/>
          <w:rtl/>
        </w:rPr>
        <w:t xml:space="preserve"> </w:t>
      </w:r>
      <w:r w:rsidRPr="00CA7A4E">
        <w:rPr>
          <w:rtl/>
        </w:rPr>
        <w:t>ويشير أصحاب البلاغ إلى تلوث المجاري المائية والمحاصيل ونفوق حيوانات المزارع.</w:t>
      </w:r>
      <w:r w:rsidRPr="00CA7A4E">
        <w:rPr>
          <w:rFonts w:hint="cs"/>
          <w:rtl/>
        </w:rPr>
        <w:t xml:space="preserve"> </w:t>
      </w:r>
      <w:r w:rsidRPr="00CA7A4E">
        <w:rPr>
          <w:rtl/>
        </w:rPr>
        <w:t>ويضيفون أن جميع تلك العناصر تشكل جانب</w:t>
      </w:r>
      <w:r w:rsidR="00A03F01">
        <w:rPr>
          <w:rtl/>
        </w:rPr>
        <w:t xml:space="preserve">اً </w:t>
      </w:r>
      <w:r w:rsidRPr="00CA7A4E">
        <w:rPr>
          <w:rtl/>
        </w:rPr>
        <w:t xml:space="preserve">من </w:t>
      </w:r>
      <w:r w:rsidRPr="00CA7A4E">
        <w:rPr>
          <w:rFonts w:hint="cs"/>
          <w:rtl/>
        </w:rPr>
        <w:t>خصوصيتهم وشؤون أسرهم وبيوتهم</w:t>
      </w:r>
      <w:r w:rsidRPr="00CA7A4E">
        <w:rPr>
          <w:rtl/>
        </w:rPr>
        <w:t xml:space="preserve"> التي تعرضت للانتهاك.</w:t>
      </w:r>
      <w:r w:rsidRPr="00CA7A4E">
        <w:rPr>
          <w:rFonts w:hint="cs"/>
          <w:rtl/>
        </w:rPr>
        <w:t xml:space="preserve"> </w:t>
      </w:r>
      <w:r w:rsidRPr="00CA7A4E">
        <w:rPr>
          <w:rtl/>
        </w:rPr>
        <w:t>وكان ممكن</w:t>
      </w:r>
      <w:r w:rsidR="00A03F01">
        <w:rPr>
          <w:rtl/>
        </w:rPr>
        <w:t xml:space="preserve">اً </w:t>
      </w:r>
      <w:r w:rsidRPr="00CA7A4E">
        <w:rPr>
          <w:rtl/>
        </w:rPr>
        <w:t>تجنب ذلك الوضع لو مارست الدولة الطرف العناية الواجبة في الوفاء بواجبها في توفير الحماية.</w:t>
      </w:r>
    </w:p>
    <w:p w:rsidR="000B38BA" w:rsidRPr="00CA7A4E" w:rsidRDefault="000B38BA" w:rsidP="000B38BA">
      <w:pPr>
        <w:pStyle w:val="SingleTxtGA"/>
        <w:rPr>
          <w:rtl/>
        </w:rPr>
      </w:pPr>
      <w:r w:rsidRPr="00CA7A4E">
        <w:rPr>
          <w:rtl/>
        </w:rPr>
        <w:t>5-8</w:t>
      </w:r>
      <w:r w:rsidRPr="00CA7A4E">
        <w:rPr>
          <w:rtl/>
        </w:rPr>
        <w:tab/>
        <w:t>وفيما يتعلق بالإجراءات الإدارية التي بدأت بعد خمس سنوات من الأحداث المعنية</w:t>
      </w:r>
      <w:r w:rsidRPr="00CA7A4E">
        <w:rPr>
          <w:rStyle w:val="FootnoteReference"/>
          <w:rtl/>
        </w:rPr>
        <w:footnoteReference w:customMarkFollows="1" w:id="32"/>
        <w:t>(30)</w:t>
      </w:r>
      <w:r w:rsidRPr="00CA7A4E">
        <w:rPr>
          <w:rtl/>
        </w:rPr>
        <w:t xml:space="preserve">، يشير أصحاب البلاغ إلى أن تلك الإجراءات لم تفشل فقط في تعليق عمليات الرش، بل أن الإجراء الإداري المتعلق بالشركتين </w:t>
      </w:r>
      <w:r w:rsidR="005F0927" w:rsidRPr="00935F78">
        <w:t>Hermanos</w:t>
      </w:r>
      <w:r w:rsidR="005F0927">
        <w:t> </w:t>
      </w:r>
      <w:proofErr w:type="spellStart"/>
      <w:r w:rsidR="005F0927" w:rsidRPr="00935F78">
        <w:t>Galhera</w:t>
      </w:r>
      <w:proofErr w:type="spellEnd"/>
      <w:r w:rsidR="005F0927">
        <w:t> </w:t>
      </w:r>
      <w:proofErr w:type="spellStart"/>
      <w:r w:rsidR="005F0927" w:rsidRPr="00935F78">
        <w:t>Agrovalle</w:t>
      </w:r>
      <w:proofErr w:type="spellEnd"/>
      <w:r w:rsidR="005F0927">
        <w:t> </w:t>
      </w:r>
      <w:r w:rsidR="005F0927" w:rsidRPr="00935F78">
        <w:t>del</w:t>
      </w:r>
      <w:r w:rsidR="005F0927">
        <w:t> </w:t>
      </w:r>
      <w:r w:rsidR="005F0927" w:rsidRPr="00935F78">
        <w:t>Sol</w:t>
      </w:r>
      <w:r w:rsidR="005F0927">
        <w:t> </w:t>
      </w:r>
      <w:r w:rsidR="005F0927" w:rsidRPr="00935F78">
        <w:t>S.A.</w:t>
      </w:r>
      <w:r w:rsidRPr="00CA7A4E">
        <w:rPr>
          <w:rtl/>
        </w:rPr>
        <w:t xml:space="preserve"> و/أو </w:t>
      </w:r>
      <w:r w:rsidR="008F1E3E" w:rsidRPr="00935F78">
        <w:t xml:space="preserve">Emmerson </w:t>
      </w:r>
      <w:proofErr w:type="spellStart"/>
      <w:r w:rsidR="008F1E3E" w:rsidRPr="00935F78">
        <w:t>Shimmin</w:t>
      </w:r>
      <w:proofErr w:type="spellEnd"/>
      <w:r w:rsidRPr="00CA7A4E">
        <w:rPr>
          <w:rtl/>
        </w:rPr>
        <w:t xml:space="preserve"> أفضى إلى عدم سماع الدعوى في القضية وإلى استنتاج أن الطرفين المذكورين لا يتحملان أي مسؤ</w:t>
      </w:r>
      <w:r w:rsidRPr="00CA7A4E">
        <w:rPr>
          <w:rFonts w:hint="cs"/>
          <w:rtl/>
        </w:rPr>
        <w:t>و</w:t>
      </w:r>
      <w:r w:rsidRPr="00CA7A4E">
        <w:rPr>
          <w:rtl/>
        </w:rPr>
        <w:t>لية، بعد تقديمهما طلب</w:t>
      </w:r>
      <w:r w:rsidR="00A03F01">
        <w:rPr>
          <w:rtl/>
        </w:rPr>
        <w:t xml:space="preserve">اً </w:t>
      </w:r>
      <w:r w:rsidRPr="00CA7A4E">
        <w:rPr>
          <w:rtl/>
        </w:rPr>
        <w:t xml:space="preserve">لإعادة النظر في القضية في 23 </w:t>
      </w:r>
      <w:r w:rsidRPr="00513D02">
        <w:rPr>
          <w:spacing w:val="-4"/>
          <w:rtl/>
        </w:rPr>
        <w:t>أيار/</w:t>
      </w:r>
      <w:r w:rsidR="008F1E3E">
        <w:rPr>
          <w:rFonts w:hint="cs"/>
          <w:spacing w:val="-4"/>
          <w:rtl/>
        </w:rPr>
        <w:t xml:space="preserve"> </w:t>
      </w:r>
      <w:r w:rsidRPr="008F1E3E">
        <w:rPr>
          <w:spacing w:val="-4"/>
          <w:rtl/>
        </w:rPr>
        <w:t>مايو 2018.</w:t>
      </w:r>
      <w:r w:rsidRPr="008F1E3E">
        <w:rPr>
          <w:rFonts w:hint="cs"/>
          <w:spacing w:val="-4"/>
          <w:rtl/>
        </w:rPr>
        <w:t xml:space="preserve"> </w:t>
      </w:r>
      <w:r w:rsidRPr="008F1E3E">
        <w:rPr>
          <w:spacing w:val="-4"/>
          <w:rtl/>
        </w:rPr>
        <w:t>وفي قرار مؤرخ 24 أيلول/سبتمبر 2018، ذكرت مديرية الخدمات الاستشارية القانونية</w:t>
      </w:r>
      <w:r w:rsidRPr="00CA7A4E">
        <w:rPr>
          <w:rtl/>
        </w:rPr>
        <w:t xml:space="preserve"> التابعة لوزارة البيئة والتنمية المستدامة بأنه </w:t>
      </w:r>
      <w:proofErr w:type="gramStart"/>
      <w:r w:rsidRPr="00CA7A4E">
        <w:rPr>
          <w:rtl/>
        </w:rPr>
        <w:t>’’لم</w:t>
      </w:r>
      <w:proofErr w:type="gramEnd"/>
      <w:r w:rsidRPr="00CA7A4E">
        <w:rPr>
          <w:rtl/>
        </w:rPr>
        <w:t xml:space="preserve"> يمكن تحديد هوية مالك المنشأة التي فتشتها السلطات البيئية، تحديد</w:t>
      </w:r>
      <w:r w:rsidR="00A03F01">
        <w:rPr>
          <w:rtl/>
        </w:rPr>
        <w:t xml:space="preserve">اً </w:t>
      </w:r>
      <w:r w:rsidRPr="00CA7A4E">
        <w:rPr>
          <w:rtl/>
        </w:rPr>
        <w:t>قطعيا</w:t>
      </w:r>
      <w:r w:rsidR="00A03F01">
        <w:rPr>
          <w:rFonts w:hint="cs"/>
          <w:rtl/>
        </w:rPr>
        <w:t>ً</w:t>
      </w:r>
      <w:r w:rsidRPr="00CA7A4E">
        <w:rPr>
          <w:rtl/>
        </w:rPr>
        <w:t xml:space="preserve">‘‘. وأن </w:t>
      </w:r>
      <w:proofErr w:type="gramStart"/>
      <w:r w:rsidRPr="00CA7A4E">
        <w:rPr>
          <w:rtl/>
        </w:rPr>
        <w:t>’’معلومات</w:t>
      </w:r>
      <w:proofErr w:type="gramEnd"/>
      <w:r w:rsidRPr="00CA7A4E">
        <w:rPr>
          <w:rtl/>
        </w:rPr>
        <w:t xml:space="preserve"> ضرورية، مثل رقم تسجيل المزرعة، لم</w:t>
      </w:r>
      <w:r w:rsidR="00513D02">
        <w:rPr>
          <w:rFonts w:hint="cs"/>
          <w:rtl/>
        </w:rPr>
        <w:t> </w:t>
      </w:r>
      <w:r w:rsidRPr="00CA7A4E">
        <w:rPr>
          <w:rtl/>
        </w:rPr>
        <w:t xml:space="preserve">تكن متاحة، ولم تكن إحداثيات المزرعة مسجلة، ولم تكن هناك بالتالي معلومات دقيقة عن هوية الشخص المادي أو الاعتباري الذي كان يمتلك أو يستأجر العقار </w:t>
      </w:r>
      <w:r w:rsidRPr="00A03F01">
        <w:rPr>
          <w:spacing w:val="-4"/>
          <w:rtl/>
        </w:rPr>
        <w:t>المعني‘‘.</w:t>
      </w:r>
      <w:r w:rsidRPr="00A03F01">
        <w:rPr>
          <w:rFonts w:hint="cs"/>
          <w:spacing w:val="-4"/>
          <w:rtl/>
        </w:rPr>
        <w:t xml:space="preserve"> </w:t>
      </w:r>
      <w:r w:rsidRPr="00A03F01">
        <w:rPr>
          <w:spacing w:val="-4"/>
          <w:rtl/>
        </w:rPr>
        <w:t>ووفق</w:t>
      </w:r>
      <w:r w:rsidR="00A03F01" w:rsidRPr="00A03F01">
        <w:rPr>
          <w:spacing w:val="-4"/>
          <w:rtl/>
        </w:rPr>
        <w:t xml:space="preserve">اً </w:t>
      </w:r>
      <w:r w:rsidRPr="00A03F01">
        <w:rPr>
          <w:spacing w:val="-4"/>
          <w:rtl/>
        </w:rPr>
        <w:t xml:space="preserve">لذلك، </w:t>
      </w:r>
      <w:r w:rsidRPr="00513D02">
        <w:rPr>
          <w:rtl/>
        </w:rPr>
        <w:t xml:space="preserve">وبموجب القرار رقم 116/18 المؤرخ 10 تشرين الأول/أكتوبر 2018، أسقطت الوزارة القضية المرفوعة </w:t>
      </w:r>
      <w:r w:rsidRPr="00513D02">
        <w:rPr>
          <w:rFonts w:hint="cs"/>
          <w:rtl/>
        </w:rPr>
        <w:t xml:space="preserve">على تلك الشركة </w:t>
      </w:r>
      <w:r w:rsidRPr="00513D02">
        <w:rPr>
          <w:rtl/>
        </w:rPr>
        <w:t>و</w:t>
      </w:r>
      <w:r w:rsidRPr="00513D02">
        <w:rPr>
          <w:rFonts w:hint="cs"/>
          <w:rtl/>
        </w:rPr>
        <w:t xml:space="preserve">على </w:t>
      </w:r>
      <w:r w:rsidRPr="00513D02">
        <w:t>Emmerson</w:t>
      </w:r>
      <w:r w:rsidR="008F1E3E">
        <w:t> </w:t>
      </w:r>
      <w:proofErr w:type="spellStart"/>
      <w:r w:rsidRPr="00513D02">
        <w:t>Shimmin</w:t>
      </w:r>
      <w:proofErr w:type="spellEnd"/>
      <w:r w:rsidRPr="00513D02">
        <w:rPr>
          <w:rtl/>
        </w:rPr>
        <w:t>.</w:t>
      </w:r>
      <w:r w:rsidRPr="00513D02">
        <w:rPr>
          <w:rFonts w:hint="cs"/>
          <w:rtl/>
        </w:rPr>
        <w:t xml:space="preserve"> </w:t>
      </w:r>
      <w:r w:rsidRPr="00513D02">
        <w:rPr>
          <w:rtl/>
        </w:rPr>
        <w:t xml:space="preserve">وبالنسبة للإجراء الإداري فيما يتعلق </w:t>
      </w:r>
      <w:r w:rsidRPr="000D0373">
        <w:rPr>
          <w:spacing w:val="-4"/>
          <w:rtl/>
        </w:rPr>
        <w:t xml:space="preserve">بالشركتين </w:t>
      </w:r>
      <w:proofErr w:type="spellStart"/>
      <w:r w:rsidRPr="000D0373">
        <w:rPr>
          <w:spacing w:val="-4"/>
        </w:rPr>
        <w:t>Cóndor</w:t>
      </w:r>
      <w:proofErr w:type="spellEnd"/>
      <w:r w:rsidR="00513D02" w:rsidRPr="000D0373">
        <w:rPr>
          <w:spacing w:val="-4"/>
        </w:rPr>
        <w:t> </w:t>
      </w:r>
      <w:proofErr w:type="spellStart"/>
      <w:r w:rsidRPr="000D0373">
        <w:rPr>
          <w:spacing w:val="-4"/>
        </w:rPr>
        <w:t>Agrícola</w:t>
      </w:r>
      <w:proofErr w:type="spellEnd"/>
      <w:r w:rsidR="00513D02" w:rsidRPr="000D0373">
        <w:rPr>
          <w:spacing w:val="-4"/>
        </w:rPr>
        <w:t> </w:t>
      </w:r>
      <w:r w:rsidRPr="000D0373">
        <w:rPr>
          <w:spacing w:val="-4"/>
        </w:rPr>
        <w:t>S</w:t>
      </w:r>
      <w:r w:rsidR="009D280B">
        <w:rPr>
          <w:spacing w:val="-4"/>
        </w:rPr>
        <w:t>.</w:t>
      </w:r>
      <w:r w:rsidRPr="000D0373">
        <w:rPr>
          <w:spacing w:val="-4"/>
        </w:rPr>
        <w:t>A</w:t>
      </w:r>
      <w:r w:rsidR="009D280B">
        <w:rPr>
          <w:spacing w:val="-4"/>
        </w:rPr>
        <w:t>.</w:t>
      </w:r>
      <w:r w:rsidRPr="000D0373">
        <w:rPr>
          <w:spacing w:val="-4"/>
          <w:rtl/>
        </w:rPr>
        <w:t xml:space="preserve"> و/أو </w:t>
      </w:r>
      <w:r w:rsidRPr="000D0373">
        <w:rPr>
          <w:spacing w:val="-4"/>
        </w:rPr>
        <w:t>KLM</w:t>
      </w:r>
      <w:r w:rsidR="00513D02" w:rsidRPr="000D0373">
        <w:rPr>
          <w:spacing w:val="-4"/>
        </w:rPr>
        <w:t> </w:t>
      </w:r>
      <w:r w:rsidRPr="000D0373">
        <w:rPr>
          <w:spacing w:val="-4"/>
        </w:rPr>
        <w:t>S</w:t>
      </w:r>
      <w:r w:rsidR="009D280B">
        <w:rPr>
          <w:spacing w:val="-4"/>
        </w:rPr>
        <w:t>.</w:t>
      </w:r>
      <w:r w:rsidRPr="000D0373">
        <w:rPr>
          <w:spacing w:val="-4"/>
        </w:rPr>
        <w:t>A</w:t>
      </w:r>
      <w:r w:rsidR="009D280B">
        <w:rPr>
          <w:spacing w:val="-4"/>
        </w:rPr>
        <w:t>.</w:t>
      </w:r>
      <w:r w:rsidRPr="000D0373">
        <w:rPr>
          <w:spacing w:val="-4"/>
          <w:rtl/>
        </w:rPr>
        <w:t>، طلب أصحاب البلاغ من السلطات المختصة</w:t>
      </w:r>
      <w:r w:rsidRPr="00CA7A4E">
        <w:rPr>
          <w:rtl/>
        </w:rPr>
        <w:t xml:space="preserve"> تسليمهم نسخة من ملف القضية ولكنهم لم يتمكنوا من الحصول عليها، ولم يتمكنوا بالتالي من تحليل محتوياته.</w:t>
      </w:r>
    </w:p>
    <w:p w:rsidR="000B38BA" w:rsidRPr="003E36FA" w:rsidRDefault="000B38BA" w:rsidP="000B38BA">
      <w:pPr>
        <w:pStyle w:val="SingleTxtGA"/>
        <w:rPr>
          <w:spacing w:val="-4"/>
        </w:rPr>
      </w:pPr>
      <w:r w:rsidRPr="003E36FA">
        <w:rPr>
          <w:spacing w:val="-4"/>
          <w:rtl/>
        </w:rPr>
        <w:t>5-9</w:t>
      </w:r>
      <w:r w:rsidRPr="003E36FA">
        <w:rPr>
          <w:spacing w:val="-4"/>
          <w:rtl/>
        </w:rPr>
        <w:tab/>
        <w:t>ويؤكد أصحاب البلاغ أن هذه الأحداث ليست حالة منعزلة، كما يتضح من تعدد الحالات التي يُعرب فيها عن القلق بشأن هذا الموضوع في العالم.</w:t>
      </w:r>
      <w:r w:rsidRPr="003E36FA">
        <w:rPr>
          <w:rFonts w:hint="cs"/>
          <w:spacing w:val="-4"/>
          <w:rtl/>
        </w:rPr>
        <w:t xml:space="preserve"> </w:t>
      </w:r>
      <w:r w:rsidRPr="003E36FA">
        <w:rPr>
          <w:spacing w:val="-4"/>
          <w:rtl/>
        </w:rPr>
        <w:t>وبالإضافة إلى البيانات الأخرى المتعلقة بمثل هذه الحالات المشار إليها سابقاً (انظر الفقرة 3-2 أعلاه)، يستشهد أصحاب البلاغ بتقرير المقررة الخاصة المعنية بالحق في الغذاء عن مهمتها في باراغواي، الذي طلبت فيها من الدولة الطرف وضع إطار قانون فعال لحماية البيئة، بما في ذلك الحماية من استخدام المنتجات الكيميائية الزراعية السامة، واعتماد عقوبات مناسبة ضد من يخالفون القانون وتعويضات مناسبة للأشخاص المتضررين</w:t>
      </w:r>
      <w:r w:rsidRPr="003E36FA">
        <w:rPr>
          <w:rStyle w:val="FootnoteReference"/>
          <w:spacing w:val="-4"/>
          <w:rtl/>
        </w:rPr>
        <w:footnoteReference w:customMarkFollows="1" w:id="33"/>
        <w:t>(31)</w:t>
      </w:r>
      <w:r w:rsidRPr="003E36FA">
        <w:rPr>
          <w:spacing w:val="-4"/>
          <w:rtl/>
        </w:rPr>
        <w:t>.</w:t>
      </w:r>
      <w:r w:rsidRPr="003E36FA">
        <w:rPr>
          <w:rFonts w:hint="cs"/>
          <w:spacing w:val="-4"/>
          <w:rtl/>
        </w:rPr>
        <w:t xml:space="preserve"> </w:t>
      </w:r>
      <w:r w:rsidRPr="003E36FA">
        <w:rPr>
          <w:spacing w:val="-4"/>
          <w:rtl/>
        </w:rPr>
        <w:t>و</w:t>
      </w:r>
      <w:r w:rsidRPr="003E36FA">
        <w:rPr>
          <w:rFonts w:hint="cs"/>
          <w:spacing w:val="-4"/>
          <w:rtl/>
        </w:rPr>
        <w:t xml:space="preserve">هم يذكرون </w:t>
      </w:r>
      <w:r w:rsidRPr="003E36FA">
        <w:rPr>
          <w:spacing w:val="-4"/>
          <w:rtl/>
        </w:rPr>
        <w:t>أيض</w:t>
      </w:r>
      <w:r w:rsidR="00A03F01" w:rsidRPr="003E36FA">
        <w:rPr>
          <w:spacing w:val="-4"/>
          <w:rtl/>
        </w:rPr>
        <w:t xml:space="preserve">اً </w:t>
      </w:r>
      <w:r w:rsidRPr="003E36FA">
        <w:rPr>
          <w:spacing w:val="-4"/>
          <w:rtl/>
        </w:rPr>
        <w:t xml:space="preserve">تقرير المقررة الخاصة المعنية بحقوق الشعوب الأصلية عن مهمتها في باراغواي، </w:t>
      </w:r>
      <w:r w:rsidRPr="003E36FA">
        <w:rPr>
          <w:rFonts w:hint="cs"/>
          <w:spacing w:val="-4"/>
          <w:rtl/>
        </w:rPr>
        <w:t xml:space="preserve">الذي </w:t>
      </w:r>
      <w:r w:rsidRPr="003E36FA">
        <w:rPr>
          <w:spacing w:val="-4"/>
          <w:rtl/>
        </w:rPr>
        <w:t>أشارت فيه إلى أن نموذج التنمية في البلاد، الذي يشجع النمو الاقتصادي السريع من خلال زراعة محصول وحيد، يفاقم المشكلات البيئية الحالية الناجمة عن زراعة المحاصيل المحوّرة جيني</w:t>
      </w:r>
      <w:r w:rsidR="00A03F01" w:rsidRPr="003E36FA">
        <w:rPr>
          <w:spacing w:val="-4"/>
          <w:rtl/>
        </w:rPr>
        <w:t xml:space="preserve">اً، </w:t>
      </w:r>
      <w:r w:rsidRPr="003E36FA">
        <w:rPr>
          <w:spacing w:val="-4"/>
          <w:rtl/>
        </w:rPr>
        <w:t>وعن استخدام مبيدات الآفات.</w:t>
      </w:r>
      <w:r w:rsidRPr="003E36FA">
        <w:rPr>
          <w:rFonts w:hint="cs"/>
          <w:spacing w:val="-4"/>
          <w:rtl/>
        </w:rPr>
        <w:t xml:space="preserve"> </w:t>
      </w:r>
      <w:r w:rsidRPr="003E36FA">
        <w:rPr>
          <w:spacing w:val="-4"/>
          <w:rtl/>
        </w:rPr>
        <w:t xml:space="preserve">ولذلك أوصت المقررة الخاصة بأن تجري الدولة الطرف بحثاً بشأن </w:t>
      </w:r>
      <w:proofErr w:type="gramStart"/>
      <w:r w:rsidRPr="003E36FA">
        <w:rPr>
          <w:spacing w:val="-4"/>
          <w:rtl/>
        </w:rPr>
        <w:t>’’آثار</w:t>
      </w:r>
      <w:proofErr w:type="gramEnd"/>
      <w:r w:rsidRPr="003E36FA">
        <w:rPr>
          <w:spacing w:val="-4"/>
          <w:rtl/>
        </w:rPr>
        <w:t xml:space="preserve"> رش مبيدات الآفات والمنتجات الكيميائية الزراعية الأخرى ... على صحة الناس وعلى التمتع بحقوق الإنسان الأخرى ... واعتماد وتنفيذ تشريعات لتنظيم استخدام هذه المنتجات‘‘</w:t>
      </w:r>
      <w:r w:rsidRPr="003E36FA">
        <w:rPr>
          <w:rStyle w:val="FootnoteReference"/>
          <w:spacing w:val="-4"/>
          <w:rtl/>
        </w:rPr>
        <w:footnoteReference w:customMarkFollows="1" w:id="34"/>
        <w:t>(32)</w:t>
      </w:r>
      <w:r w:rsidRPr="003E36FA">
        <w:rPr>
          <w:spacing w:val="-4"/>
          <w:rtl/>
        </w:rPr>
        <w:t>.</w:t>
      </w:r>
      <w:r w:rsidRPr="003E36FA">
        <w:rPr>
          <w:rFonts w:hint="cs"/>
          <w:spacing w:val="-4"/>
          <w:rtl/>
        </w:rPr>
        <w:t xml:space="preserve"> </w:t>
      </w:r>
      <w:r w:rsidRPr="003E36FA">
        <w:rPr>
          <w:spacing w:val="-4"/>
          <w:rtl/>
        </w:rPr>
        <w:t>ويشير أصحاب البلاغ أيض</w:t>
      </w:r>
      <w:r w:rsidR="00A03F01" w:rsidRPr="003E36FA">
        <w:rPr>
          <w:spacing w:val="-4"/>
          <w:rtl/>
        </w:rPr>
        <w:t xml:space="preserve">اً </w:t>
      </w:r>
      <w:r w:rsidRPr="003E36FA">
        <w:rPr>
          <w:spacing w:val="-4"/>
          <w:rtl/>
        </w:rPr>
        <w:t>إلى الملاحظات الختامية الصادرة عن اللجنة المعنية بالحقوق الاقتصادية والاجتماعية والثقافية بشأن التقرير الدوري الرابع لباراغواي</w:t>
      </w:r>
      <w:r w:rsidRPr="003E36FA">
        <w:rPr>
          <w:rFonts w:hint="cs"/>
          <w:spacing w:val="-4"/>
          <w:rtl/>
        </w:rPr>
        <w:t xml:space="preserve"> </w:t>
      </w:r>
      <w:r w:rsidRPr="003E36FA">
        <w:rPr>
          <w:spacing w:val="-4"/>
          <w:rtl/>
        </w:rPr>
        <w:t xml:space="preserve">الذي كررت فيها اللجنة الإعراب عن </w:t>
      </w:r>
      <w:r w:rsidRPr="003E36FA">
        <w:rPr>
          <w:spacing w:val="-4"/>
          <w:rtl/>
        </w:rPr>
        <w:lastRenderedPageBreak/>
        <w:t>قلقها إزاء الآثار الضارة للزراعة المكثفة لفول الصويا، والاستخدام العشوائي للكيماويات الزراعية السامة، وتلوث إمدادات المياه وانعدام الأمن الغذائي.</w:t>
      </w:r>
      <w:r w:rsidRPr="003E36FA">
        <w:rPr>
          <w:rFonts w:hint="cs"/>
          <w:spacing w:val="-4"/>
          <w:rtl/>
        </w:rPr>
        <w:t xml:space="preserve"> </w:t>
      </w:r>
      <w:r w:rsidRPr="003E36FA">
        <w:rPr>
          <w:spacing w:val="-4"/>
          <w:rtl/>
        </w:rPr>
        <w:t>و</w:t>
      </w:r>
      <w:r w:rsidRPr="003E36FA">
        <w:rPr>
          <w:rFonts w:hint="cs"/>
          <w:spacing w:val="-4"/>
          <w:rtl/>
        </w:rPr>
        <w:t xml:space="preserve">هم يشيرون </w:t>
      </w:r>
      <w:r w:rsidRPr="003E36FA">
        <w:rPr>
          <w:spacing w:val="-4"/>
          <w:rtl/>
        </w:rPr>
        <w:t>أيض</w:t>
      </w:r>
      <w:r w:rsidR="00A03F01" w:rsidRPr="003E36FA">
        <w:rPr>
          <w:spacing w:val="-4"/>
          <w:rtl/>
        </w:rPr>
        <w:t xml:space="preserve">اً </w:t>
      </w:r>
      <w:r w:rsidRPr="003E36FA">
        <w:rPr>
          <w:spacing w:val="-4"/>
          <w:rtl/>
        </w:rPr>
        <w:t xml:space="preserve">إلى أن اللجنة حثت الدولة الطرف على </w:t>
      </w:r>
      <w:proofErr w:type="gramStart"/>
      <w:r w:rsidRPr="003E36FA">
        <w:rPr>
          <w:spacing w:val="-4"/>
          <w:rtl/>
        </w:rPr>
        <w:t>’’اتخاذ</w:t>
      </w:r>
      <w:proofErr w:type="gramEnd"/>
      <w:r w:rsidRPr="003E36FA">
        <w:rPr>
          <w:spacing w:val="-4"/>
          <w:rtl/>
        </w:rPr>
        <w:t xml:space="preserve"> التدابير اللازمة لمراقبة زراعة فول الصويا بغرض الحيلولة دون تقويضها لمستوى التمتع بالحقوق الاقتصادية والاجتماعية والثقافية، ولا سيما الحق في مستوى معيشي لائق وفي الغذاء والماء والصحة‘‘</w:t>
      </w:r>
      <w:r w:rsidRPr="003E36FA">
        <w:rPr>
          <w:rStyle w:val="FootnoteReference"/>
          <w:spacing w:val="-4"/>
          <w:rtl/>
        </w:rPr>
        <w:footnoteReference w:customMarkFollows="1" w:id="35"/>
        <w:t>(33)</w:t>
      </w:r>
      <w:r w:rsidRPr="003E36FA">
        <w:rPr>
          <w:spacing w:val="-4"/>
          <w:rtl/>
        </w:rPr>
        <w:t>.</w:t>
      </w:r>
      <w:r w:rsidRPr="003E36FA">
        <w:rPr>
          <w:rFonts w:hint="cs"/>
          <w:spacing w:val="-4"/>
          <w:rtl/>
        </w:rPr>
        <w:t xml:space="preserve"> </w:t>
      </w:r>
      <w:r w:rsidRPr="003E36FA">
        <w:rPr>
          <w:spacing w:val="-4"/>
          <w:rtl/>
        </w:rPr>
        <w:t>ويقدم أصحاب البلاغ أمثلة على الحالات التي توفي فيها أشخاص نتيجة التسمم بمبيدات الحشرات.</w:t>
      </w:r>
      <w:r w:rsidRPr="003E36FA">
        <w:rPr>
          <w:rFonts w:hint="cs"/>
          <w:spacing w:val="-4"/>
          <w:rtl/>
        </w:rPr>
        <w:t xml:space="preserve"> </w:t>
      </w:r>
      <w:r w:rsidRPr="003E36FA">
        <w:rPr>
          <w:spacing w:val="-4"/>
          <w:rtl/>
        </w:rPr>
        <w:t xml:space="preserve">فقد نُقلت </w:t>
      </w:r>
      <w:proofErr w:type="spellStart"/>
      <w:r w:rsidRPr="003E36FA">
        <w:rPr>
          <w:spacing w:val="-4"/>
          <w:rtl/>
        </w:rPr>
        <w:t>إيفانجيليستا</w:t>
      </w:r>
      <w:proofErr w:type="spellEnd"/>
      <w:r w:rsidRPr="003E36FA">
        <w:rPr>
          <w:spacing w:val="-4"/>
          <w:rtl/>
        </w:rPr>
        <w:t xml:space="preserve"> </w:t>
      </w:r>
      <w:proofErr w:type="spellStart"/>
      <w:r w:rsidRPr="003E36FA">
        <w:rPr>
          <w:spacing w:val="-4"/>
          <w:rtl/>
        </w:rPr>
        <w:t>بيرالغو</w:t>
      </w:r>
      <w:proofErr w:type="spellEnd"/>
      <w:r w:rsidRPr="003E36FA">
        <w:rPr>
          <w:spacing w:val="-4"/>
          <w:rtl/>
        </w:rPr>
        <w:t>، وكانت تبلغ من العمر 28 عام</w:t>
      </w:r>
      <w:r w:rsidR="00A03F01" w:rsidRPr="003E36FA">
        <w:rPr>
          <w:spacing w:val="-4"/>
          <w:rtl/>
        </w:rPr>
        <w:t xml:space="preserve">اً </w:t>
      </w:r>
      <w:r w:rsidRPr="003E36FA">
        <w:rPr>
          <w:spacing w:val="-4"/>
          <w:rtl/>
        </w:rPr>
        <w:t xml:space="preserve">وتعيش في مستوطنة </w:t>
      </w:r>
      <w:proofErr w:type="spellStart"/>
      <w:r w:rsidRPr="003E36FA">
        <w:rPr>
          <w:spacing w:val="-4"/>
          <w:rtl/>
        </w:rPr>
        <w:t>كامبو</w:t>
      </w:r>
      <w:proofErr w:type="spellEnd"/>
      <w:r w:rsidRPr="003E36FA">
        <w:rPr>
          <w:spacing w:val="-4"/>
          <w:rtl/>
        </w:rPr>
        <w:t xml:space="preserve"> </w:t>
      </w:r>
      <w:proofErr w:type="spellStart"/>
      <w:r w:rsidRPr="003E36FA">
        <w:rPr>
          <w:spacing w:val="-4"/>
          <w:rtl/>
        </w:rPr>
        <w:t>أغوا</w:t>
      </w:r>
      <w:proofErr w:type="spellEnd"/>
      <w:r w:rsidRPr="003E36FA">
        <w:rPr>
          <w:spacing w:val="-4"/>
          <w:rtl/>
        </w:rPr>
        <w:t xml:space="preserve"> الأصلية (على الجانب الآخر من الطريق الرئيسية ويربطها ب</w:t>
      </w:r>
      <w:r w:rsidRPr="003E36FA">
        <w:rPr>
          <w:rFonts w:hint="cs"/>
          <w:spacing w:val="-4"/>
          <w:rtl/>
        </w:rPr>
        <w:t>مستوطنة</w:t>
      </w:r>
      <w:r w:rsidRPr="003E36FA">
        <w:rPr>
          <w:spacing w:val="-4"/>
          <w:rtl/>
        </w:rPr>
        <w:t xml:space="preserve"> </w:t>
      </w:r>
      <w:proofErr w:type="spellStart"/>
      <w:r w:rsidRPr="003E36FA">
        <w:rPr>
          <w:spacing w:val="-4"/>
          <w:rtl/>
        </w:rPr>
        <w:t>يروتي</w:t>
      </w:r>
      <w:proofErr w:type="spellEnd"/>
      <w:r w:rsidRPr="003E36FA">
        <w:rPr>
          <w:spacing w:val="-4"/>
          <w:rtl/>
        </w:rPr>
        <w:t xml:space="preserve"> طريق ترابي)</w:t>
      </w:r>
      <w:r w:rsidRPr="003E36FA">
        <w:rPr>
          <w:rFonts w:hint="cs"/>
          <w:spacing w:val="-4"/>
          <w:rtl/>
        </w:rPr>
        <w:t>،</w:t>
      </w:r>
      <w:r w:rsidRPr="003E36FA">
        <w:rPr>
          <w:spacing w:val="-4"/>
          <w:rtl/>
        </w:rPr>
        <w:t xml:space="preserve"> إلى المستشفى وكانت تتقيأ دم</w:t>
      </w:r>
      <w:r w:rsidR="00A03F01" w:rsidRPr="003E36FA">
        <w:rPr>
          <w:spacing w:val="-4"/>
          <w:rtl/>
        </w:rPr>
        <w:t xml:space="preserve">اً </w:t>
      </w:r>
      <w:r w:rsidRPr="003E36FA">
        <w:rPr>
          <w:spacing w:val="-4"/>
          <w:rtl/>
        </w:rPr>
        <w:t>وماتت هناك.</w:t>
      </w:r>
      <w:r w:rsidRPr="003E36FA">
        <w:rPr>
          <w:rFonts w:hint="cs"/>
          <w:spacing w:val="-4"/>
          <w:rtl/>
        </w:rPr>
        <w:t xml:space="preserve"> </w:t>
      </w:r>
      <w:r w:rsidRPr="003E36FA">
        <w:rPr>
          <w:spacing w:val="-4"/>
          <w:rtl/>
        </w:rPr>
        <w:t xml:space="preserve">وفي 7 كانون الثاني/يناير 2003، توفي </w:t>
      </w:r>
      <w:proofErr w:type="spellStart"/>
      <w:r w:rsidRPr="003E36FA">
        <w:rPr>
          <w:spacing w:val="-4"/>
          <w:rtl/>
        </w:rPr>
        <w:t>سيلفينو</w:t>
      </w:r>
      <w:proofErr w:type="spellEnd"/>
      <w:r w:rsidRPr="003E36FA">
        <w:rPr>
          <w:spacing w:val="-4"/>
          <w:rtl/>
        </w:rPr>
        <w:t xml:space="preserve"> </w:t>
      </w:r>
      <w:proofErr w:type="spellStart"/>
      <w:r w:rsidRPr="003E36FA">
        <w:rPr>
          <w:spacing w:val="-4"/>
          <w:rtl/>
        </w:rPr>
        <w:t>تالافيرا</w:t>
      </w:r>
      <w:proofErr w:type="spellEnd"/>
      <w:r w:rsidRPr="003E36FA">
        <w:rPr>
          <w:spacing w:val="-4"/>
          <w:rtl/>
        </w:rPr>
        <w:t>، وكان يبلغ من العمر 11 عام</w:t>
      </w:r>
      <w:r w:rsidR="00A03F01" w:rsidRPr="003E36FA">
        <w:rPr>
          <w:spacing w:val="-4"/>
          <w:rtl/>
        </w:rPr>
        <w:t xml:space="preserve">اً، </w:t>
      </w:r>
      <w:r w:rsidRPr="003E36FA">
        <w:rPr>
          <w:spacing w:val="-4"/>
          <w:rtl/>
        </w:rPr>
        <w:t xml:space="preserve">بعد تعرضه للرش بكيماويات زراعية سامة في مقاطعة </w:t>
      </w:r>
      <w:proofErr w:type="spellStart"/>
      <w:r w:rsidRPr="003E36FA">
        <w:rPr>
          <w:spacing w:val="-4"/>
          <w:rtl/>
        </w:rPr>
        <w:t>إيتابيا</w:t>
      </w:r>
      <w:proofErr w:type="spellEnd"/>
      <w:r w:rsidRPr="003E36FA">
        <w:rPr>
          <w:spacing w:val="-4"/>
          <w:rtl/>
        </w:rPr>
        <w:t xml:space="preserve"> بينما كان يستقل دراجته على طول طريق ثانوي محاذ لحقول مزروعة</w:t>
      </w:r>
      <w:r w:rsidRPr="003E36FA">
        <w:rPr>
          <w:rStyle w:val="FootnoteReference"/>
          <w:spacing w:val="-4"/>
          <w:rtl/>
        </w:rPr>
        <w:footnoteReference w:customMarkFollows="1" w:id="36"/>
        <w:t>(34)</w:t>
      </w:r>
      <w:r w:rsidRPr="003E36FA">
        <w:rPr>
          <w:spacing w:val="-4"/>
          <w:rtl/>
        </w:rPr>
        <w:t>.</w:t>
      </w:r>
      <w:r w:rsidRPr="003E36FA">
        <w:rPr>
          <w:rFonts w:hint="cs"/>
          <w:spacing w:val="-4"/>
          <w:rtl/>
        </w:rPr>
        <w:t xml:space="preserve"> </w:t>
      </w:r>
      <w:r w:rsidRPr="003E36FA">
        <w:rPr>
          <w:spacing w:val="-4"/>
          <w:rtl/>
        </w:rPr>
        <w:t>ويقول أصحاب البلاغ أن شقيقتين توفيتا في عام 2014 بعد رش أراض مجاورة لمنزلهما وأن 18 شخص</w:t>
      </w:r>
      <w:r w:rsidR="00A03F01" w:rsidRPr="003E36FA">
        <w:rPr>
          <w:spacing w:val="-4"/>
          <w:rtl/>
        </w:rPr>
        <w:t xml:space="preserve">اً </w:t>
      </w:r>
      <w:r w:rsidRPr="003E36FA">
        <w:rPr>
          <w:spacing w:val="-4"/>
          <w:rtl/>
        </w:rPr>
        <w:t>بالغ</w:t>
      </w:r>
      <w:r w:rsidR="00A03F01" w:rsidRPr="003E36FA">
        <w:rPr>
          <w:spacing w:val="-4"/>
          <w:rtl/>
        </w:rPr>
        <w:t xml:space="preserve">اً </w:t>
      </w:r>
      <w:r w:rsidRPr="003E36FA">
        <w:rPr>
          <w:spacing w:val="-4"/>
          <w:rtl/>
        </w:rPr>
        <w:t>في مجتمعهما المحلي مرضوا</w:t>
      </w:r>
      <w:r w:rsidRPr="003E36FA">
        <w:rPr>
          <w:rStyle w:val="FootnoteReference"/>
          <w:spacing w:val="-4"/>
          <w:rtl/>
        </w:rPr>
        <w:footnoteReference w:customMarkFollows="1" w:id="37"/>
        <w:t>(35)</w:t>
      </w:r>
      <w:r w:rsidRPr="003E36FA">
        <w:rPr>
          <w:spacing w:val="-4"/>
          <w:rtl/>
        </w:rPr>
        <w:t>. ويشير أصحاب البلاغ أيض</w:t>
      </w:r>
      <w:r w:rsidR="00A03F01" w:rsidRPr="003E36FA">
        <w:rPr>
          <w:spacing w:val="-4"/>
          <w:rtl/>
        </w:rPr>
        <w:t xml:space="preserve">اً </w:t>
      </w:r>
      <w:r w:rsidRPr="003E36FA">
        <w:rPr>
          <w:spacing w:val="-4"/>
          <w:rtl/>
        </w:rPr>
        <w:t>إلى أن مجتمع</w:t>
      </w:r>
      <w:r w:rsidR="00A03F01" w:rsidRPr="003E36FA">
        <w:rPr>
          <w:spacing w:val="-4"/>
          <w:rtl/>
        </w:rPr>
        <w:t xml:space="preserve">اً </w:t>
      </w:r>
      <w:r w:rsidRPr="003E36FA">
        <w:rPr>
          <w:spacing w:val="-4"/>
          <w:rtl/>
        </w:rPr>
        <w:t xml:space="preserve">أخر لشعوب أصلية في </w:t>
      </w:r>
      <w:proofErr w:type="spellStart"/>
      <w:r w:rsidRPr="003E36FA">
        <w:rPr>
          <w:spacing w:val="-4"/>
          <w:rtl/>
        </w:rPr>
        <w:t>كوروغواتي</w:t>
      </w:r>
      <w:proofErr w:type="spellEnd"/>
      <w:r w:rsidRPr="003E36FA">
        <w:rPr>
          <w:spacing w:val="-4"/>
          <w:rtl/>
        </w:rPr>
        <w:t xml:space="preserve"> تضرر بسبب تبخير المحاصيل في آب/</w:t>
      </w:r>
      <w:r w:rsidR="000D0373" w:rsidRPr="003E36FA">
        <w:rPr>
          <w:rFonts w:hint="cs"/>
          <w:spacing w:val="-4"/>
          <w:rtl/>
        </w:rPr>
        <w:t xml:space="preserve"> </w:t>
      </w:r>
      <w:r w:rsidRPr="003E36FA">
        <w:rPr>
          <w:spacing w:val="-4"/>
          <w:rtl/>
        </w:rPr>
        <w:t>أغسطس 2017</w:t>
      </w:r>
      <w:r w:rsidRPr="003E36FA">
        <w:rPr>
          <w:rStyle w:val="FootnoteReference"/>
          <w:spacing w:val="-4"/>
          <w:rtl/>
        </w:rPr>
        <w:footnoteReference w:customMarkFollows="1" w:id="38"/>
        <w:t>(36)</w:t>
      </w:r>
      <w:r w:rsidRPr="003E36FA">
        <w:rPr>
          <w:spacing w:val="-4"/>
          <w:rtl/>
        </w:rPr>
        <w:t>.</w:t>
      </w:r>
    </w:p>
    <w:p w:rsidR="000B38BA" w:rsidRPr="00CA7A4E" w:rsidRDefault="000B38BA" w:rsidP="000B38BA">
      <w:pPr>
        <w:pStyle w:val="SingleTxtGA"/>
        <w:rPr>
          <w:rtl/>
        </w:rPr>
      </w:pPr>
      <w:r w:rsidRPr="00CA7A4E">
        <w:rPr>
          <w:rtl/>
        </w:rPr>
        <w:t>5-10</w:t>
      </w:r>
      <w:r w:rsidRPr="00CA7A4E">
        <w:rPr>
          <w:rtl/>
        </w:rPr>
        <w:tab/>
        <w:t>وأخيراً، وفيما يتعلق بانتهاك المادة 2(3) من العهد، مقروءة بالاقتران مع المواد 6 و7 و17، يشير أصحاب البلاغ إلى ما يلي:</w:t>
      </w:r>
      <w:r w:rsidRPr="00CA7A4E">
        <w:rPr>
          <w:rFonts w:hint="cs"/>
          <w:rtl/>
        </w:rPr>
        <w:t xml:space="preserve"> (أ) </w:t>
      </w:r>
      <w:r w:rsidRPr="00CA7A4E">
        <w:rPr>
          <w:rtl/>
        </w:rPr>
        <w:t xml:space="preserve">لم يُجر أي تشريح لجثة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(ب) لم يُجر أي تحقيق جنائي فيما يتعلق بمالكي الأعمال التجارية الزراعية المجاورة التي تبين أنها ارتكبت انتهاكات إدارية؛ (ج) لم </w:t>
      </w:r>
      <w:r>
        <w:rPr>
          <w:rFonts w:hint="cs"/>
          <w:rtl/>
        </w:rPr>
        <w:t>ي</w:t>
      </w:r>
      <w:r w:rsidRPr="00CA7A4E">
        <w:rPr>
          <w:rtl/>
        </w:rPr>
        <w:t xml:space="preserve">ؤد أي </w:t>
      </w:r>
      <w:r>
        <w:rPr>
          <w:rFonts w:hint="cs"/>
          <w:rtl/>
        </w:rPr>
        <w:t xml:space="preserve">سبيل من سبل </w:t>
      </w:r>
      <w:r w:rsidRPr="00CA7A4E">
        <w:rPr>
          <w:rtl/>
        </w:rPr>
        <w:t xml:space="preserve">الانتصاف التي </w:t>
      </w:r>
      <w:r>
        <w:rPr>
          <w:rFonts w:hint="cs"/>
          <w:rtl/>
        </w:rPr>
        <w:t xml:space="preserve">التمسوها </w:t>
      </w:r>
      <w:r w:rsidRPr="00CA7A4E">
        <w:rPr>
          <w:rtl/>
        </w:rPr>
        <w:t>إلى تصحيح غياب تدابير الوقاية لحماية المناطق من الرش، الذي لا يزال مستمر</w:t>
      </w:r>
      <w:r w:rsidR="00A03F01">
        <w:rPr>
          <w:rtl/>
        </w:rPr>
        <w:t>اً</w:t>
      </w:r>
      <w:r w:rsidR="0069070B">
        <w:rPr>
          <w:rtl/>
        </w:rPr>
        <w:t xml:space="preserve">، </w:t>
      </w:r>
      <w:r w:rsidRPr="00CA7A4E">
        <w:rPr>
          <w:rtl/>
        </w:rPr>
        <w:t xml:space="preserve">أو إلى اتخاذ تدابير محددة لتنظيف المجاري المائية القريبة وتنقيتها؛ (د) لم يتلق المتضررون </w:t>
      </w:r>
      <w:r w:rsidRPr="00CA7A4E">
        <w:rPr>
          <w:rFonts w:hint="cs"/>
          <w:rtl/>
        </w:rPr>
        <w:t>جبر</w:t>
      </w:r>
      <w:r w:rsidR="00A03F01">
        <w:rPr>
          <w:rFonts w:hint="cs"/>
          <w:rtl/>
        </w:rPr>
        <w:t xml:space="preserve">اً </w:t>
      </w:r>
      <w:r w:rsidRPr="00CA7A4E">
        <w:rPr>
          <w:rFonts w:hint="cs"/>
          <w:rtl/>
        </w:rPr>
        <w:t xml:space="preserve">للضرر الذي لا يزال يصيبهم جراء تلك </w:t>
      </w:r>
      <w:r w:rsidRPr="00CA7A4E">
        <w:rPr>
          <w:rtl/>
        </w:rPr>
        <w:t>الانتهاكات.</w:t>
      </w:r>
    </w:p>
    <w:p w:rsidR="000B38BA" w:rsidRPr="00CA7A4E" w:rsidRDefault="000B38BA" w:rsidP="000B38BA">
      <w:pPr>
        <w:pStyle w:val="H23GA"/>
        <w:rPr>
          <w:rtl/>
        </w:rPr>
      </w:pPr>
      <w:r w:rsidRPr="00CA7A4E">
        <w:rPr>
          <w:rtl/>
        </w:rPr>
        <w:tab/>
      </w:r>
      <w:r w:rsidRPr="00CA7A4E">
        <w:rPr>
          <w:rtl/>
        </w:rPr>
        <w:tab/>
      </w:r>
      <w:r w:rsidRPr="00CA7A4E">
        <w:rPr>
          <w:rFonts w:hint="cs"/>
          <w:rtl/>
        </w:rPr>
        <w:t xml:space="preserve">المسائل </w:t>
      </w:r>
      <w:r w:rsidRPr="00CA7A4E">
        <w:rPr>
          <w:rtl/>
        </w:rPr>
        <w:t>والإجراءات المعروضة على اللجنة</w:t>
      </w:r>
    </w:p>
    <w:p w:rsidR="000B38BA" w:rsidRPr="00CA7A4E" w:rsidRDefault="000B38BA" w:rsidP="000B38BA">
      <w:pPr>
        <w:pStyle w:val="H4GA"/>
        <w:rPr>
          <w:rtl/>
        </w:rPr>
      </w:pPr>
      <w:r w:rsidRPr="00CA7A4E">
        <w:rPr>
          <w:rtl/>
        </w:rPr>
        <w:tab/>
      </w:r>
      <w:r w:rsidRPr="00CA7A4E">
        <w:rPr>
          <w:rtl/>
        </w:rPr>
        <w:tab/>
        <w:t>النظر في المقبولية</w:t>
      </w:r>
    </w:p>
    <w:p w:rsidR="000B38BA" w:rsidRPr="00CA7A4E" w:rsidRDefault="000B38BA" w:rsidP="000B38BA">
      <w:pPr>
        <w:pStyle w:val="SingleTxtGA"/>
        <w:rPr>
          <w:rtl/>
        </w:rPr>
      </w:pPr>
      <w:r w:rsidRPr="00CA7A4E">
        <w:rPr>
          <w:rtl/>
        </w:rPr>
        <w:t>6-1</w:t>
      </w:r>
      <w:r w:rsidRPr="00CA7A4E">
        <w:rPr>
          <w:rtl/>
        </w:rPr>
        <w:tab/>
        <w:t>قبل النظر في أي ادعاءات ترد في بلاغ ما، يتعين على اللجنة المعنية بحقوق الإنسان أن تقرر، وفقاً للمادة 97 من نظامها الداخلي، ما إذا كان البلاغ مقبولاً بموجب البروتوكول الاختياري الملحق بالعهد.</w:t>
      </w:r>
    </w:p>
    <w:p w:rsidR="000B38BA" w:rsidRPr="00CA7A4E" w:rsidRDefault="000B38BA" w:rsidP="003E36FA">
      <w:pPr>
        <w:pStyle w:val="SingleTxtGA"/>
        <w:spacing w:line="370" w:lineRule="exact"/>
        <w:rPr>
          <w:rtl/>
        </w:rPr>
      </w:pPr>
      <w:r w:rsidRPr="00CA7A4E">
        <w:rPr>
          <w:rtl/>
        </w:rPr>
        <w:lastRenderedPageBreak/>
        <w:t>6-2</w:t>
      </w:r>
      <w:r w:rsidRPr="00CA7A4E">
        <w:rPr>
          <w:rtl/>
        </w:rPr>
        <w:tab/>
        <w:t>وقد تأكدت اللجنة، وفق</w:t>
      </w:r>
      <w:r w:rsidR="00A03F01">
        <w:rPr>
          <w:rtl/>
        </w:rPr>
        <w:t xml:space="preserve">اً </w:t>
      </w:r>
      <w:r w:rsidRPr="00CA7A4E">
        <w:rPr>
          <w:rtl/>
        </w:rPr>
        <w:t>لما تنص عليه المادة 5(2)(أ) من البروتوكول الاختياري، من أن المسألة نفسها لا يجري بحثها في إطار إجراء آخر من إجراءات التحقيق الدولي أو التسوية الدولية.</w:t>
      </w:r>
    </w:p>
    <w:p w:rsidR="000B38BA" w:rsidRPr="00CA7A4E" w:rsidRDefault="000B38BA" w:rsidP="003E36FA">
      <w:pPr>
        <w:pStyle w:val="SingleTxtGA"/>
        <w:spacing w:line="370" w:lineRule="exact"/>
        <w:rPr>
          <w:rtl/>
        </w:rPr>
      </w:pPr>
      <w:r w:rsidRPr="00CA7A4E">
        <w:rPr>
          <w:rFonts w:hint="cs"/>
          <w:rtl/>
        </w:rPr>
        <w:t>6-3</w:t>
      </w:r>
      <w:r w:rsidRPr="00CA7A4E">
        <w:rPr>
          <w:rtl/>
        </w:rPr>
        <w:tab/>
        <w:t>وتحيط اللجنة علماً بدفع الدولة الطرف بأن البلاغ غير مقبول من حيث الاختصاص الموضوعي لأن الحقوق البيئية غير منصوص عليها في العهد.</w:t>
      </w:r>
      <w:r w:rsidRPr="00CA7A4E">
        <w:rPr>
          <w:rFonts w:hint="cs"/>
          <w:rtl/>
        </w:rPr>
        <w:t xml:space="preserve"> </w:t>
      </w:r>
      <w:r w:rsidRPr="00CA7A4E">
        <w:rPr>
          <w:rtl/>
        </w:rPr>
        <w:t>وتلاحظ اللجنة أيض</w:t>
      </w:r>
      <w:r w:rsidR="00A03F01">
        <w:rPr>
          <w:rtl/>
        </w:rPr>
        <w:t xml:space="preserve">اً </w:t>
      </w:r>
      <w:r w:rsidRPr="00CA7A4E">
        <w:rPr>
          <w:rtl/>
        </w:rPr>
        <w:t>أن أصحاب البلاغ ذكروا أنهم لا يد</w:t>
      </w:r>
      <w:r w:rsidRPr="00CA7A4E">
        <w:rPr>
          <w:rFonts w:hint="cs"/>
          <w:rtl/>
        </w:rPr>
        <w:t>ّ</w:t>
      </w:r>
      <w:r w:rsidRPr="00CA7A4E">
        <w:rPr>
          <w:rtl/>
        </w:rPr>
        <w:t>عون حدوث انتهاك للحق في بيئة صحية بل حدوث انتهاكات لحقهم في الحياة، والسلامة البدنية، والخصوصية، والحياة الأسرية، وفي الحصول على انتصاف فعال، وأن مطالبتهم تقوم على أساس أن الدولة الطرف لم تف بالتزامها الإيجابي بحماية تلك الحقوق، وهو ما يستلزم، في الحالة المطروحة، إنفاذ المعايير البيئية.</w:t>
      </w:r>
      <w:r w:rsidRPr="00CA7A4E">
        <w:rPr>
          <w:rFonts w:hint="cs"/>
          <w:rtl/>
        </w:rPr>
        <w:t xml:space="preserve"> </w:t>
      </w:r>
      <w:r w:rsidRPr="00CA7A4E">
        <w:rPr>
          <w:rtl/>
        </w:rPr>
        <w:t>ولذلك ترى اللجنة أن المادة 3 من البروتوكول الاختياري لا تشكل عقبة أمام استنتاج مقبولية هذا البلاغ.</w:t>
      </w:r>
    </w:p>
    <w:p w:rsidR="000B38BA" w:rsidRPr="00CA7A4E" w:rsidRDefault="000B38BA" w:rsidP="003E36FA">
      <w:pPr>
        <w:pStyle w:val="SingleTxtGA"/>
        <w:spacing w:line="370" w:lineRule="exact"/>
        <w:rPr>
          <w:rtl/>
        </w:rPr>
      </w:pPr>
      <w:r w:rsidRPr="00CA7A4E">
        <w:rPr>
          <w:rtl/>
        </w:rPr>
        <w:t>6-4</w:t>
      </w:r>
      <w:r w:rsidRPr="00CA7A4E">
        <w:rPr>
          <w:rtl/>
        </w:rPr>
        <w:tab/>
        <w:t>وتحيط اللجنة علماً بدفع الدولة الطرف فيما يتعلق بعدم استنفاد سبل الانتصاف المحلية، وقولها إن هناك تحقيقاً جنائياً جاري</w:t>
      </w:r>
      <w:r w:rsidR="00A03F01">
        <w:rPr>
          <w:rtl/>
        </w:rPr>
        <w:t xml:space="preserve">اً </w:t>
      </w:r>
      <w:r w:rsidRPr="00CA7A4E">
        <w:rPr>
          <w:rtl/>
        </w:rPr>
        <w:t xml:space="preserve">في وفاة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وتسمم أصحاب البلاغ نتيجة لانتهاك القوانين البيئية.</w:t>
      </w:r>
      <w:r w:rsidRPr="00CA7A4E">
        <w:rPr>
          <w:rFonts w:hint="cs"/>
          <w:rtl/>
        </w:rPr>
        <w:t xml:space="preserve"> </w:t>
      </w:r>
      <w:r w:rsidRPr="00CA7A4E">
        <w:rPr>
          <w:rtl/>
        </w:rPr>
        <w:t>وتشير اللجنة إلى أن الغرض من اشتراط استنفاد سبل الانتصاف المحلية هو إتاحة الفرصة للدول الأطراف لأداء واجبها في حماية وضمان الحقوق المنصوص عليها في العهد</w:t>
      </w:r>
      <w:r w:rsidRPr="00CA7A4E">
        <w:rPr>
          <w:rStyle w:val="FootnoteReference"/>
          <w:rtl/>
        </w:rPr>
        <w:footnoteReference w:customMarkFollows="1" w:id="39"/>
        <w:t>(37)</w:t>
      </w:r>
      <w:r w:rsidRPr="00CA7A4E">
        <w:rPr>
          <w:rtl/>
        </w:rPr>
        <w:t>.</w:t>
      </w:r>
      <w:r w:rsidRPr="00CA7A4E">
        <w:rPr>
          <w:rFonts w:hint="cs"/>
          <w:rtl/>
        </w:rPr>
        <w:t xml:space="preserve"> </w:t>
      </w:r>
      <w:r w:rsidRPr="00CA7A4E">
        <w:rPr>
          <w:rtl/>
        </w:rPr>
        <w:t>ومع ذلك، وعملاً بالمادة 5</w:t>
      </w:r>
      <w:r w:rsidR="00D1570D">
        <w:rPr>
          <w:rtl/>
        </w:rPr>
        <w:t>(</w:t>
      </w:r>
      <w:r w:rsidRPr="00CA7A4E">
        <w:rPr>
          <w:rtl/>
        </w:rPr>
        <w:t>2)</w:t>
      </w:r>
      <w:r w:rsidR="00D1570D">
        <w:rPr>
          <w:rtl/>
        </w:rPr>
        <w:t>(</w:t>
      </w:r>
      <w:r w:rsidRPr="00CA7A4E">
        <w:rPr>
          <w:rtl/>
        </w:rPr>
        <w:t>ب) من البروتوكول الاختياري، ينبغي ألا تكون سبل الانتصاف المحلية مطولة على نحو غير معقول.</w:t>
      </w:r>
      <w:r w:rsidRPr="00CA7A4E">
        <w:rPr>
          <w:rFonts w:hint="cs"/>
          <w:rtl/>
        </w:rPr>
        <w:t xml:space="preserve"> </w:t>
      </w:r>
      <w:r w:rsidRPr="00CA7A4E">
        <w:rPr>
          <w:rtl/>
        </w:rPr>
        <w:t>و</w:t>
      </w:r>
      <w:r w:rsidRPr="00CA7A4E">
        <w:rPr>
          <w:rFonts w:hint="cs"/>
          <w:rtl/>
        </w:rPr>
        <w:t>نظر</w:t>
      </w:r>
      <w:r w:rsidR="00A03F01">
        <w:rPr>
          <w:rFonts w:hint="cs"/>
          <w:rtl/>
        </w:rPr>
        <w:t xml:space="preserve">اً </w:t>
      </w:r>
      <w:r w:rsidRPr="00CA7A4E">
        <w:rPr>
          <w:rtl/>
        </w:rPr>
        <w:t xml:space="preserve">إلى أكثر من ثماني سنوات </w:t>
      </w:r>
      <w:r w:rsidRPr="00CA7A4E">
        <w:rPr>
          <w:rFonts w:hint="cs"/>
          <w:rtl/>
        </w:rPr>
        <w:t xml:space="preserve">انقضت </w:t>
      </w:r>
      <w:r w:rsidRPr="00CA7A4E">
        <w:rPr>
          <w:rtl/>
        </w:rPr>
        <w:t>على الأحداث المعنية، وأن القضية الجنائية لم تحقق تقدماً ملموساً، وأن الدولة الطرف فشلت في تبرير ذلك التأخير الكبير، ترى اللجنة أن التحقيق قد طال أمده بشكل غير معقول، وأنه لها أن تنظر تبع</w:t>
      </w:r>
      <w:r w:rsidR="00A03F01">
        <w:rPr>
          <w:rtl/>
        </w:rPr>
        <w:t xml:space="preserve">اً </w:t>
      </w:r>
      <w:r w:rsidRPr="00CA7A4E">
        <w:rPr>
          <w:rtl/>
        </w:rPr>
        <w:t>لذلك في هذا البلاغ</w:t>
      </w:r>
      <w:r w:rsidRPr="00CA7A4E">
        <w:rPr>
          <w:rStyle w:val="FootnoteReference"/>
          <w:rtl/>
        </w:rPr>
        <w:footnoteReference w:customMarkFollows="1" w:id="40"/>
        <w:t>(38)</w:t>
      </w:r>
      <w:r w:rsidRPr="00CA7A4E">
        <w:rPr>
          <w:rtl/>
        </w:rPr>
        <w:t>.</w:t>
      </w:r>
      <w:r w:rsidRPr="00CA7A4E">
        <w:rPr>
          <w:rtl/>
        </w:rPr>
        <w:tab/>
      </w:r>
    </w:p>
    <w:p w:rsidR="000B38BA" w:rsidRPr="00CA7A4E" w:rsidRDefault="000B38BA" w:rsidP="003E36FA">
      <w:pPr>
        <w:pStyle w:val="SingleTxtGA"/>
        <w:spacing w:line="370" w:lineRule="exact"/>
        <w:rPr>
          <w:rtl/>
        </w:rPr>
      </w:pPr>
      <w:r w:rsidRPr="00CA7A4E">
        <w:rPr>
          <w:rtl/>
        </w:rPr>
        <w:t>6-5</w:t>
      </w:r>
      <w:r w:rsidRPr="00CA7A4E">
        <w:rPr>
          <w:rtl/>
        </w:rPr>
        <w:tab/>
        <w:t>وتحيط اللجنة علماً كذلك بدفع الدولة الطرف بأن أصحاب البلاغ لم يستنفدوا جميع سبل الانتصاف المحلية المتاحة لأنهم لم يرفعوا دعوى حيازة مدنية.</w:t>
      </w:r>
      <w:r w:rsidRPr="00CA7A4E">
        <w:rPr>
          <w:rFonts w:hint="cs"/>
          <w:rtl/>
        </w:rPr>
        <w:t xml:space="preserve"> </w:t>
      </w:r>
      <w:r w:rsidRPr="00CA7A4E">
        <w:rPr>
          <w:rtl/>
        </w:rPr>
        <w:t>غير أن اللجنة تحيط علم</w:t>
      </w:r>
      <w:r w:rsidR="00A03F01">
        <w:rPr>
          <w:rtl/>
        </w:rPr>
        <w:t xml:space="preserve">اً </w:t>
      </w:r>
      <w:r w:rsidRPr="00CA7A4E">
        <w:rPr>
          <w:rtl/>
        </w:rPr>
        <w:t>بتأكيد أصحاب البلاغ أن ذلك النوع من الدعوى ليس وسيلة فعالة لطلب حماية حقهم في الحياة والسلامة من الانتهاكات الناجمة عن عدم استجابة السلطات بشكل فعال.</w:t>
      </w:r>
      <w:r w:rsidRPr="00CA7A4E">
        <w:rPr>
          <w:rFonts w:hint="cs"/>
          <w:rtl/>
        </w:rPr>
        <w:t xml:space="preserve"> </w:t>
      </w:r>
      <w:r w:rsidRPr="00CA7A4E">
        <w:rPr>
          <w:rtl/>
        </w:rPr>
        <w:t>وتشير اللجنة إلى أنه تمشياً مع المادة 5</w:t>
      </w:r>
      <w:r w:rsidR="00D1570D">
        <w:rPr>
          <w:rtl/>
        </w:rPr>
        <w:t>(</w:t>
      </w:r>
      <w:r w:rsidRPr="00CA7A4E">
        <w:rPr>
          <w:rtl/>
        </w:rPr>
        <w:t>2)</w:t>
      </w:r>
      <w:r w:rsidR="00D1570D">
        <w:rPr>
          <w:rtl/>
        </w:rPr>
        <w:t>(</w:t>
      </w:r>
      <w:r w:rsidRPr="00CA7A4E">
        <w:rPr>
          <w:rtl/>
        </w:rPr>
        <w:t>ب) من البروتوكول الاختياري، فإن أصحاب البلاغ ليسوا مطالبين بأكثر من استخدام جميع السبل التي تتيح لهم إمكانية معقولة للانتصاف</w:t>
      </w:r>
      <w:r w:rsidRPr="00CA7A4E">
        <w:rPr>
          <w:rStyle w:val="FootnoteReference"/>
          <w:rtl/>
        </w:rPr>
        <w:footnoteReference w:customMarkFollows="1" w:id="41"/>
        <w:t>(39)</w:t>
      </w:r>
      <w:r w:rsidRPr="00CA7A4E">
        <w:rPr>
          <w:rtl/>
        </w:rPr>
        <w:t>، والتي تتعلق بالانتهاك المزعوم، والتي تتيح الحصول على تعويض متناسب مع الضرر الذي حدث.</w:t>
      </w:r>
      <w:r w:rsidRPr="00CA7A4E">
        <w:rPr>
          <w:rFonts w:hint="cs"/>
          <w:rtl/>
        </w:rPr>
        <w:t xml:space="preserve"> </w:t>
      </w:r>
      <w:r w:rsidRPr="00CA7A4E">
        <w:rPr>
          <w:rtl/>
        </w:rPr>
        <w:t>وتلاحظ اللجنة أيض</w:t>
      </w:r>
      <w:r w:rsidR="00A03F01">
        <w:rPr>
          <w:rtl/>
        </w:rPr>
        <w:t xml:space="preserve">اً </w:t>
      </w:r>
      <w:r w:rsidRPr="00CA7A4E">
        <w:rPr>
          <w:rtl/>
        </w:rPr>
        <w:t>أن المحكمة التي نظرت في طلب حق الحماية القضائية ذكرت أنه</w:t>
      </w:r>
      <w:r w:rsidRPr="00CA7A4E">
        <w:rPr>
          <w:rFonts w:hint="cs"/>
          <w:rtl/>
        </w:rPr>
        <w:t xml:space="preserve"> </w:t>
      </w:r>
      <w:proofErr w:type="gramStart"/>
      <w:r w:rsidRPr="00CA7A4E">
        <w:rPr>
          <w:rtl/>
        </w:rPr>
        <w:t>’’لا</w:t>
      </w:r>
      <w:proofErr w:type="gramEnd"/>
      <w:r w:rsidR="00A03F01">
        <w:rPr>
          <w:rFonts w:hint="cs"/>
          <w:rtl/>
        </w:rPr>
        <w:t> </w:t>
      </w:r>
      <w:r w:rsidRPr="00CA7A4E">
        <w:rPr>
          <w:rtl/>
        </w:rPr>
        <w:t>توجد قنوات قانونية منتظمة لطلب الحماية للحق الذي انتُهك، نظر</w:t>
      </w:r>
      <w:r w:rsidR="00A03F01">
        <w:rPr>
          <w:rtl/>
        </w:rPr>
        <w:t xml:space="preserve">اً </w:t>
      </w:r>
      <w:r w:rsidRPr="00CA7A4E">
        <w:rPr>
          <w:rtl/>
        </w:rPr>
        <w:t>لأن المؤسسات المسؤولة عن سياسات البيئة والصحة النباتية هي نفسها التي قصّرت في إنفاذ تلك السياسات‘‘.</w:t>
      </w:r>
      <w:r w:rsidRPr="00CA7A4E">
        <w:rPr>
          <w:rFonts w:hint="cs"/>
          <w:rtl/>
        </w:rPr>
        <w:t xml:space="preserve"> </w:t>
      </w:r>
      <w:r w:rsidRPr="00CA7A4E">
        <w:rPr>
          <w:rtl/>
        </w:rPr>
        <w:t>وعليه، تخلص اللجنة إلى أن رفع دعوى بشأن الحيازة المدنية لن تكون وسيلة انتصاف فعالة في هذه القضية، وتخلص إلى أن البلاغ مقبول بموجب المادة</w:t>
      </w:r>
      <w:r w:rsidR="003E0A2E">
        <w:rPr>
          <w:rFonts w:hint="cs"/>
          <w:rtl/>
        </w:rPr>
        <w:t xml:space="preserve"> 5</w:t>
      </w:r>
      <w:r w:rsidRPr="00CA7A4E">
        <w:rPr>
          <w:rtl/>
        </w:rPr>
        <w:t>(2)(ب) من البروتوكول الاختياري.</w:t>
      </w:r>
    </w:p>
    <w:p w:rsidR="000B38BA" w:rsidRPr="00CA7A4E" w:rsidRDefault="000B38BA" w:rsidP="000B38BA">
      <w:pPr>
        <w:pStyle w:val="SingleTxtGA"/>
        <w:rPr>
          <w:rtl/>
        </w:rPr>
      </w:pPr>
      <w:r w:rsidRPr="00CA7A4E">
        <w:rPr>
          <w:rtl/>
        </w:rPr>
        <w:lastRenderedPageBreak/>
        <w:t>6-6</w:t>
      </w:r>
      <w:r w:rsidRPr="00CA7A4E">
        <w:rPr>
          <w:rtl/>
        </w:rPr>
        <w:tab/>
        <w:t>وبما أن البلاغ يستوفي جميع الشروط المتعلقة بالمقبولية، وأن صحة ادعاءات أصحاب البلاغ، استناداً إلى المواد 2</w:t>
      </w:r>
      <w:r w:rsidR="00D1570D">
        <w:rPr>
          <w:rtl/>
        </w:rPr>
        <w:t>(</w:t>
      </w:r>
      <w:r w:rsidRPr="00CA7A4E">
        <w:rPr>
          <w:rtl/>
        </w:rPr>
        <w:t>3) و6 و7 و17 من العهد، قد ثبتت بما يكفي لأغراض استنتاج المقبولية، تعلن اللجنة أن البلاغ مقبول وتشرع في فحصه من حيث أسسه الموضوعية.</w:t>
      </w:r>
    </w:p>
    <w:p w:rsidR="000B38BA" w:rsidRPr="00CA7A4E" w:rsidRDefault="003E0A2E" w:rsidP="003E0A2E">
      <w:pPr>
        <w:pStyle w:val="H4GA"/>
        <w:rPr>
          <w:rtl/>
        </w:rPr>
      </w:pPr>
      <w:r>
        <w:rPr>
          <w:rtl/>
        </w:rPr>
        <w:tab/>
      </w:r>
      <w:r>
        <w:rPr>
          <w:rtl/>
        </w:rPr>
        <w:tab/>
      </w:r>
      <w:r w:rsidR="000B38BA" w:rsidRPr="00CA7A4E">
        <w:rPr>
          <w:rtl/>
        </w:rPr>
        <w:t>النظر في الأسس الموضوعية</w:t>
      </w:r>
    </w:p>
    <w:p w:rsidR="000B38BA" w:rsidRPr="00CA7A4E" w:rsidRDefault="000B38BA" w:rsidP="000B38BA">
      <w:pPr>
        <w:pStyle w:val="SingleTxtGA"/>
        <w:rPr>
          <w:rtl/>
        </w:rPr>
      </w:pPr>
      <w:r w:rsidRPr="00CA7A4E">
        <w:rPr>
          <w:rFonts w:hint="cs"/>
          <w:rtl/>
        </w:rPr>
        <w:t>7</w:t>
      </w:r>
      <w:r w:rsidRPr="00CA7A4E">
        <w:rPr>
          <w:rtl/>
        </w:rPr>
        <w:t>-1</w:t>
      </w:r>
      <w:r w:rsidRPr="00CA7A4E">
        <w:rPr>
          <w:rtl/>
        </w:rPr>
        <w:tab/>
        <w:t>نظرت اللجنة المعنية بحقوق الإنسان في هذا البلاغ في ضوء جميع المعلومات التي أتاحتها لها الأطراف، على النحو المنصوص عليه في المادة 5(1) من البروتوكول الاختياري.</w:t>
      </w:r>
    </w:p>
    <w:p w:rsidR="000B38BA" w:rsidRPr="00CA7A4E" w:rsidRDefault="000B38BA" w:rsidP="000B38BA">
      <w:pPr>
        <w:pStyle w:val="SingleTxtGA"/>
        <w:rPr>
          <w:rtl/>
        </w:rPr>
      </w:pPr>
      <w:r w:rsidRPr="00CA7A4E">
        <w:rPr>
          <w:rtl/>
        </w:rPr>
        <w:t>7-2</w:t>
      </w:r>
      <w:r w:rsidRPr="00CA7A4E">
        <w:rPr>
          <w:rtl/>
        </w:rPr>
        <w:tab/>
        <w:t xml:space="preserve">وتحيط اللجنة علماً بادعاء أصحاب البلاغ أن الأحداث في هذه القضية تشكل انتهاكاً </w:t>
      </w:r>
      <w:r w:rsidRPr="00CA7A4E">
        <w:rPr>
          <w:rFonts w:hint="cs"/>
          <w:rtl/>
        </w:rPr>
        <w:t xml:space="preserve">بالتقصير </w:t>
      </w:r>
      <w:r w:rsidRPr="00CA7A4E">
        <w:rPr>
          <w:rtl/>
        </w:rPr>
        <w:t xml:space="preserve">للمادة 6 من العهد فيما يتعلق بكل من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الذي توفي وقد ظهرت عليه أعراض التسمم بمبيدات الآفات، وأصحاب البلاغ أنفسهم، </w:t>
      </w:r>
      <w:r w:rsidRPr="00CA7A4E">
        <w:rPr>
          <w:rFonts w:hint="cs"/>
          <w:rtl/>
        </w:rPr>
        <w:t xml:space="preserve">نتيجة </w:t>
      </w:r>
      <w:r w:rsidRPr="00CA7A4E">
        <w:rPr>
          <w:rtl/>
        </w:rPr>
        <w:t>فشل الدولة الطرف في أداء واجبها في توفير الحماية.</w:t>
      </w:r>
      <w:r w:rsidRPr="00CA7A4E">
        <w:rPr>
          <w:rFonts w:hint="cs"/>
          <w:rtl/>
        </w:rPr>
        <w:t xml:space="preserve"> </w:t>
      </w:r>
      <w:r w:rsidRPr="00CA7A4E">
        <w:rPr>
          <w:rtl/>
        </w:rPr>
        <w:t xml:space="preserve">وهم يزعمون أن حقهم في </w:t>
      </w:r>
      <w:r w:rsidRPr="00CA7A4E">
        <w:rPr>
          <w:rFonts w:hint="cs"/>
          <w:rtl/>
        </w:rPr>
        <w:t>ال</w:t>
      </w:r>
      <w:r w:rsidRPr="00CA7A4E">
        <w:rPr>
          <w:rtl/>
        </w:rPr>
        <w:t>حياة</w:t>
      </w:r>
      <w:r w:rsidRPr="00CA7A4E">
        <w:rPr>
          <w:rFonts w:hint="cs"/>
          <w:rtl/>
        </w:rPr>
        <w:t xml:space="preserve"> بكرامة</w:t>
      </w:r>
      <w:r w:rsidRPr="00CA7A4E">
        <w:rPr>
          <w:rtl/>
        </w:rPr>
        <w:t xml:space="preserve"> قد انتُهك نتيجة التبخير المستمر الذي يُحدث تأثير</w:t>
      </w:r>
      <w:r w:rsidR="00A03F01">
        <w:rPr>
          <w:rtl/>
        </w:rPr>
        <w:t xml:space="preserve">اً </w:t>
      </w:r>
      <w:r w:rsidRPr="00CA7A4E">
        <w:rPr>
          <w:rtl/>
        </w:rPr>
        <w:t>سلبي</w:t>
      </w:r>
      <w:r w:rsidR="00A03F01">
        <w:rPr>
          <w:rtl/>
        </w:rPr>
        <w:t xml:space="preserve">اً </w:t>
      </w:r>
      <w:r w:rsidRPr="00CA7A4E">
        <w:rPr>
          <w:rtl/>
        </w:rPr>
        <w:t xml:space="preserve">على حياتهم اليومية، ويلوث المجاري المائية التي يصطادون فيها، والآبار التي يشربون منها، والمحاصيل وحيوانات المزارع التي هي مصدر غذائهم، وقد أدى كل ذلك إلى تسممهم مما تطلب دخولهم إلى المستشفى بسبب نفس الأعراض التي عانى منها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(الغثيان، والدوار، والصداع، والحمى، وآلام المعدة، والقيء، والإسهال، والسعال، والالتهابات الجلدية).</w:t>
      </w:r>
      <w:r w:rsidRPr="00CA7A4E">
        <w:rPr>
          <w:rFonts w:hint="cs"/>
          <w:rtl/>
        </w:rPr>
        <w:t xml:space="preserve"> </w:t>
      </w:r>
      <w:r w:rsidRPr="00CA7A4E">
        <w:rPr>
          <w:rtl/>
        </w:rPr>
        <w:t>وتلاحظ اللجنة أيض</w:t>
      </w:r>
      <w:r w:rsidR="00A03F01">
        <w:rPr>
          <w:rtl/>
        </w:rPr>
        <w:t xml:space="preserve">اً </w:t>
      </w:r>
      <w:r w:rsidRPr="00CA7A4E">
        <w:rPr>
          <w:rtl/>
        </w:rPr>
        <w:t xml:space="preserve">أن الدولة الطرف تؤكد أن أصحاب البلاغ لم يثبتوا أنهم تسمموا بمبيدات الآفات وأن </w:t>
      </w:r>
      <w:proofErr w:type="spellStart"/>
      <w:r w:rsidRPr="00CA7A4E">
        <w:rPr>
          <w:rtl/>
        </w:rPr>
        <w:t>الليندن</w:t>
      </w:r>
      <w:proofErr w:type="spellEnd"/>
      <w:r w:rsidRPr="00CA7A4E">
        <w:rPr>
          <w:rtl/>
        </w:rPr>
        <w:t xml:space="preserve"> هو المادة الكيميائية الزراعية السامة الوحيدة التي وجدت بتركيز أعلى من العتبة المسموح بها.</w:t>
      </w:r>
      <w:r w:rsidRPr="00CA7A4E">
        <w:rPr>
          <w:rFonts w:hint="cs"/>
          <w:rtl/>
        </w:rPr>
        <w:t xml:space="preserve"> </w:t>
      </w:r>
      <w:r w:rsidRPr="00CA7A4E">
        <w:rPr>
          <w:rtl/>
        </w:rPr>
        <w:t xml:space="preserve">غير أن اللجنة تلاحظ أن تقرير النيابة العامة عن نتائج تحليل عينات المياه المأخوذة من البئر الذي تستخدمه أسرة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يشير إلى وجود </w:t>
      </w:r>
      <w:proofErr w:type="spellStart"/>
      <w:r w:rsidRPr="00CA7A4E">
        <w:rPr>
          <w:rtl/>
        </w:rPr>
        <w:t>الألدرين</w:t>
      </w:r>
      <w:proofErr w:type="spellEnd"/>
      <w:r w:rsidRPr="00CA7A4E">
        <w:rPr>
          <w:rtl/>
        </w:rPr>
        <w:t xml:space="preserve"> </w:t>
      </w:r>
      <w:proofErr w:type="spellStart"/>
      <w:r w:rsidRPr="00CA7A4E">
        <w:rPr>
          <w:rtl/>
        </w:rPr>
        <w:t>والليندن</w:t>
      </w:r>
      <w:proofErr w:type="spellEnd"/>
      <w:r w:rsidRPr="00CA7A4E">
        <w:rPr>
          <w:rtl/>
        </w:rPr>
        <w:t>، وهما مبيد آفات ومبيد حشرات محظوران بموجب قانون باراغواي.</w:t>
      </w:r>
      <w:r w:rsidRPr="00CA7A4E">
        <w:rPr>
          <w:rFonts w:hint="cs"/>
          <w:rtl/>
        </w:rPr>
        <w:t xml:space="preserve"> </w:t>
      </w:r>
      <w:r w:rsidRPr="00CA7A4E">
        <w:rPr>
          <w:rtl/>
        </w:rPr>
        <w:t xml:space="preserve">وبالإضافة إلى ذلك، تلاحظ اللجنة أنه لم يجر تشريح جثة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بالرغم من طلب ذلك في أربع مناسبات مختلفة بغرض تحديد ما إذا كانت هناك آثار لكيماويات زراعية في أجهزته الداخلية؛ وأن التاريخ الطبي لأصحاب البلاغ ونتائج اختباراتهم للدم والبول لم تُدرج في ملف القضية؛ وأن الدولة الطرف لم</w:t>
      </w:r>
      <w:r w:rsidR="003E0A2E">
        <w:rPr>
          <w:rFonts w:hint="cs"/>
          <w:rtl/>
        </w:rPr>
        <w:t> </w:t>
      </w:r>
      <w:r w:rsidRPr="00CA7A4E">
        <w:rPr>
          <w:rtl/>
        </w:rPr>
        <w:t>تقدم أي دليل لإثبات أن القيم التي أسفرت عنها تحليلات عينات الدم والبول كانت داخل النطاقات الطبيعية.</w:t>
      </w:r>
      <w:r w:rsidRPr="00CA7A4E">
        <w:rPr>
          <w:rFonts w:hint="cs"/>
          <w:rtl/>
        </w:rPr>
        <w:t xml:space="preserve"> </w:t>
      </w:r>
      <w:r w:rsidRPr="00CA7A4E">
        <w:rPr>
          <w:rtl/>
        </w:rPr>
        <w:t>وتشير اللجنة إلى أن ما يجعل عبء الإثبات لا يقع على عاتق أصحاب البلاغ فقط، هو، على وجه الخصوص، أنه ليس للطرفين</w:t>
      </w:r>
      <w:r w:rsidRPr="00CA7A4E">
        <w:rPr>
          <w:rFonts w:hint="cs"/>
          <w:rtl/>
        </w:rPr>
        <w:t xml:space="preserve">، </w:t>
      </w:r>
      <w:r w:rsidRPr="00CA7A4E">
        <w:rPr>
          <w:rtl/>
        </w:rPr>
        <w:t>أصحاب البلاغ والدولة الطرف</w:t>
      </w:r>
      <w:r w:rsidRPr="00CA7A4E">
        <w:rPr>
          <w:rFonts w:hint="cs"/>
          <w:rtl/>
        </w:rPr>
        <w:t xml:space="preserve">، </w:t>
      </w:r>
      <w:r w:rsidRPr="00CA7A4E">
        <w:rPr>
          <w:rtl/>
        </w:rPr>
        <w:t>دائم</w:t>
      </w:r>
      <w:r w:rsidR="00A03F01">
        <w:rPr>
          <w:rtl/>
        </w:rPr>
        <w:t xml:space="preserve">اً </w:t>
      </w:r>
      <w:r w:rsidRPr="00CA7A4E">
        <w:rPr>
          <w:rtl/>
        </w:rPr>
        <w:t>نفس القدرة على الوصول إلى الأدلة؛ فغالب</w:t>
      </w:r>
      <w:r w:rsidR="00A03F01">
        <w:rPr>
          <w:rtl/>
        </w:rPr>
        <w:t xml:space="preserve">اً </w:t>
      </w:r>
      <w:r w:rsidRPr="00CA7A4E">
        <w:rPr>
          <w:rtl/>
        </w:rPr>
        <w:t>ما تكون للدولة الطرف وحدها، في كثير من</w:t>
      </w:r>
      <w:r w:rsidR="003E0A2E">
        <w:rPr>
          <w:rFonts w:hint="cs"/>
          <w:rtl/>
        </w:rPr>
        <w:t> </w:t>
      </w:r>
      <w:r w:rsidRPr="00CA7A4E">
        <w:rPr>
          <w:rtl/>
        </w:rPr>
        <w:t>الأحيان، إمكانية الوصول إلى المعلومات اللازمة. وفي الحالات التي يتوقف فيها التوضيح</w:t>
      </w:r>
      <w:r w:rsidR="003E0A2E">
        <w:rPr>
          <w:rFonts w:hint="cs"/>
          <w:rtl/>
        </w:rPr>
        <w:t> </w:t>
      </w:r>
      <w:r w:rsidRPr="00CA7A4E">
        <w:rPr>
          <w:rtl/>
        </w:rPr>
        <w:t>على معلومات متاحة فقط للدولة الطرف، يجوز للجنة أن تعتبر أن للادعاءات ما</w:t>
      </w:r>
      <w:r w:rsidR="003E0A2E">
        <w:rPr>
          <w:rFonts w:hint="cs"/>
          <w:rtl/>
        </w:rPr>
        <w:t> </w:t>
      </w:r>
      <w:r w:rsidRPr="00CA7A4E">
        <w:rPr>
          <w:rtl/>
        </w:rPr>
        <w:t xml:space="preserve">يبررها إذا لم </w:t>
      </w:r>
      <w:proofErr w:type="spellStart"/>
      <w:r w:rsidRPr="00CA7A4E">
        <w:rPr>
          <w:rtl/>
        </w:rPr>
        <w:t>تدحضها</w:t>
      </w:r>
      <w:proofErr w:type="spellEnd"/>
      <w:r w:rsidRPr="00CA7A4E">
        <w:rPr>
          <w:rtl/>
        </w:rPr>
        <w:t xml:space="preserve"> الدولة الطرف بتقديمها أدلة وتفسيرات مُرضية</w:t>
      </w:r>
      <w:r w:rsidRPr="00CA7A4E">
        <w:rPr>
          <w:rStyle w:val="FootnoteReference"/>
          <w:rtl/>
        </w:rPr>
        <w:footnoteReference w:customMarkFollows="1" w:id="42"/>
        <w:t>(40)</w:t>
      </w:r>
      <w:r w:rsidR="003E0A2E">
        <w:rPr>
          <w:rFonts w:hint="cs"/>
          <w:rtl/>
        </w:rPr>
        <w:t>.</w:t>
      </w:r>
    </w:p>
    <w:p w:rsidR="000B38BA" w:rsidRPr="00CA7A4E" w:rsidRDefault="000B38BA" w:rsidP="000B38BA">
      <w:pPr>
        <w:pStyle w:val="SingleTxtGA"/>
        <w:rPr>
          <w:rtl/>
        </w:rPr>
      </w:pPr>
      <w:r w:rsidRPr="00CA7A4E">
        <w:rPr>
          <w:rtl/>
        </w:rPr>
        <w:t>7-3</w:t>
      </w:r>
      <w:r w:rsidRPr="00CA7A4E">
        <w:rPr>
          <w:rtl/>
        </w:rPr>
        <w:tab/>
        <w:t>وتلاحظ اللجنة أن التفسير الضيق لا يلائم بشكل كاف المفهوم الكامل للحق في الحياة، وأن على الدول أن تتخذ إجراءً إيجابياً لحماية ذلك الحق</w:t>
      </w:r>
      <w:r w:rsidRPr="00CA7A4E">
        <w:rPr>
          <w:rStyle w:val="FootnoteReference"/>
          <w:rtl/>
        </w:rPr>
        <w:footnoteReference w:customMarkFollows="1" w:id="43"/>
        <w:t>(41)</w:t>
      </w:r>
      <w:r w:rsidRPr="00CA7A4E">
        <w:rPr>
          <w:rtl/>
        </w:rPr>
        <w:t>.</w:t>
      </w:r>
      <w:r w:rsidRPr="00CA7A4E">
        <w:rPr>
          <w:rFonts w:hint="cs"/>
          <w:rtl/>
        </w:rPr>
        <w:t xml:space="preserve"> </w:t>
      </w:r>
      <w:r w:rsidRPr="00CA7A4E">
        <w:rPr>
          <w:rtl/>
        </w:rPr>
        <w:t>وتشير اللجنة إلى تعليقها العام رقم 36، الذي أثبتت فيه أن الحق في الحياة يشمل أيضا</w:t>
      </w:r>
      <w:r w:rsidR="001677DB">
        <w:rPr>
          <w:rFonts w:hint="cs"/>
          <w:rtl/>
        </w:rPr>
        <w:t>ً</w:t>
      </w:r>
      <w:r w:rsidRPr="00CA7A4E">
        <w:rPr>
          <w:rtl/>
        </w:rPr>
        <w:t xml:space="preserve"> حق الأفراد في </w:t>
      </w:r>
      <w:r w:rsidRPr="00CA7A4E">
        <w:rPr>
          <w:rFonts w:hint="cs"/>
          <w:rtl/>
        </w:rPr>
        <w:t>ال</w:t>
      </w:r>
      <w:r w:rsidRPr="00CA7A4E">
        <w:rPr>
          <w:rtl/>
        </w:rPr>
        <w:t xml:space="preserve">حياة </w:t>
      </w:r>
      <w:r w:rsidRPr="00CA7A4E">
        <w:rPr>
          <w:rFonts w:hint="cs"/>
          <w:rtl/>
        </w:rPr>
        <w:t xml:space="preserve">بكرامة </w:t>
      </w:r>
      <w:r w:rsidRPr="00CA7A4E">
        <w:rPr>
          <w:rtl/>
        </w:rPr>
        <w:lastRenderedPageBreak/>
        <w:t>وعدم الوقوع ضحية لأفعال أو أوجه تقصير تتسبب في وفاتهم وفاة غير طبيعية أو مبكرة</w:t>
      </w:r>
      <w:r w:rsidRPr="00CA7A4E">
        <w:rPr>
          <w:rStyle w:val="FootnoteReference"/>
          <w:rtl/>
        </w:rPr>
        <w:footnoteReference w:customMarkFollows="1" w:id="44"/>
        <w:t>(42)</w:t>
      </w:r>
      <w:r w:rsidRPr="00CA7A4E">
        <w:rPr>
          <w:rtl/>
        </w:rPr>
        <w:t>.</w:t>
      </w:r>
      <w:r w:rsidRPr="00CA7A4E">
        <w:rPr>
          <w:rFonts w:hint="cs"/>
          <w:rtl/>
        </w:rPr>
        <w:t xml:space="preserve"> </w:t>
      </w:r>
      <w:r w:rsidRPr="00CA7A4E">
        <w:rPr>
          <w:rtl/>
        </w:rPr>
        <w:t>وينبغي للدول الأطراف أن تتخذ التدابير الملائمة لمعالجة الظروف الاجتماعية العامة التي قد تتسبب في أخطار مباشرة تهدد حياة الأشخاص أو تمنعهم من التمتع بحقهم في الحياة بكرامة، وتشمل تلك الظروف تدهور البيئة</w:t>
      </w:r>
      <w:r w:rsidR="001677DB" w:rsidRPr="00CA7A4E">
        <w:rPr>
          <w:rStyle w:val="FootnoteReference"/>
          <w:rtl/>
        </w:rPr>
        <w:t xml:space="preserve"> </w:t>
      </w:r>
      <w:r w:rsidRPr="00CA7A4E">
        <w:rPr>
          <w:rStyle w:val="FootnoteReference"/>
          <w:rtl/>
        </w:rPr>
        <w:footnoteReference w:customMarkFollows="1" w:id="45"/>
        <w:t>(43)</w:t>
      </w:r>
      <w:r w:rsidRPr="00CA7A4E">
        <w:rPr>
          <w:rtl/>
        </w:rPr>
        <w:t>.</w:t>
      </w:r>
      <w:r w:rsidRPr="00CA7A4E">
        <w:rPr>
          <w:rFonts w:hint="cs"/>
          <w:rtl/>
        </w:rPr>
        <w:t xml:space="preserve"> </w:t>
      </w:r>
      <w:r w:rsidRPr="00CA7A4E">
        <w:rPr>
          <w:rtl/>
        </w:rPr>
        <w:t xml:space="preserve">وتلاحظ اللجنة في هذا الصدد أن الدولة الطرف ملزمة </w:t>
      </w:r>
      <w:r w:rsidRPr="003E36FA">
        <w:rPr>
          <w:spacing w:val="-4"/>
          <w:rtl/>
        </w:rPr>
        <w:t>أيضاً باتفاقية استكهولم بشأن الملوثات العضوية الثابتة.</w:t>
      </w:r>
      <w:r w:rsidRPr="003E36FA">
        <w:rPr>
          <w:rFonts w:hint="cs"/>
          <w:spacing w:val="-4"/>
          <w:rtl/>
        </w:rPr>
        <w:t xml:space="preserve"> </w:t>
      </w:r>
      <w:r w:rsidRPr="003E36FA">
        <w:rPr>
          <w:spacing w:val="-4"/>
          <w:rtl/>
        </w:rPr>
        <w:t>وتشير اللجنة أيض</w:t>
      </w:r>
      <w:r w:rsidR="00A03F01" w:rsidRPr="003E36FA">
        <w:rPr>
          <w:spacing w:val="-4"/>
          <w:rtl/>
        </w:rPr>
        <w:t xml:space="preserve">اً </w:t>
      </w:r>
      <w:r w:rsidRPr="003E36FA">
        <w:rPr>
          <w:spacing w:val="-4"/>
          <w:rtl/>
        </w:rPr>
        <w:t>إلى أن الدول الأطراف</w:t>
      </w:r>
      <w:r w:rsidRPr="00CA7A4E">
        <w:rPr>
          <w:rtl/>
        </w:rPr>
        <w:t xml:space="preserve"> </w:t>
      </w:r>
      <w:r w:rsidRPr="003E36FA">
        <w:rPr>
          <w:spacing w:val="-4"/>
          <w:rtl/>
        </w:rPr>
        <w:t>قد تكون في حالة انتهاك للمادة 6 حتى لو لم تؤد تلك الأخطار والأوضاع إلى فقدان الحياة</w:t>
      </w:r>
      <w:r w:rsidRPr="003E36FA">
        <w:rPr>
          <w:rStyle w:val="FootnoteReference"/>
          <w:spacing w:val="-4"/>
          <w:rtl/>
        </w:rPr>
        <w:footnoteReference w:customMarkFollows="1" w:id="46"/>
        <w:t>(44)</w:t>
      </w:r>
      <w:r w:rsidRPr="003E36FA">
        <w:rPr>
          <w:spacing w:val="-4"/>
          <w:rtl/>
        </w:rPr>
        <w:t>.</w:t>
      </w:r>
    </w:p>
    <w:p w:rsidR="000B38BA" w:rsidRPr="00CA7A4E" w:rsidRDefault="000B38BA" w:rsidP="000B38BA">
      <w:pPr>
        <w:pStyle w:val="SingleTxtGA"/>
        <w:rPr>
          <w:rtl/>
        </w:rPr>
      </w:pPr>
      <w:r w:rsidRPr="00CA7A4E">
        <w:rPr>
          <w:rtl/>
        </w:rPr>
        <w:t>7-4</w:t>
      </w:r>
      <w:r w:rsidRPr="00CA7A4E">
        <w:rPr>
          <w:rtl/>
        </w:rPr>
        <w:tab/>
        <w:t>وتحيط اللجنة علماً أيضاً بالتطورات في المحاكم الدولية الأخرى التي اعترفت بوجود صلة لا يمكن إنكارها بين حماية البيئة وإعمال حقوق الإنسان، وأثبتت أن التدهور البيئي يمكن أن يؤثر سلباً على التمتع الفعلي بالحق في الحياة</w:t>
      </w:r>
      <w:r w:rsidRPr="00CA7A4E">
        <w:rPr>
          <w:rStyle w:val="FootnoteReference"/>
          <w:rtl/>
        </w:rPr>
        <w:footnoteReference w:customMarkFollows="1" w:id="47"/>
        <w:t>(45)</w:t>
      </w:r>
      <w:r w:rsidRPr="00CA7A4E">
        <w:rPr>
          <w:rtl/>
        </w:rPr>
        <w:t>.</w:t>
      </w:r>
      <w:r w:rsidRPr="00CA7A4E">
        <w:rPr>
          <w:rFonts w:hint="cs"/>
          <w:rtl/>
        </w:rPr>
        <w:t xml:space="preserve"> </w:t>
      </w:r>
      <w:r w:rsidRPr="00CA7A4E">
        <w:rPr>
          <w:rtl/>
        </w:rPr>
        <w:t>وبالتالي، فإن التدهور البيئي الشديد أدى إلى استنتاج حدوث انتهاكات للحق في الحياة</w:t>
      </w:r>
      <w:r w:rsidRPr="00CA7A4E">
        <w:rPr>
          <w:rStyle w:val="FootnoteReference"/>
          <w:rtl/>
        </w:rPr>
        <w:footnoteReference w:customMarkFollows="1" w:id="48"/>
        <w:t>(46)</w:t>
      </w:r>
      <w:r w:rsidRPr="00CA7A4E">
        <w:rPr>
          <w:rtl/>
        </w:rPr>
        <w:t>.</w:t>
      </w:r>
    </w:p>
    <w:p w:rsidR="000B38BA" w:rsidRPr="00CA7A4E" w:rsidRDefault="000B38BA" w:rsidP="000B38BA">
      <w:pPr>
        <w:pStyle w:val="SingleTxtGA"/>
        <w:rPr>
          <w:rtl/>
        </w:rPr>
      </w:pPr>
      <w:r w:rsidRPr="00CA7A4E">
        <w:rPr>
          <w:rtl/>
        </w:rPr>
        <w:t>7-5</w:t>
      </w:r>
      <w:r w:rsidRPr="00CA7A4E">
        <w:rPr>
          <w:rtl/>
        </w:rPr>
        <w:tab/>
        <w:t xml:space="preserve">وفي هذه </w:t>
      </w:r>
      <w:r w:rsidRPr="00CA7A4E">
        <w:rPr>
          <w:rFonts w:hint="cs"/>
          <w:rtl/>
        </w:rPr>
        <w:t>الحالة</w:t>
      </w:r>
      <w:r w:rsidRPr="00CA7A4E">
        <w:rPr>
          <w:rtl/>
        </w:rPr>
        <w:t>، ترى اللجنة أن رش المنطقة ب</w:t>
      </w:r>
      <w:r w:rsidRPr="00CA7A4E">
        <w:rPr>
          <w:rFonts w:hint="cs"/>
          <w:rtl/>
        </w:rPr>
        <w:t>كثافة</w:t>
      </w:r>
      <w:r w:rsidRPr="00CA7A4E">
        <w:rPr>
          <w:rtl/>
        </w:rPr>
        <w:t xml:space="preserve"> بالكيماويات الزراعية السامة - وهو إجراء تم توثيقه بشكل واف</w:t>
      </w:r>
      <w:r w:rsidRPr="00CA7A4E">
        <w:rPr>
          <w:rStyle w:val="FootnoteReference"/>
          <w:rtl/>
        </w:rPr>
        <w:footnoteReference w:customMarkFollows="1" w:id="49"/>
        <w:t>(47)</w:t>
      </w:r>
      <w:r w:rsidRPr="00CA7A4E">
        <w:rPr>
          <w:rtl/>
        </w:rPr>
        <w:t xml:space="preserve"> - يشكل خطر</w:t>
      </w:r>
      <w:r w:rsidR="00A03F01">
        <w:rPr>
          <w:rtl/>
        </w:rPr>
        <w:t xml:space="preserve">اً </w:t>
      </w:r>
      <w:r w:rsidRPr="00CA7A4E">
        <w:rPr>
          <w:rtl/>
        </w:rPr>
        <w:t xml:space="preserve">متوقعاً بشكل معقول على حياة أصحاب البلاغ بالنظر إلى أن ذلك التبخير الواسع النطاق قد تسبب في تلوث الأنهار التي يصطاد فيها أصحاب البلاغ، ومياه الآبار التي يشربونها، وأشجار </w:t>
      </w:r>
      <w:r w:rsidRPr="00CA7A4E">
        <w:rPr>
          <w:rFonts w:hint="cs"/>
          <w:rtl/>
        </w:rPr>
        <w:t xml:space="preserve">الثمار </w:t>
      </w:r>
      <w:r w:rsidRPr="00CA7A4E">
        <w:rPr>
          <w:rtl/>
        </w:rPr>
        <w:t>والمحاصيل وحيوانات المزارع، التي هي مصدر غذائهم.</w:t>
      </w:r>
      <w:r w:rsidRPr="00CA7A4E">
        <w:rPr>
          <w:rFonts w:hint="cs"/>
          <w:rtl/>
        </w:rPr>
        <w:t xml:space="preserve"> </w:t>
      </w:r>
      <w:r w:rsidRPr="00CA7A4E">
        <w:rPr>
          <w:rtl/>
        </w:rPr>
        <w:t>وقد نُقل أصحاب البلاغ إلى المستشفى بسبب تسممهم، ولم تقدم الدولة الطرف أي دليل من أي نوع لإثبات أن قيَم اختبارات دمهم وبولهم كانت ضمن النطاق الطبيعي، ولم تقدم أي تفسير بديل للأحداث المذكورة.</w:t>
      </w:r>
      <w:r w:rsidRPr="00CA7A4E">
        <w:rPr>
          <w:rFonts w:hint="cs"/>
          <w:rtl/>
        </w:rPr>
        <w:t xml:space="preserve"> </w:t>
      </w:r>
      <w:r w:rsidRPr="00CA7A4E">
        <w:rPr>
          <w:rtl/>
        </w:rPr>
        <w:t xml:space="preserve">وعلاوة على ذلك، توفي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بدون أي تفسير من الدولة الطرف لوفاته، حيث لم يجر تشريح لجثته.</w:t>
      </w:r>
      <w:r w:rsidRPr="00CA7A4E">
        <w:rPr>
          <w:rFonts w:hint="cs"/>
          <w:rtl/>
        </w:rPr>
        <w:t xml:space="preserve"> </w:t>
      </w:r>
      <w:r w:rsidRPr="00CA7A4E">
        <w:rPr>
          <w:rtl/>
        </w:rPr>
        <w:t xml:space="preserve">وتلاحظ اللجنة أيضاً أنه خلال فترة لا تقل عن خمس سنوات قبل حدوث أحداث هذه القضية، استُرعي </w:t>
      </w:r>
      <w:r>
        <w:rPr>
          <w:rFonts w:hint="cs"/>
          <w:rtl/>
        </w:rPr>
        <w:t>ا</w:t>
      </w:r>
      <w:r w:rsidRPr="00CA7A4E">
        <w:rPr>
          <w:rtl/>
        </w:rPr>
        <w:t xml:space="preserve">نتباه عدد من السلطات الحكومية إلى عمليات التبخير وتأثيرها على سكان </w:t>
      </w:r>
      <w:r w:rsidRPr="00CA7A4E">
        <w:rPr>
          <w:rFonts w:hint="cs"/>
          <w:rtl/>
        </w:rPr>
        <w:t>مستوطنة</w:t>
      </w:r>
      <w:r w:rsidRPr="00CA7A4E">
        <w:rPr>
          <w:rtl/>
        </w:rPr>
        <w:t xml:space="preserve"> </w:t>
      </w:r>
      <w:proofErr w:type="spellStart"/>
      <w:r w:rsidRPr="00CA7A4E">
        <w:rPr>
          <w:rtl/>
        </w:rPr>
        <w:t>يروتي</w:t>
      </w:r>
      <w:proofErr w:type="spellEnd"/>
      <w:r w:rsidRPr="00CA7A4E">
        <w:rPr>
          <w:rtl/>
        </w:rPr>
        <w:t xml:space="preserve"> (الفقرة 2-6).</w:t>
      </w:r>
      <w:r w:rsidRPr="00CA7A4E">
        <w:rPr>
          <w:rFonts w:hint="cs"/>
          <w:rtl/>
        </w:rPr>
        <w:t xml:space="preserve"> </w:t>
      </w:r>
      <w:r w:rsidRPr="00CA7A4E">
        <w:rPr>
          <w:rtl/>
        </w:rPr>
        <w:t>وبالرغم من تلك التقارير والشكاوى، لم تتخذ الدولة الطرف أي إجراء.</w:t>
      </w:r>
      <w:r w:rsidRPr="00CA7A4E">
        <w:rPr>
          <w:rFonts w:hint="cs"/>
          <w:rtl/>
        </w:rPr>
        <w:t xml:space="preserve"> </w:t>
      </w:r>
      <w:r w:rsidRPr="00CA7A4E">
        <w:rPr>
          <w:rtl/>
        </w:rPr>
        <w:t>و</w:t>
      </w:r>
      <w:r>
        <w:rPr>
          <w:rFonts w:hint="cs"/>
          <w:rtl/>
        </w:rPr>
        <w:t>بالمثل،</w:t>
      </w:r>
      <w:r w:rsidR="0069070B">
        <w:rPr>
          <w:rFonts w:hint="cs"/>
          <w:rtl/>
        </w:rPr>
        <w:t xml:space="preserve"> </w:t>
      </w:r>
      <w:r w:rsidRPr="00CA7A4E">
        <w:rPr>
          <w:rtl/>
        </w:rPr>
        <w:t xml:space="preserve">أقرت الدولة الطرف، بفرضها عقوبات إدارية على اثنين من المنتجين (الفقرة 4-5)، بأن تلك الأنشطة تشكل خطراً، وهو واقع لا يتأثر بوقف الإجراءات التي صدر بشأنها أمر في إحدى هذه القضايا على أساس ارتكاب أخطاء رسمية في الإجراءات التي اتخذتها السلطات </w:t>
      </w:r>
      <w:r w:rsidRPr="00CA7A4E">
        <w:rPr>
          <w:rtl/>
        </w:rPr>
        <w:lastRenderedPageBreak/>
        <w:t>البيئية (الفقرة 5-8).</w:t>
      </w:r>
      <w:r w:rsidRPr="00CA7A4E">
        <w:rPr>
          <w:rFonts w:hint="cs"/>
          <w:rtl/>
        </w:rPr>
        <w:t xml:space="preserve"> </w:t>
      </w:r>
      <w:r w:rsidRPr="00CA7A4E">
        <w:rPr>
          <w:rtl/>
        </w:rPr>
        <w:t>و</w:t>
      </w:r>
      <w:r>
        <w:rPr>
          <w:rFonts w:hint="cs"/>
          <w:rtl/>
        </w:rPr>
        <w:t xml:space="preserve">إضافة إلى ذلك، </w:t>
      </w:r>
      <w:r w:rsidRPr="00CA7A4E">
        <w:rPr>
          <w:rtl/>
        </w:rPr>
        <w:t>أقرت وزارة البيئة بمسؤوليتها عن عدم وجود رقابة.</w:t>
      </w:r>
      <w:r w:rsidRPr="00CA7A4E">
        <w:rPr>
          <w:rFonts w:hint="cs"/>
          <w:rtl/>
        </w:rPr>
        <w:t xml:space="preserve"> </w:t>
      </w:r>
      <w:r w:rsidRPr="00CA7A4E">
        <w:rPr>
          <w:rtl/>
        </w:rPr>
        <w:t>وأخير</w:t>
      </w:r>
      <w:r w:rsidR="00A03F01">
        <w:rPr>
          <w:rFonts w:hint="cs"/>
          <w:rtl/>
        </w:rPr>
        <w:t xml:space="preserve">اً، </w:t>
      </w:r>
      <w:r w:rsidRPr="00CA7A4E">
        <w:rPr>
          <w:rtl/>
        </w:rPr>
        <w:t xml:space="preserve">ذكرت المحكمة المحلية بوضوح، عند قبولها طلب إصدار أمر بالحماية القضائية، أن </w:t>
      </w:r>
      <w:proofErr w:type="gramStart"/>
      <w:r w:rsidRPr="00CA7A4E">
        <w:rPr>
          <w:rtl/>
        </w:rPr>
        <w:t>’’الدولة</w:t>
      </w:r>
      <w:proofErr w:type="gramEnd"/>
      <w:r w:rsidRPr="00CA7A4E">
        <w:rPr>
          <w:rtl/>
        </w:rPr>
        <w:t xml:space="preserve"> لم تف بالتزاماتها أو لم تؤد واجبها في الحماية‘‘.</w:t>
      </w:r>
      <w:r w:rsidRPr="00CA7A4E">
        <w:rPr>
          <w:rFonts w:hint="cs"/>
          <w:rtl/>
        </w:rPr>
        <w:t xml:space="preserve"> </w:t>
      </w:r>
      <w:r w:rsidRPr="00CA7A4E">
        <w:rPr>
          <w:rtl/>
        </w:rPr>
        <w:t>وبالرغم مما تقدم، تواصلت عمليات التبخير.</w:t>
      </w:r>
      <w:r w:rsidRPr="00CA7A4E">
        <w:rPr>
          <w:rFonts w:hint="cs"/>
          <w:rtl/>
        </w:rPr>
        <w:t xml:space="preserve"> </w:t>
      </w:r>
      <w:r w:rsidRPr="00CA7A4E">
        <w:rPr>
          <w:rtl/>
        </w:rPr>
        <w:t>وبالتالي، ونظر</w:t>
      </w:r>
      <w:r w:rsidR="00A03F01">
        <w:rPr>
          <w:rtl/>
        </w:rPr>
        <w:t xml:space="preserve">اً </w:t>
      </w:r>
      <w:r w:rsidRPr="00CA7A4E">
        <w:rPr>
          <w:rtl/>
        </w:rPr>
        <w:t xml:space="preserve">للتسمم الحاد الذي عانى منه أصحاب البلاغ، كما </w:t>
      </w:r>
      <w:r w:rsidRPr="00CA7A4E">
        <w:rPr>
          <w:rFonts w:hint="cs"/>
          <w:rtl/>
        </w:rPr>
        <w:t>اعتُرف به في الأمر ب</w:t>
      </w:r>
      <w:r w:rsidRPr="00CA7A4E">
        <w:rPr>
          <w:rtl/>
        </w:rPr>
        <w:t xml:space="preserve">الحماية القضائية الصادر في عام 2011 (الفقرتان 2-20 و2-21)، ولوفاة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الذي لم تجر الدولة الطرف أبدا تشريح</w:t>
      </w:r>
      <w:r w:rsidR="00A03F01">
        <w:rPr>
          <w:rtl/>
        </w:rPr>
        <w:t xml:space="preserve">اً </w:t>
      </w:r>
      <w:r w:rsidRPr="00CA7A4E">
        <w:rPr>
          <w:rtl/>
        </w:rPr>
        <w:t xml:space="preserve">لجثته، تخلص اللجنة إلى أن المعلومات المعروضة عليها تكشف عن انتهاك للمادة 6 من العهد في حالات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 xml:space="preserve"> وأصحاب هذا البلاغ.</w:t>
      </w:r>
    </w:p>
    <w:p w:rsidR="000B38BA" w:rsidRPr="00CA7A4E" w:rsidRDefault="000B38BA" w:rsidP="000B38BA">
      <w:pPr>
        <w:pStyle w:val="SingleTxtGA"/>
        <w:rPr>
          <w:rtl/>
        </w:rPr>
      </w:pPr>
      <w:r w:rsidRPr="00CA7A4E">
        <w:rPr>
          <w:rtl/>
        </w:rPr>
        <w:t>7-6</w:t>
      </w:r>
      <w:r w:rsidRPr="00CA7A4E">
        <w:rPr>
          <w:rtl/>
        </w:rPr>
        <w:tab/>
        <w:t>وبعد أن خلصت اللجنة إلى حدوث انتهاك للمادة 6 من العهد فإنها لا ترى ضرورة تناول مسألة ما إذا كانت تلك الأعمال تشكل انتهاكاً للمادة 7.</w:t>
      </w:r>
    </w:p>
    <w:p w:rsidR="000B38BA" w:rsidRPr="00CA7A4E" w:rsidRDefault="000B38BA" w:rsidP="000B38BA">
      <w:pPr>
        <w:pStyle w:val="SingleTxtGA"/>
        <w:rPr>
          <w:rtl/>
        </w:rPr>
      </w:pPr>
      <w:r w:rsidRPr="00CA7A4E">
        <w:rPr>
          <w:rtl/>
        </w:rPr>
        <w:t>7-7</w:t>
      </w:r>
      <w:r w:rsidRPr="00CA7A4E">
        <w:rPr>
          <w:rtl/>
        </w:rPr>
        <w:tab/>
        <w:t>وفيما يتعلق بالانتهاك المزعوم للمادة 17 من العهد، تحيط اللجنة علماً بادعاء أصحاب البلاغ أن حيوانات المزارع والمحاصيل وأشجار الفاكهة وموارد المياه والأسماك تشكل عناصر من خصوصيتهم وحياتهم الأسرية، و</w:t>
      </w:r>
      <w:r w:rsidRPr="00CA7A4E">
        <w:rPr>
          <w:rFonts w:hint="cs"/>
          <w:rtl/>
        </w:rPr>
        <w:t>بيوتهم</w:t>
      </w:r>
      <w:r w:rsidRPr="00CA7A4E">
        <w:rPr>
          <w:rtl/>
        </w:rPr>
        <w:t>، وأن إخفاق الدولة الطرف في إنفاذ المعايير البيئية يشكل بالتالي حالة من التدخل التعسفي في خصوصيتهم و</w:t>
      </w:r>
      <w:r>
        <w:rPr>
          <w:rFonts w:hint="cs"/>
          <w:rtl/>
        </w:rPr>
        <w:t xml:space="preserve">شؤون </w:t>
      </w:r>
      <w:r w:rsidRPr="00CA7A4E">
        <w:rPr>
          <w:rtl/>
        </w:rPr>
        <w:t>أسرهم و</w:t>
      </w:r>
      <w:r w:rsidRPr="00CA7A4E">
        <w:rPr>
          <w:rFonts w:hint="cs"/>
          <w:rtl/>
        </w:rPr>
        <w:t>بيوتهم</w:t>
      </w:r>
      <w:r w:rsidRPr="00CA7A4E">
        <w:rPr>
          <w:rtl/>
        </w:rPr>
        <w:t>.</w:t>
      </w:r>
      <w:r w:rsidRPr="00CA7A4E">
        <w:rPr>
          <w:rFonts w:hint="cs"/>
          <w:rtl/>
        </w:rPr>
        <w:t xml:space="preserve"> </w:t>
      </w:r>
      <w:r w:rsidRPr="00CA7A4E">
        <w:rPr>
          <w:rtl/>
        </w:rPr>
        <w:t>ويدعي أصحاب البلاغ أيضاً أن نطاق الحماية التي توفرها المادة 17 من العهد يشمل الحماية من التلوث البيئي، وأن الدولة تتحمل بالتالي مسؤولية الإخلال بمقتضيات اليقظة لعدم وضعها ضوابط للنشاط الزراعي الذي يسبب التلوث.</w:t>
      </w:r>
      <w:r w:rsidRPr="00CA7A4E">
        <w:rPr>
          <w:rFonts w:hint="cs"/>
          <w:rtl/>
        </w:rPr>
        <w:t xml:space="preserve"> </w:t>
      </w:r>
      <w:r w:rsidRPr="00CA7A4E">
        <w:rPr>
          <w:rtl/>
        </w:rPr>
        <w:t>وتحيط اللجنة علماً أيضاً بأنه، وفقاً للدولة الطرف،</w:t>
      </w:r>
      <w:r w:rsidRPr="00CA7A4E">
        <w:rPr>
          <w:rFonts w:hint="cs"/>
          <w:rtl/>
        </w:rPr>
        <w:t xml:space="preserve"> فُرضت </w:t>
      </w:r>
      <w:r w:rsidRPr="00CA7A4E">
        <w:rPr>
          <w:rtl/>
        </w:rPr>
        <w:t>عقوبات إدارية على الشركات المعنية وأن تهم</w:t>
      </w:r>
      <w:r w:rsidR="00A03F01">
        <w:rPr>
          <w:rtl/>
        </w:rPr>
        <w:t xml:space="preserve">اً </w:t>
      </w:r>
      <w:r w:rsidRPr="00CA7A4E">
        <w:rPr>
          <w:rtl/>
        </w:rPr>
        <w:t>جنائية وُجهت إلى أربعة أفراد، وبدونها لا تكون هناك أي انتهاكات للمادة 17 من العهد.</w:t>
      </w:r>
      <w:r w:rsidRPr="00CA7A4E">
        <w:rPr>
          <w:rFonts w:hint="cs"/>
          <w:rtl/>
        </w:rPr>
        <w:t xml:space="preserve"> </w:t>
      </w:r>
      <w:r w:rsidRPr="00CA7A4E">
        <w:rPr>
          <w:rtl/>
        </w:rPr>
        <w:t xml:space="preserve">غير أن اللجنة تلاحظ أن تطبيق تلك الإجراءات الإدارية قد توقف في نهاية المطاف بسبب ارتكاب أخطاء </w:t>
      </w:r>
      <w:r w:rsidRPr="00CA7A4E">
        <w:rPr>
          <w:rFonts w:hint="cs"/>
          <w:rtl/>
        </w:rPr>
        <w:t xml:space="preserve">شكلية </w:t>
      </w:r>
      <w:r w:rsidRPr="00CA7A4E">
        <w:rPr>
          <w:rtl/>
        </w:rPr>
        <w:t>في الإجراءات التي اتخذتها السلطات البيئية (الفقرة 5-8)، وأن الرش غير المشروع للمحاصيل لم</w:t>
      </w:r>
      <w:r w:rsidR="009D280B">
        <w:rPr>
          <w:rFonts w:hint="cs"/>
          <w:rtl/>
        </w:rPr>
        <w:t> </w:t>
      </w:r>
      <w:r w:rsidRPr="00CA7A4E">
        <w:rPr>
          <w:rtl/>
        </w:rPr>
        <w:t>يتوقف.</w:t>
      </w:r>
    </w:p>
    <w:p w:rsidR="000B38BA" w:rsidRPr="00CA7A4E" w:rsidRDefault="000B38BA" w:rsidP="000B38BA">
      <w:pPr>
        <w:pStyle w:val="SingleTxtGA"/>
        <w:rPr>
          <w:rtl/>
        </w:rPr>
      </w:pPr>
      <w:r w:rsidRPr="00CA7A4E">
        <w:rPr>
          <w:rtl/>
        </w:rPr>
        <w:t>7-8</w:t>
      </w:r>
      <w:r w:rsidRPr="00CA7A4E">
        <w:rPr>
          <w:rtl/>
        </w:rPr>
        <w:tab/>
        <w:t xml:space="preserve">وتلاحظ اللجنة أن أصحاب البلاغ، وهم </w:t>
      </w:r>
      <w:r w:rsidRPr="00CA7A4E">
        <w:rPr>
          <w:rFonts w:hint="cs"/>
          <w:rtl/>
        </w:rPr>
        <w:t xml:space="preserve">مزارعون </w:t>
      </w:r>
      <w:r w:rsidRPr="00CA7A4E">
        <w:rPr>
          <w:rtl/>
        </w:rPr>
        <w:t>من أسرة واحدة تمارس زراعة أسرية في أراض مملوكة للدولة ويديرها كيان حكومي (الفقرة 2-2)، يعتمدون في عيشهم على محاصيلهم، وأشجارهم المثمرة، وماشيتهم، ومواردهم المائية، وعلى صيدهم للأسماك.</w:t>
      </w:r>
      <w:r w:rsidRPr="00CA7A4E">
        <w:rPr>
          <w:rFonts w:hint="cs"/>
          <w:rtl/>
        </w:rPr>
        <w:t xml:space="preserve"> </w:t>
      </w:r>
      <w:r w:rsidRPr="00CA7A4E">
        <w:rPr>
          <w:rtl/>
        </w:rPr>
        <w:t>ولم تطعن الدولة الطرف في ذلك.</w:t>
      </w:r>
      <w:r w:rsidRPr="00CA7A4E">
        <w:rPr>
          <w:rFonts w:hint="cs"/>
          <w:rtl/>
        </w:rPr>
        <w:t xml:space="preserve"> </w:t>
      </w:r>
      <w:r w:rsidRPr="00CA7A4E">
        <w:rPr>
          <w:rtl/>
        </w:rPr>
        <w:t xml:space="preserve">وتشير اللجنة إلى أن مصطلح </w:t>
      </w:r>
      <w:proofErr w:type="gramStart"/>
      <w:r w:rsidRPr="00CA7A4E">
        <w:rPr>
          <w:rtl/>
        </w:rPr>
        <w:t>’’</w:t>
      </w:r>
      <w:r w:rsidRPr="00CA7A4E">
        <w:rPr>
          <w:rFonts w:hint="cs"/>
          <w:rtl/>
        </w:rPr>
        <w:t>البيت</w:t>
      </w:r>
      <w:proofErr w:type="gramEnd"/>
      <w:r w:rsidRPr="00CA7A4E">
        <w:rPr>
          <w:rtl/>
        </w:rPr>
        <w:t xml:space="preserve">‘‘ يجب أن يُفهم على أنه يشير إلى المكان الذي يقيم فيه الشخص أو يمارس فيه </w:t>
      </w:r>
      <w:r w:rsidRPr="00CA7A4E">
        <w:rPr>
          <w:rFonts w:hint="cs"/>
          <w:rtl/>
        </w:rPr>
        <w:t xml:space="preserve">نشاطه </w:t>
      </w:r>
      <w:r w:rsidRPr="00CA7A4E">
        <w:rPr>
          <w:rtl/>
        </w:rPr>
        <w:t>المعتاد</w:t>
      </w:r>
      <w:r w:rsidRPr="00CA7A4E">
        <w:rPr>
          <w:rStyle w:val="FootnoteReference"/>
          <w:rtl/>
        </w:rPr>
        <w:footnoteReference w:customMarkFollows="1" w:id="50"/>
        <w:t>(48)</w:t>
      </w:r>
      <w:r w:rsidRPr="00CA7A4E">
        <w:rPr>
          <w:rtl/>
        </w:rPr>
        <w:t>.</w:t>
      </w:r>
      <w:r w:rsidRPr="00CA7A4E">
        <w:rPr>
          <w:rFonts w:hint="cs"/>
          <w:rtl/>
        </w:rPr>
        <w:t xml:space="preserve"> </w:t>
      </w:r>
      <w:r w:rsidRPr="00CA7A4E">
        <w:rPr>
          <w:rtl/>
        </w:rPr>
        <w:t>وترى اللجنة أيض</w:t>
      </w:r>
      <w:r w:rsidR="00A03F01">
        <w:rPr>
          <w:rtl/>
        </w:rPr>
        <w:t xml:space="preserve">اً </w:t>
      </w:r>
      <w:r w:rsidRPr="00CA7A4E">
        <w:rPr>
          <w:rtl/>
        </w:rPr>
        <w:t>أن العناصر المذكورة أعلاه تشكل مكونات الطريقة التي يعيش بها أصحاب البلاغ الذين يربطهم بالأرض تعلقهم بها واعتمادهم عليها بشكل خاص</w:t>
      </w:r>
      <w:r w:rsidRPr="00CA7A4E">
        <w:rPr>
          <w:rStyle w:val="FootnoteReference"/>
          <w:rtl/>
        </w:rPr>
        <w:footnoteReference w:customMarkFollows="1" w:id="51"/>
        <w:t>(49)</w:t>
      </w:r>
      <w:r w:rsidRPr="00CA7A4E">
        <w:rPr>
          <w:rtl/>
        </w:rPr>
        <w:t>، وأنه يمكن اعتبار تلك العناصر جانب</w:t>
      </w:r>
      <w:r w:rsidR="00A03F01">
        <w:rPr>
          <w:rtl/>
        </w:rPr>
        <w:t xml:space="preserve">اً </w:t>
      </w:r>
      <w:r w:rsidRPr="00CA7A4E">
        <w:rPr>
          <w:rtl/>
        </w:rPr>
        <w:t>من نطاق الحماية المنصوص عليه في المادة 17 من العهد</w:t>
      </w:r>
      <w:r w:rsidRPr="00CA7A4E">
        <w:rPr>
          <w:rStyle w:val="FootnoteReference"/>
          <w:rtl/>
        </w:rPr>
        <w:footnoteReference w:customMarkFollows="1" w:id="52"/>
        <w:t>(50)</w:t>
      </w:r>
      <w:r w:rsidRPr="00CA7A4E">
        <w:rPr>
          <w:rtl/>
        </w:rPr>
        <w:t>.</w:t>
      </w:r>
      <w:r w:rsidRPr="00CA7A4E">
        <w:rPr>
          <w:rFonts w:hint="cs"/>
          <w:rtl/>
        </w:rPr>
        <w:t xml:space="preserve"> </w:t>
      </w:r>
      <w:r w:rsidRPr="00CA7A4E">
        <w:rPr>
          <w:rtl/>
        </w:rPr>
        <w:t xml:space="preserve">وترى اللجنة كذلك أنه لا ينبغي فهم المادة 17 على أنها تقتصر على الامتناع عن التدخل التعسفي، بل هي تشمل أيضاً التزام الدول الأطراف باتخاذ التدابير الإيجابية الضرورية لضمان الممارسة الفعالة لذلك الحق، في ضوء </w:t>
      </w:r>
      <w:r w:rsidRPr="00CA7A4E">
        <w:rPr>
          <w:rtl/>
        </w:rPr>
        <w:lastRenderedPageBreak/>
        <w:t>تدخل سلطات الدولة والأشخاص الطبيعيين أو الاعتباريين</w:t>
      </w:r>
      <w:r w:rsidRPr="00CA7A4E">
        <w:rPr>
          <w:rStyle w:val="FootnoteReference"/>
          <w:rtl/>
        </w:rPr>
        <w:footnoteReference w:customMarkFollows="1" w:id="53"/>
        <w:t>(51)</w:t>
      </w:r>
      <w:r w:rsidRPr="00CA7A4E">
        <w:rPr>
          <w:rtl/>
        </w:rPr>
        <w:t>.</w:t>
      </w:r>
      <w:r w:rsidRPr="00CA7A4E">
        <w:rPr>
          <w:rFonts w:hint="cs"/>
          <w:rtl/>
        </w:rPr>
        <w:t xml:space="preserve"> </w:t>
      </w:r>
      <w:r w:rsidRPr="00CA7A4E">
        <w:rPr>
          <w:rtl/>
        </w:rPr>
        <w:t>وفي هذه الحالة، تلاحظ اللجنة أن الدولة الطرف لم تضع ضوابط مناسبة للأنشطة غير القانونية التي تسببت في التلوث.</w:t>
      </w:r>
      <w:r w:rsidRPr="00CA7A4E">
        <w:rPr>
          <w:rFonts w:hint="cs"/>
          <w:rtl/>
        </w:rPr>
        <w:t xml:space="preserve"> </w:t>
      </w:r>
      <w:r w:rsidRPr="00CA7A4E">
        <w:rPr>
          <w:rtl/>
        </w:rPr>
        <w:t xml:space="preserve">وعدم قيام الدولة الطرف بأداء واجبها في الحماية، على النحو المعترف به في </w:t>
      </w:r>
      <w:r w:rsidRPr="00CA7A4E">
        <w:rPr>
          <w:rFonts w:hint="cs"/>
          <w:rtl/>
        </w:rPr>
        <w:t>الأمر ب</w:t>
      </w:r>
      <w:r w:rsidRPr="00CA7A4E">
        <w:rPr>
          <w:rtl/>
        </w:rPr>
        <w:t>الحماية القضائية (الفقرتان 2-20</w:t>
      </w:r>
      <w:r w:rsidR="0069070B">
        <w:rPr>
          <w:rtl/>
        </w:rPr>
        <w:t xml:space="preserve"> و</w:t>
      </w:r>
      <w:r w:rsidRPr="00CA7A4E">
        <w:rPr>
          <w:rtl/>
        </w:rPr>
        <w:t xml:space="preserve">2-21)، أتاح استمرار التبخير على نطاق واسع، في خرق للوائح الداخلية، بما في ذلك استخدام كيماويات زراعية محظورة، مما تسبب ليس فقط في تلوث مياه الآبار في </w:t>
      </w:r>
      <w:r w:rsidRPr="00CA7A4E">
        <w:rPr>
          <w:rFonts w:hint="cs"/>
          <w:rtl/>
        </w:rPr>
        <w:t>بيوت</w:t>
      </w:r>
      <w:r w:rsidRPr="00CA7A4E">
        <w:rPr>
          <w:rtl/>
        </w:rPr>
        <w:t xml:space="preserve"> أصحاب البلاغ، على النحو المعترف به من قبل النيابة العامة، وإنما أيض</w:t>
      </w:r>
      <w:r w:rsidR="00A03F01">
        <w:rPr>
          <w:rtl/>
        </w:rPr>
        <w:t xml:space="preserve">اً </w:t>
      </w:r>
      <w:r w:rsidRPr="00CA7A4E">
        <w:rPr>
          <w:rtl/>
        </w:rPr>
        <w:t xml:space="preserve">في نفوق الأسماك والماشية وفقدان المحاصيل والأشجار المثمرة على الأرض التي يعيش عليها أصحاب البلاغ ويزرعون محاصيلهم، وهي عناصر تشكل مكونات </w:t>
      </w:r>
      <w:r>
        <w:rPr>
          <w:rFonts w:hint="cs"/>
          <w:rtl/>
        </w:rPr>
        <w:t xml:space="preserve">خصوصيتهم وشؤون </w:t>
      </w:r>
      <w:r w:rsidRPr="00CA7A4E">
        <w:rPr>
          <w:rtl/>
        </w:rPr>
        <w:t>أسرهم و</w:t>
      </w:r>
      <w:r w:rsidRPr="00CA7A4E">
        <w:rPr>
          <w:rFonts w:hint="cs"/>
          <w:rtl/>
        </w:rPr>
        <w:t>بيوتهم</w:t>
      </w:r>
      <w:r w:rsidRPr="00CA7A4E">
        <w:rPr>
          <w:rtl/>
        </w:rPr>
        <w:t>.</w:t>
      </w:r>
      <w:r w:rsidRPr="00CA7A4E">
        <w:rPr>
          <w:rFonts w:hint="cs"/>
          <w:rtl/>
        </w:rPr>
        <w:t xml:space="preserve"> </w:t>
      </w:r>
      <w:r w:rsidRPr="00CA7A4E">
        <w:rPr>
          <w:rtl/>
        </w:rPr>
        <w:t>وتلاحظ اللجنة أن الدولة الطرف لم تقدم أي تفسير بديل في هذا الصدد.</w:t>
      </w:r>
      <w:r w:rsidRPr="00CA7A4E">
        <w:rPr>
          <w:rFonts w:hint="cs"/>
          <w:rtl/>
        </w:rPr>
        <w:t xml:space="preserve"> </w:t>
      </w:r>
      <w:r w:rsidRPr="00CA7A4E">
        <w:rPr>
          <w:rtl/>
        </w:rPr>
        <w:t xml:space="preserve">وعندما تكون للتلوث انعكاسات مباشرة على حق الناس في </w:t>
      </w:r>
      <w:r w:rsidRPr="00CA7A4E">
        <w:rPr>
          <w:rFonts w:hint="cs"/>
          <w:rtl/>
        </w:rPr>
        <w:t>الخصوصية وشؤون الأسرة والبيت</w:t>
      </w:r>
      <w:r w:rsidRPr="00CA7A4E">
        <w:rPr>
          <w:rtl/>
        </w:rPr>
        <w:t>، وتكون العواقب الضارة لذلك التلوث خطيرة بسبب شدته أو مدته أو ما يحدثه من ضرر جسدي أو</w:t>
      </w:r>
      <w:r w:rsidR="00A03F01">
        <w:rPr>
          <w:rFonts w:hint="cs"/>
          <w:rtl/>
        </w:rPr>
        <w:t> </w:t>
      </w:r>
      <w:r w:rsidRPr="00CA7A4E">
        <w:rPr>
          <w:rtl/>
        </w:rPr>
        <w:t xml:space="preserve">عقلي، فإنه يمكن لتدهور البيئة أن يؤثر بشكل سلبي على رفاه الأفراد وأن يمثل انتهاكات </w:t>
      </w:r>
      <w:r w:rsidRPr="00CA7A4E">
        <w:rPr>
          <w:rFonts w:hint="cs"/>
          <w:rtl/>
        </w:rPr>
        <w:t xml:space="preserve">للخصوصية وشؤون </w:t>
      </w:r>
      <w:r w:rsidRPr="00CA7A4E">
        <w:rPr>
          <w:rtl/>
        </w:rPr>
        <w:t>الأسرة والبيت</w:t>
      </w:r>
      <w:r w:rsidRPr="00CA7A4E">
        <w:rPr>
          <w:rStyle w:val="FootnoteReference"/>
          <w:rtl/>
        </w:rPr>
        <w:footnoteReference w:customMarkFollows="1" w:id="54"/>
        <w:t>(52)</w:t>
      </w:r>
      <w:r w:rsidRPr="00CA7A4E">
        <w:rPr>
          <w:rtl/>
        </w:rPr>
        <w:t>. وبالتالي، تخلص اللجنة في ضوء المعلومات التي عُرضت عليها إلى أن الأحداث موضع هذه الحالة تكشف عن انتهاك للمادة 17 من العهد.</w:t>
      </w:r>
    </w:p>
    <w:p w:rsidR="000B38BA" w:rsidRDefault="000B38BA" w:rsidP="000B38BA">
      <w:pPr>
        <w:pStyle w:val="SingleTxtGA"/>
        <w:rPr>
          <w:rtl/>
        </w:rPr>
      </w:pPr>
      <w:r w:rsidRPr="00CA7A4E">
        <w:rPr>
          <w:rtl/>
        </w:rPr>
        <w:t>7-9</w:t>
      </w:r>
      <w:r w:rsidRPr="00CA7A4E">
        <w:rPr>
          <w:rtl/>
        </w:rPr>
        <w:tab/>
        <w:t xml:space="preserve">وأخيراً، تحيط اللجنة علماً بادعاء أصحاب البلاغ أن الأحداث موضع هذه القضية تشكل أيضاً انتهاكاً للمادة 2(3) من العهد، مقروءة بالاقتران مع المادتين 6 و17، بسبب عدم القيام بتحقيق فعال وملائم ومحايد ودؤوب في التلوث البيئي الذي أصاب أصحاب البلاغ بالتسمم وأدى إلى وفاة السيد </w:t>
      </w:r>
      <w:proofErr w:type="spellStart"/>
      <w:r w:rsidRPr="00CA7A4E">
        <w:rPr>
          <w:rtl/>
        </w:rPr>
        <w:t>بورتيلو</w:t>
      </w:r>
      <w:proofErr w:type="spellEnd"/>
      <w:r w:rsidRPr="00CA7A4E">
        <w:rPr>
          <w:rtl/>
        </w:rPr>
        <w:t xml:space="preserve"> </w:t>
      </w:r>
      <w:proofErr w:type="spellStart"/>
      <w:r w:rsidRPr="00CA7A4E">
        <w:rPr>
          <w:rtl/>
        </w:rPr>
        <w:t>كاسيريس</w:t>
      </w:r>
      <w:proofErr w:type="spellEnd"/>
      <w:r w:rsidRPr="00CA7A4E">
        <w:rPr>
          <w:rtl/>
        </w:rPr>
        <w:t>.</w:t>
      </w:r>
      <w:r w:rsidRPr="00CA7A4E">
        <w:rPr>
          <w:rFonts w:hint="cs"/>
          <w:rtl/>
        </w:rPr>
        <w:t xml:space="preserve"> </w:t>
      </w:r>
      <w:r w:rsidRPr="00CA7A4E">
        <w:rPr>
          <w:rtl/>
        </w:rPr>
        <w:t xml:space="preserve">وهم يشيرون على وجه الخصوص إلى أن ملف القضية لم يُضمّن لا تاريخهم الطبي ولا نتائج اختباراتهم للدم والبول؛ وأن المشتبه بهم لم يدانوا، وأن التلوث لم يتوقف؛ وأن أصحاب الأعمال التجارية الزراعية المجاورة التي ارتكبت الانتهاكات، وهي انتهاكات ثبتت صحتها في الإجراءات الإدارية، لم يخضعوا لأي تحقيق جنائي؛ وأن الأمر </w:t>
      </w:r>
      <w:r w:rsidRPr="003368F5">
        <w:rPr>
          <w:spacing w:val="-4"/>
          <w:rtl/>
        </w:rPr>
        <w:t>بالحماية القضائية التي مُنحت لهم لم يدخل حيز التنفيذ؛ وأن</w:t>
      </w:r>
      <w:r w:rsidRPr="003368F5">
        <w:rPr>
          <w:rFonts w:hint="cs"/>
          <w:spacing w:val="-4"/>
          <w:rtl/>
        </w:rPr>
        <w:t xml:space="preserve"> أي</w:t>
      </w:r>
      <w:r w:rsidR="00A03F01" w:rsidRPr="003368F5">
        <w:rPr>
          <w:rFonts w:hint="cs"/>
          <w:spacing w:val="-4"/>
          <w:rtl/>
        </w:rPr>
        <w:t xml:space="preserve">اً </w:t>
      </w:r>
      <w:r w:rsidRPr="003368F5">
        <w:rPr>
          <w:rFonts w:hint="cs"/>
          <w:spacing w:val="-4"/>
          <w:rtl/>
        </w:rPr>
        <w:t xml:space="preserve">من التماسات </w:t>
      </w:r>
      <w:r w:rsidRPr="003368F5">
        <w:rPr>
          <w:spacing w:val="-4"/>
          <w:rtl/>
        </w:rPr>
        <w:t>وسائل الانتصاف</w:t>
      </w:r>
      <w:r w:rsidRPr="00CA7A4E">
        <w:rPr>
          <w:rtl/>
        </w:rPr>
        <w:t xml:space="preserve"> التي </w:t>
      </w:r>
      <w:r w:rsidRPr="00CA7A4E">
        <w:rPr>
          <w:rFonts w:hint="cs"/>
          <w:rtl/>
        </w:rPr>
        <w:t xml:space="preserve">قدموها لم </w:t>
      </w:r>
      <w:r>
        <w:rPr>
          <w:rFonts w:hint="cs"/>
          <w:rtl/>
        </w:rPr>
        <w:t>ي</w:t>
      </w:r>
      <w:r w:rsidRPr="00CA7A4E">
        <w:rPr>
          <w:rFonts w:hint="cs"/>
          <w:rtl/>
        </w:rPr>
        <w:t xml:space="preserve">سفر عن </w:t>
      </w:r>
      <w:r w:rsidRPr="00CA7A4E">
        <w:rPr>
          <w:rtl/>
        </w:rPr>
        <w:t xml:space="preserve">تصحيح </w:t>
      </w:r>
      <w:r w:rsidRPr="00CA7A4E">
        <w:rPr>
          <w:rFonts w:hint="cs"/>
          <w:rtl/>
        </w:rPr>
        <w:t xml:space="preserve">لغياب </w:t>
      </w:r>
      <w:r w:rsidRPr="00CA7A4E">
        <w:rPr>
          <w:rtl/>
        </w:rPr>
        <w:t xml:space="preserve">حواجز </w:t>
      </w:r>
      <w:r w:rsidRPr="00CA7A4E">
        <w:rPr>
          <w:rFonts w:hint="cs"/>
          <w:rtl/>
        </w:rPr>
        <w:t xml:space="preserve">الوقاية لحماية </w:t>
      </w:r>
      <w:r w:rsidRPr="00CA7A4E">
        <w:rPr>
          <w:rtl/>
        </w:rPr>
        <w:t>المناطق من الرش</w:t>
      </w:r>
      <w:r w:rsidRPr="00CA7A4E">
        <w:rPr>
          <w:rFonts w:hint="cs"/>
          <w:rtl/>
        </w:rPr>
        <w:t xml:space="preserve"> </w:t>
      </w:r>
      <w:r w:rsidRPr="00CA7A4E">
        <w:rPr>
          <w:rtl/>
        </w:rPr>
        <w:t>الذي لا يزال مستمرا</w:t>
      </w:r>
      <w:r w:rsidR="003D24E2">
        <w:rPr>
          <w:rFonts w:hint="cs"/>
          <w:rtl/>
        </w:rPr>
        <w:t>ً</w:t>
      </w:r>
      <w:r w:rsidRPr="00CA7A4E">
        <w:rPr>
          <w:rtl/>
        </w:rPr>
        <w:t>؛ وأنهم لم يتلقوا الانتصاف المطلوب.</w:t>
      </w:r>
      <w:r w:rsidRPr="00CA7A4E">
        <w:rPr>
          <w:rFonts w:hint="cs"/>
          <w:rtl/>
        </w:rPr>
        <w:t xml:space="preserve"> </w:t>
      </w:r>
      <w:r w:rsidRPr="00CA7A4E">
        <w:rPr>
          <w:rtl/>
        </w:rPr>
        <w:t>وتلاحظ اللجنة</w:t>
      </w:r>
      <w:r>
        <w:rPr>
          <w:rFonts w:hint="cs"/>
          <w:rtl/>
        </w:rPr>
        <w:t xml:space="preserve"> أيضاً</w:t>
      </w:r>
      <w:r w:rsidRPr="00CA7A4E">
        <w:rPr>
          <w:rtl/>
        </w:rPr>
        <w:t xml:space="preserve"> أنه، وفقاً للدولة الطرف، تم تحديد المشتبه فيهم الذين قد يتعرضون للعقاب بمجرد اكتمال الإجراءات الجنائية.</w:t>
      </w:r>
      <w:r w:rsidRPr="00CA7A4E">
        <w:rPr>
          <w:rFonts w:hint="cs"/>
          <w:rtl/>
        </w:rPr>
        <w:t xml:space="preserve"> </w:t>
      </w:r>
      <w:r w:rsidRPr="00CA7A4E">
        <w:rPr>
          <w:rtl/>
        </w:rPr>
        <w:t>غير أن التحقيقات لم تتوصل، بعد أكثر من ثماني سنوات من تاريخ الأحداث المذكورة في هذا البلاغ، إلى أي تقدم ملموس ولم تسفر عن انتصاف لأصحاب البلاغ من الضرر الذي لحق بهم، في انتهاك للمادة 2</w:t>
      </w:r>
      <w:r w:rsidR="00D1570D">
        <w:rPr>
          <w:rtl/>
        </w:rPr>
        <w:t>(</w:t>
      </w:r>
      <w:r w:rsidRPr="00CA7A4E">
        <w:rPr>
          <w:rtl/>
        </w:rPr>
        <w:t>3)، مقروءة بالاقتران مع المادتين 6 و17 من العهد.</w:t>
      </w:r>
    </w:p>
    <w:p w:rsidR="000B38BA" w:rsidRPr="00CA7A4E" w:rsidRDefault="000B38BA" w:rsidP="000B38BA">
      <w:pPr>
        <w:pStyle w:val="SingleTxtGA"/>
        <w:rPr>
          <w:rtl/>
        </w:rPr>
      </w:pPr>
      <w:r w:rsidRPr="00CA7A4E">
        <w:rPr>
          <w:rtl/>
        </w:rPr>
        <w:t>8-</w:t>
      </w:r>
      <w:r w:rsidRPr="00CA7A4E">
        <w:rPr>
          <w:rtl/>
        </w:rPr>
        <w:tab/>
      </w:r>
      <w:r w:rsidRPr="003D24E2">
        <w:rPr>
          <w:spacing w:val="-4"/>
          <w:rtl/>
        </w:rPr>
        <w:t>واللجنة المعنية بحقوق الإنسان، إذ تتصرف بموجب المادة 5</w:t>
      </w:r>
      <w:r w:rsidR="00D1570D" w:rsidRPr="003D24E2">
        <w:rPr>
          <w:spacing w:val="-4"/>
          <w:rtl/>
        </w:rPr>
        <w:t>(</w:t>
      </w:r>
      <w:r w:rsidRPr="003D24E2">
        <w:rPr>
          <w:spacing w:val="-4"/>
          <w:rtl/>
        </w:rPr>
        <w:t>4) من البروتوكول الاختياري،</w:t>
      </w:r>
      <w:r w:rsidRPr="00CA7A4E">
        <w:rPr>
          <w:rtl/>
        </w:rPr>
        <w:t xml:space="preserve"> </w:t>
      </w:r>
      <w:r w:rsidRPr="003D24E2">
        <w:rPr>
          <w:spacing w:val="-4"/>
          <w:rtl/>
        </w:rPr>
        <w:t>ترى أن المعلومات المعروضة عليها تكشف عن انتهاك الدولة الطرف للمادتين 6 و17 من العهد،</w:t>
      </w:r>
      <w:r w:rsidRPr="00CA7A4E">
        <w:rPr>
          <w:rtl/>
        </w:rPr>
        <w:t xml:space="preserve"> مقروء</w:t>
      </w:r>
      <w:r>
        <w:rPr>
          <w:rFonts w:hint="cs"/>
          <w:rtl/>
        </w:rPr>
        <w:t>تين</w:t>
      </w:r>
      <w:r w:rsidRPr="00CA7A4E">
        <w:rPr>
          <w:rtl/>
        </w:rPr>
        <w:t xml:space="preserve"> بمفرده</w:t>
      </w:r>
      <w:r>
        <w:rPr>
          <w:rFonts w:hint="cs"/>
          <w:rtl/>
        </w:rPr>
        <w:t>م</w:t>
      </w:r>
      <w:r w:rsidRPr="00CA7A4E">
        <w:rPr>
          <w:rtl/>
        </w:rPr>
        <w:t>ا وبالاقتران مع المادة 2</w:t>
      </w:r>
      <w:r w:rsidR="00D1570D">
        <w:rPr>
          <w:rtl/>
        </w:rPr>
        <w:t>(</w:t>
      </w:r>
      <w:r w:rsidRPr="00CA7A4E">
        <w:rPr>
          <w:rtl/>
        </w:rPr>
        <w:t>3).</w:t>
      </w:r>
    </w:p>
    <w:p w:rsidR="000B38BA" w:rsidRPr="00CA7A4E" w:rsidRDefault="000B38BA" w:rsidP="000B38BA">
      <w:pPr>
        <w:pStyle w:val="SingleTxtGA"/>
        <w:rPr>
          <w:rtl/>
        </w:rPr>
      </w:pPr>
      <w:r w:rsidRPr="00CA7A4E">
        <w:rPr>
          <w:rtl/>
        </w:rPr>
        <w:lastRenderedPageBreak/>
        <w:t>9-</w:t>
      </w:r>
      <w:r w:rsidRPr="00CA7A4E">
        <w:rPr>
          <w:rtl/>
        </w:rPr>
        <w:tab/>
        <w:t>ووفقاً للمادة 2</w:t>
      </w:r>
      <w:r w:rsidR="00D1570D">
        <w:rPr>
          <w:rtl/>
        </w:rPr>
        <w:t>(</w:t>
      </w:r>
      <w:r w:rsidRPr="00CA7A4E">
        <w:rPr>
          <w:rtl/>
        </w:rPr>
        <w:t>3)</w:t>
      </w:r>
      <w:r w:rsidR="00D1570D">
        <w:rPr>
          <w:rtl/>
        </w:rPr>
        <w:t>(</w:t>
      </w:r>
      <w:r w:rsidRPr="00CA7A4E">
        <w:rPr>
          <w:rtl/>
        </w:rPr>
        <w:t>أ) من العهد، فإن الدولة الطرف ملزمة بتوفير سبل انتصاف فعالة لأصحاب البلاغ، مما يستلزم جبر</w:t>
      </w:r>
      <w:r w:rsidR="00A03F01">
        <w:rPr>
          <w:rtl/>
        </w:rPr>
        <w:t xml:space="preserve">اً </w:t>
      </w:r>
      <w:r w:rsidRPr="00CA7A4E">
        <w:rPr>
          <w:rtl/>
        </w:rPr>
        <w:t>كاملاً للأشخاص الذين انت</w:t>
      </w:r>
      <w:r w:rsidRPr="00CA7A4E">
        <w:rPr>
          <w:rFonts w:hint="cs"/>
          <w:rtl/>
        </w:rPr>
        <w:t>ُ</w:t>
      </w:r>
      <w:r w:rsidRPr="00CA7A4E">
        <w:rPr>
          <w:rtl/>
        </w:rPr>
        <w:t>هكت حقوقهم.</w:t>
      </w:r>
      <w:r w:rsidRPr="00CA7A4E">
        <w:rPr>
          <w:rFonts w:hint="cs"/>
          <w:rtl/>
        </w:rPr>
        <w:t xml:space="preserve"> </w:t>
      </w:r>
      <w:r w:rsidRPr="00CA7A4E">
        <w:rPr>
          <w:rtl/>
        </w:rPr>
        <w:t>وينبغي للدولة الطرف بالتالي:</w:t>
      </w:r>
      <w:r w:rsidRPr="00CA7A4E">
        <w:rPr>
          <w:rFonts w:hint="cs"/>
          <w:rtl/>
        </w:rPr>
        <w:t xml:space="preserve"> </w:t>
      </w:r>
      <w:r w:rsidRPr="00CA7A4E">
        <w:rPr>
          <w:rtl/>
        </w:rPr>
        <w:t>(أ) إجراء تحقيق فعال وشامل في الأحداث المعنية؛ (ب) فرض عقوبات جنائية وإدارية على جميع الأطراف المسؤولة عن الأحداث المذكورة في هذه القضية؛ (ج) تقديم جبر كامل، بما في ذلك التعويض المناسب، إلى أصحاب البلاغ عن الضرر الذي لحقهم. والدولة الطرف ملزمة أيض</w:t>
      </w:r>
      <w:r w:rsidR="00A03F01">
        <w:rPr>
          <w:rtl/>
        </w:rPr>
        <w:t xml:space="preserve">اً </w:t>
      </w:r>
      <w:r w:rsidRPr="00CA7A4E">
        <w:rPr>
          <w:rtl/>
        </w:rPr>
        <w:t>باتخاذ خطوات لمنع حدوث انتهاكات مماثلة في المستقبل.</w:t>
      </w:r>
    </w:p>
    <w:p w:rsidR="000B38BA" w:rsidRPr="00CA7A4E" w:rsidRDefault="000B38BA" w:rsidP="000B38BA">
      <w:pPr>
        <w:pStyle w:val="SingleTxtGA"/>
        <w:rPr>
          <w:rtl/>
        </w:rPr>
      </w:pPr>
      <w:r w:rsidRPr="00CA7A4E">
        <w:rPr>
          <w:rtl/>
        </w:rPr>
        <w:t>10-</w:t>
      </w:r>
      <w:r w:rsidRPr="00CA7A4E">
        <w:rPr>
          <w:rtl/>
        </w:rPr>
        <w:tab/>
        <w:t>وإذ تضع في اعتبارها أن الدولة الطرف، بانضمامها إلى البروتوكول الاختياري، قد اعترفت باختصاص اللجنة في تحديد ما إذا كان قد حدث انتهاك للعهد أم لا، وأن الدولة الطرف، عملاً بالمادة 2 من العهد، تعهدت بأن تضمن لجم</w:t>
      </w:r>
      <w:bookmarkStart w:id="0" w:name="_GoBack"/>
      <w:bookmarkEnd w:id="0"/>
      <w:r w:rsidRPr="00CA7A4E">
        <w:rPr>
          <w:rtl/>
        </w:rPr>
        <w:t>يع الأفراد الموجودين في إقليمها أو</w:t>
      </w:r>
      <w:r w:rsidR="00A03F01">
        <w:rPr>
          <w:rFonts w:hint="cs"/>
          <w:rtl/>
        </w:rPr>
        <w:t> </w:t>
      </w:r>
      <w:r w:rsidRPr="00CA7A4E">
        <w:rPr>
          <w:rtl/>
        </w:rPr>
        <w:t>الخاضعين لولايتها الحقوق المعترف بها في العهد، وأن توفر وسيلة انتصاف فعالة وقابلة للتنفيذ من الناحية القانونية عند ثبوت حدوث انتهاك، تود اللجنة أن تتلقى في غضون 180 يوم</w:t>
      </w:r>
      <w:r w:rsidR="00A03F01">
        <w:rPr>
          <w:rtl/>
        </w:rPr>
        <w:t xml:space="preserve">اً </w:t>
      </w:r>
      <w:r w:rsidRPr="00CA7A4E">
        <w:rPr>
          <w:rtl/>
        </w:rPr>
        <w:t>معلومات من الدولة الطرف عن التدابير المتخذة تنفيذ</w:t>
      </w:r>
      <w:r w:rsidR="00A03F01">
        <w:rPr>
          <w:rtl/>
        </w:rPr>
        <w:t xml:space="preserve">اً </w:t>
      </w:r>
      <w:r w:rsidRPr="00CA7A4E">
        <w:rPr>
          <w:rtl/>
        </w:rPr>
        <w:t>لآراء اللجنة.</w:t>
      </w:r>
      <w:r w:rsidRPr="00CA7A4E">
        <w:rPr>
          <w:rFonts w:hint="cs"/>
          <w:rtl/>
        </w:rPr>
        <w:t xml:space="preserve"> </w:t>
      </w:r>
      <w:r w:rsidRPr="00CA7A4E">
        <w:rPr>
          <w:rtl/>
        </w:rPr>
        <w:t>ومطلوب من الدولة الطرف أيض</w:t>
      </w:r>
      <w:r w:rsidR="00A03F01">
        <w:rPr>
          <w:rtl/>
        </w:rPr>
        <w:t xml:space="preserve">اً </w:t>
      </w:r>
      <w:r w:rsidRPr="00CA7A4E">
        <w:rPr>
          <w:rtl/>
        </w:rPr>
        <w:t xml:space="preserve">نشرُ هذه الآراء وتعميمها على نطاق واسع، لا سيما في صحيفة يومية واسعة الانتشار في مقاطعة </w:t>
      </w:r>
      <w:proofErr w:type="spellStart"/>
      <w:r w:rsidRPr="00CA7A4E">
        <w:rPr>
          <w:rtl/>
        </w:rPr>
        <w:t>كاننديو</w:t>
      </w:r>
      <w:proofErr w:type="spellEnd"/>
      <w:r w:rsidRPr="00CA7A4E">
        <w:rPr>
          <w:rtl/>
        </w:rPr>
        <w:t>.</w:t>
      </w:r>
    </w:p>
    <w:p w:rsidR="000B38BA" w:rsidRPr="00CA7A4E" w:rsidRDefault="000B38BA" w:rsidP="000B38BA">
      <w:pPr>
        <w:spacing w:before="120"/>
        <w:jc w:val="center"/>
        <w:rPr>
          <w:u w:val="single"/>
          <w:rtl/>
        </w:rPr>
      </w:pPr>
      <w:r w:rsidRPr="00CA7A4E">
        <w:rPr>
          <w:u w:val="single"/>
          <w:rtl/>
        </w:rPr>
        <w:tab/>
      </w:r>
      <w:r w:rsidRPr="00CA7A4E">
        <w:rPr>
          <w:u w:val="single"/>
          <w:rtl/>
        </w:rPr>
        <w:tab/>
      </w:r>
      <w:r w:rsidRPr="00CA7A4E">
        <w:rPr>
          <w:u w:val="single"/>
          <w:rtl/>
        </w:rPr>
        <w:tab/>
      </w:r>
    </w:p>
    <w:sectPr w:rsidR="000B38BA" w:rsidRPr="00CA7A4E" w:rsidSect="00464A4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755" w:rsidRPr="002901D9" w:rsidRDefault="00407755" w:rsidP="002901D9">
      <w:pPr>
        <w:spacing w:after="60" w:line="240" w:lineRule="auto"/>
        <w:rPr>
          <w:i/>
          <w:iCs/>
        </w:rPr>
      </w:pPr>
      <w:r>
        <w:rPr>
          <w:rFonts w:hint="cs"/>
          <w:i/>
          <w:iCs/>
          <w:rtl/>
        </w:rPr>
        <w:t>الحواشي</w:t>
      </w:r>
    </w:p>
  </w:endnote>
  <w:endnote w:type="continuationSeparator" w:id="0">
    <w:p w:rsidR="00407755" w:rsidRDefault="0040775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43" w:rsidRPr="000B38BA" w:rsidRDefault="000B38BA" w:rsidP="000B38BA">
    <w:pPr>
      <w:pStyle w:val="Footer"/>
      <w:tabs>
        <w:tab w:val="right" w:pos="9598"/>
      </w:tabs>
      <w:rPr>
        <w:sz w:val="17"/>
      </w:rPr>
    </w:pPr>
    <w:r>
      <w:rPr>
        <w:sz w:val="17"/>
      </w:rPr>
      <w:t>GE.19-16217</w:t>
    </w:r>
    <w:r>
      <w:rPr>
        <w:sz w:val="17"/>
      </w:rPr>
      <w:tab/>
    </w:r>
    <w:r w:rsidRPr="000B38BA">
      <w:rPr>
        <w:b/>
        <w:sz w:val="18"/>
      </w:rPr>
      <w:fldChar w:fldCharType="begin"/>
    </w:r>
    <w:r w:rsidRPr="000B38BA">
      <w:rPr>
        <w:b/>
        <w:sz w:val="18"/>
      </w:rPr>
      <w:instrText xml:space="preserve"> PAGE  \* MERGEFORMAT </w:instrText>
    </w:r>
    <w:r w:rsidRPr="000B38BA">
      <w:rPr>
        <w:b/>
        <w:sz w:val="18"/>
      </w:rPr>
      <w:fldChar w:fldCharType="separate"/>
    </w:r>
    <w:r>
      <w:rPr>
        <w:b/>
        <w:sz w:val="18"/>
      </w:rPr>
      <w:t>2</w:t>
    </w:r>
    <w:r w:rsidRPr="000B38B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0B38BA" w:rsidRDefault="000B38BA" w:rsidP="006959B0">
    <w:pPr>
      <w:pStyle w:val="Footer"/>
      <w:tabs>
        <w:tab w:val="right" w:pos="9599"/>
      </w:tabs>
      <w:jc w:val="left"/>
      <w:rPr>
        <w:b/>
        <w:sz w:val="18"/>
        <w:lang w:val="en-US"/>
      </w:rPr>
    </w:pPr>
    <w:r w:rsidRPr="000B38BA">
      <w:rPr>
        <w:b/>
        <w:sz w:val="18"/>
        <w:lang w:val="en-US"/>
      </w:rPr>
      <w:fldChar w:fldCharType="begin"/>
    </w:r>
    <w:r w:rsidRPr="000B38BA">
      <w:rPr>
        <w:b/>
        <w:sz w:val="18"/>
        <w:lang w:val="en-US"/>
      </w:rPr>
      <w:instrText xml:space="preserve"> PAGE  \* MERGEFORMAT </w:instrText>
    </w:r>
    <w:r w:rsidRPr="000B38BA">
      <w:rPr>
        <w:b/>
        <w:sz w:val="18"/>
        <w:lang w:val="en-US"/>
      </w:rPr>
      <w:fldChar w:fldCharType="separate"/>
    </w:r>
    <w:r w:rsidRPr="000B38BA">
      <w:rPr>
        <w:b/>
        <w:noProof/>
        <w:sz w:val="18"/>
        <w:lang w:val="en-US"/>
      </w:rPr>
      <w:t>3</w:t>
    </w:r>
    <w:r w:rsidRPr="000B38BA">
      <w:rPr>
        <w:b/>
        <w:sz w:val="18"/>
        <w:lang w:val="en-US"/>
      </w:rPr>
      <w:fldChar w:fldCharType="end"/>
    </w:r>
    <w:r>
      <w:rPr>
        <w:b/>
        <w:sz w:val="18"/>
        <w:lang w:val="en-US"/>
      </w:rPr>
      <w:tab/>
    </w:r>
    <w:r>
      <w:rPr>
        <w:sz w:val="17"/>
        <w:lang w:val="en-US"/>
      </w:rPr>
      <w:t>GE.19-16217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464A43" w:rsidP="00982139">
    <w:pPr>
      <w:pStyle w:val="Footer"/>
      <w:spacing w:before="360"/>
      <w:jc w:val="right"/>
      <w:rPr>
        <w:sz w:val="20"/>
        <w:szCs w:val="20"/>
      </w:rPr>
    </w:pPr>
    <w:r>
      <w:rPr>
        <w:sz w:val="20"/>
        <w:szCs w:val="20"/>
      </w:rPr>
      <w:t>GE.19-16217</w:t>
    </w:r>
    <w:r w:rsidR="00DE50B1">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464A43" w:rsidRPr="00464A43" w:rsidRDefault="00464A43" w:rsidP="00464A4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755" w:rsidRDefault="00407755" w:rsidP="000437B8">
      <w:pPr>
        <w:pStyle w:val="Footer"/>
        <w:bidi/>
        <w:spacing w:after="80" w:line="200" w:lineRule="exact"/>
        <w:ind w:left="680"/>
      </w:pPr>
      <w:r>
        <w:rPr>
          <w:rtl/>
        </w:rPr>
        <w:t>__________</w:t>
      </w:r>
    </w:p>
  </w:footnote>
  <w:footnote w:type="continuationSeparator" w:id="0">
    <w:p w:rsidR="00407755" w:rsidRDefault="00407755" w:rsidP="00656392">
      <w:pPr>
        <w:spacing w:line="240" w:lineRule="auto"/>
      </w:pPr>
      <w:r>
        <w:continuationSeparator/>
      </w:r>
    </w:p>
  </w:footnote>
  <w:footnote w:id="1">
    <w:p w:rsidR="000B38BA" w:rsidRPr="003E0A2E" w:rsidRDefault="000B38BA" w:rsidP="008A2BC8">
      <w:pPr>
        <w:pStyle w:val="FootnoteText1"/>
      </w:pPr>
      <w:r w:rsidRPr="003E0A2E">
        <w:rPr>
          <w:rtl/>
        </w:rPr>
        <w:t>*</w:t>
      </w:r>
      <w:r w:rsidRPr="003E0A2E">
        <w:rPr>
          <w:rtl/>
        </w:rPr>
        <w:tab/>
        <w:t>اعتمدتها اللجنة في دورتها 126 (1-26 تموز/يوليه 2019).</w:t>
      </w:r>
    </w:p>
  </w:footnote>
  <w:footnote w:id="2">
    <w:p w:rsidR="000B38BA" w:rsidRPr="003E0A2E" w:rsidRDefault="000B38BA" w:rsidP="008A2BC8">
      <w:pPr>
        <w:pStyle w:val="FootnoteText1"/>
      </w:pPr>
      <w:r w:rsidRPr="003E0A2E">
        <w:rPr>
          <w:rtl/>
        </w:rPr>
        <w:t>**</w:t>
      </w:r>
      <w:r w:rsidRPr="003E0A2E">
        <w:rPr>
          <w:rtl/>
        </w:rPr>
        <w:tab/>
        <w:t>شارك في دراسة هذا البلاغ أعضاء اللجنة التالية أسماؤهم:</w:t>
      </w:r>
      <w:r w:rsidRPr="003E0A2E">
        <w:rPr>
          <w:rFonts w:hint="cs"/>
          <w:rtl/>
        </w:rPr>
        <w:t xml:space="preserve"> </w:t>
      </w:r>
      <w:r w:rsidRPr="003E0A2E">
        <w:rPr>
          <w:rtl/>
        </w:rPr>
        <w:t xml:space="preserve">عياض بن عاشور، </w:t>
      </w:r>
      <w:proofErr w:type="spellStart"/>
      <w:r w:rsidRPr="003E0A2E">
        <w:rPr>
          <w:rFonts w:hint="cs"/>
          <w:rtl/>
        </w:rPr>
        <w:t>و</w:t>
      </w:r>
      <w:r w:rsidRPr="003E0A2E">
        <w:rPr>
          <w:rtl/>
        </w:rPr>
        <w:t>إيلزي</w:t>
      </w:r>
      <w:proofErr w:type="spellEnd"/>
      <w:r w:rsidRPr="003E0A2E">
        <w:rPr>
          <w:rtl/>
        </w:rPr>
        <w:t xml:space="preserve"> </w:t>
      </w:r>
      <w:proofErr w:type="spellStart"/>
      <w:r w:rsidRPr="003E0A2E">
        <w:rPr>
          <w:rtl/>
        </w:rPr>
        <w:t>براندس</w:t>
      </w:r>
      <w:proofErr w:type="spellEnd"/>
      <w:r w:rsidRPr="003E0A2E">
        <w:rPr>
          <w:rtl/>
        </w:rPr>
        <w:t xml:space="preserve"> كهريس، </w:t>
      </w:r>
      <w:r w:rsidRPr="003E0A2E">
        <w:rPr>
          <w:rFonts w:hint="cs"/>
          <w:rtl/>
        </w:rPr>
        <w:t>و</w:t>
      </w:r>
      <w:r w:rsidRPr="003E0A2E">
        <w:rPr>
          <w:rtl/>
        </w:rPr>
        <w:t>عارف بل</w:t>
      </w:r>
      <w:r w:rsidRPr="003E0A2E">
        <w:rPr>
          <w:rFonts w:hint="cs"/>
          <w:rtl/>
        </w:rPr>
        <w:t>ق</w:t>
      </w:r>
      <w:r w:rsidRPr="003E0A2E">
        <w:rPr>
          <w:rtl/>
        </w:rPr>
        <w:t xml:space="preserve">ان، </w:t>
      </w:r>
      <w:r w:rsidRPr="003E0A2E">
        <w:rPr>
          <w:rFonts w:hint="cs"/>
          <w:rtl/>
        </w:rPr>
        <w:t>و</w:t>
      </w:r>
      <w:r w:rsidRPr="003E0A2E">
        <w:rPr>
          <w:rtl/>
        </w:rPr>
        <w:t xml:space="preserve">أحمد أمين فتح الله، </w:t>
      </w:r>
      <w:proofErr w:type="spellStart"/>
      <w:r w:rsidRPr="003E0A2E">
        <w:rPr>
          <w:rFonts w:hint="cs"/>
          <w:rtl/>
        </w:rPr>
        <w:t>و</w:t>
      </w:r>
      <w:r w:rsidRPr="003E0A2E">
        <w:rPr>
          <w:rtl/>
        </w:rPr>
        <w:t>شويتشي</w:t>
      </w:r>
      <w:proofErr w:type="spellEnd"/>
      <w:r w:rsidRPr="003E0A2E">
        <w:rPr>
          <w:rtl/>
        </w:rPr>
        <w:t xml:space="preserve"> </w:t>
      </w:r>
      <w:proofErr w:type="spellStart"/>
      <w:r w:rsidRPr="003E0A2E">
        <w:rPr>
          <w:rtl/>
        </w:rPr>
        <w:t>فورويا</w:t>
      </w:r>
      <w:proofErr w:type="spellEnd"/>
      <w:r w:rsidRPr="003E0A2E">
        <w:rPr>
          <w:rtl/>
        </w:rPr>
        <w:t xml:space="preserve">، </w:t>
      </w:r>
      <w:r w:rsidRPr="003E0A2E">
        <w:rPr>
          <w:rFonts w:hint="cs"/>
          <w:rtl/>
        </w:rPr>
        <w:t>و</w:t>
      </w:r>
      <w:r w:rsidRPr="003E0A2E">
        <w:rPr>
          <w:rtl/>
        </w:rPr>
        <w:t xml:space="preserve">كريستوف </w:t>
      </w:r>
      <w:proofErr w:type="spellStart"/>
      <w:r w:rsidRPr="003E0A2E">
        <w:rPr>
          <w:rtl/>
        </w:rPr>
        <w:t>هاينس</w:t>
      </w:r>
      <w:proofErr w:type="spellEnd"/>
      <w:r w:rsidRPr="003E0A2E">
        <w:rPr>
          <w:rtl/>
        </w:rPr>
        <w:t xml:space="preserve">، </w:t>
      </w:r>
      <w:proofErr w:type="spellStart"/>
      <w:r w:rsidRPr="003E0A2E">
        <w:rPr>
          <w:rFonts w:hint="cs"/>
          <w:rtl/>
        </w:rPr>
        <w:t>و</w:t>
      </w:r>
      <w:r w:rsidRPr="003E0A2E">
        <w:rPr>
          <w:rtl/>
        </w:rPr>
        <w:t>بامريم</w:t>
      </w:r>
      <w:proofErr w:type="spellEnd"/>
      <w:r w:rsidRPr="003E0A2E">
        <w:rPr>
          <w:rtl/>
        </w:rPr>
        <w:t xml:space="preserve"> كو</w:t>
      </w:r>
      <w:r w:rsidRPr="003E0A2E">
        <w:rPr>
          <w:rFonts w:hint="cs"/>
          <w:rtl/>
        </w:rPr>
        <w:t>ي</w:t>
      </w:r>
      <w:r w:rsidRPr="003E0A2E">
        <w:rPr>
          <w:rtl/>
        </w:rPr>
        <w:t xml:space="preserve">تا، </w:t>
      </w:r>
      <w:proofErr w:type="spellStart"/>
      <w:r w:rsidRPr="003E0A2E">
        <w:rPr>
          <w:rFonts w:hint="cs"/>
          <w:rtl/>
        </w:rPr>
        <w:t>و</w:t>
      </w:r>
      <w:r w:rsidRPr="003E0A2E">
        <w:rPr>
          <w:rtl/>
        </w:rPr>
        <w:t>دنكان</w:t>
      </w:r>
      <w:proofErr w:type="spellEnd"/>
      <w:r w:rsidRPr="003E0A2E">
        <w:rPr>
          <w:rtl/>
        </w:rPr>
        <w:t xml:space="preserve"> </w:t>
      </w:r>
      <w:proofErr w:type="spellStart"/>
      <w:r w:rsidRPr="003E0A2E">
        <w:rPr>
          <w:rtl/>
        </w:rPr>
        <w:t>لاكي</w:t>
      </w:r>
      <w:proofErr w:type="spellEnd"/>
      <w:r w:rsidRPr="003E0A2E">
        <w:rPr>
          <w:rtl/>
        </w:rPr>
        <w:t xml:space="preserve"> </w:t>
      </w:r>
      <w:proofErr w:type="spellStart"/>
      <w:r w:rsidRPr="003E0A2E">
        <w:rPr>
          <w:rtl/>
        </w:rPr>
        <w:t>موهوموزا</w:t>
      </w:r>
      <w:proofErr w:type="spellEnd"/>
      <w:r w:rsidRPr="003E0A2E">
        <w:rPr>
          <w:rtl/>
        </w:rPr>
        <w:t xml:space="preserve">، </w:t>
      </w:r>
      <w:r w:rsidRPr="003E0A2E">
        <w:rPr>
          <w:rFonts w:hint="cs"/>
          <w:rtl/>
        </w:rPr>
        <w:t>و</w:t>
      </w:r>
      <w:r w:rsidRPr="003E0A2E">
        <w:rPr>
          <w:rtl/>
        </w:rPr>
        <w:t xml:space="preserve">فوتيني </w:t>
      </w:r>
      <w:proofErr w:type="spellStart"/>
      <w:r w:rsidRPr="003E0A2E">
        <w:rPr>
          <w:rtl/>
        </w:rPr>
        <w:t>بازارتزيس</w:t>
      </w:r>
      <w:proofErr w:type="spellEnd"/>
      <w:r w:rsidRPr="003E0A2E">
        <w:rPr>
          <w:rtl/>
        </w:rPr>
        <w:t xml:space="preserve">، </w:t>
      </w:r>
      <w:proofErr w:type="spellStart"/>
      <w:r w:rsidRPr="003E0A2E">
        <w:rPr>
          <w:rFonts w:hint="cs"/>
          <w:rtl/>
        </w:rPr>
        <w:t>و</w:t>
      </w:r>
      <w:r w:rsidRPr="003E0A2E">
        <w:rPr>
          <w:rtl/>
        </w:rPr>
        <w:t>هرنان</w:t>
      </w:r>
      <w:proofErr w:type="spellEnd"/>
      <w:r w:rsidRPr="003E0A2E">
        <w:rPr>
          <w:rtl/>
        </w:rPr>
        <w:t xml:space="preserve"> </w:t>
      </w:r>
      <w:proofErr w:type="spellStart"/>
      <w:r w:rsidRPr="003E0A2E">
        <w:rPr>
          <w:rtl/>
        </w:rPr>
        <w:t>كيسادا</w:t>
      </w:r>
      <w:proofErr w:type="spellEnd"/>
      <w:r w:rsidRPr="003E0A2E">
        <w:rPr>
          <w:rtl/>
        </w:rPr>
        <w:t xml:space="preserve">، </w:t>
      </w:r>
      <w:proofErr w:type="spellStart"/>
      <w:r w:rsidRPr="003E0A2E">
        <w:rPr>
          <w:rFonts w:hint="cs"/>
          <w:rtl/>
        </w:rPr>
        <w:t>و</w:t>
      </w:r>
      <w:r w:rsidRPr="003E0A2E">
        <w:rPr>
          <w:rtl/>
        </w:rPr>
        <w:t>فازيلكا</w:t>
      </w:r>
      <w:proofErr w:type="spellEnd"/>
      <w:r w:rsidRPr="003E0A2E">
        <w:rPr>
          <w:rtl/>
        </w:rPr>
        <w:t xml:space="preserve"> </w:t>
      </w:r>
      <w:proofErr w:type="spellStart"/>
      <w:r w:rsidRPr="003E0A2E">
        <w:rPr>
          <w:rtl/>
        </w:rPr>
        <w:t>سانسين</w:t>
      </w:r>
      <w:proofErr w:type="spellEnd"/>
      <w:r w:rsidRPr="003E0A2E">
        <w:rPr>
          <w:rtl/>
        </w:rPr>
        <w:t xml:space="preserve">، </w:t>
      </w:r>
      <w:r w:rsidRPr="003E0A2E">
        <w:rPr>
          <w:rFonts w:hint="cs"/>
          <w:rtl/>
        </w:rPr>
        <w:t>و</w:t>
      </w:r>
      <w:r w:rsidRPr="003E0A2E">
        <w:rPr>
          <w:rtl/>
        </w:rPr>
        <w:t xml:space="preserve">خوسيه مانويل سانتوس </w:t>
      </w:r>
      <w:proofErr w:type="spellStart"/>
      <w:r w:rsidRPr="003E0A2E">
        <w:rPr>
          <w:rtl/>
        </w:rPr>
        <w:t>باييس</w:t>
      </w:r>
      <w:proofErr w:type="spellEnd"/>
      <w:r w:rsidRPr="003E0A2E">
        <w:rPr>
          <w:rtl/>
        </w:rPr>
        <w:t xml:space="preserve">، </w:t>
      </w:r>
      <w:r w:rsidRPr="003E0A2E">
        <w:rPr>
          <w:rFonts w:hint="cs"/>
          <w:rtl/>
        </w:rPr>
        <w:t>و</w:t>
      </w:r>
      <w:r w:rsidRPr="003E0A2E">
        <w:rPr>
          <w:rtl/>
        </w:rPr>
        <w:t xml:space="preserve">يوفال </w:t>
      </w:r>
      <w:proofErr w:type="spellStart"/>
      <w:r w:rsidRPr="003E0A2E">
        <w:rPr>
          <w:rtl/>
        </w:rPr>
        <w:t>شاني</w:t>
      </w:r>
      <w:proofErr w:type="spellEnd"/>
      <w:r w:rsidRPr="003E0A2E">
        <w:rPr>
          <w:rtl/>
        </w:rPr>
        <w:t xml:space="preserve">، </w:t>
      </w:r>
      <w:r w:rsidRPr="003E0A2E">
        <w:rPr>
          <w:rFonts w:hint="cs"/>
          <w:rtl/>
        </w:rPr>
        <w:t>و</w:t>
      </w:r>
      <w:r w:rsidRPr="003E0A2E">
        <w:rPr>
          <w:rtl/>
        </w:rPr>
        <w:t xml:space="preserve">هيلين </w:t>
      </w:r>
      <w:proofErr w:type="spellStart"/>
      <w:r w:rsidRPr="003E0A2E">
        <w:rPr>
          <w:rtl/>
        </w:rPr>
        <w:t>تيغرودجا</w:t>
      </w:r>
      <w:proofErr w:type="spellEnd"/>
      <w:r w:rsidRPr="003E0A2E">
        <w:rPr>
          <w:rtl/>
        </w:rPr>
        <w:t xml:space="preserve">، </w:t>
      </w:r>
      <w:r w:rsidRPr="003E0A2E">
        <w:rPr>
          <w:rFonts w:hint="cs"/>
          <w:rtl/>
        </w:rPr>
        <w:t>و</w:t>
      </w:r>
      <w:r w:rsidRPr="003E0A2E">
        <w:rPr>
          <w:rtl/>
        </w:rPr>
        <w:t xml:space="preserve">أندرياس </w:t>
      </w:r>
      <w:proofErr w:type="spellStart"/>
      <w:r w:rsidRPr="003E0A2E">
        <w:rPr>
          <w:rtl/>
        </w:rPr>
        <w:t>زيمرمان</w:t>
      </w:r>
      <w:proofErr w:type="spellEnd"/>
      <w:r w:rsidRPr="003E0A2E">
        <w:rPr>
          <w:rtl/>
        </w:rPr>
        <w:t xml:space="preserve">، </w:t>
      </w:r>
      <w:proofErr w:type="spellStart"/>
      <w:r w:rsidRPr="003E0A2E">
        <w:rPr>
          <w:rFonts w:hint="cs"/>
          <w:rtl/>
        </w:rPr>
        <w:t>و</w:t>
      </w:r>
      <w:r w:rsidRPr="003E0A2E">
        <w:rPr>
          <w:rtl/>
        </w:rPr>
        <w:t>جينتيان</w:t>
      </w:r>
      <w:proofErr w:type="spellEnd"/>
      <w:r w:rsidRPr="003E0A2E">
        <w:rPr>
          <w:rtl/>
        </w:rPr>
        <w:t xml:space="preserve"> زبيري.</w:t>
      </w:r>
    </w:p>
  </w:footnote>
  <w:footnote w:id="3">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(1)</w:t>
      </w:r>
      <w:r w:rsidR="00F95548" w:rsidRPr="003E0A2E">
        <w:rPr>
          <w:sz w:val="18"/>
          <w:szCs w:val="26"/>
          <w:rtl/>
        </w:rPr>
        <w:tab/>
      </w:r>
      <w:r w:rsidRPr="003E0A2E">
        <w:rPr>
          <w:sz w:val="18"/>
          <w:szCs w:val="26"/>
          <w:rtl/>
        </w:rPr>
        <w:t>المرسوم رقم 2048/04 بشأن الحواجز الوقائية على طول الطرق.</w:t>
      </w:r>
    </w:p>
  </w:footnote>
  <w:footnote w:id="4">
    <w:p w:rsidR="000B38BA" w:rsidRPr="003E0A2E" w:rsidRDefault="000B38BA" w:rsidP="00F95548">
      <w:pPr>
        <w:pStyle w:val="FootnoteText"/>
        <w:spacing w:after="60" w:line="300" w:lineRule="exact"/>
        <w:ind w:left="1247" w:right="1247" w:hanging="567"/>
        <w:rPr>
          <w:sz w:val="18"/>
          <w:szCs w:val="26"/>
        </w:rPr>
      </w:pPr>
      <w:r w:rsidRPr="003E0A2E">
        <w:rPr>
          <w:b/>
          <w:sz w:val="18"/>
          <w:szCs w:val="26"/>
          <w:rtl/>
        </w:rPr>
        <w:t>(2)</w:t>
      </w:r>
      <w:r w:rsidR="00F95548" w:rsidRPr="003E0A2E">
        <w:rPr>
          <w:sz w:val="18"/>
          <w:szCs w:val="26"/>
          <w:rtl/>
        </w:rPr>
        <w:tab/>
      </w:r>
      <w:r w:rsidRPr="003E0A2E">
        <w:rPr>
          <w:sz w:val="18"/>
          <w:szCs w:val="26"/>
          <w:rtl/>
        </w:rPr>
        <w:t>القرار رقم 485/03 بشأن الحواجز الوقائية بالقرب من المناطق المأهولة.</w:t>
      </w:r>
    </w:p>
  </w:footnote>
  <w:footnote w:id="5">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w:t>
      </w:r>
      <w:r w:rsidR="00F95548" w:rsidRPr="003E0A2E">
        <w:rPr>
          <w:sz w:val="18"/>
          <w:szCs w:val="26"/>
          <w:rtl/>
        </w:rPr>
        <w:tab/>
      </w:r>
      <w:r w:rsidRPr="003E0A2E">
        <w:rPr>
          <w:sz w:val="18"/>
          <w:szCs w:val="26"/>
          <w:rtl/>
        </w:rPr>
        <w:t>المرسوم رقم 18831/86 بشأن تدابير حماية المجاري المائية ومصادر المياه.</w:t>
      </w:r>
    </w:p>
  </w:footnote>
  <w:footnote w:id="6">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w:t>
      </w:r>
      <w:r w:rsidR="00F95548" w:rsidRPr="003E0A2E">
        <w:rPr>
          <w:sz w:val="18"/>
          <w:szCs w:val="26"/>
          <w:rtl/>
        </w:rPr>
        <w:tab/>
      </w:r>
      <w:r w:rsidRPr="003E0A2E">
        <w:rPr>
          <w:sz w:val="18"/>
          <w:szCs w:val="26"/>
          <w:rtl/>
        </w:rPr>
        <w:t>يشترط قانون تقييم الأثر البيئي رقم 294/93 على المزارع الصناعية إجراء دراسات الأثر البيئي، والامتثال لخطة الإدارة البيئية ذات الصلة، وحيازة تصريح بيئي.</w:t>
      </w:r>
      <w:r w:rsidRPr="003E0A2E">
        <w:rPr>
          <w:rFonts w:hint="cs"/>
          <w:sz w:val="18"/>
          <w:szCs w:val="26"/>
          <w:rtl/>
        </w:rPr>
        <w:t xml:space="preserve"> </w:t>
      </w:r>
      <w:r w:rsidRPr="003E0A2E">
        <w:rPr>
          <w:sz w:val="18"/>
          <w:szCs w:val="26"/>
          <w:rtl/>
        </w:rPr>
        <w:t>انظر أيض</w:t>
      </w:r>
      <w:r w:rsidR="00A03F01">
        <w:rPr>
          <w:sz w:val="18"/>
          <w:szCs w:val="26"/>
          <w:rtl/>
        </w:rPr>
        <w:t xml:space="preserve">اً </w:t>
      </w:r>
      <w:r w:rsidRPr="003E0A2E">
        <w:rPr>
          <w:sz w:val="18"/>
          <w:szCs w:val="26"/>
          <w:rtl/>
        </w:rPr>
        <w:t xml:space="preserve">قانون الجرائم البيئية رقم 716/96، الذي </w:t>
      </w:r>
      <w:r w:rsidRPr="003E0A2E">
        <w:rPr>
          <w:rFonts w:hint="cs"/>
          <w:sz w:val="18"/>
          <w:szCs w:val="26"/>
          <w:rtl/>
        </w:rPr>
        <w:t xml:space="preserve">يعتبر </w:t>
      </w:r>
      <w:r w:rsidRPr="003E0A2E">
        <w:rPr>
          <w:sz w:val="18"/>
          <w:szCs w:val="26"/>
          <w:rtl/>
        </w:rPr>
        <w:t>عدم الامتثال للالتزامات القانونية المتعلقة بتدابير التخفيف من الآثار البيئية</w:t>
      </w:r>
      <w:r w:rsidRPr="003E0A2E">
        <w:rPr>
          <w:rFonts w:hint="cs"/>
          <w:sz w:val="18"/>
          <w:szCs w:val="26"/>
          <w:rtl/>
        </w:rPr>
        <w:t xml:space="preserve"> جريمة تستوجب العقوبة</w:t>
      </w:r>
      <w:r w:rsidRPr="003E0A2E">
        <w:rPr>
          <w:sz w:val="18"/>
          <w:szCs w:val="26"/>
          <w:rtl/>
        </w:rPr>
        <w:t>.</w:t>
      </w:r>
    </w:p>
  </w:footnote>
  <w:footnote w:id="7">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(5)</w:t>
      </w:r>
      <w:r w:rsidR="00F95548" w:rsidRPr="003E0A2E">
        <w:rPr>
          <w:sz w:val="18"/>
          <w:szCs w:val="26"/>
          <w:rtl/>
        </w:rPr>
        <w:tab/>
      </w:r>
      <w:r w:rsidRPr="003E0A2E">
        <w:rPr>
          <w:sz w:val="18"/>
          <w:szCs w:val="26"/>
          <w:rtl/>
        </w:rPr>
        <w:t>القانون رقم 3742/2009 بشأن مراقبة استخدام منتجات الصحة النباتية في الزراعة، والقانون رقم 123/91 المتعلق بمعايير الصحة النباتية الجديدة.</w:t>
      </w:r>
    </w:p>
  </w:footnote>
  <w:footnote w:id="8">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(6)</w:t>
      </w:r>
      <w:r w:rsidR="00F95548" w:rsidRPr="003E0A2E">
        <w:rPr>
          <w:sz w:val="18"/>
          <w:szCs w:val="26"/>
          <w:rtl/>
        </w:rPr>
        <w:tab/>
      </w:r>
      <w:r w:rsidRPr="003E0A2E">
        <w:rPr>
          <w:sz w:val="18"/>
          <w:szCs w:val="26"/>
          <w:rtl/>
        </w:rPr>
        <w:t xml:space="preserve">تتوقف قدرة السكان على السفر إلى مستشفى </w:t>
      </w:r>
      <w:proofErr w:type="spellStart"/>
      <w:r w:rsidRPr="003E0A2E">
        <w:rPr>
          <w:sz w:val="18"/>
          <w:szCs w:val="26"/>
          <w:rtl/>
        </w:rPr>
        <w:t>كوروغواتي</w:t>
      </w:r>
      <w:proofErr w:type="spellEnd"/>
      <w:r w:rsidRPr="003E0A2E">
        <w:rPr>
          <w:sz w:val="18"/>
          <w:szCs w:val="26"/>
          <w:rtl/>
        </w:rPr>
        <w:t xml:space="preserve"> على وجود جار لديه مركبة </w:t>
      </w:r>
      <w:r w:rsidRPr="003E0A2E">
        <w:rPr>
          <w:rFonts w:hint="cs"/>
          <w:sz w:val="18"/>
          <w:szCs w:val="26"/>
          <w:rtl/>
        </w:rPr>
        <w:t>و</w:t>
      </w:r>
      <w:r w:rsidRPr="003E0A2E">
        <w:rPr>
          <w:sz w:val="18"/>
          <w:szCs w:val="26"/>
          <w:rtl/>
        </w:rPr>
        <w:t>مستعد للقيام بالرحلة، لأن المرفق الصحي للمستوطنة لا يمتلك سيارة إسعاف، ولا توجد وسائل نقل عام.</w:t>
      </w:r>
    </w:p>
  </w:footnote>
  <w:footnote w:id="9">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(7)</w:t>
      </w:r>
      <w:r w:rsidR="00F95548" w:rsidRPr="003E0A2E">
        <w:rPr>
          <w:sz w:val="18"/>
          <w:szCs w:val="26"/>
          <w:rtl/>
        </w:rPr>
        <w:tab/>
      </w:r>
      <w:proofErr w:type="spellStart"/>
      <w:r w:rsidRPr="003E0A2E">
        <w:rPr>
          <w:sz w:val="18"/>
          <w:szCs w:val="26"/>
          <w:rtl/>
        </w:rPr>
        <w:t>الألدرين</w:t>
      </w:r>
      <w:proofErr w:type="spellEnd"/>
      <w:r w:rsidRPr="003E0A2E">
        <w:rPr>
          <w:sz w:val="18"/>
          <w:szCs w:val="26"/>
          <w:rtl/>
        </w:rPr>
        <w:t xml:space="preserve"> </w:t>
      </w:r>
      <w:proofErr w:type="spellStart"/>
      <w:r w:rsidRPr="003E0A2E">
        <w:rPr>
          <w:sz w:val="18"/>
          <w:szCs w:val="26"/>
          <w:rtl/>
        </w:rPr>
        <w:t>والليندن</w:t>
      </w:r>
      <w:proofErr w:type="spellEnd"/>
      <w:r w:rsidRPr="003E0A2E">
        <w:rPr>
          <w:sz w:val="18"/>
          <w:szCs w:val="26"/>
          <w:rtl/>
        </w:rPr>
        <w:t xml:space="preserve"> (مبيد آفات ومبيد حشرات محظور</w:t>
      </w:r>
      <w:r w:rsidR="00A03F01">
        <w:rPr>
          <w:sz w:val="18"/>
          <w:szCs w:val="26"/>
          <w:rtl/>
        </w:rPr>
        <w:t xml:space="preserve">اً </w:t>
      </w:r>
      <w:r w:rsidRPr="003E0A2E">
        <w:rPr>
          <w:sz w:val="18"/>
          <w:szCs w:val="26"/>
          <w:rtl/>
        </w:rPr>
        <w:t xml:space="preserve">الاستخدام في جميع الأشكال منذ 24 أيار/مايو 1993 بسبب درجة سميتهما العالية للإنسان والبيئة)؛ </w:t>
      </w:r>
      <w:proofErr w:type="spellStart"/>
      <w:r w:rsidRPr="003E0A2E">
        <w:rPr>
          <w:sz w:val="18"/>
          <w:szCs w:val="26"/>
          <w:rtl/>
        </w:rPr>
        <w:t>والإندوسولفان</w:t>
      </w:r>
      <w:proofErr w:type="spellEnd"/>
      <w:r w:rsidRPr="003E0A2E">
        <w:rPr>
          <w:sz w:val="18"/>
          <w:szCs w:val="26"/>
          <w:rtl/>
        </w:rPr>
        <w:t xml:space="preserve"> (مبيد حشرات صدر بشأنه في عام 2008 نداء عالمي لحظر استعماله عن لجنة استعراض اتفاقية استكهولم بشأن الملوثات العضوية الثابتة).</w:t>
      </w:r>
      <w:r w:rsidRPr="003E0A2E">
        <w:rPr>
          <w:rFonts w:hint="cs"/>
          <w:sz w:val="18"/>
          <w:szCs w:val="26"/>
          <w:rtl/>
        </w:rPr>
        <w:t xml:space="preserve"> </w:t>
      </w:r>
      <w:r w:rsidRPr="003E0A2E">
        <w:rPr>
          <w:sz w:val="18"/>
          <w:szCs w:val="26"/>
          <w:rtl/>
        </w:rPr>
        <w:t xml:space="preserve">وفي تشرين الثاني/نوفمبر 2010، علقت الدولة الطرف تسجيل واستيراد </w:t>
      </w:r>
      <w:proofErr w:type="spellStart"/>
      <w:r w:rsidRPr="003E0A2E">
        <w:rPr>
          <w:sz w:val="18"/>
          <w:szCs w:val="26"/>
          <w:rtl/>
        </w:rPr>
        <w:t>الإندوسولفان</w:t>
      </w:r>
      <w:proofErr w:type="spellEnd"/>
      <w:r w:rsidRPr="003E0A2E">
        <w:rPr>
          <w:sz w:val="18"/>
          <w:szCs w:val="26"/>
          <w:rtl/>
        </w:rPr>
        <w:t>، وحظرت استخدامه في إنتاج الزهور والفواكه، وفرضت على مراحل خلال عامين حظر</w:t>
      </w:r>
      <w:r w:rsidR="00A03F01">
        <w:rPr>
          <w:sz w:val="18"/>
          <w:szCs w:val="26"/>
          <w:rtl/>
        </w:rPr>
        <w:t xml:space="preserve">اً </w:t>
      </w:r>
      <w:r w:rsidRPr="003E0A2E">
        <w:rPr>
          <w:sz w:val="18"/>
          <w:szCs w:val="26"/>
          <w:rtl/>
        </w:rPr>
        <w:t>على استخدامه في الزراعة الصناعية.</w:t>
      </w:r>
    </w:p>
  </w:footnote>
  <w:footnote w:id="10">
    <w:p w:rsidR="000B38BA" w:rsidRPr="003E0A2E" w:rsidRDefault="000B38BA" w:rsidP="008A2BC8">
      <w:pPr>
        <w:pStyle w:val="FootnoteText"/>
        <w:spacing w:after="60" w:line="300" w:lineRule="exact"/>
        <w:ind w:left="1247" w:right="1247" w:hanging="567"/>
        <w:rPr>
          <w:rFonts w:hint="cs"/>
          <w:spacing w:val="-4"/>
          <w:sz w:val="18"/>
          <w:szCs w:val="26"/>
          <w:rtl/>
          <w:lang w:val="en-CA"/>
        </w:rPr>
      </w:pPr>
      <w:r w:rsidRPr="003E0A2E">
        <w:rPr>
          <w:rStyle w:val="FootnoteReference"/>
          <w:spacing w:val="-4"/>
          <w:szCs w:val="26"/>
          <w:vertAlign w:val="baseline"/>
          <w:rtl/>
        </w:rPr>
        <w:t>(8)</w:t>
      </w:r>
      <w:r w:rsidR="00F95548" w:rsidRPr="003E0A2E">
        <w:rPr>
          <w:spacing w:val="-4"/>
          <w:sz w:val="18"/>
          <w:szCs w:val="26"/>
          <w:rtl/>
        </w:rPr>
        <w:tab/>
      </w:r>
      <w:proofErr w:type="spellStart"/>
      <w:r w:rsidRPr="000F4896">
        <w:rPr>
          <w:spacing w:val="-6"/>
          <w:sz w:val="18"/>
          <w:szCs w:val="26"/>
          <w:lang w:val="en-CA"/>
        </w:rPr>
        <w:t>Cóndor</w:t>
      </w:r>
      <w:proofErr w:type="spellEnd"/>
      <w:r w:rsidRPr="000F4896">
        <w:rPr>
          <w:spacing w:val="-6"/>
          <w:sz w:val="18"/>
          <w:szCs w:val="26"/>
          <w:lang w:val="en-CA"/>
        </w:rPr>
        <w:t xml:space="preserve"> </w:t>
      </w:r>
      <w:proofErr w:type="spellStart"/>
      <w:r w:rsidRPr="000F4896">
        <w:rPr>
          <w:spacing w:val="-6"/>
          <w:sz w:val="18"/>
          <w:szCs w:val="26"/>
          <w:lang w:val="en-CA"/>
        </w:rPr>
        <w:t>Agrícola</w:t>
      </w:r>
      <w:proofErr w:type="spellEnd"/>
      <w:r w:rsidRPr="000F4896">
        <w:rPr>
          <w:spacing w:val="-6"/>
          <w:sz w:val="18"/>
          <w:szCs w:val="26"/>
          <w:lang w:val="en-CA"/>
        </w:rPr>
        <w:t xml:space="preserve"> S.A. and/or KLM S.A., and Hermanos </w:t>
      </w:r>
      <w:proofErr w:type="spellStart"/>
      <w:r w:rsidRPr="000F4896">
        <w:rPr>
          <w:spacing w:val="-6"/>
          <w:sz w:val="18"/>
          <w:szCs w:val="26"/>
          <w:lang w:val="en-CA"/>
        </w:rPr>
        <w:t>Galhera</w:t>
      </w:r>
      <w:proofErr w:type="spellEnd"/>
      <w:r w:rsidRPr="000F4896">
        <w:rPr>
          <w:spacing w:val="-6"/>
          <w:sz w:val="18"/>
          <w:szCs w:val="26"/>
          <w:lang w:val="en-CA"/>
        </w:rPr>
        <w:t xml:space="preserve"> </w:t>
      </w:r>
      <w:proofErr w:type="spellStart"/>
      <w:r w:rsidRPr="000F4896">
        <w:rPr>
          <w:spacing w:val="-6"/>
          <w:sz w:val="18"/>
          <w:szCs w:val="26"/>
          <w:lang w:val="en-CA"/>
        </w:rPr>
        <w:t>Agrovalle</w:t>
      </w:r>
      <w:proofErr w:type="spellEnd"/>
      <w:r w:rsidRPr="000F4896">
        <w:rPr>
          <w:spacing w:val="-6"/>
          <w:sz w:val="18"/>
          <w:szCs w:val="26"/>
          <w:lang w:val="en-CA"/>
        </w:rPr>
        <w:t xml:space="preserve"> del Sol S.A.</w:t>
      </w:r>
      <w:r w:rsidRPr="000F4896">
        <w:rPr>
          <w:rFonts w:hint="cs"/>
          <w:spacing w:val="-6"/>
          <w:sz w:val="18"/>
          <w:szCs w:val="26"/>
          <w:rtl/>
          <w:lang w:val="en-CA"/>
        </w:rPr>
        <w:t xml:space="preserve"> و/أو </w:t>
      </w:r>
      <w:r w:rsidRPr="000F4896">
        <w:rPr>
          <w:spacing w:val="-6"/>
          <w:sz w:val="18"/>
          <w:szCs w:val="26"/>
          <w:lang w:val="en-CA"/>
        </w:rPr>
        <w:t xml:space="preserve">Emmerson </w:t>
      </w:r>
      <w:proofErr w:type="spellStart"/>
      <w:r w:rsidRPr="000F4896">
        <w:rPr>
          <w:spacing w:val="-6"/>
          <w:sz w:val="18"/>
          <w:szCs w:val="26"/>
          <w:lang w:val="en-CA"/>
        </w:rPr>
        <w:t>Shimmin</w:t>
      </w:r>
      <w:proofErr w:type="spellEnd"/>
      <w:r w:rsidRPr="000F4896">
        <w:rPr>
          <w:rFonts w:hint="cs"/>
          <w:spacing w:val="-6"/>
          <w:sz w:val="18"/>
          <w:szCs w:val="26"/>
          <w:rtl/>
          <w:lang w:val="en-CA"/>
        </w:rPr>
        <w:t>.</w:t>
      </w:r>
    </w:p>
  </w:footnote>
  <w:footnote w:id="11">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(9)</w:t>
      </w:r>
      <w:r w:rsidR="00F95548" w:rsidRPr="003E0A2E">
        <w:rPr>
          <w:sz w:val="18"/>
          <w:szCs w:val="26"/>
          <w:rtl/>
        </w:rPr>
        <w:tab/>
      </w:r>
      <w:r w:rsidRPr="003E0A2E">
        <w:rPr>
          <w:sz w:val="18"/>
          <w:szCs w:val="26"/>
          <w:rtl/>
        </w:rPr>
        <w:t>تقرير وزارة البيئة، 24 كانون الثاني/يناير 2011.</w:t>
      </w:r>
    </w:p>
  </w:footnote>
  <w:footnote w:id="12">
    <w:p w:rsidR="000B38BA" w:rsidRPr="000F4896" w:rsidRDefault="000B38BA" w:rsidP="006B0560">
      <w:pPr>
        <w:pStyle w:val="FootnoteText"/>
        <w:spacing w:after="60" w:line="300" w:lineRule="exact"/>
        <w:ind w:left="1247" w:right="1247" w:hanging="567"/>
        <w:rPr>
          <w:spacing w:val="-6"/>
          <w:sz w:val="18"/>
          <w:szCs w:val="26"/>
        </w:rPr>
      </w:pPr>
      <w:r w:rsidRPr="003E0A2E">
        <w:rPr>
          <w:rStyle w:val="FootnoteReference"/>
          <w:szCs w:val="26"/>
          <w:vertAlign w:val="baseline"/>
          <w:rtl/>
        </w:rPr>
        <w:t>(10)</w:t>
      </w:r>
      <w:r w:rsidR="00F95548" w:rsidRPr="003E0A2E">
        <w:rPr>
          <w:sz w:val="18"/>
          <w:szCs w:val="26"/>
          <w:rtl/>
        </w:rPr>
        <w:tab/>
      </w:r>
      <w:r w:rsidRPr="003E0A2E">
        <w:rPr>
          <w:spacing w:val="-4"/>
          <w:sz w:val="18"/>
          <w:szCs w:val="26"/>
          <w:rtl/>
        </w:rPr>
        <w:t>طلب المدعي العام من المحكمة الجنائية أن تأمر بتشريح الجثة، في 15 كانون الثاني/يناير 2011، و14 شباط/</w:t>
      </w:r>
      <w:r w:rsidR="000F4896">
        <w:rPr>
          <w:spacing w:val="-4"/>
          <w:sz w:val="18"/>
          <w:szCs w:val="26"/>
          <w:rtl/>
        </w:rPr>
        <w:br/>
      </w:r>
      <w:r w:rsidRPr="000F4896">
        <w:rPr>
          <w:spacing w:val="-6"/>
          <w:sz w:val="18"/>
          <w:szCs w:val="26"/>
          <w:rtl/>
        </w:rPr>
        <w:t>فبراير 2011، و18 أيار/مايو 2011.</w:t>
      </w:r>
      <w:r w:rsidRPr="000F4896">
        <w:rPr>
          <w:rFonts w:hint="cs"/>
          <w:spacing w:val="-6"/>
          <w:sz w:val="18"/>
          <w:szCs w:val="26"/>
          <w:rtl/>
        </w:rPr>
        <w:t xml:space="preserve"> </w:t>
      </w:r>
      <w:r w:rsidRPr="000F4896">
        <w:rPr>
          <w:spacing w:val="-6"/>
          <w:sz w:val="18"/>
          <w:szCs w:val="26"/>
          <w:rtl/>
        </w:rPr>
        <w:t>وقدم مكتب النائب العام طلب</w:t>
      </w:r>
      <w:r w:rsidR="00A03F01" w:rsidRPr="000F4896">
        <w:rPr>
          <w:spacing w:val="-6"/>
          <w:sz w:val="18"/>
          <w:szCs w:val="26"/>
          <w:rtl/>
        </w:rPr>
        <w:t xml:space="preserve">اً </w:t>
      </w:r>
      <w:r w:rsidRPr="000F4896">
        <w:rPr>
          <w:spacing w:val="-6"/>
          <w:sz w:val="18"/>
          <w:szCs w:val="26"/>
          <w:rtl/>
        </w:rPr>
        <w:t>رابع</w:t>
      </w:r>
      <w:r w:rsidR="00A03F01" w:rsidRPr="000F4896">
        <w:rPr>
          <w:spacing w:val="-6"/>
          <w:sz w:val="18"/>
          <w:szCs w:val="26"/>
          <w:rtl/>
        </w:rPr>
        <w:t xml:space="preserve">اً </w:t>
      </w:r>
      <w:r w:rsidRPr="000F4896">
        <w:rPr>
          <w:spacing w:val="-6"/>
          <w:sz w:val="18"/>
          <w:szCs w:val="26"/>
          <w:rtl/>
        </w:rPr>
        <w:t>لتشريح للجثة في 31 تموز/يوليه 2013.</w:t>
      </w:r>
    </w:p>
  </w:footnote>
  <w:footnote w:id="13">
    <w:p w:rsidR="000B38BA" w:rsidRPr="003E0A2E" w:rsidRDefault="000B38BA" w:rsidP="006B0560">
      <w:pPr>
        <w:pStyle w:val="FootnoteText"/>
        <w:spacing w:after="60" w:line="300" w:lineRule="exact"/>
        <w:ind w:left="1247" w:right="1247" w:hanging="567"/>
        <w:rPr>
          <w:sz w:val="18"/>
          <w:szCs w:val="26"/>
        </w:rPr>
      </w:pPr>
      <w:r w:rsidRPr="003E0A2E">
        <w:rPr>
          <w:rStyle w:val="FootnoteReference"/>
          <w:szCs w:val="26"/>
          <w:vertAlign w:val="baseline"/>
          <w:rtl/>
        </w:rPr>
        <w:t>(11)</w:t>
      </w:r>
      <w:r w:rsidR="00F95548" w:rsidRPr="003E0A2E">
        <w:rPr>
          <w:sz w:val="18"/>
          <w:szCs w:val="26"/>
          <w:rtl/>
        </w:rPr>
        <w:tab/>
      </w:r>
      <w:r w:rsidRPr="003E0A2E">
        <w:rPr>
          <w:sz w:val="18"/>
          <w:szCs w:val="26"/>
          <w:rtl/>
        </w:rPr>
        <w:t>القضية رقم 17-3-1-2011-74.</w:t>
      </w:r>
    </w:p>
  </w:footnote>
  <w:footnote w:id="14">
    <w:p w:rsidR="000B38BA" w:rsidRPr="003E0A2E" w:rsidRDefault="000B38BA" w:rsidP="006B0560">
      <w:pPr>
        <w:pStyle w:val="FootnoteText"/>
        <w:spacing w:after="60" w:line="300" w:lineRule="exact"/>
        <w:ind w:left="1247" w:right="1247" w:hanging="567"/>
        <w:rPr>
          <w:sz w:val="18"/>
          <w:szCs w:val="26"/>
        </w:rPr>
      </w:pPr>
      <w:r w:rsidRPr="003E0A2E">
        <w:rPr>
          <w:rStyle w:val="FootnoteReference"/>
          <w:szCs w:val="26"/>
          <w:vertAlign w:val="baseline"/>
          <w:rtl/>
        </w:rPr>
        <w:t>(12)</w:t>
      </w:r>
      <w:r w:rsidR="00F95548" w:rsidRPr="003E0A2E">
        <w:rPr>
          <w:sz w:val="18"/>
          <w:szCs w:val="26"/>
          <w:rtl/>
        </w:rPr>
        <w:tab/>
      </w:r>
      <w:r w:rsidRPr="003E0A2E">
        <w:rPr>
          <w:sz w:val="18"/>
          <w:szCs w:val="26"/>
          <w:rtl/>
        </w:rPr>
        <w:t xml:space="preserve">ذكرت وزارة البيئة بأنها </w:t>
      </w:r>
      <w:proofErr w:type="gramStart"/>
      <w:r w:rsidRPr="003E0A2E">
        <w:rPr>
          <w:sz w:val="18"/>
          <w:szCs w:val="26"/>
          <w:rtl/>
        </w:rPr>
        <w:t>’’تعترف</w:t>
      </w:r>
      <w:proofErr w:type="gramEnd"/>
      <w:r w:rsidRPr="003E0A2E">
        <w:rPr>
          <w:sz w:val="18"/>
          <w:szCs w:val="26"/>
          <w:rtl/>
        </w:rPr>
        <w:t xml:space="preserve"> بمحدودية قدرتها على الرقابة بسبب قيود الميزانية وقلة الموارد البشرية ... وأنها تتفق تمام</w:t>
      </w:r>
      <w:r w:rsidR="00A03F01">
        <w:rPr>
          <w:sz w:val="18"/>
          <w:szCs w:val="26"/>
          <w:rtl/>
        </w:rPr>
        <w:t xml:space="preserve">اً </w:t>
      </w:r>
      <w:r w:rsidRPr="003E0A2E">
        <w:rPr>
          <w:sz w:val="18"/>
          <w:szCs w:val="26"/>
          <w:rtl/>
        </w:rPr>
        <w:t>مع المشتكين فيما يتعلق بضرورة تحسين الرقابة الحكومية وآليات التدخل‘‘ وذهبت إلى حد الحديث عن ’’قبول المسؤولية‘‘.</w:t>
      </w:r>
    </w:p>
  </w:footnote>
  <w:footnote w:id="15">
    <w:p w:rsidR="000B38BA" w:rsidRPr="003E0A2E" w:rsidRDefault="000B38BA" w:rsidP="006B0560">
      <w:pPr>
        <w:pStyle w:val="FootnoteText"/>
        <w:spacing w:after="60" w:line="300" w:lineRule="exact"/>
        <w:ind w:left="1247" w:right="1247" w:hanging="567"/>
        <w:rPr>
          <w:sz w:val="18"/>
          <w:szCs w:val="26"/>
        </w:rPr>
      </w:pPr>
      <w:r w:rsidRPr="003E0A2E">
        <w:rPr>
          <w:rStyle w:val="FootnoteReference"/>
          <w:szCs w:val="26"/>
          <w:vertAlign w:val="baseline"/>
          <w:rtl/>
        </w:rPr>
        <w:t>(13)</w:t>
      </w:r>
      <w:r w:rsidR="00F95548" w:rsidRPr="003E0A2E">
        <w:rPr>
          <w:sz w:val="18"/>
          <w:szCs w:val="26"/>
          <w:rtl/>
        </w:rPr>
        <w:tab/>
      </w:r>
      <w:r w:rsidRPr="003E0A2E">
        <w:rPr>
          <w:spacing w:val="-4"/>
          <w:sz w:val="18"/>
          <w:szCs w:val="26"/>
          <w:rtl/>
        </w:rPr>
        <w:t>المادة 566 من قانون الإجراءات المدنية:</w:t>
      </w:r>
      <w:r w:rsidRPr="003E0A2E">
        <w:rPr>
          <w:rFonts w:hint="cs"/>
          <w:spacing w:val="-4"/>
          <w:sz w:val="18"/>
          <w:szCs w:val="26"/>
          <w:rtl/>
        </w:rPr>
        <w:t xml:space="preserve"> </w:t>
      </w:r>
      <w:proofErr w:type="gramStart"/>
      <w:r w:rsidRPr="003E0A2E">
        <w:rPr>
          <w:spacing w:val="-4"/>
          <w:sz w:val="18"/>
          <w:szCs w:val="26"/>
          <w:rtl/>
        </w:rPr>
        <w:t>’’لأي</w:t>
      </w:r>
      <w:proofErr w:type="gramEnd"/>
      <w:r w:rsidRPr="003E0A2E">
        <w:rPr>
          <w:spacing w:val="-4"/>
          <w:sz w:val="18"/>
          <w:szCs w:val="26"/>
          <w:rtl/>
        </w:rPr>
        <w:t xml:space="preserve"> محكمة ابتدائية في الولاية القضائية التي يكون فيها لفعل أو</w:t>
      </w:r>
      <w:r w:rsidR="00F95548" w:rsidRPr="003E0A2E">
        <w:rPr>
          <w:rFonts w:hint="cs"/>
          <w:spacing w:val="-4"/>
          <w:sz w:val="18"/>
          <w:szCs w:val="26"/>
          <w:rtl/>
        </w:rPr>
        <w:t> </w:t>
      </w:r>
      <w:r w:rsidRPr="003E0A2E">
        <w:rPr>
          <w:spacing w:val="-4"/>
          <w:sz w:val="18"/>
          <w:szCs w:val="26"/>
          <w:rtl/>
        </w:rPr>
        <w:t>لإغفال أو لتهديد غير مشروع تأثيرٌ، أو تأثير محتمل، اختصاص البت في طلب الحق في الحماية القضائية‘‘.</w:t>
      </w:r>
    </w:p>
  </w:footnote>
  <w:footnote w:id="16">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(14)</w:t>
      </w:r>
      <w:r w:rsidR="003E0A2E" w:rsidRPr="003E0A2E">
        <w:rPr>
          <w:sz w:val="18"/>
          <w:szCs w:val="26"/>
          <w:rtl/>
        </w:rPr>
        <w:tab/>
      </w:r>
      <w:r w:rsidRPr="003E0A2E">
        <w:rPr>
          <w:sz w:val="18"/>
          <w:szCs w:val="26"/>
        </w:rPr>
        <w:t>E/C.12/PRY/CO/3</w:t>
      </w:r>
      <w:r w:rsidRPr="003E0A2E">
        <w:rPr>
          <w:sz w:val="18"/>
          <w:szCs w:val="26"/>
          <w:rtl/>
        </w:rPr>
        <w:t>، الفقرتان 16 و27.</w:t>
      </w:r>
    </w:p>
  </w:footnote>
  <w:footnote w:id="17">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(15)</w:t>
      </w:r>
      <w:r w:rsidR="003E0A2E" w:rsidRPr="003E0A2E">
        <w:rPr>
          <w:rStyle w:val="FootnoteReference"/>
          <w:szCs w:val="26"/>
          <w:vertAlign w:val="baseline"/>
          <w:rtl/>
        </w:rPr>
        <w:tab/>
      </w:r>
      <w:r w:rsidRPr="003E0A2E">
        <w:rPr>
          <w:sz w:val="18"/>
          <w:szCs w:val="26"/>
        </w:rPr>
        <w:t>CEDAW/C/PRY/CO/6</w:t>
      </w:r>
      <w:r w:rsidRPr="003E0A2E">
        <w:rPr>
          <w:sz w:val="18"/>
          <w:szCs w:val="26"/>
          <w:rtl/>
        </w:rPr>
        <w:t>، الفقرتان 32 و33.</w:t>
      </w:r>
    </w:p>
  </w:footnote>
  <w:footnote w:id="18">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(16)</w:t>
      </w:r>
      <w:r w:rsidR="003E0A2E" w:rsidRPr="003E0A2E">
        <w:rPr>
          <w:sz w:val="18"/>
          <w:szCs w:val="26"/>
          <w:rtl/>
        </w:rPr>
        <w:tab/>
      </w:r>
      <w:r w:rsidRPr="003E0A2E">
        <w:rPr>
          <w:sz w:val="18"/>
          <w:szCs w:val="26"/>
        </w:rPr>
        <w:t>CRC/C/PRY/CO/3</w:t>
      </w:r>
      <w:r w:rsidRPr="003E0A2E">
        <w:rPr>
          <w:sz w:val="18"/>
          <w:szCs w:val="26"/>
          <w:rtl/>
        </w:rPr>
        <w:t>، الفقرتان 50 و51(د).</w:t>
      </w:r>
    </w:p>
  </w:footnote>
  <w:footnote w:id="19">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(17)</w:t>
      </w:r>
      <w:r w:rsidR="003E0A2E" w:rsidRPr="003E0A2E">
        <w:rPr>
          <w:sz w:val="18"/>
          <w:szCs w:val="26"/>
          <w:rtl/>
        </w:rPr>
        <w:tab/>
      </w:r>
      <w:r w:rsidRPr="003E0A2E">
        <w:rPr>
          <w:sz w:val="18"/>
          <w:szCs w:val="26"/>
        </w:rPr>
        <w:t>A/HRC/20/25/Add.2</w:t>
      </w:r>
      <w:r w:rsidR="0069070B">
        <w:rPr>
          <w:sz w:val="18"/>
          <w:szCs w:val="26"/>
          <w:rtl/>
        </w:rPr>
        <w:t xml:space="preserve">، </w:t>
      </w:r>
      <w:r w:rsidRPr="003E0A2E">
        <w:rPr>
          <w:sz w:val="18"/>
          <w:szCs w:val="26"/>
          <w:rtl/>
        </w:rPr>
        <w:t>الفقرتان 47 و48.</w:t>
      </w:r>
    </w:p>
  </w:footnote>
  <w:footnote w:id="20">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(18)</w:t>
      </w:r>
      <w:r w:rsidR="003E0A2E" w:rsidRPr="003E0A2E">
        <w:rPr>
          <w:rStyle w:val="FootnoteReference"/>
          <w:szCs w:val="26"/>
          <w:vertAlign w:val="baseline"/>
          <w:rtl/>
        </w:rPr>
        <w:tab/>
      </w:r>
      <w:r w:rsidRPr="003E0A2E">
        <w:rPr>
          <w:sz w:val="18"/>
          <w:szCs w:val="26"/>
          <w:rtl/>
        </w:rPr>
        <w:t xml:space="preserve">انظر، على سبيل المثال، قضية </w:t>
      </w:r>
      <w:proofErr w:type="spellStart"/>
      <w:r w:rsidRPr="003E0A2E">
        <w:rPr>
          <w:i/>
          <w:iCs/>
          <w:sz w:val="18"/>
          <w:szCs w:val="26"/>
          <w:rtl/>
        </w:rPr>
        <w:t>فيسينتي</w:t>
      </w:r>
      <w:proofErr w:type="spellEnd"/>
      <w:r w:rsidRPr="003E0A2E">
        <w:rPr>
          <w:i/>
          <w:iCs/>
          <w:sz w:val="18"/>
          <w:szCs w:val="26"/>
          <w:rtl/>
        </w:rPr>
        <w:t xml:space="preserve"> وآخر</w:t>
      </w:r>
      <w:r w:rsidRPr="003E0A2E">
        <w:rPr>
          <w:rFonts w:hint="cs"/>
          <w:i/>
          <w:iCs/>
          <w:sz w:val="18"/>
          <w:szCs w:val="26"/>
          <w:rtl/>
        </w:rPr>
        <w:t>ي</w:t>
      </w:r>
      <w:r w:rsidRPr="003E0A2E">
        <w:rPr>
          <w:i/>
          <w:iCs/>
          <w:sz w:val="18"/>
          <w:szCs w:val="26"/>
          <w:rtl/>
        </w:rPr>
        <w:t>ن ضد كولومبيا</w:t>
      </w:r>
      <w:r w:rsidRPr="003E0A2E">
        <w:rPr>
          <w:sz w:val="18"/>
          <w:szCs w:val="26"/>
          <w:rtl/>
        </w:rPr>
        <w:t xml:space="preserve"> (</w:t>
      </w:r>
      <w:r w:rsidRPr="003E0A2E">
        <w:rPr>
          <w:sz w:val="18"/>
          <w:szCs w:val="26"/>
        </w:rPr>
        <w:t>CCPR/C/60/D/612/1995</w:t>
      </w:r>
      <w:r w:rsidRPr="003E0A2E">
        <w:rPr>
          <w:sz w:val="18"/>
          <w:szCs w:val="26"/>
          <w:rtl/>
        </w:rPr>
        <w:t>).</w:t>
      </w:r>
    </w:p>
  </w:footnote>
  <w:footnote w:id="21">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(19)</w:t>
      </w:r>
      <w:r w:rsidR="003E0A2E" w:rsidRPr="003E0A2E">
        <w:rPr>
          <w:sz w:val="18"/>
          <w:szCs w:val="26"/>
          <w:rtl/>
        </w:rPr>
        <w:tab/>
      </w:r>
      <w:r w:rsidRPr="003E0A2E">
        <w:rPr>
          <w:sz w:val="18"/>
          <w:szCs w:val="26"/>
          <w:rtl/>
        </w:rPr>
        <w:t xml:space="preserve">قضية </w:t>
      </w:r>
      <w:proofErr w:type="spellStart"/>
      <w:r w:rsidRPr="003E0A2E">
        <w:rPr>
          <w:i/>
          <w:iCs/>
          <w:sz w:val="18"/>
          <w:szCs w:val="26"/>
          <w:rtl/>
        </w:rPr>
        <w:t>بلانكو</w:t>
      </w:r>
      <w:proofErr w:type="spellEnd"/>
      <w:r w:rsidRPr="003E0A2E">
        <w:rPr>
          <w:i/>
          <w:iCs/>
          <w:sz w:val="18"/>
          <w:szCs w:val="26"/>
          <w:rtl/>
        </w:rPr>
        <w:t xml:space="preserve"> </w:t>
      </w:r>
      <w:proofErr w:type="spellStart"/>
      <w:r w:rsidRPr="003E0A2E">
        <w:rPr>
          <w:i/>
          <w:iCs/>
          <w:sz w:val="18"/>
          <w:szCs w:val="26"/>
          <w:rtl/>
        </w:rPr>
        <w:t>دومينغيث</w:t>
      </w:r>
      <w:proofErr w:type="spellEnd"/>
      <w:r w:rsidRPr="003E0A2E">
        <w:rPr>
          <w:i/>
          <w:iCs/>
          <w:sz w:val="18"/>
          <w:szCs w:val="26"/>
          <w:rtl/>
        </w:rPr>
        <w:t xml:space="preserve"> ضد باراغواي</w:t>
      </w:r>
      <w:r w:rsidRPr="003E0A2E">
        <w:rPr>
          <w:sz w:val="18"/>
          <w:szCs w:val="26"/>
          <w:rtl/>
        </w:rPr>
        <w:t xml:space="preserve"> (</w:t>
      </w:r>
      <w:r w:rsidRPr="003E0A2E">
        <w:rPr>
          <w:sz w:val="18"/>
          <w:szCs w:val="26"/>
        </w:rPr>
        <w:t>CCPR/C/104/D/1828/2008</w:t>
      </w:r>
      <w:r w:rsidRPr="003E0A2E">
        <w:rPr>
          <w:sz w:val="18"/>
          <w:szCs w:val="26"/>
          <w:rtl/>
        </w:rPr>
        <w:t>).</w:t>
      </w:r>
    </w:p>
  </w:footnote>
  <w:footnote w:id="22">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(20)</w:t>
      </w:r>
      <w:r w:rsidR="003E0A2E" w:rsidRPr="003E0A2E">
        <w:rPr>
          <w:sz w:val="18"/>
          <w:szCs w:val="26"/>
          <w:rtl/>
        </w:rPr>
        <w:tab/>
      </w:r>
      <w:r w:rsidRPr="003E0A2E">
        <w:rPr>
          <w:sz w:val="18"/>
          <w:szCs w:val="26"/>
          <w:rtl/>
        </w:rPr>
        <w:t xml:space="preserve">قضية </w:t>
      </w:r>
      <w:proofErr w:type="spellStart"/>
      <w:r w:rsidRPr="003E0A2E">
        <w:rPr>
          <w:i/>
          <w:iCs/>
          <w:sz w:val="18"/>
          <w:szCs w:val="26"/>
          <w:rtl/>
        </w:rPr>
        <w:t>فيلاستر</w:t>
      </w:r>
      <w:proofErr w:type="spellEnd"/>
      <w:r w:rsidRPr="003E0A2E">
        <w:rPr>
          <w:i/>
          <w:iCs/>
          <w:sz w:val="18"/>
          <w:szCs w:val="26"/>
          <w:rtl/>
        </w:rPr>
        <w:t xml:space="preserve"> </w:t>
      </w:r>
      <w:proofErr w:type="spellStart"/>
      <w:r w:rsidRPr="003E0A2E">
        <w:rPr>
          <w:i/>
          <w:iCs/>
          <w:sz w:val="18"/>
          <w:szCs w:val="26"/>
          <w:rtl/>
        </w:rPr>
        <w:t>وبيزوارن</w:t>
      </w:r>
      <w:proofErr w:type="spellEnd"/>
      <w:r w:rsidRPr="003E0A2E">
        <w:rPr>
          <w:i/>
          <w:iCs/>
          <w:sz w:val="18"/>
          <w:szCs w:val="26"/>
          <w:rtl/>
        </w:rPr>
        <w:t xml:space="preserve"> ضد بوليفيا</w:t>
      </w:r>
      <w:r w:rsidRPr="003E0A2E">
        <w:rPr>
          <w:sz w:val="18"/>
          <w:szCs w:val="26"/>
          <w:rtl/>
        </w:rPr>
        <w:t xml:space="preserve"> (</w:t>
      </w:r>
      <w:r w:rsidRPr="003E0A2E">
        <w:rPr>
          <w:sz w:val="18"/>
          <w:szCs w:val="26"/>
        </w:rPr>
        <w:t>CCPR/C/43/D/336/1988</w:t>
      </w:r>
      <w:r w:rsidRPr="003E0A2E">
        <w:rPr>
          <w:sz w:val="18"/>
          <w:szCs w:val="26"/>
          <w:rtl/>
        </w:rPr>
        <w:t>).</w:t>
      </w:r>
    </w:p>
  </w:footnote>
  <w:footnote w:id="23">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(21)</w:t>
      </w:r>
      <w:r w:rsidR="003E0A2E" w:rsidRPr="003E0A2E">
        <w:rPr>
          <w:sz w:val="18"/>
          <w:szCs w:val="26"/>
          <w:rtl/>
        </w:rPr>
        <w:tab/>
      </w:r>
      <w:r w:rsidRPr="003E0A2E">
        <w:rPr>
          <w:sz w:val="18"/>
          <w:szCs w:val="26"/>
          <w:rtl/>
        </w:rPr>
        <w:t xml:space="preserve">يستشهد أصحاب البلاغ بالفقرة 51 من قضية </w:t>
      </w:r>
      <w:proofErr w:type="spellStart"/>
      <w:r w:rsidRPr="003E0A2E">
        <w:rPr>
          <w:i/>
          <w:iCs/>
          <w:sz w:val="18"/>
          <w:szCs w:val="26"/>
          <w:rtl/>
        </w:rPr>
        <w:t>لوبيث</w:t>
      </w:r>
      <w:proofErr w:type="spellEnd"/>
      <w:r w:rsidRPr="003E0A2E">
        <w:rPr>
          <w:i/>
          <w:iCs/>
          <w:sz w:val="18"/>
          <w:szCs w:val="26"/>
          <w:rtl/>
        </w:rPr>
        <w:t xml:space="preserve"> </w:t>
      </w:r>
      <w:proofErr w:type="spellStart"/>
      <w:r w:rsidRPr="003E0A2E">
        <w:rPr>
          <w:i/>
          <w:iCs/>
          <w:sz w:val="18"/>
          <w:szCs w:val="26"/>
          <w:rtl/>
        </w:rPr>
        <w:t>أوسترا</w:t>
      </w:r>
      <w:proofErr w:type="spellEnd"/>
      <w:r w:rsidRPr="003E0A2E">
        <w:rPr>
          <w:i/>
          <w:iCs/>
          <w:sz w:val="18"/>
          <w:szCs w:val="26"/>
          <w:rtl/>
        </w:rPr>
        <w:t xml:space="preserve"> ضد إسبانيا</w:t>
      </w:r>
      <w:r w:rsidRPr="003E0A2E">
        <w:rPr>
          <w:sz w:val="18"/>
          <w:szCs w:val="26"/>
          <w:rtl/>
        </w:rPr>
        <w:t xml:space="preserve">، الحكم الصادر في ٩ كانون الأول/ديسمبر ١٩٩٤؛ وبالفقرتين 68 و69 من قضية </w:t>
      </w:r>
      <w:proofErr w:type="spellStart"/>
      <w:r w:rsidRPr="003E0A2E">
        <w:rPr>
          <w:i/>
          <w:iCs/>
          <w:sz w:val="18"/>
          <w:szCs w:val="26"/>
          <w:rtl/>
        </w:rPr>
        <w:t>فادييفا</w:t>
      </w:r>
      <w:proofErr w:type="spellEnd"/>
      <w:r w:rsidRPr="003E0A2E">
        <w:rPr>
          <w:i/>
          <w:iCs/>
          <w:sz w:val="18"/>
          <w:szCs w:val="26"/>
          <w:rtl/>
        </w:rPr>
        <w:t xml:space="preserve"> ضد روسيا</w:t>
      </w:r>
      <w:r w:rsidRPr="003E0A2E">
        <w:rPr>
          <w:sz w:val="18"/>
          <w:szCs w:val="26"/>
          <w:rtl/>
        </w:rPr>
        <w:t xml:space="preserve">، الحكم النهائي الصادر في 30 تشرين الثاني/نوفمبر 2005؛ وبالفقرة 105 من قضية </w:t>
      </w:r>
      <w:proofErr w:type="spellStart"/>
      <w:r w:rsidRPr="003E0A2E">
        <w:rPr>
          <w:i/>
          <w:iCs/>
          <w:sz w:val="18"/>
          <w:szCs w:val="26"/>
          <w:rtl/>
        </w:rPr>
        <w:t>دوبتسكا</w:t>
      </w:r>
      <w:proofErr w:type="spellEnd"/>
      <w:r w:rsidRPr="003E0A2E">
        <w:rPr>
          <w:i/>
          <w:iCs/>
          <w:sz w:val="18"/>
          <w:szCs w:val="26"/>
          <w:rtl/>
        </w:rPr>
        <w:t xml:space="preserve"> وأخرين ضد أوكرانيا</w:t>
      </w:r>
      <w:r w:rsidRPr="003E0A2E">
        <w:rPr>
          <w:sz w:val="18"/>
          <w:szCs w:val="26"/>
          <w:rtl/>
        </w:rPr>
        <w:t>، الحكم الصادر في 10 شباط/فبراير 2011.</w:t>
      </w:r>
    </w:p>
  </w:footnote>
  <w:footnote w:id="24">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(22)</w:t>
      </w:r>
      <w:r w:rsidR="003E0A2E" w:rsidRPr="003E0A2E">
        <w:rPr>
          <w:sz w:val="18"/>
          <w:szCs w:val="26"/>
          <w:rtl/>
        </w:rPr>
        <w:tab/>
      </w:r>
      <w:r w:rsidRPr="003E0A2E">
        <w:rPr>
          <w:sz w:val="18"/>
          <w:szCs w:val="26"/>
          <w:rtl/>
        </w:rPr>
        <w:t xml:space="preserve">فيما يتعلق بالفقه القضائي ومسألة عدم المقبولية من حيث الاختصاص الموضوعي، تستشهد الدولة الطرف بقرار اللجنة في قضية </w:t>
      </w:r>
      <w:r w:rsidRPr="003E0A2E">
        <w:rPr>
          <w:i/>
          <w:iCs/>
          <w:sz w:val="18"/>
          <w:szCs w:val="26"/>
          <w:rtl/>
        </w:rPr>
        <w:t>ك. ب. ضد النرويج</w:t>
      </w:r>
      <w:r w:rsidRPr="003E0A2E">
        <w:rPr>
          <w:sz w:val="18"/>
          <w:szCs w:val="26"/>
          <w:rtl/>
        </w:rPr>
        <w:t xml:space="preserve"> (البلاغ رقم 53/1979)</w:t>
      </w:r>
      <w:r w:rsidRPr="003E0A2E">
        <w:rPr>
          <w:rFonts w:hint="cs"/>
          <w:sz w:val="18"/>
          <w:szCs w:val="26"/>
          <w:rtl/>
        </w:rPr>
        <w:t>،</w:t>
      </w:r>
      <w:r w:rsidRPr="003E0A2E">
        <w:rPr>
          <w:sz w:val="18"/>
          <w:szCs w:val="26"/>
          <w:rtl/>
        </w:rPr>
        <w:t xml:space="preserve"> والفقرة 6-7 من قرار لجنة مناهضة التعذيب في قضية </w:t>
      </w:r>
      <w:proofErr w:type="spellStart"/>
      <w:r w:rsidRPr="003E0A2E">
        <w:rPr>
          <w:i/>
          <w:iCs/>
          <w:sz w:val="18"/>
          <w:szCs w:val="26"/>
          <w:rtl/>
        </w:rPr>
        <w:t>رويتمان</w:t>
      </w:r>
      <w:proofErr w:type="spellEnd"/>
      <w:r w:rsidRPr="003E0A2E">
        <w:rPr>
          <w:i/>
          <w:iCs/>
          <w:sz w:val="18"/>
          <w:szCs w:val="26"/>
          <w:rtl/>
        </w:rPr>
        <w:t xml:space="preserve"> </w:t>
      </w:r>
      <w:proofErr w:type="spellStart"/>
      <w:r w:rsidRPr="003E0A2E">
        <w:rPr>
          <w:i/>
          <w:iCs/>
          <w:sz w:val="18"/>
          <w:szCs w:val="26"/>
          <w:rtl/>
        </w:rPr>
        <w:t>روزنمان</w:t>
      </w:r>
      <w:proofErr w:type="spellEnd"/>
      <w:r w:rsidRPr="003E0A2E">
        <w:rPr>
          <w:i/>
          <w:iCs/>
          <w:sz w:val="18"/>
          <w:szCs w:val="26"/>
          <w:rtl/>
        </w:rPr>
        <w:t xml:space="preserve"> ضد</w:t>
      </w:r>
      <w:r w:rsidRPr="003E0A2E">
        <w:rPr>
          <w:rFonts w:hint="cs"/>
          <w:i/>
          <w:iCs/>
          <w:sz w:val="18"/>
          <w:szCs w:val="26"/>
          <w:rtl/>
        </w:rPr>
        <w:t xml:space="preserve"> </w:t>
      </w:r>
      <w:r w:rsidR="003B04A8" w:rsidRPr="003E0A2E">
        <w:rPr>
          <w:rFonts w:hint="cs"/>
          <w:i/>
          <w:iCs/>
          <w:sz w:val="18"/>
          <w:szCs w:val="26"/>
          <w:rtl/>
        </w:rPr>
        <w:t>إسبانيا</w:t>
      </w:r>
      <w:r w:rsidRPr="003E0A2E">
        <w:rPr>
          <w:sz w:val="18"/>
          <w:szCs w:val="26"/>
          <w:rtl/>
        </w:rPr>
        <w:t xml:space="preserve"> (</w:t>
      </w:r>
      <w:r w:rsidRPr="003E0A2E">
        <w:rPr>
          <w:sz w:val="18"/>
          <w:szCs w:val="26"/>
        </w:rPr>
        <w:t>CAT/C/28/D/176/2000</w:t>
      </w:r>
      <w:r w:rsidRPr="003E0A2E">
        <w:rPr>
          <w:sz w:val="18"/>
          <w:szCs w:val="26"/>
          <w:rtl/>
        </w:rPr>
        <w:t>).</w:t>
      </w:r>
    </w:p>
  </w:footnote>
  <w:footnote w:id="25">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(23)</w:t>
      </w:r>
      <w:r w:rsidR="003E0A2E" w:rsidRPr="003E0A2E">
        <w:rPr>
          <w:sz w:val="18"/>
          <w:szCs w:val="26"/>
          <w:rtl/>
        </w:rPr>
        <w:tab/>
      </w:r>
      <w:r w:rsidRPr="003E0A2E">
        <w:rPr>
          <w:sz w:val="18"/>
          <w:szCs w:val="26"/>
          <w:rtl/>
        </w:rPr>
        <w:t>تمثلت التهم في عدم الامتثال لأحكام معينة من قانون تقييم الأثر البيئي (القانون رقم 294/93) وقانون منتجات الصحة النباتية الزراعية (القانون رقم 3742/09).</w:t>
      </w:r>
    </w:p>
  </w:footnote>
  <w:footnote w:id="26">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(24)</w:t>
      </w:r>
      <w:r w:rsidR="003E0A2E" w:rsidRPr="003E0A2E">
        <w:rPr>
          <w:sz w:val="18"/>
          <w:szCs w:val="26"/>
          <w:rtl/>
        </w:rPr>
        <w:tab/>
      </w:r>
      <w:r w:rsidRPr="003E0A2E">
        <w:rPr>
          <w:sz w:val="18"/>
          <w:szCs w:val="26"/>
          <w:rtl/>
        </w:rPr>
        <w:t>تشير الدولة الطرف إلى أن المادة 1944 من القانون المدني تنص على ما يلي:</w:t>
      </w:r>
      <w:r w:rsidRPr="003E0A2E">
        <w:rPr>
          <w:rFonts w:hint="cs"/>
          <w:sz w:val="18"/>
          <w:szCs w:val="26"/>
          <w:rtl/>
        </w:rPr>
        <w:t xml:space="preserve"> </w:t>
      </w:r>
      <w:proofErr w:type="gramStart"/>
      <w:r w:rsidRPr="003E0A2E">
        <w:rPr>
          <w:rFonts w:hint="cs"/>
          <w:sz w:val="18"/>
          <w:szCs w:val="26"/>
          <w:rtl/>
        </w:rPr>
        <w:t>’’ك</w:t>
      </w:r>
      <w:r w:rsidRPr="003E0A2E">
        <w:rPr>
          <w:rFonts w:hint="eastAsia"/>
          <w:sz w:val="18"/>
          <w:szCs w:val="26"/>
          <w:rtl/>
        </w:rPr>
        <w:t>ل</w:t>
      </w:r>
      <w:proofErr w:type="gramEnd"/>
      <w:r w:rsidRPr="003E0A2E">
        <w:rPr>
          <w:sz w:val="18"/>
          <w:szCs w:val="26"/>
          <w:rtl/>
        </w:rPr>
        <w:t xml:space="preserve"> شخص يتدخل في حيازة ممتلكات شخص آخر أو يحرم شخص</w:t>
      </w:r>
      <w:r w:rsidR="00A03F01">
        <w:rPr>
          <w:sz w:val="18"/>
          <w:szCs w:val="26"/>
          <w:rtl/>
        </w:rPr>
        <w:t xml:space="preserve">اً </w:t>
      </w:r>
      <w:r w:rsidRPr="003E0A2E">
        <w:rPr>
          <w:sz w:val="18"/>
          <w:szCs w:val="26"/>
          <w:rtl/>
        </w:rPr>
        <w:t>آخر منه</w:t>
      </w:r>
      <w:r w:rsidR="00A03F01">
        <w:rPr>
          <w:rFonts w:hint="cs"/>
          <w:sz w:val="18"/>
          <w:szCs w:val="26"/>
          <w:rtl/>
        </w:rPr>
        <w:t>ا</w:t>
      </w:r>
      <w:r w:rsidR="00A03F01">
        <w:rPr>
          <w:sz w:val="18"/>
          <w:szCs w:val="26"/>
          <w:rtl/>
        </w:rPr>
        <w:t xml:space="preserve"> </w:t>
      </w:r>
      <w:r w:rsidRPr="003E0A2E">
        <w:rPr>
          <w:sz w:val="18"/>
          <w:szCs w:val="26"/>
          <w:rtl/>
        </w:rPr>
        <w:t>يرتكب فعل</w:t>
      </w:r>
      <w:r w:rsidR="00A03F01">
        <w:rPr>
          <w:sz w:val="18"/>
          <w:szCs w:val="26"/>
          <w:rtl/>
        </w:rPr>
        <w:t xml:space="preserve">اً </w:t>
      </w:r>
      <w:r w:rsidRPr="003E0A2E">
        <w:rPr>
          <w:sz w:val="18"/>
          <w:szCs w:val="26"/>
          <w:rtl/>
        </w:rPr>
        <w:t>غير قانوني ...</w:t>
      </w:r>
      <w:r w:rsidRPr="003E0A2E">
        <w:rPr>
          <w:rFonts w:hint="cs"/>
          <w:sz w:val="18"/>
          <w:szCs w:val="26"/>
          <w:rtl/>
        </w:rPr>
        <w:t xml:space="preserve"> </w:t>
      </w:r>
      <w:r w:rsidRPr="003E0A2E">
        <w:rPr>
          <w:sz w:val="18"/>
          <w:szCs w:val="26"/>
          <w:rtl/>
        </w:rPr>
        <w:t>ويجوز للشخص الذي تعرضت ممتلكات</w:t>
      </w:r>
      <w:r w:rsidRPr="003E0A2E">
        <w:rPr>
          <w:rFonts w:hint="cs"/>
          <w:sz w:val="18"/>
          <w:szCs w:val="26"/>
          <w:rtl/>
        </w:rPr>
        <w:t>ٌ</w:t>
      </w:r>
      <w:r w:rsidRPr="003E0A2E">
        <w:rPr>
          <w:sz w:val="18"/>
          <w:szCs w:val="26"/>
          <w:rtl/>
        </w:rPr>
        <w:t xml:space="preserve"> في حوزته للتدخل أن يقاضي الشخص المسؤول عن ذلك التدخل ... لتأمين وقف تلك الأفعال، وإذا كان المتضرر يخشي التدخل من جديد، فيمكنه أيض</w:t>
      </w:r>
      <w:r w:rsidR="00A03F01">
        <w:rPr>
          <w:sz w:val="18"/>
          <w:szCs w:val="26"/>
          <w:rtl/>
        </w:rPr>
        <w:t xml:space="preserve">اً </w:t>
      </w:r>
      <w:r w:rsidRPr="003E0A2E">
        <w:rPr>
          <w:sz w:val="18"/>
          <w:szCs w:val="26"/>
          <w:rtl/>
        </w:rPr>
        <w:t>التماس حظر على ارتكاب مثل تلك الأفعال مستقبلا</w:t>
      </w:r>
      <w:r w:rsidR="00AF4C1A">
        <w:rPr>
          <w:rFonts w:hint="cs"/>
          <w:sz w:val="18"/>
          <w:szCs w:val="26"/>
          <w:rtl/>
        </w:rPr>
        <w:t>ً</w:t>
      </w:r>
      <w:r w:rsidRPr="003E0A2E">
        <w:rPr>
          <w:sz w:val="18"/>
          <w:szCs w:val="26"/>
          <w:rtl/>
        </w:rPr>
        <w:t>‘‘.</w:t>
      </w:r>
    </w:p>
  </w:footnote>
  <w:footnote w:id="27">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(25)</w:t>
      </w:r>
      <w:r w:rsidR="003E0A2E" w:rsidRPr="003E0A2E">
        <w:rPr>
          <w:sz w:val="18"/>
          <w:szCs w:val="26"/>
          <w:rtl/>
        </w:rPr>
        <w:tab/>
      </w:r>
      <w:r w:rsidRPr="003E0A2E">
        <w:rPr>
          <w:sz w:val="18"/>
          <w:szCs w:val="26"/>
          <w:rtl/>
        </w:rPr>
        <w:t>لم تقدم الدولة الطرف أي وثائق إثبات.</w:t>
      </w:r>
    </w:p>
  </w:footnote>
  <w:footnote w:id="28">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(26)</w:t>
      </w:r>
      <w:r w:rsidR="003E0A2E" w:rsidRPr="003E0A2E">
        <w:rPr>
          <w:sz w:val="18"/>
          <w:szCs w:val="26"/>
          <w:rtl/>
        </w:rPr>
        <w:tab/>
      </w:r>
      <w:r w:rsidRPr="003E0A2E">
        <w:rPr>
          <w:sz w:val="18"/>
          <w:szCs w:val="26"/>
          <w:rtl/>
        </w:rPr>
        <w:t xml:space="preserve">يستشهد أصحاب البلاغ، في </w:t>
      </w:r>
      <w:r w:rsidRPr="003E0A2E">
        <w:rPr>
          <w:rFonts w:hint="cs"/>
          <w:sz w:val="18"/>
          <w:szCs w:val="26"/>
          <w:rtl/>
        </w:rPr>
        <w:t xml:space="preserve">قولهم </w:t>
      </w:r>
      <w:r w:rsidRPr="003E0A2E">
        <w:rPr>
          <w:sz w:val="18"/>
          <w:szCs w:val="26"/>
          <w:rtl/>
        </w:rPr>
        <w:t xml:space="preserve">بمقبولية البلاغ، بآراء اللجنة في قضية </w:t>
      </w:r>
      <w:r w:rsidRPr="003E0A2E">
        <w:rPr>
          <w:i/>
          <w:iCs/>
          <w:sz w:val="18"/>
          <w:szCs w:val="26"/>
          <w:rtl/>
        </w:rPr>
        <w:t>نيل توسان ضد كندا</w:t>
      </w:r>
      <w:r w:rsidRPr="003E0A2E">
        <w:rPr>
          <w:sz w:val="18"/>
          <w:szCs w:val="26"/>
          <w:rtl/>
        </w:rPr>
        <w:t>.</w:t>
      </w:r>
      <w:r w:rsidRPr="003E0A2E">
        <w:rPr>
          <w:rFonts w:hint="cs"/>
          <w:sz w:val="18"/>
          <w:szCs w:val="26"/>
          <w:rtl/>
        </w:rPr>
        <w:t xml:space="preserve"> </w:t>
      </w:r>
      <w:r w:rsidRPr="003E0A2E">
        <w:rPr>
          <w:sz w:val="18"/>
          <w:szCs w:val="26"/>
          <w:rtl/>
        </w:rPr>
        <w:t xml:space="preserve">وأشاروا إلى أن اللجنة ذكرت في تلك الآراء أن صاحبة البلاغ </w:t>
      </w:r>
      <w:proofErr w:type="gramStart"/>
      <w:r w:rsidRPr="003E0A2E">
        <w:rPr>
          <w:sz w:val="18"/>
          <w:szCs w:val="26"/>
          <w:rtl/>
        </w:rPr>
        <w:t>’’أوضحت</w:t>
      </w:r>
      <w:proofErr w:type="gramEnd"/>
      <w:r w:rsidRPr="003E0A2E">
        <w:rPr>
          <w:sz w:val="18"/>
          <w:szCs w:val="26"/>
          <w:rtl/>
        </w:rPr>
        <w:t xml:space="preserve"> أنها لا تدَّعي حدوث انتهاك للحق في الصحة بل لحق</w:t>
      </w:r>
      <w:r w:rsidRPr="003E0A2E">
        <w:rPr>
          <w:rFonts w:hint="cs"/>
          <w:sz w:val="18"/>
          <w:szCs w:val="26"/>
          <w:rtl/>
        </w:rPr>
        <w:t>ّ</w:t>
      </w:r>
      <w:r w:rsidRPr="003E0A2E">
        <w:rPr>
          <w:sz w:val="18"/>
          <w:szCs w:val="26"/>
          <w:rtl/>
        </w:rPr>
        <w:t>ها في الحياة، بحجة أن الدولة الطرف لم تفِ بالتزامها الإيجابي بحماية حقها في الحياة‘‘ (</w:t>
      </w:r>
      <w:r w:rsidRPr="003E0A2E">
        <w:rPr>
          <w:sz w:val="18"/>
          <w:szCs w:val="26"/>
        </w:rPr>
        <w:t>CCPR/C/123/D/2348/2014</w:t>
      </w:r>
      <w:r w:rsidRPr="003E0A2E">
        <w:rPr>
          <w:sz w:val="18"/>
          <w:szCs w:val="26"/>
          <w:rtl/>
        </w:rPr>
        <w:t>، الفقرة 10-9).</w:t>
      </w:r>
    </w:p>
  </w:footnote>
  <w:footnote w:id="29">
    <w:p w:rsidR="000B38BA" w:rsidRPr="003E0A2E" w:rsidRDefault="000B38BA" w:rsidP="008A2BC8">
      <w:pPr>
        <w:pStyle w:val="FootnoteText"/>
        <w:spacing w:after="60" w:line="300" w:lineRule="exact"/>
        <w:ind w:left="1247" w:right="1247" w:hanging="567"/>
        <w:rPr>
          <w:spacing w:val="-4"/>
          <w:sz w:val="18"/>
          <w:szCs w:val="26"/>
        </w:rPr>
      </w:pPr>
      <w:r w:rsidRPr="003E0A2E">
        <w:rPr>
          <w:rStyle w:val="FootnoteReference"/>
          <w:szCs w:val="26"/>
          <w:vertAlign w:val="baseline"/>
          <w:rtl/>
        </w:rPr>
        <w:t>(27)</w:t>
      </w:r>
      <w:r w:rsidR="003E0A2E" w:rsidRPr="003E0A2E">
        <w:rPr>
          <w:sz w:val="18"/>
          <w:szCs w:val="26"/>
          <w:rtl/>
        </w:rPr>
        <w:tab/>
      </w:r>
      <w:r w:rsidRPr="003E0A2E">
        <w:rPr>
          <w:sz w:val="18"/>
          <w:szCs w:val="26"/>
          <w:rtl/>
        </w:rPr>
        <w:t xml:space="preserve">يذكر أصحاب البلاغ أنه من الصعب للغاية على سكان </w:t>
      </w:r>
      <w:proofErr w:type="spellStart"/>
      <w:r w:rsidRPr="003E0A2E">
        <w:rPr>
          <w:sz w:val="18"/>
          <w:szCs w:val="26"/>
          <w:rtl/>
        </w:rPr>
        <w:t>يروتي</w:t>
      </w:r>
      <w:proofErr w:type="spellEnd"/>
      <w:r w:rsidRPr="003E0A2E">
        <w:rPr>
          <w:sz w:val="18"/>
          <w:szCs w:val="26"/>
          <w:rtl/>
        </w:rPr>
        <w:t xml:space="preserve"> الوصول إلى الخدمات العامة، بما فيها الخدمات التي يقدمها مكتب المدعي العام والمحاكم، بسبب عدم وجود أي خدمات نقل عام.</w:t>
      </w:r>
      <w:r w:rsidRPr="003E0A2E">
        <w:rPr>
          <w:rFonts w:hint="cs"/>
          <w:sz w:val="18"/>
          <w:szCs w:val="26"/>
          <w:rtl/>
        </w:rPr>
        <w:t xml:space="preserve"> </w:t>
      </w:r>
      <w:r w:rsidRPr="003E0A2E">
        <w:rPr>
          <w:sz w:val="18"/>
          <w:szCs w:val="26"/>
          <w:rtl/>
        </w:rPr>
        <w:t xml:space="preserve">ويتعين على سكان ذلك المجتمع المحلي في تنقلهم استخدام أحد مسارين ترابيين، طولهما 10 و14 كيلومتراً، ويصبحان غير سالكين </w:t>
      </w:r>
      <w:r w:rsidRPr="003E0A2E">
        <w:rPr>
          <w:spacing w:val="-4"/>
          <w:sz w:val="18"/>
          <w:szCs w:val="26"/>
          <w:rtl/>
        </w:rPr>
        <w:t xml:space="preserve">عند هطول الأمطار، للوصول إلى أقرب طريق، وعنده تكون أقرب مدينة وهي </w:t>
      </w:r>
      <w:proofErr w:type="spellStart"/>
      <w:r w:rsidRPr="003E0A2E">
        <w:rPr>
          <w:spacing w:val="-4"/>
          <w:sz w:val="18"/>
          <w:szCs w:val="26"/>
          <w:rtl/>
        </w:rPr>
        <w:t>ك</w:t>
      </w:r>
      <w:r w:rsidRPr="003E0A2E">
        <w:rPr>
          <w:rFonts w:hint="cs"/>
          <w:spacing w:val="-4"/>
          <w:sz w:val="18"/>
          <w:szCs w:val="26"/>
          <w:rtl/>
        </w:rPr>
        <w:t>و</w:t>
      </w:r>
      <w:r w:rsidRPr="003E0A2E">
        <w:rPr>
          <w:spacing w:val="-4"/>
          <w:sz w:val="18"/>
          <w:szCs w:val="26"/>
          <w:rtl/>
        </w:rPr>
        <w:t>روغواتي</w:t>
      </w:r>
      <w:proofErr w:type="spellEnd"/>
      <w:r w:rsidRPr="003E0A2E">
        <w:rPr>
          <w:spacing w:val="-4"/>
          <w:sz w:val="18"/>
          <w:szCs w:val="26"/>
          <w:rtl/>
        </w:rPr>
        <w:t xml:space="preserve"> على بعد 20 كيلومترا</w:t>
      </w:r>
      <w:r w:rsidR="003E0A2E" w:rsidRPr="003E0A2E">
        <w:rPr>
          <w:rFonts w:hint="cs"/>
          <w:spacing w:val="-4"/>
          <w:sz w:val="18"/>
          <w:szCs w:val="26"/>
          <w:rtl/>
        </w:rPr>
        <w:t>ً</w:t>
      </w:r>
      <w:r w:rsidRPr="003E0A2E">
        <w:rPr>
          <w:spacing w:val="-4"/>
          <w:sz w:val="18"/>
          <w:szCs w:val="26"/>
          <w:rtl/>
        </w:rPr>
        <w:t>.</w:t>
      </w:r>
    </w:p>
  </w:footnote>
  <w:footnote w:id="30">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(28)</w:t>
      </w:r>
      <w:r w:rsidR="003E0A2E" w:rsidRPr="003E0A2E">
        <w:rPr>
          <w:rStyle w:val="FootnoteReference"/>
          <w:szCs w:val="26"/>
          <w:vertAlign w:val="baseline"/>
          <w:rtl/>
        </w:rPr>
        <w:tab/>
      </w:r>
      <w:r w:rsidRPr="003E0A2E">
        <w:rPr>
          <w:sz w:val="18"/>
          <w:szCs w:val="26"/>
          <w:rtl/>
        </w:rPr>
        <w:t>التعليق العام رقم 36(2018) بشأن الحق في الحياة، الفقرة 26.</w:t>
      </w:r>
    </w:p>
  </w:footnote>
  <w:footnote w:id="31">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(29)</w:t>
      </w:r>
      <w:r w:rsidR="003E0A2E" w:rsidRPr="003E0A2E">
        <w:rPr>
          <w:sz w:val="18"/>
          <w:szCs w:val="26"/>
          <w:rtl/>
        </w:rPr>
        <w:tab/>
      </w:r>
      <w:r w:rsidRPr="003E0A2E">
        <w:rPr>
          <w:sz w:val="18"/>
          <w:szCs w:val="26"/>
          <w:rtl/>
        </w:rPr>
        <w:t>المرجع السابق، الفقرة 3.</w:t>
      </w:r>
    </w:p>
  </w:footnote>
  <w:footnote w:id="32">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(30)</w:t>
      </w:r>
      <w:r w:rsidR="003E0A2E" w:rsidRPr="003E0A2E">
        <w:rPr>
          <w:sz w:val="18"/>
          <w:szCs w:val="26"/>
          <w:rtl/>
        </w:rPr>
        <w:tab/>
      </w:r>
      <w:r w:rsidRPr="003E0A2E">
        <w:rPr>
          <w:sz w:val="18"/>
          <w:szCs w:val="26"/>
          <w:rtl/>
        </w:rPr>
        <w:t>كان طلب التفتيش مؤرخ</w:t>
      </w:r>
      <w:r w:rsidR="00A03F01">
        <w:rPr>
          <w:sz w:val="18"/>
          <w:szCs w:val="26"/>
          <w:rtl/>
        </w:rPr>
        <w:t xml:space="preserve">اً </w:t>
      </w:r>
      <w:r w:rsidRPr="003E0A2E">
        <w:rPr>
          <w:sz w:val="18"/>
          <w:szCs w:val="26"/>
          <w:rtl/>
        </w:rPr>
        <w:t>15 نيسان/أبريل 2016 واستغرق صدور قرار بشأنه عامين.</w:t>
      </w:r>
    </w:p>
  </w:footnote>
  <w:footnote w:id="33">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(31)</w:t>
      </w:r>
      <w:r w:rsidR="003E0A2E" w:rsidRPr="003E0A2E">
        <w:rPr>
          <w:sz w:val="18"/>
          <w:szCs w:val="26"/>
          <w:rtl/>
        </w:rPr>
        <w:tab/>
      </w:r>
      <w:r w:rsidRPr="003E0A2E">
        <w:rPr>
          <w:sz w:val="18"/>
          <w:szCs w:val="26"/>
        </w:rPr>
        <w:t>A/HRC/34/48/Add.2</w:t>
      </w:r>
      <w:r w:rsidRPr="003E0A2E">
        <w:rPr>
          <w:sz w:val="18"/>
          <w:szCs w:val="26"/>
          <w:rtl/>
        </w:rPr>
        <w:t>، الفقرة 106(د).</w:t>
      </w:r>
    </w:p>
  </w:footnote>
  <w:footnote w:id="34">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(32)</w:t>
      </w:r>
      <w:r w:rsidR="003E0A2E" w:rsidRPr="003E0A2E">
        <w:rPr>
          <w:sz w:val="18"/>
          <w:szCs w:val="26"/>
          <w:rtl/>
        </w:rPr>
        <w:tab/>
      </w:r>
      <w:r w:rsidRPr="003E0A2E">
        <w:rPr>
          <w:sz w:val="18"/>
          <w:szCs w:val="26"/>
        </w:rPr>
        <w:t>A/HRC/30/41/Add.1</w:t>
      </w:r>
      <w:r w:rsidRPr="003E0A2E">
        <w:rPr>
          <w:sz w:val="18"/>
          <w:szCs w:val="26"/>
          <w:rtl/>
        </w:rPr>
        <w:t>، الفقرتان 48 و83(ز).</w:t>
      </w:r>
    </w:p>
  </w:footnote>
  <w:footnote w:id="35">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(33)</w:t>
      </w:r>
      <w:r w:rsidR="003E0A2E" w:rsidRPr="003E0A2E">
        <w:rPr>
          <w:sz w:val="18"/>
          <w:szCs w:val="26"/>
          <w:rtl/>
        </w:rPr>
        <w:tab/>
      </w:r>
      <w:r w:rsidRPr="003E0A2E">
        <w:rPr>
          <w:sz w:val="18"/>
          <w:szCs w:val="26"/>
        </w:rPr>
        <w:t>E/C.12/PRY/CO/4</w:t>
      </w:r>
      <w:r w:rsidRPr="003E0A2E">
        <w:rPr>
          <w:sz w:val="18"/>
          <w:szCs w:val="26"/>
          <w:rtl/>
        </w:rPr>
        <w:t>، الفقرة 25.</w:t>
      </w:r>
    </w:p>
  </w:footnote>
  <w:footnote w:id="36">
    <w:p w:rsidR="000B38BA" w:rsidRPr="00E94349" w:rsidRDefault="000B38BA" w:rsidP="003E0A2E">
      <w:pPr>
        <w:pStyle w:val="FootnoteText"/>
        <w:spacing w:after="60" w:line="300" w:lineRule="exact"/>
        <w:ind w:left="1247" w:right="1247" w:hanging="567"/>
        <w:rPr>
          <w:spacing w:val="-4"/>
          <w:sz w:val="18"/>
          <w:szCs w:val="26"/>
        </w:rPr>
      </w:pPr>
      <w:r w:rsidRPr="00E94349">
        <w:rPr>
          <w:rStyle w:val="FootnoteReference"/>
          <w:spacing w:val="-4"/>
          <w:szCs w:val="26"/>
          <w:vertAlign w:val="baseline"/>
          <w:rtl/>
        </w:rPr>
        <w:t>(34)</w:t>
      </w:r>
      <w:r w:rsidR="003E0A2E" w:rsidRPr="00E94349">
        <w:rPr>
          <w:rStyle w:val="FootnoteReference"/>
          <w:spacing w:val="-4"/>
          <w:szCs w:val="26"/>
          <w:vertAlign w:val="baseline"/>
          <w:rtl/>
        </w:rPr>
        <w:tab/>
      </w:r>
      <w:r w:rsidRPr="00E94349">
        <w:rPr>
          <w:spacing w:val="-4"/>
          <w:sz w:val="18"/>
          <w:szCs w:val="26"/>
          <w:rtl/>
        </w:rPr>
        <w:t>يستشهد أصحاب البلاغ بالتقرير التالي:</w:t>
      </w:r>
      <w:r w:rsidR="0069070B" w:rsidRPr="00E94349">
        <w:rPr>
          <w:spacing w:val="-4"/>
          <w:sz w:val="18"/>
          <w:szCs w:val="26"/>
        </w:rPr>
        <w:t xml:space="preserve"> </w:t>
      </w:r>
      <w:r w:rsidR="00E94349" w:rsidRPr="00E94349">
        <w:rPr>
          <w:spacing w:val="-4"/>
          <w:sz w:val="18"/>
        </w:rPr>
        <w:t xml:space="preserve">Mesa de </w:t>
      </w:r>
      <w:proofErr w:type="spellStart"/>
      <w:r w:rsidR="00E94349" w:rsidRPr="00E94349">
        <w:rPr>
          <w:spacing w:val="-4"/>
          <w:sz w:val="18"/>
        </w:rPr>
        <w:t>Concertación</w:t>
      </w:r>
      <w:proofErr w:type="spellEnd"/>
      <w:r w:rsidR="00E94349" w:rsidRPr="00E94349">
        <w:rPr>
          <w:spacing w:val="-4"/>
          <w:sz w:val="18"/>
        </w:rPr>
        <w:t xml:space="preserve"> para el Desarrollo Rural </w:t>
      </w:r>
      <w:proofErr w:type="spellStart"/>
      <w:r w:rsidR="00E94349" w:rsidRPr="00E94349">
        <w:rPr>
          <w:spacing w:val="-4"/>
          <w:sz w:val="18"/>
        </w:rPr>
        <w:t>Sostenible</w:t>
      </w:r>
      <w:proofErr w:type="spellEnd"/>
      <w:r w:rsidR="00E94349" w:rsidRPr="00E94349">
        <w:rPr>
          <w:spacing w:val="-4"/>
          <w:sz w:val="18"/>
        </w:rPr>
        <w:t xml:space="preserve">, </w:t>
      </w:r>
      <w:r w:rsidR="00E94349" w:rsidRPr="00E94349">
        <w:rPr>
          <w:i/>
          <w:iCs/>
          <w:spacing w:val="-4"/>
          <w:sz w:val="18"/>
        </w:rPr>
        <w:t xml:space="preserve">Informe de la Sociedad Civil </w:t>
      </w:r>
      <w:proofErr w:type="spellStart"/>
      <w:r w:rsidR="00E94349" w:rsidRPr="00E94349">
        <w:rPr>
          <w:i/>
          <w:iCs/>
          <w:spacing w:val="-4"/>
          <w:sz w:val="18"/>
        </w:rPr>
        <w:t>sobre</w:t>
      </w:r>
      <w:proofErr w:type="spellEnd"/>
      <w:r w:rsidR="00E94349" w:rsidRPr="00E94349">
        <w:rPr>
          <w:i/>
          <w:iCs/>
          <w:spacing w:val="-4"/>
          <w:sz w:val="18"/>
        </w:rPr>
        <w:t xml:space="preserve"> el </w:t>
      </w:r>
      <w:proofErr w:type="spellStart"/>
      <w:r w:rsidR="00E94349" w:rsidRPr="00E94349">
        <w:rPr>
          <w:i/>
          <w:iCs/>
          <w:spacing w:val="-4"/>
          <w:sz w:val="18"/>
        </w:rPr>
        <w:t>Cumplimiento</w:t>
      </w:r>
      <w:proofErr w:type="spellEnd"/>
      <w:r w:rsidR="00E94349" w:rsidRPr="00E94349">
        <w:rPr>
          <w:i/>
          <w:iCs/>
          <w:spacing w:val="-4"/>
          <w:sz w:val="18"/>
        </w:rPr>
        <w:t xml:space="preserve"> del PIDESC </w:t>
      </w:r>
      <w:proofErr w:type="spellStart"/>
      <w:r w:rsidR="00E94349" w:rsidRPr="00E94349">
        <w:rPr>
          <w:i/>
          <w:iCs/>
          <w:spacing w:val="-4"/>
          <w:sz w:val="18"/>
        </w:rPr>
        <w:t>en</w:t>
      </w:r>
      <w:proofErr w:type="spellEnd"/>
      <w:r w:rsidR="00E94349" w:rsidRPr="00E94349">
        <w:rPr>
          <w:i/>
          <w:iCs/>
          <w:spacing w:val="-4"/>
          <w:sz w:val="18"/>
        </w:rPr>
        <w:t xml:space="preserve"> el Paraguay 2000–2006</w:t>
      </w:r>
      <w:r w:rsidR="00E94349" w:rsidRPr="00E94349">
        <w:rPr>
          <w:spacing w:val="-4"/>
          <w:sz w:val="18"/>
        </w:rPr>
        <w:t>, Asunción, 2007, p.</w:t>
      </w:r>
      <w:r w:rsidR="00E94349">
        <w:rPr>
          <w:spacing w:val="-4"/>
          <w:sz w:val="18"/>
        </w:rPr>
        <w:t> </w:t>
      </w:r>
      <w:r w:rsidR="00E94349" w:rsidRPr="00E94349">
        <w:rPr>
          <w:spacing w:val="-4"/>
          <w:sz w:val="18"/>
        </w:rPr>
        <w:t>22</w:t>
      </w:r>
      <w:r w:rsidR="00E94349" w:rsidRPr="00E94349">
        <w:rPr>
          <w:rFonts w:hint="cs"/>
          <w:spacing w:val="-4"/>
          <w:sz w:val="18"/>
          <w:szCs w:val="26"/>
          <w:rtl/>
        </w:rPr>
        <w:t xml:space="preserve"> </w:t>
      </w:r>
      <w:r w:rsidRPr="00E94349">
        <w:rPr>
          <w:rFonts w:hint="cs"/>
          <w:spacing w:val="-4"/>
          <w:sz w:val="18"/>
          <w:szCs w:val="26"/>
          <w:rtl/>
        </w:rPr>
        <w:t xml:space="preserve">متاح في: </w:t>
      </w:r>
      <w:hyperlink r:id="rId1" w:history="1">
        <w:r w:rsidRPr="00E94349">
          <w:rPr>
            <w:rStyle w:val="Hyperlink"/>
            <w:spacing w:val="-4"/>
            <w:sz w:val="18"/>
            <w:szCs w:val="26"/>
            <w:u w:val="none"/>
          </w:rPr>
          <w:t>https://www2.ohchr.org/english/bodies/cescr/docs/info-ngos/DESC-Paraguay.pdf</w:t>
        </w:r>
      </w:hyperlink>
      <w:r w:rsidRPr="00E94349">
        <w:rPr>
          <w:spacing w:val="-4"/>
          <w:sz w:val="18"/>
          <w:szCs w:val="26"/>
          <w:rtl/>
        </w:rPr>
        <w:t>.</w:t>
      </w:r>
    </w:p>
  </w:footnote>
  <w:footnote w:id="37">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(35)</w:t>
      </w:r>
      <w:r w:rsidR="003E0A2E" w:rsidRPr="003E0A2E">
        <w:rPr>
          <w:rStyle w:val="FootnoteReference"/>
          <w:szCs w:val="26"/>
          <w:vertAlign w:val="baseline"/>
          <w:rtl/>
        </w:rPr>
        <w:tab/>
      </w:r>
      <w:r w:rsidRPr="003E0A2E">
        <w:rPr>
          <w:sz w:val="18"/>
          <w:szCs w:val="26"/>
          <w:rtl/>
        </w:rPr>
        <w:t>يحيل أصحاب البلاغ إلى مقال صحفي متاح في:</w:t>
      </w:r>
      <w:r w:rsidR="003E0A2E" w:rsidRPr="003E0A2E">
        <w:rPr>
          <w:rFonts w:hint="cs"/>
          <w:sz w:val="18"/>
          <w:szCs w:val="26"/>
          <w:rtl/>
        </w:rPr>
        <w:t xml:space="preserve"> </w:t>
      </w:r>
      <w:hyperlink r:id="rId2" w:history="1">
        <w:r w:rsidRPr="003E0A2E">
          <w:rPr>
            <w:rStyle w:val="Hyperlink"/>
            <w:sz w:val="18"/>
            <w:u w:val="none"/>
            <w:lang w:val="en-CA"/>
          </w:rPr>
          <w:t>https://www.ultimahora.com/dos-ninas-fallecieron-curuguaty-causa-agrotoxicos-segun-la-fnc-n814364.html</w:t>
        </w:r>
      </w:hyperlink>
      <w:r w:rsidRPr="003E0A2E">
        <w:rPr>
          <w:rFonts w:hint="cs"/>
          <w:sz w:val="18"/>
          <w:rtl/>
          <w:lang w:val="en-CA"/>
        </w:rPr>
        <w:t>.</w:t>
      </w:r>
    </w:p>
  </w:footnote>
  <w:footnote w:id="38">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(36)</w:t>
      </w:r>
      <w:r w:rsidR="003E0A2E" w:rsidRPr="003E0A2E">
        <w:rPr>
          <w:rStyle w:val="FootnoteReference"/>
          <w:szCs w:val="26"/>
          <w:vertAlign w:val="baseline"/>
          <w:rtl/>
        </w:rPr>
        <w:tab/>
      </w:r>
      <w:r w:rsidRPr="003E0A2E">
        <w:rPr>
          <w:sz w:val="18"/>
          <w:szCs w:val="26"/>
          <w:rtl/>
        </w:rPr>
        <w:t xml:space="preserve">يحيل أصحاب البلاغ إلى مقال صحفي بعنوان </w:t>
      </w:r>
      <w:r w:rsidR="00E94349">
        <w:rPr>
          <w:lang w:val="en-CA"/>
        </w:rPr>
        <w:t>“</w:t>
      </w:r>
      <w:proofErr w:type="spellStart"/>
      <w:r w:rsidR="00E94349" w:rsidRPr="006416F7">
        <w:rPr>
          <w:lang w:val="en-CA"/>
        </w:rPr>
        <w:t>Comunidad</w:t>
      </w:r>
      <w:proofErr w:type="spellEnd"/>
      <w:r w:rsidR="00E94349" w:rsidRPr="006416F7">
        <w:rPr>
          <w:lang w:val="en-CA"/>
        </w:rPr>
        <w:t xml:space="preserve"> </w:t>
      </w:r>
      <w:proofErr w:type="spellStart"/>
      <w:r w:rsidR="00E94349" w:rsidRPr="006416F7">
        <w:rPr>
          <w:lang w:val="en-CA"/>
        </w:rPr>
        <w:t>indígena</w:t>
      </w:r>
      <w:proofErr w:type="spellEnd"/>
      <w:r w:rsidR="00E94349" w:rsidRPr="006416F7">
        <w:rPr>
          <w:lang w:val="en-CA"/>
        </w:rPr>
        <w:t xml:space="preserve"> </w:t>
      </w:r>
      <w:proofErr w:type="spellStart"/>
      <w:r w:rsidR="00E94349" w:rsidRPr="006416F7">
        <w:rPr>
          <w:lang w:val="en-CA"/>
        </w:rPr>
        <w:t>afectada</w:t>
      </w:r>
      <w:proofErr w:type="spellEnd"/>
      <w:r w:rsidR="00E94349" w:rsidRPr="006416F7">
        <w:rPr>
          <w:lang w:val="en-CA"/>
        </w:rPr>
        <w:t xml:space="preserve"> por </w:t>
      </w:r>
      <w:proofErr w:type="spellStart"/>
      <w:r w:rsidR="00E94349" w:rsidRPr="006416F7">
        <w:rPr>
          <w:lang w:val="en-CA"/>
        </w:rPr>
        <w:t>fumigación</w:t>
      </w:r>
      <w:proofErr w:type="spellEnd"/>
      <w:r w:rsidR="00E94349" w:rsidRPr="006416F7">
        <w:rPr>
          <w:lang w:val="en-CA"/>
        </w:rPr>
        <w:t xml:space="preserve"> de </w:t>
      </w:r>
      <w:proofErr w:type="spellStart"/>
      <w:r w:rsidR="00E94349" w:rsidRPr="00E94349">
        <w:rPr>
          <w:spacing w:val="-4"/>
          <w:lang w:val="en-CA"/>
        </w:rPr>
        <w:t>sojales</w:t>
      </w:r>
      <w:proofErr w:type="spellEnd"/>
      <w:r w:rsidR="00E94349" w:rsidRPr="00E94349">
        <w:rPr>
          <w:spacing w:val="-4"/>
          <w:lang w:val="en-CA"/>
        </w:rPr>
        <w:t xml:space="preserve"> </w:t>
      </w:r>
      <w:proofErr w:type="spellStart"/>
      <w:r w:rsidR="00E94349" w:rsidRPr="00E94349">
        <w:rPr>
          <w:spacing w:val="-4"/>
          <w:lang w:val="en-CA"/>
        </w:rPr>
        <w:t>en</w:t>
      </w:r>
      <w:proofErr w:type="spellEnd"/>
      <w:r w:rsidR="00E94349" w:rsidRPr="00E94349">
        <w:rPr>
          <w:spacing w:val="-4"/>
          <w:lang w:val="en-CA"/>
        </w:rPr>
        <w:t xml:space="preserve"> </w:t>
      </w:r>
      <w:proofErr w:type="spellStart"/>
      <w:r w:rsidR="00E94349" w:rsidRPr="00E94349">
        <w:rPr>
          <w:spacing w:val="-4"/>
          <w:lang w:val="en-CA"/>
        </w:rPr>
        <w:t>Curuguaty</w:t>
      </w:r>
      <w:proofErr w:type="spellEnd"/>
      <w:r w:rsidR="00E94349" w:rsidRPr="00E94349">
        <w:rPr>
          <w:spacing w:val="-4"/>
          <w:lang w:val="en-CA"/>
        </w:rPr>
        <w:t>”</w:t>
      </w:r>
      <w:r w:rsidR="00E94349" w:rsidRPr="00E94349">
        <w:rPr>
          <w:rFonts w:hint="cs"/>
          <w:spacing w:val="-4"/>
          <w:sz w:val="18"/>
          <w:szCs w:val="26"/>
          <w:rtl/>
        </w:rPr>
        <w:t xml:space="preserve"> </w:t>
      </w:r>
      <w:r w:rsidRPr="00E94349">
        <w:rPr>
          <w:spacing w:val="-4"/>
          <w:sz w:val="18"/>
          <w:szCs w:val="26"/>
          <w:rtl/>
        </w:rPr>
        <w:t xml:space="preserve">(مجتمع للسكان الأصليين يلحقه ضرر بسبب تبخير حقول فول الصويا في </w:t>
      </w:r>
      <w:proofErr w:type="spellStart"/>
      <w:r w:rsidRPr="00E94349">
        <w:rPr>
          <w:spacing w:val="-4"/>
          <w:sz w:val="18"/>
          <w:szCs w:val="26"/>
          <w:rtl/>
        </w:rPr>
        <w:t>كوروغواتي</w:t>
      </w:r>
      <w:proofErr w:type="spellEnd"/>
      <w:r w:rsidRPr="00E94349">
        <w:rPr>
          <w:spacing w:val="-4"/>
          <w:sz w:val="18"/>
          <w:szCs w:val="26"/>
          <w:rtl/>
        </w:rPr>
        <w:t>)،</w:t>
      </w:r>
      <w:r w:rsidRPr="003E0A2E">
        <w:rPr>
          <w:sz w:val="18"/>
          <w:szCs w:val="26"/>
          <w:rtl/>
        </w:rPr>
        <w:t xml:space="preserve"> متاح في: </w:t>
      </w:r>
      <w:hyperlink r:id="rId3" w:history="1">
        <w:r w:rsidRPr="003E0A2E">
          <w:rPr>
            <w:rStyle w:val="Hyperlink"/>
            <w:sz w:val="18"/>
            <w:szCs w:val="26"/>
            <w:u w:val="none"/>
          </w:rPr>
          <w:t>https://www.ultimahora.com/comunidad-indigena-afectada-fumigacion-sojales-curuguaty-n1101022.html</w:t>
        </w:r>
      </w:hyperlink>
      <w:r w:rsidRPr="003E0A2E">
        <w:rPr>
          <w:sz w:val="18"/>
          <w:szCs w:val="26"/>
          <w:rtl/>
        </w:rPr>
        <w:t>.</w:t>
      </w:r>
    </w:p>
  </w:footnote>
  <w:footnote w:id="39">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(37)</w:t>
      </w:r>
      <w:r w:rsidR="003E0A2E">
        <w:rPr>
          <w:sz w:val="18"/>
          <w:szCs w:val="26"/>
          <w:rtl/>
        </w:rPr>
        <w:tab/>
      </w:r>
      <w:r w:rsidRPr="003E0A2E">
        <w:rPr>
          <w:sz w:val="18"/>
          <w:szCs w:val="26"/>
          <w:rtl/>
        </w:rPr>
        <w:t xml:space="preserve">فقه قضائي مستقر منذ صدور آراء اللجنة في قضية </w:t>
      </w:r>
      <w:r w:rsidRPr="003E0A2E">
        <w:rPr>
          <w:i/>
          <w:iCs/>
          <w:sz w:val="18"/>
          <w:szCs w:val="26"/>
          <w:rtl/>
        </w:rPr>
        <w:t>ت.</w:t>
      </w:r>
      <w:r w:rsidR="00E94349">
        <w:rPr>
          <w:rFonts w:hint="cs"/>
          <w:i/>
          <w:iCs/>
          <w:sz w:val="18"/>
          <w:szCs w:val="26"/>
          <w:rtl/>
        </w:rPr>
        <w:t xml:space="preserve"> </w:t>
      </w:r>
      <w:r w:rsidRPr="003E0A2E">
        <w:rPr>
          <w:i/>
          <w:iCs/>
          <w:sz w:val="18"/>
          <w:szCs w:val="26"/>
          <w:rtl/>
        </w:rPr>
        <w:t>ك. ضد فرنسا</w:t>
      </w:r>
      <w:r w:rsidRPr="003E0A2E">
        <w:rPr>
          <w:sz w:val="18"/>
          <w:szCs w:val="26"/>
          <w:rtl/>
        </w:rPr>
        <w:t xml:space="preserve"> (</w:t>
      </w:r>
      <w:r w:rsidRPr="003E0A2E">
        <w:rPr>
          <w:sz w:val="18"/>
          <w:szCs w:val="26"/>
        </w:rPr>
        <w:t>CCPR/C/37/D/220/1987</w:t>
      </w:r>
      <w:r w:rsidRPr="003E0A2E">
        <w:rPr>
          <w:sz w:val="18"/>
          <w:szCs w:val="26"/>
          <w:rtl/>
        </w:rPr>
        <w:t>)، الفقرة</w:t>
      </w:r>
      <w:r w:rsidR="00E94349">
        <w:rPr>
          <w:rFonts w:hint="cs"/>
          <w:sz w:val="18"/>
          <w:szCs w:val="26"/>
          <w:rtl/>
        </w:rPr>
        <w:t> </w:t>
      </w:r>
      <w:r w:rsidRPr="003E0A2E">
        <w:rPr>
          <w:sz w:val="18"/>
          <w:szCs w:val="26"/>
          <w:rtl/>
        </w:rPr>
        <w:t>8-3.</w:t>
      </w:r>
    </w:p>
  </w:footnote>
  <w:footnote w:id="40">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(38)</w:t>
      </w:r>
      <w:r w:rsidR="003E0A2E">
        <w:rPr>
          <w:sz w:val="18"/>
          <w:szCs w:val="26"/>
          <w:rtl/>
        </w:rPr>
        <w:tab/>
      </w:r>
      <w:r w:rsidRPr="003E0A2E">
        <w:rPr>
          <w:sz w:val="18"/>
          <w:szCs w:val="26"/>
          <w:rtl/>
        </w:rPr>
        <w:t xml:space="preserve">فيما يتعلق بمسألة التأخير غير المعقول، انظر قضية </w:t>
      </w:r>
      <w:proofErr w:type="spellStart"/>
      <w:r w:rsidRPr="003E0A2E">
        <w:rPr>
          <w:i/>
          <w:iCs/>
          <w:sz w:val="18"/>
          <w:szCs w:val="26"/>
          <w:rtl/>
        </w:rPr>
        <w:t>أبدوإيلاإفنا</w:t>
      </w:r>
      <w:proofErr w:type="spellEnd"/>
      <w:r w:rsidRPr="003E0A2E">
        <w:rPr>
          <w:i/>
          <w:iCs/>
          <w:sz w:val="18"/>
          <w:szCs w:val="26"/>
          <w:rtl/>
        </w:rPr>
        <w:t xml:space="preserve"> ضد هولندا</w:t>
      </w:r>
      <w:r w:rsidRPr="003E0A2E">
        <w:rPr>
          <w:sz w:val="18"/>
          <w:szCs w:val="26"/>
          <w:rtl/>
        </w:rPr>
        <w:t xml:space="preserve"> (</w:t>
      </w:r>
      <w:r w:rsidRPr="003E0A2E">
        <w:rPr>
          <w:sz w:val="18"/>
          <w:szCs w:val="26"/>
        </w:rPr>
        <w:t>CCPR/C/125/D/2498/2014</w:t>
      </w:r>
      <w:r w:rsidRPr="003E0A2E">
        <w:rPr>
          <w:sz w:val="18"/>
          <w:szCs w:val="26"/>
          <w:rtl/>
        </w:rPr>
        <w:t xml:space="preserve">)، الفقرة 6-3، وقضية </w:t>
      </w:r>
      <w:proofErr w:type="spellStart"/>
      <w:r w:rsidRPr="003E0A2E">
        <w:rPr>
          <w:i/>
          <w:iCs/>
          <w:sz w:val="18"/>
          <w:szCs w:val="26"/>
          <w:rtl/>
        </w:rPr>
        <w:t>تشيرنف</w:t>
      </w:r>
      <w:proofErr w:type="spellEnd"/>
      <w:r w:rsidRPr="003E0A2E">
        <w:rPr>
          <w:i/>
          <w:iCs/>
          <w:sz w:val="18"/>
          <w:szCs w:val="26"/>
          <w:rtl/>
        </w:rPr>
        <w:t xml:space="preserve"> ضد الاتحاد الروسي</w:t>
      </w:r>
      <w:r w:rsidRPr="003E0A2E">
        <w:rPr>
          <w:sz w:val="18"/>
          <w:szCs w:val="26"/>
          <w:rtl/>
        </w:rPr>
        <w:t xml:space="preserve"> (</w:t>
      </w:r>
      <w:r w:rsidRPr="003E0A2E">
        <w:rPr>
          <w:sz w:val="18"/>
          <w:szCs w:val="26"/>
        </w:rPr>
        <w:t>CCPR/C/125/D/2322/2013</w:t>
      </w:r>
      <w:r w:rsidRPr="003E0A2E">
        <w:rPr>
          <w:sz w:val="18"/>
          <w:szCs w:val="26"/>
          <w:rtl/>
        </w:rPr>
        <w:t>)، الفقرة 11-3.</w:t>
      </w:r>
    </w:p>
  </w:footnote>
  <w:footnote w:id="41">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(39)</w:t>
      </w:r>
      <w:r w:rsidR="003E0A2E">
        <w:rPr>
          <w:sz w:val="18"/>
          <w:szCs w:val="26"/>
          <w:rtl/>
        </w:rPr>
        <w:tab/>
      </w:r>
      <w:r w:rsidRPr="003E0A2E">
        <w:rPr>
          <w:rFonts w:hint="cs"/>
          <w:sz w:val="18"/>
          <w:szCs w:val="26"/>
          <w:rtl/>
        </w:rPr>
        <w:t xml:space="preserve">قضية </w:t>
      </w:r>
      <w:proofErr w:type="spellStart"/>
      <w:r w:rsidRPr="003E0A2E">
        <w:rPr>
          <w:i/>
          <w:iCs/>
          <w:sz w:val="18"/>
          <w:szCs w:val="26"/>
          <w:rtl/>
        </w:rPr>
        <w:t>كولاماركو</w:t>
      </w:r>
      <w:proofErr w:type="spellEnd"/>
      <w:r w:rsidRPr="003E0A2E">
        <w:rPr>
          <w:i/>
          <w:iCs/>
          <w:sz w:val="18"/>
          <w:szCs w:val="26"/>
          <w:rtl/>
        </w:rPr>
        <w:t xml:space="preserve"> </w:t>
      </w:r>
      <w:proofErr w:type="spellStart"/>
      <w:r w:rsidRPr="003E0A2E">
        <w:rPr>
          <w:i/>
          <w:iCs/>
          <w:sz w:val="18"/>
          <w:szCs w:val="26"/>
          <w:rtl/>
        </w:rPr>
        <w:t>باتيينو</w:t>
      </w:r>
      <w:proofErr w:type="spellEnd"/>
      <w:r w:rsidRPr="003E0A2E">
        <w:rPr>
          <w:i/>
          <w:iCs/>
          <w:sz w:val="18"/>
          <w:szCs w:val="26"/>
          <w:rtl/>
        </w:rPr>
        <w:t xml:space="preserve"> ضد بنما</w:t>
      </w:r>
      <w:r w:rsidRPr="003E0A2E">
        <w:rPr>
          <w:sz w:val="18"/>
          <w:szCs w:val="26"/>
          <w:rtl/>
        </w:rPr>
        <w:t xml:space="preserve"> (</w:t>
      </w:r>
      <w:r w:rsidRPr="003E0A2E">
        <w:rPr>
          <w:sz w:val="18"/>
          <w:szCs w:val="26"/>
        </w:rPr>
        <w:t>CCPR/C/52/D/437/1990</w:t>
      </w:r>
      <w:r w:rsidRPr="003E0A2E">
        <w:rPr>
          <w:sz w:val="18"/>
          <w:szCs w:val="26"/>
          <w:rtl/>
        </w:rPr>
        <w:t>)، الفقرة 5-2.</w:t>
      </w:r>
    </w:p>
  </w:footnote>
  <w:footnote w:id="42">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(40)</w:t>
      </w:r>
      <w:r w:rsidR="003E0A2E">
        <w:rPr>
          <w:sz w:val="18"/>
          <w:szCs w:val="26"/>
          <w:rtl/>
        </w:rPr>
        <w:tab/>
      </w:r>
      <w:r w:rsidRPr="003E0A2E">
        <w:rPr>
          <w:sz w:val="18"/>
          <w:szCs w:val="26"/>
          <w:rtl/>
        </w:rPr>
        <w:t xml:space="preserve">قضية </w:t>
      </w:r>
      <w:r w:rsidRPr="003E0A2E">
        <w:rPr>
          <w:i/>
          <w:iCs/>
          <w:sz w:val="18"/>
          <w:szCs w:val="26"/>
          <w:rtl/>
        </w:rPr>
        <w:t>مجنون ضد الجزائر</w:t>
      </w:r>
      <w:r w:rsidRPr="003E0A2E">
        <w:rPr>
          <w:sz w:val="18"/>
          <w:szCs w:val="26"/>
          <w:rtl/>
        </w:rPr>
        <w:t xml:space="preserve"> (</w:t>
      </w:r>
      <w:r w:rsidRPr="003E0A2E">
        <w:rPr>
          <w:sz w:val="18"/>
          <w:szCs w:val="26"/>
        </w:rPr>
        <w:t>CCPR/C/87/D/1297/2004</w:t>
      </w:r>
      <w:r w:rsidRPr="003E0A2E">
        <w:rPr>
          <w:sz w:val="18"/>
          <w:szCs w:val="26"/>
          <w:rtl/>
        </w:rPr>
        <w:t>)، الفقرة 8-3.</w:t>
      </w:r>
    </w:p>
  </w:footnote>
  <w:footnote w:id="43">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(41)</w:t>
      </w:r>
      <w:r w:rsidR="003E0A2E">
        <w:rPr>
          <w:sz w:val="18"/>
          <w:szCs w:val="26"/>
          <w:rtl/>
        </w:rPr>
        <w:tab/>
      </w:r>
      <w:r w:rsidRPr="003E0A2E">
        <w:rPr>
          <w:rFonts w:hint="cs"/>
          <w:sz w:val="18"/>
          <w:szCs w:val="26"/>
          <w:rtl/>
        </w:rPr>
        <w:t xml:space="preserve">قضية </w:t>
      </w:r>
      <w:r w:rsidRPr="003E0A2E">
        <w:rPr>
          <w:i/>
          <w:iCs/>
          <w:sz w:val="18"/>
          <w:szCs w:val="26"/>
          <w:rtl/>
        </w:rPr>
        <w:t>نيل توسان ضد كندا</w:t>
      </w:r>
      <w:r w:rsidRPr="003E0A2E">
        <w:rPr>
          <w:sz w:val="18"/>
          <w:szCs w:val="26"/>
          <w:rtl/>
        </w:rPr>
        <w:t>، الفقرة 11-3.</w:t>
      </w:r>
    </w:p>
  </w:footnote>
  <w:footnote w:id="44">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(42)</w:t>
      </w:r>
      <w:r w:rsidR="003E0A2E">
        <w:rPr>
          <w:sz w:val="18"/>
          <w:szCs w:val="26"/>
          <w:rtl/>
        </w:rPr>
        <w:tab/>
      </w:r>
      <w:r w:rsidRPr="003E0A2E">
        <w:rPr>
          <w:sz w:val="18"/>
          <w:szCs w:val="26"/>
          <w:rtl/>
        </w:rPr>
        <w:t>التعليق العام رقم 36، الفقرة 3.</w:t>
      </w:r>
    </w:p>
  </w:footnote>
  <w:footnote w:id="45">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(43)</w:t>
      </w:r>
      <w:r w:rsidR="003E0A2E">
        <w:rPr>
          <w:sz w:val="18"/>
          <w:szCs w:val="26"/>
          <w:rtl/>
        </w:rPr>
        <w:tab/>
      </w:r>
      <w:r w:rsidRPr="003E0A2E">
        <w:rPr>
          <w:sz w:val="18"/>
          <w:szCs w:val="26"/>
          <w:rtl/>
        </w:rPr>
        <w:t>المرجع السابق، الفقرة 26.</w:t>
      </w:r>
    </w:p>
  </w:footnote>
  <w:footnote w:id="46">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(44)</w:t>
      </w:r>
      <w:r w:rsidR="003E0A2E">
        <w:rPr>
          <w:sz w:val="18"/>
          <w:szCs w:val="26"/>
          <w:rtl/>
        </w:rPr>
        <w:tab/>
      </w:r>
      <w:r w:rsidRPr="003E0A2E">
        <w:rPr>
          <w:sz w:val="18"/>
          <w:szCs w:val="26"/>
          <w:rtl/>
        </w:rPr>
        <w:t>المرجع السابق، الفقرة 7.</w:t>
      </w:r>
    </w:p>
  </w:footnote>
  <w:footnote w:id="47">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(45)</w:t>
      </w:r>
      <w:r w:rsidR="003E0A2E">
        <w:rPr>
          <w:sz w:val="18"/>
          <w:szCs w:val="26"/>
          <w:rtl/>
        </w:rPr>
        <w:tab/>
      </w:r>
      <w:r w:rsidRPr="003E0A2E">
        <w:rPr>
          <w:sz w:val="18"/>
          <w:szCs w:val="26"/>
          <w:rtl/>
        </w:rPr>
        <w:t xml:space="preserve">محكمة البلدان الأمريكية لحقوق الإنسان، </w:t>
      </w:r>
      <w:r w:rsidRPr="003E0A2E">
        <w:rPr>
          <w:i/>
          <w:iCs/>
          <w:sz w:val="18"/>
          <w:szCs w:val="26"/>
          <w:rtl/>
        </w:rPr>
        <w:t xml:space="preserve">الفتوى </w:t>
      </w:r>
      <w:r w:rsidRPr="003E0A2E">
        <w:rPr>
          <w:i/>
          <w:iCs/>
          <w:sz w:val="18"/>
          <w:szCs w:val="26"/>
        </w:rPr>
        <w:t>OC-23/17</w:t>
      </w:r>
      <w:r w:rsidRPr="003E0A2E">
        <w:rPr>
          <w:sz w:val="18"/>
          <w:szCs w:val="26"/>
          <w:rtl/>
        </w:rPr>
        <w:t xml:space="preserve"> المؤرخة 15 تشرين الثاني/نوفمبر 2017 بشأن البيئة وحقوق الإنسان، السلسلة ألف، رقم 23، الفقرات 47</w:t>
      </w:r>
      <w:r w:rsidR="0069070B">
        <w:rPr>
          <w:sz w:val="18"/>
          <w:szCs w:val="26"/>
          <w:rtl/>
        </w:rPr>
        <w:t xml:space="preserve">، </w:t>
      </w:r>
      <w:r w:rsidR="0069070B">
        <w:rPr>
          <w:rFonts w:hint="cs"/>
          <w:sz w:val="18"/>
          <w:szCs w:val="26"/>
          <w:rtl/>
        </w:rPr>
        <w:t>و</w:t>
      </w:r>
      <w:r w:rsidRPr="003E0A2E">
        <w:rPr>
          <w:sz w:val="18"/>
          <w:szCs w:val="26"/>
          <w:rtl/>
        </w:rPr>
        <w:t>108 وما</w:t>
      </w:r>
      <w:r w:rsidRPr="003E0A2E">
        <w:rPr>
          <w:rFonts w:hint="cs"/>
          <w:sz w:val="18"/>
          <w:szCs w:val="26"/>
          <w:rtl/>
        </w:rPr>
        <w:t xml:space="preserve"> </w:t>
      </w:r>
      <w:r w:rsidRPr="003E0A2E">
        <w:rPr>
          <w:sz w:val="18"/>
          <w:szCs w:val="26"/>
          <w:rtl/>
        </w:rPr>
        <w:t xml:space="preserve">يليها؛ وقضية </w:t>
      </w:r>
      <w:proofErr w:type="spellStart"/>
      <w:r w:rsidRPr="003E0A2E">
        <w:rPr>
          <w:i/>
          <w:iCs/>
          <w:sz w:val="18"/>
          <w:szCs w:val="26"/>
          <w:rtl/>
        </w:rPr>
        <w:t>كاواس</w:t>
      </w:r>
      <w:proofErr w:type="spellEnd"/>
      <w:r w:rsidRPr="003E0A2E">
        <w:rPr>
          <w:i/>
          <w:iCs/>
          <w:sz w:val="18"/>
          <w:szCs w:val="26"/>
          <w:rtl/>
        </w:rPr>
        <w:t xml:space="preserve"> فرنانديز ضد هندوراس</w:t>
      </w:r>
      <w:r w:rsidRPr="003E0A2E">
        <w:rPr>
          <w:sz w:val="18"/>
          <w:szCs w:val="26"/>
          <w:rtl/>
        </w:rPr>
        <w:t xml:space="preserve">، الأسس المنطقية، والجبر والتكاليف، الحكم الصادر في 3 نيسان/أبريل 2009، السلسلة </w:t>
      </w:r>
      <w:r w:rsidRPr="003E0A2E">
        <w:rPr>
          <w:rFonts w:hint="cs"/>
          <w:sz w:val="18"/>
          <w:szCs w:val="26"/>
          <w:rtl/>
        </w:rPr>
        <w:t>جيم</w:t>
      </w:r>
      <w:r w:rsidRPr="003E0A2E">
        <w:rPr>
          <w:sz w:val="18"/>
          <w:szCs w:val="26"/>
          <w:rtl/>
        </w:rPr>
        <w:t>، العدد 196، الفقرة 148.</w:t>
      </w:r>
      <w:r w:rsidRPr="003E0A2E">
        <w:rPr>
          <w:rFonts w:hint="cs"/>
          <w:sz w:val="18"/>
          <w:szCs w:val="26"/>
          <w:rtl/>
        </w:rPr>
        <w:t xml:space="preserve"> و</w:t>
      </w:r>
      <w:r w:rsidRPr="003E0A2E">
        <w:rPr>
          <w:sz w:val="18"/>
          <w:szCs w:val="26"/>
          <w:rtl/>
        </w:rPr>
        <w:t>انظر أيضا</w:t>
      </w:r>
      <w:r w:rsidRPr="003E0A2E">
        <w:rPr>
          <w:rFonts w:hint="cs"/>
          <w:sz w:val="18"/>
          <w:szCs w:val="26"/>
          <w:rtl/>
        </w:rPr>
        <w:t>ً</w:t>
      </w:r>
      <w:r w:rsidRPr="003E0A2E">
        <w:rPr>
          <w:sz w:val="18"/>
          <w:szCs w:val="26"/>
          <w:rtl/>
        </w:rPr>
        <w:t xml:space="preserve"> قضية </w:t>
      </w:r>
      <w:r w:rsidRPr="003E0A2E">
        <w:rPr>
          <w:i/>
          <w:iCs/>
          <w:sz w:val="18"/>
          <w:szCs w:val="26"/>
          <w:rtl/>
        </w:rPr>
        <w:t>مركز العمل من أجل الحقوق الاجتماعية والاقتصادية</w:t>
      </w:r>
      <w:r w:rsidRPr="003E0A2E">
        <w:rPr>
          <w:sz w:val="18"/>
          <w:szCs w:val="26"/>
          <w:rtl/>
        </w:rPr>
        <w:t xml:space="preserve"> (التابع للجنة الأفريقية لحقوق الإنسان والشعوب) </w:t>
      </w:r>
      <w:r w:rsidRPr="003E0A2E">
        <w:rPr>
          <w:i/>
          <w:iCs/>
          <w:sz w:val="18"/>
          <w:szCs w:val="26"/>
          <w:rtl/>
        </w:rPr>
        <w:t>ومركز الحقوق الاقتصادية والاجتماعية ضد نيجيريا</w:t>
      </w:r>
      <w:r w:rsidRPr="003E0A2E">
        <w:rPr>
          <w:sz w:val="18"/>
          <w:szCs w:val="26"/>
          <w:rtl/>
        </w:rPr>
        <w:t>، البلاغ رقم</w:t>
      </w:r>
      <w:r w:rsidR="00471D08">
        <w:rPr>
          <w:rFonts w:hint="cs"/>
          <w:sz w:val="18"/>
          <w:szCs w:val="26"/>
          <w:rtl/>
        </w:rPr>
        <w:t> </w:t>
      </w:r>
      <w:r w:rsidRPr="003E0A2E">
        <w:rPr>
          <w:sz w:val="18"/>
          <w:szCs w:val="26"/>
          <w:rtl/>
        </w:rPr>
        <w:t>155/96، 27 تشرين الأول/أكتوبر 2001، والتعليق العام رقم 36، الفقرة 3.</w:t>
      </w:r>
    </w:p>
  </w:footnote>
  <w:footnote w:id="48">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(46)</w:t>
      </w:r>
      <w:r w:rsidR="001677DB">
        <w:rPr>
          <w:sz w:val="18"/>
          <w:szCs w:val="26"/>
          <w:rtl/>
        </w:rPr>
        <w:tab/>
      </w:r>
      <w:r w:rsidRPr="003E0A2E">
        <w:rPr>
          <w:sz w:val="18"/>
          <w:szCs w:val="26"/>
          <w:rtl/>
        </w:rPr>
        <w:t xml:space="preserve">المحكمة الأوروبية لحقوق الانسان، قضية </w:t>
      </w:r>
      <w:proofErr w:type="spellStart"/>
      <w:r w:rsidRPr="003E0A2E">
        <w:rPr>
          <w:i/>
          <w:iCs/>
          <w:sz w:val="18"/>
          <w:szCs w:val="26"/>
          <w:rtl/>
        </w:rPr>
        <w:t>أوزيل</w:t>
      </w:r>
      <w:proofErr w:type="spellEnd"/>
      <w:r w:rsidRPr="003E0A2E">
        <w:rPr>
          <w:i/>
          <w:iCs/>
          <w:sz w:val="18"/>
          <w:szCs w:val="26"/>
          <w:rtl/>
        </w:rPr>
        <w:t xml:space="preserve"> وآخرين ضد تركيا</w:t>
      </w:r>
      <w:r w:rsidRPr="003E0A2E">
        <w:rPr>
          <w:sz w:val="18"/>
          <w:szCs w:val="26"/>
          <w:rtl/>
        </w:rPr>
        <w:t>، الحكم الصادر في 17 تشرين الثاني/</w:t>
      </w:r>
      <w:r w:rsidR="001677DB">
        <w:rPr>
          <w:rFonts w:hint="cs"/>
          <w:sz w:val="18"/>
          <w:szCs w:val="26"/>
          <w:rtl/>
        </w:rPr>
        <w:t xml:space="preserve">   </w:t>
      </w:r>
      <w:r w:rsidRPr="003E0A2E">
        <w:rPr>
          <w:sz w:val="18"/>
          <w:szCs w:val="26"/>
          <w:rtl/>
        </w:rPr>
        <w:t xml:space="preserve">نوفمبر 2015، الفقرات 170-171 و200؛ وقضية </w:t>
      </w:r>
      <w:proofErr w:type="spellStart"/>
      <w:r w:rsidRPr="003E0A2E">
        <w:rPr>
          <w:i/>
          <w:iCs/>
          <w:sz w:val="18"/>
          <w:szCs w:val="26"/>
          <w:rtl/>
        </w:rPr>
        <w:t>بوداييفا</w:t>
      </w:r>
      <w:proofErr w:type="spellEnd"/>
      <w:r w:rsidRPr="003E0A2E">
        <w:rPr>
          <w:i/>
          <w:iCs/>
          <w:sz w:val="18"/>
          <w:szCs w:val="26"/>
          <w:rtl/>
        </w:rPr>
        <w:t xml:space="preserve"> وآخرين ضد روسيا</w:t>
      </w:r>
      <w:r w:rsidRPr="003E0A2E">
        <w:rPr>
          <w:sz w:val="18"/>
          <w:szCs w:val="26"/>
          <w:rtl/>
        </w:rPr>
        <w:t xml:space="preserve">، الحكم الصادر في 20 آذار/مارس 2008، الفقرات 128-130 و133 و159؛ وقضية </w:t>
      </w:r>
      <w:proofErr w:type="spellStart"/>
      <w:r w:rsidRPr="003E0A2E">
        <w:rPr>
          <w:i/>
          <w:iCs/>
          <w:sz w:val="18"/>
          <w:szCs w:val="26"/>
          <w:rtl/>
        </w:rPr>
        <w:t>أونيريلديز</w:t>
      </w:r>
      <w:proofErr w:type="spellEnd"/>
      <w:r w:rsidRPr="003E0A2E">
        <w:rPr>
          <w:i/>
          <w:iCs/>
          <w:sz w:val="18"/>
          <w:szCs w:val="26"/>
          <w:rtl/>
        </w:rPr>
        <w:t xml:space="preserve"> ضد تركيا</w:t>
      </w:r>
      <w:r w:rsidRPr="003E0A2E">
        <w:rPr>
          <w:sz w:val="18"/>
          <w:szCs w:val="26"/>
          <w:rtl/>
        </w:rPr>
        <w:t>، الحكم الصادر في</w:t>
      </w:r>
      <w:r w:rsidR="001677DB">
        <w:rPr>
          <w:rFonts w:hint="cs"/>
          <w:sz w:val="18"/>
          <w:szCs w:val="26"/>
          <w:rtl/>
        </w:rPr>
        <w:t> </w:t>
      </w:r>
      <w:r w:rsidRPr="003E0A2E">
        <w:rPr>
          <w:sz w:val="18"/>
          <w:szCs w:val="26"/>
          <w:rtl/>
        </w:rPr>
        <w:t>30 تشرين الثاني/نوفمبر 2004، الفقرات 71 و89-90 و118.</w:t>
      </w:r>
    </w:p>
  </w:footnote>
  <w:footnote w:id="49">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(47)</w:t>
      </w:r>
      <w:r w:rsidR="001677DB">
        <w:rPr>
          <w:sz w:val="18"/>
          <w:szCs w:val="26"/>
          <w:rtl/>
        </w:rPr>
        <w:tab/>
      </w:r>
      <w:r w:rsidRPr="003E0A2E">
        <w:rPr>
          <w:sz w:val="18"/>
          <w:szCs w:val="26"/>
          <w:rtl/>
        </w:rPr>
        <w:t>انظر الحواشي من 14 إلى 17 ومن 32 إلى 34.</w:t>
      </w:r>
    </w:p>
  </w:footnote>
  <w:footnote w:id="50">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(48)</w:t>
      </w:r>
      <w:r w:rsidR="00866058">
        <w:rPr>
          <w:sz w:val="18"/>
          <w:szCs w:val="26"/>
          <w:rtl/>
        </w:rPr>
        <w:tab/>
      </w:r>
      <w:r w:rsidRPr="003E0A2E">
        <w:rPr>
          <w:sz w:val="18"/>
          <w:szCs w:val="26"/>
          <w:rtl/>
        </w:rPr>
        <w:t>التعليق العام رقم 16 (1998) بشأن الحق في حرمة الحياة الخاصة، الفقرة 5.</w:t>
      </w:r>
    </w:p>
  </w:footnote>
  <w:footnote w:id="51">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(49)</w:t>
      </w:r>
      <w:r w:rsidR="00866058">
        <w:rPr>
          <w:sz w:val="18"/>
          <w:szCs w:val="26"/>
          <w:rtl/>
        </w:rPr>
        <w:tab/>
      </w:r>
      <w:r w:rsidRPr="003E0A2E">
        <w:rPr>
          <w:sz w:val="18"/>
          <w:szCs w:val="26"/>
          <w:rtl/>
        </w:rPr>
        <w:t>إعلان الأمم المتحدة المتعلق بحقوق الفلاحين وغيرهم من العاملين في المناطق الريفية، المادة 1.</w:t>
      </w:r>
    </w:p>
  </w:footnote>
  <w:footnote w:id="52">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(50)</w:t>
      </w:r>
      <w:r w:rsidR="00866058">
        <w:rPr>
          <w:sz w:val="18"/>
          <w:szCs w:val="26"/>
          <w:rtl/>
        </w:rPr>
        <w:tab/>
      </w:r>
      <w:r w:rsidRPr="003E0A2E">
        <w:rPr>
          <w:sz w:val="18"/>
          <w:szCs w:val="26"/>
          <w:rtl/>
        </w:rPr>
        <w:t xml:space="preserve">قضية </w:t>
      </w:r>
      <w:proofErr w:type="spellStart"/>
      <w:r w:rsidRPr="003E0A2E">
        <w:rPr>
          <w:i/>
          <w:iCs/>
          <w:sz w:val="18"/>
          <w:szCs w:val="26"/>
          <w:rtl/>
        </w:rPr>
        <w:t>هوبو</w:t>
      </w:r>
      <w:proofErr w:type="spellEnd"/>
      <w:r w:rsidRPr="003E0A2E">
        <w:rPr>
          <w:i/>
          <w:iCs/>
          <w:sz w:val="18"/>
          <w:szCs w:val="26"/>
          <w:rtl/>
        </w:rPr>
        <w:t xml:space="preserve"> وبسير ضد فرنسا</w:t>
      </w:r>
      <w:r w:rsidRPr="003E0A2E">
        <w:rPr>
          <w:sz w:val="18"/>
          <w:szCs w:val="26"/>
          <w:rtl/>
        </w:rPr>
        <w:t xml:space="preserve"> (</w:t>
      </w:r>
      <w:r w:rsidRPr="003E0A2E">
        <w:rPr>
          <w:sz w:val="18"/>
          <w:szCs w:val="26"/>
        </w:rPr>
        <w:t>CCPR/C/60/D/549/1993/Rev.1</w:t>
      </w:r>
      <w:r w:rsidRPr="003E0A2E">
        <w:rPr>
          <w:sz w:val="18"/>
          <w:szCs w:val="26"/>
          <w:rtl/>
        </w:rPr>
        <w:t>)، الفقرة 10-3.</w:t>
      </w:r>
    </w:p>
  </w:footnote>
  <w:footnote w:id="53">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(51)</w:t>
      </w:r>
      <w:r w:rsidR="00866058">
        <w:rPr>
          <w:sz w:val="18"/>
          <w:szCs w:val="26"/>
          <w:rtl/>
        </w:rPr>
        <w:tab/>
      </w:r>
      <w:r w:rsidRPr="003E0A2E">
        <w:rPr>
          <w:sz w:val="18"/>
          <w:szCs w:val="26"/>
          <w:rtl/>
        </w:rPr>
        <w:t>التعليق العام رقم 16، الفقرة 1.</w:t>
      </w:r>
      <w:r w:rsidRPr="003E0A2E">
        <w:rPr>
          <w:rFonts w:hint="cs"/>
          <w:sz w:val="18"/>
          <w:szCs w:val="26"/>
          <w:rtl/>
        </w:rPr>
        <w:t xml:space="preserve"> </w:t>
      </w:r>
      <w:r w:rsidRPr="003E0A2E">
        <w:rPr>
          <w:sz w:val="18"/>
          <w:szCs w:val="26"/>
          <w:rtl/>
        </w:rPr>
        <w:t>انظر أيض</w:t>
      </w:r>
      <w:r w:rsidR="00A03F01">
        <w:rPr>
          <w:rFonts w:hint="cs"/>
          <w:sz w:val="18"/>
          <w:szCs w:val="26"/>
          <w:rtl/>
        </w:rPr>
        <w:t xml:space="preserve">اً </w:t>
      </w:r>
      <w:r w:rsidRPr="003E0A2E">
        <w:rPr>
          <w:sz w:val="18"/>
          <w:szCs w:val="26"/>
          <w:rtl/>
        </w:rPr>
        <w:t xml:space="preserve">المحكمة الأوروبية لحقوق الإنسان، </w:t>
      </w:r>
      <w:r w:rsidRPr="003E0A2E">
        <w:rPr>
          <w:rFonts w:hint="cs"/>
          <w:sz w:val="18"/>
          <w:szCs w:val="26"/>
          <w:rtl/>
        </w:rPr>
        <w:t xml:space="preserve">قضية </w:t>
      </w:r>
      <w:proofErr w:type="spellStart"/>
      <w:r w:rsidRPr="003E0A2E">
        <w:rPr>
          <w:rFonts w:hint="cs"/>
          <w:i/>
          <w:iCs/>
          <w:sz w:val="18"/>
          <w:szCs w:val="26"/>
          <w:rtl/>
        </w:rPr>
        <w:t>كورديلا</w:t>
      </w:r>
      <w:proofErr w:type="spellEnd"/>
      <w:r w:rsidRPr="003E0A2E">
        <w:rPr>
          <w:i/>
          <w:iCs/>
          <w:sz w:val="18"/>
          <w:szCs w:val="26"/>
          <w:rtl/>
        </w:rPr>
        <w:t xml:space="preserve"> وآخرين ضد إيطاليا</w:t>
      </w:r>
      <w:r w:rsidRPr="003E0A2E">
        <w:rPr>
          <w:sz w:val="18"/>
          <w:szCs w:val="26"/>
          <w:rtl/>
        </w:rPr>
        <w:t>، الحكم الصادر في 24 كانون الثاني/يناير 2019، الفقرة 158.</w:t>
      </w:r>
    </w:p>
  </w:footnote>
  <w:footnote w:id="54">
    <w:p w:rsidR="000B38BA" w:rsidRPr="003E0A2E" w:rsidRDefault="000B38BA" w:rsidP="008A2BC8">
      <w:pPr>
        <w:pStyle w:val="FootnoteText"/>
        <w:spacing w:after="60" w:line="300" w:lineRule="exact"/>
        <w:ind w:left="1247" w:right="1247" w:hanging="567"/>
        <w:rPr>
          <w:sz w:val="18"/>
          <w:szCs w:val="26"/>
        </w:rPr>
      </w:pPr>
      <w:r w:rsidRPr="003E0A2E">
        <w:rPr>
          <w:rStyle w:val="FootnoteReference"/>
          <w:szCs w:val="26"/>
          <w:vertAlign w:val="baseline"/>
          <w:rtl/>
        </w:rPr>
        <w:t>(52)</w:t>
      </w:r>
      <w:r w:rsidR="00866058">
        <w:rPr>
          <w:sz w:val="18"/>
          <w:szCs w:val="26"/>
          <w:rtl/>
        </w:rPr>
        <w:tab/>
      </w:r>
      <w:r w:rsidRPr="003E0A2E">
        <w:rPr>
          <w:sz w:val="18"/>
          <w:szCs w:val="26"/>
          <w:rtl/>
        </w:rPr>
        <w:t xml:space="preserve">المحكمة الأوروبية لحقوق الانسان، قضية </w:t>
      </w:r>
      <w:proofErr w:type="spellStart"/>
      <w:r w:rsidRPr="003E0A2E">
        <w:rPr>
          <w:i/>
          <w:iCs/>
          <w:sz w:val="18"/>
          <w:szCs w:val="26"/>
          <w:rtl/>
        </w:rPr>
        <w:t>لوبيث</w:t>
      </w:r>
      <w:proofErr w:type="spellEnd"/>
      <w:r w:rsidRPr="003E0A2E">
        <w:rPr>
          <w:i/>
          <w:iCs/>
          <w:sz w:val="18"/>
          <w:szCs w:val="26"/>
          <w:rtl/>
        </w:rPr>
        <w:t xml:space="preserve"> </w:t>
      </w:r>
      <w:proofErr w:type="spellStart"/>
      <w:r w:rsidRPr="003E0A2E">
        <w:rPr>
          <w:i/>
          <w:iCs/>
          <w:sz w:val="18"/>
          <w:szCs w:val="26"/>
          <w:rtl/>
        </w:rPr>
        <w:t>أوسترا</w:t>
      </w:r>
      <w:proofErr w:type="spellEnd"/>
      <w:r w:rsidRPr="003E0A2E">
        <w:rPr>
          <w:i/>
          <w:iCs/>
          <w:sz w:val="18"/>
          <w:szCs w:val="26"/>
          <w:rtl/>
        </w:rPr>
        <w:t xml:space="preserve"> ضد إسبانيا</w:t>
      </w:r>
      <w:r w:rsidRPr="003E0A2E">
        <w:rPr>
          <w:sz w:val="18"/>
          <w:szCs w:val="26"/>
          <w:rtl/>
        </w:rPr>
        <w:t>، الحكم الصادر في 9 كانون الأول/</w:t>
      </w:r>
      <w:r w:rsidR="003368F5">
        <w:rPr>
          <w:rFonts w:hint="cs"/>
          <w:sz w:val="18"/>
          <w:szCs w:val="26"/>
          <w:rtl/>
        </w:rPr>
        <w:t xml:space="preserve">         </w:t>
      </w:r>
      <w:r w:rsidRPr="003368F5">
        <w:rPr>
          <w:spacing w:val="-2"/>
          <w:sz w:val="18"/>
          <w:szCs w:val="26"/>
          <w:rtl/>
        </w:rPr>
        <w:t xml:space="preserve">ديسمبر 1994، الفقرات 51 و55 و58؛ وقضية </w:t>
      </w:r>
      <w:proofErr w:type="spellStart"/>
      <w:r w:rsidRPr="003368F5">
        <w:rPr>
          <w:i/>
          <w:iCs/>
          <w:spacing w:val="-2"/>
          <w:sz w:val="18"/>
          <w:szCs w:val="26"/>
          <w:rtl/>
        </w:rPr>
        <w:t>فادييفا</w:t>
      </w:r>
      <w:proofErr w:type="spellEnd"/>
      <w:r w:rsidRPr="003368F5">
        <w:rPr>
          <w:i/>
          <w:iCs/>
          <w:spacing w:val="-2"/>
          <w:sz w:val="18"/>
          <w:szCs w:val="26"/>
          <w:rtl/>
        </w:rPr>
        <w:t xml:space="preserve"> ضد روسيا</w:t>
      </w:r>
      <w:r w:rsidRPr="003368F5">
        <w:rPr>
          <w:spacing w:val="-2"/>
          <w:sz w:val="18"/>
          <w:szCs w:val="26"/>
          <w:rtl/>
        </w:rPr>
        <w:t>، الفقرات 68-70 و89 و92 و134؛</w:t>
      </w:r>
      <w:r w:rsidRPr="003E0A2E">
        <w:rPr>
          <w:sz w:val="18"/>
          <w:szCs w:val="26"/>
          <w:rtl/>
        </w:rPr>
        <w:t xml:space="preserve"> وقضية </w:t>
      </w:r>
      <w:proofErr w:type="spellStart"/>
      <w:r w:rsidRPr="003E0A2E">
        <w:rPr>
          <w:i/>
          <w:iCs/>
          <w:sz w:val="18"/>
          <w:szCs w:val="26"/>
          <w:rtl/>
        </w:rPr>
        <w:t>كورديلا</w:t>
      </w:r>
      <w:proofErr w:type="spellEnd"/>
      <w:r w:rsidRPr="003E0A2E">
        <w:rPr>
          <w:i/>
          <w:iCs/>
          <w:sz w:val="18"/>
          <w:szCs w:val="26"/>
          <w:rtl/>
        </w:rPr>
        <w:t xml:space="preserve"> وآخرين ضد إيطاليا</w:t>
      </w:r>
      <w:r w:rsidRPr="003E0A2E">
        <w:rPr>
          <w:sz w:val="18"/>
          <w:szCs w:val="26"/>
          <w:rtl/>
        </w:rPr>
        <w:t>، الفقرتان 173 و174.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43" w:rsidRPr="000B38BA" w:rsidRDefault="000B38BA" w:rsidP="000B38BA">
    <w:pPr>
      <w:pStyle w:val="Header"/>
      <w:jc w:val="right"/>
    </w:pPr>
    <w:r w:rsidRPr="000B38BA">
      <w:t>CCPR/C/126/D/2751/2016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43" w:rsidRPr="000B38BA" w:rsidRDefault="000B38BA" w:rsidP="000B38BA">
    <w:pPr>
      <w:pStyle w:val="Header"/>
      <w:jc w:val="left"/>
    </w:pPr>
    <w:r w:rsidRPr="000B38BA">
      <w:t>CCPR/C/126/D/2751/2016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680"/>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407755"/>
    <w:rsid w:val="000076D5"/>
    <w:rsid w:val="00043663"/>
    <w:rsid w:val="000437B8"/>
    <w:rsid w:val="000505CF"/>
    <w:rsid w:val="0005336B"/>
    <w:rsid w:val="000A7BED"/>
    <w:rsid w:val="000B38BA"/>
    <w:rsid w:val="000D0373"/>
    <w:rsid w:val="000D701C"/>
    <w:rsid w:val="000E2A71"/>
    <w:rsid w:val="000F4896"/>
    <w:rsid w:val="00160263"/>
    <w:rsid w:val="001677DB"/>
    <w:rsid w:val="00181F96"/>
    <w:rsid w:val="001A1371"/>
    <w:rsid w:val="001B346A"/>
    <w:rsid w:val="001C3B34"/>
    <w:rsid w:val="001E1CAD"/>
    <w:rsid w:val="001E290D"/>
    <w:rsid w:val="002144FA"/>
    <w:rsid w:val="0023469A"/>
    <w:rsid w:val="00243C8A"/>
    <w:rsid w:val="00267A0E"/>
    <w:rsid w:val="00270B7A"/>
    <w:rsid w:val="00280050"/>
    <w:rsid w:val="002901D9"/>
    <w:rsid w:val="002976C2"/>
    <w:rsid w:val="003260FF"/>
    <w:rsid w:val="003368F5"/>
    <w:rsid w:val="00343D95"/>
    <w:rsid w:val="00363A18"/>
    <w:rsid w:val="00374341"/>
    <w:rsid w:val="003B04A8"/>
    <w:rsid w:val="003D1062"/>
    <w:rsid w:val="003D24E2"/>
    <w:rsid w:val="003E0A2E"/>
    <w:rsid w:val="003E36FA"/>
    <w:rsid w:val="00407755"/>
    <w:rsid w:val="00420D7B"/>
    <w:rsid w:val="00450B21"/>
    <w:rsid w:val="00453B63"/>
    <w:rsid w:val="00455780"/>
    <w:rsid w:val="00464A43"/>
    <w:rsid w:val="0046701D"/>
    <w:rsid w:val="00471D08"/>
    <w:rsid w:val="004B0A1C"/>
    <w:rsid w:val="004D298E"/>
    <w:rsid w:val="00513D02"/>
    <w:rsid w:val="00517BC9"/>
    <w:rsid w:val="0054472E"/>
    <w:rsid w:val="005662A9"/>
    <w:rsid w:val="005827D4"/>
    <w:rsid w:val="0059622A"/>
    <w:rsid w:val="005C5878"/>
    <w:rsid w:val="005C7CEA"/>
    <w:rsid w:val="005D3C0B"/>
    <w:rsid w:val="005E5217"/>
    <w:rsid w:val="005F0927"/>
    <w:rsid w:val="005F0FA4"/>
    <w:rsid w:val="005F30EE"/>
    <w:rsid w:val="0060473A"/>
    <w:rsid w:val="00656392"/>
    <w:rsid w:val="0068781D"/>
    <w:rsid w:val="0069070B"/>
    <w:rsid w:val="006959B0"/>
    <w:rsid w:val="006B0560"/>
    <w:rsid w:val="006B3E27"/>
    <w:rsid w:val="006B6507"/>
    <w:rsid w:val="006C104C"/>
    <w:rsid w:val="006F3932"/>
    <w:rsid w:val="00725D0D"/>
    <w:rsid w:val="00733704"/>
    <w:rsid w:val="0078071A"/>
    <w:rsid w:val="00787E1E"/>
    <w:rsid w:val="007C08D9"/>
    <w:rsid w:val="00852A9A"/>
    <w:rsid w:val="00866058"/>
    <w:rsid w:val="008A2BC8"/>
    <w:rsid w:val="008A41B3"/>
    <w:rsid w:val="008F1E3E"/>
    <w:rsid w:val="008F49E1"/>
    <w:rsid w:val="0090370F"/>
    <w:rsid w:val="009269D2"/>
    <w:rsid w:val="00942135"/>
    <w:rsid w:val="009521B0"/>
    <w:rsid w:val="00982139"/>
    <w:rsid w:val="009867A8"/>
    <w:rsid w:val="009A7E9F"/>
    <w:rsid w:val="009D280B"/>
    <w:rsid w:val="009E5018"/>
    <w:rsid w:val="00A03F01"/>
    <w:rsid w:val="00A04BA3"/>
    <w:rsid w:val="00A12B37"/>
    <w:rsid w:val="00A7411A"/>
    <w:rsid w:val="00AA07C7"/>
    <w:rsid w:val="00AB6758"/>
    <w:rsid w:val="00AF4C1A"/>
    <w:rsid w:val="00B13763"/>
    <w:rsid w:val="00B477A4"/>
    <w:rsid w:val="00B54045"/>
    <w:rsid w:val="00C05854"/>
    <w:rsid w:val="00C438D7"/>
    <w:rsid w:val="00C81B50"/>
    <w:rsid w:val="00CB6622"/>
    <w:rsid w:val="00CC4B48"/>
    <w:rsid w:val="00CD1801"/>
    <w:rsid w:val="00CF65C6"/>
    <w:rsid w:val="00D10EF1"/>
    <w:rsid w:val="00D1570D"/>
    <w:rsid w:val="00D42810"/>
    <w:rsid w:val="00D914A7"/>
    <w:rsid w:val="00DD13C3"/>
    <w:rsid w:val="00DD596E"/>
    <w:rsid w:val="00DD5A82"/>
    <w:rsid w:val="00DD621E"/>
    <w:rsid w:val="00DE50B1"/>
    <w:rsid w:val="00DF0575"/>
    <w:rsid w:val="00E70E04"/>
    <w:rsid w:val="00E94349"/>
    <w:rsid w:val="00EC05A7"/>
    <w:rsid w:val="00EC4B6B"/>
    <w:rsid w:val="00ED7442"/>
    <w:rsid w:val="00EF1EE5"/>
    <w:rsid w:val="00F763B4"/>
    <w:rsid w:val="00F900C3"/>
    <w:rsid w:val="00F95548"/>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792403"/>
  <w15:docId w15:val="{5460839E-869C-4F8B-9D4A-E4E14EF7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3E0A2E"/>
    <w:rPr>
      <w:color w:val="0000FF" w:themeColor="hyperlink"/>
      <w:u w:val="single"/>
    </w:rPr>
  </w:style>
  <w:style w:type="character" w:styleId="UnresolvedMention">
    <w:name w:val="Unresolved Mention"/>
    <w:basedOn w:val="DefaultParagraphFont"/>
    <w:uiPriority w:val="99"/>
    <w:semiHidden/>
    <w:unhideWhenUsed/>
    <w:rsid w:val="003E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ltimahora.com/comunidad-indigena-afectada-fumigacion-sojales-curuguaty-n1101022.html" TargetMode="External"/><Relationship Id="rId2" Type="http://schemas.openxmlformats.org/officeDocument/2006/relationships/hyperlink" Target="https://www.ultimahora.com/dos-ninas-fallecieron-curuguaty-causa-agrotoxicos-segun-la-fnc-n814364.html" TargetMode="External"/><Relationship Id="rId1" Type="http://schemas.openxmlformats.org/officeDocument/2006/relationships/hyperlink" Target="https://www2.ohchr.org/english/bodies/cescr/docs/info-ngos/DESC-Paragua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07DA-BBA8-4BF7-A063-1CA6CD91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6798</Words>
  <Characters>38752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CCPR/C/126/D/2751/2016</vt:lpstr>
    </vt:vector>
  </TitlesOfParts>
  <Company>DCM</Company>
  <LinksUpToDate>false</LinksUpToDate>
  <CharactersWithSpaces>45460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CCPR/C/126/D/2751/2016</dc:title>
  <dc:subject>GE.1916217A</dc:subject>
  <dc:creator>MBU, </dc:creator>
  <cp:keywords>ODS No.1927911</cp:keywords>
  <dc:description>Distr.: General_x000d_
20 September 2019_x000d_
Arabic_x000d_
Original: Spainsh_x000d_
</dc:description>
  <cp:lastModifiedBy>Gamal Mohamed Abdelhamid Mahmoud</cp:lastModifiedBy>
  <cp:revision>2</cp:revision>
  <cp:lastPrinted>2020-01-17T15:40:00Z</cp:lastPrinted>
  <dcterms:created xsi:type="dcterms:W3CDTF">2020-01-20T15:40:00Z</dcterms:created>
  <dcterms:modified xsi:type="dcterms:W3CDTF">2020-01-20T15:40:00Z</dcterms:modified>
  <cp:category>Finale</cp:category>
</cp:coreProperties>
</file>