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6C375E"/>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6C375E" w:rsidP="006C375E">
            <w:pPr>
              <w:jc w:val="right"/>
            </w:pPr>
            <w:r w:rsidRPr="006C375E">
              <w:rPr>
                <w:sz w:val="40"/>
              </w:rPr>
              <w:t>CCPR</w:t>
            </w:r>
            <w:r>
              <w:t>/C/125/D/2672/2015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006C375E">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6C375E" w:rsidP="002B7BC7">
            <w:pPr>
              <w:spacing w:before="240"/>
            </w:pPr>
            <w:r>
              <w:t>Distr. générale</w:t>
            </w:r>
          </w:p>
          <w:p w:rsidR="006C375E" w:rsidRDefault="006C375E" w:rsidP="006C375E">
            <w:pPr>
              <w:spacing w:line="240" w:lineRule="exact"/>
            </w:pPr>
            <w:r>
              <w:t>24 mai 2019</w:t>
            </w:r>
          </w:p>
          <w:p w:rsidR="006C375E" w:rsidRDefault="006C375E" w:rsidP="006C375E">
            <w:pPr>
              <w:spacing w:line="240" w:lineRule="exact"/>
            </w:pPr>
            <w:r>
              <w:t>Français</w:t>
            </w:r>
          </w:p>
          <w:p w:rsidR="006C375E" w:rsidRPr="00DB58B5" w:rsidRDefault="006C375E" w:rsidP="006C375E">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6C375E" w:rsidRPr="0063439D" w:rsidRDefault="006C375E" w:rsidP="006C375E">
      <w:pPr>
        <w:pStyle w:val="HChG"/>
      </w:pPr>
      <w:r w:rsidRPr="0063439D">
        <w:tab/>
      </w:r>
      <w:r w:rsidRPr="0063439D">
        <w:tab/>
        <w:t xml:space="preserve">Décision adoptée par le Comité </w:t>
      </w:r>
      <w:r>
        <w:t>en vertu du Protocole facultatif, concernant la communication n</w:t>
      </w:r>
      <w:r w:rsidRPr="006C375E">
        <w:rPr>
          <w:vertAlign w:val="superscript"/>
        </w:rPr>
        <w:t>o</w:t>
      </w:r>
      <w:r>
        <w:t> 2672/2015</w:t>
      </w:r>
      <w:r w:rsidRPr="006C375E">
        <w:rPr>
          <w:rStyle w:val="Appelnotedebasdep"/>
          <w:b w:val="0"/>
          <w:bCs/>
          <w:sz w:val="20"/>
          <w:vertAlign w:val="baseline"/>
        </w:rPr>
        <w:footnoteReference w:customMarkFollows="1" w:id="2"/>
        <w:t>*</w:t>
      </w:r>
      <w:r w:rsidRPr="006C375E">
        <w:rPr>
          <w:b w:val="0"/>
          <w:bCs/>
          <w:sz w:val="20"/>
          <w:vertAlign w:val="superscript"/>
        </w:rPr>
        <w:t xml:space="preserve">, </w:t>
      </w:r>
      <w:r w:rsidRPr="006C375E">
        <w:rPr>
          <w:rStyle w:val="Appelnotedebasdep"/>
          <w:b w:val="0"/>
          <w:bCs/>
          <w:sz w:val="20"/>
          <w:vertAlign w:val="baseline"/>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6C375E" w:rsidRPr="0063439D" w:rsidTr="00F43865">
        <w:tc>
          <w:tcPr>
            <w:tcW w:w="2835" w:type="dxa"/>
          </w:tcPr>
          <w:p w:rsidR="006C375E" w:rsidRPr="0063439D" w:rsidRDefault="006C375E" w:rsidP="00F43865">
            <w:pPr>
              <w:rPr>
                <w:i/>
              </w:rPr>
            </w:pPr>
            <w:r w:rsidRPr="0063439D">
              <w:rPr>
                <w:i/>
              </w:rPr>
              <w:t>Communication présentée par</w:t>
            </w:r>
            <w:r>
              <w:t> :</w:t>
            </w:r>
          </w:p>
        </w:tc>
        <w:tc>
          <w:tcPr>
            <w:tcW w:w="3969" w:type="dxa"/>
          </w:tcPr>
          <w:p w:rsidR="006C375E" w:rsidRPr="0063439D" w:rsidRDefault="006C375E" w:rsidP="00F43865">
            <w:pPr>
              <w:spacing w:after="120"/>
            </w:pPr>
            <w:r w:rsidRPr="00864066">
              <w:rPr>
                <w:rFonts w:eastAsia="SimSun"/>
                <w:szCs w:val="24"/>
                <w:lang w:val="fr-FR"/>
              </w:rPr>
              <w:t>J.</w:t>
            </w:r>
            <w:r>
              <w:rPr>
                <w:rFonts w:eastAsia="SimSun"/>
                <w:szCs w:val="24"/>
                <w:lang w:val="fr-FR"/>
              </w:rPr>
              <w:t> </w:t>
            </w:r>
            <w:r w:rsidRPr="00864066">
              <w:rPr>
                <w:rFonts w:eastAsia="SimSun"/>
                <w:szCs w:val="24"/>
                <w:lang w:val="fr-FR"/>
              </w:rPr>
              <w:t>F.</w:t>
            </w:r>
            <w:r>
              <w:rPr>
                <w:rFonts w:eastAsia="SimSun"/>
                <w:szCs w:val="24"/>
                <w:lang w:val="fr-FR"/>
              </w:rPr>
              <w:t> </w:t>
            </w:r>
            <w:r w:rsidRPr="00864066">
              <w:rPr>
                <w:rFonts w:eastAsia="SimSun"/>
                <w:szCs w:val="24"/>
                <w:lang w:val="fr-FR"/>
              </w:rPr>
              <w:t xml:space="preserve">H. (représenté par un conseil, </w:t>
            </w:r>
            <w:r>
              <w:rPr>
                <w:rFonts w:eastAsia="SimSun"/>
                <w:szCs w:val="24"/>
                <w:lang w:val="fr-FR"/>
              </w:rPr>
              <w:br/>
            </w:r>
            <w:r w:rsidRPr="00864066">
              <w:rPr>
                <w:rFonts w:eastAsia="SimSun"/>
                <w:szCs w:val="24"/>
                <w:lang w:val="fr-FR"/>
              </w:rPr>
              <w:t>Rabih Azad-Ahmad)</w:t>
            </w:r>
          </w:p>
        </w:tc>
      </w:tr>
      <w:tr w:rsidR="006C375E" w:rsidRPr="0063439D" w:rsidTr="00F43865">
        <w:tc>
          <w:tcPr>
            <w:tcW w:w="2835" w:type="dxa"/>
          </w:tcPr>
          <w:p w:rsidR="006C375E" w:rsidRPr="0063439D" w:rsidRDefault="006C375E" w:rsidP="00F43865">
            <w:pPr>
              <w:rPr>
                <w:i/>
              </w:rPr>
            </w:pPr>
            <w:r w:rsidRPr="0063439D">
              <w:rPr>
                <w:i/>
              </w:rPr>
              <w:t>Au nom de</w:t>
            </w:r>
            <w:r>
              <w:t> :</w:t>
            </w:r>
          </w:p>
        </w:tc>
        <w:tc>
          <w:tcPr>
            <w:tcW w:w="3969" w:type="dxa"/>
          </w:tcPr>
          <w:p w:rsidR="006C375E" w:rsidRPr="0063439D" w:rsidRDefault="006C375E" w:rsidP="00F43865">
            <w:pPr>
              <w:spacing w:after="120"/>
            </w:pPr>
            <w:r w:rsidRPr="00864066">
              <w:rPr>
                <w:rFonts w:eastAsia="SimSun"/>
                <w:szCs w:val="24"/>
                <w:lang w:val="fr-FR"/>
              </w:rPr>
              <w:t>J.</w:t>
            </w:r>
            <w:r>
              <w:rPr>
                <w:rFonts w:eastAsia="SimSun"/>
                <w:szCs w:val="24"/>
                <w:lang w:val="fr-FR"/>
              </w:rPr>
              <w:t> </w:t>
            </w:r>
            <w:r w:rsidRPr="00864066">
              <w:rPr>
                <w:rFonts w:eastAsia="SimSun"/>
                <w:szCs w:val="24"/>
                <w:lang w:val="fr-FR"/>
              </w:rPr>
              <w:t>F.</w:t>
            </w:r>
            <w:r>
              <w:rPr>
                <w:rFonts w:eastAsia="SimSun"/>
                <w:szCs w:val="24"/>
                <w:lang w:val="fr-FR"/>
              </w:rPr>
              <w:t> </w:t>
            </w:r>
            <w:r w:rsidRPr="00864066">
              <w:rPr>
                <w:rFonts w:eastAsia="SimSun"/>
                <w:szCs w:val="24"/>
                <w:lang w:val="fr-FR"/>
              </w:rPr>
              <w:t>H.</w:t>
            </w:r>
          </w:p>
        </w:tc>
      </w:tr>
      <w:tr w:rsidR="006C375E" w:rsidRPr="0063439D" w:rsidTr="00F43865">
        <w:tc>
          <w:tcPr>
            <w:tcW w:w="2835" w:type="dxa"/>
          </w:tcPr>
          <w:p w:rsidR="006C375E" w:rsidRPr="0063439D" w:rsidRDefault="006C375E" w:rsidP="00F43865">
            <w:pPr>
              <w:rPr>
                <w:i/>
              </w:rPr>
            </w:pPr>
            <w:r w:rsidRPr="0063439D">
              <w:rPr>
                <w:i/>
              </w:rPr>
              <w:t>État partie</w:t>
            </w:r>
            <w:r>
              <w:t> :</w:t>
            </w:r>
          </w:p>
        </w:tc>
        <w:tc>
          <w:tcPr>
            <w:tcW w:w="3969" w:type="dxa"/>
          </w:tcPr>
          <w:p w:rsidR="006C375E" w:rsidRPr="0063439D" w:rsidRDefault="006C375E" w:rsidP="00F43865">
            <w:pPr>
              <w:spacing w:after="120"/>
            </w:pPr>
            <w:r>
              <w:t>Danemark</w:t>
            </w:r>
          </w:p>
        </w:tc>
      </w:tr>
      <w:tr w:rsidR="006C375E" w:rsidRPr="0063439D" w:rsidTr="00F43865">
        <w:tc>
          <w:tcPr>
            <w:tcW w:w="2835" w:type="dxa"/>
          </w:tcPr>
          <w:p w:rsidR="006C375E" w:rsidRPr="0063439D" w:rsidRDefault="006C375E" w:rsidP="00F43865">
            <w:pPr>
              <w:rPr>
                <w:i/>
              </w:rPr>
            </w:pPr>
            <w:r w:rsidRPr="0063439D">
              <w:rPr>
                <w:i/>
              </w:rPr>
              <w:t>Date de la communication</w:t>
            </w:r>
            <w:r>
              <w:t> :</w:t>
            </w:r>
          </w:p>
        </w:tc>
        <w:tc>
          <w:tcPr>
            <w:tcW w:w="3969" w:type="dxa"/>
          </w:tcPr>
          <w:p w:rsidR="006C375E" w:rsidRPr="0063439D" w:rsidRDefault="006C375E" w:rsidP="00F43865">
            <w:pPr>
              <w:spacing w:after="120"/>
            </w:pPr>
            <w:r>
              <w:t>23 janvier 2015</w:t>
            </w:r>
            <w:r w:rsidRPr="0063439D">
              <w:t xml:space="preserve"> (date de la lettre initiale)</w:t>
            </w:r>
          </w:p>
        </w:tc>
      </w:tr>
      <w:tr w:rsidR="006C375E" w:rsidRPr="0063439D" w:rsidTr="00F43865">
        <w:tc>
          <w:tcPr>
            <w:tcW w:w="2835" w:type="dxa"/>
          </w:tcPr>
          <w:p w:rsidR="006C375E" w:rsidRPr="0063439D" w:rsidRDefault="006C375E" w:rsidP="00F43865">
            <w:pPr>
              <w:rPr>
                <w:i/>
              </w:rPr>
            </w:pPr>
            <w:r w:rsidRPr="0063439D">
              <w:rPr>
                <w:i/>
              </w:rPr>
              <w:t>Références</w:t>
            </w:r>
            <w:r>
              <w:t> :</w:t>
            </w:r>
          </w:p>
        </w:tc>
        <w:tc>
          <w:tcPr>
            <w:tcW w:w="3969" w:type="dxa"/>
          </w:tcPr>
          <w:p w:rsidR="006C375E" w:rsidRPr="0063439D" w:rsidRDefault="006C375E" w:rsidP="00F43865">
            <w:pPr>
              <w:spacing w:after="120"/>
            </w:pPr>
            <w:r w:rsidRPr="0063439D">
              <w:t xml:space="preserve">Décision prise </w:t>
            </w:r>
            <w:r>
              <w:t>en application de l’article </w:t>
            </w:r>
            <w:r w:rsidRPr="0063439D">
              <w:t>97 du règlement intérieur</w:t>
            </w:r>
            <w:r>
              <w:t xml:space="preserve"> du Comité</w:t>
            </w:r>
            <w:r w:rsidRPr="0063439D">
              <w:t>, communiquée à</w:t>
            </w:r>
            <w:r w:rsidR="00F43865">
              <w:t> </w:t>
            </w:r>
            <w:r w:rsidRPr="0063439D">
              <w:t>l’État partie le</w:t>
            </w:r>
            <w:r>
              <w:t xml:space="preserve"> 9 novembre 2015</w:t>
            </w:r>
            <w:r w:rsidRPr="0063439D">
              <w:t xml:space="preserve"> (non publiée sous forme de document)</w:t>
            </w:r>
          </w:p>
        </w:tc>
      </w:tr>
      <w:tr w:rsidR="006C375E" w:rsidRPr="0063439D" w:rsidTr="00F43865">
        <w:tc>
          <w:tcPr>
            <w:tcW w:w="2835" w:type="dxa"/>
          </w:tcPr>
          <w:p w:rsidR="006C375E" w:rsidRPr="0063439D" w:rsidRDefault="006C375E" w:rsidP="00F43865">
            <w:pPr>
              <w:rPr>
                <w:i/>
              </w:rPr>
            </w:pPr>
            <w:r w:rsidRPr="0063439D">
              <w:rPr>
                <w:i/>
              </w:rPr>
              <w:t>Date de la décision</w:t>
            </w:r>
            <w:r>
              <w:t> :</w:t>
            </w:r>
          </w:p>
        </w:tc>
        <w:tc>
          <w:tcPr>
            <w:tcW w:w="3969" w:type="dxa"/>
            <w:vAlign w:val="bottom"/>
          </w:tcPr>
          <w:p w:rsidR="006C375E" w:rsidRPr="0063439D" w:rsidRDefault="006C375E" w:rsidP="00F43865">
            <w:pPr>
              <w:spacing w:after="120"/>
            </w:pPr>
            <w:r>
              <w:t>29 mars 2019</w:t>
            </w:r>
          </w:p>
        </w:tc>
      </w:tr>
      <w:tr w:rsidR="006C375E" w:rsidRPr="0063439D" w:rsidTr="00F43865">
        <w:tc>
          <w:tcPr>
            <w:tcW w:w="2835" w:type="dxa"/>
          </w:tcPr>
          <w:p w:rsidR="006C375E" w:rsidRPr="0063439D" w:rsidRDefault="006C375E" w:rsidP="00F43865">
            <w:pPr>
              <w:rPr>
                <w:i/>
              </w:rPr>
            </w:pPr>
            <w:r w:rsidRPr="0063439D">
              <w:rPr>
                <w:i/>
              </w:rPr>
              <w:t>Objet</w:t>
            </w:r>
            <w:r>
              <w:t> :</w:t>
            </w:r>
          </w:p>
        </w:tc>
        <w:tc>
          <w:tcPr>
            <w:tcW w:w="3969" w:type="dxa"/>
            <w:vAlign w:val="bottom"/>
          </w:tcPr>
          <w:p w:rsidR="006C375E" w:rsidRPr="0063439D" w:rsidRDefault="006C375E" w:rsidP="00F43865">
            <w:pPr>
              <w:spacing w:after="120"/>
            </w:pPr>
            <w:r w:rsidRPr="00864066">
              <w:rPr>
                <w:szCs w:val="24"/>
                <w:lang w:val="fr-FR"/>
              </w:rPr>
              <w:t>Expulsion du Danemark vers l</w:t>
            </w:r>
            <w:r>
              <w:rPr>
                <w:szCs w:val="24"/>
                <w:lang w:val="fr-FR"/>
              </w:rPr>
              <w:t>’Italie </w:t>
            </w:r>
            <w:r w:rsidRPr="00864066">
              <w:rPr>
                <w:szCs w:val="24"/>
                <w:lang w:val="fr-FR"/>
              </w:rPr>
              <w:t>; traitement inhumain et dégradant</w:t>
            </w:r>
          </w:p>
        </w:tc>
      </w:tr>
      <w:tr w:rsidR="006C375E" w:rsidRPr="0063439D" w:rsidTr="00F43865">
        <w:tc>
          <w:tcPr>
            <w:tcW w:w="2835" w:type="dxa"/>
          </w:tcPr>
          <w:p w:rsidR="006C375E" w:rsidRPr="0063439D" w:rsidRDefault="006C375E" w:rsidP="006C375E">
            <w:pPr>
              <w:rPr>
                <w:i/>
              </w:rPr>
            </w:pPr>
            <w:r w:rsidRPr="0063439D">
              <w:rPr>
                <w:i/>
              </w:rPr>
              <w:t>Question(s) de procédure</w:t>
            </w:r>
            <w:r>
              <w:t> :</w:t>
            </w:r>
          </w:p>
        </w:tc>
        <w:tc>
          <w:tcPr>
            <w:tcW w:w="3969" w:type="dxa"/>
          </w:tcPr>
          <w:p w:rsidR="006C375E" w:rsidRPr="00864066" w:rsidRDefault="006C375E" w:rsidP="006C375E">
            <w:pPr>
              <w:rPr>
                <w:rFonts w:eastAsia="SimSun"/>
                <w:szCs w:val="24"/>
              </w:rPr>
            </w:pPr>
            <w:r w:rsidRPr="00864066">
              <w:rPr>
                <w:rFonts w:eastAsia="SimSun"/>
                <w:szCs w:val="24"/>
                <w:lang w:val="fr-FR"/>
              </w:rPr>
              <w:t>Épuisement des recours internes</w:t>
            </w:r>
            <w:r>
              <w:rPr>
                <w:rFonts w:eastAsia="SimSun"/>
                <w:szCs w:val="24"/>
                <w:lang w:val="fr-FR"/>
              </w:rPr>
              <w:t> </w:t>
            </w:r>
            <w:r w:rsidRPr="00864066">
              <w:rPr>
                <w:rFonts w:eastAsia="SimSun"/>
                <w:szCs w:val="24"/>
                <w:lang w:val="fr-FR"/>
              </w:rPr>
              <w:t>; fondement des</w:t>
            </w:r>
            <w:r>
              <w:rPr>
                <w:rFonts w:eastAsia="SimSun"/>
                <w:szCs w:val="24"/>
                <w:lang w:val="fr-FR"/>
              </w:rPr>
              <w:t> </w:t>
            </w:r>
            <w:r w:rsidRPr="00864066">
              <w:rPr>
                <w:rFonts w:eastAsia="SimSun"/>
                <w:szCs w:val="24"/>
                <w:lang w:val="fr-FR"/>
              </w:rPr>
              <w:t>griefs</w:t>
            </w:r>
          </w:p>
        </w:tc>
      </w:tr>
      <w:tr w:rsidR="006C375E" w:rsidRPr="0063439D" w:rsidTr="00F43865">
        <w:tc>
          <w:tcPr>
            <w:tcW w:w="2835" w:type="dxa"/>
          </w:tcPr>
          <w:p w:rsidR="006C375E" w:rsidRPr="0063439D" w:rsidRDefault="006C375E" w:rsidP="006C375E">
            <w:pPr>
              <w:rPr>
                <w:i/>
              </w:rPr>
            </w:pPr>
            <w:r w:rsidRPr="0063439D">
              <w:rPr>
                <w:i/>
              </w:rPr>
              <w:t>Question(s) de fond</w:t>
            </w:r>
            <w:r>
              <w:t> :</w:t>
            </w:r>
          </w:p>
        </w:tc>
        <w:tc>
          <w:tcPr>
            <w:tcW w:w="3969" w:type="dxa"/>
            <w:vAlign w:val="bottom"/>
          </w:tcPr>
          <w:p w:rsidR="006C375E" w:rsidRPr="0063439D" w:rsidRDefault="006C375E" w:rsidP="006C375E">
            <w:pPr>
              <w:spacing w:after="120"/>
            </w:pPr>
            <w:r w:rsidRPr="00864066">
              <w:rPr>
                <w:szCs w:val="24"/>
                <w:lang w:val="fr-FR"/>
              </w:rPr>
              <w:t>Peines ou traitements cruels, inhumains ou dégradants en cas de renvoi dans le premier</w:t>
            </w:r>
            <w:r>
              <w:rPr>
                <w:szCs w:val="24"/>
                <w:lang w:val="fr-FR"/>
              </w:rPr>
              <w:t xml:space="preserve"> pays</w:t>
            </w:r>
            <w:r w:rsidRPr="00864066">
              <w:rPr>
                <w:szCs w:val="24"/>
                <w:lang w:val="fr-FR"/>
              </w:rPr>
              <w:t xml:space="preserve"> </w:t>
            </w:r>
            <w:r>
              <w:rPr>
                <w:szCs w:val="24"/>
                <w:lang w:val="fr-FR"/>
              </w:rPr>
              <w:t>d’</w:t>
            </w:r>
            <w:r w:rsidRPr="00864066">
              <w:rPr>
                <w:szCs w:val="24"/>
                <w:lang w:val="fr-FR"/>
              </w:rPr>
              <w:t>asile</w:t>
            </w:r>
            <w:r>
              <w:rPr>
                <w:szCs w:val="24"/>
                <w:lang w:val="fr-FR"/>
              </w:rPr>
              <w:t> ;</w:t>
            </w:r>
            <w:r w:rsidRPr="00864066">
              <w:rPr>
                <w:szCs w:val="24"/>
                <w:lang w:val="fr-FR"/>
              </w:rPr>
              <w:t xml:space="preserve"> droits de la famille</w:t>
            </w:r>
          </w:p>
        </w:tc>
      </w:tr>
      <w:tr w:rsidR="006C375E" w:rsidRPr="0063439D" w:rsidTr="00F43865">
        <w:tc>
          <w:tcPr>
            <w:tcW w:w="2835" w:type="dxa"/>
          </w:tcPr>
          <w:p w:rsidR="006C375E" w:rsidRPr="0063439D" w:rsidRDefault="006C375E" w:rsidP="006C375E">
            <w:pPr>
              <w:rPr>
                <w:i/>
              </w:rPr>
            </w:pPr>
            <w:r w:rsidRPr="0063439D">
              <w:rPr>
                <w:i/>
              </w:rPr>
              <w:t>Article(s) du Pacte</w:t>
            </w:r>
            <w:r>
              <w:t> :</w:t>
            </w:r>
          </w:p>
        </w:tc>
        <w:tc>
          <w:tcPr>
            <w:tcW w:w="3969" w:type="dxa"/>
            <w:vAlign w:val="bottom"/>
          </w:tcPr>
          <w:p w:rsidR="006C375E" w:rsidRPr="0063439D" w:rsidRDefault="006C375E" w:rsidP="006C375E">
            <w:pPr>
              <w:spacing w:after="120"/>
            </w:pPr>
            <w:r>
              <w:t>7 et 23</w:t>
            </w:r>
          </w:p>
        </w:tc>
      </w:tr>
      <w:tr w:rsidR="006C375E" w:rsidRPr="0063439D" w:rsidTr="00F43865">
        <w:tc>
          <w:tcPr>
            <w:tcW w:w="2835" w:type="dxa"/>
          </w:tcPr>
          <w:p w:rsidR="006C375E" w:rsidRPr="0063439D" w:rsidRDefault="006C375E" w:rsidP="006C375E">
            <w:pPr>
              <w:rPr>
                <w:i/>
              </w:rPr>
            </w:pPr>
            <w:r w:rsidRPr="0063439D">
              <w:rPr>
                <w:i/>
              </w:rPr>
              <w:t>Article(s) du Protocole facultatif</w:t>
            </w:r>
            <w:r>
              <w:t> :</w:t>
            </w:r>
          </w:p>
        </w:tc>
        <w:tc>
          <w:tcPr>
            <w:tcW w:w="3969" w:type="dxa"/>
            <w:vAlign w:val="bottom"/>
          </w:tcPr>
          <w:p w:rsidR="006C375E" w:rsidRPr="0063439D" w:rsidRDefault="006C375E" w:rsidP="006C375E">
            <w:pPr>
              <w:spacing w:after="120"/>
            </w:pPr>
            <w:r>
              <w:rPr>
                <w:rFonts w:eastAsia="SimSun"/>
                <w:szCs w:val="24"/>
                <w:lang w:val="fr-FR"/>
              </w:rPr>
              <w:t>2 et 5 (par. 2 </w:t>
            </w:r>
            <w:r w:rsidRPr="00864066">
              <w:rPr>
                <w:rFonts w:eastAsia="SimSun"/>
                <w:szCs w:val="24"/>
                <w:lang w:val="fr-FR"/>
              </w:rPr>
              <w:t>b))</w:t>
            </w:r>
          </w:p>
        </w:tc>
      </w:tr>
    </w:tbl>
    <w:p w:rsidR="006C375E" w:rsidRPr="00A11400" w:rsidRDefault="006C375E" w:rsidP="00F43865">
      <w:pPr>
        <w:pStyle w:val="H23G"/>
      </w:pPr>
      <w:r w:rsidRPr="0063439D">
        <w:br w:type="page"/>
      </w:r>
      <w:r w:rsidRPr="00A11400">
        <w:rPr>
          <w:lang w:val="fr-FR"/>
        </w:rPr>
        <w:lastRenderedPageBreak/>
        <w:tab/>
      </w:r>
      <w:r w:rsidRPr="00A11400">
        <w:rPr>
          <w:lang w:val="fr-FR"/>
        </w:rPr>
        <w:tab/>
        <w:t>Décision concernant la recevabilité</w:t>
      </w:r>
    </w:p>
    <w:p w:rsidR="006C375E" w:rsidRPr="00A11400" w:rsidRDefault="006C375E" w:rsidP="006C375E">
      <w:pPr>
        <w:pStyle w:val="SingleTxtG"/>
      </w:pPr>
      <w:r w:rsidRPr="00A11400">
        <w:rPr>
          <w:lang w:val="fr-FR"/>
        </w:rPr>
        <w:t>1.1</w:t>
      </w:r>
      <w:r w:rsidRPr="00A11400">
        <w:rPr>
          <w:lang w:val="fr-FR"/>
        </w:rPr>
        <w:tab/>
        <w:t>L</w:t>
      </w:r>
      <w:r>
        <w:rPr>
          <w:lang w:val="fr-FR"/>
        </w:rPr>
        <w:t>’</w:t>
      </w:r>
      <w:r w:rsidRPr="00A11400">
        <w:rPr>
          <w:lang w:val="fr-FR"/>
        </w:rPr>
        <w:t>au</w:t>
      </w:r>
      <w:r>
        <w:rPr>
          <w:lang w:val="fr-FR"/>
        </w:rPr>
        <w:t>teur de la communication est J. </w:t>
      </w:r>
      <w:r w:rsidRPr="00A11400">
        <w:rPr>
          <w:lang w:val="fr-FR"/>
        </w:rPr>
        <w:t>F.</w:t>
      </w:r>
      <w:r>
        <w:rPr>
          <w:lang w:val="fr-FR"/>
        </w:rPr>
        <w:t> </w:t>
      </w:r>
      <w:r w:rsidRPr="00A11400">
        <w:rPr>
          <w:lang w:val="fr-FR"/>
        </w:rPr>
        <w:t>H., ressortissant syrien d</w:t>
      </w:r>
      <w:r>
        <w:rPr>
          <w:lang w:val="fr-FR"/>
        </w:rPr>
        <w:t>’</w:t>
      </w:r>
      <w:r w:rsidRPr="00A11400">
        <w:rPr>
          <w:lang w:val="fr-FR"/>
        </w:rPr>
        <w:t>origine kurde,</w:t>
      </w:r>
      <w:r>
        <w:rPr>
          <w:lang w:val="fr-FR"/>
        </w:rPr>
        <w:t xml:space="preserve"> né le 2 </w:t>
      </w:r>
      <w:r w:rsidRPr="00A11400">
        <w:rPr>
          <w:lang w:val="fr-FR"/>
        </w:rPr>
        <w:t xml:space="preserve">juin 1992 à Alep </w:t>
      </w:r>
      <w:r>
        <w:rPr>
          <w:lang w:val="fr-FR"/>
        </w:rPr>
        <w:t>(République arabe s</w:t>
      </w:r>
      <w:r w:rsidRPr="00A11400">
        <w:rPr>
          <w:lang w:val="fr-FR"/>
        </w:rPr>
        <w:t>yrie</w:t>
      </w:r>
      <w:r>
        <w:rPr>
          <w:lang w:val="fr-FR"/>
        </w:rPr>
        <w:t>nne)</w:t>
      </w:r>
      <w:r w:rsidRPr="00A11400">
        <w:rPr>
          <w:lang w:val="fr-FR"/>
        </w:rPr>
        <w:t>. Il réside au Danemark et fait l</w:t>
      </w:r>
      <w:r>
        <w:rPr>
          <w:lang w:val="fr-FR"/>
        </w:rPr>
        <w:t>’</w:t>
      </w:r>
      <w:r w:rsidRPr="00A11400">
        <w:rPr>
          <w:lang w:val="fr-FR"/>
        </w:rPr>
        <w:t>objet d</w:t>
      </w:r>
      <w:r>
        <w:rPr>
          <w:lang w:val="fr-FR"/>
        </w:rPr>
        <w:t>’</w:t>
      </w:r>
      <w:r w:rsidRPr="00A11400">
        <w:rPr>
          <w:lang w:val="fr-FR"/>
        </w:rPr>
        <w:t>un arrêté d</w:t>
      </w:r>
      <w:r>
        <w:rPr>
          <w:lang w:val="fr-FR"/>
        </w:rPr>
        <w:t>’</w:t>
      </w:r>
      <w:r w:rsidRPr="00A11400">
        <w:rPr>
          <w:lang w:val="fr-FR"/>
        </w:rPr>
        <w:t>expulsion vers l</w:t>
      </w:r>
      <w:r>
        <w:rPr>
          <w:lang w:val="fr-FR"/>
        </w:rPr>
        <w:t>’</w:t>
      </w:r>
      <w:r w:rsidRPr="00A11400">
        <w:rPr>
          <w:lang w:val="fr-FR"/>
        </w:rPr>
        <w:t>Italie. Il se dit victime d</w:t>
      </w:r>
      <w:r>
        <w:rPr>
          <w:lang w:val="fr-FR"/>
        </w:rPr>
        <w:t>’</w:t>
      </w:r>
      <w:r w:rsidRPr="00A11400">
        <w:rPr>
          <w:lang w:val="fr-FR"/>
        </w:rPr>
        <w:t xml:space="preserve">une violation par le Danemark des </w:t>
      </w:r>
      <w:r>
        <w:rPr>
          <w:lang w:val="fr-FR"/>
        </w:rPr>
        <w:t>droits qu’il tient de l’article </w:t>
      </w:r>
      <w:r w:rsidRPr="00A11400">
        <w:rPr>
          <w:lang w:val="fr-FR"/>
        </w:rPr>
        <w:t>7 du Pacte. Il est représenté par un conseil, Rabih Azad-Ahmad. Le</w:t>
      </w:r>
      <w:r w:rsidR="00F43865">
        <w:rPr>
          <w:lang w:val="fr-FR"/>
        </w:rPr>
        <w:t> </w:t>
      </w:r>
      <w:r w:rsidRPr="00A11400">
        <w:rPr>
          <w:lang w:val="fr-FR"/>
        </w:rPr>
        <w:t>Protocole facultatif est entré en vigueur pour l</w:t>
      </w:r>
      <w:r>
        <w:rPr>
          <w:lang w:val="fr-FR"/>
        </w:rPr>
        <w:t>’</w:t>
      </w:r>
      <w:r w:rsidRPr="00A11400">
        <w:rPr>
          <w:lang w:val="fr-FR"/>
        </w:rPr>
        <w:t>État partie le</w:t>
      </w:r>
      <w:r>
        <w:rPr>
          <w:lang w:val="fr-FR"/>
        </w:rPr>
        <w:t xml:space="preserve"> 23 </w:t>
      </w:r>
      <w:r w:rsidRPr="00A11400">
        <w:rPr>
          <w:lang w:val="fr-FR"/>
        </w:rPr>
        <w:t>mars 1976.</w:t>
      </w:r>
    </w:p>
    <w:p w:rsidR="006C375E" w:rsidRPr="00A11400" w:rsidRDefault="006C375E" w:rsidP="006C375E">
      <w:pPr>
        <w:pStyle w:val="SingleTxtG"/>
      </w:pPr>
      <w:r>
        <w:rPr>
          <w:lang w:val="fr-FR"/>
        </w:rPr>
        <w:t>1.2</w:t>
      </w:r>
      <w:r>
        <w:rPr>
          <w:lang w:val="fr-FR"/>
        </w:rPr>
        <w:tab/>
        <w:t>Le 9 </w:t>
      </w:r>
      <w:r w:rsidRPr="00A11400">
        <w:rPr>
          <w:lang w:val="fr-FR"/>
        </w:rPr>
        <w:t>novembre 2015, le Rapporteur spécial chargé des nouvelles communications et des mesures provisoires, agissant au nom du Comité, a décidé de ne pas demander de mesures provisoires au titre de l</w:t>
      </w:r>
      <w:r>
        <w:rPr>
          <w:lang w:val="fr-FR"/>
        </w:rPr>
        <w:t>’</w:t>
      </w:r>
      <w:r w:rsidRPr="00A11400">
        <w:rPr>
          <w:lang w:val="fr-FR"/>
        </w:rPr>
        <w:t>article 92 du règlement intérieur du Comité.</w:t>
      </w:r>
    </w:p>
    <w:p w:rsidR="006C375E" w:rsidRPr="00A11400" w:rsidRDefault="006C375E" w:rsidP="00F43865">
      <w:pPr>
        <w:pStyle w:val="H23G"/>
      </w:pPr>
      <w:r w:rsidRPr="00A11400">
        <w:rPr>
          <w:lang w:val="fr-FR"/>
        </w:rPr>
        <w:tab/>
      </w:r>
      <w:r w:rsidRPr="00A11400">
        <w:rPr>
          <w:lang w:val="fr-FR"/>
        </w:rPr>
        <w:tab/>
        <w:t>Exposé des faits</w:t>
      </w:r>
    </w:p>
    <w:p w:rsidR="006C375E" w:rsidRPr="00A11400" w:rsidRDefault="006C375E" w:rsidP="006C375E">
      <w:pPr>
        <w:pStyle w:val="SingleTxtG"/>
      </w:pPr>
      <w:r w:rsidRPr="00A11400">
        <w:rPr>
          <w:lang w:val="fr-FR"/>
        </w:rPr>
        <w:t>2.1</w:t>
      </w:r>
      <w:r w:rsidRPr="00A11400">
        <w:rPr>
          <w:lang w:val="fr-FR"/>
        </w:rPr>
        <w:tab/>
        <w:t>L</w:t>
      </w:r>
      <w:r>
        <w:rPr>
          <w:lang w:val="fr-FR"/>
        </w:rPr>
        <w:t>’</w:t>
      </w:r>
      <w:r w:rsidRPr="00A11400">
        <w:rPr>
          <w:lang w:val="fr-FR"/>
        </w:rPr>
        <w:t xml:space="preserve">auteur a fui la </w:t>
      </w:r>
      <w:r>
        <w:rPr>
          <w:lang w:val="fr-FR"/>
        </w:rPr>
        <w:t>République arabe s</w:t>
      </w:r>
      <w:r w:rsidRPr="00A11400">
        <w:rPr>
          <w:lang w:val="fr-FR"/>
        </w:rPr>
        <w:t>yrie</w:t>
      </w:r>
      <w:r>
        <w:rPr>
          <w:lang w:val="fr-FR"/>
        </w:rPr>
        <w:t>nne</w:t>
      </w:r>
      <w:r w:rsidRPr="00A11400" w:rsidDel="004F0058">
        <w:rPr>
          <w:lang w:val="fr-FR"/>
        </w:rPr>
        <w:t xml:space="preserve"> </w:t>
      </w:r>
      <w:r w:rsidRPr="00A11400">
        <w:rPr>
          <w:lang w:val="fr-FR"/>
        </w:rPr>
        <w:t xml:space="preserve">en 2012 et a été inscrit dans </w:t>
      </w:r>
      <w:r>
        <w:rPr>
          <w:lang w:val="fr-FR"/>
        </w:rPr>
        <w:t xml:space="preserve">la </w:t>
      </w:r>
      <w:r>
        <w:t>base de données européennes d’empreintes digitales des demandeurs d’asile</w:t>
      </w:r>
      <w:r w:rsidRPr="00A11400">
        <w:rPr>
          <w:lang w:val="fr-FR"/>
        </w:rPr>
        <w:t xml:space="preserve"> </w:t>
      </w:r>
      <w:r>
        <w:rPr>
          <w:lang w:val="fr-FR"/>
        </w:rPr>
        <w:t>(</w:t>
      </w:r>
      <w:r w:rsidRPr="00A11400">
        <w:rPr>
          <w:lang w:val="fr-FR"/>
        </w:rPr>
        <w:t>système E</w:t>
      </w:r>
      <w:r>
        <w:rPr>
          <w:lang w:val="fr-FR"/>
        </w:rPr>
        <w:t>URODAC)</w:t>
      </w:r>
      <w:r w:rsidRPr="00A11400">
        <w:rPr>
          <w:lang w:val="fr-FR"/>
        </w:rPr>
        <w:t xml:space="preserve"> le 25 </w:t>
      </w:r>
      <w:r>
        <w:rPr>
          <w:lang w:val="fr-FR"/>
        </w:rPr>
        <w:t>octobre 2012 en Italie, et le 7 </w:t>
      </w:r>
      <w:r w:rsidRPr="00A11400">
        <w:rPr>
          <w:lang w:val="fr-FR"/>
        </w:rPr>
        <w:t>décembre 2012 en Allemagne. Il affirme qu</w:t>
      </w:r>
      <w:r>
        <w:rPr>
          <w:lang w:val="fr-FR"/>
        </w:rPr>
        <w:t>’</w:t>
      </w:r>
      <w:r w:rsidRPr="00A11400">
        <w:rPr>
          <w:lang w:val="fr-FR"/>
        </w:rPr>
        <w:t>il a été expulsé de l</w:t>
      </w:r>
      <w:r>
        <w:rPr>
          <w:lang w:val="fr-FR"/>
        </w:rPr>
        <w:t>’</w:t>
      </w:r>
      <w:r w:rsidRPr="00A11400">
        <w:rPr>
          <w:lang w:val="fr-FR"/>
        </w:rPr>
        <w:t>Allemagne vers l</w:t>
      </w:r>
      <w:r>
        <w:rPr>
          <w:lang w:val="fr-FR"/>
        </w:rPr>
        <w:t>’</w:t>
      </w:r>
      <w:r w:rsidRPr="00A11400">
        <w:rPr>
          <w:lang w:val="fr-FR"/>
        </w:rPr>
        <w:t>Italie en vertu du règlement Dublin III</w:t>
      </w:r>
      <w:r w:rsidRPr="00C10EEF">
        <w:rPr>
          <w:rStyle w:val="Appelnotedebasdep"/>
        </w:rPr>
        <w:footnoteReference w:id="4"/>
      </w:r>
      <w:r w:rsidRPr="00A11400">
        <w:rPr>
          <w:lang w:val="fr-FR"/>
        </w:rPr>
        <w:t>,</w:t>
      </w:r>
      <w:r>
        <w:rPr>
          <w:lang w:val="fr-FR"/>
        </w:rPr>
        <w:t xml:space="preserve"> à une date non précisée. En</w:t>
      </w:r>
      <w:r w:rsidR="00CF6DFE">
        <w:rPr>
          <w:lang w:val="fr-FR"/>
        </w:rPr>
        <w:t xml:space="preserve"> </w:t>
      </w:r>
      <w:r w:rsidRPr="00A11400">
        <w:rPr>
          <w:lang w:val="fr-FR"/>
        </w:rPr>
        <w:t>Italie, il n</w:t>
      </w:r>
      <w:r>
        <w:rPr>
          <w:lang w:val="fr-FR"/>
        </w:rPr>
        <w:t>’</w:t>
      </w:r>
      <w:r w:rsidRPr="00A11400">
        <w:rPr>
          <w:lang w:val="fr-FR"/>
        </w:rPr>
        <w:t>a reçu aucune aide et a été contraint de vivre dans la rue, exposé à la violence et à la criminalité.</w:t>
      </w:r>
    </w:p>
    <w:p w:rsidR="006C375E" w:rsidRPr="00A11400" w:rsidRDefault="006C375E" w:rsidP="006C375E">
      <w:pPr>
        <w:pStyle w:val="SingleTxtG"/>
      </w:pPr>
      <w:r w:rsidRPr="00A11400">
        <w:rPr>
          <w:lang w:val="fr-FR"/>
        </w:rPr>
        <w:t>2.2</w:t>
      </w:r>
      <w:r w:rsidRPr="00A11400">
        <w:rPr>
          <w:lang w:val="fr-FR"/>
        </w:rPr>
        <w:tab/>
        <w:t>En raison des mauvaises conditions de vie en Italie, l</w:t>
      </w:r>
      <w:r>
        <w:rPr>
          <w:lang w:val="fr-FR"/>
        </w:rPr>
        <w:t>’</w:t>
      </w:r>
      <w:r w:rsidRPr="00A11400">
        <w:rPr>
          <w:lang w:val="fr-FR"/>
        </w:rPr>
        <w:t xml:space="preserve">auteur est retourné en </w:t>
      </w:r>
      <w:r>
        <w:rPr>
          <w:lang w:val="fr-FR"/>
        </w:rPr>
        <w:t>République arabe s</w:t>
      </w:r>
      <w:r w:rsidRPr="00A11400">
        <w:rPr>
          <w:lang w:val="fr-FR"/>
        </w:rPr>
        <w:t>yrie</w:t>
      </w:r>
      <w:r>
        <w:rPr>
          <w:lang w:val="fr-FR"/>
        </w:rPr>
        <w:t>nne</w:t>
      </w:r>
      <w:r w:rsidRPr="00A11400" w:rsidDel="004F0058">
        <w:rPr>
          <w:lang w:val="fr-FR"/>
        </w:rPr>
        <w:t xml:space="preserve"> </w:t>
      </w:r>
      <w:r w:rsidRPr="00A11400">
        <w:rPr>
          <w:lang w:val="fr-FR"/>
        </w:rPr>
        <w:t>en mai 2013, où il a vécu chez un médecin jusqu</w:t>
      </w:r>
      <w:r>
        <w:rPr>
          <w:lang w:val="fr-FR"/>
        </w:rPr>
        <w:t>’</w:t>
      </w:r>
      <w:r w:rsidRPr="00A11400">
        <w:rPr>
          <w:lang w:val="fr-FR"/>
        </w:rPr>
        <w:t>en 2014. En</w:t>
      </w:r>
      <w:r w:rsidR="00CF6DFE">
        <w:rPr>
          <w:lang w:val="fr-FR"/>
        </w:rPr>
        <w:t> </w:t>
      </w:r>
      <w:r w:rsidRPr="00A11400">
        <w:rPr>
          <w:lang w:val="fr-FR"/>
        </w:rPr>
        <w:t>juin</w:t>
      </w:r>
      <w:r w:rsidR="00CF6DFE">
        <w:rPr>
          <w:lang w:val="fr-FR"/>
        </w:rPr>
        <w:t xml:space="preserve"> </w:t>
      </w:r>
      <w:r w:rsidRPr="00A11400">
        <w:rPr>
          <w:lang w:val="fr-FR"/>
        </w:rPr>
        <w:t>2014, l</w:t>
      </w:r>
      <w:r>
        <w:rPr>
          <w:lang w:val="fr-FR"/>
        </w:rPr>
        <w:t>’</w:t>
      </w:r>
      <w:r w:rsidRPr="00A11400">
        <w:rPr>
          <w:lang w:val="fr-FR"/>
        </w:rPr>
        <w:t xml:space="preserve">auteur a de nouveau fui la </w:t>
      </w:r>
      <w:r>
        <w:rPr>
          <w:lang w:val="fr-FR"/>
        </w:rPr>
        <w:t>République arabe s</w:t>
      </w:r>
      <w:r w:rsidRPr="00A11400">
        <w:rPr>
          <w:lang w:val="fr-FR"/>
        </w:rPr>
        <w:t>yrie</w:t>
      </w:r>
      <w:r>
        <w:rPr>
          <w:lang w:val="fr-FR"/>
        </w:rPr>
        <w:t>nne</w:t>
      </w:r>
      <w:r w:rsidRPr="00A11400" w:rsidDel="004F0058">
        <w:rPr>
          <w:lang w:val="fr-FR"/>
        </w:rPr>
        <w:t xml:space="preserve"> </w:t>
      </w:r>
      <w:r w:rsidRPr="00A11400">
        <w:rPr>
          <w:lang w:val="fr-FR"/>
        </w:rPr>
        <w:t>pour éviter d</w:t>
      </w:r>
      <w:r>
        <w:rPr>
          <w:lang w:val="fr-FR"/>
        </w:rPr>
        <w:t>’</w:t>
      </w:r>
      <w:r w:rsidRPr="00A11400">
        <w:rPr>
          <w:lang w:val="fr-FR"/>
        </w:rPr>
        <w:t xml:space="preserve">être </w:t>
      </w:r>
      <w:r>
        <w:rPr>
          <w:lang w:val="fr-FR"/>
        </w:rPr>
        <w:t>recruté par</w:t>
      </w:r>
      <w:r w:rsidRPr="00A11400">
        <w:rPr>
          <w:lang w:val="fr-FR"/>
        </w:rPr>
        <w:t xml:space="preserve"> l</w:t>
      </w:r>
      <w:r>
        <w:rPr>
          <w:lang w:val="fr-FR"/>
        </w:rPr>
        <w:t>’</w:t>
      </w:r>
      <w:r w:rsidRPr="00A11400">
        <w:rPr>
          <w:lang w:val="fr-FR"/>
        </w:rPr>
        <w:t>armée syrienne ou par les mouvements rebelles.</w:t>
      </w:r>
    </w:p>
    <w:p w:rsidR="006C375E" w:rsidRPr="00A11400" w:rsidRDefault="006C375E" w:rsidP="006C375E">
      <w:pPr>
        <w:pStyle w:val="SingleTxtG"/>
        <w:rPr>
          <w:lang w:val="fr-FR"/>
        </w:rPr>
      </w:pPr>
      <w:r w:rsidRPr="00A11400">
        <w:rPr>
          <w:lang w:val="fr-FR"/>
        </w:rPr>
        <w:t>2.3</w:t>
      </w:r>
      <w:r w:rsidRPr="00A11400">
        <w:rPr>
          <w:lang w:val="fr-FR"/>
        </w:rPr>
        <w:tab/>
        <w:t>Le 17</w:t>
      </w:r>
      <w:r w:rsidR="00F43865">
        <w:rPr>
          <w:lang w:val="fr-FR"/>
        </w:rPr>
        <w:t> </w:t>
      </w:r>
      <w:r w:rsidRPr="00A11400">
        <w:rPr>
          <w:lang w:val="fr-FR"/>
        </w:rPr>
        <w:t>juin 2014, l</w:t>
      </w:r>
      <w:r>
        <w:rPr>
          <w:lang w:val="fr-FR"/>
        </w:rPr>
        <w:t>’</w:t>
      </w:r>
      <w:r w:rsidRPr="00A11400">
        <w:rPr>
          <w:lang w:val="fr-FR"/>
        </w:rPr>
        <w:t>auteur est arrivé au Danemark, où vit sa tante paternelle, et a demandé l</w:t>
      </w:r>
      <w:r>
        <w:rPr>
          <w:lang w:val="fr-FR"/>
        </w:rPr>
        <w:t>’</w:t>
      </w:r>
      <w:r w:rsidRPr="00A11400">
        <w:rPr>
          <w:lang w:val="fr-FR"/>
        </w:rPr>
        <w:t>asile deux jours plus tard. Dans une lettre en date du 28</w:t>
      </w:r>
      <w:r w:rsidR="00CF6DFE">
        <w:rPr>
          <w:lang w:val="fr-FR"/>
        </w:rPr>
        <w:t> </w:t>
      </w:r>
      <w:r w:rsidRPr="00A11400">
        <w:rPr>
          <w:lang w:val="fr-FR"/>
        </w:rPr>
        <w:t>juillet 2014, les autorités italiennes ont informé le Service danois de l</w:t>
      </w:r>
      <w:r>
        <w:rPr>
          <w:lang w:val="fr-FR"/>
        </w:rPr>
        <w:t>’</w:t>
      </w:r>
      <w:r w:rsidRPr="00A11400">
        <w:rPr>
          <w:lang w:val="fr-FR"/>
        </w:rPr>
        <w:t>immigration que l</w:t>
      </w:r>
      <w:r>
        <w:rPr>
          <w:lang w:val="fr-FR"/>
        </w:rPr>
        <w:t>’</w:t>
      </w:r>
      <w:r w:rsidRPr="00A11400">
        <w:rPr>
          <w:lang w:val="fr-FR"/>
        </w:rPr>
        <w:t>auteur avait obtenu le statut de réfugié en Italie. L</w:t>
      </w:r>
      <w:r>
        <w:rPr>
          <w:lang w:val="fr-FR"/>
        </w:rPr>
        <w:t>’</w:t>
      </w:r>
      <w:r w:rsidRPr="00A11400">
        <w:rPr>
          <w:lang w:val="fr-FR"/>
        </w:rPr>
        <w:t>auteur soutient qu</w:t>
      </w:r>
      <w:r>
        <w:rPr>
          <w:lang w:val="fr-FR"/>
        </w:rPr>
        <w:t>’</w:t>
      </w:r>
      <w:r w:rsidRPr="00A11400">
        <w:rPr>
          <w:lang w:val="fr-FR"/>
        </w:rPr>
        <w:t>il n</w:t>
      </w:r>
      <w:r>
        <w:rPr>
          <w:lang w:val="fr-FR"/>
        </w:rPr>
        <w:t>’</w:t>
      </w:r>
      <w:r w:rsidRPr="00A11400">
        <w:rPr>
          <w:lang w:val="fr-FR"/>
        </w:rPr>
        <w:t>en a pas été informé. Il fournit une copie d</w:t>
      </w:r>
      <w:r>
        <w:rPr>
          <w:lang w:val="fr-FR"/>
        </w:rPr>
        <w:t>’</w:t>
      </w:r>
      <w:r w:rsidRPr="00A11400">
        <w:rPr>
          <w:lang w:val="fr-FR"/>
        </w:rPr>
        <w:t>un certificat médical de l</w:t>
      </w:r>
      <w:r>
        <w:rPr>
          <w:lang w:val="fr-FR"/>
        </w:rPr>
        <w:t>’</w:t>
      </w:r>
      <w:r w:rsidRPr="00A11400">
        <w:rPr>
          <w:lang w:val="fr-FR"/>
        </w:rPr>
        <w:t>hôpital chirurgical Daer Sem qui indique qu</w:t>
      </w:r>
      <w:r>
        <w:rPr>
          <w:lang w:val="fr-FR"/>
        </w:rPr>
        <w:t>’</w:t>
      </w:r>
      <w:r w:rsidRPr="00A11400">
        <w:rPr>
          <w:lang w:val="fr-FR"/>
        </w:rPr>
        <w:t>il a été hospitalisé du 8</w:t>
      </w:r>
      <w:r>
        <w:rPr>
          <w:lang w:val="fr-FR"/>
        </w:rPr>
        <w:t> </w:t>
      </w:r>
      <w:r w:rsidRPr="00A11400">
        <w:rPr>
          <w:lang w:val="fr-FR"/>
        </w:rPr>
        <w:t>au 12 septembre 2013. Il affirme qu</w:t>
      </w:r>
      <w:r>
        <w:rPr>
          <w:lang w:val="fr-FR"/>
        </w:rPr>
        <w:t>’</w:t>
      </w:r>
      <w:r w:rsidRPr="00A11400">
        <w:rPr>
          <w:lang w:val="fr-FR"/>
        </w:rPr>
        <w:t>il n</w:t>
      </w:r>
      <w:r>
        <w:rPr>
          <w:lang w:val="fr-FR"/>
        </w:rPr>
        <w:t>’</w:t>
      </w:r>
      <w:r w:rsidRPr="00A11400">
        <w:rPr>
          <w:lang w:val="fr-FR"/>
        </w:rPr>
        <w:t>est en possession d</w:t>
      </w:r>
      <w:r>
        <w:rPr>
          <w:lang w:val="fr-FR"/>
        </w:rPr>
        <w:t>’</w:t>
      </w:r>
      <w:r w:rsidRPr="00A11400">
        <w:rPr>
          <w:lang w:val="fr-FR"/>
        </w:rPr>
        <w:t>aucun autre élément de preuve ou document attestant qu</w:t>
      </w:r>
      <w:r>
        <w:rPr>
          <w:lang w:val="fr-FR"/>
        </w:rPr>
        <w:t>’</w:t>
      </w:r>
      <w:r w:rsidRPr="00A11400">
        <w:rPr>
          <w:lang w:val="fr-FR"/>
        </w:rPr>
        <w:t xml:space="preserve">il a séjourné provisoirement en </w:t>
      </w:r>
      <w:r>
        <w:rPr>
          <w:lang w:val="fr-FR"/>
        </w:rPr>
        <w:t>République arabe s</w:t>
      </w:r>
      <w:r w:rsidRPr="00A11400">
        <w:rPr>
          <w:lang w:val="fr-FR"/>
        </w:rPr>
        <w:t>yrie</w:t>
      </w:r>
      <w:r>
        <w:rPr>
          <w:lang w:val="fr-FR"/>
        </w:rPr>
        <w:t>nne</w:t>
      </w:r>
      <w:r w:rsidRPr="00A11400" w:rsidDel="004F0058">
        <w:rPr>
          <w:lang w:val="fr-FR"/>
        </w:rPr>
        <w:t xml:space="preserve"> </w:t>
      </w:r>
      <w:r w:rsidRPr="00A11400">
        <w:rPr>
          <w:lang w:val="fr-FR"/>
        </w:rPr>
        <w:t>dans le but d</w:t>
      </w:r>
      <w:r>
        <w:rPr>
          <w:lang w:val="fr-FR"/>
        </w:rPr>
        <w:t>’</w:t>
      </w:r>
      <w:r w:rsidRPr="00A11400">
        <w:rPr>
          <w:lang w:val="fr-FR"/>
        </w:rPr>
        <w:t>échapper aux autorités syriennes.</w:t>
      </w:r>
    </w:p>
    <w:p w:rsidR="006C375E" w:rsidRPr="00A11400" w:rsidRDefault="006C375E" w:rsidP="006C375E">
      <w:pPr>
        <w:pStyle w:val="SingleTxtG"/>
      </w:pPr>
      <w:r w:rsidRPr="00A11400">
        <w:rPr>
          <w:lang w:val="fr-FR"/>
        </w:rPr>
        <w:t>2.4</w:t>
      </w:r>
      <w:r w:rsidRPr="00A11400">
        <w:rPr>
          <w:lang w:val="fr-FR"/>
        </w:rPr>
        <w:tab/>
        <w:t>Le 14</w:t>
      </w:r>
      <w:r>
        <w:rPr>
          <w:lang w:val="fr-FR"/>
        </w:rPr>
        <w:t> </w:t>
      </w:r>
      <w:r w:rsidRPr="00A11400">
        <w:rPr>
          <w:lang w:val="fr-FR"/>
        </w:rPr>
        <w:t xml:space="preserve">janvier 2015, </w:t>
      </w:r>
      <w:r>
        <w:rPr>
          <w:lang w:val="fr-FR"/>
        </w:rPr>
        <w:t xml:space="preserve">au Danemark, </w:t>
      </w:r>
      <w:r w:rsidRPr="00A11400">
        <w:rPr>
          <w:lang w:val="fr-FR"/>
        </w:rPr>
        <w:t>la Commission de recours des réfugiés a rejeté la demande d</w:t>
      </w:r>
      <w:r>
        <w:rPr>
          <w:lang w:val="fr-FR"/>
        </w:rPr>
        <w:t>’</w:t>
      </w:r>
      <w:r w:rsidRPr="00A11400">
        <w:rPr>
          <w:lang w:val="fr-FR"/>
        </w:rPr>
        <w:t xml:space="preserve">asile de </w:t>
      </w:r>
      <w:r>
        <w:rPr>
          <w:lang w:val="fr-FR"/>
        </w:rPr>
        <w:t>l’auteur en vertu du paragraphe </w:t>
      </w:r>
      <w:r w:rsidRPr="00A11400">
        <w:rPr>
          <w:lang w:val="fr-FR"/>
        </w:rPr>
        <w:t>3 de l</w:t>
      </w:r>
      <w:r>
        <w:rPr>
          <w:lang w:val="fr-FR"/>
        </w:rPr>
        <w:t>’</w:t>
      </w:r>
      <w:r w:rsidRPr="00A11400">
        <w:rPr>
          <w:lang w:val="fr-FR"/>
        </w:rPr>
        <w:t xml:space="preserve">article 7 de la loi sur les étrangers, </w:t>
      </w:r>
      <w:r>
        <w:rPr>
          <w:lang w:val="fr-FR"/>
        </w:rPr>
        <w:t xml:space="preserve">selon laquelle </w:t>
      </w:r>
      <w:r w:rsidRPr="00A11400">
        <w:rPr>
          <w:lang w:val="fr-FR"/>
        </w:rPr>
        <w:t>un permis de séjour peut être refusé si l</w:t>
      </w:r>
      <w:r>
        <w:rPr>
          <w:lang w:val="fr-FR"/>
        </w:rPr>
        <w:t>’</w:t>
      </w:r>
      <w:r w:rsidRPr="00A11400">
        <w:rPr>
          <w:lang w:val="fr-FR"/>
        </w:rPr>
        <w:t>étranger a déjà obtenu une protection dans un autre pays, ou s</w:t>
      </w:r>
      <w:r>
        <w:rPr>
          <w:lang w:val="fr-FR"/>
        </w:rPr>
        <w:t>’</w:t>
      </w:r>
      <w:r w:rsidRPr="00A11400">
        <w:rPr>
          <w:lang w:val="fr-FR"/>
        </w:rPr>
        <w:t>il a déjà des liens étroits avec un autre pays où il devrait pouvoir obtenir une protection. Cett</w:t>
      </w:r>
      <w:r>
        <w:rPr>
          <w:lang w:val="fr-FR"/>
        </w:rPr>
        <w:t>e disposition autorise le G</w:t>
      </w:r>
      <w:r w:rsidRPr="00A11400">
        <w:rPr>
          <w:lang w:val="fr-FR"/>
        </w:rPr>
        <w:t>ouvernement danois à renvoyer des personnes comme l</w:t>
      </w:r>
      <w:r>
        <w:rPr>
          <w:lang w:val="fr-FR"/>
        </w:rPr>
        <w:t>’</w:t>
      </w:r>
      <w:r w:rsidRPr="00A11400">
        <w:rPr>
          <w:lang w:val="fr-FR"/>
        </w:rPr>
        <w:t>auteur en Italie, sans tenir compte de considérations humanitaires. Comme le Service de l</w:t>
      </w:r>
      <w:r>
        <w:rPr>
          <w:lang w:val="fr-FR"/>
        </w:rPr>
        <w:t>’</w:t>
      </w:r>
      <w:r w:rsidRPr="00A11400">
        <w:rPr>
          <w:lang w:val="fr-FR"/>
        </w:rPr>
        <w:t>immigration, la Commission a estimé qu</w:t>
      </w:r>
      <w:r>
        <w:rPr>
          <w:lang w:val="fr-FR"/>
        </w:rPr>
        <w:t>’</w:t>
      </w:r>
      <w:r w:rsidRPr="00A11400">
        <w:rPr>
          <w:lang w:val="fr-FR"/>
        </w:rPr>
        <w:t>en Italie l</w:t>
      </w:r>
      <w:r>
        <w:rPr>
          <w:lang w:val="fr-FR"/>
        </w:rPr>
        <w:t>’</w:t>
      </w:r>
      <w:r w:rsidRPr="00A11400">
        <w:rPr>
          <w:lang w:val="fr-FR"/>
        </w:rPr>
        <w:t>auteur serait protégé contre le refoulement, bénéficierait d</w:t>
      </w:r>
      <w:r>
        <w:rPr>
          <w:lang w:val="fr-FR"/>
        </w:rPr>
        <w:t>’</w:t>
      </w:r>
      <w:r w:rsidRPr="00A11400">
        <w:rPr>
          <w:lang w:val="fr-FR"/>
        </w:rPr>
        <w:t>une protection et aurait accès aux droits sociaux et économiques fondamentaux. Enfin, elle a considéré que les allégations de l</w:t>
      </w:r>
      <w:r>
        <w:rPr>
          <w:lang w:val="fr-FR"/>
        </w:rPr>
        <w:t>’</w:t>
      </w:r>
      <w:r w:rsidRPr="00A11400">
        <w:rPr>
          <w:lang w:val="fr-FR"/>
        </w:rPr>
        <w:t xml:space="preserve">auteur concernant son séjour en </w:t>
      </w:r>
      <w:r>
        <w:rPr>
          <w:lang w:val="fr-FR"/>
        </w:rPr>
        <w:t>République arabe s</w:t>
      </w:r>
      <w:r w:rsidRPr="00A11400">
        <w:rPr>
          <w:lang w:val="fr-FR"/>
        </w:rPr>
        <w:t>yrie</w:t>
      </w:r>
      <w:r>
        <w:rPr>
          <w:lang w:val="fr-FR"/>
        </w:rPr>
        <w:t>nne</w:t>
      </w:r>
      <w:r w:rsidRPr="00A11400" w:rsidDel="004F0058">
        <w:rPr>
          <w:lang w:val="fr-FR"/>
        </w:rPr>
        <w:t xml:space="preserve"> </w:t>
      </w:r>
      <w:r w:rsidRPr="00A11400">
        <w:rPr>
          <w:lang w:val="fr-FR"/>
        </w:rPr>
        <w:t xml:space="preserve">en 2013 </w:t>
      </w:r>
      <w:r>
        <w:rPr>
          <w:lang w:val="fr-FR"/>
        </w:rPr>
        <w:t>et</w:t>
      </w:r>
      <w:r w:rsidRPr="00A11400">
        <w:rPr>
          <w:lang w:val="fr-FR"/>
        </w:rPr>
        <w:t xml:space="preserve"> 2014 étaient non crédibles et forgées de toutes pièces.</w:t>
      </w:r>
    </w:p>
    <w:p w:rsidR="006C375E" w:rsidRPr="00A11400" w:rsidRDefault="006C375E" w:rsidP="006C375E">
      <w:pPr>
        <w:pStyle w:val="SingleTxtG"/>
      </w:pPr>
      <w:r w:rsidRPr="00A11400">
        <w:rPr>
          <w:lang w:val="fr-FR"/>
        </w:rPr>
        <w:t>2.5</w:t>
      </w:r>
      <w:r w:rsidRPr="00A11400">
        <w:rPr>
          <w:lang w:val="fr-FR"/>
        </w:rPr>
        <w:tab/>
        <w:t>L</w:t>
      </w:r>
      <w:r>
        <w:rPr>
          <w:lang w:val="fr-FR"/>
        </w:rPr>
        <w:t>’</w:t>
      </w:r>
      <w:r w:rsidRPr="00A11400">
        <w:rPr>
          <w:lang w:val="fr-FR"/>
        </w:rPr>
        <w:t>auteur affirme avoir épuisé les recours internes étant donné que la Commission de recours des réfugiés a confirmé la décision du Service danois de l</w:t>
      </w:r>
      <w:r>
        <w:rPr>
          <w:lang w:val="fr-FR"/>
        </w:rPr>
        <w:t>’</w:t>
      </w:r>
      <w:r w:rsidRPr="00A11400">
        <w:rPr>
          <w:lang w:val="fr-FR"/>
        </w:rPr>
        <w:t>immigration de rejeter sa demande d</w:t>
      </w:r>
      <w:r>
        <w:rPr>
          <w:lang w:val="fr-FR"/>
        </w:rPr>
        <w:t>’</w:t>
      </w:r>
      <w:r w:rsidRPr="00A11400">
        <w:rPr>
          <w:lang w:val="fr-FR"/>
        </w:rPr>
        <w:t xml:space="preserve">asile au Danemark. </w:t>
      </w:r>
    </w:p>
    <w:p w:rsidR="006C375E" w:rsidRPr="00A11400" w:rsidRDefault="006C375E" w:rsidP="00F43865">
      <w:pPr>
        <w:pStyle w:val="H23G"/>
      </w:pPr>
      <w:r w:rsidRPr="00A11400">
        <w:rPr>
          <w:lang w:val="fr-FR"/>
        </w:rPr>
        <w:tab/>
      </w:r>
      <w:r w:rsidRPr="00A11400">
        <w:rPr>
          <w:lang w:val="fr-FR"/>
        </w:rPr>
        <w:tab/>
        <w:t>Teneur de la plainte</w:t>
      </w:r>
    </w:p>
    <w:p w:rsidR="006C375E" w:rsidRPr="00A11400" w:rsidRDefault="006C375E" w:rsidP="006C375E">
      <w:pPr>
        <w:pStyle w:val="SingleTxtG"/>
      </w:pPr>
      <w:r w:rsidRPr="00A11400">
        <w:rPr>
          <w:lang w:val="fr-FR"/>
        </w:rPr>
        <w:t>3.</w:t>
      </w:r>
      <w:r w:rsidRPr="00A11400">
        <w:rPr>
          <w:lang w:val="fr-FR"/>
        </w:rPr>
        <w:tab/>
        <w:t>L</w:t>
      </w:r>
      <w:r>
        <w:rPr>
          <w:lang w:val="fr-FR"/>
        </w:rPr>
        <w:t>’</w:t>
      </w:r>
      <w:r w:rsidRPr="00A11400">
        <w:rPr>
          <w:lang w:val="fr-FR"/>
        </w:rPr>
        <w:t>auteur soutient que son expulsion vers l</w:t>
      </w:r>
      <w:r>
        <w:rPr>
          <w:lang w:val="fr-FR"/>
        </w:rPr>
        <w:t>’</w:t>
      </w:r>
      <w:r w:rsidRPr="00A11400">
        <w:rPr>
          <w:lang w:val="fr-FR"/>
        </w:rPr>
        <w:t>Italie l</w:t>
      </w:r>
      <w:r>
        <w:rPr>
          <w:lang w:val="fr-FR"/>
        </w:rPr>
        <w:t>’</w:t>
      </w:r>
      <w:r w:rsidRPr="00A11400">
        <w:rPr>
          <w:lang w:val="fr-FR"/>
        </w:rPr>
        <w:t>exposerait au risque d</w:t>
      </w:r>
      <w:r>
        <w:rPr>
          <w:lang w:val="fr-FR"/>
        </w:rPr>
        <w:t>’</w:t>
      </w:r>
      <w:r w:rsidRPr="00A11400">
        <w:rPr>
          <w:lang w:val="fr-FR"/>
        </w:rPr>
        <w:t xml:space="preserve">être soumis à la torture ou à des peines ou traitements cruels, inhumains ou dégradants, étant donné la situation sociale et économique des requérants renvoyés en Italie conformément au Règlement Dublin. Il affirme que cette situation est de nature à constituer une violation de </w:t>
      </w:r>
      <w:r w:rsidRPr="00A11400">
        <w:rPr>
          <w:lang w:val="fr-FR"/>
        </w:rPr>
        <w:lastRenderedPageBreak/>
        <w:t>l</w:t>
      </w:r>
      <w:r>
        <w:rPr>
          <w:lang w:val="fr-FR"/>
        </w:rPr>
        <w:t>’</w:t>
      </w:r>
      <w:r w:rsidRPr="00A11400">
        <w:rPr>
          <w:lang w:val="fr-FR"/>
        </w:rPr>
        <w:t>article 7 du Pacte. Les mauvaises conditions d</w:t>
      </w:r>
      <w:r>
        <w:rPr>
          <w:lang w:val="fr-FR"/>
        </w:rPr>
        <w:t>’</w:t>
      </w:r>
      <w:r w:rsidRPr="00A11400">
        <w:rPr>
          <w:lang w:val="fr-FR"/>
        </w:rPr>
        <w:t>accueil et perspectives d</w:t>
      </w:r>
      <w:r>
        <w:rPr>
          <w:lang w:val="fr-FR"/>
        </w:rPr>
        <w:t>’</w:t>
      </w:r>
      <w:r w:rsidRPr="00A11400">
        <w:rPr>
          <w:lang w:val="fr-FR"/>
        </w:rPr>
        <w:t>intégration en Italie concernent même les personnes dotées du statut de réfugié</w:t>
      </w:r>
      <w:r w:rsidRPr="00C10EEF">
        <w:rPr>
          <w:rStyle w:val="Appelnotedebasdep"/>
        </w:rPr>
        <w:footnoteReference w:id="5"/>
      </w:r>
      <w:r w:rsidRPr="00A11400">
        <w:rPr>
          <w:lang w:val="fr-FR"/>
        </w:rPr>
        <w:t>. Il soutient qu</w:t>
      </w:r>
      <w:r>
        <w:rPr>
          <w:lang w:val="fr-FR"/>
        </w:rPr>
        <w:t>’</w:t>
      </w:r>
      <w:r w:rsidRPr="00A11400">
        <w:rPr>
          <w:lang w:val="fr-FR"/>
        </w:rPr>
        <w:t xml:space="preserve">il a </w:t>
      </w:r>
      <w:r>
        <w:rPr>
          <w:lang w:val="fr-FR"/>
        </w:rPr>
        <w:t>expliqué les</w:t>
      </w:r>
      <w:r w:rsidRPr="00A11400">
        <w:rPr>
          <w:lang w:val="fr-FR"/>
        </w:rPr>
        <w:t xml:space="preserve"> défaillances systémiques du dispositif italien de protection des réfugiés qui touchent les requérants renvoyés en Italie conformément au Règlement Dublin, et que la Commission de recours des réfugiés doit examiner si les autorités italiennes offrent des garanties de protection.</w:t>
      </w:r>
    </w:p>
    <w:p w:rsidR="006C375E" w:rsidRPr="00A11400" w:rsidRDefault="006C375E" w:rsidP="00F43865">
      <w:pPr>
        <w:pStyle w:val="H23G"/>
      </w:pPr>
      <w:r w:rsidRPr="00A11400">
        <w:rPr>
          <w:lang w:val="fr-FR"/>
        </w:rPr>
        <w:tab/>
      </w:r>
      <w:r w:rsidRPr="00A11400">
        <w:rPr>
          <w:lang w:val="fr-FR"/>
        </w:rPr>
        <w:tab/>
        <w:t>Observations de l</w:t>
      </w:r>
      <w:r>
        <w:rPr>
          <w:lang w:val="fr-FR"/>
        </w:rPr>
        <w:t>’</w:t>
      </w:r>
      <w:r w:rsidRPr="00A11400">
        <w:rPr>
          <w:lang w:val="fr-FR"/>
        </w:rPr>
        <w:t>État partie sur la recevabilité et sur le fond</w:t>
      </w:r>
    </w:p>
    <w:p w:rsidR="006C375E" w:rsidRPr="00A11400" w:rsidRDefault="006C375E" w:rsidP="006C375E">
      <w:pPr>
        <w:pStyle w:val="SingleTxtG"/>
      </w:pPr>
      <w:r>
        <w:rPr>
          <w:lang w:val="fr-FR"/>
        </w:rPr>
        <w:t>4.1</w:t>
      </w:r>
      <w:r>
        <w:rPr>
          <w:lang w:val="fr-FR"/>
        </w:rPr>
        <w:tab/>
        <w:t>Le 9 </w:t>
      </w:r>
      <w:r w:rsidRPr="00A11400">
        <w:rPr>
          <w:lang w:val="fr-FR"/>
        </w:rPr>
        <w:t>mai 2016, l</w:t>
      </w:r>
      <w:r>
        <w:rPr>
          <w:lang w:val="fr-FR"/>
        </w:rPr>
        <w:t>’</w:t>
      </w:r>
      <w:r w:rsidRPr="00A11400">
        <w:rPr>
          <w:lang w:val="fr-FR"/>
        </w:rPr>
        <w:t>État partie a soumis ses commentaires sur la recevabilité et le fond de la communication. Il fait valoir que la communication devrait être déclarée irrecevable au motif qu</w:t>
      </w:r>
      <w:r>
        <w:rPr>
          <w:lang w:val="fr-FR"/>
        </w:rPr>
        <w:t>’</w:t>
      </w:r>
      <w:r w:rsidRPr="00A11400">
        <w:rPr>
          <w:lang w:val="fr-FR"/>
        </w:rPr>
        <w:t>elle n</w:t>
      </w:r>
      <w:r>
        <w:rPr>
          <w:lang w:val="fr-FR"/>
        </w:rPr>
        <w:t>’</w:t>
      </w:r>
      <w:r w:rsidRPr="00A11400">
        <w:rPr>
          <w:lang w:val="fr-FR"/>
        </w:rPr>
        <w:t>est pas suffisamment étayée pour établir que l</w:t>
      </w:r>
      <w:r>
        <w:rPr>
          <w:lang w:val="fr-FR"/>
        </w:rPr>
        <w:t>’</w:t>
      </w:r>
      <w:r w:rsidRPr="00A11400">
        <w:rPr>
          <w:lang w:val="fr-FR"/>
        </w:rPr>
        <w:t>auteur risquerait d</w:t>
      </w:r>
      <w:r>
        <w:rPr>
          <w:lang w:val="fr-FR"/>
        </w:rPr>
        <w:t>’</w:t>
      </w:r>
      <w:r w:rsidRPr="00A11400">
        <w:rPr>
          <w:lang w:val="fr-FR"/>
        </w:rPr>
        <w:t>être soumis à la torture ou à d</w:t>
      </w:r>
      <w:r>
        <w:rPr>
          <w:lang w:val="fr-FR"/>
        </w:rPr>
        <w:t>’</w:t>
      </w:r>
      <w:r w:rsidRPr="00A11400">
        <w:rPr>
          <w:lang w:val="fr-FR"/>
        </w:rPr>
        <w:t>autres formes de peines ou traitements cruels, inhumains ou dégradants à son retour en Italie.</w:t>
      </w:r>
    </w:p>
    <w:p w:rsidR="006C375E" w:rsidRPr="00A11400" w:rsidRDefault="006C375E" w:rsidP="006C375E">
      <w:pPr>
        <w:pStyle w:val="SingleTxtG"/>
      </w:pPr>
      <w:r w:rsidRPr="00A11400">
        <w:rPr>
          <w:lang w:val="fr-FR"/>
        </w:rPr>
        <w:t>4.2</w:t>
      </w:r>
      <w:r w:rsidRPr="00A11400">
        <w:rPr>
          <w:lang w:val="fr-FR"/>
        </w:rPr>
        <w:tab/>
        <w:t>L</w:t>
      </w:r>
      <w:r>
        <w:rPr>
          <w:lang w:val="fr-FR"/>
        </w:rPr>
        <w:t>’</w:t>
      </w:r>
      <w:r w:rsidRPr="00A11400">
        <w:rPr>
          <w:lang w:val="fr-FR"/>
        </w:rPr>
        <w:t>État partie décrit la procédure suivie par la Commission des recours des réfugiés</w:t>
      </w:r>
      <w:r w:rsidRPr="00C10EEF">
        <w:rPr>
          <w:rStyle w:val="Appelnotedebasdep"/>
        </w:rPr>
        <w:footnoteReference w:id="6"/>
      </w:r>
      <w:r w:rsidRPr="00A11400">
        <w:rPr>
          <w:lang w:val="fr-FR"/>
        </w:rPr>
        <w:t>.</w:t>
      </w:r>
    </w:p>
    <w:p w:rsidR="006C375E" w:rsidRPr="00A11400" w:rsidRDefault="006C375E" w:rsidP="006C375E">
      <w:pPr>
        <w:pStyle w:val="SingleTxtG"/>
      </w:pPr>
      <w:r w:rsidRPr="00A11400">
        <w:rPr>
          <w:lang w:val="fr-FR"/>
        </w:rPr>
        <w:t>4.3</w:t>
      </w:r>
      <w:r w:rsidRPr="00A11400">
        <w:rPr>
          <w:lang w:val="fr-FR"/>
        </w:rPr>
        <w:tab/>
        <w:t>L</w:t>
      </w:r>
      <w:r>
        <w:rPr>
          <w:lang w:val="fr-FR"/>
        </w:rPr>
        <w:t>’</w:t>
      </w:r>
      <w:r w:rsidRPr="00A11400">
        <w:rPr>
          <w:lang w:val="fr-FR"/>
        </w:rPr>
        <w:t>État partie informe le Comité qu</w:t>
      </w:r>
      <w:r>
        <w:rPr>
          <w:lang w:val="fr-FR"/>
        </w:rPr>
        <w:t>’</w:t>
      </w:r>
      <w:r w:rsidRPr="00A11400">
        <w:rPr>
          <w:lang w:val="fr-FR"/>
        </w:rPr>
        <w:t xml:space="preserve">en application </w:t>
      </w:r>
      <w:r w:rsidRPr="00A55926">
        <w:rPr>
          <w:lang w:val="fr-FR"/>
        </w:rPr>
        <w:t>du paragraphe 3 de l</w:t>
      </w:r>
      <w:r>
        <w:rPr>
          <w:lang w:val="fr-FR"/>
        </w:rPr>
        <w:t>’</w:t>
      </w:r>
      <w:r w:rsidRPr="00A55926">
        <w:rPr>
          <w:lang w:val="fr-FR"/>
        </w:rPr>
        <w:t>article 7</w:t>
      </w:r>
      <w:r w:rsidR="00CF6DFE" w:rsidRPr="00CF6DFE">
        <w:t xml:space="preserve"> </w:t>
      </w:r>
      <w:r w:rsidRPr="00A11400">
        <w:rPr>
          <w:lang w:val="fr-FR"/>
        </w:rPr>
        <w:t>de la loi sur les étrangers, la question à trancher en l</w:t>
      </w:r>
      <w:r>
        <w:rPr>
          <w:lang w:val="fr-FR"/>
        </w:rPr>
        <w:t>’</w:t>
      </w:r>
      <w:r w:rsidRPr="00A11400">
        <w:rPr>
          <w:lang w:val="fr-FR"/>
        </w:rPr>
        <w:t>espèce est celle de savoir si l</w:t>
      </w:r>
      <w:r>
        <w:rPr>
          <w:lang w:val="fr-FR"/>
        </w:rPr>
        <w:t>’</w:t>
      </w:r>
      <w:r w:rsidRPr="00A11400">
        <w:rPr>
          <w:lang w:val="fr-FR"/>
        </w:rPr>
        <w:t>Italie pourrait être considérée comme premier pays d</w:t>
      </w:r>
      <w:r>
        <w:rPr>
          <w:lang w:val="fr-FR"/>
        </w:rPr>
        <w:t>’</w:t>
      </w:r>
      <w:r w:rsidRPr="00A11400">
        <w:rPr>
          <w:lang w:val="fr-FR"/>
        </w:rPr>
        <w:t>asile de l</w:t>
      </w:r>
      <w:r>
        <w:rPr>
          <w:lang w:val="fr-FR"/>
        </w:rPr>
        <w:t>’</w:t>
      </w:r>
      <w:r w:rsidRPr="00A11400">
        <w:rPr>
          <w:lang w:val="fr-FR"/>
        </w:rPr>
        <w:t>auteur. L</w:t>
      </w:r>
      <w:r>
        <w:rPr>
          <w:lang w:val="fr-FR"/>
        </w:rPr>
        <w:t>’</w:t>
      </w:r>
      <w:r w:rsidRPr="00A11400">
        <w:rPr>
          <w:lang w:val="fr-FR"/>
        </w:rPr>
        <w:t>État partie rappelle que, le 28</w:t>
      </w:r>
      <w:r>
        <w:rPr>
          <w:lang w:val="fr-FR"/>
        </w:rPr>
        <w:t> </w:t>
      </w:r>
      <w:r w:rsidRPr="00A11400">
        <w:rPr>
          <w:lang w:val="fr-FR"/>
        </w:rPr>
        <w:t>juillet 2014, les autorités italiennes ont informé les autorités danoises que l</w:t>
      </w:r>
      <w:r>
        <w:rPr>
          <w:lang w:val="fr-FR"/>
        </w:rPr>
        <w:t>’</w:t>
      </w:r>
      <w:r w:rsidRPr="00A11400">
        <w:rPr>
          <w:lang w:val="fr-FR"/>
        </w:rPr>
        <w:t>auteur avait obtenu le statut de réfugié en Italie. Par ailleurs, le 14</w:t>
      </w:r>
      <w:r>
        <w:rPr>
          <w:lang w:val="fr-FR"/>
        </w:rPr>
        <w:t> </w:t>
      </w:r>
      <w:r w:rsidRPr="00A11400">
        <w:rPr>
          <w:lang w:val="fr-FR"/>
        </w:rPr>
        <w:t>janvier 2015, la Commission de recours des réfugiés a rejeté la demande d</w:t>
      </w:r>
      <w:r>
        <w:rPr>
          <w:lang w:val="fr-FR"/>
        </w:rPr>
        <w:t>’</w:t>
      </w:r>
      <w:r w:rsidRPr="00A11400">
        <w:rPr>
          <w:lang w:val="fr-FR"/>
        </w:rPr>
        <w:t>asile de l</w:t>
      </w:r>
      <w:r>
        <w:rPr>
          <w:lang w:val="fr-FR"/>
        </w:rPr>
        <w:t>’</w:t>
      </w:r>
      <w:r w:rsidRPr="00A11400">
        <w:rPr>
          <w:lang w:val="fr-FR"/>
        </w:rPr>
        <w:t>auteur et conclu qu</w:t>
      </w:r>
      <w:r>
        <w:rPr>
          <w:lang w:val="fr-FR"/>
        </w:rPr>
        <w:t>’</w:t>
      </w:r>
      <w:r w:rsidRPr="00A11400">
        <w:rPr>
          <w:lang w:val="fr-FR"/>
        </w:rPr>
        <w:t>en Italie celui</w:t>
      </w:r>
      <w:r w:rsidRPr="00A11400">
        <w:rPr>
          <w:lang w:val="fr-FR"/>
        </w:rPr>
        <w:noBreakHyphen/>
        <w:t>ci serait protégé contre le refoulement, qu</w:t>
      </w:r>
      <w:r>
        <w:rPr>
          <w:lang w:val="fr-FR"/>
        </w:rPr>
        <w:t>’</w:t>
      </w:r>
      <w:r w:rsidRPr="00A11400">
        <w:rPr>
          <w:lang w:val="fr-FR"/>
        </w:rPr>
        <w:t>il lui serait possible d</w:t>
      </w:r>
      <w:r>
        <w:rPr>
          <w:lang w:val="fr-FR"/>
        </w:rPr>
        <w:t>’</w:t>
      </w:r>
      <w:r w:rsidRPr="00A11400">
        <w:rPr>
          <w:lang w:val="fr-FR"/>
        </w:rPr>
        <w:t>y entrer et d</w:t>
      </w:r>
      <w:r>
        <w:rPr>
          <w:lang w:val="fr-FR"/>
        </w:rPr>
        <w:t>’</w:t>
      </w:r>
      <w:r w:rsidRPr="00A11400">
        <w:rPr>
          <w:lang w:val="fr-FR"/>
        </w:rPr>
        <w:t>y séjourner légalement et qu</w:t>
      </w:r>
      <w:r>
        <w:rPr>
          <w:lang w:val="fr-FR"/>
        </w:rPr>
        <w:t>’</w:t>
      </w:r>
      <w:r w:rsidRPr="00A11400">
        <w:rPr>
          <w:lang w:val="fr-FR"/>
        </w:rPr>
        <w:t>il fallait présumer que son inté</w:t>
      </w:r>
      <w:r>
        <w:rPr>
          <w:lang w:val="fr-FR"/>
        </w:rPr>
        <w:t>grité physique et sa sécurité y </w:t>
      </w:r>
      <w:r w:rsidRPr="00A11400">
        <w:rPr>
          <w:lang w:val="fr-FR"/>
        </w:rPr>
        <w:t>seraient garanties dans la mesure nécessaire. Cette décision supposait d</w:t>
      </w:r>
      <w:r>
        <w:rPr>
          <w:lang w:val="fr-FR"/>
        </w:rPr>
        <w:t>’</w:t>
      </w:r>
      <w:r w:rsidRPr="00A11400">
        <w:rPr>
          <w:lang w:val="fr-FR"/>
        </w:rPr>
        <w:t>évaluer si la situation sociale et économique en Italie permett</w:t>
      </w:r>
      <w:r>
        <w:rPr>
          <w:lang w:val="fr-FR"/>
        </w:rPr>
        <w:t>r</w:t>
      </w:r>
      <w:r w:rsidRPr="00A11400">
        <w:rPr>
          <w:lang w:val="fr-FR"/>
        </w:rPr>
        <w:t>ait à l</w:t>
      </w:r>
      <w:r>
        <w:rPr>
          <w:lang w:val="fr-FR"/>
        </w:rPr>
        <w:t>’</w:t>
      </w:r>
      <w:r w:rsidRPr="00A11400">
        <w:rPr>
          <w:lang w:val="fr-FR"/>
        </w:rPr>
        <w:t>auteur de jouir, dans une certaine mesure, de droits fondamentaux, en se référant à la Convention relative au statut des réf</w:t>
      </w:r>
      <w:r>
        <w:rPr>
          <w:lang w:val="fr-FR"/>
        </w:rPr>
        <w:t>ugiés − </w:t>
      </w:r>
      <w:r w:rsidRPr="00A11400">
        <w:rPr>
          <w:lang w:val="fr-FR"/>
        </w:rPr>
        <w:t>chapitres </w:t>
      </w:r>
      <w:r>
        <w:rPr>
          <w:lang w:val="fr-FR"/>
        </w:rPr>
        <w:t>II à V </w:t>
      </w:r>
      <w:r w:rsidR="00CF6DFE">
        <w:rPr>
          <w:lang w:val="fr-FR"/>
        </w:rPr>
        <w:t>−</w:t>
      </w:r>
      <w:r w:rsidRPr="00A11400">
        <w:rPr>
          <w:lang w:val="fr-FR"/>
        </w:rPr>
        <w:t xml:space="preserve"> et à la Conclusion </w:t>
      </w:r>
      <w:r w:rsidRPr="001466C9">
        <w:rPr>
          <w:rFonts w:eastAsia="MS Mincho"/>
          <w:szCs w:val="22"/>
          <w:lang w:val="fr-FR"/>
        </w:rPr>
        <w:t>n</w:t>
      </w:r>
      <w:r w:rsidRPr="001466C9">
        <w:rPr>
          <w:rFonts w:eastAsia="MS Mincho"/>
          <w:szCs w:val="22"/>
          <w:vertAlign w:val="superscript"/>
          <w:lang w:val="fr-FR"/>
        </w:rPr>
        <w:t>o</w:t>
      </w:r>
      <w:r>
        <w:rPr>
          <w:lang w:val="fr-FR"/>
        </w:rPr>
        <w:t> </w:t>
      </w:r>
      <w:r w:rsidRPr="00A11400">
        <w:rPr>
          <w:lang w:val="fr-FR"/>
        </w:rPr>
        <w:t>58 (1989) du Comité exécutif du Haut</w:t>
      </w:r>
      <w:r>
        <w:rPr>
          <w:lang w:val="fr-FR"/>
        </w:rPr>
        <w:noBreakHyphen/>
      </w:r>
      <w:r w:rsidRPr="00A11400">
        <w:rPr>
          <w:lang w:val="fr-FR"/>
        </w:rPr>
        <w:t>Commissariat des Nations</w:t>
      </w:r>
      <w:r w:rsidR="00CF6DFE">
        <w:rPr>
          <w:lang w:val="fr-FR"/>
        </w:rPr>
        <w:t> </w:t>
      </w:r>
      <w:r w:rsidRPr="00A11400">
        <w:rPr>
          <w:lang w:val="fr-FR"/>
        </w:rPr>
        <w:t>Unies pour les réfugiés (HCR). Selon l</w:t>
      </w:r>
      <w:r>
        <w:rPr>
          <w:lang w:val="fr-FR"/>
        </w:rPr>
        <w:t>’</w:t>
      </w:r>
      <w:r w:rsidRPr="00A11400">
        <w:rPr>
          <w:lang w:val="fr-FR"/>
        </w:rPr>
        <w:t xml:space="preserve">État partie, on ne saurait toutefois exiger </w:t>
      </w:r>
      <w:r>
        <w:rPr>
          <w:lang w:val="fr-FR"/>
        </w:rPr>
        <w:t xml:space="preserve">qu’il soit fait en sorte </w:t>
      </w:r>
      <w:r w:rsidRPr="00A11400">
        <w:rPr>
          <w:lang w:val="fr-FR"/>
        </w:rPr>
        <w:t>que le demandeur d</w:t>
      </w:r>
      <w:r>
        <w:rPr>
          <w:lang w:val="fr-FR"/>
        </w:rPr>
        <w:t>’</w:t>
      </w:r>
      <w:r w:rsidRPr="00A11400">
        <w:rPr>
          <w:lang w:val="fr-FR"/>
        </w:rPr>
        <w:t>asile ait exactement le même niveau de vie que les nationaux</w:t>
      </w:r>
      <w:r>
        <w:rPr>
          <w:lang w:val="fr-FR"/>
        </w:rPr>
        <w:t> ; i</w:t>
      </w:r>
      <w:r w:rsidRPr="00A11400">
        <w:rPr>
          <w:lang w:val="fr-FR"/>
        </w:rPr>
        <w:t>l y a plutôt lieu de veiller à ce que son intégrité physique soit protégée. En outre, l</w:t>
      </w:r>
      <w:r>
        <w:rPr>
          <w:lang w:val="fr-FR"/>
        </w:rPr>
        <w:t>’</w:t>
      </w:r>
      <w:r w:rsidRPr="00A11400">
        <w:rPr>
          <w:lang w:val="fr-FR"/>
        </w:rPr>
        <w:t>État partie fait valoir que la Commission de recours des réfugiés a estimé, sur la base des informations générales les plus récentes concernant la situation des réfugiés en Italie, que ce pays pouvait être considéré comme premier pays d</w:t>
      </w:r>
      <w:r>
        <w:rPr>
          <w:lang w:val="fr-FR"/>
        </w:rPr>
        <w:t>’</w:t>
      </w:r>
      <w:r w:rsidRPr="00A11400">
        <w:rPr>
          <w:lang w:val="fr-FR"/>
        </w:rPr>
        <w:t>asile dans un certain nombre de cas. L</w:t>
      </w:r>
      <w:r>
        <w:rPr>
          <w:lang w:val="fr-FR"/>
        </w:rPr>
        <w:t>’</w:t>
      </w:r>
      <w:r w:rsidRPr="00A11400">
        <w:rPr>
          <w:lang w:val="fr-FR"/>
        </w:rPr>
        <w:t>État partie fait également observer que l</w:t>
      </w:r>
      <w:r>
        <w:rPr>
          <w:lang w:val="fr-FR"/>
        </w:rPr>
        <w:t>’</w:t>
      </w:r>
      <w:r w:rsidRPr="00A11400">
        <w:rPr>
          <w:lang w:val="fr-FR"/>
        </w:rPr>
        <w:t>Italie est liée par la Convention européenne des droits de l</w:t>
      </w:r>
      <w:r>
        <w:rPr>
          <w:lang w:val="fr-FR"/>
        </w:rPr>
        <w:t>’</w:t>
      </w:r>
      <w:r w:rsidRPr="00A11400">
        <w:rPr>
          <w:lang w:val="fr-FR"/>
        </w:rPr>
        <w:t>homme et par le Pacte. Enfin, il considère que l</w:t>
      </w:r>
      <w:r>
        <w:rPr>
          <w:lang w:val="fr-FR"/>
        </w:rPr>
        <w:t>’</w:t>
      </w:r>
      <w:r w:rsidRPr="00A11400">
        <w:rPr>
          <w:lang w:val="fr-FR"/>
        </w:rPr>
        <w:t>allégation selon laquelle l</w:t>
      </w:r>
      <w:r>
        <w:rPr>
          <w:lang w:val="fr-FR"/>
        </w:rPr>
        <w:t>’</w:t>
      </w:r>
      <w:r w:rsidRPr="00A11400">
        <w:rPr>
          <w:lang w:val="fr-FR"/>
        </w:rPr>
        <w:t xml:space="preserve">auteur a séjourné en </w:t>
      </w:r>
      <w:r>
        <w:rPr>
          <w:lang w:val="fr-FR"/>
        </w:rPr>
        <w:t>République arabe syrienne</w:t>
      </w:r>
      <w:r w:rsidRPr="00A11400">
        <w:rPr>
          <w:lang w:val="fr-FR"/>
        </w:rPr>
        <w:t xml:space="preserve"> en 2013 et 2014, qui a été jugée non crédible et forgée de toutes pièces, est dénuée de pertinence pour déterminer si l</w:t>
      </w:r>
      <w:r>
        <w:rPr>
          <w:lang w:val="fr-FR"/>
        </w:rPr>
        <w:t>’</w:t>
      </w:r>
      <w:r w:rsidRPr="00A11400">
        <w:rPr>
          <w:lang w:val="fr-FR"/>
        </w:rPr>
        <w:t>Italie peut être considérée comme pays de premier asile.</w:t>
      </w:r>
    </w:p>
    <w:p w:rsidR="006C375E" w:rsidRPr="00A11400" w:rsidRDefault="006C375E" w:rsidP="006C375E">
      <w:pPr>
        <w:pStyle w:val="SingleTxtG"/>
      </w:pPr>
      <w:r w:rsidRPr="00A11400">
        <w:rPr>
          <w:lang w:val="fr-FR"/>
        </w:rPr>
        <w:t>4.4</w:t>
      </w:r>
      <w:r w:rsidRPr="00A11400">
        <w:rPr>
          <w:lang w:val="fr-FR"/>
        </w:rPr>
        <w:tab/>
        <w:t>L</w:t>
      </w:r>
      <w:r>
        <w:rPr>
          <w:lang w:val="fr-FR"/>
        </w:rPr>
        <w:t>’</w:t>
      </w:r>
      <w:r w:rsidRPr="00A11400">
        <w:rPr>
          <w:lang w:val="fr-FR"/>
        </w:rPr>
        <w:t>État partie fait observer que l</w:t>
      </w:r>
      <w:r>
        <w:rPr>
          <w:lang w:val="fr-FR"/>
        </w:rPr>
        <w:t>’</w:t>
      </w:r>
      <w:r w:rsidRPr="00A11400">
        <w:rPr>
          <w:lang w:val="fr-FR"/>
        </w:rPr>
        <w:t>auteur n</w:t>
      </w:r>
      <w:r>
        <w:rPr>
          <w:lang w:val="fr-FR"/>
        </w:rPr>
        <w:t>’</w:t>
      </w:r>
      <w:r w:rsidRPr="00A11400">
        <w:rPr>
          <w:lang w:val="fr-FR"/>
        </w:rPr>
        <w:t>a présenté aucun élément nouveau dans la requête soumise au Comité, et que toutes les informations générales pertinentes ont été communiquées à la Commission de recours des réfugiés et examinées par celle-ci dans le cadre de sa décision du 14 janvier 2015. Après un examen approfondi de ces informations et de la situation personnelle de l</w:t>
      </w:r>
      <w:r>
        <w:rPr>
          <w:lang w:val="fr-FR"/>
        </w:rPr>
        <w:t>’</w:t>
      </w:r>
      <w:r w:rsidRPr="00A11400">
        <w:rPr>
          <w:lang w:val="fr-FR"/>
        </w:rPr>
        <w:t>auteur, la Commission a conclu que celui-ci ne risquait pas de subir un traitement contraire à l</w:t>
      </w:r>
      <w:r>
        <w:rPr>
          <w:lang w:val="fr-FR"/>
        </w:rPr>
        <w:t>’</w:t>
      </w:r>
      <w:r w:rsidRPr="00A11400">
        <w:rPr>
          <w:lang w:val="fr-FR"/>
        </w:rPr>
        <w:t>article 7 du Pacte. En ce qui concerne le renvoi fait par l</w:t>
      </w:r>
      <w:r>
        <w:rPr>
          <w:lang w:val="fr-FR"/>
        </w:rPr>
        <w:t>’</w:t>
      </w:r>
      <w:r w:rsidRPr="00A11400">
        <w:rPr>
          <w:lang w:val="fr-FR"/>
        </w:rPr>
        <w:t xml:space="preserve">auteur au Règlement Dublin et au document du HCR intitulé </w:t>
      </w:r>
      <w:r w:rsidRPr="00A11400">
        <w:rPr>
          <w:i/>
          <w:iCs/>
          <w:lang w:val="fr-FR"/>
        </w:rPr>
        <w:t>UNHCR Recommendations on Important Aspects of Refugee Protection in Italy</w:t>
      </w:r>
      <w:r w:rsidRPr="00A11400">
        <w:rPr>
          <w:lang w:val="fr-FR"/>
        </w:rPr>
        <w:t>, de juillet 2013, l</w:t>
      </w:r>
      <w:r>
        <w:rPr>
          <w:lang w:val="fr-FR"/>
        </w:rPr>
        <w:t>’</w:t>
      </w:r>
      <w:r w:rsidRPr="00A11400">
        <w:rPr>
          <w:lang w:val="fr-FR"/>
        </w:rPr>
        <w:t>État partie fait observer que ces recommandations concernent essentiellement les conditions d</w:t>
      </w:r>
      <w:r>
        <w:rPr>
          <w:lang w:val="fr-FR"/>
        </w:rPr>
        <w:t>’</w:t>
      </w:r>
      <w:r w:rsidRPr="00A11400">
        <w:rPr>
          <w:lang w:val="fr-FR"/>
        </w:rPr>
        <w:t>accueil des demandeurs d</w:t>
      </w:r>
      <w:r>
        <w:rPr>
          <w:lang w:val="fr-FR"/>
        </w:rPr>
        <w:t>’</w:t>
      </w:r>
      <w:r w:rsidRPr="00A11400">
        <w:rPr>
          <w:lang w:val="fr-FR"/>
        </w:rPr>
        <w:t>asile en Italie, et non les étrangers qui ont obtenu le droit de séjour. L</w:t>
      </w:r>
      <w:r>
        <w:rPr>
          <w:lang w:val="fr-FR"/>
        </w:rPr>
        <w:t>’</w:t>
      </w:r>
      <w:r w:rsidRPr="00A11400">
        <w:rPr>
          <w:lang w:val="fr-FR"/>
        </w:rPr>
        <w:t>État partie souligne en outre que l</w:t>
      </w:r>
      <w:r>
        <w:rPr>
          <w:lang w:val="fr-FR"/>
        </w:rPr>
        <w:t>’</w:t>
      </w:r>
      <w:r w:rsidRPr="00A11400">
        <w:rPr>
          <w:lang w:val="fr-FR"/>
        </w:rPr>
        <w:t>auteur renvoie également à la jurisprudence de la Cour de justice de l</w:t>
      </w:r>
      <w:r>
        <w:rPr>
          <w:lang w:val="fr-FR"/>
        </w:rPr>
        <w:t>’</w:t>
      </w:r>
      <w:r w:rsidRPr="00A11400">
        <w:rPr>
          <w:lang w:val="fr-FR"/>
        </w:rPr>
        <w:t>Union européenne, qui est applicable aux demandeurs d</w:t>
      </w:r>
      <w:r>
        <w:rPr>
          <w:lang w:val="fr-FR"/>
        </w:rPr>
        <w:t>’</w:t>
      </w:r>
      <w:r w:rsidRPr="00A11400">
        <w:rPr>
          <w:lang w:val="fr-FR"/>
        </w:rPr>
        <w:t>asile, notamment aux personnes renvoyées en Italie conformément au Règlement Dublin, mais non pas aux personnes qui, comme l</w:t>
      </w:r>
      <w:r>
        <w:rPr>
          <w:lang w:val="fr-FR"/>
        </w:rPr>
        <w:t>’</w:t>
      </w:r>
      <w:r w:rsidRPr="00A11400">
        <w:rPr>
          <w:lang w:val="fr-FR"/>
        </w:rPr>
        <w:t>auteur, ont déjà obtenu le statut de réfugié.</w:t>
      </w:r>
    </w:p>
    <w:p w:rsidR="006C375E" w:rsidRPr="00A11400" w:rsidRDefault="006C375E" w:rsidP="006C375E">
      <w:pPr>
        <w:pStyle w:val="SingleTxtG"/>
      </w:pPr>
      <w:r w:rsidRPr="00A11400">
        <w:rPr>
          <w:lang w:val="fr-FR"/>
        </w:rPr>
        <w:lastRenderedPageBreak/>
        <w:t>4.5</w:t>
      </w:r>
      <w:r w:rsidRPr="00A11400">
        <w:rPr>
          <w:lang w:val="fr-FR"/>
        </w:rPr>
        <w:tab/>
        <w:t>Sur la base de l</w:t>
      </w:r>
      <w:r>
        <w:rPr>
          <w:lang w:val="fr-FR"/>
        </w:rPr>
        <w:t>’</w:t>
      </w:r>
      <w:r w:rsidRPr="00A11400">
        <w:rPr>
          <w:lang w:val="fr-FR"/>
        </w:rPr>
        <w:t>appréciation globale des informations générales disponibles et des renseignements communiqués par l</w:t>
      </w:r>
      <w:r>
        <w:rPr>
          <w:lang w:val="fr-FR"/>
        </w:rPr>
        <w:t>’</w:t>
      </w:r>
      <w:r w:rsidRPr="00A11400">
        <w:rPr>
          <w:lang w:val="fr-FR"/>
        </w:rPr>
        <w:t>auteur, l</w:t>
      </w:r>
      <w:r>
        <w:rPr>
          <w:lang w:val="fr-FR"/>
        </w:rPr>
        <w:t>’</w:t>
      </w:r>
      <w:r w:rsidRPr="00A11400">
        <w:rPr>
          <w:lang w:val="fr-FR"/>
        </w:rPr>
        <w:t>État partie conclut que rien ne laisse penser que l</w:t>
      </w:r>
      <w:r>
        <w:rPr>
          <w:lang w:val="fr-FR"/>
        </w:rPr>
        <w:t>’</w:t>
      </w:r>
      <w:r w:rsidRPr="00A11400">
        <w:rPr>
          <w:lang w:val="fr-FR"/>
        </w:rPr>
        <w:t>auteur encourrait un risque particulier d</w:t>
      </w:r>
      <w:r>
        <w:rPr>
          <w:lang w:val="fr-FR"/>
        </w:rPr>
        <w:t>’</w:t>
      </w:r>
      <w:r w:rsidRPr="00A11400">
        <w:rPr>
          <w:lang w:val="fr-FR"/>
        </w:rPr>
        <w:t>être soumis à un t</w:t>
      </w:r>
      <w:r>
        <w:rPr>
          <w:lang w:val="fr-FR"/>
        </w:rPr>
        <w:t>raitement contraire à l’article </w:t>
      </w:r>
      <w:r w:rsidRPr="00A11400">
        <w:rPr>
          <w:lang w:val="fr-FR"/>
        </w:rPr>
        <w:t>7 du Pacte en raison de la situation sociale et économique générale des demandeurs d</w:t>
      </w:r>
      <w:r>
        <w:rPr>
          <w:lang w:val="fr-FR"/>
        </w:rPr>
        <w:t>’</w:t>
      </w:r>
      <w:r w:rsidRPr="00A11400">
        <w:rPr>
          <w:lang w:val="fr-FR"/>
        </w:rPr>
        <w:t>asile en Italie ou des réfugiés qui y sont renvoyés conformément au Règlement Dublin. En tant que personne dont le statut de réfugié a été reconnu, l</w:t>
      </w:r>
      <w:r>
        <w:rPr>
          <w:lang w:val="fr-FR"/>
        </w:rPr>
        <w:t>’</w:t>
      </w:r>
      <w:r w:rsidRPr="00A11400">
        <w:rPr>
          <w:lang w:val="fr-FR"/>
        </w:rPr>
        <w:t>auteur peut obtenir un permis de séjour renouvelable et a le droit, notamment, de se voir délivrer un document de voyage pour étrangers, de travailler, de prétendre au regroupement familial et de bénéficier des régimes généraux prévus par le droit interne italien en matière d</w:t>
      </w:r>
      <w:r>
        <w:rPr>
          <w:lang w:val="fr-FR"/>
        </w:rPr>
        <w:t>’</w:t>
      </w:r>
      <w:r w:rsidRPr="00A11400">
        <w:rPr>
          <w:lang w:val="fr-FR"/>
        </w:rPr>
        <w:t>aide sociale, de santé, de logement social et d</w:t>
      </w:r>
      <w:r>
        <w:rPr>
          <w:lang w:val="fr-FR"/>
        </w:rPr>
        <w:t>’</w:t>
      </w:r>
      <w:r w:rsidRPr="00A11400">
        <w:rPr>
          <w:lang w:val="fr-FR"/>
        </w:rPr>
        <w:t>éducation. L</w:t>
      </w:r>
      <w:r>
        <w:rPr>
          <w:lang w:val="fr-FR"/>
        </w:rPr>
        <w:t>’</w:t>
      </w:r>
      <w:r w:rsidRPr="00A11400">
        <w:rPr>
          <w:lang w:val="fr-FR"/>
        </w:rPr>
        <w:t>État partie appuie ses allégations en renvoyant à une affaire récente dans laquelle la Cour européenne des droits de l</w:t>
      </w:r>
      <w:r>
        <w:rPr>
          <w:lang w:val="fr-FR"/>
        </w:rPr>
        <w:t>’</w:t>
      </w:r>
      <w:r w:rsidRPr="00A11400">
        <w:rPr>
          <w:lang w:val="fr-FR"/>
        </w:rPr>
        <w:t>homme a considéré qu</w:t>
      </w:r>
      <w:r>
        <w:rPr>
          <w:lang w:val="fr-FR"/>
        </w:rPr>
        <w:t>’</w:t>
      </w:r>
      <w:r w:rsidRPr="00A11400">
        <w:rPr>
          <w:lang w:val="fr-FR"/>
        </w:rPr>
        <w:t>« en</w:t>
      </w:r>
      <w:r w:rsidR="00CF6DFE">
        <w:rPr>
          <w:lang w:val="fr-FR"/>
        </w:rPr>
        <w:t> </w:t>
      </w:r>
      <w:r w:rsidRPr="00A11400">
        <w:rPr>
          <w:lang w:val="fr-FR"/>
        </w:rPr>
        <w:t>l</w:t>
      </w:r>
      <w:r>
        <w:rPr>
          <w:lang w:val="fr-FR"/>
        </w:rPr>
        <w:t>’</w:t>
      </w:r>
      <w:r w:rsidRPr="00A11400">
        <w:rPr>
          <w:lang w:val="fr-FR"/>
        </w:rPr>
        <w:t>absence de considérations humanitaires exceptionnellement impérieuses militant contre l</w:t>
      </w:r>
      <w:r>
        <w:rPr>
          <w:lang w:val="fr-FR"/>
        </w:rPr>
        <w:t>’</w:t>
      </w:r>
      <w:r w:rsidRPr="00A11400">
        <w:rPr>
          <w:lang w:val="fr-FR"/>
        </w:rPr>
        <w:t>expulsion, le fait qu</w:t>
      </w:r>
      <w:r>
        <w:rPr>
          <w:lang w:val="fr-FR"/>
        </w:rPr>
        <w:t>’</w:t>
      </w:r>
      <w:r w:rsidRPr="00A11400">
        <w:rPr>
          <w:lang w:val="fr-FR"/>
        </w:rPr>
        <w:t>en cas d</w:t>
      </w:r>
      <w:r>
        <w:rPr>
          <w:lang w:val="fr-FR"/>
        </w:rPr>
        <w:t>’</w:t>
      </w:r>
      <w:r w:rsidRPr="00A11400">
        <w:rPr>
          <w:lang w:val="fr-FR"/>
        </w:rPr>
        <w:t>expulsion de l</w:t>
      </w:r>
      <w:r>
        <w:rPr>
          <w:lang w:val="fr-FR"/>
        </w:rPr>
        <w:t>’</w:t>
      </w:r>
      <w:r w:rsidRPr="00A11400">
        <w:rPr>
          <w:lang w:val="fr-FR"/>
        </w:rPr>
        <w:t>État contractant le requérant connaîtrait une dégradation importante de ses conditions de vie matérielles et sociales n</w:t>
      </w:r>
      <w:r>
        <w:rPr>
          <w:lang w:val="fr-FR"/>
        </w:rPr>
        <w:t>’</w:t>
      </w:r>
      <w:r w:rsidRPr="00A11400">
        <w:rPr>
          <w:lang w:val="fr-FR"/>
        </w:rPr>
        <w:t xml:space="preserve">est pas en soi suffisant pour </w:t>
      </w:r>
      <w:r>
        <w:rPr>
          <w:lang w:val="fr-FR"/>
        </w:rPr>
        <w:t>emporter violation de l’article </w:t>
      </w:r>
      <w:r w:rsidRPr="00A11400">
        <w:rPr>
          <w:lang w:val="fr-FR"/>
        </w:rPr>
        <w:t xml:space="preserve">3 » ou que « si la situation générale </w:t>
      </w:r>
      <w:r>
        <w:rPr>
          <w:lang w:val="fr-FR"/>
        </w:rPr>
        <w:t xml:space="preserve">[…] </w:t>
      </w:r>
      <w:r w:rsidRPr="00A11400">
        <w:rPr>
          <w:lang w:val="fr-FR"/>
        </w:rPr>
        <w:t>en Italie des demandeurs d</w:t>
      </w:r>
      <w:r>
        <w:rPr>
          <w:lang w:val="fr-FR"/>
        </w:rPr>
        <w:t>’</w:t>
      </w:r>
      <w:r w:rsidRPr="00A11400">
        <w:rPr>
          <w:lang w:val="fr-FR"/>
        </w:rPr>
        <w:t>asile, des réfugiés acceptés et des étrangers ayant obtenu un permis de séjour à des fins de protection internationale ou à des fins humanitaires peuvent révéler quelques défaillances</w:t>
      </w:r>
      <w:r w:rsidRPr="006A7BDC">
        <w:rPr>
          <w:lang w:val="fr-FR"/>
        </w:rPr>
        <w:t xml:space="preserve"> [...]</w:t>
      </w:r>
      <w:r>
        <w:rPr>
          <w:lang w:val="fr-FR"/>
        </w:rPr>
        <w:t>,</w:t>
      </w:r>
      <w:r w:rsidRPr="00A11400">
        <w:rPr>
          <w:lang w:val="fr-FR"/>
        </w:rPr>
        <w:t xml:space="preserve"> il n</w:t>
      </w:r>
      <w:r>
        <w:rPr>
          <w:lang w:val="fr-FR"/>
        </w:rPr>
        <w:t>’</w:t>
      </w:r>
      <w:r w:rsidRPr="00A11400">
        <w:rPr>
          <w:lang w:val="fr-FR"/>
        </w:rPr>
        <w:t>est pas établi qu</w:t>
      </w:r>
      <w:r>
        <w:rPr>
          <w:lang w:val="fr-FR"/>
        </w:rPr>
        <w:t>’</w:t>
      </w:r>
      <w:r w:rsidRPr="00A11400">
        <w:rPr>
          <w:lang w:val="fr-FR"/>
        </w:rPr>
        <w:t>elles font ressortir une incapacité systémique à offrir un soutien et des structures destinées aux demandeurs d</w:t>
      </w:r>
      <w:r>
        <w:rPr>
          <w:lang w:val="fr-FR"/>
        </w:rPr>
        <w:t>’</w:t>
      </w:r>
      <w:r w:rsidRPr="00A11400">
        <w:rPr>
          <w:lang w:val="fr-FR"/>
        </w:rPr>
        <w:t>asile en tant que personnes appartenant à un groupe particulièrement vulnérable »</w:t>
      </w:r>
      <w:r w:rsidRPr="00C10EEF">
        <w:rPr>
          <w:rStyle w:val="Appelnotedebasdep"/>
        </w:rPr>
        <w:footnoteReference w:id="7"/>
      </w:r>
      <w:r w:rsidRPr="00A11400">
        <w:rPr>
          <w:lang w:val="fr-FR"/>
        </w:rPr>
        <w:t>. En outre, l</w:t>
      </w:r>
      <w:r>
        <w:rPr>
          <w:lang w:val="fr-FR"/>
        </w:rPr>
        <w:t>’</w:t>
      </w:r>
      <w:r w:rsidRPr="00A11400">
        <w:rPr>
          <w:lang w:val="fr-FR"/>
        </w:rPr>
        <w:t>État partie informe le Comité qu</w:t>
      </w:r>
      <w:r>
        <w:rPr>
          <w:lang w:val="fr-FR"/>
        </w:rPr>
        <w:t>’</w:t>
      </w:r>
      <w:r w:rsidRPr="00A11400">
        <w:rPr>
          <w:lang w:val="fr-FR"/>
        </w:rPr>
        <w:t>il ressort d</w:t>
      </w:r>
      <w:r>
        <w:rPr>
          <w:lang w:val="fr-FR"/>
        </w:rPr>
        <w:t>’informations émanant d</w:t>
      </w:r>
      <w:r w:rsidRPr="00A11400">
        <w:rPr>
          <w:lang w:val="fr-FR"/>
        </w:rPr>
        <w:t>es autorités italiennes que l</w:t>
      </w:r>
      <w:r>
        <w:rPr>
          <w:lang w:val="fr-FR"/>
        </w:rPr>
        <w:t>’</w:t>
      </w:r>
      <w:r w:rsidRPr="00A11400">
        <w:rPr>
          <w:lang w:val="fr-FR"/>
        </w:rPr>
        <w:t>auteur pourrait entrer en Italie et, éventuellement, demander le renouvellement de son permis de séjour au cas où celui-ci aurait expiré. Selon le rapport sur l</w:t>
      </w:r>
      <w:r>
        <w:rPr>
          <w:lang w:val="fr-FR"/>
        </w:rPr>
        <w:t>’</w:t>
      </w:r>
      <w:r w:rsidRPr="00A11400">
        <w:rPr>
          <w:lang w:val="fr-FR"/>
        </w:rPr>
        <w:t xml:space="preserve">Italie publié en janvier 2015 </w:t>
      </w:r>
      <w:r>
        <w:rPr>
          <w:lang w:val="fr-FR"/>
        </w:rPr>
        <w:t>dans</w:t>
      </w:r>
      <w:r w:rsidRPr="00A11400">
        <w:rPr>
          <w:lang w:val="fr-FR"/>
        </w:rPr>
        <w:t xml:space="preserve"> </w:t>
      </w:r>
      <w:r w:rsidRPr="00A11400">
        <w:rPr>
          <w:i/>
          <w:iCs/>
          <w:lang w:val="fr-FR"/>
        </w:rPr>
        <w:t>Asylum Information Database</w:t>
      </w:r>
      <w:r w:rsidRPr="00A11400">
        <w:rPr>
          <w:lang w:val="fr-FR"/>
        </w:rPr>
        <w:t>, les réfugiés ont le même droit aux soins médicaux que les nationaux. L</w:t>
      </w:r>
      <w:r>
        <w:rPr>
          <w:lang w:val="fr-FR"/>
        </w:rPr>
        <w:t>’</w:t>
      </w:r>
      <w:r w:rsidRPr="00A11400">
        <w:rPr>
          <w:lang w:val="fr-FR"/>
        </w:rPr>
        <w:t>État partie soutient également que les faits sur lesquels portaient une décision rendue par le Comité dans une autre affaire contre le Danemark différaient sensiblement des faits de l</w:t>
      </w:r>
      <w:r>
        <w:rPr>
          <w:lang w:val="fr-FR"/>
        </w:rPr>
        <w:t>’</w:t>
      </w:r>
      <w:r w:rsidRPr="00A11400">
        <w:rPr>
          <w:lang w:val="fr-FR"/>
        </w:rPr>
        <w:t>espèce en ce qu</w:t>
      </w:r>
      <w:r>
        <w:rPr>
          <w:lang w:val="fr-FR"/>
        </w:rPr>
        <w:t>’</w:t>
      </w:r>
      <w:r w:rsidRPr="00A11400">
        <w:rPr>
          <w:lang w:val="fr-FR"/>
        </w:rPr>
        <w:t>il s</w:t>
      </w:r>
      <w:r>
        <w:rPr>
          <w:lang w:val="fr-FR"/>
        </w:rPr>
        <w:t>’</w:t>
      </w:r>
      <w:r w:rsidRPr="00A11400">
        <w:rPr>
          <w:lang w:val="fr-FR"/>
        </w:rPr>
        <w:t>agissait de l</w:t>
      </w:r>
      <w:r>
        <w:rPr>
          <w:lang w:val="fr-FR"/>
        </w:rPr>
        <w:t>’</w:t>
      </w:r>
      <w:r w:rsidRPr="00A11400">
        <w:rPr>
          <w:lang w:val="fr-FR"/>
        </w:rPr>
        <w:t>expulsion vers l</w:t>
      </w:r>
      <w:r>
        <w:rPr>
          <w:lang w:val="fr-FR"/>
        </w:rPr>
        <w:t>’</w:t>
      </w:r>
      <w:r w:rsidRPr="00A11400">
        <w:rPr>
          <w:lang w:val="fr-FR"/>
        </w:rPr>
        <w:t>Italie d</w:t>
      </w:r>
      <w:r>
        <w:rPr>
          <w:lang w:val="fr-FR"/>
        </w:rPr>
        <w:t>’</w:t>
      </w:r>
      <w:r w:rsidRPr="00A11400">
        <w:rPr>
          <w:lang w:val="fr-FR"/>
        </w:rPr>
        <w:t>une mère célibataire et de ses trois enfants mineurs</w:t>
      </w:r>
      <w:r w:rsidRPr="00C10EEF">
        <w:rPr>
          <w:rStyle w:val="Appelnotedebasdep"/>
        </w:rPr>
        <w:footnoteReference w:id="8"/>
      </w:r>
      <w:r w:rsidRPr="00A11400">
        <w:rPr>
          <w:lang w:val="fr-FR"/>
        </w:rPr>
        <w:t>. En l</w:t>
      </w:r>
      <w:r>
        <w:rPr>
          <w:lang w:val="fr-FR"/>
        </w:rPr>
        <w:t>’</w:t>
      </w:r>
      <w:r w:rsidRPr="00A11400">
        <w:rPr>
          <w:lang w:val="fr-FR"/>
        </w:rPr>
        <w:t>espèce, il s</w:t>
      </w:r>
      <w:r>
        <w:rPr>
          <w:lang w:val="fr-FR"/>
        </w:rPr>
        <w:t>’</w:t>
      </w:r>
      <w:r w:rsidRPr="00A11400">
        <w:rPr>
          <w:lang w:val="fr-FR"/>
        </w:rPr>
        <w:t>agit de se prononcer sur l</w:t>
      </w:r>
      <w:r>
        <w:rPr>
          <w:lang w:val="fr-FR"/>
        </w:rPr>
        <w:t>’</w:t>
      </w:r>
      <w:r w:rsidRPr="00A11400">
        <w:rPr>
          <w:lang w:val="fr-FR"/>
        </w:rPr>
        <w:t>expulsion d</w:t>
      </w:r>
      <w:r>
        <w:rPr>
          <w:lang w:val="fr-FR"/>
        </w:rPr>
        <w:t>’</w:t>
      </w:r>
      <w:r w:rsidRPr="00A11400">
        <w:rPr>
          <w:lang w:val="fr-FR"/>
        </w:rPr>
        <w:t>un homme célibataire, jeune et en bonne santé, qui s</w:t>
      </w:r>
      <w:r>
        <w:rPr>
          <w:lang w:val="fr-FR"/>
        </w:rPr>
        <w:t>’</w:t>
      </w:r>
      <w:r w:rsidRPr="00A11400">
        <w:rPr>
          <w:lang w:val="fr-FR"/>
        </w:rPr>
        <w:t>est vu reconnaître le statut de réfugié. Enfin, en ce qui concerne les allégations de l</w:t>
      </w:r>
      <w:r>
        <w:rPr>
          <w:lang w:val="fr-FR"/>
        </w:rPr>
        <w:t>’</w:t>
      </w:r>
      <w:r w:rsidRPr="00A11400">
        <w:rPr>
          <w:lang w:val="fr-FR"/>
        </w:rPr>
        <w:t>auteur selon lesquelles il a été victime de violences de la part de fonctionnaires italiens ou exposé à la violence et à des vols pour avoir été contraint de vivre dans la rue, l</w:t>
      </w:r>
      <w:r>
        <w:rPr>
          <w:lang w:val="fr-FR"/>
        </w:rPr>
        <w:t>’</w:t>
      </w:r>
      <w:r w:rsidRPr="00A11400">
        <w:rPr>
          <w:lang w:val="fr-FR"/>
        </w:rPr>
        <w:t>État partie soutient que l</w:t>
      </w:r>
      <w:r>
        <w:rPr>
          <w:lang w:val="fr-FR"/>
        </w:rPr>
        <w:t>’</w:t>
      </w:r>
      <w:r w:rsidRPr="00A11400">
        <w:rPr>
          <w:lang w:val="fr-FR"/>
        </w:rPr>
        <w:t>auteur peut porter plainte pour tous ces faits devant les autorités italiennes.</w:t>
      </w:r>
    </w:p>
    <w:p w:rsidR="006C375E" w:rsidRPr="00A11400" w:rsidRDefault="006C375E" w:rsidP="006C375E">
      <w:pPr>
        <w:pStyle w:val="SingleTxtG"/>
      </w:pPr>
      <w:r w:rsidRPr="00A11400">
        <w:rPr>
          <w:lang w:val="fr-FR"/>
        </w:rPr>
        <w:t>4.6</w:t>
      </w:r>
      <w:r w:rsidRPr="00A11400">
        <w:rPr>
          <w:lang w:val="fr-FR"/>
        </w:rPr>
        <w:tab/>
        <w:t>L</w:t>
      </w:r>
      <w:r>
        <w:rPr>
          <w:lang w:val="fr-FR"/>
        </w:rPr>
        <w:t>’</w:t>
      </w:r>
      <w:r w:rsidRPr="00A11400">
        <w:rPr>
          <w:lang w:val="fr-FR"/>
        </w:rPr>
        <w:t>État partie fait valoir que la communication de l</w:t>
      </w:r>
      <w:r>
        <w:rPr>
          <w:lang w:val="fr-FR"/>
        </w:rPr>
        <w:t>’</w:t>
      </w:r>
      <w:r w:rsidRPr="00A11400">
        <w:rPr>
          <w:lang w:val="fr-FR"/>
        </w:rPr>
        <w:t>auteur montre simplement qu</w:t>
      </w:r>
      <w:r>
        <w:rPr>
          <w:lang w:val="fr-FR"/>
        </w:rPr>
        <w:t>’</w:t>
      </w:r>
      <w:r w:rsidRPr="00A11400">
        <w:rPr>
          <w:lang w:val="fr-FR"/>
        </w:rPr>
        <w:t>il désapprouve la manière dont la Commission de recours des réfugiés a apprécié sa situation particulière et les informations d</w:t>
      </w:r>
      <w:r>
        <w:rPr>
          <w:lang w:val="fr-FR"/>
        </w:rPr>
        <w:t>’</w:t>
      </w:r>
      <w:r w:rsidRPr="00A11400">
        <w:rPr>
          <w:lang w:val="fr-FR"/>
        </w:rPr>
        <w:t>ordre général. Dans sa communication, l</w:t>
      </w:r>
      <w:r>
        <w:rPr>
          <w:lang w:val="fr-FR"/>
        </w:rPr>
        <w:t>’</w:t>
      </w:r>
      <w:r w:rsidRPr="00A11400">
        <w:rPr>
          <w:lang w:val="fr-FR"/>
        </w:rPr>
        <w:t>auteur n</w:t>
      </w:r>
      <w:r>
        <w:rPr>
          <w:lang w:val="fr-FR"/>
        </w:rPr>
        <w:t>’</w:t>
      </w:r>
      <w:r w:rsidRPr="00A11400">
        <w:rPr>
          <w:lang w:val="fr-FR"/>
        </w:rPr>
        <w:t>a mis en évidence aucune irrégularité dans le processus décisionnel, ni aucun facteur de risque dont la Commission de recours des réfugiés n</w:t>
      </w:r>
      <w:r>
        <w:rPr>
          <w:lang w:val="fr-FR"/>
        </w:rPr>
        <w:t>’</w:t>
      </w:r>
      <w:r w:rsidRPr="00A11400">
        <w:rPr>
          <w:lang w:val="fr-FR"/>
        </w:rPr>
        <w:t>aurait pas dûment tenu compte. L</w:t>
      </w:r>
      <w:r>
        <w:rPr>
          <w:lang w:val="fr-FR"/>
        </w:rPr>
        <w:t>’</w:t>
      </w:r>
      <w:r w:rsidRPr="00A11400">
        <w:rPr>
          <w:lang w:val="fr-FR"/>
        </w:rPr>
        <w:t>État partie soutient également que le Comité doit accorder un poids considérable aux constatations de fait de la Commission de recours des réfugiés, qui est mieux à même d</w:t>
      </w:r>
      <w:r>
        <w:rPr>
          <w:lang w:val="fr-FR"/>
        </w:rPr>
        <w:t>’</w:t>
      </w:r>
      <w:r w:rsidRPr="00A11400">
        <w:rPr>
          <w:lang w:val="fr-FR"/>
        </w:rPr>
        <w:t>apprécier les éléments de fait du dossier. Partant, l</w:t>
      </w:r>
      <w:r>
        <w:rPr>
          <w:lang w:val="fr-FR"/>
        </w:rPr>
        <w:t>’</w:t>
      </w:r>
      <w:r w:rsidRPr="00A11400">
        <w:rPr>
          <w:lang w:val="fr-FR"/>
        </w:rPr>
        <w:t>auteur n</w:t>
      </w:r>
      <w:r>
        <w:rPr>
          <w:lang w:val="fr-FR"/>
        </w:rPr>
        <w:t>’</w:t>
      </w:r>
      <w:r w:rsidRPr="00A11400">
        <w:rPr>
          <w:lang w:val="fr-FR"/>
        </w:rPr>
        <w:t>a pas établi qu</w:t>
      </w:r>
      <w:r>
        <w:rPr>
          <w:lang w:val="fr-FR"/>
        </w:rPr>
        <w:t>’</w:t>
      </w:r>
      <w:r w:rsidRPr="00A11400">
        <w:rPr>
          <w:lang w:val="fr-FR"/>
        </w:rPr>
        <w:t>il y avait des motifs sérieux de croire qu</w:t>
      </w:r>
      <w:r>
        <w:rPr>
          <w:lang w:val="fr-FR"/>
        </w:rPr>
        <w:t>’</w:t>
      </w:r>
      <w:r w:rsidRPr="00A11400">
        <w:rPr>
          <w:lang w:val="fr-FR"/>
        </w:rPr>
        <w:t>il risquerait de subir des peines ou des traitements inhumains ou dégradants s</w:t>
      </w:r>
      <w:r>
        <w:rPr>
          <w:lang w:val="fr-FR"/>
        </w:rPr>
        <w:t>’</w:t>
      </w:r>
      <w:r w:rsidRPr="00A11400">
        <w:rPr>
          <w:lang w:val="fr-FR"/>
        </w:rPr>
        <w:t>il était expulsé vers l</w:t>
      </w:r>
      <w:r>
        <w:rPr>
          <w:lang w:val="fr-FR"/>
        </w:rPr>
        <w:t>’</w:t>
      </w:r>
      <w:r w:rsidRPr="00A11400">
        <w:rPr>
          <w:lang w:val="fr-FR"/>
        </w:rPr>
        <w:t>Italie.</w:t>
      </w:r>
    </w:p>
    <w:p w:rsidR="006C375E" w:rsidRPr="00A11400" w:rsidRDefault="006C375E" w:rsidP="00F43865">
      <w:pPr>
        <w:pStyle w:val="H23G"/>
      </w:pPr>
      <w:r w:rsidRPr="00A11400">
        <w:rPr>
          <w:lang w:val="fr-FR"/>
        </w:rPr>
        <w:tab/>
      </w:r>
      <w:r w:rsidRPr="00A11400">
        <w:rPr>
          <w:lang w:val="fr-FR"/>
        </w:rPr>
        <w:tab/>
        <w:t>Commentaires de l</w:t>
      </w:r>
      <w:r>
        <w:rPr>
          <w:lang w:val="fr-FR"/>
        </w:rPr>
        <w:t>’</w:t>
      </w:r>
      <w:r w:rsidRPr="00A11400">
        <w:rPr>
          <w:lang w:val="fr-FR"/>
        </w:rPr>
        <w:t>auteur sur les observations de l</w:t>
      </w:r>
      <w:r>
        <w:rPr>
          <w:lang w:val="fr-FR"/>
        </w:rPr>
        <w:t>’</w:t>
      </w:r>
      <w:r w:rsidRPr="00A11400">
        <w:rPr>
          <w:lang w:val="fr-FR"/>
        </w:rPr>
        <w:t>État partie</w:t>
      </w:r>
    </w:p>
    <w:p w:rsidR="006C375E" w:rsidRPr="00A11400" w:rsidRDefault="006C375E" w:rsidP="006C375E">
      <w:pPr>
        <w:pStyle w:val="SingleTxtG"/>
      </w:pPr>
      <w:r>
        <w:rPr>
          <w:lang w:val="fr-FR"/>
        </w:rPr>
        <w:t>5.1</w:t>
      </w:r>
      <w:r>
        <w:rPr>
          <w:lang w:val="fr-FR"/>
        </w:rPr>
        <w:tab/>
        <w:t>En date du 30 </w:t>
      </w:r>
      <w:r w:rsidRPr="00A11400">
        <w:rPr>
          <w:lang w:val="fr-FR"/>
        </w:rPr>
        <w:t>août 2016, l</w:t>
      </w:r>
      <w:r>
        <w:rPr>
          <w:lang w:val="fr-FR"/>
        </w:rPr>
        <w:t>’</w:t>
      </w:r>
      <w:r w:rsidRPr="00A11400">
        <w:rPr>
          <w:lang w:val="fr-FR"/>
        </w:rPr>
        <w:t>auteur a soumis ses commentaires sur les observations de l</w:t>
      </w:r>
      <w:r>
        <w:rPr>
          <w:lang w:val="fr-FR"/>
        </w:rPr>
        <w:t>’</w:t>
      </w:r>
      <w:r w:rsidRPr="00A11400">
        <w:rPr>
          <w:lang w:val="fr-FR"/>
        </w:rPr>
        <w:t>État partie. Il reprend ses arguments précédents et insiste sur le fait que l</w:t>
      </w:r>
      <w:r>
        <w:rPr>
          <w:lang w:val="fr-FR"/>
        </w:rPr>
        <w:t>’</w:t>
      </w:r>
      <w:r w:rsidRPr="00A11400">
        <w:rPr>
          <w:lang w:val="fr-FR"/>
        </w:rPr>
        <w:t>Italie n</w:t>
      </w:r>
      <w:r>
        <w:rPr>
          <w:lang w:val="fr-FR"/>
        </w:rPr>
        <w:t>’</w:t>
      </w:r>
      <w:r w:rsidRPr="00A11400">
        <w:rPr>
          <w:lang w:val="fr-FR"/>
        </w:rPr>
        <w:t>a pas la capacité d</w:t>
      </w:r>
      <w:r>
        <w:rPr>
          <w:lang w:val="fr-FR"/>
        </w:rPr>
        <w:t>’</w:t>
      </w:r>
      <w:r w:rsidRPr="00A11400">
        <w:rPr>
          <w:lang w:val="fr-FR"/>
        </w:rPr>
        <w:t>accueillir l</w:t>
      </w:r>
      <w:r>
        <w:rPr>
          <w:lang w:val="fr-FR"/>
        </w:rPr>
        <w:t>’</w:t>
      </w:r>
      <w:r w:rsidRPr="00A11400">
        <w:rPr>
          <w:lang w:val="fr-FR"/>
        </w:rPr>
        <w:t>ensemble des réfugiés actuellement présents sur son territoire étant donné le nombre croissant de réfugiés syriens arrivant dans le pays.</w:t>
      </w:r>
    </w:p>
    <w:p w:rsidR="006C375E" w:rsidRPr="00A11400" w:rsidRDefault="006C375E" w:rsidP="006C375E">
      <w:pPr>
        <w:pStyle w:val="SingleTxtG"/>
      </w:pPr>
      <w:r w:rsidRPr="00A11400">
        <w:rPr>
          <w:lang w:val="fr-FR"/>
        </w:rPr>
        <w:t>5.2</w:t>
      </w:r>
      <w:r w:rsidRPr="00A11400">
        <w:rPr>
          <w:lang w:val="fr-FR"/>
        </w:rPr>
        <w:tab/>
        <w:t>L</w:t>
      </w:r>
      <w:r>
        <w:rPr>
          <w:lang w:val="fr-FR"/>
        </w:rPr>
        <w:t>’</w:t>
      </w:r>
      <w:r w:rsidRPr="00A11400">
        <w:rPr>
          <w:lang w:val="fr-FR"/>
        </w:rPr>
        <w:t>auteur informe le Comité que son frère vit actuellement au Danemark, où celui-ci a demandé l</w:t>
      </w:r>
      <w:r>
        <w:rPr>
          <w:lang w:val="fr-FR"/>
        </w:rPr>
        <w:t>’</w:t>
      </w:r>
      <w:r w:rsidRPr="00A11400">
        <w:rPr>
          <w:lang w:val="fr-FR"/>
        </w:rPr>
        <w:t>asile. Par conséquent, l</w:t>
      </w:r>
      <w:r>
        <w:rPr>
          <w:lang w:val="fr-FR"/>
        </w:rPr>
        <w:t>’</w:t>
      </w:r>
      <w:r w:rsidRPr="00A11400">
        <w:rPr>
          <w:lang w:val="fr-FR"/>
        </w:rPr>
        <w:t>expulsion de l</w:t>
      </w:r>
      <w:r>
        <w:rPr>
          <w:lang w:val="fr-FR"/>
        </w:rPr>
        <w:t>’</w:t>
      </w:r>
      <w:r w:rsidRPr="00A11400">
        <w:rPr>
          <w:lang w:val="fr-FR"/>
        </w:rPr>
        <w:t>auteur vers l</w:t>
      </w:r>
      <w:r>
        <w:rPr>
          <w:lang w:val="fr-FR"/>
        </w:rPr>
        <w:t>’</w:t>
      </w:r>
      <w:r w:rsidRPr="00A11400">
        <w:rPr>
          <w:lang w:val="fr-FR"/>
        </w:rPr>
        <w:t xml:space="preserve">Italie </w:t>
      </w:r>
      <w:r>
        <w:rPr>
          <w:lang w:val="fr-FR"/>
        </w:rPr>
        <w:t xml:space="preserve">par l’État partie </w:t>
      </w:r>
      <w:r w:rsidRPr="00A11400">
        <w:rPr>
          <w:lang w:val="fr-FR"/>
        </w:rPr>
        <w:t>entraînerait également une violation de l</w:t>
      </w:r>
      <w:r>
        <w:rPr>
          <w:lang w:val="fr-FR"/>
        </w:rPr>
        <w:t>’</w:t>
      </w:r>
      <w:r w:rsidRPr="00A11400">
        <w:rPr>
          <w:lang w:val="fr-FR"/>
        </w:rPr>
        <w:t>article 8 de la Convention européenne des droits de l</w:t>
      </w:r>
      <w:r>
        <w:rPr>
          <w:lang w:val="fr-FR"/>
        </w:rPr>
        <w:t>’</w:t>
      </w:r>
      <w:r w:rsidRPr="00A11400">
        <w:rPr>
          <w:lang w:val="fr-FR"/>
        </w:rPr>
        <w:t>homme relatif au droit au respect de la vie familiale. L</w:t>
      </w:r>
      <w:r>
        <w:rPr>
          <w:lang w:val="fr-FR"/>
        </w:rPr>
        <w:t>’</w:t>
      </w:r>
      <w:r w:rsidRPr="00A11400">
        <w:rPr>
          <w:lang w:val="fr-FR"/>
        </w:rPr>
        <w:t xml:space="preserve">auteur affirme avoir le droit de </w:t>
      </w:r>
      <w:r w:rsidRPr="00A11400">
        <w:rPr>
          <w:lang w:val="fr-FR"/>
        </w:rPr>
        <w:lastRenderedPageBreak/>
        <w:t>faire examiner sa demande d</w:t>
      </w:r>
      <w:r>
        <w:rPr>
          <w:lang w:val="fr-FR"/>
        </w:rPr>
        <w:t>’</w:t>
      </w:r>
      <w:r w:rsidRPr="00A11400">
        <w:rPr>
          <w:lang w:val="fr-FR"/>
        </w:rPr>
        <w:t>asile au Danemark, où un membre de sa famille est en situation régulière.</w:t>
      </w:r>
    </w:p>
    <w:p w:rsidR="006C375E" w:rsidRPr="00A11400" w:rsidRDefault="006C375E" w:rsidP="00F43865">
      <w:pPr>
        <w:pStyle w:val="H23G"/>
      </w:pPr>
      <w:r w:rsidRPr="00A11400">
        <w:rPr>
          <w:lang w:val="fr-FR"/>
        </w:rPr>
        <w:tab/>
      </w:r>
      <w:r w:rsidRPr="00A11400">
        <w:rPr>
          <w:lang w:val="fr-FR"/>
        </w:rPr>
        <w:tab/>
        <w:t>Réponses complémentaires des parties</w:t>
      </w:r>
    </w:p>
    <w:p w:rsidR="006C375E" w:rsidRPr="00A11400" w:rsidRDefault="006C375E" w:rsidP="006C375E">
      <w:pPr>
        <w:pStyle w:val="SingleTxtG"/>
      </w:pPr>
      <w:r w:rsidRPr="00A11400">
        <w:rPr>
          <w:lang w:val="fr-FR"/>
        </w:rPr>
        <w:t>6.1</w:t>
      </w:r>
      <w:r w:rsidRPr="00A11400">
        <w:rPr>
          <w:lang w:val="fr-FR"/>
        </w:rPr>
        <w:tab/>
        <w:t>Le 21</w:t>
      </w:r>
      <w:r>
        <w:rPr>
          <w:lang w:val="fr-FR"/>
        </w:rPr>
        <w:t> </w:t>
      </w:r>
      <w:r w:rsidRPr="00A11400">
        <w:rPr>
          <w:lang w:val="fr-FR"/>
        </w:rPr>
        <w:t>décembre 2016, l</w:t>
      </w:r>
      <w:r>
        <w:rPr>
          <w:lang w:val="fr-FR"/>
        </w:rPr>
        <w:t>’</w:t>
      </w:r>
      <w:r w:rsidRPr="00A11400">
        <w:rPr>
          <w:lang w:val="fr-FR"/>
        </w:rPr>
        <w:t>État partie a fait valoir que les observations complément</w:t>
      </w:r>
      <w:r>
        <w:rPr>
          <w:lang w:val="fr-FR"/>
        </w:rPr>
        <w:t>aires de l’auteur en date du 30 </w:t>
      </w:r>
      <w:r w:rsidRPr="00A11400">
        <w:rPr>
          <w:lang w:val="fr-FR"/>
        </w:rPr>
        <w:t>août 2016 ne semblaient contenir aucune information essentielle, nouvelle ou particulière, sur sa situation personnelle.</w:t>
      </w:r>
    </w:p>
    <w:p w:rsidR="006C375E" w:rsidRPr="00A11400" w:rsidRDefault="006C375E" w:rsidP="006C375E">
      <w:pPr>
        <w:pStyle w:val="SingleTxtG"/>
      </w:pPr>
      <w:r w:rsidRPr="00A11400">
        <w:rPr>
          <w:lang w:val="fr-FR"/>
        </w:rPr>
        <w:t>6.2</w:t>
      </w:r>
      <w:r w:rsidRPr="00A11400">
        <w:rPr>
          <w:lang w:val="fr-FR"/>
        </w:rPr>
        <w:tab/>
        <w:t>En ce qui concerne l</w:t>
      </w:r>
      <w:r>
        <w:rPr>
          <w:lang w:val="fr-FR"/>
        </w:rPr>
        <w:t>’</w:t>
      </w:r>
      <w:r w:rsidRPr="00A11400">
        <w:rPr>
          <w:lang w:val="fr-FR"/>
        </w:rPr>
        <w:t>argument selon lequel l</w:t>
      </w:r>
      <w:r>
        <w:rPr>
          <w:lang w:val="fr-FR"/>
        </w:rPr>
        <w:t>’</w:t>
      </w:r>
      <w:r w:rsidRPr="00A11400">
        <w:rPr>
          <w:lang w:val="fr-FR"/>
        </w:rPr>
        <w:t>auteur a droit au respect de sa vie familiale au motif que son frère vit actuellement au Danemark, l</w:t>
      </w:r>
      <w:r>
        <w:rPr>
          <w:lang w:val="fr-FR"/>
        </w:rPr>
        <w:t>’</w:t>
      </w:r>
      <w:r w:rsidRPr="00A11400">
        <w:rPr>
          <w:lang w:val="fr-FR"/>
        </w:rPr>
        <w:t xml:space="preserve">État partie </w:t>
      </w:r>
      <w:r>
        <w:rPr>
          <w:lang w:val="fr-FR"/>
        </w:rPr>
        <w:t>informe le Comité</w:t>
      </w:r>
      <w:r w:rsidRPr="00A11400">
        <w:rPr>
          <w:lang w:val="fr-FR"/>
        </w:rPr>
        <w:t xml:space="preserve"> que le frère de l</w:t>
      </w:r>
      <w:r>
        <w:rPr>
          <w:lang w:val="fr-FR"/>
        </w:rPr>
        <w:t>’</w:t>
      </w:r>
      <w:r w:rsidRPr="00A11400">
        <w:rPr>
          <w:lang w:val="fr-FR"/>
        </w:rPr>
        <w:t>auteur a effectivement obtenu un permis de séjour</w:t>
      </w:r>
      <w:r>
        <w:rPr>
          <w:lang w:val="fr-FR"/>
        </w:rPr>
        <w:t xml:space="preserve"> au Danemark le 7 </w:t>
      </w:r>
      <w:r w:rsidRPr="00A11400">
        <w:rPr>
          <w:lang w:val="fr-FR"/>
        </w:rPr>
        <w:t xml:space="preserve">avril 2015 en vertu du </w:t>
      </w:r>
      <w:r w:rsidRPr="00112A74">
        <w:rPr>
          <w:lang w:val="fr-FR"/>
        </w:rPr>
        <w:t>paragraphe 1) de l</w:t>
      </w:r>
      <w:r>
        <w:rPr>
          <w:lang w:val="fr-FR"/>
        </w:rPr>
        <w:t>’</w:t>
      </w:r>
      <w:r w:rsidRPr="00112A74">
        <w:rPr>
          <w:lang w:val="fr-FR"/>
        </w:rPr>
        <w:t>article </w:t>
      </w:r>
      <w:r w:rsidR="00CF6DFE">
        <w:rPr>
          <w:lang w:val="fr-FR"/>
        </w:rPr>
        <w:t xml:space="preserve">7 de </w:t>
      </w:r>
      <w:r w:rsidRPr="00A11400">
        <w:rPr>
          <w:lang w:val="fr-FR"/>
        </w:rPr>
        <w:t>la loi sur les étrangers. Il soutient que cette circonstance ne saurait en soi avoir pour effet de modifier l</w:t>
      </w:r>
      <w:r>
        <w:rPr>
          <w:lang w:val="fr-FR"/>
        </w:rPr>
        <w:t>’</w:t>
      </w:r>
      <w:r w:rsidRPr="00A11400">
        <w:rPr>
          <w:lang w:val="fr-FR"/>
        </w:rPr>
        <w:t>appréciation de la situation dans laquelle se trouve l</w:t>
      </w:r>
      <w:r>
        <w:rPr>
          <w:lang w:val="fr-FR"/>
        </w:rPr>
        <w:t>’</w:t>
      </w:r>
      <w:r w:rsidRPr="00A11400">
        <w:rPr>
          <w:lang w:val="fr-FR"/>
        </w:rPr>
        <w:t>auteur, notamment le constat selon lequel l</w:t>
      </w:r>
      <w:r>
        <w:rPr>
          <w:lang w:val="fr-FR"/>
        </w:rPr>
        <w:t>’</w:t>
      </w:r>
      <w:r w:rsidRPr="00A11400">
        <w:rPr>
          <w:lang w:val="fr-FR"/>
        </w:rPr>
        <w:t>Italie, où l</w:t>
      </w:r>
      <w:r>
        <w:rPr>
          <w:lang w:val="fr-FR"/>
        </w:rPr>
        <w:t>’</w:t>
      </w:r>
      <w:r w:rsidRPr="00A11400">
        <w:rPr>
          <w:lang w:val="fr-FR"/>
        </w:rPr>
        <w:t>auteur a déjà obtenu le statut de réfugié, peut être considérée comme premier pays d</w:t>
      </w:r>
      <w:r>
        <w:rPr>
          <w:lang w:val="fr-FR"/>
        </w:rPr>
        <w:t>’</w:t>
      </w:r>
      <w:r w:rsidRPr="00A11400">
        <w:rPr>
          <w:lang w:val="fr-FR"/>
        </w:rPr>
        <w:t>asile.</w:t>
      </w:r>
    </w:p>
    <w:p w:rsidR="006C375E" w:rsidRPr="00A11400" w:rsidRDefault="006C375E" w:rsidP="006C375E">
      <w:pPr>
        <w:pStyle w:val="SingleTxtG"/>
      </w:pPr>
      <w:r w:rsidRPr="00A11400">
        <w:rPr>
          <w:lang w:val="fr-FR"/>
        </w:rPr>
        <w:t>6.3</w:t>
      </w:r>
      <w:r w:rsidRPr="00A11400">
        <w:rPr>
          <w:lang w:val="fr-FR"/>
        </w:rPr>
        <w:tab/>
        <w:t>L</w:t>
      </w:r>
      <w:r>
        <w:rPr>
          <w:lang w:val="fr-FR"/>
        </w:rPr>
        <w:t>’</w:t>
      </w:r>
      <w:r w:rsidRPr="00A11400">
        <w:rPr>
          <w:lang w:val="fr-FR"/>
        </w:rPr>
        <w:t xml:space="preserve">État partie fait </w:t>
      </w:r>
      <w:r>
        <w:rPr>
          <w:lang w:val="fr-FR"/>
        </w:rPr>
        <w:t>également</w:t>
      </w:r>
      <w:r w:rsidRPr="00A11400">
        <w:rPr>
          <w:lang w:val="fr-FR"/>
        </w:rPr>
        <w:t xml:space="preserve"> observer que le Règlement </w:t>
      </w:r>
      <w:r>
        <w:rPr>
          <w:lang w:val="fr-FR"/>
        </w:rPr>
        <w:t xml:space="preserve">de </w:t>
      </w:r>
      <w:r w:rsidRPr="00A11400">
        <w:rPr>
          <w:lang w:val="fr-FR"/>
        </w:rPr>
        <w:t>Dublin</w:t>
      </w:r>
      <w:r w:rsidR="00F43865">
        <w:rPr>
          <w:lang w:val="fr-FR"/>
        </w:rPr>
        <w:t> </w:t>
      </w:r>
      <w:r>
        <w:rPr>
          <w:lang w:val="fr-FR"/>
        </w:rPr>
        <w:t xml:space="preserve">III </w:t>
      </w:r>
      <w:r w:rsidRPr="00A11400">
        <w:rPr>
          <w:lang w:val="fr-FR"/>
        </w:rPr>
        <w:t>régit le transfert des demandeurs d</w:t>
      </w:r>
      <w:r>
        <w:rPr>
          <w:lang w:val="fr-FR"/>
        </w:rPr>
        <w:t>’</w:t>
      </w:r>
      <w:r w:rsidRPr="00A11400">
        <w:rPr>
          <w:lang w:val="fr-FR"/>
        </w:rPr>
        <w:t>asile d</w:t>
      </w:r>
      <w:r>
        <w:rPr>
          <w:lang w:val="fr-FR"/>
        </w:rPr>
        <w:t>’</w:t>
      </w:r>
      <w:r w:rsidRPr="00A11400">
        <w:rPr>
          <w:lang w:val="fr-FR"/>
        </w:rPr>
        <w:t>un État membre à l</w:t>
      </w:r>
      <w:r>
        <w:rPr>
          <w:lang w:val="fr-FR"/>
        </w:rPr>
        <w:t>’</w:t>
      </w:r>
      <w:r w:rsidRPr="00A11400">
        <w:rPr>
          <w:lang w:val="fr-FR"/>
        </w:rPr>
        <w:t>autre</w:t>
      </w:r>
      <w:r>
        <w:rPr>
          <w:lang w:val="fr-FR"/>
        </w:rPr>
        <w:t xml:space="preserve"> et qu’</w:t>
      </w:r>
      <w:r w:rsidRPr="00A11400">
        <w:rPr>
          <w:lang w:val="fr-FR"/>
        </w:rPr>
        <w:t>il n</w:t>
      </w:r>
      <w:r>
        <w:rPr>
          <w:lang w:val="fr-FR"/>
        </w:rPr>
        <w:t>’</w:t>
      </w:r>
      <w:r w:rsidRPr="00A11400">
        <w:rPr>
          <w:lang w:val="fr-FR"/>
        </w:rPr>
        <w:t>est pas applicable à l</w:t>
      </w:r>
      <w:r>
        <w:rPr>
          <w:lang w:val="fr-FR"/>
        </w:rPr>
        <w:t>’</w:t>
      </w:r>
      <w:r w:rsidRPr="00A11400">
        <w:rPr>
          <w:lang w:val="fr-FR"/>
        </w:rPr>
        <w:t>auteur</w:t>
      </w:r>
      <w:r>
        <w:rPr>
          <w:lang w:val="fr-FR"/>
        </w:rPr>
        <w:t xml:space="preserve"> puisqu’il a</w:t>
      </w:r>
      <w:r w:rsidRPr="00A11400">
        <w:rPr>
          <w:lang w:val="fr-FR"/>
        </w:rPr>
        <w:t xml:space="preserve"> obtenu le statut de réfugié en Italie. L</w:t>
      </w:r>
      <w:r>
        <w:rPr>
          <w:lang w:val="fr-FR"/>
        </w:rPr>
        <w:t>’</w:t>
      </w:r>
      <w:r w:rsidRPr="00A11400">
        <w:rPr>
          <w:lang w:val="fr-FR"/>
        </w:rPr>
        <w:t>État partie soutient en outre que la question du regroupement familial n</w:t>
      </w:r>
      <w:r>
        <w:rPr>
          <w:lang w:val="fr-FR"/>
        </w:rPr>
        <w:t>’</w:t>
      </w:r>
      <w:r w:rsidRPr="00A11400">
        <w:rPr>
          <w:lang w:val="fr-FR"/>
        </w:rPr>
        <w:t>a aucun rapport avec la demande d</w:t>
      </w:r>
      <w:r>
        <w:rPr>
          <w:lang w:val="fr-FR"/>
        </w:rPr>
        <w:t>’</w:t>
      </w:r>
      <w:r w:rsidRPr="00A11400">
        <w:rPr>
          <w:lang w:val="fr-FR"/>
        </w:rPr>
        <w:t>asile présentée par l</w:t>
      </w:r>
      <w:r>
        <w:rPr>
          <w:lang w:val="fr-FR"/>
        </w:rPr>
        <w:t>’</w:t>
      </w:r>
      <w:r w:rsidRPr="00A11400">
        <w:rPr>
          <w:lang w:val="fr-FR"/>
        </w:rPr>
        <w:t>auteur.</w:t>
      </w:r>
    </w:p>
    <w:p w:rsidR="006C375E" w:rsidRPr="00A11400" w:rsidRDefault="006C375E" w:rsidP="006C375E">
      <w:pPr>
        <w:pStyle w:val="SingleTxtG"/>
      </w:pPr>
      <w:r>
        <w:rPr>
          <w:lang w:val="fr-FR"/>
        </w:rPr>
        <w:t>7.</w:t>
      </w:r>
      <w:r>
        <w:rPr>
          <w:lang w:val="fr-FR"/>
        </w:rPr>
        <w:tab/>
        <w:t>Le 9 </w:t>
      </w:r>
      <w:r w:rsidRPr="00A11400">
        <w:rPr>
          <w:lang w:val="fr-FR"/>
        </w:rPr>
        <w:t>août 2017, l</w:t>
      </w:r>
      <w:r>
        <w:rPr>
          <w:lang w:val="fr-FR"/>
        </w:rPr>
        <w:t>’</w:t>
      </w:r>
      <w:r w:rsidRPr="00A11400">
        <w:rPr>
          <w:lang w:val="fr-FR"/>
        </w:rPr>
        <w:t>auteur a réitéré sa demande de non-refoulement, ainsi que celle fondée sur son droit à la vie de famille.</w:t>
      </w:r>
    </w:p>
    <w:p w:rsidR="006C375E" w:rsidRPr="00A11400" w:rsidRDefault="006C375E" w:rsidP="00F43865">
      <w:pPr>
        <w:pStyle w:val="H23G"/>
      </w:pPr>
      <w:r>
        <w:rPr>
          <w:lang w:val="fr-FR"/>
        </w:rPr>
        <w:tab/>
      </w:r>
      <w:r>
        <w:rPr>
          <w:lang w:val="fr-FR"/>
        </w:rPr>
        <w:tab/>
      </w:r>
      <w:r w:rsidRPr="00A11400">
        <w:rPr>
          <w:lang w:val="fr-FR"/>
        </w:rPr>
        <w:t>Délibérations du Comité</w:t>
      </w:r>
    </w:p>
    <w:p w:rsidR="006C375E" w:rsidRPr="00A11400" w:rsidRDefault="006C375E" w:rsidP="00F43865">
      <w:pPr>
        <w:pStyle w:val="H4G"/>
      </w:pPr>
      <w:r w:rsidRPr="00A11400">
        <w:rPr>
          <w:lang w:val="fr-FR"/>
        </w:rPr>
        <w:tab/>
      </w:r>
      <w:r w:rsidRPr="00A11400">
        <w:rPr>
          <w:lang w:val="fr-FR"/>
        </w:rPr>
        <w:tab/>
        <w:t>Examen de la recevabilité</w:t>
      </w:r>
    </w:p>
    <w:p w:rsidR="006C375E" w:rsidRPr="00A11400" w:rsidRDefault="006C375E" w:rsidP="006C375E">
      <w:pPr>
        <w:pStyle w:val="SingleTxtG"/>
      </w:pPr>
      <w:r w:rsidRPr="00A11400">
        <w:rPr>
          <w:lang w:val="fr-FR"/>
        </w:rPr>
        <w:t>8.1</w:t>
      </w:r>
      <w:r w:rsidRPr="00A11400">
        <w:rPr>
          <w:lang w:val="fr-FR"/>
        </w:rPr>
        <w:tab/>
        <w:t>Avant d</w:t>
      </w:r>
      <w:r>
        <w:rPr>
          <w:lang w:val="fr-FR"/>
        </w:rPr>
        <w:t>’</w:t>
      </w:r>
      <w:r w:rsidRPr="00A11400">
        <w:rPr>
          <w:lang w:val="fr-FR"/>
        </w:rPr>
        <w:t>examiner tout grief formulé dans une communication, le Comité des droits de l</w:t>
      </w:r>
      <w:r>
        <w:rPr>
          <w:lang w:val="fr-FR"/>
        </w:rPr>
        <w:t>’</w:t>
      </w:r>
      <w:r w:rsidRPr="00A11400">
        <w:rPr>
          <w:lang w:val="fr-FR"/>
        </w:rPr>
        <w:t>homme doit, conformément à</w:t>
      </w:r>
      <w:r>
        <w:rPr>
          <w:lang w:val="fr-FR"/>
        </w:rPr>
        <w:t xml:space="preserve"> l’article </w:t>
      </w:r>
      <w:r w:rsidRPr="00A11400">
        <w:rPr>
          <w:lang w:val="fr-FR"/>
        </w:rPr>
        <w:t>93 de son règlement intérieur, déterminer si la communication est recevable au regard du Protocole facultatif se rapportant au Pacte.</w:t>
      </w:r>
    </w:p>
    <w:p w:rsidR="006C375E" w:rsidRPr="00A11400" w:rsidRDefault="006C375E" w:rsidP="006C375E">
      <w:pPr>
        <w:pStyle w:val="SingleTxtG"/>
      </w:pPr>
      <w:r w:rsidRPr="00A11400">
        <w:rPr>
          <w:lang w:val="fr-FR"/>
        </w:rPr>
        <w:t>8.2</w:t>
      </w:r>
      <w:r w:rsidRPr="00A11400">
        <w:rPr>
          <w:lang w:val="fr-FR"/>
        </w:rPr>
        <w:tab/>
        <w:t>Le Comité s</w:t>
      </w:r>
      <w:r>
        <w:rPr>
          <w:lang w:val="fr-FR"/>
        </w:rPr>
        <w:t>’</w:t>
      </w:r>
      <w:r w:rsidRPr="00A11400">
        <w:rPr>
          <w:lang w:val="fr-FR"/>
        </w:rPr>
        <w:t>est assuré, comme il est tenu de le f</w:t>
      </w:r>
      <w:r>
        <w:rPr>
          <w:lang w:val="fr-FR"/>
        </w:rPr>
        <w:t>aire conformément au paragraphe </w:t>
      </w:r>
      <w:r w:rsidRPr="00A11400">
        <w:rPr>
          <w:lang w:val="fr-FR"/>
        </w:rPr>
        <w:t>2</w:t>
      </w:r>
      <w:r>
        <w:rPr>
          <w:lang w:val="fr-FR"/>
        </w:rPr>
        <w:t> a) de l’article </w:t>
      </w:r>
      <w:r w:rsidRPr="00A11400">
        <w:rPr>
          <w:lang w:val="fr-FR"/>
        </w:rPr>
        <w:t>5 du Protocole facultatif, que la même question n</w:t>
      </w:r>
      <w:r>
        <w:rPr>
          <w:lang w:val="fr-FR"/>
        </w:rPr>
        <w:t>’</w:t>
      </w:r>
      <w:r w:rsidRPr="00A11400">
        <w:rPr>
          <w:lang w:val="fr-FR"/>
        </w:rPr>
        <w:t>était pas déjà en cours d</w:t>
      </w:r>
      <w:r>
        <w:rPr>
          <w:lang w:val="fr-FR"/>
        </w:rPr>
        <w:t>’</w:t>
      </w:r>
      <w:r w:rsidRPr="00A11400">
        <w:rPr>
          <w:lang w:val="fr-FR"/>
        </w:rPr>
        <w:t>examen devant une autre instance internationale d</w:t>
      </w:r>
      <w:r>
        <w:rPr>
          <w:lang w:val="fr-FR"/>
        </w:rPr>
        <w:t>’</w:t>
      </w:r>
      <w:r w:rsidRPr="00A11400">
        <w:rPr>
          <w:lang w:val="fr-FR"/>
        </w:rPr>
        <w:t>enquête ou de règlement.</w:t>
      </w:r>
    </w:p>
    <w:p w:rsidR="006C375E" w:rsidRPr="00A11400" w:rsidRDefault="006C375E" w:rsidP="006C375E">
      <w:pPr>
        <w:pStyle w:val="SingleTxtG"/>
      </w:pPr>
      <w:r w:rsidRPr="00A11400">
        <w:rPr>
          <w:lang w:val="fr-FR"/>
        </w:rPr>
        <w:t>8.3</w:t>
      </w:r>
      <w:r w:rsidRPr="00A11400">
        <w:rPr>
          <w:lang w:val="fr-FR"/>
        </w:rPr>
        <w:tab/>
        <w:t>Le Comité prend note de l</w:t>
      </w:r>
      <w:r>
        <w:rPr>
          <w:lang w:val="fr-FR"/>
        </w:rPr>
        <w:t>’</w:t>
      </w:r>
      <w:r w:rsidRPr="00A11400">
        <w:rPr>
          <w:lang w:val="fr-FR"/>
        </w:rPr>
        <w:t>argument de l</w:t>
      </w:r>
      <w:r>
        <w:rPr>
          <w:lang w:val="fr-FR"/>
        </w:rPr>
        <w:t>’</w:t>
      </w:r>
      <w:r w:rsidRPr="00A11400">
        <w:rPr>
          <w:lang w:val="fr-FR"/>
        </w:rPr>
        <w:t>auteur concernant son droit à la vie de famille. Il fait toutefois observer que cette question n</w:t>
      </w:r>
      <w:r>
        <w:rPr>
          <w:lang w:val="fr-FR"/>
        </w:rPr>
        <w:t>’</w:t>
      </w:r>
      <w:r w:rsidRPr="00A11400">
        <w:rPr>
          <w:lang w:val="fr-FR"/>
        </w:rPr>
        <w:t xml:space="preserve">ayant jamais été soulevée devant les autorités nationales, il considère que </w:t>
      </w:r>
      <w:r>
        <w:rPr>
          <w:lang w:val="fr-FR"/>
        </w:rPr>
        <w:t>l</w:t>
      </w:r>
      <w:r w:rsidRPr="00A11400">
        <w:rPr>
          <w:lang w:val="fr-FR"/>
        </w:rPr>
        <w:t>e nouveau grief, tiré de l</w:t>
      </w:r>
      <w:r>
        <w:rPr>
          <w:lang w:val="fr-FR"/>
        </w:rPr>
        <w:t>’</w:t>
      </w:r>
      <w:r w:rsidRPr="00A11400">
        <w:rPr>
          <w:lang w:val="fr-FR"/>
        </w:rPr>
        <w:t>article 23 du Pacte, est irrecevable au regard du paragraphe 2 b) de l</w:t>
      </w:r>
      <w:r>
        <w:rPr>
          <w:lang w:val="fr-FR"/>
        </w:rPr>
        <w:t>’</w:t>
      </w:r>
      <w:r w:rsidRPr="00A11400">
        <w:rPr>
          <w:lang w:val="fr-FR"/>
        </w:rPr>
        <w:t>article 5 du Protocole facultatif.</w:t>
      </w:r>
    </w:p>
    <w:p w:rsidR="006C375E" w:rsidRPr="00A11400" w:rsidRDefault="006C375E" w:rsidP="006C375E">
      <w:pPr>
        <w:pStyle w:val="SingleTxtG"/>
      </w:pPr>
      <w:r w:rsidRPr="00A11400">
        <w:rPr>
          <w:lang w:val="fr-FR"/>
        </w:rPr>
        <w:t>8.4</w:t>
      </w:r>
      <w:r w:rsidRPr="00A11400">
        <w:rPr>
          <w:lang w:val="fr-FR"/>
        </w:rPr>
        <w:tab/>
        <w:t>Le Comité prend note de l</w:t>
      </w:r>
      <w:r>
        <w:rPr>
          <w:lang w:val="fr-FR"/>
        </w:rPr>
        <w:t>’</w:t>
      </w:r>
      <w:r w:rsidRPr="00A11400">
        <w:rPr>
          <w:lang w:val="fr-FR"/>
        </w:rPr>
        <w:t>affirmation de l</w:t>
      </w:r>
      <w:r>
        <w:rPr>
          <w:lang w:val="fr-FR"/>
        </w:rPr>
        <w:t>’</w:t>
      </w:r>
      <w:r w:rsidRPr="00A11400">
        <w:rPr>
          <w:lang w:val="fr-FR"/>
        </w:rPr>
        <w:t>auteur selon laquelle les décisions de la Commission de recours des réfugiés n</w:t>
      </w:r>
      <w:r>
        <w:rPr>
          <w:lang w:val="fr-FR"/>
        </w:rPr>
        <w:t>’</w:t>
      </w:r>
      <w:r w:rsidRPr="00A11400">
        <w:rPr>
          <w:lang w:val="fr-FR"/>
        </w:rPr>
        <w:t>étant pas susceptibles d</w:t>
      </w:r>
      <w:r>
        <w:rPr>
          <w:lang w:val="fr-FR"/>
        </w:rPr>
        <w:t>’</w:t>
      </w:r>
      <w:r w:rsidRPr="00A11400">
        <w:rPr>
          <w:lang w:val="fr-FR"/>
        </w:rPr>
        <w:t>appel, les recours internes ont été épuisés. Cela n</w:t>
      </w:r>
      <w:r>
        <w:rPr>
          <w:lang w:val="fr-FR"/>
        </w:rPr>
        <w:t>’</w:t>
      </w:r>
      <w:r w:rsidRPr="00A11400">
        <w:rPr>
          <w:lang w:val="fr-FR"/>
        </w:rPr>
        <w:t>a pas été contesté par l</w:t>
      </w:r>
      <w:r>
        <w:rPr>
          <w:lang w:val="fr-FR"/>
        </w:rPr>
        <w:t>’</w:t>
      </w:r>
      <w:r w:rsidRPr="00A11400">
        <w:rPr>
          <w:lang w:val="fr-FR"/>
        </w:rPr>
        <w:t>État partie. En conséquence, le Comité considère que les recours internes ont été épuisés en ce qui concerne le grief que l</w:t>
      </w:r>
      <w:r>
        <w:rPr>
          <w:lang w:val="fr-FR"/>
        </w:rPr>
        <w:t>’</w:t>
      </w:r>
      <w:r w:rsidRPr="00A11400">
        <w:rPr>
          <w:lang w:val="fr-FR"/>
        </w:rPr>
        <w:t>auteur tire de l</w:t>
      </w:r>
      <w:r>
        <w:rPr>
          <w:lang w:val="fr-FR"/>
        </w:rPr>
        <w:t>’</w:t>
      </w:r>
      <w:r w:rsidRPr="00A11400">
        <w:rPr>
          <w:lang w:val="fr-FR"/>
        </w:rPr>
        <w:t>article 7 du Pacte, comme l</w:t>
      </w:r>
      <w:r>
        <w:rPr>
          <w:lang w:val="fr-FR"/>
        </w:rPr>
        <w:t>’</w:t>
      </w:r>
      <w:r w:rsidRPr="00A11400">
        <w:rPr>
          <w:lang w:val="fr-FR"/>
        </w:rPr>
        <w:t>exige le paragraphe 2 b) de l</w:t>
      </w:r>
      <w:r>
        <w:rPr>
          <w:lang w:val="fr-FR"/>
        </w:rPr>
        <w:t>’</w:t>
      </w:r>
      <w:r w:rsidRPr="00A11400">
        <w:rPr>
          <w:lang w:val="fr-FR"/>
        </w:rPr>
        <w:t>article 5 du Protocole facultatif.</w:t>
      </w:r>
    </w:p>
    <w:p w:rsidR="006C375E" w:rsidRPr="00A11400" w:rsidRDefault="006C375E" w:rsidP="006C375E">
      <w:pPr>
        <w:pStyle w:val="SingleTxtG"/>
      </w:pPr>
      <w:r w:rsidRPr="00A11400">
        <w:rPr>
          <w:lang w:val="fr-FR"/>
        </w:rPr>
        <w:t>8.5</w:t>
      </w:r>
      <w:r w:rsidRPr="00A11400">
        <w:rPr>
          <w:lang w:val="fr-FR"/>
        </w:rPr>
        <w:tab/>
        <w:t>Le Comité prend note de l</w:t>
      </w:r>
      <w:r>
        <w:rPr>
          <w:lang w:val="fr-FR"/>
        </w:rPr>
        <w:t>’</w:t>
      </w:r>
      <w:r w:rsidRPr="00A11400">
        <w:rPr>
          <w:lang w:val="fr-FR"/>
        </w:rPr>
        <w:t>affirmation de l</w:t>
      </w:r>
      <w:r>
        <w:rPr>
          <w:lang w:val="fr-FR"/>
        </w:rPr>
        <w:t>’</w:t>
      </w:r>
      <w:r w:rsidRPr="00A11400">
        <w:rPr>
          <w:lang w:val="fr-FR"/>
        </w:rPr>
        <w:t>auteur selon laquelle son retour en Italie l</w:t>
      </w:r>
      <w:r>
        <w:rPr>
          <w:lang w:val="fr-FR"/>
        </w:rPr>
        <w:t>’</w:t>
      </w:r>
      <w:r w:rsidRPr="00A11400">
        <w:rPr>
          <w:lang w:val="fr-FR"/>
        </w:rPr>
        <w:t>exposerait au risque d</w:t>
      </w:r>
      <w:r>
        <w:rPr>
          <w:lang w:val="fr-FR"/>
        </w:rPr>
        <w:t>’</w:t>
      </w:r>
      <w:r w:rsidRPr="00A11400">
        <w:rPr>
          <w:lang w:val="fr-FR"/>
        </w:rPr>
        <w:t>être soumis à la torture ou à d</w:t>
      </w:r>
      <w:r>
        <w:rPr>
          <w:lang w:val="fr-FR"/>
        </w:rPr>
        <w:t>’</w:t>
      </w:r>
      <w:r w:rsidRPr="00A11400">
        <w:rPr>
          <w:lang w:val="fr-FR"/>
        </w:rPr>
        <w:t>autres traitements cruels, inhumains ou dégradants. L</w:t>
      </w:r>
      <w:r>
        <w:rPr>
          <w:lang w:val="fr-FR"/>
        </w:rPr>
        <w:t>’</w:t>
      </w:r>
      <w:r w:rsidRPr="00A11400">
        <w:rPr>
          <w:lang w:val="fr-FR"/>
        </w:rPr>
        <w:t xml:space="preserve">auteur fonde </w:t>
      </w:r>
      <w:r>
        <w:rPr>
          <w:lang w:val="fr-FR"/>
        </w:rPr>
        <w:t>son</w:t>
      </w:r>
      <w:r w:rsidRPr="00A11400">
        <w:rPr>
          <w:lang w:val="fr-FR"/>
        </w:rPr>
        <w:t xml:space="preserve"> affirmation sur la situation sociale et économique générale des réfugiés en Italie.</w:t>
      </w:r>
    </w:p>
    <w:p w:rsidR="006C375E" w:rsidRPr="00A11400" w:rsidRDefault="006C375E" w:rsidP="006C375E">
      <w:pPr>
        <w:pStyle w:val="SingleTxtG"/>
      </w:pPr>
      <w:r w:rsidRPr="00A11400">
        <w:rPr>
          <w:lang w:val="fr-FR"/>
        </w:rPr>
        <w:t>8.6</w:t>
      </w:r>
      <w:r w:rsidRPr="00A11400">
        <w:rPr>
          <w:lang w:val="fr-FR"/>
        </w:rPr>
        <w:tab/>
        <w:t>Le Comité constate également que la Commission de recours des réfugiés a tenu compte de la situation personnelle et sociale de l</w:t>
      </w:r>
      <w:r>
        <w:rPr>
          <w:lang w:val="fr-FR"/>
        </w:rPr>
        <w:t>’</w:t>
      </w:r>
      <w:r w:rsidRPr="00A11400">
        <w:rPr>
          <w:lang w:val="fr-FR"/>
        </w:rPr>
        <w:t xml:space="preserve">auteur, </w:t>
      </w:r>
      <w:r>
        <w:rPr>
          <w:lang w:val="fr-FR"/>
        </w:rPr>
        <w:t xml:space="preserve">et </w:t>
      </w:r>
      <w:r w:rsidRPr="00A11400">
        <w:rPr>
          <w:lang w:val="fr-FR"/>
        </w:rPr>
        <w:t>de la situation générale des réfugiés reconnus comme tels en Italie, et a conclu que l</w:t>
      </w:r>
      <w:r>
        <w:rPr>
          <w:lang w:val="fr-FR"/>
        </w:rPr>
        <w:t>’</w:t>
      </w:r>
      <w:r w:rsidRPr="00A11400">
        <w:rPr>
          <w:lang w:val="fr-FR"/>
        </w:rPr>
        <w:t>allégation selon laquelle l</w:t>
      </w:r>
      <w:r>
        <w:rPr>
          <w:lang w:val="fr-FR"/>
        </w:rPr>
        <w:t>’</w:t>
      </w:r>
      <w:r w:rsidRPr="00A11400">
        <w:rPr>
          <w:lang w:val="fr-FR"/>
        </w:rPr>
        <w:t xml:space="preserve">auteur avait été contraint de retourner en </w:t>
      </w:r>
      <w:r>
        <w:rPr>
          <w:lang w:val="fr-FR"/>
        </w:rPr>
        <w:t>République arabe syrienne</w:t>
      </w:r>
      <w:r w:rsidRPr="00A11400">
        <w:rPr>
          <w:lang w:val="fr-FR"/>
        </w:rPr>
        <w:t xml:space="preserve"> à cause de la situation générale des demandeurs d</w:t>
      </w:r>
      <w:r>
        <w:rPr>
          <w:lang w:val="fr-FR"/>
        </w:rPr>
        <w:t>’</w:t>
      </w:r>
      <w:r w:rsidRPr="00A11400">
        <w:rPr>
          <w:lang w:val="fr-FR"/>
        </w:rPr>
        <w:t>asile ou des réfugiés en Italie était non crédible et forgée de toutes pièces.</w:t>
      </w:r>
    </w:p>
    <w:p w:rsidR="006C375E" w:rsidRPr="00A11400" w:rsidRDefault="006C375E" w:rsidP="006C375E">
      <w:pPr>
        <w:pStyle w:val="SingleTxtG"/>
      </w:pPr>
      <w:r w:rsidRPr="00A11400">
        <w:rPr>
          <w:lang w:val="fr-FR"/>
        </w:rPr>
        <w:t>8.7</w:t>
      </w:r>
      <w:r w:rsidRPr="00A11400">
        <w:rPr>
          <w:lang w:val="fr-FR"/>
        </w:rPr>
        <w:tab/>
        <w:t>Le Comité rappelle qu</w:t>
      </w:r>
      <w:r>
        <w:rPr>
          <w:lang w:val="fr-FR"/>
        </w:rPr>
        <w:t>’</w:t>
      </w:r>
      <w:r w:rsidRPr="00A11400">
        <w:rPr>
          <w:lang w:val="fr-FR"/>
        </w:rPr>
        <w:t>il appartient en général aux organes des États parties d</w:t>
      </w:r>
      <w:r>
        <w:rPr>
          <w:lang w:val="fr-FR"/>
        </w:rPr>
        <w:t>’</w:t>
      </w:r>
      <w:r w:rsidRPr="00A11400">
        <w:rPr>
          <w:lang w:val="fr-FR"/>
        </w:rPr>
        <w:t>apprécier les faits et les éléments de preuve, sauf s</w:t>
      </w:r>
      <w:r>
        <w:rPr>
          <w:lang w:val="fr-FR"/>
        </w:rPr>
        <w:t>’</w:t>
      </w:r>
      <w:r w:rsidRPr="00A11400">
        <w:rPr>
          <w:lang w:val="fr-FR"/>
        </w:rPr>
        <w:t>il peut être établi que cette appréciation a été arbitraire ou manifestement entachée d</w:t>
      </w:r>
      <w:r>
        <w:rPr>
          <w:lang w:val="fr-FR"/>
        </w:rPr>
        <w:t>’</w:t>
      </w:r>
      <w:r w:rsidRPr="00A11400">
        <w:rPr>
          <w:lang w:val="fr-FR"/>
        </w:rPr>
        <w:t>erreurs ou qu</w:t>
      </w:r>
      <w:r>
        <w:rPr>
          <w:lang w:val="fr-FR"/>
        </w:rPr>
        <w:t>’</w:t>
      </w:r>
      <w:r w:rsidRPr="00A11400">
        <w:rPr>
          <w:lang w:val="fr-FR"/>
        </w:rPr>
        <w:t xml:space="preserve">elle a représenté un </w:t>
      </w:r>
      <w:r w:rsidRPr="00A11400">
        <w:rPr>
          <w:lang w:val="fr-FR"/>
        </w:rPr>
        <w:lastRenderedPageBreak/>
        <w:t>déni de justice</w:t>
      </w:r>
      <w:r w:rsidRPr="00C10EEF">
        <w:rPr>
          <w:rStyle w:val="Appelnotedebasdep"/>
        </w:rPr>
        <w:footnoteReference w:id="9"/>
      </w:r>
      <w:r w:rsidRPr="00A11400">
        <w:rPr>
          <w:lang w:val="fr-FR"/>
        </w:rPr>
        <w:t xml:space="preserve">. </w:t>
      </w:r>
      <w:r w:rsidRPr="00A11400">
        <w:t>En l</w:t>
      </w:r>
      <w:r>
        <w:t>’</w:t>
      </w:r>
      <w:r w:rsidRPr="00A11400">
        <w:t>espèce, l</w:t>
      </w:r>
      <w:r>
        <w:t>’</w:t>
      </w:r>
      <w:r w:rsidRPr="00A11400">
        <w:t>auteur n</w:t>
      </w:r>
      <w:r>
        <w:t>’</w:t>
      </w:r>
      <w:r w:rsidRPr="00A11400">
        <w:t>a pas expliqué en quoi la décision de la Commission de recours des réfugiés serait contraire à cette règle, pas plus qu</w:t>
      </w:r>
      <w:r>
        <w:t>’</w:t>
      </w:r>
      <w:r w:rsidRPr="00A11400">
        <w:t>il n</w:t>
      </w:r>
      <w:r>
        <w:t>’</w:t>
      </w:r>
      <w:r w:rsidRPr="00A11400">
        <w:t>a avancé de motifs sérieux de croire que, comme il l</w:t>
      </w:r>
      <w:r>
        <w:t>’</w:t>
      </w:r>
      <w:r w:rsidRPr="00A11400">
        <w:t>affirme, son renvoi en Italie l</w:t>
      </w:r>
      <w:r>
        <w:t>’</w:t>
      </w:r>
      <w:r w:rsidRPr="00A11400">
        <w:t>exposerait personnellement à un risque réel de subir un préjudice irréparable, en violation de l</w:t>
      </w:r>
      <w:r>
        <w:t>’</w:t>
      </w:r>
      <w:r w:rsidRPr="00A11400">
        <w:t>article 7 du Pacte. En particulier, le Comité fait observer que l</w:t>
      </w:r>
      <w:r>
        <w:t>’</w:t>
      </w:r>
      <w:r w:rsidRPr="00A11400">
        <w:t>auteur n</w:t>
      </w:r>
      <w:r>
        <w:t>’</w:t>
      </w:r>
      <w:r w:rsidRPr="00A11400">
        <w:t>a pas fourni d</w:t>
      </w:r>
      <w:r>
        <w:t>’</w:t>
      </w:r>
      <w:r w:rsidRPr="00A11400">
        <w:t>informations concrètes et détaillées sur sa situation personnelle en Italie en 2013. En conséquence, le Comité conclut que l</w:t>
      </w:r>
      <w:r>
        <w:t>’</w:t>
      </w:r>
      <w:r w:rsidRPr="00A11400">
        <w:t>auteur n</w:t>
      </w:r>
      <w:r>
        <w:t>’</w:t>
      </w:r>
      <w:r w:rsidRPr="00A11400">
        <w:t>a pas suffisamment étayé son grief de violation de l</w:t>
      </w:r>
      <w:r>
        <w:t>’</w:t>
      </w:r>
      <w:r w:rsidRPr="00A11400">
        <w:t>article 7 aux fins de la recevabilité et déclare la communication irrecevable au regard de l</w:t>
      </w:r>
      <w:r>
        <w:t>’</w:t>
      </w:r>
      <w:r w:rsidRPr="00A11400">
        <w:t>article 2 du Protocole facultatif.</w:t>
      </w:r>
    </w:p>
    <w:p w:rsidR="006C375E" w:rsidRPr="00A11400" w:rsidRDefault="006C375E" w:rsidP="006C375E">
      <w:pPr>
        <w:pStyle w:val="SingleTxtG"/>
      </w:pPr>
      <w:r w:rsidRPr="00A11400">
        <w:rPr>
          <w:lang w:val="fr-FR"/>
        </w:rPr>
        <w:t>9.</w:t>
      </w:r>
      <w:r w:rsidRPr="00A11400">
        <w:rPr>
          <w:lang w:val="fr-FR"/>
        </w:rPr>
        <w:tab/>
        <w:t>En conséquence, le Comité des droits de l</w:t>
      </w:r>
      <w:r>
        <w:rPr>
          <w:lang w:val="fr-FR"/>
        </w:rPr>
        <w:t>’</w:t>
      </w:r>
      <w:r w:rsidRPr="00A11400">
        <w:rPr>
          <w:lang w:val="fr-FR"/>
        </w:rPr>
        <w:t>homme décide :</w:t>
      </w:r>
    </w:p>
    <w:p w:rsidR="006C375E" w:rsidRDefault="006C375E" w:rsidP="00F43865">
      <w:pPr>
        <w:pStyle w:val="SingleTxtG"/>
        <w:ind w:firstLine="567"/>
        <w:rPr>
          <w:lang w:val="fr-FR"/>
        </w:rPr>
      </w:pPr>
      <w:r w:rsidRPr="00A11400">
        <w:rPr>
          <w:lang w:val="fr-FR"/>
        </w:rPr>
        <w:t>a)</w:t>
      </w:r>
      <w:r w:rsidRPr="00A11400">
        <w:rPr>
          <w:lang w:val="fr-FR"/>
        </w:rPr>
        <w:tab/>
        <w:t>Que la communication est irrecevable au regard de l</w:t>
      </w:r>
      <w:r>
        <w:rPr>
          <w:lang w:val="fr-FR"/>
        </w:rPr>
        <w:t>’</w:t>
      </w:r>
      <w:r w:rsidRPr="00A11400">
        <w:rPr>
          <w:lang w:val="fr-FR"/>
        </w:rPr>
        <w:t>article 2 et du paragraphe 2 </w:t>
      </w:r>
      <w:r>
        <w:rPr>
          <w:lang w:val="fr-FR"/>
        </w:rPr>
        <w:t>b) de l’article </w:t>
      </w:r>
      <w:r w:rsidRPr="00A11400">
        <w:rPr>
          <w:lang w:val="fr-FR"/>
        </w:rPr>
        <w:t>5 du Protocole facultatif</w:t>
      </w:r>
      <w:r w:rsidR="00474458">
        <w:rPr>
          <w:lang w:val="fr-FR"/>
        </w:rPr>
        <w:t> </w:t>
      </w:r>
      <w:bookmarkStart w:id="0" w:name="_GoBack"/>
      <w:bookmarkEnd w:id="0"/>
      <w:r w:rsidRPr="00A11400">
        <w:rPr>
          <w:lang w:val="fr-FR"/>
        </w:rPr>
        <w:t>;</w:t>
      </w:r>
    </w:p>
    <w:p w:rsidR="006C375E" w:rsidRPr="0063439D" w:rsidRDefault="006C375E" w:rsidP="00F43865">
      <w:pPr>
        <w:pStyle w:val="SingleTxtG"/>
        <w:ind w:firstLine="567"/>
      </w:pPr>
      <w:r w:rsidRPr="00A11400">
        <w:rPr>
          <w:lang w:val="fr-FR"/>
        </w:rPr>
        <w:t>b)</w:t>
      </w:r>
      <w:r w:rsidRPr="00A11400">
        <w:rPr>
          <w:lang w:val="fr-FR"/>
        </w:rPr>
        <w:tab/>
        <w:t>Que la présente décision sera communiquée à l</w:t>
      </w:r>
      <w:r>
        <w:rPr>
          <w:lang w:val="fr-FR"/>
        </w:rPr>
        <w:t>’</w:t>
      </w:r>
      <w:r w:rsidRPr="00A11400">
        <w:rPr>
          <w:lang w:val="fr-FR"/>
        </w:rPr>
        <w:t>État partie et à l</w:t>
      </w:r>
      <w:r>
        <w:rPr>
          <w:lang w:val="fr-FR"/>
        </w:rPr>
        <w:t>’</w:t>
      </w:r>
      <w:r w:rsidRPr="00A11400">
        <w:rPr>
          <w:lang w:val="fr-FR"/>
        </w:rPr>
        <w:t>auteur.</w:t>
      </w:r>
    </w:p>
    <w:p w:rsidR="00E85C42" w:rsidRPr="00F43865" w:rsidRDefault="00F43865" w:rsidP="00F43865">
      <w:pPr>
        <w:pStyle w:val="SingleTxtG"/>
        <w:spacing w:before="240" w:after="0"/>
        <w:jc w:val="center"/>
        <w:rPr>
          <w:u w:val="single"/>
        </w:rPr>
      </w:pPr>
      <w:r>
        <w:rPr>
          <w:u w:val="single"/>
        </w:rPr>
        <w:tab/>
      </w:r>
      <w:r>
        <w:rPr>
          <w:u w:val="single"/>
        </w:rPr>
        <w:tab/>
      </w:r>
      <w:r>
        <w:rPr>
          <w:u w:val="single"/>
        </w:rPr>
        <w:tab/>
      </w:r>
    </w:p>
    <w:sectPr w:rsidR="00E85C42" w:rsidRPr="00F43865" w:rsidSect="006C375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865" w:rsidRDefault="00F43865" w:rsidP="00F95C08">
      <w:pPr>
        <w:spacing w:line="240" w:lineRule="auto"/>
      </w:pPr>
    </w:p>
  </w:endnote>
  <w:endnote w:type="continuationSeparator" w:id="0">
    <w:p w:rsidR="00F43865" w:rsidRPr="00AC3823" w:rsidRDefault="00F43865" w:rsidP="00AC3823">
      <w:pPr>
        <w:pStyle w:val="Pieddepage"/>
      </w:pPr>
    </w:p>
  </w:endnote>
  <w:endnote w:type="continuationNotice" w:id="1">
    <w:p w:rsidR="00F43865" w:rsidRDefault="00F438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865" w:rsidRPr="006C375E" w:rsidRDefault="00F43865" w:rsidP="006C375E">
    <w:pPr>
      <w:pStyle w:val="Pieddepage"/>
      <w:tabs>
        <w:tab w:val="right" w:pos="9638"/>
      </w:tabs>
    </w:pPr>
    <w:r w:rsidRPr="006C375E">
      <w:rPr>
        <w:b/>
        <w:sz w:val="18"/>
      </w:rPr>
      <w:fldChar w:fldCharType="begin"/>
    </w:r>
    <w:r w:rsidRPr="006C375E">
      <w:rPr>
        <w:b/>
        <w:sz w:val="18"/>
      </w:rPr>
      <w:instrText xml:space="preserve"> PAGE  \* MERGEFORMAT </w:instrText>
    </w:r>
    <w:r w:rsidRPr="006C375E">
      <w:rPr>
        <w:b/>
        <w:sz w:val="18"/>
      </w:rPr>
      <w:fldChar w:fldCharType="separate"/>
    </w:r>
    <w:r w:rsidRPr="006C375E">
      <w:rPr>
        <w:b/>
        <w:noProof/>
        <w:sz w:val="18"/>
      </w:rPr>
      <w:t>2</w:t>
    </w:r>
    <w:r w:rsidRPr="006C375E">
      <w:rPr>
        <w:b/>
        <w:sz w:val="18"/>
      </w:rPr>
      <w:fldChar w:fldCharType="end"/>
    </w:r>
    <w:r>
      <w:rPr>
        <w:b/>
        <w:sz w:val="18"/>
      </w:rPr>
      <w:tab/>
    </w:r>
    <w:r>
      <w:t>GE.19-08545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865" w:rsidRPr="006C375E" w:rsidRDefault="00F43865" w:rsidP="006C375E">
    <w:pPr>
      <w:pStyle w:val="Pieddepage"/>
      <w:tabs>
        <w:tab w:val="right" w:pos="9638"/>
      </w:tabs>
      <w:rPr>
        <w:b/>
        <w:sz w:val="18"/>
      </w:rPr>
    </w:pPr>
    <w:r>
      <w:t>GE.19-08545</w:t>
    </w:r>
    <w:r>
      <w:tab/>
    </w:r>
    <w:r w:rsidRPr="006C375E">
      <w:rPr>
        <w:b/>
        <w:sz w:val="18"/>
      </w:rPr>
      <w:fldChar w:fldCharType="begin"/>
    </w:r>
    <w:r w:rsidRPr="006C375E">
      <w:rPr>
        <w:b/>
        <w:sz w:val="18"/>
      </w:rPr>
      <w:instrText xml:space="preserve"> PAGE  \* MERGEFORMAT </w:instrText>
    </w:r>
    <w:r w:rsidRPr="006C375E">
      <w:rPr>
        <w:b/>
        <w:sz w:val="18"/>
      </w:rPr>
      <w:fldChar w:fldCharType="separate"/>
    </w:r>
    <w:r w:rsidRPr="006C375E">
      <w:rPr>
        <w:b/>
        <w:noProof/>
        <w:sz w:val="18"/>
      </w:rPr>
      <w:t>3</w:t>
    </w:r>
    <w:r w:rsidRPr="006C37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865" w:rsidRPr="006C375E" w:rsidRDefault="00F43865" w:rsidP="006C375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19-08545  (F)    120620    120620</w:t>
    </w:r>
    <w:r>
      <w:rPr>
        <w:sz w:val="20"/>
      </w:rPr>
      <w:br/>
    </w:r>
    <w:r w:rsidRPr="006C375E">
      <w:rPr>
        <w:rFonts w:ascii="C39T30Lfz" w:hAnsi="C39T30Lfz"/>
        <w:sz w:val="56"/>
      </w:rPr>
      <w:t></w:t>
    </w:r>
    <w:r w:rsidRPr="006C375E">
      <w:rPr>
        <w:rFonts w:ascii="C39T30Lfz" w:hAnsi="C39T30Lfz"/>
        <w:sz w:val="56"/>
      </w:rPr>
      <w:t></w:t>
    </w:r>
    <w:r w:rsidRPr="006C375E">
      <w:rPr>
        <w:rFonts w:ascii="C39T30Lfz" w:hAnsi="C39T30Lfz"/>
        <w:sz w:val="56"/>
      </w:rPr>
      <w:t></w:t>
    </w:r>
    <w:r w:rsidRPr="006C375E">
      <w:rPr>
        <w:rFonts w:ascii="C39T30Lfz" w:hAnsi="C39T30Lfz"/>
        <w:sz w:val="56"/>
      </w:rPr>
      <w:t></w:t>
    </w:r>
    <w:r w:rsidRPr="006C375E">
      <w:rPr>
        <w:rFonts w:ascii="C39T30Lfz" w:hAnsi="C39T30Lfz"/>
        <w:sz w:val="56"/>
      </w:rPr>
      <w:t></w:t>
    </w:r>
    <w:r w:rsidRPr="006C375E">
      <w:rPr>
        <w:rFonts w:ascii="C39T30Lfz" w:hAnsi="C39T30Lfz"/>
        <w:sz w:val="56"/>
      </w:rPr>
      <w:t></w:t>
    </w:r>
    <w:r w:rsidRPr="006C375E">
      <w:rPr>
        <w:rFonts w:ascii="C39T30Lfz" w:hAnsi="C39T30Lfz"/>
        <w:sz w:val="56"/>
      </w:rPr>
      <w:t></w:t>
    </w:r>
    <w:r w:rsidRPr="006C375E">
      <w:rPr>
        <w:rFonts w:ascii="C39T30Lfz" w:hAnsi="C39T30Lfz"/>
        <w:sz w:val="56"/>
      </w:rPr>
      <w:t></w:t>
    </w:r>
    <w:r w:rsidRPr="006C375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865" w:rsidRPr="00AC3823" w:rsidRDefault="00F43865" w:rsidP="00AC3823">
      <w:pPr>
        <w:pStyle w:val="Pieddepage"/>
        <w:tabs>
          <w:tab w:val="right" w:pos="2155"/>
        </w:tabs>
        <w:spacing w:after="80" w:line="240" w:lineRule="atLeast"/>
        <w:ind w:left="680"/>
        <w:rPr>
          <w:u w:val="single"/>
        </w:rPr>
      </w:pPr>
      <w:r>
        <w:rPr>
          <w:u w:val="single"/>
        </w:rPr>
        <w:tab/>
      </w:r>
    </w:p>
  </w:footnote>
  <w:footnote w:type="continuationSeparator" w:id="0">
    <w:p w:rsidR="00F43865" w:rsidRPr="00AC3823" w:rsidRDefault="00F43865" w:rsidP="00AC3823">
      <w:pPr>
        <w:pStyle w:val="Pieddepage"/>
        <w:tabs>
          <w:tab w:val="right" w:pos="2155"/>
        </w:tabs>
        <w:spacing w:after="80" w:line="240" w:lineRule="atLeast"/>
        <w:ind w:left="680"/>
        <w:rPr>
          <w:u w:val="single"/>
        </w:rPr>
      </w:pPr>
      <w:r>
        <w:rPr>
          <w:u w:val="single"/>
        </w:rPr>
        <w:tab/>
      </w:r>
    </w:p>
  </w:footnote>
  <w:footnote w:type="continuationNotice" w:id="1">
    <w:p w:rsidR="00F43865" w:rsidRPr="00AC3823" w:rsidRDefault="00F43865">
      <w:pPr>
        <w:spacing w:line="240" w:lineRule="auto"/>
        <w:rPr>
          <w:sz w:val="2"/>
          <w:szCs w:val="2"/>
        </w:rPr>
      </w:pPr>
    </w:p>
  </w:footnote>
  <w:footnote w:id="2">
    <w:p w:rsidR="00F43865" w:rsidRPr="006C375E" w:rsidRDefault="00F43865">
      <w:pPr>
        <w:pStyle w:val="Notedebasdepage"/>
      </w:pPr>
      <w:r>
        <w:rPr>
          <w:rStyle w:val="Appelnotedebasdep"/>
        </w:rPr>
        <w:tab/>
      </w:r>
      <w:r w:rsidRPr="006C375E">
        <w:rPr>
          <w:rStyle w:val="Appelnotedebasdep"/>
          <w:sz w:val="20"/>
          <w:vertAlign w:val="baseline"/>
        </w:rPr>
        <w:t>*</w:t>
      </w:r>
      <w:r>
        <w:rPr>
          <w:rStyle w:val="Appelnotedebasdep"/>
          <w:sz w:val="20"/>
          <w:vertAlign w:val="baseline"/>
        </w:rPr>
        <w:tab/>
      </w:r>
      <w:r w:rsidRPr="00294D09">
        <w:rPr>
          <w:lang w:val="fr-FR"/>
        </w:rPr>
        <w:t>Adoptée par le Comité à sa 125</w:t>
      </w:r>
      <w:r w:rsidRPr="00294D09">
        <w:rPr>
          <w:vertAlign w:val="superscript"/>
          <w:lang w:val="fr-FR"/>
        </w:rPr>
        <w:t>e</w:t>
      </w:r>
      <w:r>
        <w:rPr>
          <w:lang w:val="fr-FR"/>
        </w:rPr>
        <w:t> </w:t>
      </w:r>
      <w:r w:rsidRPr="00294D09">
        <w:rPr>
          <w:lang w:val="fr-FR"/>
        </w:rPr>
        <w:t>session (4</w:t>
      </w:r>
      <w:r>
        <w:rPr>
          <w:lang w:val="fr-FR"/>
        </w:rPr>
        <w:t>-</w:t>
      </w:r>
      <w:r w:rsidRPr="00294D09">
        <w:rPr>
          <w:lang w:val="fr-FR"/>
        </w:rPr>
        <w:t>29</w:t>
      </w:r>
      <w:r>
        <w:rPr>
          <w:lang w:val="fr-FR"/>
        </w:rPr>
        <w:t> mars</w:t>
      </w:r>
      <w:r w:rsidRPr="00294D09">
        <w:rPr>
          <w:lang w:val="fr-FR"/>
        </w:rPr>
        <w:t xml:space="preserve"> 2019).</w:t>
      </w:r>
    </w:p>
  </w:footnote>
  <w:footnote w:id="3">
    <w:p w:rsidR="00F43865" w:rsidRPr="006C375E" w:rsidRDefault="00F43865">
      <w:pPr>
        <w:pStyle w:val="Notedebasdepage"/>
      </w:pPr>
      <w:r>
        <w:rPr>
          <w:rStyle w:val="Appelnotedebasdep"/>
        </w:rPr>
        <w:tab/>
      </w:r>
      <w:r w:rsidRPr="006C375E">
        <w:rPr>
          <w:rStyle w:val="Appelnotedebasdep"/>
          <w:sz w:val="20"/>
          <w:vertAlign w:val="baseline"/>
        </w:rPr>
        <w:t>**</w:t>
      </w:r>
      <w:r>
        <w:rPr>
          <w:rStyle w:val="Appelnotedebasdep"/>
          <w:sz w:val="20"/>
          <w:vertAlign w:val="baseline"/>
        </w:rPr>
        <w:tab/>
      </w:r>
      <w:r>
        <w:t>Les membres du Comité dont le nom suit ont participé à l’examen de la communication </w:t>
      </w:r>
      <w:r w:rsidRPr="00294D09">
        <w:rPr>
          <w:lang w:val="fr-FR"/>
        </w:rPr>
        <w:t>: Tania María Abdo Rocholl, Yadh Ben Achour, Ilze Brands Kehris, Christopher Arif Bulkan, Ahmed Amin Fathalla, Shuichi Furuya, Christof Heyns, Bamariam Koita, Marcia V.</w:t>
      </w:r>
      <w:r>
        <w:rPr>
          <w:lang w:val="fr-FR"/>
        </w:rPr>
        <w:t> </w:t>
      </w:r>
      <w:r w:rsidRPr="00294D09">
        <w:rPr>
          <w:lang w:val="fr-FR"/>
        </w:rPr>
        <w:t xml:space="preserve">J. Kran, Duncan Laki Muhumuza, Photini Pazartzis, Hernán Quezada Cabrera, Vasilka Sancin, José Manuel Santos Pais, Yuval Shany, Hélène Tigroudja, Andreas Zimmermann </w:t>
      </w:r>
      <w:r>
        <w:rPr>
          <w:lang w:val="fr-FR"/>
        </w:rPr>
        <w:t>et</w:t>
      </w:r>
      <w:r w:rsidRPr="00294D09">
        <w:rPr>
          <w:lang w:val="fr-FR"/>
        </w:rPr>
        <w:t xml:space="preserve"> Gentian Zyberi.</w:t>
      </w:r>
    </w:p>
  </w:footnote>
  <w:footnote w:id="4">
    <w:p w:rsidR="00F43865" w:rsidRPr="00E935A2" w:rsidRDefault="00F43865" w:rsidP="00F43865">
      <w:pPr>
        <w:pStyle w:val="Notedebasdepage"/>
      </w:pPr>
      <w:r w:rsidRPr="00E935A2">
        <w:tab/>
      </w:r>
      <w:r w:rsidRPr="00C10EEF">
        <w:rPr>
          <w:rStyle w:val="Appelnotedebasdep"/>
        </w:rPr>
        <w:footnoteRef/>
      </w:r>
      <w:r w:rsidRPr="00E935A2">
        <w:tab/>
        <w:t xml:space="preserve">Règlement (UE) </w:t>
      </w:r>
      <w:r w:rsidRPr="00E935A2">
        <w:rPr>
          <w:rFonts w:eastAsia="MS Mincho"/>
          <w:szCs w:val="22"/>
        </w:rPr>
        <w:t>n</w:t>
      </w:r>
      <w:r w:rsidRPr="00E935A2">
        <w:rPr>
          <w:rFonts w:eastAsia="MS Mincho"/>
          <w:szCs w:val="22"/>
          <w:vertAlign w:val="superscript"/>
        </w:rPr>
        <w:t>o</w:t>
      </w:r>
      <w:r w:rsidRPr="00E935A2">
        <w:t>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w:t>
      </w:r>
    </w:p>
  </w:footnote>
  <w:footnote w:id="5">
    <w:p w:rsidR="00F43865" w:rsidRPr="00E935A2" w:rsidRDefault="00F43865" w:rsidP="00F43865">
      <w:pPr>
        <w:pStyle w:val="Notedebasdepage"/>
      </w:pPr>
      <w:r w:rsidRPr="00E935A2">
        <w:tab/>
      </w:r>
      <w:r w:rsidRPr="00C10EEF">
        <w:rPr>
          <w:rStyle w:val="Appelnotedebasdep"/>
        </w:rPr>
        <w:footnoteRef/>
      </w:r>
      <w:r w:rsidRPr="00E935A2">
        <w:tab/>
        <w:t xml:space="preserve">L’auteur cite l’arrêt de la Cour européenne des droits de l’homme dans l’affaire </w:t>
      </w:r>
      <w:r w:rsidRPr="00E935A2">
        <w:rPr>
          <w:i/>
          <w:iCs/>
        </w:rPr>
        <w:t xml:space="preserve">Tarakhel </w:t>
      </w:r>
      <w:r w:rsidRPr="00B610A7">
        <w:rPr>
          <w:i/>
          <w:iCs/>
        </w:rPr>
        <w:t>c</w:t>
      </w:r>
      <w:r w:rsidRPr="00E935A2">
        <w:rPr>
          <w:iCs/>
        </w:rPr>
        <w:t>.</w:t>
      </w:r>
      <w:r w:rsidRPr="00E935A2">
        <w:rPr>
          <w:i/>
          <w:iCs/>
        </w:rPr>
        <w:t> Suisse</w:t>
      </w:r>
      <w:r w:rsidRPr="00E935A2">
        <w:t xml:space="preserve"> (requête </w:t>
      </w:r>
      <w:r w:rsidRPr="00E935A2">
        <w:rPr>
          <w:rFonts w:eastAsia="MS Mincho"/>
          <w:szCs w:val="22"/>
        </w:rPr>
        <w:t>n</w:t>
      </w:r>
      <w:r w:rsidRPr="00E935A2">
        <w:rPr>
          <w:rFonts w:eastAsia="MS Mincho"/>
          <w:szCs w:val="22"/>
          <w:vertAlign w:val="superscript"/>
        </w:rPr>
        <w:t>o</w:t>
      </w:r>
      <w:r w:rsidRPr="00E935A2">
        <w:t> 29217/12), 4 novembre 2014, par. 60.</w:t>
      </w:r>
    </w:p>
  </w:footnote>
  <w:footnote w:id="6">
    <w:p w:rsidR="00F43865" w:rsidRPr="00E935A2" w:rsidRDefault="00F43865" w:rsidP="00F43865">
      <w:pPr>
        <w:pStyle w:val="Notedebasdepage"/>
      </w:pPr>
      <w:r w:rsidRPr="00E935A2">
        <w:tab/>
      </w:r>
      <w:r w:rsidRPr="00C10EEF">
        <w:rPr>
          <w:rStyle w:val="Appelnotedebasdep"/>
        </w:rPr>
        <w:footnoteRef/>
      </w:r>
      <w:r w:rsidRPr="00E935A2">
        <w:tab/>
        <w:t xml:space="preserve">Voir </w:t>
      </w:r>
      <w:r w:rsidRPr="00E935A2">
        <w:rPr>
          <w:i/>
          <w:iCs/>
        </w:rPr>
        <w:t>O. H. A.</w:t>
      </w:r>
      <w:r w:rsidRPr="00E935A2">
        <w:t xml:space="preserve"> </w:t>
      </w:r>
      <w:r w:rsidRPr="0022156E">
        <w:t>c.</w:t>
      </w:r>
      <w:r w:rsidRPr="00E935A2">
        <w:t> </w:t>
      </w:r>
      <w:r w:rsidRPr="00E935A2">
        <w:rPr>
          <w:i/>
          <w:iCs/>
        </w:rPr>
        <w:t>Danemark</w:t>
      </w:r>
      <w:r w:rsidRPr="00E935A2">
        <w:t xml:space="preserve"> </w:t>
      </w:r>
      <w:r w:rsidRPr="007B7B32">
        <w:t>(CCPR/C/117/D/2379/2014)</w:t>
      </w:r>
      <w:r w:rsidRPr="00E935A2">
        <w:t>, par. 4.1 à 4.3.</w:t>
      </w:r>
    </w:p>
  </w:footnote>
  <w:footnote w:id="7">
    <w:p w:rsidR="00F43865" w:rsidRPr="00E935A2" w:rsidRDefault="00F43865" w:rsidP="00F43865">
      <w:pPr>
        <w:pStyle w:val="Notedebasdepage"/>
      </w:pPr>
      <w:r w:rsidRPr="00E935A2">
        <w:tab/>
      </w:r>
      <w:r w:rsidRPr="00C10EEF">
        <w:rPr>
          <w:rStyle w:val="Appelnotedebasdep"/>
        </w:rPr>
        <w:footnoteRef/>
      </w:r>
      <w:r w:rsidRPr="00E935A2">
        <w:tab/>
        <w:t xml:space="preserve">Cour européenne des droits de l’homme, </w:t>
      </w:r>
      <w:r w:rsidRPr="00E935A2">
        <w:rPr>
          <w:i/>
          <w:iCs/>
        </w:rPr>
        <w:t xml:space="preserve">Samsam Mohammed Hussein et autres </w:t>
      </w:r>
      <w:r w:rsidRPr="00270BEE">
        <w:rPr>
          <w:i/>
          <w:iCs/>
        </w:rPr>
        <w:t>c</w:t>
      </w:r>
      <w:r w:rsidRPr="00E935A2">
        <w:rPr>
          <w:iCs/>
        </w:rPr>
        <w:t>.</w:t>
      </w:r>
      <w:r w:rsidRPr="00E935A2">
        <w:rPr>
          <w:i/>
          <w:iCs/>
        </w:rPr>
        <w:t> les Pays</w:t>
      </w:r>
      <w:r w:rsidRPr="00E935A2">
        <w:rPr>
          <w:i/>
          <w:iCs/>
        </w:rPr>
        <w:noBreakHyphen/>
        <w:t>Bas et l’Italie</w:t>
      </w:r>
      <w:r w:rsidRPr="00E935A2">
        <w:t xml:space="preserve"> </w:t>
      </w:r>
      <w:r>
        <w:t>(</w:t>
      </w:r>
      <w:r w:rsidRPr="00E935A2">
        <w:t xml:space="preserve">requête </w:t>
      </w:r>
      <w:r w:rsidRPr="00E935A2">
        <w:rPr>
          <w:rFonts w:eastAsia="MS Mincho"/>
          <w:szCs w:val="22"/>
        </w:rPr>
        <w:t>n</w:t>
      </w:r>
      <w:r w:rsidRPr="00E935A2">
        <w:rPr>
          <w:rFonts w:eastAsia="MS Mincho"/>
          <w:szCs w:val="22"/>
          <w:vertAlign w:val="superscript"/>
        </w:rPr>
        <w:t>o</w:t>
      </w:r>
      <w:r w:rsidRPr="00E935A2">
        <w:t> 27725/10</w:t>
      </w:r>
      <w:r>
        <w:t>)</w:t>
      </w:r>
      <w:r w:rsidRPr="00E935A2">
        <w:t>, 2</w:t>
      </w:r>
      <w:r>
        <w:t> </w:t>
      </w:r>
      <w:r w:rsidRPr="00E935A2">
        <w:t>avril 2013, par.</w:t>
      </w:r>
      <w:r>
        <w:t> </w:t>
      </w:r>
      <w:r w:rsidRPr="00E935A2">
        <w:t>71 et 78.</w:t>
      </w:r>
    </w:p>
  </w:footnote>
  <w:footnote w:id="8">
    <w:p w:rsidR="00F43865" w:rsidRPr="00E935A2" w:rsidRDefault="00F43865" w:rsidP="00F43865">
      <w:pPr>
        <w:pStyle w:val="Notedebasdepage"/>
      </w:pPr>
      <w:r w:rsidRPr="00E935A2">
        <w:tab/>
      </w:r>
      <w:r w:rsidRPr="00C10EEF">
        <w:rPr>
          <w:rStyle w:val="Appelnotedebasdep"/>
        </w:rPr>
        <w:footnoteRef/>
      </w:r>
      <w:r w:rsidRPr="00E935A2">
        <w:tab/>
        <w:t xml:space="preserve">Voir </w:t>
      </w:r>
      <w:r w:rsidRPr="00E935A2">
        <w:rPr>
          <w:i/>
          <w:iCs/>
        </w:rPr>
        <w:t>Warda Osman Jasin et consorts</w:t>
      </w:r>
      <w:r w:rsidRPr="00E935A2">
        <w:t xml:space="preserve"> </w:t>
      </w:r>
      <w:r w:rsidRPr="00F43865">
        <w:rPr>
          <w:i/>
          <w:iCs/>
        </w:rPr>
        <w:t>c.</w:t>
      </w:r>
      <w:r w:rsidRPr="00E935A2">
        <w:t> </w:t>
      </w:r>
      <w:r w:rsidRPr="00E935A2">
        <w:rPr>
          <w:i/>
          <w:iCs/>
        </w:rPr>
        <w:t>Danemark</w:t>
      </w:r>
      <w:r w:rsidRPr="00E935A2">
        <w:t xml:space="preserve"> </w:t>
      </w:r>
      <w:r w:rsidRPr="007D3D79">
        <w:t>(CCPR/C/114/D/2360/2014)</w:t>
      </w:r>
      <w:r w:rsidRPr="00E935A2">
        <w:t>, par. 8.4.</w:t>
      </w:r>
    </w:p>
  </w:footnote>
  <w:footnote w:id="9">
    <w:p w:rsidR="00F43865" w:rsidRPr="00E935A2" w:rsidRDefault="00F43865" w:rsidP="00F43865">
      <w:pPr>
        <w:pStyle w:val="Notedebasdepage"/>
      </w:pPr>
      <w:r w:rsidRPr="00E935A2">
        <w:tab/>
      </w:r>
      <w:r w:rsidRPr="00C10EEF">
        <w:rPr>
          <w:rStyle w:val="Appelnotedebasdep"/>
        </w:rPr>
        <w:footnoteRef/>
      </w:r>
      <w:r w:rsidRPr="00E935A2">
        <w:tab/>
        <w:t xml:space="preserve">Voir </w:t>
      </w:r>
      <w:r w:rsidRPr="00E935A2">
        <w:rPr>
          <w:i/>
          <w:iCs/>
        </w:rPr>
        <w:t xml:space="preserve">Manzano et </w:t>
      </w:r>
      <w:r w:rsidRPr="00F43865">
        <w:rPr>
          <w:i/>
          <w:iCs/>
        </w:rPr>
        <w:t>consorts c.</w:t>
      </w:r>
      <w:r w:rsidRPr="00E935A2">
        <w:t> </w:t>
      </w:r>
      <w:r w:rsidRPr="00E935A2">
        <w:rPr>
          <w:i/>
          <w:iCs/>
        </w:rPr>
        <w:t>Colombie</w:t>
      </w:r>
      <w:r w:rsidRPr="00E935A2">
        <w:t xml:space="preserve"> </w:t>
      </w:r>
      <w:r w:rsidRPr="00294D09">
        <w:rPr>
          <w:lang w:val="fr-FR"/>
        </w:rPr>
        <w:t>(CCPR/C/98/D/1616/2007)</w:t>
      </w:r>
      <w:r w:rsidRPr="00E935A2">
        <w:t xml:space="preserve">, par. 6.4, </w:t>
      </w:r>
      <w:r w:rsidRPr="00E935A2">
        <w:rPr>
          <w:i/>
          <w:iCs/>
        </w:rPr>
        <w:t>L.</w:t>
      </w:r>
      <w:r>
        <w:rPr>
          <w:i/>
          <w:iCs/>
        </w:rPr>
        <w:t> </w:t>
      </w:r>
      <w:r w:rsidRPr="00E935A2">
        <w:rPr>
          <w:i/>
          <w:iCs/>
        </w:rPr>
        <w:t>D.</w:t>
      </w:r>
      <w:r>
        <w:rPr>
          <w:i/>
          <w:iCs/>
        </w:rPr>
        <w:t> </w:t>
      </w:r>
      <w:r w:rsidRPr="00E935A2">
        <w:rPr>
          <w:i/>
          <w:iCs/>
        </w:rPr>
        <w:t>L.</w:t>
      </w:r>
      <w:r>
        <w:rPr>
          <w:i/>
          <w:iCs/>
        </w:rPr>
        <w:t> </w:t>
      </w:r>
      <w:r w:rsidRPr="00E935A2">
        <w:rPr>
          <w:i/>
          <w:iCs/>
        </w:rPr>
        <w:t>P.</w:t>
      </w:r>
      <w:r w:rsidRPr="00E935A2">
        <w:t xml:space="preserve"> </w:t>
      </w:r>
      <w:r w:rsidRPr="00F43865">
        <w:rPr>
          <w:i/>
          <w:iCs/>
        </w:rPr>
        <w:t>c. </w:t>
      </w:r>
      <w:r w:rsidRPr="00E935A2">
        <w:rPr>
          <w:i/>
          <w:iCs/>
        </w:rPr>
        <w:t>Espagne</w:t>
      </w:r>
      <w:r w:rsidRPr="00E935A2">
        <w:t xml:space="preserve"> </w:t>
      </w:r>
      <w:r w:rsidRPr="00294D09">
        <w:rPr>
          <w:lang w:val="fr-FR"/>
        </w:rPr>
        <w:t>(CCPR/C/102/D/1622/2007)</w:t>
      </w:r>
      <w:r>
        <w:t>, par. </w:t>
      </w:r>
      <w:r w:rsidRPr="00E935A2">
        <w:t>6.3</w:t>
      </w:r>
      <w:r>
        <w:t>,</w:t>
      </w:r>
      <w:r w:rsidRPr="00E935A2">
        <w:t xml:space="preserve"> </w:t>
      </w:r>
      <w:r>
        <w:t>et</w:t>
      </w:r>
      <w:r w:rsidRPr="00E935A2">
        <w:t xml:space="preserve"> </w:t>
      </w:r>
      <w:r w:rsidRPr="00E935A2">
        <w:rPr>
          <w:i/>
          <w:iCs/>
        </w:rPr>
        <w:t>Cañada Mora</w:t>
      </w:r>
      <w:r>
        <w:t xml:space="preserve"> </w:t>
      </w:r>
      <w:r w:rsidRPr="00F43865">
        <w:rPr>
          <w:i/>
          <w:iCs/>
        </w:rPr>
        <w:t>c. </w:t>
      </w:r>
      <w:r w:rsidRPr="00E935A2">
        <w:rPr>
          <w:i/>
          <w:iCs/>
        </w:rPr>
        <w:t>Espagne</w:t>
      </w:r>
      <w:r w:rsidRPr="00E935A2">
        <w:t xml:space="preserve"> </w:t>
      </w:r>
      <w:r w:rsidRPr="00C86353">
        <w:t>(CCPR/C/112/D/2070/2011)</w:t>
      </w:r>
      <w:r w:rsidRPr="00E935A2">
        <w:t>, par.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865" w:rsidRPr="006C375E" w:rsidRDefault="00474458">
    <w:pPr>
      <w:pStyle w:val="En-tte"/>
    </w:pPr>
    <w:r>
      <w:fldChar w:fldCharType="begin"/>
    </w:r>
    <w:r>
      <w:instrText xml:space="preserve"> TITLE  \* MERGEFORMAT </w:instrText>
    </w:r>
    <w:r>
      <w:fldChar w:fldCharType="separate"/>
    </w:r>
    <w:r w:rsidR="00D31A96">
      <w:t>CCPR/C/125/D/2672/2015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865" w:rsidRPr="006C375E" w:rsidRDefault="00474458" w:rsidP="006C375E">
    <w:pPr>
      <w:pStyle w:val="En-tte"/>
      <w:jc w:val="right"/>
    </w:pPr>
    <w:r>
      <w:fldChar w:fldCharType="begin"/>
    </w:r>
    <w:r>
      <w:instrText xml:space="preserve"> TITLE  \* MERGEFORMAT </w:instrText>
    </w:r>
    <w:r>
      <w:fldChar w:fldCharType="separate"/>
    </w:r>
    <w:r w:rsidR="00D31A96">
      <w:t>CCPR/C/125/D/2672/2015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03BB"/>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402F1"/>
    <w:rsid w:val="00351332"/>
    <w:rsid w:val="003A6E96"/>
    <w:rsid w:val="003F03BB"/>
    <w:rsid w:val="00446FE5"/>
    <w:rsid w:val="00452396"/>
    <w:rsid w:val="00474458"/>
    <w:rsid w:val="005505B7"/>
    <w:rsid w:val="00573BE5"/>
    <w:rsid w:val="00586ED3"/>
    <w:rsid w:val="00596AA9"/>
    <w:rsid w:val="006065AF"/>
    <w:rsid w:val="006C375E"/>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9151D"/>
    <w:rsid w:val="00AA6A35"/>
    <w:rsid w:val="00AC3823"/>
    <w:rsid w:val="00AE323C"/>
    <w:rsid w:val="00B00181"/>
    <w:rsid w:val="00B765F7"/>
    <w:rsid w:val="00BA0CA9"/>
    <w:rsid w:val="00C01ACF"/>
    <w:rsid w:val="00C02897"/>
    <w:rsid w:val="00C8155D"/>
    <w:rsid w:val="00CA7BC4"/>
    <w:rsid w:val="00CF23AB"/>
    <w:rsid w:val="00CF6DFE"/>
    <w:rsid w:val="00D05667"/>
    <w:rsid w:val="00D31A96"/>
    <w:rsid w:val="00D3439C"/>
    <w:rsid w:val="00D744E5"/>
    <w:rsid w:val="00D83177"/>
    <w:rsid w:val="00DB1831"/>
    <w:rsid w:val="00DD3BFD"/>
    <w:rsid w:val="00DF6678"/>
    <w:rsid w:val="00E85C42"/>
    <w:rsid w:val="00EC30D5"/>
    <w:rsid w:val="00EE1BD4"/>
    <w:rsid w:val="00F12152"/>
    <w:rsid w:val="00F43865"/>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B406C"/>
  <w15:docId w15:val="{674899F5-4F62-4B97-98BF-1D4D3DC0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callout"/>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2793</Words>
  <Characters>15925</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CCPR/C/125/D/2672/2015</vt:lpstr>
    </vt:vector>
  </TitlesOfParts>
  <Company>DCM</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CCPR/C/125/D/2672/2015</dc:title>
  <dc:subject/>
  <dc:creator>Marie DESCHAMPS</dc:creator>
  <cp:keywords/>
  <cp:lastModifiedBy>Marie DESCHAMPS</cp:lastModifiedBy>
  <cp:revision>3</cp:revision>
  <cp:lastPrinted>2014-05-14T10:59:00Z</cp:lastPrinted>
  <dcterms:created xsi:type="dcterms:W3CDTF">2020-06-12T12:46:00Z</dcterms:created>
  <dcterms:modified xsi:type="dcterms:W3CDTF">2020-06-12T12:49:00Z</dcterms:modified>
</cp:coreProperties>
</file>