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9A3F318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53E198" w14:textId="77777777" w:rsidR="002D5AAC" w:rsidRDefault="002D5AAC" w:rsidP="00D631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E0267F3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D5AA620" w14:textId="77777777" w:rsidR="002D5AAC" w:rsidRDefault="00D631BA" w:rsidP="00D631BA">
            <w:pPr>
              <w:jc w:val="right"/>
            </w:pPr>
            <w:r w:rsidRPr="00D631BA">
              <w:rPr>
                <w:sz w:val="40"/>
              </w:rPr>
              <w:t>CCPR</w:t>
            </w:r>
            <w:r>
              <w:t>/C/126/D/2716/2016</w:t>
            </w:r>
          </w:p>
        </w:tc>
      </w:tr>
      <w:tr w:rsidR="002D5AAC" w:rsidRPr="006D616B" w14:paraId="0FB67E8E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B18E8C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58CADE" wp14:editId="616B7E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B67EDB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B2D63E9" w14:textId="77777777" w:rsidR="00D631BA" w:rsidRDefault="00D631BA" w:rsidP="00BC3629">
            <w:pPr>
              <w:spacing w:before="240"/>
              <w:rPr>
                <w:lang w:val="en-US"/>
              </w:rPr>
            </w:pPr>
            <w:r w:rsidRPr="00D631BA">
              <w:rPr>
                <w:lang w:val="en-US"/>
              </w:rPr>
              <w:t>Distr.: General</w:t>
            </w:r>
          </w:p>
          <w:p w14:paraId="275EBF02" w14:textId="77777777" w:rsidR="00D631BA" w:rsidRPr="006D616B" w:rsidRDefault="00D631BA" w:rsidP="00D631BA">
            <w:pPr>
              <w:suppressAutoHyphens w:val="0"/>
              <w:rPr>
                <w:lang w:val="en-US"/>
              </w:rPr>
            </w:pPr>
            <w:r w:rsidRPr="006D616B">
              <w:rPr>
                <w:lang w:val="en-US"/>
              </w:rPr>
              <w:t>24 September 2019</w:t>
            </w:r>
          </w:p>
          <w:p w14:paraId="78D26FA3" w14:textId="77777777" w:rsidR="00D631BA" w:rsidRPr="00D631BA" w:rsidRDefault="00D631BA" w:rsidP="00D631BA">
            <w:pPr>
              <w:spacing w:line="240" w:lineRule="exact"/>
              <w:rPr>
                <w:lang w:val="en-US"/>
              </w:rPr>
            </w:pPr>
            <w:r w:rsidRPr="00D631BA">
              <w:rPr>
                <w:lang w:val="en-US"/>
              </w:rPr>
              <w:t>Russian</w:t>
            </w:r>
          </w:p>
          <w:p w14:paraId="3C11BE18" w14:textId="77777777" w:rsidR="00D631BA" w:rsidRPr="00D631BA" w:rsidRDefault="00D631BA" w:rsidP="00D631BA">
            <w:pPr>
              <w:spacing w:line="240" w:lineRule="exact"/>
              <w:rPr>
                <w:lang w:val="en-US"/>
              </w:rPr>
            </w:pPr>
            <w:r w:rsidRPr="00D631BA">
              <w:rPr>
                <w:lang w:val="en-US"/>
              </w:rPr>
              <w:t>Original: English</w:t>
            </w:r>
          </w:p>
        </w:tc>
      </w:tr>
    </w:tbl>
    <w:p w14:paraId="6721CD46" w14:textId="77777777" w:rsidR="00D631BA" w:rsidRPr="00006130" w:rsidRDefault="00D631BA" w:rsidP="00D631BA">
      <w:pPr>
        <w:spacing w:before="120"/>
        <w:rPr>
          <w:b/>
          <w:bCs/>
          <w:sz w:val="24"/>
          <w:szCs w:val="24"/>
        </w:rPr>
      </w:pPr>
      <w:r w:rsidRPr="00006130">
        <w:rPr>
          <w:b/>
          <w:bCs/>
          <w:sz w:val="24"/>
          <w:szCs w:val="24"/>
        </w:rPr>
        <w:t>Комитет по правам человека</w:t>
      </w:r>
    </w:p>
    <w:p w14:paraId="16CCDF68" w14:textId="77777777" w:rsidR="00D631BA" w:rsidRPr="00006130" w:rsidRDefault="00D631BA" w:rsidP="00D631BA">
      <w:pPr>
        <w:pStyle w:val="HChG"/>
      </w:pPr>
      <w:r w:rsidRPr="00006130">
        <w:tab/>
      </w:r>
      <w:r w:rsidRPr="00006130">
        <w:tab/>
        <w:t>Соображения, принятые Комитетом в соответствии</w:t>
      </w:r>
      <w:r>
        <w:br/>
      </w:r>
      <w:r w:rsidRPr="005F2235">
        <w:t>с пунктом</w:t>
      </w:r>
      <w:r>
        <w:t> </w:t>
      </w:r>
      <w:r w:rsidRPr="005F2235">
        <w:t>4 статьи</w:t>
      </w:r>
      <w:r>
        <w:t> </w:t>
      </w:r>
      <w:r w:rsidRPr="005F2235">
        <w:t>5</w:t>
      </w:r>
      <w:r>
        <w:t xml:space="preserve"> </w:t>
      </w:r>
      <w:r w:rsidRPr="00006130">
        <w:t xml:space="preserve">Факультативного протокола </w:t>
      </w:r>
      <w:r w:rsidRPr="00FD27AA">
        <w:t xml:space="preserve">относительно </w:t>
      </w:r>
      <w:r w:rsidRPr="00006130">
        <w:t>сообщения №</w:t>
      </w:r>
      <w:r>
        <w:t> </w:t>
      </w:r>
      <w:r w:rsidRPr="00006130">
        <w:t>2716/2016</w:t>
      </w:r>
      <w:r w:rsidRPr="00D631BA">
        <w:rPr>
          <w:rStyle w:val="aa"/>
          <w:b w:val="0"/>
          <w:position w:val="6"/>
          <w:vertAlign w:val="baseline"/>
        </w:rPr>
        <w:footnoteReference w:customMarkFollows="1" w:id="1"/>
        <w:t>*</w:t>
      </w:r>
      <w:r w:rsidRPr="00D631BA">
        <w:rPr>
          <w:b w:val="0"/>
          <w:position w:val="6"/>
        </w:rPr>
        <w:t xml:space="preserve"> </w:t>
      </w:r>
      <w:r w:rsidRPr="00D631BA">
        <w:rPr>
          <w:rStyle w:val="aa"/>
          <w:b w:val="0"/>
          <w:position w:val="6"/>
          <w:vertAlign w:val="baseline"/>
        </w:rPr>
        <w:footnoteReference w:customMarkFollows="1" w:id="2"/>
        <w:t>**</w:t>
      </w:r>
      <w:r w:rsidRPr="00D631BA">
        <w:rPr>
          <w:b w:val="0"/>
          <w:position w:val="6"/>
        </w:rPr>
        <w:t xml:space="preserve"> </w:t>
      </w:r>
      <w:r w:rsidRPr="00D631BA">
        <w:rPr>
          <w:rStyle w:val="aa"/>
          <w:b w:val="0"/>
          <w:position w:val="6"/>
          <w:vertAlign w:val="baseline"/>
        </w:rPr>
        <w:footnoteReference w:customMarkFollows="1" w:id="3"/>
        <w:t>***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D631BA" w:rsidRPr="0064331C" w14:paraId="49F97DE8" w14:textId="77777777" w:rsidTr="00D631BA">
        <w:tc>
          <w:tcPr>
            <w:tcW w:w="2936" w:type="dxa"/>
            <w:hideMark/>
          </w:tcPr>
          <w:p w14:paraId="4CA35E9D" w14:textId="77777777" w:rsidR="00D631BA" w:rsidRPr="00D631BA" w:rsidRDefault="00D631BA">
            <w:pPr>
              <w:spacing w:after="120"/>
              <w:ind w:left="35"/>
              <w:rPr>
                <w:b/>
                <w:i/>
                <w:spacing w:val="4"/>
                <w:w w:val="103"/>
                <w:kern w:val="14"/>
              </w:rPr>
            </w:pPr>
            <w:r w:rsidRPr="00006130">
              <w:rPr>
                <w:i/>
                <w:iCs/>
              </w:rPr>
              <w:t>Сообщение представлено</w:t>
            </w:r>
            <w:r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14:paraId="327191F7" w14:textId="77777777" w:rsidR="00D631BA" w:rsidRPr="0064331C" w:rsidRDefault="00D631BA">
            <w:pPr>
              <w:spacing w:after="120"/>
            </w:pPr>
            <w:r w:rsidRPr="00006130">
              <w:t xml:space="preserve">Эгле Кусайте (представлена адвокатом Эрикой Леонайте и </w:t>
            </w:r>
            <w:r>
              <w:t xml:space="preserve">была </w:t>
            </w:r>
            <w:r w:rsidRPr="00006130">
              <w:t>представлена</w:t>
            </w:r>
            <w:r>
              <w:br/>
            </w:r>
            <w:r w:rsidRPr="00006130">
              <w:t>ранее Юр</w:t>
            </w:r>
            <w:r>
              <w:t>ате</w:t>
            </w:r>
            <w:r w:rsidRPr="00006130">
              <w:t xml:space="preserve"> Гузевичюте из Института мониторинга прав человека)</w:t>
            </w:r>
          </w:p>
        </w:tc>
      </w:tr>
      <w:tr w:rsidR="00D631BA" w:rsidRPr="0064331C" w14:paraId="1D440E30" w14:textId="77777777" w:rsidTr="00D631BA">
        <w:tc>
          <w:tcPr>
            <w:tcW w:w="2936" w:type="dxa"/>
            <w:hideMark/>
          </w:tcPr>
          <w:p w14:paraId="03600A92" w14:textId="77777777" w:rsidR="00D631BA" w:rsidRPr="0064331C" w:rsidRDefault="00D631BA">
            <w:pPr>
              <w:spacing w:after="120"/>
              <w:ind w:left="35"/>
              <w:rPr>
                <w:i/>
              </w:rPr>
            </w:pPr>
            <w:r w:rsidRPr="00006130">
              <w:rPr>
                <w:i/>
                <w:iCs/>
              </w:rPr>
              <w:t>Предполагаемая жертва:</w:t>
            </w:r>
          </w:p>
        </w:tc>
        <w:tc>
          <w:tcPr>
            <w:tcW w:w="3874" w:type="dxa"/>
          </w:tcPr>
          <w:p w14:paraId="16823BFD" w14:textId="77777777" w:rsidR="00D631BA" w:rsidRPr="0064331C" w:rsidRDefault="00D631BA">
            <w:pPr>
              <w:spacing w:after="120"/>
            </w:pPr>
            <w:r w:rsidRPr="009866E0">
              <w:t>автор сообщения</w:t>
            </w:r>
          </w:p>
        </w:tc>
      </w:tr>
      <w:tr w:rsidR="00D631BA" w:rsidRPr="0064331C" w14:paraId="3AEF5667" w14:textId="77777777" w:rsidTr="00D631BA">
        <w:tc>
          <w:tcPr>
            <w:tcW w:w="2936" w:type="dxa"/>
            <w:hideMark/>
          </w:tcPr>
          <w:p w14:paraId="56E10088" w14:textId="77777777" w:rsidR="00D631BA" w:rsidRPr="0064331C" w:rsidRDefault="00D631BA">
            <w:pPr>
              <w:spacing w:after="120"/>
              <w:ind w:left="35"/>
              <w:rPr>
                <w:i/>
              </w:rPr>
            </w:pPr>
            <w:r w:rsidRPr="00006130">
              <w:rPr>
                <w:i/>
                <w:iCs/>
              </w:rPr>
              <w:t>Государство-участник:</w:t>
            </w:r>
          </w:p>
        </w:tc>
        <w:tc>
          <w:tcPr>
            <w:tcW w:w="3874" w:type="dxa"/>
          </w:tcPr>
          <w:p w14:paraId="10DE4AFC" w14:textId="77777777" w:rsidR="00D631BA" w:rsidRPr="0064331C" w:rsidRDefault="00D631BA">
            <w:pPr>
              <w:spacing w:after="120"/>
            </w:pPr>
            <w:r w:rsidRPr="00006130">
              <w:t>Литва</w:t>
            </w:r>
          </w:p>
        </w:tc>
      </w:tr>
      <w:tr w:rsidR="00D631BA" w:rsidRPr="0064331C" w14:paraId="2EE9B19F" w14:textId="77777777" w:rsidTr="00D631BA">
        <w:tc>
          <w:tcPr>
            <w:tcW w:w="2936" w:type="dxa"/>
            <w:hideMark/>
          </w:tcPr>
          <w:p w14:paraId="0AD27162" w14:textId="77777777" w:rsidR="00D631BA" w:rsidRPr="0064331C" w:rsidRDefault="00D631BA">
            <w:pPr>
              <w:spacing w:after="120"/>
              <w:ind w:left="35"/>
              <w:rPr>
                <w:i/>
              </w:rPr>
            </w:pPr>
            <w:r w:rsidRPr="00006130">
              <w:rPr>
                <w:i/>
                <w:iCs/>
              </w:rPr>
              <w:t>Дата</w:t>
            </w:r>
            <w:r w:rsidRPr="00780772">
              <w:t xml:space="preserve"> </w:t>
            </w:r>
            <w:r w:rsidRPr="00780772">
              <w:rPr>
                <w:i/>
              </w:rPr>
              <w:t>сообщения:</w:t>
            </w:r>
          </w:p>
        </w:tc>
        <w:tc>
          <w:tcPr>
            <w:tcW w:w="3874" w:type="dxa"/>
          </w:tcPr>
          <w:p w14:paraId="46546669" w14:textId="77777777" w:rsidR="00D631BA" w:rsidRPr="0064331C" w:rsidRDefault="00D631BA">
            <w:pPr>
              <w:spacing w:after="120"/>
            </w:pPr>
            <w:r w:rsidRPr="00006130">
              <w:t>30</w:t>
            </w:r>
            <w:r>
              <w:t> </w:t>
            </w:r>
            <w:r w:rsidRPr="00006130">
              <w:t>октября 2015</w:t>
            </w:r>
            <w:r>
              <w:t> </w:t>
            </w:r>
            <w:r w:rsidRPr="00006130">
              <w:t>года (первоначальное представление)</w:t>
            </w:r>
          </w:p>
        </w:tc>
      </w:tr>
      <w:tr w:rsidR="00D631BA" w:rsidRPr="0064331C" w14:paraId="19CF546E" w14:textId="77777777" w:rsidTr="00D631BA">
        <w:tc>
          <w:tcPr>
            <w:tcW w:w="2936" w:type="dxa"/>
            <w:hideMark/>
          </w:tcPr>
          <w:p w14:paraId="564FF4AE" w14:textId="77777777" w:rsidR="00D631BA" w:rsidRPr="0064331C" w:rsidRDefault="00D631BA">
            <w:pPr>
              <w:spacing w:after="120"/>
              <w:ind w:left="35"/>
              <w:rPr>
                <w:i/>
              </w:rPr>
            </w:pPr>
            <w:r w:rsidRPr="00484294">
              <w:rPr>
                <w:i/>
                <w:iCs/>
              </w:rPr>
              <w:t>Справочная документация</w:t>
            </w:r>
            <w:r w:rsidRPr="00006130"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14:paraId="546AA1D5" w14:textId="77777777" w:rsidR="00D631BA" w:rsidRPr="0064331C" w:rsidRDefault="00D631BA">
            <w:pPr>
              <w:spacing w:after="120"/>
            </w:pPr>
            <w:r w:rsidRPr="00006130">
              <w:t>решение, принятое в соответствии</w:t>
            </w:r>
            <w:r>
              <w:br/>
            </w:r>
            <w:r w:rsidRPr="00006130">
              <w:t>с правилом 97 правил процедуры Комитета (ныне правило 92), препровожденное государству-участнику 8</w:t>
            </w:r>
            <w:r>
              <w:t> января</w:t>
            </w:r>
            <w:r w:rsidRPr="00006130">
              <w:t xml:space="preserve"> 2016</w:t>
            </w:r>
            <w:r>
              <w:t> года</w:t>
            </w:r>
            <w:r>
              <w:br/>
            </w:r>
            <w:r w:rsidRPr="00006130">
              <w:t>(в виде документа не издавалось)</w:t>
            </w:r>
          </w:p>
        </w:tc>
      </w:tr>
      <w:tr w:rsidR="00D631BA" w:rsidRPr="0064331C" w14:paraId="188D67F8" w14:textId="77777777" w:rsidTr="00D631BA">
        <w:tc>
          <w:tcPr>
            <w:tcW w:w="2936" w:type="dxa"/>
            <w:hideMark/>
          </w:tcPr>
          <w:p w14:paraId="41E6B097" w14:textId="77777777" w:rsidR="00D631BA" w:rsidRPr="0064331C" w:rsidRDefault="00D631BA">
            <w:pPr>
              <w:spacing w:after="120"/>
              <w:ind w:left="35"/>
              <w:rPr>
                <w:i/>
              </w:rPr>
            </w:pPr>
            <w:r w:rsidRPr="00006130">
              <w:rPr>
                <w:i/>
                <w:iCs/>
              </w:rPr>
              <w:t>Дата принятия</w:t>
            </w:r>
            <w:r w:rsidRPr="00006130">
              <w:t xml:space="preserve"> </w:t>
            </w:r>
            <w:r w:rsidRPr="00006130">
              <w:rPr>
                <w:i/>
              </w:rPr>
              <w:t>Соображений</w:t>
            </w:r>
            <w:r w:rsidRPr="00006130">
              <w:rPr>
                <w:i/>
                <w:iCs/>
              </w:rPr>
              <w:t>:</w:t>
            </w:r>
          </w:p>
        </w:tc>
        <w:tc>
          <w:tcPr>
            <w:tcW w:w="3874" w:type="dxa"/>
            <w:vAlign w:val="bottom"/>
          </w:tcPr>
          <w:p w14:paraId="4A116646" w14:textId="77777777" w:rsidR="00D631BA" w:rsidRPr="0064331C" w:rsidRDefault="00D631BA">
            <w:pPr>
              <w:spacing w:after="120"/>
            </w:pPr>
            <w:r w:rsidRPr="00006130">
              <w:t>24</w:t>
            </w:r>
            <w:r>
              <w:t> </w:t>
            </w:r>
            <w:r w:rsidRPr="00006130">
              <w:t>июля 2019</w:t>
            </w:r>
            <w:r>
              <w:t> года</w:t>
            </w:r>
          </w:p>
        </w:tc>
      </w:tr>
      <w:tr w:rsidR="00D631BA" w:rsidRPr="0064331C" w14:paraId="72A8653F" w14:textId="77777777" w:rsidTr="00D631BA">
        <w:tc>
          <w:tcPr>
            <w:tcW w:w="2936" w:type="dxa"/>
            <w:hideMark/>
          </w:tcPr>
          <w:p w14:paraId="03DA5516" w14:textId="77777777" w:rsidR="00D631BA" w:rsidRPr="0064331C" w:rsidRDefault="00D631BA">
            <w:pPr>
              <w:spacing w:after="120"/>
              <w:ind w:left="35"/>
              <w:rPr>
                <w:i/>
              </w:rPr>
            </w:pPr>
            <w:r w:rsidRPr="00CA4A46">
              <w:rPr>
                <w:i/>
                <w:iCs/>
              </w:rPr>
              <w:t>Тема сообщения</w:t>
            </w:r>
            <w:r w:rsidRPr="00006130"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14:paraId="69FEE51C" w14:textId="77777777" w:rsidR="00D631BA" w:rsidRPr="0064331C" w:rsidRDefault="00D631BA">
            <w:pPr>
              <w:spacing w:after="120"/>
            </w:pPr>
            <w:r w:rsidRPr="00006130">
              <w:t>сфера применения ограничений на свободу выражения мнений; законы о диффамации</w:t>
            </w:r>
          </w:p>
        </w:tc>
      </w:tr>
      <w:tr w:rsidR="00D631BA" w:rsidRPr="0064331C" w14:paraId="5BB0E16A" w14:textId="77777777" w:rsidTr="00D631BA">
        <w:tc>
          <w:tcPr>
            <w:tcW w:w="2936" w:type="dxa"/>
            <w:hideMark/>
          </w:tcPr>
          <w:p w14:paraId="41410850" w14:textId="77777777" w:rsidR="00D631BA" w:rsidRPr="0064331C" w:rsidRDefault="00D631BA">
            <w:pPr>
              <w:spacing w:after="120"/>
              <w:ind w:left="35"/>
              <w:rPr>
                <w:i/>
                <w:iCs/>
              </w:rPr>
            </w:pPr>
            <w:r w:rsidRPr="00006130">
              <w:rPr>
                <w:i/>
                <w:iCs/>
              </w:rPr>
              <w:t>Процедурные вопросы:</w:t>
            </w:r>
          </w:p>
        </w:tc>
        <w:tc>
          <w:tcPr>
            <w:tcW w:w="3874" w:type="dxa"/>
          </w:tcPr>
          <w:p w14:paraId="76E8CA96" w14:textId="77777777" w:rsidR="00D631BA" w:rsidRPr="0064331C" w:rsidRDefault="00D631BA">
            <w:pPr>
              <w:spacing w:after="120"/>
            </w:pPr>
            <w:r w:rsidRPr="00006130">
              <w:t xml:space="preserve">злоупотребление правом </w:t>
            </w:r>
            <w:r w:rsidRPr="00557795">
              <w:t>на представление сообщений</w:t>
            </w:r>
            <w:r w:rsidRPr="00006130">
              <w:t xml:space="preserve">; статус жертвы; </w:t>
            </w:r>
            <w:r>
              <w:t>э</w:t>
            </w:r>
            <w:r w:rsidRPr="00006130">
              <w:t>тот же вопрос</w:t>
            </w:r>
          </w:p>
        </w:tc>
      </w:tr>
      <w:tr w:rsidR="00D631BA" w:rsidRPr="0064331C" w14:paraId="38172BA2" w14:textId="77777777" w:rsidTr="00D631BA">
        <w:tc>
          <w:tcPr>
            <w:tcW w:w="2936" w:type="dxa"/>
            <w:hideMark/>
          </w:tcPr>
          <w:p w14:paraId="2BC48257" w14:textId="77777777" w:rsidR="00D631BA" w:rsidRPr="0064331C" w:rsidRDefault="00D631BA">
            <w:pPr>
              <w:spacing w:after="120"/>
              <w:ind w:left="35"/>
              <w:rPr>
                <w:i/>
                <w:iCs/>
              </w:rPr>
            </w:pPr>
            <w:r w:rsidRPr="006B04A9">
              <w:rPr>
                <w:i/>
                <w:iCs/>
              </w:rPr>
              <w:t>Вопрос существа</w:t>
            </w:r>
            <w:r w:rsidRPr="00006130"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14:paraId="2CC90D7C" w14:textId="77777777" w:rsidR="00D631BA" w:rsidRPr="0064331C" w:rsidRDefault="00D631BA">
            <w:pPr>
              <w:spacing w:after="120"/>
            </w:pPr>
            <w:r w:rsidRPr="00006130">
              <w:t>свобода мнений и их свободное выражение</w:t>
            </w:r>
          </w:p>
        </w:tc>
      </w:tr>
      <w:tr w:rsidR="00D631BA" w:rsidRPr="0064331C" w14:paraId="2ECB0540" w14:textId="77777777" w:rsidTr="00D631BA">
        <w:tc>
          <w:tcPr>
            <w:tcW w:w="2936" w:type="dxa"/>
            <w:hideMark/>
          </w:tcPr>
          <w:p w14:paraId="6BF1BAAB" w14:textId="77777777" w:rsidR="00D631BA" w:rsidRPr="0064331C" w:rsidRDefault="00D631BA">
            <w:pPr>
              <w:spacing w:after="120"/>
              <w:ind w:left="35"/>
              <w:rPr>
                <w:i/>
                <w:iCs/>
              </w:rPr>
            </w:pPr>
            <w:r w:rsidRPr="00006130">
              <w:rPr>
                <w:i/>
                <w:iCs/>
              </w:rPr>
              <w:t>Статья Пакта:</w:t>
            </w:r>
          </w:p>
        </w:tc>
        <w:tc>
          <w:tcPr>
            <w:tcW w:w="3874" w:type="dxa"/>
          </w:tcPr>
          <w:p w14:paraId="339323A3" w14:textId="77777777" w:rsidR="00D631BA" w:rsidRPr="0064331C" w:rsidRDefault="00D631BA">
            <w:pPr>
              <w:spacing w:after="120"/>
            </w:pPr>
            <w:r w:rsidRPr="006B04A9">
              <w:t>пункт</w:t>
            </w:r>
            <w:r>
              <w:t> </w:t>
            </w:r>
            <w:r w:rsidRPr="006B04A9">
              <w:t>2 статьи</w:t>
            </w:r>
            <w:r>
              <w:t> </w:t>
            </w:r>
            <w:r w:rsidRPr="006B04A9">
              <w:t>19</w:t>
            </w:r>
          </w:p>
        </w:tc>
      </w:tr>
      <w:tr w:rsidR="00D631BA" w:rsidRPr="0064331C" w14:paraId="20C73557" w14:textId="77777777" w:rsidTr="00D631BA">
        <w:tc>
          <w:tcPr>
            <w:tcW w:w="2936" w:type="dxa"/>
            <w:hideMark/>
          </w:tcPr>
          <w:p w14:paraId="3D952458" w14:textId="77777777" w:rsidR="00D631BA" w:rsidRPr="0064331C" w:rsidRDefault="00D631BA">
            <w:pPr>
              <w:spacing w:after="120"/>
              <w:ind w:left="35"/>
              <w:rPr>
                <w:i/>
                <w:iCs/>
              </w:rPr>
            </w:pPr>
            <w:r w:rsidRPr="00006130">
              <w:rPr>
                <w:i/>
                <w:iCs/>
              </w:rPr>
              <w:t>Статьи Факультативного</w:t>
            </w:r>
            <w:r w:rsidRPr="00006130">
              <w:t xml:space="preserve"> </w:t>
            </w:r>
            <w:r w:rsidRPr="00006130">
              <w:rPr>
                <w:i/>
              </w:rPr>
              <w:t>протокола</w:t>
            </w:r>
            <w:r w:rsidRPr="00D631BA">
              <w:rPr>
                <w:i/>
              </w:rPr>
              <w:t>:</w:t>
            </w:r>
          </w:p>
        </w:tc>
        <w:tc>
          <w:tcPr>
            <w:tcW w:w="3874" w:type="dxa"/>
          </w:tcPr>
          <w:p w14:paraId="1DA0115F" w14:textId="77777777" w:rsidR="00D631BA" w:rsidRPr="0064331C" w:rsidRDefault="00D631BA">
            <w:pPr>
              <w:spacing w:after="120"/>
            </w:pPr>
            <w:r w:rsidRPr="00006130">
              <w:t xml:space="preserve">1, 2, 3 и </w:t>
            </w:r>
            <w:r>
              <w:t>пункт </w:t>
            </w:r>
            <w:r w:rsidRPr="00006130">
              <w:t>2</w:t>
            </w:r>
            <w:r>
              <w:rPr>
                <w:lang w:val="en-US"/>
              </w:rPr>
              <w:t xml:space="preserve"> </w:t>
            </w:r>
            <w:r w:rsidRPr="00006130">
              <w:t>а</w:t>
            </w:r>
            <w:r>
              <w:rPr>
                <w:lang w:val="en-US"/>
              </w:rPr>
              <w:t>)</w:t>
            </w:r>
            <w:r w:rsidRPr="00006130">
              <w:t xml:space="preserve"> </w:t>
            </w:r>
            <w:r>
              <w:t>статьи </w:t>
            </w:r>
            <w:r w:rsidRPr="00006130">
              <w:t>5</w:t>
            </w:r>
          </w:p>
        </w:tc>
      </w:tr>
    </w:tbl>
    <w:p w14:paraId="15561D8E" w14:textId="77777777" w:rsidR="00CD2FF3" w:rsidRPr="00006130" w:rsidRDefault="00CD2FF3" w:rsidP="00CD2FF3">
      <w:pPr>
        <w:pStyle w:val="SingleTxtG"/>
      </w:pPr>
      <w:r w:rsidRPr="00006130">
        <w:lastRenderedPageBreak/>
        <w:t>1</w:t>
      </w:r>
      <w:r w:rsidRPr="00006130">
        <w:tab/>
        <w:t>Автор</w:t>
      </w:r>
      <w:r>
        <w:t>ом сообщения является</w:t>
      </w:r>
      <w:r w:rsidRPr="00006130">
        <w:t xml:space="preserve"> Эгле Куса</w:t>
      </w:r>
      <w:r>
        <w:t>й</w:t>
      </w:r>
      <w:r w:rsidRPr="00006130">
        <w:t>те</w:t>
      </w:r>
      <w:r>
        <w:t>,</w:t>
      </w:r>
      <w:r w:rsidRPr="00006130">
        <w:t xml:space="preserve"> гражданка Литвы 1989</w:t>
      </w:r>
      <w:r>
        <w:t> </w:t>
      </w:r>
      <w:r w:rsidRPr="00006130">
        <w:t>года рождения. Она утверждает, что государство-участник нарушило ее права в соответствии с пунктом</w:t>
      </w:r>
      <w:r>
        <w:t> </w:t>
      </w:r>
      <w:r w:rsidRPr="00006130">
        <w:t>2 статьи</w:t>
      </w:r>
      <w:r>
        <w:t> </w:t>
      </w:r>
      <w:r w:rsidRPr="00006130">
        <w:t>19 Пакта. Факультативный протокол вступил в силу для Литвы 20</w:t>
      </w:r>
      <w:r>
        <w:t> </w:t>
      </w:r>
      <w:r w:rsidRPr="00006130">
        <w:t>февраля 1992</w:t>
      </w:r>
      <w:r>
        <w:t> </w:t>
      </w:r>
      <w:r w:rsidRPr="00006130">
        <w:t>года. Автор представлен</w:t>
      </w:r>
      <w:r>
        <w:t>а</w:t>
      </w:r>
      <w:r w:rsidRPr="00006130">
        <w:t xml:space="preserve"> адвокатом.</w:t>
      </w:r>
    </w:p>
    <w:p w14:paraId="23B886FC" w14:textId="77777777" w:rsidR="00CD2FF3" w:rsidRPr="00DB4259" w:rsidRDefault="00CD2FF3" w:rsidP="00CD2FF3">
      <w:pPr>
        <w:pStyle w:val="H23G"/>
      </w:pPr>
      <w:r w:rsidRPr="00006130">
        <w:tab/>
      </w:r>
      <w:r w:rsidRPr="00006130">
        <w:tab/>
      </w:r>
      <w:r w:rsidRPr="00B27E8A">
        <w:t>Факты в изложении автора</w:t>
      </w:r>
    </w:p>
    <w:p w14:paraId="791F4670" w14:textId="77777777" w:rsidR="00CD2FF3" w:rsidRPr="00006130" w:rsidRDefault="00CD2FF3" w:rsidP="00CD2FF3">
      <w:pPr>
        <w:pStyle w:val="SingleTxtG"/>
      </w:pPr>
      <w:r w:rsidRPr="00006130">
        <w:t>2.1</w:t>
      </w:r>
      <w:r>
        <w:tab/>
      </w:r>
      <w:r w:rsidRPr="00006130">
        <w:t>В период 2009</w:t>
      </w:r>
      <w:r>
        <w:t>–</w:t>
      </w:r>
      <w:r w:rsidRPr="00006130">
        <w:t>2013</w:t>
      </w:r>
      <w:r>
        <w:t> </w:t>
      </w:r>
      <w:r w:rsidRPr="00006130">
        <w:t>годов против автора было возбуждено в Литве три уголовных дела по обвинению в терроризме. В ходе судебного слушания по одному из этих дел 24</w:t>
      </w:r>
      <w:r>
        <w:t> </w:t>
      </w:r>
      <w:r w:rsidRPr="00006130">
        <w:t>марта 2011</w:t>
      </w:r>
      <w:r>
        <w:t> </w:t>
      </w:r>
      <w:r w:rsidRPr="00006130">
        <w:t>года прокурор М.</w:t>
      </w:r>
      <w:r>
        <w:t> </w:t>
      </w:r>
      <w:r w:rsidRPr="00006130">
        <w:t xml:space="preserve">Д. обратился в Вильнюсский </w:t>
      </w:r>
      <w:r>
        <w:t>окружной</w:t>
      </w:r>
      <w:r w:rsidRPr="00006130">
        <w:t xml:space="preserve"> суд с </w:t>
      </w:r>
      <w:r>
        <w:t>ходатайством</w:t>
      </w:r>
      <w:r w:rsidRPr="00006130">
        <w:t xml:space="preserve"> вынести постановление о предварительном заключении автора сообщения. Во время перерыва в судебном заседании автор </w:t>
      </w:r>
      <w:r>
        <w:t>дала</w:t>
      </w:r>
      <w:r w:rsidRPr="00006130">
        <w:t xml:space="preserve"> интервью телевизионно</w:t>
      </w:r>
      <w:r>
        <w:t>му</w:t>
      </w:r>
      <w:r w:rsidRPr="00006130">
        <w:t xml:space="preserve"> репортер</w:t>
      </w:r>
      <w:r>
        <w:t>у</w:t>
      </w:r>
      <w:r w:rsidRPr="00006130">
        <w:t xml:space="preserve"> и сделала следующее замечание в отношении прокуроров, которые в то время занимались ее уголовным делом: </w:t>
      </w:r>
      <w:r>
        <w:t>«Абсурд</w:t>
      </w:r>
      <w:r w:rsidRPr="00006130">
        <w:t xml:space="preserve">, </w:t>
      </w:r>
      <w:r>
        <w:t>это государство абсурда</w:t>
      </w:r>
      <w:r w:rsidRPr="00006130">
        <w:t xml:space="preserve">, прокурор, </w:t>
      </w:r>
      <w:r>
        <w:t>по моему мнению</w:t>
      </w:r>
      <w:r w:rsidRPr="00006130">
        <w:t xml:space="preserve">... совершает преступления... как они могут убивать людей, пусть </w:t>
      </w:r>
      <w:r>
        <w:t>по</w:t>
      </w:r>
      <w:r w:rsidRPr="00006130">
        <w:t xml:space="preserve">смотрят, что они делают с моей тетей, </w:t>
      </w:r>
      <w:r>
        <w:t>моими близкими</w:t>
      </w:r>
      <w:r w:rsidRPr="00006130">
        <w:t xml:space="preserve">... </w:t>
      </w:r>
      <w:r>
        <w:t>Ю</w:t>
      </w:r>
      <w:r w:rsidRPr="00006130">
        <w:t>.</w:t>
      </w:r>
      <w:r>
        <w:t> Л</w:t>
      </w:r>
      <w:r w:rsidRPr="00006130">
        <w:t xml:space="preserve">. и </w:t>
      </w:r>
      <w:r w:rsidRPr="002E225A">
        <w:t>M</w:t>
      </w:r>
      <w:r w:rsidRPr="00006130">
        <w:t>.</w:t>
      </w:r>
      <w:r>
        <w:t> Д</w:t>
      </w:r>
      <w:r w:rsidRPr="00006130">
        <w:t>.</w:t>
      </w:r>
      <w:r>
        <w:rPr>
          <w:lang w:val="en-US"/>
        </w:rPr>
        <w:t> </w:t>
      </w:r>
      <w:r w:rsidR="003F28DE">
        <w:t>–</w:t>
      </w:r>
      <w:r w:rsidRPr="00006130">
        <w:t xml:space="preserve"> преступник</w:t>
      </w:r>
      <w:r>
        <w:t>и».</w:t>
      </w:r>
    </w:p>
    <w:p w14:paraId="3FDE2F2C" w14:textId="77777777" w:rsidR="00CD2FF3" w:rsidRPr="00006130" w:rsidRDefault="00CD2FF3" w:rsidP="00CD2FF3">
      <w:pPr>
        <w:pStyle w:val="SingleTxtG"/>
      </w:pPr>
      <w:r w:rsidRPr="00B13A36">
        <w:t>2.2</w:t>
      </w:r>
      <w:r w:rsidRPr="00006130">
        <w:tab/>
        <w:t>29</w:t>
      </w:r>
      <w:r>
        <w:t> </w:t>
      </w:r>
      <w:r w:rsidRPr="00006130">
        <w:t>марта 2011</w:t>
      </w:r>
      <w:r>
        <w:t> </w:t>
      </w:r>
      <w:r w:rsidRPr="00006130">
        <w:t xml:space="preserve">года прокурор </w:t>
      </w:r>
      <w:r>
        <w:t>Ю</w:t>
      </w:r>
      <w:r w:rsidRPr="00006130">
        <w:t>.</w:t>
      </w:r>
      <w:r>
        <w:t> </w:t>
      </w:r>
      <w:r w:rsidRPr="00006130">
        <w:t xml:space="preserve">Л. обратился в прокуратуру Вильнюса с </w:t>
      </w:r>
      <w:r>
        <w:t>ходатайством</w:t>
      </w:r>
      <w:r w:rsidRPr="00006130">
        <w:t xml:space="preserve"> начать в отношении автора досудебное расследование в соответствии со статьей</w:t>
      </w:r>
      <w:r>
        <w:t> </w:t>
      </w:r>
      <w:r w:rsidRPr="00006130">
        <w:t xml:space="preserve">290 Уголовного кодекса. Данная статья предусматривает уголовную ответственность за оскорбление </w:t>
      </w:r>
      <w:r w:rsidRPr="00A86D5B">
        <w:t>государственного служащего либо лица, выполняющего функции публичного администрирования</w:t>
      </w:r>
      <w:r>
        <w:t>,</w:t>
      </w:r>
      <w:r w:rsidRPr="00006130">
        <w:t xml:space="preserve"> при исполнении им своих обязанностей.</w:t>
      </w:r>
    </w:p>
    <w:p w14:paraId="49C487D2" w14:textId="77777777" w:rsidR="00CD2FF3" w:rsidRPr="00006130" w:rsidRDefault="00CD2FF3" w:rsidP="00CD2FF3">
      <w:pPr>
        <w:pStyle w:val="SingleTxtG"/>
      </w:pPr>
      <w:r w:rsidRPr="00006130">
        <w:t>2.3</w:t>
      </w:r>
      <w:r w:rsidRPr="00006130">
        <w:tab/>
        <w:t>10</w:t>
      </w:r>
      <w:r>
        <w:t> </w:t>
      </w:r>
      <w:r w:rsidRPr="00006130">
        <w:t>апреля 2012</w:t>
      </w:r>
      <w:r>
        <w:t> года</w:t>
      </w:r>
      <w:r w:rsidRPr="00006130">
        <w:t xml:space="preserve"> Вильнюсский </w:t>
      </w:r>
      <w:r>
        <w:t>участковый</w:t>
      </w:r>
      <w:r w:rsidRPr="00006130">
        <w:t xml:space="preserve"> суд признал автора виновн</w:t>
      </w:r>
      <w:r>
        <w:t>ой</w:t>
      </w:r>
      <w:r w:rsidRPr="00006130">
        <w:t xml:space="preserve"> по вышеупомянутым обвинениям и наложил уголовный штраф в размере 1</w:t>
      </w:r>
      <w:r>
        <w:t> </w:t>
      </w:r>
      <w:r w:rsidRPr="00006130">
        <w:t>300</w:t>
      </w:r>
      <w:r>
        <w:t> </w:t>
      </w:r>
      <w:r w:rsidRPr="00006130">
        <w:t>литов (примерно 380</w:t>
      </w:r>
      <w:r>
        <w:t> </w:t>
      </w:r>
      <w:r w:rsidRPr="00006130">
        <w:t>евро). 28</w:t>
      </w:r>
      <w:r>
        <w:t> июня</w:t>
      </w:r>
      <w:r w:rsidRPr="00006130">
        <w:t xml:space="preserve"> 2012</w:t>
      </w:r>
      <w:r>
        <w:t> года</w:t>
      </w:r>
      <w:r w:rsidRPr="00006130">
        <w:t xml:space="preserve"> Вильнюсск</w:t>
      </w:r>
      <w:r>
        <w:t>и</w:t>
      </w:r>
      <w:r w:rsidRPr="00006130">
        <w:t xml:space="preserve">й </w:t>
      </w:r>
      <w:r>
        <w:t>окружной</w:t>
      </w:r>
      <w:r w:rsidRPr="00006130">
        <w:t xml:space="preserve"> суд оставил в силе решение суда первой инстанции. 22</w:t>
      </w:r>
      <w:r>
        <w:t> января</w:t>
      </w:r>
      <w:r w:rsidRPr="00006130">
        <w:t xml:space="preserve"> 2013</w:t>
      </w:r>
      <w:r>
        <w:t> года</w:t>
      </w:r>
      <w:r w:rsidRPr="00006130">
        <w:t xml:space="preserve"> Верховный суд Литвы отклонил апелляцию автора сообщения</w:t>
      </w:r>
      <w:r>
        <w:t xml:space="preserve"> </w:t>
      </w:r>
      <w:r w:rsidRPr="00006130">
        <w:t>в рамках кассационного производства.</w:t>
      </w:r>
    </w:p>
    <w:p w14:paraId="139B5F27" w14:textId="77777777" w:rsidR="00CD2FF3" w:rsidRPr="00006130" w:rsidRDefault="00CD2FF3" w:rsidP="00CD2FF3">
      <w:pPr>
        <w:pStyle w:val="SingleTxtG"/>
      </w:pPr>
      <w:r w:rsidRPr="00006130">
        <w:t>2.4</w:t>
      </w:r>
      <w:r w:rsidRPr="00006130">
        <w:tab/>
        <w:t>Автор подал</w:t>
      </w:r>
      <w:r>
        <w:t>а</w:t>
      </w:r>
      <w:r w:rsidRPr="00006130">
        <w:t xml:space="preserve"> жалобу в Европейский суд по правам человека, который</w:t>
      </w:r>
      <w:r>
        <w:t>, заседая</w:t>
      </w:r>
      <w:r w:rsidRPr="00006130">
        <w:t xml:space="preserve"> в составе одного судьи</w:t>
      </w:r>
      <w:r>
        <w:t>,</w:t>
      </w:r>
      <w:r w:rsidRPr="00006130">
        <w:t xml:space="preserve"> признал ее неприемлемой</w:t>
      </w:r>
      <w:r>
        <w:t xml:space="preserve"> </w:t>
      </w:r>
      <w:r w:rsidRPr="00006130">
        <w:t>31</w:t>
      </w:r>
      <w:r>
        <w:t> октября</w:t>
      </w:r>
      <w:r w:rsidRPr="00006130">
        <w:t xml:space="preserve"> 2013</w:t>
      </w:r>
      <w:r>
        <w:t> года</w:t>
      </w:r>
      <w:r w:rsidRPr="00006130">
        <w:t>.</w:t>
      </w:r>
    </w:p>
    <w:p w14:paraId="4A9E292B" w14:textId="77777777" w:rsidR="00CD2FF3" w:rsidRPr="00006130" w:rsidRDefault="00CD2FF3" w:rsidP="00CD2FF3">
      <w:pPr>
        <w:pStyle w:val="H23G"/>
      </w:pPr>
      <w:r w:rsidRPr="00006130">
        <w:tab/>
      </w:r>
      <w:r w:rsidRPr="00006130">
        <w:tab/>
        <w:t>Жалоба</w:t>
      </w:r>
    </w:p>
    <w:p w14:paraId="309E33D5" w14:textId="77777777" w:rsidR="00CD2FF3" w:rsidRPr="00006130" w:rsidRDefault="00CD2FF3" w:rsidP="00CD2FF3">
      <w:pPr>
        <w:pStyle w:val="SingleTxtG"/>
      </w:pPr>
      <w:r w:rsidRPr="00006130">
        <w:t>3.1</w:t>
      </w:r>
      <w:r w:rsidRPr="00006130">
        <w:tab/>
        <w:t xml:space="preserve">Автор утверждает, что вынесенный ей уголовный приговор за критические заявления в адрес прокуроров, осуществлявших уголовное преследование, </w:t>
      </w:r>
      <w:r>
        <w:t>явился</w:t>
      </w:r>
      <w:r w:rsidRPr="00006130">
        <w:t xml:space="preserve"> нарушение</w:t>
      </w:r>
      <w:r>
        <w:t>м</w:t>
      </w:r>
      <w:r w:rsidRPr="00006130">
        <w:t xml:space="preserve"> ее права на свободу выражения мнений в соответствии с </w:t>
      </w:r>
      <w:r>
        <w:t>пунктом </w:t>
      </w:r>
      <w:r w:rsidRPr="00006130">
        <w:t xml:space="preserve">2 </w:t>
      </w:r>
      <w:r>
        <w:t>статьи </w:t>
      </w:r>
      <w:r w:rsidRPr="00006130">
        <w:t>19 Пакта.</w:t>
      </w:r>
    </w:p>
    <w:p w14:paraId="40374AB8" w14:textId="77777777" w:rsidR="00CD2FF3" w:rsidRPr="00006130" w:rsidRDefault="00CD2FF3" w:rsidP="00CD2FF3">
      <w:pPr>
        <w:pStyle w:val="SingleTxtG"/>
      </w:pPr>
      <w:r w:rsidRPr="00006130">
        <w:t>3.2</w:t>
      </w:r>
      <w:r w:rsidRPr="00006130">
        <w:tab/>
        <w:t xml:space="preserve">Автор утверждает, что </w:t>
      </w:r>
      <w:r>
        <w:t>статья </w:t>
      </w:r>
      <w:r w:rsidRPr="00006130">
        <w:t xml:space="preserve">290 Уголовного кодекса касается исключительно </w:t>
      </w:r>
      <w:r w:rsidRPr="00A86D5B">
        <w:t>государственного служащего либо лица, выполняющего функции публичного администрирования</w:t>
      </w:r>
      <w:r w:rsidRPr="00006130">
        <w:t>, и что в соответствии с национальным законодательством прокуроры не рассматриваются в качестве гражданских служащих</w:t>
      </w:r>
      <w:r w:rsidRPr="00137EA3">
        <w:rPr>
          <w:rStyle w:val="aa"/>
        </w:rPr>
        <w:footnoteReference w:id="4"/>
      </w:r>
      <w:r>
        <w:t>.</w:t>
      </w:r>
      <w:r w:rsidRPr="00006130">
        <w:t xml:space="preserve"> </w:t>
      </w:r>
      <w:r w:rsidRPr="00701908">
        <w:t xml:space="preserve">В связи с этим </w:t>
      </w:r>
      <w:r w:rsidRPr="00006130">
        <w:t xml:space="preserve">автор утверждает, что национальные суды дали чрезмерно широкое толкование </w:t>
      </w:r>
      <w:r>
        <w:t>статьи </w:t>
      </w:r>
      <w:r w:rsidRPr="00006130">
        <w:t xml:space="preserve">290, которое не соответствует нормам достаточно точного и предсказуемого закона, и поэтому </w:t>
      </w:r>
      <w:r>
        <w:t xml:space="preserve">вмешательство в </w:t>
      </w:r>
      <w:r w:rsidRPr="00006130">
        <w:t>ее права не было предусмотрено законом.</w:t>
      </w:r>
    </w:p>
    <w:p w14:paraId="243A549B" w14:textId="77777777" w:rsidR="00CD2FF3" w:rsidRPr="00006130" w:rsidRDefault="00CD2FF3" w:rsidP="00CD2FF3">
      <w:pPr>
        <w:pStyle w:val="SingleTxtG"/>
      </w:pPr>
      <w:r w:rsidRPr="00006130">
        <w:t>3.3</w:t>
      </w:r>
      <w:r w:rsidRPr="00006130">
        <w:tab/>
        <w:t>Кроме того, автор утверждает, что цель ограничения свободы выражения мнений, закрепленного в статье</w:t>
      </w:r>
      <w:r>
        <w:t> </w:t>
      </w:r>
      <w:r w:rsidRPr="00006130">
        <w:t xml:space="preserve">290, заключается в защите деятельности гражданских служащих или лиц, выполняющих функции </w:t>
      </w:r>
      <w:r>
        <w:t>публичного администрирования</w:t>
      </w:r>
      <w:r w:rsidRPr="00137EA3">
        <w:rPr>
          <w:rStyle w:val="aa"/>
        </w:rPr>
        <w:footnoteReference w:id="5"/>
      </w:r>
      <w:r>
        <w:t>.</w:t>
      </w:r>
      <w:r w:rsidR="00B90BBD">
        <w:br/>
      </w:r>
      <w:r w:rsidRPr="00006130">
        <w:t xml:space="preserve">Она утверждает, что эта цель не совместима ни с одной из законных целей, перечисленных в </w:t>
      </w:r>
      <w:r>
        <w:t>пункте </w:t>
      </w:r>
      <w:r w:rsidRPr="00006130">
        <w:t xml:space="preserve">3 </w:t>
      </w:r>
      <w:r>
        <w:t>статьи </w:t>
      </w:r>
      <w:r w:rsidRPr="00006130">
        <w:t xml:space="preserve">19 Пакта. Автор настаивает на том, что </w:t>
      </w:r>
      <w:r>
        <w:t>«</w:t>
      </w:r>
      <w:r w:rsidRPr="00006130">
        <w:t>общественный порядок</w:t>
      </w:r>
      <w:r>
        <w:t>»</w:t>
      </w:r>
      <w:r w:rsidRPr="00006130">
        <w:t xml:space="preserve"> как допустимое основание для ограничения свободы выражения мнений не должен толковаться широко и что защита деятельности государственных служащих не относится к категории общественного порядка.</w:t>
      </w:r>
      <w:r w:rsidR="000476DB">
        <w:br/>
      </w:r>
      <w:r w:rsidRPr="00006130">
        <w:t xml:space="preserve">Она также не согласна с выводом Верховного суда о том, что </w:t>
      </w:r>
      <w:r>
        <w:t>статья </w:t>
      </w:r>
      <w:r w:rsidRPr="00006130">
        <w:t>290 направлена</w:t>
      </w:r>
      <w:r w:rsidRPr="00B76568">
        <w:t xml:space="preserve"> </w:t>
      </w:r>
      <w:r w:rsidRPr="00006130">
        <w:lastRenderedPageBreak/>
        <w:t>на защиту, в частности, чести и достоинства гражданских служащих. Она утверждает, что на защиту достоинства и чести человека</w:t>
      </w:r>
      <w:r>
        <w:t xml:space="preserve"> на самом деле</w:t>
      </w:r>
      <w:r w:rsidRPr="00006130">
        <w:t xml:space="preserve"> направлена</w:t>
      </w:r>
      <w:r>
        <w:t xml:space="preserve"> статья </w:t>
      </w:r>
      <w:r w:rsidRPr="00006130">
        <w:t xml:space="preserve">155 Уголовного кодекса, и поэтому уголовное преследование на основании </w:t>
      </w:r>
      <w:r>
        <w:t>статьи </w:t>
      </w:r>
      <w:r w:rsidRPr="00006130">
        <w:t xml:space="preserve">155 требует подачи потерпевшим заявления о возбуждении уголовного дела (частное обвинение). </w:t>
      </w:r>
      <w:r>
        <w:t>Однако</w:t>
      </w:r>
      <w:r w:rsidRPr="00006130">
        <w:t xml:space="preserve"> возбуждение уголовного дела в соответствии со </w:t>
      </w:r>
      <w:r>
        <w:t>статьей </w:t>
      </w:r>
      <w:r w:rsidRPr="00006130">
        <w:t xml:space="preserve">290, </w:t>
      </w:r>
      <w:r>
        <w:t xml:space="preserve">которая была </w:t>
      </w:r>
      <w:r w:rsidRPr="00006130">
        <w:t>примен</w:t>
      </w:r>
      <w:r>
        <w:t xml:space="preserve">ена </w:t>
      </w:r>
      <w:r w:rsidRPr="00006130">
        <w:t xml:space="preserve">в </w:t>
      </w:r>
      <w:r>
        <w:t>ее случае</w:t>
      </w:r>
      <w:r w:rsidRPr="00006130">
        <w:t xml:space="preserve">, не зависит от наличия у потерпевшего явного желания возбудить уголовное дело против виновного. Даже если это </w:t>
      </w:r>
      <w:r>
        <w:t xml:space="preserve">и было бы </w:t>
      </w:r>
      <w:r w:rsidRPr="00006130">
        <w:t>так, она отмечает, что прокурор М.</w:t>
      </w:r>
      <w:r>
        <w:t> </w:t>
      </w:r>
      <w:r w:rsidRPr="00006130">
        <w:t xml:space="preserve">Д. заявил, что он не </w:t>
      </w:r>
      <w:r>
        <w:t>по</w:t>
      </w:r>
      <w:r w:rsidRPr="00006130">
        <w:t xml:space="preserve">чувствовал себя оскорбленным </w:t>
      </w:r>
      <w:r>
        <w:t>замечаниями</w:t>
      </w:r>
      <w:r w:rsidRPr="00006130">
        <w:t xml:space="preserve"> автора. По этим причинам не может быть принято и обоснование ее осуждения с точки зрения необходимости защиты чести и достоинства прокурора.</w:t>
      </w:r>
    </w:p>
    <w:p w14:paraId="6CCC7707" w14:textId="77777777" w:rsidR="00CD2FF3" w:rsidRPr="00006130" w:rsidRDefault="00CD2FF3" w:rsidP="00CD2FF3">
      <w:pPr>
        <w:pStyle w:val="SingleTxtG"/>
      </w:pPr>
      <w:r w:rsidRPr="00006130">
        <w:t>3.4</w:t>
      </w:r>
      <w:r w:rsidRPr="00006130">
        <w:tab/>
        <w:t xml:space="preserve">Автор оспаривает идею о том, что ее </w:t>
      </w:r>
      <w:r>
        <w:t>осуждение</w:t>
      </w:r>
      <w:r w:rsidRPr="00006130">
        <w:t xml:space="preserve"> мож</w:t>
      </w:r>
      <w:r>
        <w:t>но обосновать</w:t>
      </w:r>
      <w:r w:rsidRPr="00006130">
        <w:t xml:space="preserve">, и заявляет, что в соответствии с замечанием общего порядка </w:t>
      </w:r>
      <w:r>
        <w:t>№ </w:t>
      </w:r>
      <w:r w:rsidRPr="00006130">
        <w:t>34</w:t>
      </w:r>
      <w:r>
        <w:t> </w:t>
      </w:r>
      <w:r w:rsidRPr="00006130">
        <w:t xml:space="preserve">(2011) Комитета о свободе мнений и их выражения любое ограничение свободы выражения </w:t>
      </w:r>
      <w:r>
        <w:t xml:space="preserve">мнений </w:t>
      </w:r>
      <w:r w:rsidRPr="00006130">
        <w:t xml:space="preserve">должно </w:t>
      </w:r>
      <w:r w:rsidRPr="00C726F3">
        <w:t>строго отвечать требованию необходимости и соразмерности</w:t>
      </w:r>
      <w:r w:rsidRPr="00006130">
        <w:t xml:space="preserve">. Она утверждает, что </w:t>
      </w:r>
      <w:r>
        <w:t>статья </w:t>
      </w:r>
      <w:r w:rsidRPr="00006130">
        <w:t>290 Уголовного кодекса Литвы не соответствует требованию необходимости, поскольку, вопреки существующей практике Комитета и Европейского суда по правам человека, она гарантирует б</w:t>
      </w:r>
      <w:r>
        <w:t>ó</w:t>
      </w:r>
      <w:r w:rsidRPr="00006130">
        <w:t>льшую защиту граждански</w:t>
      </w:r>
      <w:r>
        <w:t>м</w:t>
      </w:r>
      <w:r w:rsidRPr="00006130">
        <w:t xml:space="preserve"> служащи</w:t>
      </w:r>
      <w:r>
        <w:t>м</w:t>
      </w:r>
      <w:r w:rsidRPr="00006130">
        <w:t xml:space="preserve"> или лиц</w:t>
      </w:r>
      <w:r>
        <w:t>ам</w:t>
      </w:r>
      <w:r w:rsidRPr="00006130">
        <w:t>, выполняющи</w:t>
      </w:r>
      <w:r>
        <w:t>м</w:t>
      </w:r>
      <w:r w:rsidRPr="00006130">
        <w:t xml:space="preserve"> функции </w:t>
      </w:r>
      <w:r>
        <w:t>публичного администрирования</w:t>
      </w:r>
      <w:r w:rsidRPr="00006130">
        <w:t>, по сравнению с другими лицами</w:t>
      </w:r>
      <w:r w:rsidRPr="00137EA3">
        <w:rPr>
          <w:rStyle w:val="aa"/>
        </w:rPr>
        <w:footnoteReference w:id="6"/>
      </w:r>
      <w:r>
        <w:t>.</w:t>
      </w:r>
      <w:r w:rsidRPr="00006130">
        <w:t xml:space="preserve"> </w:t>
      </w:r>
      <w:r w:rsidRPr="005B53E4">
        <w:t>Автор</w:t>
      </w:r>
      <w:r w:rsidRPr="00006130">
        <w:t xml:space="preserve"> напоминает, что преступление </w:t>
      </w:r>
      <w:r>
        <w:t xml:space="preserve">в виде </w:t>
      </w:r>
      <w:r w:rsidRPr="00006130">
        <w:t xml:space="preserve">оскорбления государственного служащего или лица, выполняющего функции </w:t>
      </w:r>
      <w:r>
        <w:t>публичного администрирования,</w:t>
      </w:r>
      <w:r w:rsidR="000476DB">
        <w:br/>
      </w:r>
      <w:r w:rsidRPr="00006130">
        <w:t xml:space="preserve">в соответствии со </w:t>
      </w:r>
      <w:r>
        <w:t>статьей </w:t>
      </w:r>
      <w:r w:rsidRPr="00006130">
        <w:t xml:space="preserve">290 наказывается лишением свободы на срок до двух лет, тогда как оскорбление в соответствии со </w:t>
      </w:r>
      <w:r>
        <w:t>статьей </w:t>
      </w:r>
      <w:r w:rsidRPr="00006130">
        <w:t xml:space="preserve">155 карается </w:t>
      </w:r>
      <w:r w:rsidRPr="00836359">
        <w:t xml:space="preserve">самое большее </w:t>
      </w:r>
      <w:r w:rsidRPr="00006130">
        <w:t xml:space="preserve">лишением свободы на срок </w:t>
      </w:r>
      <w:r>
        <w:t xml:space="preserve">до </w:t>
      </w:r>
      <w:r w:rsidRPr="00006130">
        <w:t xml:space="preserve">одного года. </w:t>
      </w:r>
      <w:r w:rsidRPr="00DC02DC">
        <w:t>Это</w:t>
      </w:r>
      <w:r w:rsidRPr="00006130">
        <w:t xml:space="preserve"> тем более проблематично, что пределы допустим</w:t>
      </w:r>
      <w:r>
        <w:t>ой</w:t>
      </w:r>
      <w:r w:rsidRPr="00006130">
        <w:t xml:space="preserve"> критики должны быть шире, когда предположительно клеветнические комментарии касаются исключительно действий</w:t>
      </w:r>
      <w:r>
        <w:t xml:space="preserve"> отдельного лица</w:t>
      </w:r>
      <w:r w:rsidRPr="00006130">
        <w:t xml:space="preserve"> в его/ее публичном качестве, а не его/ее частных дел. Она утверждает, что ее критика строго огранич</w:t>
      </w:r>
      <w:r>
        <w:t>ивалась</w:t>
      </w:r>
      <w:r w:rsidRPr="00006130">
        <w:t xml:space="preserve"> стратегией обвинения, которая, по мнению автора, была направлена на оказание давления на нее в связи с проводимым против нее уголовным разбирательством по обвинениям в терроризме.</w:t>
      </w:r>
    </w:p>
    <w:p w14:paraId="7AFF34A3" w14:textId="77777777" w:rsidR="00CD2FF3" w:rsidRPr="00006130" w:rsidRDefault="00CD2FF3" w:rsidP="00CD2FF3">
      <w:pPr>
        <w:pStyle w:val="SingleTxtG"/>
      </w:pPr>
      <w:r w:rsidRPr="00006130">
        <w:t>3.5</w:t>
      </w:r>
      <w:r w:rsidRPr="00006130">
        <w:tab/>
        <w:t xml:space="preserve">Автор далее добавляет, что она произнесла </w:t>
      </w:r>
      <w:r>
        <w:t>порочащие</w:t>
      </w:r>
      <w:r w:rsidRPr="00006130">
        <w:t xml:space="preserve"> слова сразу же после того, как ей стало известно о ходатайстве прокурора поместить ее под стражу до суда. Она напоминает, что международные организации неоднократно высказывали свою позицию, согласно которой условия содержания под стражей в Литве равнозначны бесчеловечному и унижающему достоинство обращению. Поскольку она ранее содержалась в тюрьме в течение длительного времени, сама возможность ее повторного заключения под стражу </w:t>
      </w:r>
      <w:r w:rsidRPr="00CC7691">
        <w:t>подверг</w:t>
      </w:r>
      <w:r>
        <w:t>ло</w:t>
      </w:r>
      <w:r w:rsidRPr="00CC7691">
        <w:t xml:space="preserve"> ее значительному стрессу</w:t>
      </w:r>
      <w:r w:rsidRPr="00006130">
        <w:t xml:space="preserve">, </w:t>
      </w:r>
      <w:r>
        <w:t>спровоцировав на</w:t>
      </w:r>
      <w:r w:rsidRPr="00006130">
        <w:t xml:space="preserve"> критическое </w:t>
      </w:r>
      <w:r>
        <w:t>высказывание</w:t>
      </w:r>
      <w:r w:rsidRPr="00006130">
        <w:t>. В этой связи автор принимает к сведению заявление прокурора М.</w:t>
      </w:r>
      <w:r>
        <w:t> </w:t>
      </w:r>
      <w:r w:rsidRPr="00006130">
        <w:t>Д. о том, что он не чувствует себя оскорбленным замечанием автора. Тем не менее, даже если ее заявление можно считать провокационным, она утверждает, что в соответствии с замечанием общего</w:t>
      </w:r>
      <w:r w:rsidR="000476DB">
        <w:br/>
      </w:r>
      <w:r w:rsidRPr="00006130">
        <w:t xml:space="preserve">порядка </w:t>
      </w:r>
      <w:r>
        <w:t>№ </w:t>
      </w:r>
      <w:r w:rsidRPr="00006130">
        <w:t xml:space="preserve">34 Комитета свобода выражения мнений также </w:t>
      </w:r>
      <w:bookmarkStart w:id="1" w:name="_Hlk27053790"/>
      <w:r w:rsidRPr="00006130">
        <w:t xml:space="preserve">обеспечивает защиту </w:t>
      </w:r>
      <w:r>
        <w:t xml:space="preserve">в связи с </w:t>
      </w:r>
      <w:r w:rsidRPr="00006130">
        <w:t>замечани</w:t>
      </w:r>
      <w:r>
        <w:t xml:space="preserve">ями, которые </w:t>
      </w:r>
      <w:r w:rsidRPr="00006130">
        <w:t>в определенной степени преувеличен</w:t>
      </w:r>
      <w:r>
        <w:t>ы</w:t>
      </w:r>
      <w:r w:rsidRPr="00006130">
        <w:t xml:space="preserve"> или провокационны</w:t>
      </w:r>
      <w:bookmarkEnd w:id="1"/>
      <w:r w:rsidRPr="00006130">
        <w:t>.</w:t>
      </w:r>
    </w:p>
    <w:p w14:paraId="2B933D0A" w14:textId="77777777" w:rsidR="00CD2FF3" w:rsidRPr="00006130" w:rsidRDefault="00CD2FF3" w:rsidP="00CD2FF3">
      <w:pPr>
        <w:pStyle w:val="SingleTxtG"/>
      </w:pPr>
      <w:r w:rsidRPr="00006130">
        <w:t>3.6</w:t>
      </w:r>
      <w:r>
        <w:tab/>
      </w:r>
      <w:r w:rsidRPr="00006130">
        <w:t xml:space="preserve">Что касается вопроса о соразмерности, то она добавляет, что характер и суровость назначенного ей наказания не соответствовали тяжести правонарушения и вреда, предположительно причиненного </w:t>
      </w:r>
      <w:r>
        <w:t xml:space="preserve">стороне </w:t>
      </w:r>
      <w:r w:rsidRPr="00006130">
        <w:t>обвинени</w:t>
      </w:r>
      <w:r>
        <w:t>я</w:t>
      </w:r>
      <w:r w:rsidRPr="00006130">
        <w:t xml:space="preserve">, и поэтому были несоразмерны. Автор утверждает, что тот факт, что она была приговорена к уплате штрафа, не смягчил последствий уголовного наказания. Последствия осуждения </w:t>
      </w:r>
      <w:r w:rsidRPr="00006130">
        <w:lastRenderedPageBreak/>
        <w:t xml:space="preserve">сохраняются еще в течение трех лет после уплаты штрафа, </w:t>
      </w:r>
      <w:r>
        <w:t>а</w:t>
      </w:r>
      <w:r w:rsidRPr="00006130">
        <w:t xml:space="preserve"> в </w:t>
      </w:r>
      <w:r>
        <w:t xml:space="preserve">реестр судимостей </w:t>
      </w:r>
      <w:r w:rsidRPr="00006130">
        <w:t>будет включена запись о е</w:t>
      </w:r>
      <w:r>
        <w:t>е осуждении, что</w:t>
      </w:r>
      <w:r w:rsidRPr="00006130">
        <w:t xml:space="preserve"> ограничи</w:t>
      </w:r>
      <w:r>
        <w:t>т</w:t>
      </w:r>
      <w:r w:rsidRPr="00006130">
        <w:t xml:space="preserve"> ее шансы на рынке труда.</w:t>
      </w:r>
    </w:p>
    <w:p w14:paraId="4A996ACB" w14:textId="77777777" w:rsidR="00CD2FF3" w:rsidRPr="00006130" w:rsidRDefault="00CD2FF3" w:rsidP="00CD2FF3">
      <w:pPr>
        <w:pStyle w:val="SingleTxtG"/>
      </w:pPr>
      <w:r w:rsidRPr="00006130">
        <w:t>3.7</w:t>
      </w:r>
      <w:r w:rsidRPr="00006130">
        <w:tab/>
        <w:t xml:space="preserve">Автор приходит к выводу, что национальные суды не привели соответствующих и достаточных </w:t>
      </w:r>
      <w:r>
        <w:t>причин</w:t>
      </w:r>
      <w:r w:rsidRPr="00006130">
        <w:t xml:space="preserve"> для ограничения ее права на свободу выражения мнений, которое представляется несоразмерным и поэтому излишним. </w:t>
      </w:r>
      <w:r>
        <w:t>Поэтому</w:t>
      </w:r>
      <w:r w:rsidRPr="00006130">
        <w:t xml:space="preserve"> автор утверждает, что государство-участник нарушило ее право</w:t>
      </w:r>
      <w:r>
        <w:t>, предусмотренное</w:t>
      </w:r>
      <w:r w:rsidRPr="00006130">
        <w:t xml:space="preserve"> </w:t>
      </w:r>
      <w:r>
        <w:t>пунктом </w:t>
      </w:r>
      <w:r w:rsidRPr="00006130">
        <w:t xml:space="preserve">2 </w:t>
      </w:r>
      <w:r>
        <w:t>статьи </w:t>
      </w:r>
      <w:r w:rsidRPr="00006130">
        <w:t>19 Пакта.</w:t>
      </w:r>
    </w:p>
    <w:p w14:paraId="7AA2D67E" w14:textId="0334676F" w:rsidR="00CD2FF3" w:rsidRPr="00006130" w:rsidRDefault="00CD2FF3" w:rsidP="00CD2FF3">
      <w:pPr>
        <w:pStyle w:val="H23G"/>
      </w:pPr>
      <w:r w:rsidRPr="00006130">
        <w:tab/>
      </w:r>
      <w:r>
        <w:tab/>
      </w:r>
      <w:r w:rsidRPr="00006130">
        <w:t xml:space="preserve">Замечания государства-участника </w:t>
      </w:r>
      <w:r w:rsidRPr="0081507C">
        <w:t>относительно приемлемости сообщения</w:t>
      </w:r>
      <w:r w:rsidRPr="003A293B">
        <w:rPr>
          <w:rStyle w:val="aa"/>
          <w:b w:val="0"/>
          <w:bCs/>
        </w:rPr>
        <w:footnoteReference w:id="7"/>
      </w:r>
    </w:p>
    <w:p w14:paraId="540B9D6D" w14:textId="77777777" w:rsidR="00CD2FF3" w:rsidRPr="00006130" w:rsidRDefault="00CD2FF3" w:rsidP="00CD2FF3">
      <w:pPr>
        <w:pStyle w:val="SingleTxtG"/>
      </w:pPr>
      <w:r w:rsidRPr="00006130">
        <w:t>4.1</w:t>
      </w:r>
      <w:r>
        <w:tab/>
      </w:r>
      <w:r w:rsidRPr="00006130">
        <w:t>В вербальной ноте от 8</w:t>
      </w:r>
      <w:r>
        <w:t> марта</w:t>
      </w:r>
      <w:r w:rsidRPr="00006130">
        <w:t xml:space="preserve"> 2016</w:t>
      </w:r>
      <w:r>
        <w:t> года</w:t>
      </w:r>
      <w:r w:rsidRPr="00006130">
        <w:t xml:space="preserve"> государство-участник просило Комитет объявить сообщение неприемлемым в силу отсутствия статуса жертвы, необоснованности и злоупотребления правом на представление сообщений </w:t>
      </w:r>
      <w:r w:rsidRPr="00E7434F">
        <w:t xml:space="preserve">согласно положениям </w:t>
      </w:r>
      <w:r>
        <w:t>статей </w:t>
      </w:r>
      <w:r w:rsidRPr="00006130">
        <w:t>1, 2 и 3 Факультативного протокола к Пакту соответственно.</w:t>
      </w:r>
    </w:p>
    <w:p w14:paraId="5CA34FF6" w14:textId="77777777" w:rsidR="00CD2FF3" w:rsidRPr="00006130" w:rsidRDefault="00CD2FF3" w:rsidP="00CD2FF3">
      <w:pPr>
        <w:pStyle w:val="SingleTxtG"/>
      </w:pPr>
      <w:r w:rsidRPr="00006130">
        <w:t>4.2</w:t>
      </w:r>
      <w:r>
        <w:tab/>
      </w:r>
      <w:r w:rsidRPr="00006130">
        <w:t xml:space="preserve">Ссылаясь на факты дела, государство-участник утверждает, что возбужденное против автора уголовное </w:t>
      </w:r>
      <w:r>
        <w:t>разбирательство</w:t>
      </w:r>
      <w:r w:rsidRPr="00006130">
        <w:t xml:space="preserve"> по обвинению в подготовке террористического акта, в ходе которого автор сделал</w:t>
      </w:r>
      <w:r>
        <w:t>а</w:t>
      </w:r>
      <w:r w:rsidRPr="00006130">
        <w:t xml:space="preserve"> оспариваемые заявления, вызвало широкий общественный резонанс. Данное </w:t>
      </w:r>
      <w:r>
        <w:t xml:space="preserve">автором </w:t>
      </w:r>
      <w:r w:rsidRPr="00006130">
        <w:t>интервью транслировалось по крупнейшим коммерческим телеканалам того времени. Государство-участник также заявило, что, хотя автор был</w:t>
      </w:r>
      <w:r>
        <w:t>а</w:t>
      </w:r>
      <w:r w:rsidRPr="00006130">
        <w:t xml:space="preserve"> оправдан</w:t>
      </w:r>
      <w:r>
        <w:t>а</w:t>
      </w:r>
      <w:r w:rsidRPr="00006130">
        <w:t xml:space="preserve"> по этим обвинениям окончательным решением Верховного суда от 12</w:t>
      </w:r>
      <w:r>
        <w:t> января</w:t>
      </w:r>
      <w:r w:rsidRPr="00006130">
        <w:t xml:space="preserve"> 2016</w:t>
      </w:r>
      <w:r>
        <w:t> года</w:t>
      </w:r>
      <w:r w:rsidRPr="00006130">
        <w:t>, следует отметить, что в решении от 20</w:t>
      </w:r>
      <w:r>
        <w:t> февраля</w:t>
      </w:r>
      <w:r w:rsidRPr="00006130">
        <w:t xml:space="preserve"> 2011</w:t>
      </w:r>
      <w:r>
        <w:t> года</w:t>
      </w:r>
      <w:r w:rsidRPr="00006130">
        <w:t xml:space="preserve"> автор</w:t>
      </w:r>
      <w:r>
        <w:t>,</w:t>
      </w:r>
      <w:r w:rsidRPr="00006130">
        <w:t xml:space="preserve"> в дополнение к осуждению, оспариваемому в настоящем сообщении, был</w:t>
      </w:r>
      <w:r>
        <w:t>а</w:t>
      </w:r>
      <w:r w:rsidRPr="00006130">
        <w:t xml:space="preserve"> осужден</w:t>
      </w:r>
      <w:r>
        <w:t>а</w:t>
      </w:r>
      <w:r w:rsidRPr="00006130">
        <w:t xml:space="preserve"> за уголовные деяния, предусмотренные </w:t>
      </w:r>
      <w:r>
        <w:t>статьями </w:t>
      </w:r>
      <w:r w:rsidRPr="00006130">
        <w:t xml:space="preserve">145 (угроза убийством </w:t>
      </w:r>
      <w:r>
        <w:t>либо</w:t>
      </w:r>
      <w:r w:rsidRPr="00006130">
        <w:t xml:space="preserve"> причинение</w:t>
      </w:r>
      <w:r>
        <w:t>м</w:t>
      </w:r>
      <w:r w:rsidRPr="00006130">
        <w:t xml:space="preserve"> серьезного вреда здоровью или террориз</w:t>
      </w:r>
      <w:r>
        <w:t>ирование</w:t>
      </w:r>
      <w:r w:rsidRPr="00460E30">
        <w:t xml:space="preserve"> </w:t>
      </w:r>
      <w:r w:rsidRPr="00006130">
        <w:t>человека) и 290 (оскорбление государственн</w:t>
      </w:r>
      <w:r>
        <w:t>ого</w:t>
      </w:r>
      <w:r w:rsidRPr="00006130">
        <w:t xml:space="preserve"> служащ</w:t>
      </w:r>
      <w:r>
        <w:t>его или</w:t>
      </w:r>
      <w:r w:rsidRPr="00006130">
        <w:t xml:space="preserve"> лица, выполняющего функции</w:t>
      </w:r>
      <w:r w:rsidRPr="00885517">
        <w:t xml:space="preserve"> </w:t>
      </w:r>
      <w:r>
        <w:t>публичного администрирования</w:t>
      </w:r>
      <w:r w:rsidRPr="00006130">
        <w:t>) Уголовного кодекса Литвы</w:t>
      </w:r>
      <w:r>
        <w:t>.</w:t>
      </w:r>
      <w:r w:rsidRPr="00006130">
        <w:t xml:space="preserve"> Было установлено, что автор направил</w:t>
      </w:r>
      <w:r>
        <w:t>а</w:t>
      </w:r>
      <w:r w:rsidRPr="00006130">
        <w:t xml:space="preserve"> несколько текстовых сообщений прокурору </w:t>
      </w:r>
      <w:r>
        <w:t>Ю</w:t>
      </w:r>
      <w:r w:rsidRPr="00006130">
        <w:t>.</w:t>
      </w:r>
      <w:r>
        <w:t> </w:t>
      </w:r>
      <w:r w:rsidRPr="00006130">
        <w:t>Л., угрожая его физической неприкосновенности. Кроме того, 8</w:t>
      </w:r>
      <w:r>
        <w:t> </w:t>
      </w:r>
      <w:r w:rsidRPr="00006130">
        <w:t>мая 2013</w:t>
      </w:r>
      <w:r>
        <w:t> года</w:t>
      </w:r>
      <w:r w:rsidRPr="00006130">
        <w:t xml:space="preserve"> автор была признана виновной в предоставлении ложной информации в связи с преступлениями, предположительно совершенными против нее несколькими государственными служащими, включая прокурора </w:t>
      </w:r>
      <w:r>
        <w:t>Ю</w:t>
      </w:r>
      <w:r w:rsidRPr="00006130">
        <w:t>.</w:t>
      </w:r>
      <w:r>
        <w:t> </w:t>
      </w:r>
      <w:r w:rsidRPr="00006130">
        <w:t xml:space="preserve">Л., в соответствии со </w:t>
      </w:r>
      <w:r>
        <w:t>статьей </w:t>
      </w:r>
      <w:r w:rsidRPr="00006130">
        <w:t>236 Уголовного кодекса.</w:t>
      </w:r>
    </w:p>
    <w:p w14:paraId="003F89C1" w14:textId="77777777" w:rsidR="00CD2FF3" w:rsidRPr="00006130" w:rsidRDefault="00CD2FF3" w:rsidP="00CD2FF3">
      <w:pPr>
        <w:pStyle w:val="SingleTxtG"/>
      </w:pPr>
      <w:r w:rsidRPr="00006130">
        <w:t>4.3</w:t>
      </w:r>
      <w:r>
        <w:tab/>
      </w:r>
      <w:r w:rsidRPr="003A0630">
        <w:t>Что</w:t>
      </w:r>
      <w:r w:rsidRPr="00006130">
        <w:t xml:space="preserve"> касается приемлемости жалобы с точки зрения предполагаемого отсутствия статуса жертвы, то государство-участник утверждает, что автор, как представляется, вместо того чтобы оспаривать </w:t>
      </w:r>
      <w:r>
        <w:t>свое</w:t>
      </w:r>
      <w:r w:rsidRPr="00006130">
        <w:t xml:space="preserve"> осуждение </w:t>
      </w:r>
      <w:r>
        <w:t xml:space="preserve">как </w:t>
      </w:r>
      <w:r w:rsidRPr="00006130">
        <w:t>несоразмерно</w:t>
      </w:r>
      <w:r>
        <w:t xml:space="preserve">е, </w:t>
      </w:r>
      <w:r w:rsidRPr="00006130">
        <w:t>оспаривает в абстрактной форме совместимость соответствующего уголовного положения с Пактом</w:t>
      </w:r>
      <w:r w:rsidRPr="00137EA3">
        <w:rPr>
          <w:rStyle w:val="aa"/>
        </w:rPr>
        <w:footnoteReference w:id="8"/>
      </w:r>
      <w:r>
        <w:t>.</w:t>
      </w:r>
      <w:r w:rsidRPr="00006130">
        <w:t xml:space="preserve"> </w:t>
      </w:r>
      <w:r>
        <w:t>Поэтому</w:t>
      </w:r>
      <w:r w:rsidRPr="00006130">
        <w:t xml:space="preserve"> жалоб</w:t>
      </w:r>
      <w:r>
        <w:t>у</w:t>
      </w:r>
      <w:r w:rsidRPr="00006130">
        <w:t xml:space="preserve"> </w:t>
      </w:r>
      <w:r>
        <w:t xml:space="preserve">следует </w:t>
      </w:r>
      <w:r w:rsidRPr="00006130">
        <w:t xml:space="preserve">рассматривать как </w:t>
      </w:r>
      <w:r w:rsidRPr="00614D53">
        <w:rPr>
          <w:iCs/>
        </w:rPr>
        <w:t>actio popularis</w:t>
      </w:r>
      <w:r w:rsidRPr="00006130">
        <w:t xml:space="preserve"> и отклон</w:t>
      </w:r>
      <w:r>
        <w:t>ить</w:t>
      </w:r>
      <w:r w:rsidRPr="00006130">
        <w:t xml:space="preserve"> в соответствии со </w:t>
      </w:r>
      <w:r>
        <w:t>статьей </w:t>
      </w:r>
      <w:r w:rsidRPr="00006130">
        <w:t xml:space="preserve">1 Факультативного протокола. В этой связи, ссылаясь на устоявшееся прецедентное право национальных судов и Комментарий к Уголовному кодексу Литвы, государство-участник утверждает, что </w:t>
      </w:r>
      <w:r>
        <w:t>статья </w:t>
      </w:r>
      <w:r w:rsidRPr="00006130">
        <w:t>290 охватывает всех лиц, выполняющих государственные функции, включая прокуроров и исключа</w:t>
      </w:r>
      <w:r>
        <w:t>я</w:t>
      </w:r>
      <w:r w:rsidRPr="00006130">
        <w:t xml:space="preserve"> лишь некоторые группы лиц, пользующихся защитой в соответствии с отдельными статьями Уголовного кодекса</w:t>
      </w:r>
      <w:r w:rsidRPr="00137EA3">
        <w:rPr>
          <w:rStyle w:val="aa"/>
        </w:rPr>
        <w:footnoteReference w:id="9"/>
      </w:r>
      <w:r>
        <w:t>.</w:t>
      </w:r>
      <w:r w:rsidRPr="00006130">
        <w:t xml:space="preserve"> Государство-участник отмечает, что Верховный суд рассмотрел аргумент автора в этой связи и пришел к выводу, что данное положение следует толковать не изолированно, а в свете намерений законодательной власти, правовой системы в целом и, кроме того, судебной практики Европейского суда по правам человека</w:t>
      </w:r>
      <w:r w:rsidRPr="00137EA3">
        <w:rPr>
          <w:rStyle w:val="aa"/>
        </w:rPr>
        <w:footnoteReference w:id="10"/>
      </w:r>
      <w:r>
        <w:t>.</w:t>
      </w:r>
      <w:r w:rsidRPr="00006130">
        <w:t xml:space="preserve"> Кроме того, исключение прокуроров из сферы применения данной статьи </w:t>
      </w:r>
      <w:r w:rsidRPr="00006130">
        <w:lastRenderedPageBreak/>
        <w:t>остави</w:t>
      </w:r>
      <w:r>
        <w:t xml:space="preserve">ло бы </w:t>
      </w:r>
      <w:r w:rsidRPr="00006130">
        <w:t xml:space="preserve">группу лиц, выполняющих государственные функции, незащищенной от клеветнических заявлений. Соответственно, </w:t>
      </w:r>
      <w:r>
        <w:t>вмешательство</w:t>
      </w:r>
      <w:r w:rsidRPr="00006130">
        <w:t xml:space="preserve"> </w:t>
      </w:r>
      <w:r w:rsidRPr="00C62BE6">
        <w:t xml:space="preserve">было предусмотрено </w:t>
      </w:r>
      <w:r w:rsidRPr="00006130">
        <w:t>законом, который является ясным и предсказуемым.</w:t>
      </w:r>
    </w:p>
    <w:p w14:paraId="20946E7B" w14:textId="77777777" w:rsidR="00CD2FF3" w:rsidRPr="00006130" w:rsidRDefault="00CD2FF3" w:rsidP="00CD2FF3">
      <w:pPr>
        <w:pStyle w:val="SingleTxtG"/>
      </w:pPr>
      <w:r w:rsidRPr="00006130">
        <w:t>4.4</w:t>
      </w:r>
      <w:r>
        <w:tab/>
      </w:r>
      <w:r w:rsidRPr="00006130">
        <w:t xml:space="preserve">Касаясь вопроса о том, имело ли </w:t>
      </w:r>
      <w:r>
        <w:t>вмешательство</w:t>
      </w:r>
      <w:r w:rsidRPr="00006130">
        <w:t xml:space="preserve"> законную цель, и в частности </w:t>
      </w:r>
      <w:r>
        <w:t xml:space="preserve">об </w:t>
      </w:r>
      <w:r w:rsidRPr="00006130">
        <w:t>аргумент</w:t>
      </w:r>
      <w:r>
        <w:t>ах</w:t>
      </w:r>
      <w:r w:rsidRPr="00006130">
        <w:t xml:space="preserve"> автора в связи с предполагаемой </w:t>
      </w:r>
      <w:r>
        <w:t>расхождением</w:t>
      </w:r>
      <w:r w:rsidRPr="00006130">
        <w:t xml:space="preserve"> между </w:t>
      </w:r>
      <w:bookmarkStart w:id="2" w:name="_Hlk26439789"/>
      <w:r w:rsidRPr="00006130">
        <w:t>преступным</w:t>
      </w:r>
      <w:r>
        <w:t>и</w:t>
      </w:r>
      <w:r w:rsidRPr="00006130">
        <w:t xml:space="preserve"> </w:t>
      </w:r>
      <w:bookmarkEnd w:id="2"/>
      <w:r w:rsidRPr="00006130">
        <w:t>деяни</w:t>
      </w:r>
      <w:r>
        <w:t>ями</w:t>
      </w:r>
      <w:r w:rsidRPr="00006130">
        <w:t xml:space="preserve"> </w:t>
      </w:r>
      <w:r>
        <w:t>«</w:t>
      </w:r>
      <w:r w:rsidRPr="00006130">
        <w:t>оскорбление</w:t>
      </w:r>
      <w:r>
        <w:t>»</w:t>
      </w:r>
      <w:r w:rsidRPr="00006130">
        <w:t xml:space="preserve"> </w:t>
      </w:r>
      <w:r w:rsidRPr="009E6DDF">
        <w:t>в соответствии со статьей</w:t>
      </w:r>
      <w:r>
        <w:t> </w:t>
      </w:r>
      <w:r w:rsidRPr="00006130">
        <w:t xml:space="preserve">155 и </w:t>
      </w:r>
      <w:r>
        <w:t>«</w:t>
      </w:r>
      <w:r w:rsidRPr="00006130">
        <w:t>оскорбление государственного служащего</w:t>
      </w:r>
      <w:r>
        <w:t>»</w:t>
      </w:r>
      <w:r w:rsidRPr="00006130">
        <w:t xml:space="preserve"> </w:t>
      </w:r>
      <w:r w:rsidRPr="009E6DDF">
        <w:t>по смыслу статьи</w:t>
      </w:r>
      <w:r>
        <w:t> </w:t>
      </w:r>
      <w:r w:rsidRPr="00006130">
        <w:t xml:space="preserve">290, государство-участник отмечает, что последнее является самостоятельным </w:t>
      </w:r>
      <w:r w:rsidRPr="005A1BE5">
        <w:t xml:space="preserve">преступным </w:t>
      </w:r>
      <w:r w:rsidRPr="00006130">
        <w:t>деянием, предусмотрен</w:t>
      </w:r>
      <w:r>
        <w:t>ным</w:t>
      </w:r>
      <w:r w:rsidRPr="00006130">
        <w:t xml:space="preserve"> Уголовным кодексом. Одно из </w:t>
      </w:r>
      <w:r>
        <w:t>различий</w:t>
      </w:r>
      <w:r w:rsidRPr="00006130">
        <w:t xml:space="preserve"> между вышеупомянутыми преступлениями заключается в том, что в случае </w:t>
      </w:r>
      <w:r>
        <w:t>«</w:t>
      </w:r>
      <w:r w:rsidRPr="00006130">
        <w:t>оскорбления</w:t>
      </w:r>
      <w:r>
        <w:t>»</w:t>
      </w:r>
      <w:r w:rsidRPr="00006130">
        <w:t xml:space="preserve"> закон направлен на защиту чести и достоинства человека, в то время как в случае </w:t>
      </w:r>
      <w:r>
        <w:t>«</w:t>
      </w:r>
      <w:r w:rsidRPr="00006130">
        <w:t xml:space="preserve">оскорбления государственного служащего или лиц, выполняющих функции </w:t>
      </w:r>
      <w:r>
        <w:t>публичного администрирования»</w:t>
      </w:r>
      <w:r w:rsidRPr="00006130">
        <w:t xml:space="preserve"> целью закона является обеспечение защиты конкретной группы лиц в ходе осуществления ими своей конкретной деятельности. </w:t>
      </w:r>
      <w:r>
        <w:t>Уголовное преследование</w:t>
      </w:r>
      <w:r w:rsidRPr="00006130">
        <w:t xml:space="preserve"> </w:t>
      </w:r>
      <w:r>
        <w:t xml:space="preserve">за это </w:t>
      </w:r>
      <w:r w:rsidRPr="00006130">
        <w:t>самостоятельн</w:t>
      </w:r>
      <w:r>
        <w:t>ое</w:t>
      </w:r>
      <w:r w:rsidRPr="00006130">
        <w:t xml:space="preserve"> преступн</w:t>
      </w:r>
      <w:r>
        <w:t>ое</w:t>
      </w:r>
      <w:r w:rsidRPr="00006130">
        <w:t xml:space="preserve"> деяние направлен</w:t>
      </w:r>
      <w:r>
        <w:t>о</w:t>
      </w:r>
      <w:r w:rsidRPr="00006130">
        <w:t xml:space="preserve"> в первую очередь на поддержание общественного порядка, а не на предотвращение причинения личного вреда, что </w:t>
      </w:r>
      <w:r>
        <w:t>является</w:t>
      </w:r>
      <w:r w:rsidRPr="00006130">
        <w:t xml:space="preserve"> лишь дополнительн</w:t>
      </w:r>
      <w:r>
        <w:t>ой целью</w:t>
      </w:r>
      <w:r w:rsidRPr="00006130">
        <w:t xml:space="preserve"> упомянутого положения. В решении Верховного суда прямо указано, что цель этой статьи заключается в том, чтобы дать возможность гражданским служащим или лицам, выполняющим функции </w:t>
      </w:r>
      <w:r>
        <w:t>публичного администрирования</w:t>
      </w:r>
      <w:r w:rsidRPr="00006130">
        <w:t xml:space="preserve">, выполнять свои обязанности и </w:t>
      </w:r>
      <w:r>
        <w:t xml:space="preserve">чтобы </w:t>
      </w:r>
      <w:r w:rsidRPr="00006130">
        <w:t xml:space="preserve">обеспечить их нормальную деятельность. Государство-участник считает, что ограничение свободы выражения мнений на таких основаниях подпадает под категорию допустимых ограничений, </w:t>
      </w:r>
      <w:r>
        <w:t xml:space="preserve">продиктованных, </w:t>
      </w:r>
      <w:r w:rsidRPr="00006130">
        <w:t>в частности</w:t>
      </w:r>
      <w:r>
        <w:t>, необходимостью</w:t>
      </w:r>
      <w:r w:rsidRPr="00006130">
        <w:t xml:space="preserve"> защиты общественного порядка,</w:t>
      </w:r>
      <w:r w:rsidR="000476DB">
        <w:br/>
      </w:r>
      <w:r w:rsidRPr="00006130">
        <w:t xml:space="preserve">в соответствии с </w:t>
      </w:r>
      <w:r>
        <w:t>пунктом </w:t>
      </w:r>
      <w:r w:rsidRPr="00006130">
        <w:t xml:space="preserve">3 </w:t>
      </w:r>
      <w:r>
        <w:t>статьи </w:t>
      </w:r>
      <w:r w:rsidRPr="00006130">
        <w:t>19 Пакта.</w:t>
      </w:r>
    </w:p>
    <w:p w14:paraId="795F3574" w14:textId="77777777" w:rsidR="00CD2FF3" w:rsidRPr="00006130" w:rsidRDefault="00CD2FF3" w:rsidP="00CD2FF3">
      <w:pPr>
        <w:pStyle w:val="SingleTxtG"/>
      </w:pPr>
      <w:r w:rsidRPr="00006130">
        <w:t>4.5</w:t>
      </w:r>
      <w:r>
        <w:tab/>
      </w:r>
      <w:r w:rsidRPr="00006130">
        <w:t xml:space="preserve">Что касается вопроса о соразмерности, то государство-участник утверждает, что автор не смогла в достаточной степени обосновать свои утверждения, и поэтому ее сообщение следует признать неприемлемым в соответствии со </w:t>
      </w:r>
      <w:r>
        <w:t>статьей </w:t>
      </w:r>
      <w:r w:rsidRPr="00006130">
        <w:t xml:space="preserve">2 Факультативного протокола. Государство-участник утверждает, что </w:t>
      </w:r>
      <w:bookmarkStart w:id="3" w:name="_Hlk27064275"/>
      <w:r w:rsidRPr="00006130">
        <w:t xml:space="preserve">национальные суды провели тщательный анализ обстоятельств дела, и некоторые части заявления автора были даже исключены из </w:t>
      </w:r>
      <w:r>
        <w:t xml:space="preserve">проведенной </w:t>
      </w:r>
      <w:r w:rsidRPr="00006130">
        <w:t xml:space="preserve">оценки, поскольку они были расплывчатыми или </w:t>
      </w:r>
      <w:r>
        <w:t>не</w:t>
      </w:r>
      <w:r w:rsidRPr="00006130">
        <w:t xml:space="preserve">оскорбительными и, соответственно, не могли составлять </w:t>
      </w:r>
      <w:r w:rsidRPr="00FC143D">
        <w:t>элемент</w:t>
      </w:r>
      <w:r>
        <w:t>ы</w:t>
      </w:r>
      <w:r w:rsidRPr="00FC143D">
        <w:t xml:space="preserve"> </w:t>
      </w:r>
      <w:r w:rsidRPr="00006130">
        <w:t xml:space="preserve">преступления </w:t>
      </w:r>
      <w:r w:rsidRPr="001E381A">
        <w:t>в соответствии со статьей</w:t>
      </w:r>
      <w:r>
        <w:t> </w:t>
      </w:r>
      <w:r w:rsidRPr="00006130">
        <w:t>290 Уголовного кодекса</w:t>
      </w:r>
      <w:bookmarkEnd w:id="3"/>
      <w:r w:rsidRPr="00006130">
        <w:t xml:space="preserve">. </w:t>
      </w:r>
      <w:bookmarkStart w:id="4" w:name="_Hlk27064707"/>
      <w:r w:rsidRPr="00006130">
        <w:t>Кроме того, признавая важность форм выражения мнений, способствующих публичным дебатам</w:t>
      </w:r>
      <w:r>
        <w:t>, касающимся</w:t>
      </w:r>
      <w:r w:rsidRPr="00006130">
        <w:t xml:space="preserve"> общественных деятелей</w:t>
      </w:r>
      <w:r w:rsidRPr="001901C2">
        <w:t xml:space="preserve"> в государственном секторе </w:t>
      </w:r>
      <w:r w:rsidRPr="00006130">
        <w:t>и государственны</w:t>
      </w:r>
      <w:r>
        <w:t>х</w:t>
      </w:r>
      <w:r w:rsidRPr="00006130">
        <w:t xml:space="preserve"> учреждения</w:t>
      </w:r>
      <w:r>
        <w:t>х</w:t>
      </w:r>
      <w:r w:rsidRPr="00006130">
        <w:t>, национальные суды пришли к выводу, что заявления автора не способств</w:t>
      </w:r>
      <w:r>
        <w:t>овали</w:t>
      </w:r>
      <w:r w:rsidRPr="00006130">
        <w:t xml:space="preserve"> публичным дебатам и </w:t>
      </w:r>
      <w:r>
        <w:t xml:space="preserve">что </w:t>
      </w:r>
      <w:r w:rsidRPr="00006130">
        <w:t>оскорб</w:t>
      </w:r>
      <w:r>
        <w:t>ленные</w:t>
      </w:r>
      <w:r w:rsidRPr="00006130">
        <w:t xml:space="preserve"> прокурор</w:t>
      </w:r>
      <w:r>
        <w:t>ы</w:t>
      </w:r>
      <w:r w:rsidRPr="00006130">
        <w:t xml:space="preserve"> не могут считаться общественными деятелями или политиками. </w:t>
      </w:r>
      <w:bookmarkEnd w:id="4"/>
      <w:r w:rsidRPr="00006130">
        <w:t xml:space="preserve">В этой связи Верховный суд отметил, что публичная критика может и должна </w:t>
      </w:r>
      <w:r>
        <w:t>осуществляться</w:t>
      </w:r>
      <w:r w:rsidRPr="00006130">
        <w:t xml:space="preserve"> без использования экстремальных, оскорбительных слов, которые не способствуют общественно</w:t>
      </w:r>
      <w:r>
        <w:t>му</w:t>
      </w:r>
      <w:r w:rsidRPr="00006130">
        <w:t xml:space="preserve"> обсуждени</w:t>
      </w:r>
      <w:r>
        <w:t>ю</w:t>
      </w:r>
      <w:r w:rsidRPr="00006130">
        <w:t xml:space="preserve"> и угро</w:t>
      </w:r>
      <w:r>
        <w:t>жают</w:t>
      </w:r>
      <w:r w:rsidRPr="00006130">
        <w:t xml:space="preserve"> нормально</w:t>
      </w:r>
      <w:r>
        <w:t>му</w:t>
      </w:r>
      <w:r w:rsidRPr="00006130">
        <w:t xml:space="preserve"> функционировани</w:t>
      </w:r>
      <w:r w:rsidR="000476DB">
        <w:t>ю</w:t>
      </w:r>
      <w:r w:rsidRPr="00006130">
        <w:t xml:space="preserve"> должностных лиц, их чести и достоинств</w:t>
      </w:r>
      <w:r>
        <w:t>у</w:t>
      </w:r>
      <w:r w:rsidRPr="00006130">
        <w:t>. В этой связи Верховный суд подчеркнул, что автор был</w:t>
      </w:r>
      <w:r>
        <w:t>а</w:t>
      </w:r>
      <w:r w:rsidRPr="00006130">
        <w:t xml:space="preserve"> осужден</w:t>
      </w:r>
      <w:r>
        <w:t>а</w:t>
      </w:r>
      <w:r w:rsidRPr="00006130">
        <w:t xml:space="preserve"> не за критику прокуроров, а за оскорбительные высказывания</w:t>
      </w:r>
      <w:r>
        <w:t xml:space="preserve"> в их адрес</w:t>
      </w:r>
      <w:r w:rsidRPr="00006130">
        <w:t>.</w:t>
      </w:r>
    </w:p>
    <w:p w14:paraId="5492AA63" w14:textId="77777777" w:rsidR="00CD2FF3" w:rsidRPr="00006130" w:rsidRDefault="00CD2FF3" w:rsidP="00CD2FF3">
      <w:pPr>
        <w:pStyle w:val="SingleTxtG"/>
      </w:pPr>
      <w:r w:rsidRPr="00006130">
        <w:t>4.6</w:t>
      </w:r>
      <w:r w:rsidRPr="00006130">
        <w:tab/>
        <w:t>Кроме того, государство-участник настаивает на том, что суды рассмотрели дело во всей его полноте и должным образом взвесили его отягчающие и смягчающие обстоятельства. Соответственно, суды приняли к сведению тот факт, что интервью,</w:t>
      </w:r>
      <w:r w:rsidR="000476DB">
        <w:br/>
      </w:r>
      <w:r w:rsidRPr="00006130">
        <w:t>в ходе которого автор выступила с заявлением, широко транслировалось по телевидению</w:t>
      </w:r>
      <w:r>
        <w:t>,</w:t>
      </w:r>
      <w:r w:rsidRPr="00006130">
        <w:t xml:space="preserve"> и, следовательно, </w:t>
      </w:r>
      <w:r>
        <w:t xml:space="preserve">его посмотрело </w:t>
      </w:r>
      <w:r w:rsidRPr="00006130">
        <w:t>неограниченно</w:t>
      </w:r>
      <w:r>
        <w:t>е</w:t>
      </w:r>
      <w:r w:rsidRPr="00006130">
        <w:t xml:space="preserve"> числ</w:t>
      </w:r>
      <w:r>
        <w:t>о</w:t>
      </w:r>
      <w:r w:rsidRPr="00006130">
        <w:t xml:space="preserve"> людей. Суды также сочли, что утверждения автора сообщения были ложными. В решении Верховного суда также говорится, что </w:t>
      </w:r>
      <w:bookmarkStart w:id="5" w:name="_Hlk27316893"/>
      <w:r w:rsidRPr="00006130">
        <w:t xml:space="preserve">предполагаемые процессуальные нарушения, серьезность обвинений и наказания и сложность дела не могут служить оправданием для </w:t>
      </w:r>
      <w:r>
        <w:t xml:space="preserve">того, чтобы </w:t>
      </w:r>
      <w:r w:rsidRPr="00006130">
        <w:t>обвиняемо</w:t>
      </w:r>
      <w:r>
        <w:t>е лицо</w:t>
      </w:r>
      <w:r w:rsidRPr="00006130">
        <w:t xml:space="preserve"> оскорбл</w:t>
      </w:r>
      <w:r>
        <w:t>яло</w:t>
      </w:r>
      <w:r w:rsidRPr="00006130">
        <w:t xml:space="preserve"> государственных служащих, ответственных за </w:t>
      </w:r>
      <w:r>
        <w:t xml:space="preserve">ведение </w:t>
      </w:r>
      <w:r w:rsidRPr="00006130">
        <w:t>его уголовно</w:t>
      </w:r>
      <w:r>
        <w:t>го</w:t>
      </w:r>
      <w:r w:rsidRPr="00006130">
        <w:t xml:space="preserve"> дел</w:t>
      </w:r>
      <w:r>
        <w:t>а</w:t>
      </w:r>
      <w:bookmarkEnd w:id="5"/>
      <w:r w:rsidRPr="00006130">
        <w:t xml:space="preserve">. </w:t>
      </w:r>
      <w:bookmarkStart w:id="6" w:name="_Hlk27317027"/>
      <w:r w:rsidRPr="00006130">
        <w:t xml:space="preserve">Тем не менее национальные суды </w:t>
      </w:r>
      <w:r w:rsidRPr="00006130">
        <w:lastRenderedPageBreak/>
        <w:t>должным образом приняли во внимание</w:t>
      </w:r>
      <w:r>
        <w:t xml:space="preserve"> то обстоятельство</w:t>
      </w:r>
      <w:r w:rsidRPr="00006130">
        <w:t xml:space="preserve">, что автор </w:t>
      </w:r>
      <w:r>
        <w:t xml:space="preserve">находилась под сильным </w:t>
      </w:r>
      <w:r w:rsidRPr="00006130">
        <w:t xml:space="preserve">стрессом, </w:t>
      </w:r>
      <w:r>
        <w:t>когда она с</w:t>
      </w:r>
      <w:r w:rsidRPr="00006130">
        <w:t>дела</w:t>
      </w:r>
      <w:r>
        <w:t>ла</w:t>
      </w:r>
      <w:r w:rsidRPr="00006130">
        <w:t xml:space="preserve"> </w:t>
      </w:r>
      <w:r>
        <w:t>порочащее</w:t>
      </w:r>
      <w:r w:rsidRPr="00006130">
        <w:t xml:space="preserve"> заявление</w:t>
      </w:r>
      <w:bookmarkEnd w:id="6"/>
      <w:r w:rsidRPr="00137EA3">
        <w:rPr>
          <w:rStyle w:val="aa"/>
        </w:rPr>
        <w:footnoteReference w:id="11"/>
      </w:r>
      <w:r>
        <w:t>.</w:t>
      </w:r>
      <w:r w:rsidRPr="00006130">
        <w:t xml:space="preserve"> Кроме того, государство-участник напоминает, что штраф был наиболее мягкой мерой наказания за этот вид преступных деяний</w:t>
      </w:r>
      <w:r>
        <w:t xml:space="preserve"> и что его</w:t>
      </w:r>
      <w:r w:rsidRPr="00006130">
        <w:t xml:space="preserve"> сумма (приблизительно 377</w:t>
      </w:r>
      <w:r>
        <w:t> </w:t>
      </w:r>
      <w:r w:rsidRPr="00006130">
        <w:t>евро) также была близка к миним</w:t>
      </w:r>
      <w:r>
        <w:t>альному размеру</w:t>
      </w:r>
      <w:r w:rsidRPr="00006130">
        <w:t xml:space="preserve">, </w:t>
      </w:r>
      <w:r w:rsidRPr="00CD5016">
        <w:t xml:space="preserve">предусмотренному </w:t>
      </w:r>
      <w:r w:rsidRPr="00006130">
        <w:t>соответствующими положениями закона. Государство-участник также отмечает, что утверждение автора о долгосрочных последствиях ее осуждения является расплывчатым, поскольку она не уточнила, каки</w:t>
      </w:r>
      <w:r>
        <w:t>ми</w:t>
      </w:r>
      <w:r w:rsidRPr="00006130">
        <w:t xml:space="preserve"> професси</w:t>
      </w:r>
      <w:r>
        <w:t>ями</w:t>
      </w:r>
      <w:r w:rsidRPr="00006130">
        <w:t xml:space="preserve"> она не </w:t>
      </w:r>
      <w:r>
        <w:t>с</w:t>
      </w:r>
      <w:r w:rsidRPr="00006130">
        <w:t xml:space="preserve">может </w:t>
      </w:r>
      <w:r>
        <w:t>заниматься</w:t>
      </w:r>
      <w:r w:rsidRPr="00006130">
        <w:t xml:space="preserve"> и </w:t>
      </w:r>
      <w:r>
        <w:t xml:space="preserve">является ли это </w:t>
      </w:r>
      <w:r w:rsidRPr="00006130">
        <w:t>только ее убеждение</w:t>
      </w:r>
      <w:r>
        <w:t>м</w:t>
      </w:r>
      <w:r w:rsidRPr="00006130">
        <w:t>. Кроме того, в</w:t>
      </w:r>
      <w:r>
        <w:t xml:space="preserve">опреки </w:t>
      </w:r>
      <w:r w:rsidRPr="00006130">
        <w:t>утверждени</w:t>
      </w:r>
      <w:r>
        <w:t>ю</w:t>
      </w:r>
      <w:r w:rsidRPr="00006130">
        <w:t xml:space="preserve"> автора сообщения </w:t>
      </w:r>
      <w:r>
        <w:t xml:space="preserve">судимость будет снята с нее </w:t>
      </w:r>
      <w:r w:rsidRPr="00006130">
        <w:t>через три года после вынесения обвинительного приговора.</w:t>
      </w:r>
    </w:p>
    <w:p w14:paraId="199F6C90" w14:textId="77777777" w:rsidR="00CD2FF3" w:rsidRPr="00006130" w:rsidRDefault="00CD2FF3" w:rsidP="00CD2FF3">
      <w:pPr>
        <w:pStyle w:val="SingleTxtG"/>
      </w:pPr>
      <w:r w:rsidRPr="00006130">
        <w:t>4.7</w:t>
      </w:r>
      <w:r>
        <w:tab/>
      </w:r>
      <w:r w:rsidRPr="007A0F78">
        <w:t xml:space="preserve">В этой связи </w:t>
      </w:r>
      <w:r w:rsidRPr="00006130">
        <w:t xml:space="preserve">государство-участник </w:t>
      </w:r>
      <w:r>
        <w:t>считает</w:t>
      </w:r>
      <w:r w:rsidRPr="00006130">
        <w:t>, что национальные суды провели тщательный анализ соответствующих факторов</w:t>
      </w:r>
      <w:r w:rsidRPr="00934193">
        <w:t>, относящихся к данному</w:t>
      </w:r>
      <w:r>
        <w:t xml:space="preserve"> </w:t>
      </w:r>
      <w:r w:rsidRPr="00006130">
        <w:t>дел</w:t>
      </w:r>
      <w:r>
        <w:t>у</w:t>
      </w:r>
      <w:r w:rsidRPr="00006130">
        <w:t>,</w:t>
      </w:r>
      <w:r w:rsidR="000476DB">
        <w:br/>
      </w:r>
      <w:r w:rsidRPr="00006130">
        <w:t xml:space="preserve">и добавляет, что Комитету не следует выступать в качестве </w:t>
      </w:r>
      <w:r>
        <w:t>«</w:t>
      </w:r>
      <w:r w:rsidRPr="00006130">
        <w:t>суда четвертой инстанции</w:t>
      </w:r>
      <w:r>
        <w:t>»</w:t>
      </w:r>
      <w:r w:rsidRPr="00006130">
        <w:t xml:space="preserve"> и пересматривать оценку, данную национальными судами. В свете вышеизложенного государство-участник делает вывод о том, что наказание автора было необходимым в демократическом обществе и соразмерным преследуемым целям. Поэтому государство-участник считает, что жалоба должна быть признана неприемлемой по причине отсутствия достаточных обоснований.</w:t>
      </w:r>
    </w:p>
    <w:p w14:paraId="14148690" w14:textId="77777777" w:rsidR="00CD2FF3" w:rsidRPr="00006130" w:rsidRDefault="00CD2FF3" w:rsidP="00CD2FF3">
      <w:pPr>
        <w:pStyle w:val="SingleTxtG"/>
      </w:pPr>
      <w:r w:rsidRPr="00006130">
        <w:t>4.8</w:t>
      </w:r>
      <w:r>
        <w:tab/>
      </w:r>
      <w:r w:rsidRPr="00A4242E">
        <w:t xml:space="preserve">И наконец, </w:t>
      </w:r>
      <w:r w:rsidRPr="00006130">
        <w:t>государство-участник утверждает, что автор ввел</w:t>
      </w:r>
      <w:r>
        <w:t>а</w:t>
      </w:r>
      <w:r w:rsidRPr="00006130">
        <w:t xml:space="preserve"> Комитет в заблуждение</w:t>
      </w:r>
      <w:r>
        <w:t xml:space="preserve"> путем</w:t>
      </w:r>
      <w:r w:rsidRPr="00006130">
        <w:t xml:space="preserve">: </w:t>
      </w:r>
      <w:r w:rsidRPr="002E225A">
        <w:t>a</w:t>
      </w:r>
      <w:r w:rsidRPr="00006130">
        <w:t>)</w:t>
      </w:r>
      <w:r>
        <w:t> </w:t>
      </w:r>
      <w:r w:rsidRPr="00006130">
        <w:t>ложно</w:t>
      </w:r>
      <w:r>
        <w:t>го</w:t>
      </w:r>
      <w:r w:rsidRPr="00006130">
        <w:t xml:space="preserve"> заяв</w:t>
      </w:r>
      <w:r>
        <w:t>ления</w:t>
      </w:r>
      <w:r w:rsidRPr="00006130">
        <w:t xml:space="preserve"> о том, что национальные суды </w:t>
      </w:r>
      <w:r>
        <w:t xml:space="preserve">дали </w:t>
      </w:r>
      <w:r w:rsidRPr="00006130">
        <w:t>расшир</w:t>
      </w:r>
      <w:r>
        <w:t>енное</w:t>
      </w:r>
      <w:r w:rsidRPr="00006130">
        <w:t xml:space="preserve"> толкование закона, </w:t>
      </w:r>
      <w:r>
        <w:t xml:space="preserve">что </w:t>
      </w:r>
      <w:r w:rsidRPr="00006130">
        <w:t>послужи</w:t>
      </w:r>
      <w:r>
        <w:t>ло</w:t>
      </w:r>
      <w:r w:rsidRPr="00006130">
        <w:t xml:space="preserve"> основанием для </w:t>
      </w:r>
      <w:r>
        <w:t xml:space="preserve">установления </w:t>
      </w:r>
      <w:r w:rsidRPr="00006130">
        <w:t xml:space="preserve">ее уголовной ответственности; </w:t>
      </w:r>
      <w:r w:rsidRPr="002E225A">
        <w:t>b</w:t>
      </w:r>
      <w:r w:rsidRPr="00006130">
        <w:t>)</w:t>
      </w:r>
      <w:r>
        <w:t> </w:t>
      </w:r>
      <w:r w:rsidRPr="00006130">
        <w:t>заявлени</w:t>
      </w:r>
      <w:r>
        <w:t>я</w:t>
      </w:r>
      <w:r w:rsidRPr="00006130">
        <w:t xml:space="preserve"> о том, что целью закона является защита чести и достоинства прокуроров, что, однако, не соответствует допустимым основаниям для ограничения свободы выражения мнений; и </w:t>
      </w:r>
      <w:r w:rsidRPr="002E225A">
        <w:t>c</w:t>
      </w:r>
      <w:r w:rsidRPr="00006130">
        <w:t>)</w:t>
      </w:r>
      <w:r>
        <w:t> </w:t>
      </w:r>
      <w:r w:rsidRPr="00006130">
        <w:t>ссылк</w:t>
      </w:r>
      <w:r>
        <w:t>ой</w:t>
      </w:r>
      <w:r w:rsidRPr="00006130">
        <w:t xml:space="preserve"> на дела Европейского суда по правам человека, которые не имеют отношения к ее делу в силу различий </w:t>
      </w:r>
      <w:r>
        <w:t>между</w:t>
      </w:r>
      <w:r w:rsidRPr="00006130">
        <w:t xml:space="preserve"> фактически</w:t>
      </w:r>
      <w:r>
        <w:t>ми</w:t>
      </w:r>
      <w:r w:rsidRPr="00006130">
        <w:t xml:space="preserve"> и </w:t>
      </w:r>
      <w:r>
        <w:t>юридическими</w:t>
      </w:r>
      <w:r w:rsidRPr="00006130">
        <w:t xml:space="preserve"> обстоятельства</w:t>
      </w:r>
      <w:r>
        <w:t>ми</w:t>
      </w:r>
      <w:r w:rsidRPr="00006130">
        <w:t>. Поэтому государство-участник считает, что жалоб</w:t>
      </w:r>
      <w:r>
        <w:t>у</w:t>
      </w:r>
      <w:r w:rsidRPr="00006130">
        <w:t xml:space="preserve"> </w:t>
      </w:r>
      <w:r w:rsidRPr="0012490B">
        <w:t>следует признать</w:t>
      </w:r>
      <w:r w:rsidRPr="00006130">
        <w:t xml:space="preserve"> неприемлемой </w:t>
      </w:r>
      <w:r>
        <w:t xml:space="preserve">по причине </w:t>
      </w:r>
      <w:r w:rsidRPr="00006130">
        <w:t xml:space="preserve">злоупотребления правом на </w:t>
      </w:r>
      <w:r w:rsidRPr="006A44B4">
        <w:t xml:space="preserve">представление сообщений </w:t>
      </w:r>
      <w:r w:rsidRPr="00006130">
        <w:t xml:space="preserve">в соответствии со </w:t>
      </w:r>
      <w:r>
        <w:t>статьей </w:t>
      </w:r>
      <w:r w:rsidRPr="00006130">
        <w:t>3 Факультативного протокола.</w:t>
      </w:r>
    </w:p>
    <w:p w14:paraId="727B0944" w14:textId="77777777" w:rsidR="00CD2FF3" w:rsidRPr="00006130" w:rsidRDefault="00CD2FF3" w:rsidP="00CD2FF3">
      <w:pPr>
        <w:pStyle w:val="SingleTxtG"/>
      </w:pPr>
      <w:r w:rsidRPr="00006130">
        <w:t>4.9</w:t>
      </w:r>
      <w:r>
        <w:tab/>
      </w:r>
      <w:r w:rsidRPr="00006130">
        <w:t>В последующей вербальной ноте от 7</w:t>
      </w:r>
      <w:r>
        <w:t> </w:t>
      </w:r>
      <w:r w:rsidRPr="00006130">
        <w:t>июля 2016</w:t>
      </w:r>
      <w:r>
        <w:t> года</w:t>
      </w:r>
      <w:r w:rsidRPr="00006130">
        <w:t xml:space="preserve"> государство-участник подтвердило свою позицию, согласно которой Комитет должен признать сообщение неприемлемым в соответствии со </w:t>
      </w:r>
      <w:r>
        <w:t>статьями </w:t>
      </w:r>
      <w:r w:rsidRPr="00006130">
        <w:t xml:space="preserve">1, 2 и 3 Факультативного протокола. Государство-участник также заявило, что если Комитет </w:t>
      </w:r>
      <w:r>
        <w:t xml:space="preserve">будет </w:t>
      </w:r>
      <w:r w:rsidRPr="00006130">
        <w:t>рассм</w:t>
      </w:r>
      <w:r>
        <w:t>атривать</w:t>
      </w:r>
      <w:r w:rsidRPr="00006130">
        <w:t xml:space="preserve"> жалоб</w:t>
      </w:r>
      <w:r>
        <w:t>у</w:t>
      </w:r>
      <w:r w:rsidRPr="003D5C7F">
        <w:t xml:space="preserve"> </w:t>
      </w:r>
      <w:r>
        <w:t xml:space="preserve">по </w:t>
      </w:r>
      <w:r w:rsidRPr="00006130">
        <w:t>существ</w:t>
      </w:r>
      <w:r>
        <w:t>у</w:t>
      </w:r>
      <w:r w:rsidRPr="00006130">
        <w:t xml:space="preserve">, </w:t>
      </w:r>
      <w:r>
        <w:t xml:space="preserve">то </w:t>
      </w:r>
      <w:r w:rsidRPr="00006130">
        <w:t xml:space="preserve">ему </w:t>
      </w:r>
      <w:r>
        <w:t>необходимо будет</w:t>
      </w:r>
      <w:r w:rsidRPr="00006130">
        <w:t xml:space="preserve"> рассмотреть замечания государства-участника от 8</w:t>
      </w:r>
      <w:r>
        <w:t> марта</w:t>
      </w:r>
      <w:r w:rsidRPr="00006130">
        <w:t xml:space="preserve"> 2016</w:t>
      </w:r>
      <w:r>
        <w:t> года</w:t>
      </w:r>
      <w:r w:rsidRPr="00006130">
        <w:t xml:space="preserve"> в отношении приемлемости и существа </w:t>
      </w:r>
      <w:r>
        <w:t>утверждений</w:t>
      </w:r>
      <w:r w:rsidRPr="00006130">
        <w:t xml:space="preserve"> автора и установить, что по изложенным в них причинам нарушения пункта</w:t>
      </w:r>
      <w:r>
        <w:t> </w:t>
      </w:r>
      <w:r w:rsidRPr="00006130">
        <w:t xml:space="preserve">2 </w:t>
      </w:r>
      <w:r>
        <w:t>статьи </w:t>
      </w:r>
      <w:r w:rsidRPr="00006130">
        <w:t xml:space="preserve">19 Пакта </w:t>
      </w:r>
      <w:r w:rsidRPr="00FC443F">
        <w:t xml:space="preserve">допущено </w:t>
      </w:r>
      <w:r w:rsidRPr="00006130">
        <w:t>не было.</w:t>
      </w:r>
    </w:p>
    <w:p w14:paraId="751F766D" w14:textId="77777777" w:rsidR="00CD2FF3" w:rsidRPr="00006130" w:rsidRDefault="00CD2FF3" w:rsidP="00CD2FF3">
      <w:pPr>
        <w:pStyle w:val="H23G"/>
      </w:pPr>
      <w:r w:rsidRPr="00006130">
        <w:tab/>
      </w:r>
      <w:r>
        <w:tab/>
      </w:r>
      <w:r w:rsidRPr="00EC574F">
        <w:t>Комментарии автор</w:t>
      </w:r>
      <w:r w:rsidRPr="00FC443F">
        <w:t>а к замечаниям государства-участника относительно приемлемости сообщения</w:t>
      </w:r>
    </w:p>
    <w:p w14:paraId="530F3632" w14:textId="77777777" w:rsidR="00CD2FF3" w:rsidRPr="00006130" w:rsidRDefault="00CD2FF3" w:rsidP="00CD2FF3">
      <w:pPr>
        <w:pStyle w:val="SingleTxtG"/>
      </w:pPr>
      <w:r w:rsidRPr="00006130">
        <w:t>5.1</w:t>
      </w:r>
      <w:r>
        <w:tab/>
      </w:r>
      <w:r w:rsidRPr="00006130">
        <w:t>В письме от 10</w:t>
      </w:r>
      <w:r>
        <w:t> </w:t>
      </w:r>
      <w:r w:rsidRPr="00006130">
        <w:t>августа 2016</w:t>
      </w:r>
      <w:r>
        <w:t> года</w:t>
      </w:r>
      <w:r w:rsidRPr="00006130">
        <w:t xml:space="preserve"> автор ответил</w:t>
      </w:r>
      <w:r>
        <w:t>а</w:t>
      </w:r>
      <w:r w:rsidRPr="00006130">
        <w:t xml:space="preserve"> на замечания государства-участника. Что касается аргументов государства-участника в соответствии со </w:t>
      </w:r>
      <w:r>
        <w:t>статьей </w:t>
      </w:r>
      <w:r w:rsidRPr="00006130">
        <w:t xml:space="preserve">1 Факультативного протокола, то автор отмечает, что ее </w:t>
      </w:r>
      <w:r w:rsidRPr="006D0CBB">
        <w:t>осуждение в уголовном порядке</w:t>
      </w:r>
      <w:r>
        <w:t xml:space="preserve"> </w:t>
      </w:r>
      <w:r w:rsidRPr="00006130">
        <w:t>на основании ее заявлений</w:t>
      </w:r>
      <w:r>
        <w:t>, содержавших</w:t>
      </w:r>
      <w:r w:rsidRPr="00006130">
        <w:t xml:space="preserve"> критик</w:t>
      </w:r>
      <w:r>
        <w:t>у</w:t>
      </w:r>
      <w:r w:rsidRPr="00006130">
        <w:t xml:space="preserve"> прокуроров, несомненно, затрагивает ее права по </w:t>
      </w:r>
      <w:r>
        <w:t>статье </w:t>
      </w:r>
      <w:r w:rsidRPr="00006130">
        <w:t xml:space="preserve">19 Пакта. Она настаивает на том, что она не </w:t>
      </w:r>
      <w:r>
        <w:t>желает</w:t>
      </w:r>
      <w:r w:rsidRPr="00006130">
        <w:t xml:space="preserve"> оспаривать закон </w:t>
      </w:r>
      <w:r w:rsidRPr="00006130">
        <w:rPr>
          <w:i/>
          <w:iCs/>
        </w:rPr>
        <w:t xml:space="preserve">абстрактно, </w:t>
      </w:r>
      <w:r w:rsidRPr="00006130">
        <w:t xml:space="preserve">а скорее </w:t>
      </w:r>
      <w:r>
        <w:t xml:space="preserve">оспаривает </w:t>
      </w:r>
      <w:r w:rsidRPr="00006130">
        <w:t xml:space="preserve">то, как он был применен </w:t>
      </w:r>
      <w:r w:rsidRPr="00301FED">
        <w:t xml:space="preserve">ей во вред </w:t>
      </w:r>
      <w:r w:rsidRPr="00006130">
        <w:t>в данном деле. Таким образом, она утверждает, что имеет статус жертвы для целей разбирательства в Комитете.</w:t>
      </w:r>
    </w:p>
    <w:p w14:paraId="099F0D16" w14:textId="77777777" w:rsidR="00CD2FF3" w:rsidRPr="00006130" w:rsidRDefault="00CD2FF3" w:rsidP="00CD2FF3">
      <w:pPr>
        <w:pStyle w:val="SingleTxtG"/>
      </w:pPr>
      <w:r w:rsidRPr="00006130">
        <w:t>5.2</w:t>
      </w:r>
      <w:r>
        <w:tab/>
      </w:r>
      <w:r w:rsidRPr="00006130">
        <w:t xml:space="preserve">Касаясь аргумента государства-участника о том, что сообщение автора является необоснованным, поскольку ее дело было тщательно рассмотрено национальными </w:t>
      </w:r>
      <w:r w:rsidRPr="00006130">
        <w:lastRenderedPageBreak/>
        <w:t>судами, автор утверждает, что сам факт рассмотрения ее дела тремя суд</w:t>
      </w:r>
      <w:r>
        <w:t>ебными инстанциями</w:t>
      </w:r>
      <w:r w:rsidRPr="00006130">
        <w:t xml:space="preserve"> подтверждает ее утверждение </w:t>
      </w:r>
      <w:r w:rsidRPr="009E75A8">
        <w:t>о том, что она исчерпала внутренние средства правовой защиты</w:t>
      </w:r>
      <w:r w:rsidRPr="00006130">
        <w:t xml:space="preserve">. Рассмотрение ее жалобы национальными судами не может </w:t>
      </w:r>
      <w:r w:rsidRPr="009E75A8">
        <w:t>использоваться государством-участником в качестве довода в пользу неприемлемости</w:t>
      </w:r>
      <w:r w:rsidRPr="00006130">
        <w:t>. Что касается аргументов государства-участника относительно соразмерности вмешательства, то она утверждает, что эти аргументы игнорируют тот факт,</w:t>
      </w:r>
      <w:r w:rsidR="00D75E76">
        <w:br/>
      </w:r>
      <w:r w:rsidRPr="00006130">
        <w:t>что ее основная жалоба в Комитет касается не строгости наложенн</w:t>
      </w:r>
      <w:r>
        <w:t>ой</w:t>
      </w:r>
      <w:r w:rsidRPr="00006130">
        <w:t xml:space="preserve"> на нее санкци</w:t>
      </w:r>
      <w:r>
        <w:t>и</w:t>
      </w:r>
      <w:r w:rsidRPr="00006130">
        <w:t>, а просто того факта, что она была подвергнута уголовному преследованию</w:t>
      </w:r>
      <w:r w:rsidR="00D75E76">
        <w:br/>
      </w:r>
      <w:r w:rsidRPr="00006130">
        <w:t>за публичное критическое заявление.</w:t>
      </w:r>
    </w:p>
    <w:p w14:paraId="35C5AE34" w14:textId="77777777" w:rsidR="00CD2FF3" w:rsidRPr="00006130" w:rsidRDefault="00CD2FF3" w:rsidP="00CD2FF3">
      <w:pPr>
        <w:pStyle w:val="SingleTxtG"/>
      </w:pPr>
      <w:r w:rsidRPr="00006130">
        <w:t>5.3</w:t>
      </w:r>
      <w:r>
        <w:tab/>
        <w:t>И н</w:t>
      </w:r>
      <w:r w:rsidRPr="00006130">
        <w:t>аконец</w:t>
      </w:r>
      <w:r>
        <w:t>,</w:t>
      </w:r>
      <w:r w:rsidRPr="00006130">
        <w:t xml:space="preserve"> автор отмечает, что </w:t>
      </w:r>
      <w:r>
        <w:t>только</w:t>
      </w:r>
      <w:r w:rsidRPr="00006130">
        <w:t xml:space="preserve"> потому, что ее аргументы и толкование закона отличаются от позиции государства-участника, они должны рассматриваться государством-участником не как попытка ввести Комитет в заблуждение, а скорее</w:t>
      </w:r>
      <w:r>
        <w:t>,</w:t>
      </w:r>
      <w:r w:rsidR="00D75E76">
        <w:br/>
      </w:r>
      <w:r w:rsidRPr="00006130">
        <w:t>как неотъемлемая часть процесса урегулирования спора в беспристрастном суде.</w:t>
      </w:r>
      <w:r w:rsidR="00D75E76">
        <w:br/>
      </w:r>
      <w:r w:rsidRPr="00805CF1">
        <w:t>Это нельзя рассматривать как злоупотребление правом на представление сообщений.</w:t>
      </w:r>
    </w:p>
    <w:p w14:paraId="7BB8D6FB" w14:textId="77777777" w:rsidR="00CD2FF3" w:rsidRPr="00006130" w:rsidRDefault="00CD2FF3" w:rsidP="00CD2FF3">
      <w:pPr>
        <w:pStyle w:val="SingleTxtG"/>
      </w:pPr>
      <w:r w:rsidRPr="00006130">
        <w:t>5.4</w:t>
      </w:r>
      <w:r w:rsidRPr="00006130">
        <w:tab/>
        <w:t>18</w:t>
      </w:r>
      <w:r>
        <w:t> </w:t>
      </w:r>
      <w:r w:rsidRPr="00006130">
        <w:t>апреля 2017</w:t>
      </w:r>
      <w:r>
        <w:t> года</w:t>
      </w:r>
      <w:r w:rsidRPr="00006130">
        <w:t xml:space="preserve"> автор вновь подтвердила свою позицию, согласно которой ее осуждение </w:t>
      </w:r>
      <w:r w:rsidRPr="006D0CBB">
        <w:t>в уголовном порядке</w:t>
      </w:r>
      <w:r>
        <w:t xml:space="preserve"> </w:t>
      </w:r>
      <w:r w:rsidRPr="00006130">
        <w:t xml:space="preserve">за словесное оскорбление </w:t>
      </w:r>
      <w:r>
        <w:t xml:space="preserve">стороны </w:t>
      </w:r>
      <w:r w:rsidRPr="00006130">
        <w:t xml:space="preserve">обвинения представляет собой вмешательство в ее право на свободу выражения мнений в соответствии с </w:t>
      </w:r>
      <w:r>
        <w:t>пунктом </w:t>
      </w:r>
      <w:r w:rsidRPr="00006130">
        <w:t xml:space="preserve">2 </w:t>
      </w:r>
      <w:r>
        <w:t>статьи </w:t>
      </w:r>
      <w:r w:rsidRPr="00006130">
        <w:t>19 Пакта, которое не отвечает требованиям пункта</w:t>
      </w:r>
      <w:r>
        <w:t> </w:t>
      </w:r>
      <w:r w:rsidRPr="00006130">
        <w:t xml:space="preserve">3 </w:t>
      </w:r>
      <w:r>
        <w:t>статьи </w:t>
      </w:r>
      <w:r w:rsidRPr="00006130">
        <w:t xml:space="preserve">19 и </w:t>
      </w:r>
      <w:r>
        <w:t xml:space="preserve">которое </w:t>
      </w:r>
      <w:r w:rsidRPr="00006130">
        <w:t>поэтому не</w:t>
      </w:r>
      <w:r>
        <w:t xml:space="preserve">льзя </w:t>
      </w:r>
      <w:r w:rsidRPr="00006130">
        <w:t>оправда</w:t>
      </w:r>
      <w:r>
        <w:t>ть</w:t>
      </w:r>
      <w:r w:rsidRPr="00006130">
        <w:t xml:space="preserve">. Она далее проинформировала Комитет о том, что </w:t>
      </w:r>
      <w:r>
        <w:t xml:space="preserve">как </w:t>
      </w:r>
      <w:r w:rsidRPr="00CE5B89">
        <w:t xml:space="preserve">уголовно наказуемое деяние </w:t>
      </w:r>
      <w:r>
        <w:t>«</w:t>
      </w:r>
      <w:r w:rsidRPr="00006130">
        <w:t>оскорблени</w:t>
      </w:r>
      <w:r>
        <w:t>е»</w:t>
      </w:r>
      <w:r w:rsidRPr="00006130">
        <w:t xml:space="preserve"> </w:t>
      </w:r>
      <w:r>
        <w:t>в соответствии со статьей </w:t>
      </w:r>
      <w:r w:rsidRPr="00006130">
        <w:t xml:space="preserve">155, так и </w:t>
      </w:r>
      <w:r w:rsidRPr="00CE5B89">
        <w:t xml:space="preserve">уголовно наказуемое деяние </w:t>
      </w:r>
      <w:r>
        <w:t>«</w:t>
      </w:r>
      <w:r w:rsidRPr="00006130">
        <w:t xml:space="preserve">оскорбление государственного служащего или лица, выполняющего функции публичного </w:t>
      </w:r>
      <w:r>
        <w:t>администрирования»</w:t>
      </w:r>
      <w:r w:rsidR="00D75E76">
        <w:br/>
      </w:r>
      <w:r w:rsidRPr="00006130">
        <w:t xml:space="preserve">по </w:t>
      </w:r>
      <w:r>
        <w:t>смыслу статьи </w:t>
      </w:r>
      <w:r w:rsidRPr="00006130">
        <w:t xml:space="preserve">290 в Литве </w:t>
      </w:r>
      <w:r>
        <w:t xml:space="preserve">были </w:t>
      </w:r>
      <w:r w:rsidRPr="00006130">
        <w:t>декриминализированы</w:t>
      </w:r>
      <w:r>
        <w:t>,</w:t>
      </w:r>
      <w:r w:rsidRPr="00006130">
        <w:t xml:space="preserve"> что также свидетельствует об отсутствии необходимости </w:t>
      </w:r>
      <w:r>
        <w:t xml:space="preserve">в </w:t>
      </w:r>
      <w:r w:rsidRPr="00006130">
        <w:t>уголовно</w:t>
      </w:r>
      <w:r>
        <w:t>м</w:t>
      </w:r>
      <w:r w:rsidRPr="00006130">
        <w:t xml:space="preserve"> судопроизводств</w:t>
      </w:r>
      <w:r>
        <w:t>е</w:t>
      </w:r>
      <w:r w:rsidRPr="00006130">
        <w:t xml:space="preserve">, в результате </w:t>
      </w:r>
      <w:r>
        <w:t>которого</w:t>
      </w:r>
      <w:r w:rsidRPr="00006130">
        <w:t xml:space="preserve"> она была осуждена </w:t>
      </w:r>
      <w:r w:rsidRPr="004903D3">
        <w:t>в соответствующее время</w:t>
      </w:r>
      <w:r>
        <w:t xml:space="preserve">, </w:t>
      </w:r>
      <w:r w:rsidRPr="00006130">
        <w:t xml:space="preserve">и </w:t>
      </w:r>
      <w:r>
        <w:t>о его не</w:t>
      </w:r>
      <w:r w:rsidRPr="00006130">
        <w:t>соразмерности.</w:t>
      </w:r>
    </w:p>
    <w:p w14:paraId="7D1C5011" w14:textId="77777777" w:rsidR="00CD2FF3" w:rsidRPr="00006130" w:rsidRDefault="00CD2FF3" w:rsidP="00CD2FF3">
      <w:pPr>
        <w:pStyle w:val="H23G"/>
      </w:pPr>
      <w:r>
        <w:tab/>
      </w:r>
      <w:r>
        <w:tab/>
      </w:r>
      <w:r w:rsidRPr="00006130">
        <w:t>Дополнительные замечания государства-участника</w:t>
      </w:r>
    </w:p>
    <w:p w14:paraId="4238AA2A" w14:textId="77777777" w:rsidR="00CD2FF3" w:rsidRPr="00006130" w:rsidRDefault="00CD2FF3" w:rsidP="00CD2FF3">
      <w:pPr>
        <w:pStyle w:val="SingleTxtG"/>
      </w:pPr>
      <w:r w:rsidRPr="00006130">
        <w:t>6.1</w:t>
      </w:r>
      <w:r>
        <w:tab/>
      </w:r>
      <w:r w:rsidRPr="00006130">
        <w:t>В вербальной ноте от 19</w:t>
      </w:r>
      <w:r>
        <w:t> </w:t>
      </w:r>
      <w:r w:rsidRPr="00006130">
        <w:t>мая 2017</w:t>
      </w:r>
      <w:r>
        <w:t> года</w:t>
      </w:r>
      <w:r w:rsidRPr="00006130">
        <w:t xml:space="preserve"> государство-участник подтвердило свою позицию, согласно которой Комитет должен признать сообщение неприемлемым в силу отсутствия статуса жертвы, необоснованности и злоупотребления правом на </w:t>
      </w:r>
      <w:r w:rsidRPr="003E2123">
        <w:t>представление сообщений</w:t>
      </w:r>
      <w:r w:rsidRPr="00006130">
        <w:t xml:space="preserve">. Что касается декриминализации преступного </w:t>
      </w:r>
      <w:r>
        <w:t xml:space="preserve">в то время </w:t>
      </w:r>
      <w:r w:rsidRPr="00006130">
        <w:t xml:space="preserve">поведения автора и других деяний, то государство-участник утверждает, что и </w:t>
      </w:r>
      <w:r>
        <w:t xml:space="preserve">в </w:t>
      </w:r>
      <w:r w:rsidRPr="00006130">
        <w:t>Уголовн</w:t>
      </w:r>
      <w:r>
        <w:t>ом</w:t>
      </w:r>
      <w:r w:rsidRPr="00006130">
        <w:t xml:space="preserve"> кодекс</w:t>
      </w:r>
      <w:r>
        <w:t>е</w:t>
      </w:r>
      <w:r w:rsidRPr="00006130">
        <w:t xml:space="preserve">, и </w:t>
      </w:r>
      <w:r>
        <w:t xml:space="preserve">в </w:t>
      </w:r>
      <w:r w:rsidRPr="00006130">
        <w:t>Кодекс</w:t>
      </w:r>
      <w:r>
        <w:t>е</w:t>
      </w:r>
      <w:r w:rsidRPr="00006130">
        <w:t xml:space="preserve"> об административных правонарушениях содержат</w:t>
      </w:r>
      <w:r>
        <w:t>ся</w:t>
      </w:r>
      <w:r w:rsidRPr="00006130">
        <w:t xml:space="preserve"> положения, касающиеся </w:t>
      </w:r>
      <w:r w:rsidRPr="0074499B">
        <w:t>акт</w:t>
      </w:r>
      <w:r>
        <w:t>а</w:t>
      </w:r>
      <w:r w:rsidRPr="0074499B">
        <w:t xml:space="preserve"> </w:t>
      </w:r>
      <w:r w:rsidRPr="00006130">
        <w:t>оскорбления лиц, выполня</w:t>
      </w:r>
      <w:r>
        <w:t>ющ</w:t>
      </w:r>
      <w:r w:rsidRPr="00006130">
        <w:t xml:space="preserve">их государственные функции. В целях гармонизации этих положений, а также для удовлетворения требований принципа </w:t>
      </w:r>
      <w:r w:rsidRPr="003E105D">
        <w:rPr>
          <w:iCs/>
        </w:rPr>
        <w:t>ne bis in idem</w:t>
      </w:r>
      <w:r w:rsidRPr="00006130">
        <w:t xml:space="preserve"> законодательная власть решила отменить оба положения и ввести единое, унифицированное положение</w:t>
      </w:r>
      <w:r>
        <w:t>, предусмотренное</w:t>
      </w:r>
      <w:r w:rsidRPr="00006130">
        <w:t xml:space="preserve"> </w:t>
      </w:r>
      <w:r>
        <w:t>статьей </w:t>
      </w:r>
      <w:r w:rsidRPr="00006130">
        <w:t>507 Кодекса об административных правонарушениях.</w:t>
      </w:r>
    </w:p>
    <w:p w14:paraId="12E4EF31" w14:textId="77777777" w:rsidR="00CD2FF3" w:rsidRPr="00006130" w:rsidRDefault="00CD2FF3" w:rsidP="00CD2FF3">
      <w:pPr>
        <w:pStyle w:val="SingleTxtG"/>
      </w:pPr>
      <w:r w:rsidRPr="00006130">
        <w:t>6.2</w:t>
      </w:r>
      <w:r>
        <w:tab/>
      </w:r>
      <w:r w:rsidRPr="00006130">
        <w:t>В заключение государство-участник напоминает, что дело автора не касается взаимосвязи между свободой слова и средствами массовой информации, а также вновь заявляет, что заявления автора не должны рассматриваться как информация или идеи</w:t>
      </w:r>
      <w:r>
        <w:t>, касающиеся</w:t>
      </w:r>
      <w:r w:rsidRPr="00006130">
        <w:t xml:space="preserve"> общественны</w:t>
      </w:r>
      <w:r>
        <w:t>х</w:t>
      </w:r>
      <w:r w:rsidRPr="00006130">
        <w:t xml:space="preserve"> или политически</w:t>
      </w:r>
      <w:r>
        <w:t>х</w:t>
      </w:r>
      <w:r w:rsidRPr="00006130">
        <w:t xml:space="preserve"> вопрос</w:t>
      </w:r>
      <w:r>
        <w:t>ов,</w:t>
      </w:r>
      <w:r w:rsidRPr="00006130">
        <w:t xml:space="preserve"> и что прокуроры </w:t>
      </w:r>
      <w:r>
        <w:t>по ее</w:t>
      </w:r>
      <w:r w:rsidRPr="00006130">
        <w:t xml:space="preserve"> дел</w:t>
      </w:r>
      <w:r>
        <w:t>у</w:t>
      </w:r>
      <w:r w:rsidRPr="00006130">
        <w:t xml:space="preserve"> не являлись видными общественными и политическими деятелями. Поэтому решения Европейского суда по правам человека, </w:t>
      </w:r>
      <w:r>
        <w:t xml:space="preserve">которые </w:t>
      </w:r>
      <w:r w:rsidRPr="00006130">
        <w:t>касаю</w:t>
      </w:r>
      <w:r>
        <w:t>тся</w:t>
      </w:r>
      <w:r w:rsidRPr="00006130">
        <w:t xml:space="preserve"> аналогичных вопросов и на которые автор ссылается для того, чтобы доказать, что ее заявления должны пользоваться большей защитой в рамках права на свободу выражения мнений,</w:t>
      </w:r>
      <w:r w:rsidR="00D75E76">
        <w:br/>
      </w:r>
      <w:r w:rsidRPr="00006130">
        <w:t xml:space="preserve">не имеют отношения к </w:t>
      </w:r>
      <w:r w:rsidRPr="00820ECA">
        <w:t>рассмотрени</w:t>
      </w:r>
      <w:r>
        <w:t>ю</w:t>
      </w:r>
      <w:r w:rsidRPr="00820ECA">
        <w:t xml:space="preserve"> </w:t>
      </w:r>
      <w:r w:rsidRPr="00006130">
        <w:t>настоящей жалоб</w:t>
      </w:r>
      <w:r>
        <w:t>ы</w:t>
      </w:r>
      <w:r w:rsidRPr="00006130">
        <w:t>.</w:t>
      </w:r>
    </w:p>
    <w:p w14:paraId="73B8EDC9" w14:textId="77777777" w:rsidR="00CD2FF3" w:rsidRPr="00006130" w:rsidRDefault="00CD2FF3" w:rsidP="00CD2FF3">
      <w:pPr>
        <w:pStyle w:val="H23G"/>
      </w:pPr>
      <w:r w:rsidRPr="00006130">
        <w:tab/>
      </w:r>
      <w:r w:rsidRPr="00006130">
        <w:tab/>
        <w:t xml:space="preserve">Вопросы </w:t>
      </w:r>
      <w:r w:rsidRPr="00410191">
        <w:t xml:space="preserve">и процедура их рассмотрения </w:t>
      </w:r>
      <w:r w:rsidRPr="00006130">
        <w:t>в Комитете</w:t>
      </w:r>
    </w:p>
    <w:p w14:paraId="188720B2" w14:textId="77777777" w:rsidR="00CD2FF3" w:rsidRPr="00006130" w:rsidRDefault="00CD2FF3" w:rsidP="00CD2FF3">
      <w:pPr>
        <w:pStyle w:val="H4G"/>
      </w:pPr>
      <w:r w:rsidRPr="00006130">
        <w:tab/>
      </w:r>
      <w:r w:rsidRPr="00006130">
        <w:tab/>
        <w:t>Рассмотрение вопроса о приемлемости</w:t>
      </w:r>
    </w:p>
    <w:p w14:paraId="12FE1D11" w14:textId="77777777" w:rsidR="00CD2FF3" w:rsidRPr="00006130" w:rsidRDefault="00CD2FF3" w:rsidP="00CD2FF3">
      <w:pPr>
        <w:pStyle w:val="SingleTxtG"/>
      </w:pPr>
      <w:r w:rsidRPr="00006130">
        <w:t>7.1</w:t>
      </w:r>
      <w:r>
        <w:tab/>
      </w:r>
      <w:r w:rsidRPr="00006130">
        <w:t>Прежде чем рассматривать любое утверждение, содержащееся в сообщении, Комитет должен в соответствии с правилом</w:t>
      </w:r>
      <w:r>
        <w:t> </w:t>
      </w:r>
      <w:r w:rsidRPr="00006130">
        <w:t>97 своих правил процедуры принять решение о том, является ли данное сообщение приемлемым в соответствии с Факультативным протоколом.</w:t>
      </w:r>
    </w:p>
    <w:p w14:paraId="39ADC4D5" w14:textId="77777777" w:rsidR="00CD2FF3" w:rsidRPr="00006130" w:rsidRDefault="00CD2FF3" w:rsidP="00CD2FF3">
      <w:pPr>
        <w:pStyle w:val="SingleTxtG"/>
      </w:pPr>
      <w:r w:rsidRPr="00006130">
        <w:lastRenderedPageBreak/>
        <w:t>7.2</w:t>
      </w:r>
      <w:r w:rsidRPr="00006130">
        <w:tab/>
        <w:t>Комитет отмечает, что автор подал</w:t>
      </w:r>
      <w:r>
        <w:t>а</w:t>
      </w:r>
      <w:r w:rsidRPr="00006130">
        <w:t xml:space="preserve"> аналогичный иск в Европейский суд по правам человека, который 31</w:t>
      </w:r>
      <w:r>
        <w:t> октября</w:t>
      </w:r>
      <w:r w:rsidRPr="00006130">
        <w:t xml:space="preserve"> 2012</w:t>
      </w:r>
      <w:r>
        <w:t> года</w:t>
      </w:r>
      <w:r w:rsidRPr="00006130">
        <w:t xml:space="preserve"> признал его неприемлемым.</w:t>
      </w:r>
      <w:r w:rsidR="00D75E76">
        <w:br/>
      </w:r>
      <w:r w:rsidRPr="00006130">
        <w:t xml:space="preserve">Он напоминает, что понятие </w:t>
      </w:r>
      <w:r>
        <w:t>«э</w:t>
      </w:r>
      <w:r w:rsidRPr="00006130">
        <w:t>тот же вопрос</w:t>
      </w:r>
      <w:r>
        <w:t>»</w:t>
      </w:r>
      <w:r w:rsidRPr="00006130">
        <w:t xml:space="preserve"> по смыслу пункта</w:t>
      </w:r>
      <w:r>
        <w:t> </w:t>
      </w:r>
      <w:r w:rsidRPr="00006130">
        <w:t>2</w:t>
      </w:r>
      <w:r w:rsidR="00D75E76">
        <w:t xml:space="preserve"> </w:t>
      </w:r>
      <w:r w:rsidRPr="00006130">
        <w:t>а</w:t>
      </w:r>
      <w:r w:rsidR="00D75E76">
        <w:t>)</w:t>
      </w:r>
      <w:r w:rsidRPr="00006130">
        <w:t xml:space="preserve"> </w:t>
      </w:r>
      <w:r>
        <w:t>статьи </w:t>
      </w:r>
      <w:r w:rsidRPr="00006130">
        <w:t xml:space="preserve">5 Факультативного протокола следует понимать как включающее </w:t>
      </w:r>
      <w:r w:rsidRPr="000B49F1">
        <w:t>одну и ту же жалобу в отношении одного и того же лица, представленную в другой международный орган, тогда как содержащийся в этом пункте запрет относится к тому же вопросу, находящемуся в стадии параллельного рассмотрения</w:t>
      </w:r>
      <w:r w:rsidRPr="00006130">
        <w:t xml:space="preserve">. Даже если настоящее сообщение было представлено </w:t>
      </w:r>
      <w:r>
        <w:t>этим</w:t>
      </w:r>
      <w:r w:rsidRPr="00006130">
        <w:t xml:space="preserve"> же лицом в Европейский суд по правам человека, этот орган уже вынес решение по нему. Кроме того, Комитет отмечает, что государство-участник не сделало оговорки к </w:t>
      </w:r>
      <w:r>
        <w:t>пункту </w:t>
      </w:r>
      <w:r w:rsidRPr="00006130">
        <w:t>2</w:t>
      </w:r>
      <w:r w:rsidR="00D75E76">
        <w:t xml:space="preserve"> </w:t>
      </w:r>
      <w:r w:rsidRPr="00006130">
        <w:t>а</w:t>
      </w:r>
      <w:r w:rsidR="00D75E76">
        <w:t>)</w:t>
      </w:r>
      <w:r w:rsidRPr="00006130">
        <w:t xml:space="preserve"> </w:t>
      </w:r>
      <w:r>
        <w:t>статьи </w:t>
      </w:r>
      <w:r w:rsidRPr="00006130">
        <w:t>5 с целью воспрепятствовать рассмотрению Комитетом сообщений, которые ранее рассматривались другим органом. Соответственно, он удостоверился в том, что этот же вопрос не рассматривается в рамках другой процедуры международного разбирательства или урегулирования для целей пункта</w:t>
      </w:r>
      <w:r>
        <w:t> </w:t>
      </w:r>
      <w:r w:rsidRPr="00006130">
        <w:t>2</w:t>
      </w:r>
      <w:r w:rsidR="00D75E76">
        <w:t xml:space="preserve"> </w:t>
      </w:r>
      <w:r w:rsidRPr="00006130">
        <w:t>а</w:t>
      </w:r>
      <w:r w:rsidR="00D75E76">
        <w:t>)</w:t>
      </w:r>
      <w:r w:rsidRPr="00006130">
        <w:t xml:space="preserve"> </w:t>
      </w:r>
      <w:r>
        <w:t>статьи </w:t>
      </w:r>
      <w:r w:rsidRPr="00006130">
        <w:t>5 Факультативного протокола.</w:t>
      </w:r>
    </w:p>
    <w:p w14:paraId="5A64E6EF" w14:textId="77777777" w:rsidR="00CD2FF3" w:rsidRPr="00006130" w:rsidRDefault="00CD2FF3" w:rsidP="00CD2FF3">
      <w:pPr>
        <w:pStyle w:val="SingleTxtG"/>
      </w:pPr>
      <w:r w:rsidRPr="00006130">
        <w:t>7.3</w:t>
      </w:r>
      <w:r w:rsidRPr="00006130">
        <w:tab/>
      </w:r>
      <w:r w:rsidRPr="00142C33">
        <w:t>Комитет</w:t>
      </w:r>
      <w:r w:rsidRPr="00006130">
        <w:t xml:space="preserve"> также отмечает, что внутренние средства правовой защиты были исчерпаны в соответствии с требованиями пункта</w:t>
      </w:r>
      <w:r>
        <w:t> </w:t>
      </w:r>
      <w:r w:rsidRPr="00006130">
        <w:t>2</w:t>
      </w:r>
      <w:r w:rsidR="00D75E76">
        <w:t xml:space="preserve"> </w:t>
      </w:r>
      <w:r w:rsidRPr="002E225A">
        <w:t>b</w:t>
      </w:r>
      <w:r w:rsidR="00D75E76">
        <w:t>)</w:t>
      </w:r>
      <w:r w:rsidRPr="00006130">
        <w:t xml:space="preserve"> </w:t>
      </w:r>
      <w:r>
        <w:t>статьи </w:t>
      </w:r>
      <w:r w:rsidRPr="00006130">
        <w:t>5 Факультативного протокола.</w:t>
      </w:r>
    </w:p>
    <w:p w14:paraId="6BFC4A92" w14:textId="77777777" w:rsidR="00CD2FF3" w:rsidRPr="00006130" w:rsidRDefault="00CD2FF3" w:rsidP="00CD2FF3">
      <w:pPr>
        <w:pStyle w:val="SingleTxtG"/>
      </w:pPr>
      <w:r w:rsidRPr="00006130">
        <w:t>7.4</w:t>
      </w:r>
      <w:r w:rsidRPr="00006130">
        <w:tab/>
        <w:t>Комитет принимает к сведению аргумент государства-участника о том,</w:t>
      </w:r>
      <w:r w:rsidR="00D75E76">
        <w:br/>
      </w:r>
      <w:r w:rsidRPr="00006130">
        <w:t>что сообщение является неприемлемым на основании злоупотребления правом на представление</w:t>
      </w:r>
      <w:r>
        <w:t xml:space="preserve"> </w:t>
      </w:r>
      <w:r w:rsidRPr="00E14EEF">
        <w:t>сообщений</w:t>
      </w:r>
      <w:r w:rsidRPr="00006130">
        <w:t xml:space="preserve">, </w:t>
      </w:r>
      <w:r>
        <w:t xml:space="preserve">и его </w:t>
      </w:r>
      <w:r w:rsidRPr="00006130">
        <w:t>заяв</w:t>
      </w:r>
      <w:r>
        <w:t>ление о том</w:t>
      </w:r>
      <w:r w:rsidRPr="00006130">
        <w:t>, что автор намеренно представил вводящую в заблуждение информацию о расширенном толковании закон</w:t>
      </w:r>
      <w:r>
        <w:t>а</w:t>
      </w:r>
      <w:r w:rsidRPr="00006130">
        <w:t xml:space="preserve"> национальными судами и о незаконных целях закон</w:t>
      </w:r>
      <w:r>
        <w:t>а</w:t>
      </w:r>
      <w:r w:rsidRPr="00006130">
        <w:t xml:space="preserve">. Кроме того, </w:t>
      </w:r>
      <w:r>
        <w:t>согласно</w:t>
      </w:r>
      <w:r w:rsidRPr="00006130">
        <w:t xml:space="preserve"> государств</w:t>
      </w:r>
      <w:r>
        <w:t>у</w:t>
      </w:r>
      <w:r w:rsidRPr="00006130">
        <w:t>-участник</w:t>
      </w:r>
      <w:r>
        <w:t>у</w:t>
      </w:r>
      <w:r w:rsidRPr="00006130">
        <w:t xml:space="preserve">, автор сообщения сделал выборочные ссылки на прецедентное право Европейского суда по правам человека. Автор утверждает, что ее аргументы и толкование закона не следует рассматривать как попытку ввести Комитет в заблуждение, а скорее как неотъемлемую часть процесса урегулирования спора в беспристрастном суде. Комитет считает, что представленная автором информация отражает различия в толковании сферы применения закона и не может рассматриваться как злоупотребление правом на представление </w:t>
      </w:r>
      <w:r w:rsidRPr="00E14EEF">
        <w:t>сообщений</w:t>
      </w:r>
      <w:r w:rsidRPr="00006130">
        <w:t>.</w:t>
      </w:r>
    </w:p>
    <w:p w14:paraId="48C5A485" w14:textId="77777777" w:rsidR="00CD2FF3" w:rsidRPr="00006130" w:rsidRDefault="00CD2FF3" w:rsidP="00CD2FF3">
      <w:pPr>
        <w:pStyle w:val="SingleTxtG"/>
      </w:pPr>
      <w:r w:rsidRPr="00006130">
        <w:t>7.5</w:t>
      </w:r>
      <w:r>
        <w:tab/>
      </w:r>
      <w:r w:rsidRPr="00006130">
        <w:t xml:space="preserve">Принимая во внимание аргумент государства-участника о том, что автор не может доказать, что она является </w:t>
      </w:r>
      <w:r>
        <w:t>«</w:t>
      </w:r>
      <w:r w:rsidRPr="00006130">
        <w:t>жертвой</w:t>
      </w:r>
      <w:r>
        <w:t>»</w:t>
      </w:r>
      <w:r w:rsidRPr="00006130">
        <w:t xml:space="preserve"> по смыслу </w:t>
      </w:r>
      <w:r>
        <w:t>статьи </w:t>
      </w:r>
      <w:r w:rsidRPr="00006130">
        <w:t xml:space="preserve">1 Факультативного протокола, </w:t>
      </w:r>
      <w:r w:rsidRPr="00EB570E">
        <w:t>Комитет напоминает, что ни одно лицо не может утверждать, что оно является жертвой по смыслу статьи</w:t>
      </w:r>
      <w:r>
        <w:t> </w:t>
      </w:r>
      <w:r w:rsidRPr="00EB570E">
        <w:t>1 Факультативного протокола, пока его или ее права не были действительно нарушены, и что ни одно лицо не может оспаривать какой-либо закон или практику, которые оно считает противоречащими Пакту, абстрактно, путем actio popularis</w:t>
      </w:r>
      <w:r w:rsidRPr="00006130">
        <w:t>. Вместе с тем Комитет считает, что аргументы автора в отношении точности и предсказуемости закона не следует рассматривать как ее абстрактное оспаривание закона, а скорее как оспаривание того, каким образом это закон</w:t>
      </w:r>
      <w:r>
        <w:t>одательство</w:t>
      </w:r>
      <w:r w:rsidRPr="00006130">
        <w:t xml:space="preserve"> </w:t>
      </w:r>
      <w:r>
        <w:t xml:space="preserve">было </w:t>
      </w:r>
      <w:r w:rsidRPr="00006130">
        <w:t>примен</w:t>
      </w:r>
      <w:r>
        <w:t>ено</w:t>
      </w:r>
      <w:r w:rsidRPr="00006130">
        <w:t xml:space="preserve"> к автору в данном деле, в частности</w:t>
      </w:r>
      <w:r>
        <w:t xml:space="preserve"> то</w:t>
      </w:r>
      <w:r w:rsidRPr="00006130">
        <w:t xml:space="preserve">, было ли предполагаемое вмешательство предусмотрено законом. Поэтому Комитет считает, что автор сообщения продемонстрировала достаточную </w:t>
      </w:r>
      <w:r w:rsidRPr="00635117">
        <w:t xml:space="preserve">процессуальную </w:t>
      </w:r>
      <w:r w:rsidRPr="00006130">
        <w:t>правоспособность</w:t>
      </w:r>
      <w:r>
        <w:t>, поскольку</w:t>
      </w:r>
      <w:r w:rsidRPr="00006130">
        <w:t xml:space="preserve"> она достаточно обоснова</w:t>
      </w:r>
      <w:r>
        <w:t>л</w:t>
      </w:r>
      <w:r w:rsidRPr="00006130">
        <w:t xml:space="preserve">а для целей приемлемости свои </w:t>
      </w:r>
      <w:r>
        <w:t>утверждения в связи со</w:t>
      </w:r>
      <w:r w:rsidRPr="00006130">
        <w:t xml:space="preserve"> </w:t>
      </w:r>
      <w:r>
        <w:t>статьей </w:t>
      </w:r>
      <w:r w:rsidRPr="00006130">
        <w:t>19 Пакта.</w:t>
      </w:r>
    </w:p>
    <w:p w14:paraId="6145684B" w14:textId="77777777" w:rsidR="00CD2FF3" w:rsidRPr="00006130" w:rsidRDefault="00CD2FF3" w:rsidP="00CD2FF3">
      <w:pPr>
        <w:pStyle w:val="SingleTxtG"/>
      </w:pPr>
      <w:r w:rsidRPr="00006130">
        <w:t>7.6</w:t>
      </w:r>
      <w:r>
        <w:tab/>
        <w:t>Что к</w:t>
      </w:r>
      <w:r w:rsidRPr="00006130">
        <w:t>аса</w:t>
      </w:r>
      <w:r>
        <w:t>ется</w:t>
      </w:r>
      <w:r w:rsidRPr="00006130">
        <w:t xml:space="preserve"> утверждений государства-участника о том, что жалоба не была в достаточной степени обоснована, </w:t>
      </w:r>
      <w:r>
        <w:t xml:space="preserve">то </w:t>
      </w:r>
      <w:r w:rsidRPr="00006130">
        <w:t>Комитет считает, что они тесно связаны с существом дела и поэтому должны быть проанализированы в контексте рассмотрения дела по существу. Соответственно, Комитет объявляет сообщение приемлемым и приступает к его рассмотрению по существу.</w:t>
      </w:r>
    </w:p>
    <w:p w14:paraId="3EBEE741" w14:textId="77777777" w:rsidR="00CD2FF3" w:rsidRPr="00006130" w:rsidRDefault="00CD2FF3" w:rsidP="00CD2FF3">
      <w:pPr>
        <w:pStyle w:val="H4G"/>
      </w:pPr>
      <w:r w:rsidRPr="00006130">
        <w:tab/>
      </w:r>
      <w:r w:rsidRPr="00006130">
        <w:tab/>
        <w:t xml:space="preserve">Рассмотрение </w:t>
      </w:r>
      <w:r w:rsidRPr="004D1905">
        <w:t>сообщения</w:t>
      </w:r>
      <w:r w:rsidRPr="00006130">
        <w:t xml:space="preserve"> по существу</w:t>
      </w:r>
    </w:p>
    <w:p w14:paraId="3CBA7291" w14:textId="77777777" w:rsidR="00CD2FF3" w:rsidRPr="00006130" w:rsidRDefault="00CD2FF3" w:rsidP="00CD2FF3">
      <w:pPr>
        <w:pStyle w:val="SingleTxtG"/>
      </w:pPr>
      <w:r w:rsidRPr="00006130">
        <w:t>8.1</w:t>
      </w:r>
      <w:r w:rsidRPr="00006130">
        <w:tab/>
        <w:t xml:space="preserve">Комитет по правам человека рассмотрел настоящее сообщение в свете всей информации, представленной ему сторонами в соответствии с </w:t>
      </w:r>
      <w:r>
        <w:t>пунктом </w:t>
      </w:r>
      <w:r w:rsidRPr="00006130">
        <w:t xml:space="preserve">1 </w:t>
      </w:r>
      <w:r>
        <w:t>статьи </w:t>
      </w:r>
      <w:r w:rsidRPr="00006130">
        <w:t>5 Факультативного протокола.</w:t>
      </w:r>
    </w:p>
    <w:p w14:paraId="57CA093A" w14:textId="77777777" w:rsidR="00CD2FF3" w:rsidRPr="00006130" w:rsidRDefault="00CD2FF3" w:rsidP="00CD2FF3">
      <w:pPr>
        <w:pStyle w:val="SingleTxtG"/>
      </w:pPr>
      <w:r w:rsidRPr="00006130">
        <w:t>8.2</w:t>
      </w:r>
      <w:r w:rsidRPr="00006130">
        <w:tab/>
        <w:t xml:space="preserve">Комитет принимает к сведению утверждение автора о том, что </w:t>
      </w:r>
      <w:r>
        <w:t xml:space="preserve">ее </w:t>
      </w:r>
      <w:r w:rsidRPr="00213A71">
        <w:t xml:space="preserve">осуждение в уголовном порядке </w:t>
      </w:r>
      <w:r w:rsidRPr="00006130">
        <w:t>за публичн</w:t>
      </w:r>
      <w:r>
        <w:t>ую</w:t>
      </w:r>
      <w:r w:rsidRPr="00006130">
        <w:t xml:space="preserve"> крити</w:t>
      </w:r>
      <w:r>
        <w:t>ку</w:t>
      </w:r>
      <w:r w:rsidRPr="00006130">
        <w:t xml:space="preserve"> действи</w:t>
      </w:r>
      <w:r>
        <w:t>й</w:t>
      </w:r>
      <w:r w:rsidRPr="00006130">
        <w:t xml:space="preserve"> прокуроров, осуществлявших </w:t>
      </w:r>
      <w:r>
        <w:t xml:space="preserve">ее </w:t>
      </w:r>
      <w:r w:rsidRPr="00006130">
        <w:t xml:space="preserve">уголовное преследование, представляет собой неоправданное ограничение ее права на </w:t>
      </w:r>
      <w:r w:rsidRPr="00006130">
        <w:lastRenderedPageBreak/>
        <w:t xml:space="preserve">свободу выражения мнений, закрепленное в </w:t>
      </w:r>
      <w:r>
        <w:t>пункте </w:t>
      </w:r>
      <w:r w:rsidRPr="00006130">
        <w:t xml:space="preserve">2 </w:t>
      </w:r>
      <w:r>
        <w:t>статьи </w:t>
      </w:r>
      <w:r w:rsidRPr="00006130">
        <w:t xml:space="preserve">19 Пакта. Комитет считает, что осуждение автора действительно представляло собой </w:t>
      </w:r>
      <w:r>
        <w:t>вмешательство в</w:t>
      </w:r>
      <w:r w:rsidRPr="00006130">
        <w:t xml:space="preserve"> ее право на свободу выражения мнений, и поэтому должен рассмотреть вопрос о том, является ли ограничение прав автора в данном случае оправданным в соответствии с любым из критериев, изложенных в </w:t>
      </w:r>
      <w:r>
        <w:t>пункте </w:t>
      </w:r>
      <w:r w:rsidRPr="00006130">
        <w:t xml:space="preserve">3 </w:t>
      </w:r>
      <w:r>
        <w:t>статьи </w:t>
      </w:r>
      <w:r w:rsidRPr="00006130">
        <w:t>19 Пакта.</w:t>
      </w:r>
    </w:p>
    <w:p w14:paraId="7CD0ED21" w14:textId="77777777" w:rsidR="00CD2FF3" w:rsidRPr="00006130" w:rsidRDefault="00CD2FF3" w:rsidP="00CD2FF3">
      <w:pPr>
        <w:pStyle w:val="SingleTxtG"/>
        <w:rPr>
          <w:sz w:val="18"/>
          <w:vertAlign w:val="superscript"/>
        </w:rPr>
      </w:pPr>
      <w:r w:rsidRPr="00006130">
        <w:t>8.3</w:t>
      </w:r>
      <w:r w:rsidRPr="00006130">
        <w:tab/>
        <w:t>Комитет напоминает, что пункт</w:t>
      </w:r>
      <w:r>
        <w:t> </w:t>
      </w:r>
      <w:r w:rsidRPr="00006130">
        <w:t xml:space="preserve">3 </w:t>
      </w:r>
      <w:r>
        <w:t>статьи </w:t>
      </w:r>
      <w:r w:rsidRPr="00006130">
        <w:t>19 Пакта допускает определенные ограничения только в тех случаях, когда это предусмотрено законом и необходимо для уважения прав и репутации других лиц или для охраны государственной безопасности или общественного порядка (</w:t>
      </w:r>
      <w:r w:rsidRPr="008B53A4">
        <w:t>ordre public</w:t>
      </w:r>
      <w:r w:rsidRPr="00006130">
        <w:t xml:space="preserve">), здоровья или нравственности населения. Комитет ссылается на свое замечание общего порядка </w:t>
      </w:r>
      <w:r>
        <w:t>№ </w:t>
      </w:r>
      <w:r w:rsidRPr="00006130">
        <w:t>34, в котором он заявил,</w:t>
      </w:r>
      <w:r w:rsidR="00D75E76">
        <w:br/>
      </w:r>
      <w:r w:rsidRPr="00006130">
        <w:t xml:space="preserve">что эти свободы являются необходимыми условиями для всестороннего развития личности и имеют важнейшее значение для любого общества. </w:t>
      </w:r>
      <w:r w:rsidRPr="00E35F07">
        <w:t>Они являются основополагающими элементами любого свободного и демократического общества. Любое ограничение в отношении осуществления этих свобод должно соответствовать строгим критериям необходимости и соразмерности. Ограничения должны применяться только для тех целей, для которых они были предписаны, и должны быть непосредственно связаны с конкретной потребностью, для удовлетворения которой они были предназначены. Комитет напоминает, что именно государство-участник должно продемонстрировать, что ограничения прав автора по статье 19 являются необходимыми и соразмерными</w:t>
      </w:r>
      <w:r w:rsidRPr="00137EA3">
        <w:rPr>
          <w:rStyle w:val="aa"/>
        </w:rPr>
        <w:footnoteReference w:id="12"/>
      </w:r>
      <w:r>
        <w:t>.</w:t>
      </w:r>
    </w:p>
    <w:p w14:paraId="7625FCE0" w14:textId="77777777" w:rsidR="00CD2FF3" w:rsidRPr="00006130" w:rsidRDefault="00CD2FF3" w:rsidP="00CD2FF3">
      <w:pPr>
        <w:pStyle w:val="SingleTxtG"/>
      </w:pPr>
      <w:r w:rsidRPr="00006130">
        <w:t>8.4</w:t>
      </w:r>
      <w:r>
        <w:tab/>
      </w:r>
      <w:r w:rsidRPr="00006130">
        <w:t xml:space="preserve">Касаясь вопроса о том, было ли вмешательство предусмотрено законом, Комитет отмечает, что стороны расходятся во мнениях относительно толкования внутреннего законодательства, в частности относительно того, распространяется ли </w:t>
      </w:r>
      <w:r>
        <w:t>статья </w:t>
      </w:r>
      <w:r w:rsidRPr="00006130">
        <w:t>290 Уголовного кодекса на прокуроров</w:t>
      </w:r>
      <w:r>
        <w:t xml:space="preserve"> как </w:t>
      </w:r>
      <w:r w:rsidRPr="00006130">
        <w:t xml:space="preserve">государственных служащих, </w:t>
      </w:r>
      <w:r>
        <w:t xml:space="preserve">подлежащих </w:t>
      </w:r>
      <w:r w:rsidRPr="00006130">
        <w:t>защит</w:t>
      </w:r>
      <w:r>
        <w:t>е</w:t>
      </w:r>
      <w:r w:rsidRPr="00006130">
        <w:t xml:space="preserve"> от оскорблений. В этой связи Комитет принимает к сведению доводы государства-участника о том, что вмешательство имело место в соответствии со </w:t>
      </w:r>
      <w:r>
        <w:t>статьей </w:t>
      </w:r>
      <w:r w:rsidRPr="00006130">
        <w:t>290 Уголовного кодекса, действовавшей на тот момент, и что оно было истолковано в соответствии с Комментарием к Уголовному кодексу Литвы</w:t>
      </w:r>
      <w:r w:rsidRPr="00137EA3">
        <w:rPr>
          <w:rStyle w:val="aa"/>
        </w:rPr>
        <w:footnoteReference w:id="13"/>
      </w:r>
      <w:r>
        <w:t>.</w:t>
      </w:r>
      <w:r w:rsidRPr="00006130">
        <w:t xml:space="preserve"> Комитет также принимает к сведению аргумент государства-участника о том, что Верховный суд Литвы тщательно рассмотрел этот вопрос и установил, что толкование автором закона оставит прокуроров без защиты, </w:t>
      </w:r>
      <w:r>
        <w:t xml:space="preserve">и </w:t>
      </w:r>
      <w:r w:rsidRPr="00006130">
        <w:t xml:space="preserve">что </w:t>
      </w:r>
      <w:r>
        <w:t xml:space="preserve">это </w:t>
      </w:r>
      <w:r w:rsidRPr="00006130">
        <w:t>будет противоречить практике национальных судов</w:t>
      </w:r>
      <w:r>
        <w:t xml:space="preserve"> и</w:t>
      </w:r>
      <w:r w:rsidRPr="00006130">
        <w:t xml:space="preserve"> Европейского суда по правам человека</w:t>
      </w:r>
      <w:r w:rsidRPr="00137EA3">
        <w:rPr>
          <w:rStyle w:val="aa"/>
        </w:rPr>
        <w:footnoteReference w:id="14"/>
      </w:r>
      <w:r>
        <w:t>, а также</w:t>
      </w:r>
      <w:r w:rsidRPr="00006130">
        <w:t xml:space="preserve"> намерениям законодательной власти.</w:t>
      </w:r>
    </w:p>
    <w:p w14:paraId="2A63212D" w14:textId="77777777" w:rsidR="00CD2FF3" w:rsidRPr="00006130" w:rsidRDefault="00CD2FF3" w:rsidP="00CD2FF3">
      <w:pPr>
        <w:pStyle w:val="SingleTxtG"/>
      </w:pPr>
      <w:r w:rsidRPr="00006130">
        <w:t>8.5</w:t>
      </w:r>
      <w:r w:rsidRPr="00006130">
        <w:tab/>
      </w:r>
      <w:r w:rsidRPr="000104BF">
        <w:t>Комитет ссылается на свою правовую практику, согласно которой следует придавать весомое значение проведенной государством-участником оценки и считается, что, как правило, именно органы государств</w:t>
      </w:r>
      <w:r>
        <w:t> </w:t>
      </w:r>
      <w:r w:rsidR="00D75E76">
        <w:t>–</w:t>
      </w:r>
      <w:r w:rsidRPr="000104BF">
        <w:t xml:space="preserve"> участников Пакта должны пересматривать и оценивать факты и доказательства для определения наличия такой опасности, если только не будет установлено, что такая оценка носила явно произвольный характер или была равносильна очевидной ошибке или отказу в правосудии</w:t>
      </w:r>
      <w:r w:rsidRPr="00137EA3">
        <w:rPr>
          <w:rStyle w:val="aa"/>
        </w:rPr>
        <w:footnoteReference w:id="15"/>
      </w:r>
      <w:r>
        <w:t>.</w:t>
      </w:r>
      <w:r w:rsidRPr="00006130">
        <w:t xml:space="preserve"> </w:t>
      </w:r>
      <w:r>
        <w:t>В данном случае нельзя утверждать</w:t>
      </w:r>
      <w:r w:rsidRPr="00006130">
        <w:t xml:space="preserve">, что оценка Верховного суда была произвольной или равносильной отказу в правосудии, поскольку </w:t>
      </w:r>
      <w:r>
        <w:t xml:space="preserve">рассматриваемое </w:t>
      </w:r>
      <w:r w:rsidRPr="00006130">
        <w:t>вмешательство имело правовую основу и применение указанной правовой нормы к делу заявителя не выходило за рамки того, что можно было разумно предвидеть в данных обстоятельствах. В этой связи Комитет считает, что вмешательство было предусмотрено законом по смыслу пункта</w:t>
      </w:r>
      <w:r>
        <w:t> </w:t>
      </w:r>
      <w:r w:rsidRPr="00006130">
        <w:t xml:space="preserve">3 </w:t>
      </w:r>
      <w:r>
        <w:t>статьи </w:t>
      </w:r>
      <w:r w:rsidRPr="00006130">
        <w:t>19 Пакта. Что касается аргументов автора</w:t>
      </w:r>
      <w:r>
        <w:t>, касающихся</w:t>
      </w:r>
      <w:r w:rsidRPr="00006130">
        <w:t xml:space="preserve"> уголовного характера закона о диффамации и того,</w:t>
      </w:r>
      <w:r w:rsidR="00D75E76">
        <w:br/>
      </w:r>
      <w:r w:rsidRPr="00006130">
        <w:t>что предоставление государственным должностным лицам большей защиты от диффамации по сравнению с другими лицами следует считать дискриминационным, то</w:t>
      </w:r>
      <w:r>
        <w:t>,</w:t>
      </w:r>
      <w:r w:rsidRPr="00006130">
        <w:t xml:space="preserve"> по существу</w:t>
      </w:r>
      <w:r>
        <w:t>,</w:t>
      </w:r>
      <w:r w:rsidRPr="00006130">
        <w:t xml:space="preserve"> они связаны с вопросом о том, было ли вмешательство в связи с применением соответствующего закона в данном деле необходимым и </w:t>
      </w:r>
      <w:r w:rsidRPr="00AA7C0D">
        <w:t>соразмерным</w:t>
      </w:r>
      <w:r w:rsidRPr="00006130">
        <w:t>.</w:t>
      </w:r>
    </w:p>
    <w:p w14:paraId="37FC824E" w14:textId="77777777" w:rsidR="00CD2FF3" w:rsidRPr="00006130" w:rsidRDefault="00CD2FF3" w:rsidP="00CD2FF3">
      <w:pPr>
        <w:pStyle w:val="SingleTxtG"/>
      </w:pPr>
      <w:r w:rsidRPr="00006130">
        <w:lastRenderedPageBreak/>
        <w:t>8.6</w:t>
      </w:r>
      <w:r>
        <w:tab/>
      </w:r>
      <w:r w:rsidRPr="000A0EDD">
        <w:t xml:space="preserve">Что касается </w:t>
      </w:r>
      <w:r w:rsidRPr="00006130">
        <w:t>вопроса о том, преслед</w:t>
      </w:r>
      <w:r>
        <w:t xml:space="preserve">овало </w:t>
      </w:r>
      <w:r w:rsidRPr="00006130">
        <w:t xml:space="preserve">ли </w:t>
      </w:r>
      <w:r>
        <w:t xml:space="preserve">рассматриваемое </w:t>
      </w:r>
      <w:r w:rsidRPr="00006130">
        <w:t xml:space="preserve">вмешательство законную цель, </w:t>
      </w:r>
      <w:r>
        <w:t xml:space="preserve">то </w:t>
      </w:r>
      <w:r w:rsidRPr="00006130">
        <w:t>автор утверждает, что государство-участник не объяснило</w:t>
      </w:r>
      <w:r>
        <w:t>,</w:t>
      </w:r>
      <w:r w:rsidRPr="00006130">
        <w:t xml:space="preserve"> </w:t>
      </w:r>
      <w:r>
        <w:t xml:space="preserve">ссылаясь </w:t>
      </w:r>
      <w:r w:rsidRPr="00006130">
        <w:t>на конкретны</w:t>
      </w:r>
      <w:r>
        <w:t>е</w:t>
      </w:r>
      <w:r w:rsidRPr="00006130">
        <w:t xml:space="preserve"> основания, каким образом ее заявление постави</w:t>
      </w:r>
      <w:r>
        <w:t xml:space="preserve">ло бы </w:t>
      </w:r>
      <w:r w:rsidRPr="00006130">
        <w:t>под угрозу деятельность прокур</w:t>
      </w:r>
      <w:r>
        <w:t>оров</w:t>
      </w:r>
      <w:r w:rsidRPr="00006130">
        <w:t xml:space="preserve"> </w:t>
      </w:r>
      <w:r>
        <w:t xml:space="preserve">с учетом </w:t>
      </w:r>
      <w:r w:rsidRPr="00006130">
        <w:t xml:space="preserve">одной из законных целей, изложенных в </w:t>
      </w:r>
      <w:r>
        <w:t>пункте </w:t>
      </w:r>
      <w:r w:rsidRPr="00006130">
        <w:t xml:space="preserve">3 </w:t>
      </w:r>
      <w:r>
        <w:t>статьи </w:t>
      </w:r>
      <w:r w:rsidRPr="00006130">
        <w:t xml:space="preserve">19 Пакта. Комитет также принимает к сведению ее довод о том, что </w:t>
      </w:r>
      <w:r>
        <w:t>статья </w:t>
      </w:r>
      <w:r w:rsidRPr="00006130">
        <w:t xml:space="preserve">290 не может быть направлена на защиту чести и достоинства других лиц, поскольку </w:t>
      </w:r>
      <w:r>
        <w:t>эту цель преследует статья </w:t>
      </w:r>
      <w:r w:rsidRPr="00006130">
        <w:t>155 Уголовного кодекса</w:t>
      </w:r>
      <w:r>
        <w:t>, в которой</w:t>
      </w:r>
      <w:r w:rsidRPr="00006130">
        <w:t xml:space="preserve"> </w:t>
      </w:r>
      <w:r>
        <w:t>предусмотрено</w:t>
      </w:r>
      <w:r w:rsidRPr="00006130">
        <w:t xml:space="preserve"> отдельн</w:t>
      </w:r>
      <w:r>
        <w:t>ое</w:t>
      </w:r>
      <w:r w:rsidRPr="00006130">
        <w:t xml:space="preserve"> </w:t>
      </w:r>
      <w:r>
        <w:t>деяние в виде «</w:t>
      </w:r>
      <w:r w:rsidRPr="00006130">
        <w:t>оскорбления</w:t>
      </w:r>
      <w:r>
        <w:t>»</w:t>
      </w:r>
      <w:r w:rsidRPr="00006130">
        <w:t>. Государство-участник оспаривает эти утверждения. Оно утверждает, что это положение направлено на то, чтобы позволить гражданским служащим выполнять свои обязанности, хотя защита их чести и достоинства может также служить вспомогательной цели с точки зрения допустимых ограничений.</w:t>
      </w:r>
    </w:p>
    <w:p w14:paraId="6D1FC4B2" w14:textId="77777777" w:rsidR="00CD2FF3" w:rsidRPr="00006130" w:rsidRDefault="00CD2FF3" w:rsidP="00CD2FF3">
      <w:pPr>
        <w:pStyle w:val="SingleTxtG"/>
      </w:pPr>
      <w:r w:rsidRPr="00006130">
        <w:t>8.7</w:t>
      </w:r>
      <w:r w:rsidRPr="00006130">
        <w:tab/>
        <w:t xml:space="preserve">Комитет отмечает, что в интересах надлежащего отправления правосудия ранее </w:t>
      </w:r>
      <w:r>
        <w:t xml:space="preserve">было </w:t>
      </w:r>
      <w:r w:rsidRPr="00006130">
        <w:t>призна</w:t>
      </w:r>
      <w:r>
        <w:t>но, что</w:t>
      </w:r>
      <w:r w:rsidRPr="00006130">
        <w:t xml:space="preserve"> ограничения права на свободу выражения мнений </w:t>
      </w:r>
      <w:r>
        <w:t xml:space="preserve">преследуют </w:t>
      </w:r>
      <w:r w:rsidRPr="00006130">
        <w:t>законны</w:t>
      </w:r>
      <w:r>
        <w:t>е</w:t>
      </w:r>
      <w:r w:rsidRPr="00006130">
        <w:t xml:space="preserve"> цел</w:t>
      </w:r>
      <w:r>
        <w:t>и,</w:t>
      </w:r>
      <w:r w:rsidRPr="00006130">
        <w:t xml:space="preserve"> в ряде случаев, когда оспаривались приговоры</w:t>
      </w:r>
      <w:r w:rsidRPr="00462541">
        <w:t xml:space="preserve"> </w:t>
      </w:r>
      <w:r>
        <w:t>по уголовным делам, касавшимся</w:t>
      </w:r>
      <w:r w:rsidRPr="00006130">
        <w:t xml:space="preserve"> неуважени</w:t>
      </w:r>
      <w:r>
        <w:t>я</w:t>
      </w:r>
      <w:r w:rsidRPr="00006130">
        <w:t xml:space="preserve"> к суду</w:t>
      </w:r>
      <w:r w:rsidRPr="00137EA3">
        <w:rPr>
          <w:rStyle w:val="aa"/>
        </w:rPr>
        <w:footnoteReference w:id="16"/>
      </w:r>
      <w:r>
        <w:t>.</w:t>
      </w:r>
      <w:r w:rsidRPr="00006130">
        <w:t xml:space="preserve"> Комитет </w:t>
      </w:r>
      <w:r w:rsidRPr="00C24CB9">
        <w:t xml:space="preserve">ссылается на свое замечание </w:t>
      </w:r>
      <w:r w:rsidRPr="00006130">
        <w:t xml:space="preserve">общего порядка </w:t>
      </w:r>
      <w:r>
        <w:t>№ </w:t>
      </w:r>
      <w:r w:rsidRPr="00006130">
        <w:t xml:space="preserve">34, в </w:t>
      </w:r>
      <w:r>
        <w:t>пункте </w:t>
      </w:r>
      <w:r w:rsidRPr="00006130">
        <w:t>47 которого Комитет заявляет следующее:</w:t>
      </w:r>
    </w:p>
    <w:p w14:paraId="76C9E31C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</w:r>
      <w:r>
        <w:t>«</w:t>
      </w:r>
      <w:r w:rsidRPr="00C24CB9">
        <w:t>Необходимо тщательно подходить к разработке законов, касающихся клеветы, обеспечивать их соответствие положениям пункта</w:t>
      </w:r>
      <w:r>
        <w:t> </w:t>
      </w:r>
      <w:r w:rsidRPr="00C24CB9">
        <w:t>3</w:t>
      </w:r>
      <w:r>
        <w:t xml:space="preserve"> </w:t>
      </w:r>
      <w:r w:rsidRPr="00006130">
        <w:t>[</w:t>
      </w:r>
      <w:r>
        <w:t>статьи </w:t>
      </w:r>
      <w:r w:rsidRPr="00006130">
        <w:t>19]</w:t>
      </w:r>
      <w:r w:rsidRPr="00C24CB9">
        <w:t>, а также не допускать, чтобы они на практике использовались для ограничения права на свободное выражение мнений.</w:t>
      </w:r>
      <w:r w:rsidRPr="00006130">
        <w:t xml:space="preserve"> </w:t>
      </w:r>
      <w:r w:rsidRPr="00364CAD">
        <w:t>Во все такие законы, в частности уголовные законы, касающиеся клеветы, следует включить такие формы защиты, которые отвечают интересам правдивости, и они не должны применяться по отношению к таким формам выражения мнений, которые по своей природе не могут быть проверены. По крайней мере, в отношении комментариев, затрагивающих интересы общественных деятелей, следует стремиться не допускать установления наказаний за высказывания, которые стали достоянием общественности по ошибке и без злого умысла, или их перевода в разряд незаконных. В любом случае наличие общественного интереса к объекту критики следует рассматривать в качестве элемента защиты. Государствам</w:t>
      </w:r>
      <w:r>
        <w:t>-</w:t>
      </w:r>
      <w:r w:rsidRPr="00364CAD">
        <w:t>участникам следует принимать меры во избежание чрезмерных мер наказания и штрафов</w:t>
      </w:r>
      <w:r>
        <w:t>»</w:t>
      </w:r>
      <w:r w:rsidRPr="00364CAD">
        <w:t>.</w:t>
      </w:r>
    </w:p>
    <w:p w14:paraId="3A1AB284" w14:textId="77777777" w:rsidR="00CD2FF3" w:rsidRPr="00006130" w:rsidRDefault="00CD2FF3" w:rsidP="00CD2FF3">
      <w:pPr>
        <w:pStyle w:val="SingleTxtG"/>
      </w:pPr>
      <w:r w:rsidRPr="00C36678">
        <w:t xml:space="preserve">В то же время Комитет признает, что прокуроры не </w:t>
      </w:r>
      <w:r>
        <w:t>при</w:t>
      </w:r>
      <w:r w:rsidRPr="00C36678">
        <w:t>равн</w:t>
      </w:r>
      <w:r>
        <w:t>иваются к</w:t>
      </w:r>
      <w:r w:rsidRPr="00C36678">
        <w:t xml:space="preserve"> общественным деятелям и, как и сотрудники судебных органов, нуждаются в определенной степени доверия со стороны общественности для эффективного выполнения своих функций. </w:t>
      </w:r>
      <w:r w:rsidRPr="00006130">
        <w:t xml:space="preserve">Комитет принимает во внимание аргумент государства-участника о том, что </w:t>
      </w:r>
      <w:r>
        <w:t>статья </w:t>
      </w:r>
      <w:r w:rsidRPr="00006130">
        <w:t xml:space="preserve">290 Уголовного кодекса Литвы направлена на обеспечение защиты прокуроров при выполнении ими своих конкретных функций, что способствует поддержанию общественного доверия к отправлению правосудия в целом. </w:t>
      </w:r>
      <w:r w:rsidRPr="0004727E">
        <w:t>В свете этих соображений Комитет убежден в том, что статья</w:t>
      </w:r>
      <w:r>
        <w:t> </w:t>
      </w:r>
      <w:r w:rsidRPr="0004727E">
        <w:t>290 может быть оправдан</w:t>
      </w:r>
      <w:r>
        <w:t>н</w:t>
      </w:r>
      <w:r w:rsidRPr="0004727E">
        <w:t xml:space="preserve">а </w:t>
      </w:r>
      <w:r w:rsidRPr="00006130">
        <w:t>как содействующая достижению законной цели охраны общественного порядка.</w:t>
      </w:r>
    </w:p>
    <w:p w14:paraId="2D3F49D8" w14:textId="77777777" w:rsidR="00CD2FF3" w:rsidRPr="00006130" w:rsidRDefault="00CD2FF3" w:rsidP="00CD2FF3">
      <w:pPr>
        <w:pStyle w:val="SingleTxtG"/>
      </w:pPr>
      <w:r w:rsidRPr="00006130">
        <w:t>8.8</w:t>
      </w:r>
      <w:r>
        <w:tab/>
      </w:r>
      <w:r w:rsidRPr="0071731B">
        <w:t xml:space="preserve">Что касается соразмерности этой меры, </w:t>
      </w:r>
      <w:r>
        <w:t xml:space="preserve">то </w:t>
      </w:r>
      <w:r w:rsidRPr="0071731B">
        <w:t>Комитет принимает к сведению тот факт, что автор оспаривает уголовный характер закона о диффамации на том основании, что, предоставляя более высокую защиту от диффамации государственным должностным лицам по сравнению с другими лицами, он является дискриминационным.</w:t>
      </w:r>
      <w:r w:rsidRPr="00006130">
        <w:t xml:space="preserve"> Комитет также отмечает ее утверждение о том, что пределы допустим</w:t>
      </w:r>
      <w:r>
        <w:t>ой</w:t>
      </w:r>
      <w:r w:rsidRPr="00006130">
        <w:t xml:space="preserve"> критики должны быть шире, когда то или иное заявление касается действий лица в его/ее публичном качестве, и что право на свободу выражения мнений также обеспечивает защиту </w:t>
      </w:r>
      <w:r w:rsidRPr="0097759A">
        <w:t>в связи с замечаниями, которые в определенной степени преувеличены или провокационны</w:t>
      </w:r>
      <w:r w:rsidRPr="00006130">
        <w:t xml:space="preserve">. Кроме того, Комитет также принимает к сведению заявление автора о том, что в момент произнесения ею критических слов она </w:t>
      </w:r>
      <w:r>
        <w:t>находилась под</w:t>
      </w:r>
      <w:r w:rsidRPr="00006130">
        <w:t xml:space="preserve"> сильн</w:t>
      </w:r>
      <w:r>
        <w:t>ым</w:t>
      </w:r>
      <w:r w:rsidRPr="00006130">
        <w:t xml:space="preserve"> стресс</w:t>
      </w:r>
      <w:r>
        <w:t>ом</w:t>
      </w:r>
      <w:r w:rsidRPr="00006130">
        <w:t xml:space="preserve">. Кроме того, Комитет принимает к сведению </w:t>
      </w:r>
      <w:r>
        <w:t>предполагаемый ущерб, нанесенный</w:t>
      </w:r>
      <w:r w:rsidRPr="00006130">
        <w:t xml:space="preserve"> автор</w:t>
      </w:r>
      <w:r>
        <w:t>у</w:t>
      </w:r>
      <w:r w:rsidRPr="00006130">
        <w:t xml:space="preserve"> сообщения негативны</w:t>
      </w:r>
      <w:r>
        <w:t>ми</w:t>
      </w:r>
      <w:r w:rsidRPr="00006130">
        <w:t xml:space="preserve"> последствия</w:t>
      </w:r>
      <w:r>
        <w:t>ми</w:t>
      </w:r>
      <w:r w:rsidRPr="00006130">
        <w:t xml:space="preserve"> ее уголовного наказания.</w:t>
      </w:r>
    </w:p>
    <w:p w14:paraId="7000BFC7" w14:textId="77777777" w:rsidR="00CD2FF3" w:rsidRPr="00006130" w:rsidRDefault="00CD2FF3" w:rsidP="00CD2FF3">
      <w:pPr>
        <w:pStyle w:val="SingleTxtG"/>
      </w:pPr>
      <w:r w:rsidRPr="00006130">
        <w:lastRenderedPageBreak/>
        <w:t>8.9</w:t>
      </w:r>
      <w:r>
        <w:tab/>
      </w:r>
      <w:r w:rsidRPr="00006130">
        <w:t xml:space="preserve">С другой стороны, Комитет отмечает </w:t>
      </w:r>
      <w:r>
        <w:t>аргументы</w:t>
      </w:r>
      <w:r w:rsidRPr="00006130">
        <w:t xml:space="preserve"> государства-участника о том, что национальные суды тщательно проанализировали обстоятельства </w:t>
      </w:r>
      <w:r>
        <w:t xml:space="preserve">этого </w:t>
      </w:r>
      <w:r w:rsidRPr="00006130">
        <w:t>дела и пришли к выводу, что необходимость охраны общественного порядка, а именно защит</w:t>
      </w:r>
      <w:r>
        <w:t>ы</w:t>
      </w:r>
      <w:r w:rsidRPr="00006130">
        <w:t xml:space="preserve"> деятельности прокуроров, способствующей надлежащему отправлению правосудия, а также необходимость защиты их прав и репутации </w:t>
      </w:r>
      <w:r>
        <w:t xml:space="preserve">оказываются более весомыми соображениями по сравнению с </w:t>
      </w:r>
      <w:r w:rsidRPr="00006130">
        <w:t>интерес</w:t>
      </w:r>
      <w:r>
        <w:t>ами</w:t>
      </w:r>
      <w:r w:rsidRPr="00006130">
        <w:t xml:space="preserve"> автора </w:t>
      </w:r>
      <w:r>
        <w:t>в</w:t>
      </w:r>
      <w:r w:rsidRPr="00006130">
        <w:t xml:space="preserve"> данном дел</w:t>
      </w:r>
      <w:r>
        <w:t>е</w:t>
      </w:r>
      <w:r w:rsidRPr="00006130">
        <w:t xml:space="preserve">. Комитет далее отмечает аргумент государства-участника о том, что в ходе оценки национальные власти приняли во внимание, что заявления автора сообщения транслировались по телевидению и </w:t>
      </w:r>
      <w:r>
        <w:t xml:space="preserve">могли быть услышаны неограниченным </w:t>
      </w:r>
      <w:r w:rsidRPr="00006130">
        <w:t>числ</w:t>
      </w:r>
      <w:r>
        <w:t>ом</w:t>
      </w:r>
      <w:r w:rsidRPr="00006130">
        <w:t xml:space="preserve"> людей, </w:t>
      </w:r>
      <w:r>
        <w:t xml:space="preserve">в результате чего был </w:t>
      </w:r>
      <w:r w:rsidRPr="00006130">
        <w:t>усугуб</w:t>
      </w:r>
      <w:r>
        <w:t>лен</w:t>
      </w:r>
      <w:r w:rsidRPr="00006130">
        <w:t xml:space="preserve"> вред, причиненный правам и ценностям, защищаемым целью оспариваемого законодательства. Власти также должным образом сочли, что автор не смогла доказать правдивость </w:t>
      </w:r>
      <w:r>
        <w:t>своих</w:t>
      </w:r>
      <w:r w:rsidRPr="00006130">
        <w:t xml:space="preserve"> заявлений. Комитет далее принимает к сведению аргумент государства-участника о том, что, как следует из решения Верховного суда, автор был</w:t>
      </w:r>
      <w:r>
        <w:t>а</w:t>
      </w:r>
      <w:r w:rsidRPr="00006130">
        <w:t xml:space="preserve"> осужден</w:t>
      </w:r>
      <w:r>
        <w:t>а</w:t>
      </w:r>
      <w:r w:rsidRPr="00006130">
        <w:t xml:space="preserve"> не за критику прокуроров как таковую, а за оскорбительные высказывания. </w:t>
      </w:r>
      <w:r>
        <w:t>И н</w:t>
      </w:r>
      <w:r w:rsidRPr="00006130">
        <w:t xml:space="preserve">аконец, Комитет принимает к сведению довод государства-участника о том, что, несмотря на то, что заявление автора повлекло за собой уголовную ответственность согласно действовавшему в то время соответствующему законодательству Литвы, наказание по своему характеру не было уголовным, назначенный штраф </w:t>
      </w:r>
      <w:r>
        <w:t>был при</w:t>
      </w:r>
      <w:r w:rsidRPr="00006130">
        <w:t>близ</w:t>
      </w:r>
      <w:r>
        <w:t xml:space="preserve">ительно равен </w:t>
      </w:r>
      <w:r w:rsidRPr="00006130">
        <w:t xml:space="preserve">минимальной сумме, а </w:t>
      </w:r>
      <w:r>
        <w:t xml:space="preserve">судимость </w:t>
      </w:r>
      <w:r w:rsidRPr="00006130">
        <w:t xml:space="preserve">будет </w:t>
      </w:r>
      <w:r>
        <w:t>снята</w:t>
      </w:r>
      <w:r w:rsidRPr="00006130">
        <w:t xml:space="preserve"> через три года.</w:t>
      </w:r>
    </w:p>
    <w:p w14:paraId="67CA2D1A" w14:textId="77777777" w:rsidR="00CD2FF3" w:rsidRPr="00006130" w:rsidRDefault="00CD2FF3" w:rsidP="00CD2FF3">
      <w:pPr>
        <w:pStyle w:val="SingleTxtG"/>
      </w:pPr>
      <w:r w:rsidRPr="00006130">
        <w:t>8.10</w:t>
      </w:r>
      <w:r w:rsidRPr="00006130">
        <w:tab/>
        <w:t>Оценивая необходимость и соразмерность вмешательства в данном деле, Комитет тщательно рассмотрел аргументы, выдвинутые обеими сторонами. Комитет принимает во внимание доводы Верховного суда о том, что автор был</w:t>
      </w:r>
      <w:r>
        <w:t>а</w:t>
      </w:r>
      <w:r w:rsidRPr="00006130">
        <w:t xml:space="preserve"> осужден</w:t>
      </w:r>
      <w:r>
        <w:t>а</w:t>
      </w:r>
      <w:r w:rsidRPr="00006130">
        <w:t xml:space="preserve"> не за критику прокуроров как таковую, а за оскорбительные высказывания</w:t>
      </w:r>
      <w:r>
        <w:t xml:space="preserve"> в их адрес</w:t>
      </w:r>
      <w:r w:rsidRPr="00006130">
        <w:t>. Вместе с тем Комитет отмечает, что некоторые части заявления автора были даже исключены из оценки национальных судов</w:t>
      </w:r>
      <w:r>
        <w:t xml:space="preserve"> потому</w:t>
      </w:r>
      <w:r w:rsidRPr="00006130">
        <w:t xml:space="preserve">, </w:t>
      </w:r>
      <w:r>
        <w:t xml:space="preserve">что </w:t>
      </w:r>
      <w:r w:rsidRPr="00006130">
        <w:t xml:space="preserve">они были расплывчатыми или </w:t>
      </w:r>
      <w:r>
        <w:t>не</w:t>
      </w:r>
      <w:r w:rsidRPr="00006130">
        <w:t xml:space="preserve">оскорбительными, </w:t>
      </w:r>
      <w:bookmarkStart w:id="7" w:name="_Hlk27065194"/>
      <w:r w:rsidRPr="00006130">
        <w:t xml:space="preserve">что был </w:t>
      </w:r>
      <w:r>
        <w:t>приве</w:t>
      </w:r>
      <w:r w:rsidRPr="00006130">
        <w:t>д</w:t>
      </w:r>
      <w:r>
        <w:t>е</w:t>
      </w:r>
      <w:r w:rsidRPr="00006130">
        <w:t>н лишь сокращенный вариант того, что сказал</w:t>
      </w:r>
      <w:r>
        <w:t>а</w:t>
      </w:r>
      <w:r w:rsidRPr="00006130">
        <w:t xml:space="preserve"> автор, и что не было </w:t>
      </w:r>
      <w:r>
        <w:t>сообщено</w:t>
      </w:r>
      <w:r w:rsidRPr="00006130">
        <w:t xml:space="preserve"> никакого контекста, в результате чего все заявление было двусмысленным</w:t>
      </w:r>
      <w:bookmarkEnd w:id="7"/>
      <w:r w:rsidRPr="00006130">
        <w:t xml:space="preserve">. Кроме того, Комитет не </w:t>
      </w:r>
      <w:r w:rsidRPr="00E61439">
        <w:t>убежден в том,</w:t>
      </w:r>
      <w:r w:rsidRPr="00006130">
        <w:t xml:space="preserve"> что должное внимание было уделено тому обстоятельству, что заявления были сделаны в контексте уголовного судопроизводства, </w:t>
      </w:r>
      <w:r>
        <w:t xml:space="preserve">в ходе которого </w:t>
      </w:r>
      <w:r w:rsidRPr="00006130">
        <w:t>рассматрива</w:t>
      </w:r>
      <w:r>
        <w:t>лись</w:t>
      </w:r>
      <w:r w:rsidRPr="00006130">
        <w:t xml:space="preserve"> серьезные уголовные обвинения против автора, и </w:t>
      </w:r>
      <w:r>
        <w:t xml:space="preserve">что они </w:t>
      </w:r>
      <w:r w:rsidRPr="00006130">
        <w:t xml:space="preserve">явились спонтанной реакцией на то, что </w:t>
      </w:r>
      <w:r>
        <w:t>автор</w:t>
      </w:r>
      <w:r w:rsidRPr="00006130">
        <w:t xml:space="preserve"> </w:t>
      </w:r>
      <w:r>
        <w:t xml:space="preserve">должна была быть </w:t>
      </w:r>
      <w:r w:rsidRPr="00006130">
        <w:t xml:space="preserve">помещена под стражу до суда. </w:t>
      </w:r>
      <w:r>
        <w:t>Это д</w:t>
      </w:r>
      <w:r w:rsidRPr="00006130">
        <w:t xml:space="preserve">ело привлекло широкое общественное внимание и, возможно, имело политические аспекты, и поэтому порог для критики, способствующей общественным дебатам, можно обоснованно считать более высоким. Комитет также отмечает, что, хотя автор сообщения была приговорена лишь к уплате штрафа и что ее </w:t>
      </w:r>
      <w:r>
        <w:t>судимость</w:t>
      </w:r>
      <w:r w:rsidRPr="00006130">
        <w:t xml:space="preserve"> будет </w:t>
      </w:r>
      <w:r>
        <w:t>снята</w:t>
      </w:r>
      <w:r w:rsidRPr="00006130">
        <w:t>, она, тем не менее, была подвергнута уголовному преследованию за заявления, сделанные в связи с ее собственным уголовным делом. Кроме того, наложение штрафа мо</w:t>
      </w:r>
      <w:r>
        <w:t>гло</w:t>
      </w:r>
      <w:r w:rsidRPr="00006130">
        <w:t xml:space="preserve"> стать для автора чрезмерным бременем, учитывая ее молодость и </w:t>
      </w:r>
      <w:r>
        <w:t>отсутствие у нее работы</w:t>
      </w:r>
      <w:r w:rsidRPr="00006130">
        <w:t xml:space="preserve"> в то время. При проведении своей оценки Комитет ссылается далее на свое замечание общего порядка </w:t>
      </w:r>
      <w:r>
        <w:t>№ </w:t>
      </w:r>
      <w:r w:rsidRPr="00006130">
        <w:t xml:space="preserve">34, в </w:t>
      </w:r>
      <w:r>
        <w:t>пункте </w:t>
      </w:r>
      <w:r w:rsidRPr="00006130">
        <w:t xml:space="preserve">47 которого он указывает следующее: </w:t>
      </w:r>
      <w:r>
        <w:t>«</w:t>
      </w:r>
      <w:r w:rsidRPr="00407157">
        <w:t>Государствам</w:t>
      </w:r>
      <w:r>
        <w:t>-</w:t>
      </w:r>
      <w:r w:rsidRPr="00407157">
        <w:t>участникам следует рассмотреть возможность исключения клеветы из разряда преступлений, но в любом случае уголовное законодательство должно применяться лишь в связи с наиболее серьезными случаями, а лишение свободы ни при каких условиях не должно считаться адекватной мерой наказания</w:t>
      </w:r>
      <w:r>
        <w:t xml:space="preserve">». </w:t>
      </w:r>
      <w:r w:rsidRPr="00006130">
        <w:t xml:space="preserve">В этой связи Комитет отмечает, что </w:t>
      </w:r>
      <w:r>
        <w:t>статья </w:t>
      </w:r>
      <w:r w:rsidRPr="00006130">
        <w:t>290 Уголовного кодекса Литвы была с 1</w:t>
      </w:r>
      <w:r>
        <w:t> января</w:t>
      </w:r>
      <w:r w:rsidRPr="00006130">
        <w:t xml:space="preserve"> 2017</w:t>
      </w:r>
      <w:r>
        <w:t> года</w:t>
      </w:r>
      <w:r w:rsidRPr="00006130">
        <w:t xml:space="preserve"> отменена и что </w:t>
      </w:r>
      <w:r>
        <w:t>статья </w:t>
      </w:r>
      <w:r w:rsidRPr="00006130">
        <w:t xml:space="preserve">507 нового Кодекса об административных правонарушениях, применимая к делам, аналогичным делу автора, предусматривает лишь административные санкции вместо уголовной ответственности. В свете этих соображений Комитет считает, что данное конкретное дело не может рассматриваться в качестве </w:t>
      </w:r>
      <w:r>
        <w:t>одного из «</w:t>
      </w:r>
      <w:r w:rsidRPr="00006130">
        <w:t xml:space="preserve">наиболее серьезных </w:t>
      </w:r>
      <w:r>
        <w:t>случаев»</w:t>
      </w:r>
      <w:r w:rsidRPr="00006130">
        <w:t xml:space="preserve">, и приходит к выводу, что ограничения прав автора были несоразмерными и поэтому не были </w:t>
      </w:r>
      <w:r w:rsidRPr="000E1689">
        <w:t>оправданны</w:t>
      </w:r>
      <w:r>
        <w:t>ми</w:t>
      </w:r>
      <w:r w:rsidRPr="000E1689">
        <w:t xml:space="preserve"> </w:t>
      </w:r>
      <w:r>
        <w:t>согласно</w:t>
      </w:r>
      <w:r w:rsidRPr="00006130">
        <w:t xml:space="preserve"> условиям, изложенным в </w:t>
      </w:r>
      <w:r>
        <w:t>пункте </w:t>
      </w:r>
      <w:r w:rsidRPr="00006130">
        <w:t xml:space="preserve">3 </w:t>
      </w:r>
      <w:r>
        <w:t>статьи </w:t>
      </w:r>
      <w:r w:rsidRPr="00006130">
        <w:t>19 Пакта.</w:t>
      </w:r>
    </w:p>
    <w:p w14:paraId="5231295E" w14:textId="77777777" w:rsidR="00CD2FF3" w:rsidRPr="00006130" w:rsidRDefault="00CD2FF3" w:rsidP="00CD2FF3">
      <w:pPr>
        <w:pStyle w:val="SingleTxtG"/>
      </w:pPr>
      <w:r w:rsidRPr="00006130">
        <w:t>9.</w:t>
      </w:r>
      <w:r>
        <w:tab/>
      </w:r>
      <w:r w:rsidRPr="00006130">
        <w:t xml:space="preserve">В свете вышеизложенных соображений Комитет считает, что государство-участник не смогло обосновать ограничение, наложенное на автора, и делает вывод о нарушении прав автора в соответствии с </w:t>
      </w:r>
      <w:r>
        <w:t>пунктом </w:t>
      </w:r>
      <w:r w:rsidRPr="00006130">
        <w:t xml:space="preserve">2 </w:t>
      </w:r>
      <w:r>
        <w:t>статьи </w:t>
      </w:r>
      <w:r w:rsidRPr="00006130">
        <w:t>19 Пакта.</w:t>
      </w:r>
    </w:p>
    <w:p w14:paraId="430CDCB5" w14:textId="77777777" w:rsidR="00CD2FF3" w:rsidRPr="00006130" w:rsidRDefault="00CD2FF3" w:rsidP="00CD2FF3">
      <w:pPr>
        <w:pStyle w:val="SingleTxtG"/>
      </w:pPr>
      <w:r w:rsidRPr="00006130">
        <w:lastRenderedPageBreak/>
        <w:t>10.</w:t>
      </w:r>
      <w:r w:rsidRPr="00006130">
        <w:tab/>
        <w:t xml:space="preserve">Комитет, действуя в соответствии с </w:t>
      </w:r>
      <w:r>
        <w:t>пунктом </w:t>
      </w:r>
      <w:r w:rsidRPr="00006130">
        <w:t xml:space="preserve">4 </w:t>
      </w:r>
      <w:r>
        <w:t>статьи </w:t>
      </w:r>
      <w:r w:rsidRPr="00006130">
        <w:t xml:space="preserve">5 Факультативного протокола, </w:t>
      </w:r>
      <w:r w:rsidRPr="003B79D5">
        <w:t xml:space="preserve">приходит к мнению о том, что факты, которыми он располагает, </w:t>
      </w:r>
      <w:r w:rsidRPr="00006130">
        <w:t>свидетельствуют о нарушении государством-участником пункта</w:t>
      </w:r>
      <w:r>
        <w:t> </w:t>
      </w:r>
      <w:r w:rsidRPr="00006130">
        <w:t xml:space="preserve">2 </w:t>
      </w:r>
      <w:r>
        <w:t>статьи </w:t>
      </w:r>
      <w:r w:rsidRPr="00006130">
        <w:t>19 Пакта.</w:t>
      </w:r>
    </w:p>
    <w:p w14:paraId="5F7BD243" w14:textId="77777777" w:rsidR="00CD2FF3" w:rsidRPr="00006130" w:rsidRDefault="00CD2FF3" w:rsidP="00CD2FF3">
      <w:pPr>
        <w:pStyle w:val="SingleTxtG"/>
      </w:pPr>
      <w:r w:rsidRPr="00006130">
        <w:t>11.</w:t>
      </w:r>
      <w:r>
        <w:tab/>
      </w:r>
      <w:r w:rsidRPr="00FB2501">
        <w:t>Согласно пункту</w:t>
      </w:r>
      <w:r>
        <w:t> </w:t>
      </w:r>
      <w:r w:rsidRPr="00006130">
        <w:t>3</w:t>
      </w:r>
      <w:r w:rsidR="008A174F">
        <w:t xml:space="preserve"> </w:t>
      </w:r>
      <w:r w:rsidRPr="00006130">
        <w:t>а</w:t>
      </w:r>
      <w:r w:rsidR="008A174F">
        <w:t>)</w:t>
      </w:r>
      <w:r w:rsidRPr="00006130">
        <w:t xml:space="preserve"> </w:t>
      </w:r>
      <w:r>
        <w:t>статьи </w:t>
      </w:r>
      <w:r w:rsidRPr="00006130">
        <w:t>2 Пакта</w:t>
      </w:r>
      <w:r w:rsidR="008A174F">
        <w:t>,</w:t>
      </w:r>
      <w:r w:rsidRPr="00006130">
        <w:t xml:space="preserve"> государство-участник обязано предоставить автору эффективное средство правовой защиты. </w:t>
      </w:r>
      <w:r w:rsidRPr="0010521A">
        <w:t>В частности,</w:t>
      </w:r>
      <w:r w:rsidR="008A174F">
        <w:br/>
      </w:r>
      <w:r w:rsidRPr="0010521A">
        <w:t xml:space="preserve">оно должно предоставить полное возмещение лицам, чьи права, гарантируемые Пактом, были нарушены. </w:t>
      </w:r>
      <w:r w:rsidRPr="00006130">
        <w:t>Соответственно, государство-участник обязано, в частности, принять надлежащие меры для предоставления автору сообщения адекватной компенсации и возмещения любых понесенных ею судебных издержек. Государство-участник также обязано принять все необходимые меры для недопущения подобных нарушений в будущем.</w:t>
      </w:r>
    </w:p>
    <w:p w14:paraId="2C3E2B42" w14:textId="77777777" w:rsidR="00D631BA" w:rsidRPr="00D631BA" w:rsidRDefault="00CD2FF3" w:rsidP="00CD2FF3">
      <w:pPr>
        <w:pStyle w:val="SingleTxtG"/>
      </w:pPr>
      <w:r w:rsidRPr="00006130">
        <w:t>12.</w:t>
      </w:r>
      <w:r>
        <w:tab/>
      </w:r>
      <w:r w:rsidRPr="00014C03">
        <w:t>С учетом того, что, присоединившись к Факультативному протоколу, государство-участник признало компетенцию Комитета определять, имело ли место нарушение Пакта, и что согласно статье</w:t>
      </w:r>
      <w:r>
        <w:t> </w:t>
      </w:r>
      <w:r w:rsidRPr="00014C03">
        <w:t>2 Пакта государство-участник обязалось обеспечивать всем находящимся в пределах его территории и под его юрисдикцией лицам признаваемые в Пакте права, а также эффективные средства правовой защиты в случае установления факта нарушения, Комитет хотел бы получить от государства-участника в течение 180</w:t>
      </w:r>
      <w:r>
        <w:t> </w:t>
      </w:r>
      <w:r w:rsidRPr="00014C03">
        <w:t>дней информацию о принятых мерах по осуществлению Соображений Комитета.</w:t>
      </w:r>
      <w:r w:rsidRPr="00006130">
        <w:t xml:space="preserve"> </w:t>
      </w:r>
      <w:r w:rsidRPr="0010521A">
        <w:t>Государству-участнику предлагается также опубликовать настоящие соображения на своих официальных языках и обеспечить их широкое распространение.</w:t>
      </w:r>
    </w:p>
    <w:p w14:paraId="680E516D" w14:textId="77777777" w:rsidR="00CD2FF3" w:rsidRPr="00006130" w:rsidRDefault="00CD2FF3" w:rsidP="00CD2FF3">
      <w:pPr>
        <w:pStyle w:val="HChG"/>
        <w:pageBreakBefore/>
      </w:pPr>
      <w:r w:rsidRPr="00006130">
        <w:lastRenderedPageBreak/>
        <w:t>Приложение</w:t>
      </w:r>
    </w:p>
    <w:p w14:paraId="0856A342" w14:textId="77777777" w:rsidR="00CD2FF3" w:rsidRPr="00006130" w:rsidRDefault="00CD2FF3" w:rsidP="00CD2FF3">
      <w:pPr>
        <w:pStyle w:val="HChG"/>
      </w:pPr>
      <w:r w:rsidRPr="00006130">
        <w:tab/>
      </w:r>
      <w:r w:rsidRPr="00006130">
        <w:tab/>
        <w:t>Особое мнение (несогласное)</w:t>
      </w:r>
      <w:r w:rsidRPr="00BB1F86">
        <w:t xml:space="preserve"> </w:t>
      </w:r>
      <w:r w:rsidRPr="00006130">
        <w:t>членов Комитета</w:t>
      </w:r>
      <w:r w:rsidRPr="00FB2501">
        <w:t xml:space="preserve"> </w:t>
      </w:r>
      <w:r w:rsidRPr="00BD1BBC">
        <w:t>Жозе Мануэла Сантуша Паиса и Яда Бен Ашура</w:t>
      </w:r>
    </w:p>
    <w:p w14:paraId="7EC1DA96" w14:textId="77777777" w:rsidR="00CD2FF3" w:rsidRPr="00006130" w:rsidRDefault="00CD2FF3" w:rsidP="00CD2FF3">
      <w:pPr>
        <w:pStyle w:val="SingleTxtG"/>
      </w:pPr>
      <w:r w:rsidRPr="00006130">
        <w:t>1.</w:t>
      </w:r>
      <w:r w:rsidRPr="00006130">
        <w:tab/>
        <w:t>Мы сожалеем, что не смогли присоединиться к другим членам Комитета</w:t>
      </w:r>
      <w:r w:rsidR="008A174F">
        <w:br/>
      </w:r>
      <w:r w:rsidRPr="00006130">
        <w:t xml:space="preserve">и установить факт нарушения прав автора в соответствии с </w:t>
      </w:r>
      <w:r>
        <w:t>пунктом </w:t>
      </w:r>
      <w:r w:rsidRPr="00006130">
        <w:t xml:space="preserve">2 </w:t>
      </w:r>
      <w:r>
        <w:t>статьи </w:t>
      </w:r>
      <w:r w:rsidRPr="00006130">
        <w:t>19 Пакта.</w:t>
      </w:r>
    </w:p>
    <w:p w14:paraId="6DEBB4DC" w14:textId="2CD22684" w:rsidR="00CD2FF3" w:rsidRPr="00006130" w:rsidRDefault="00CD2FF3" w:rsidP="00CD2FF3">
      <w:pPr>
        <w:pStyle w:val="SingleTxtG"/>
      </w:pPr>
      <w:r w:rsidRPr="00006130">
        <w:t>2.</w:t>
      </w:r>
      <w:r w:rsidRPr="00006130">
        <w:tab/>
      </w:r>
      <w:proofErr w:type="gramStart"/>
      <w:r w:rsidRPr="00006130">
        <w:t>В</w:t>
      </w:r>
      <w:proofErr w:type="gramEnd"/>
      <w:r w:rsidRPr="00006130">
        <w:t xml:space="preserve"> данном случае мы имеем дело с оскорблением судебного </w:t>
      </w:r>
      <w:r>
        <w:t>должностного лица</w:t>
      </w:r>
      <w:r w:rsidRPr="00006130">
        <w:t xml:space="preserve">, в частности прокурора. Мы имеем дело не с общественным или политическим деятелем, а с судебным </w:t>
      </w:r>
      <w:r>
        <w:t>должностным лицом</w:t>
      </w:r>
      <w:r w:rsidRPr="00006130">
        <w:t xml:space="preserve">, </w:t>
      </w:r>
      <w:r w:rsidRPr="00381C46">
        <w:t>участвующ</w:t>
      </w:r>
      <w:r>
        <w:t>ем</w:t>
      </w:r>
      <w:r w:rsidRPr="00381C46">
        <w:t xml:space="preserve"> в судебн</w:t>
      </w:r>
      <w:r>
        <w:t>ом</w:t>
      </w:r>
      <w:r w:rsidRPr="00381C46">
        <w:t xml:space="preserve"> разбирательств</w:t>
      </w:r>
      <w:r>
        <w:t>е</w:t>
      </w:r>
      <w:r w:rsidRPr="00006130">
        <w:t>. Во многих странах это дело рассматрива</w:t>
      </w:r>
      <w:r>
        <w:t>лось бы</w:t>
      </w:r>
      <w:r w:rsidRPr="00006130">
        <w:t xml:space="preserve"> как неуважение к суду или неуважение к </w:t>
      </w:r>
      <w:r w:rsidRPr="003F25CF">
        <w:t xml:space="preserve">судебному должностному лицу </w:t>
      </w:r>
      <w:r w:rsidRPr="00006130">
        <w:t>при выполнении им своих функций. Таким образом, вывод о нарушении пункта</w:t>
      </w:r>
      <w:r>
        <w:t> </w:t>
      </w:r>
      <w:r w:rsidRPr="00006130">
        <w:t xml:space="preserve">2 </w:t>
      </w:r>
      <w:r>
        <w:t>статьи </w:t>
      </w:r>
      <w:r w:rsidRPr="00006130">
        <w:t>19 Пакта в данном случае</w:t>
      </w:r>
      <w:r w:rsidRPr="0051311E">
        <w:t xml:space="preserve"> </w:t>
      </w:r>
      <w:r w:rsidRPr="00006130">
        <w:t xml:space="preserve">может, к сожалению, привести к неправомерному толкованию, особенно в </w:t>
      </w:r>
      <w:r>
        <w:t>то время</w:t>
      </w:r>
      <w:r w:rsidRPr="00006130">
        <w:t xml:space="preserve">, когда во многих странах судебные органы подвергаются серьезной критике или страдают от </w:t>
      </w:r>
      <w:r w:rsidRPr="0051311E">
        <w:t>неоправданно</w:t>
      </w:r>
      <w:r>
        <w:t>го</w:t>
      </w:r>
      <w:r w:rsidRPr="0051311E">
        <w:t xml:space="preserve"> </w:t>
      </w:r>
      <w:r w:rsidRPr="00006130">
        <w:t>вмешательства. Вместо того чтобы содействовать сохранению автономии и независимости суда, а именно обеспечению должного уважения к судьям и прокурорам и поддерж</w:t>
      </w:r>
      <w:bookmarkStart w:id="8" w:name="_GoBack"/>
      <w:bookmarkEnd w:id="8"/>
      <w:r w:rsidRPr="00006130">
        <w:t>анию верховенства права, Комитет, как представляется, в настоящих Соображениях прокладывает путь в ином направлении.</w:t>
      </w:r>
    </w:p>
    <w:p w14:paraId="06864C3E" w14:textId="77777777" w:rsidR="00CD2FF3" w:rsidRPr="00006130" w:rsidRDefault="00CD2FF3" w:rsidP="00CD2FF3">
      <w:pPr>
        <w:pStyle w:val="SingleTxtG"/>
      </w:pPr>
      <w:r w:rsidRPr="00006130">
        <w:t>3.</w:t>
      </w:r>
      <w:r w:rsidRPr="00006130">
        <w:tab/>
        <w:t>Во многих судебных системах прокурор рассматривается</w:t>
      </w:r>
      <w:r>
        <w:t>,</w:t>
      </w:r>
      <w:r w:rsidRPr="00006130">
        <w:t xml:space="preserve"> наряду с судьями, как член судебной власти</w:t>
      </w:r>
      <w:r>
        <w:t>,</w:t>
      </w:r>
      <w:r w:rsidRPr="00006130">
        <w:t xml:space="preserve"> действующий от имени общества и в общественных интересах.</w:t>
      </w:r>
    </w:p>
    <w:p w14:paraId="6927A4C9" w14:textId="77777777" w:rsidR="00CD2FF3" w:rsidRPr="00006130" w:rsidRDefault="00CD2FF3" w:rsidP="00CD2FF3">
      <w:pPr>
        <w:pStyle w:val="SingleTxtG"/>
      </w:pPr>
      <w:r w:rsidRPr="00006130">
        <w:t>4.</w:t>
      </w:r>
      <w:r>
        <w:tab/>
      </w:r>
      <w:r w:rsidRPr="00006130">
        <w:t xml:space="preserve">Согласно совместным </w:t>
      </w:r>
      <w:r>
        <w:t>заключениям</w:t>
      </w:r>
      <w:r w:rsidRPr="00006130">
        <w:t xml:space="preserve"> </w:t>
      </w:r>
      <w:r>
        <w:t>№ </w:t>
      </w:r>
      <w:r w:rsidRPr="00006130">
        <w:t>12 (</w:t>
      </w:r>
      <w:r w:rsidRPr="00D12BCE">
        <w:t>2009</w:t>
      </w:r>
      <w:r w:rsidRPr="00006130">
        <w:t xml:space="preserve">) Консультативного совета европейских судей и </w:t>
      </w:r>
      <w:r>
        <w:t>№ </w:t>
      </w:r>
      <w:r w:rsidRPr="00006130">
        <w:t xml:space="preserve">4 </w:t>
      </w:r>
      <w:r w:rsidRPr="00D12BCE">
        <w:t>(2009</w:t>
      </w:r>
      <w:r w:rsidRPr="00006130">
        <w:t>) Консультативного совета европейских прокуроров (</w:t>
      </w:r>
      <w:r>
        <w:t>«</w:t>
      </w:r>
      <w:r w:rsidRPr="00006130">
        <w:t>Бордоская декларация</w:t>
      </w:r>
      <w:r>
        <w:t>»</w:t>
      </w:r>
      <w:r w:rsidRPr="00006130">
        <w:t>):</w:t>
      </w:r>
    </w:p>
    <w:p w14:paraId="30E9B10D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</w:r>
      <w:r>
        <w:t>«</w:t>
      </w:r>
      <w:r w:rsidRPr="00006130">
        <w:t>3.</w:t>
      </w:r>
      <w:r w:rsidRPr="00006130">
        <w:tab/>
        <w:t>Надлежащее выполнение различных, но взаимодополняющих функций судей и прокуроров является необходимой гарантией справедливого, беспристрастного и эффективного отправления правосудия. Судьи и прокуроры должны пользоваться независимостью в выполнении своих функций, а также быть и выглядеть независимыми друг от друга.</w:t>
      </w:r>
    </w:p>
    <w:p w14:paraId="103A0722" w14:textId="77777777" w:rsidR="00CD2FF3" w:rsidRPr="00006130" w:rsidRDefault="00CD2FF3" w:rsidP="00CD2FF3">
      <w:pPr>
        <w:pStyle w:val="SingleTxtG"/>
      </w:pPr>
      <w:r w:rsidRPr="00006130">
        <w:t>…</w:t>
      </w:r>
    </w:p>
    <w:p w14:paraId="1D305ACD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  <w:t>6.</w:t>
      </w:r>
      <w:r w:rsidRPr="00006130">
        <w:tab/>
        <w:t>Правоприменение и, в соответствующих случаях, дискреционные полномочия прокуратуры на досудебной стадии требуют, чтобы статус прокурор</w:t>
      </w:r>
      <w:r>
        <w:t>ов</w:t>
      </w:r>
      <w:r w:rsidRPr="00006130">
        <w:t xml:space="preserve"> гарантировался законом на как можно более высоком уровне, аналогично статусу судей. Они должны быть независимыми и автономными в принятии решений и выполнять свои функции справедливо, объективно и беспристрастно</w:t>
      </w:r>
      <w:r>
        <w:t>».</w:t>
      </w:r>
    </w:p>
    <w:p w14:paraId="63182DD5" w14:textId="77777777" w:rsidR="00CD2FF3" w:rsidRPr="00006130" w:rsidRDefault="00CD2FF3" w:rsidP="00CD2FF3">
      <w:pPr>
        <w:pStyle w:val="SingleTxtG"/>
      </w:pPr>
      <w:r w:rsidRPr="00006130">
        <w:t>5.</w:t>
      </w:r>
      <w:r w:rsidRPr="00006130">
        <w:tab/>
      </w:r>
      <w:proofErr w:type="gramStart"/>
      <w:r w:rsidRPr="00006130">
        <w:t>В</w:t>
      </w:r>
      <w:proofErr w:type="gramEnd"/>
      <w:r w:rsidRPr="00006130">
        <w:t xml:space="preserve"> пояснительной записке к Бордоской декларации далее говорится</w:t>
      </w:r>
      <w:r>
        <w:t>:</w:t>
      </w:r>
    </w:p>
    <w:p w14:paraId="31A32989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</w:r>
      <w:r>
        <w:t>«</w:t>
      </w:r>
      <w:r w:rsidRPr="00006130">
        <w:t>10.</w:t>
      </w:r>
      <w:r w:rsidRPr="00006130">
        <w:tab/>
        <w:t xml:space="preserve">Независимость </w:t>
      </w:r>
      <w:r>
        <w:t>органов</w:t>
      </w:r>
      <w:r w:rsidRPr="00006130">
        <w:t xml:space="preserve"> прокуратуры является не</w:t>
      </w:r>
      <w:r>
        <w:t>избежным</w:t>
      </w:r>
      <w:r w:rsidRPr="00006130">
        <w:t xml:space="preserve"> следствием независимости судебной власти. Роль прокурора в </w:t>
      </w:r>
      <w:r>
        <w:t>защите</w:t>
      </w:r>
      <w:r w:rsidRPr="00006130">
        <w:t xml:space="preserve"> и отстаивании прав человека подозреваемых, обвиняемых и </w:t>
      </w:r>
      <w:r>
        <w:t>потерпевших</w:t>
      </w:r>
      <w:r w:rsidRPr="00006130">
        <w:t xml:space="preserve"> лучше всего может выполняться </w:t>
      </w:r>
      <w:r w:rsidRPr="00EC1CBC">
        <w:t xml:space="preserve">в тех случаях, когда </w:t>
      </w:r>
      <w:r w:rsidRPr="00006130">
        <w:t xml:space="preserve">прокурор независим в принятии решений от исполнительной и законодательной власти и </w:t>
      </w:r>
      <w:r>
        <w:t>когда</w:t>
      </w:r>
      <w:r w:rsidRPr="00006130">
        <w:t xml:space="preserve"> правильно соблюдается особая роль судей и прокуроров. В условиях демократии, основанной на верховенстве права, основой политики уголовного преследования является право (Деклараци</w:t>
      </w:r>
      <w:r>
        <w:t>я,</w:t>
      </w:r>
      <w:r w:rsidRPr="00006130">
        <w:t xml:space="preserve"> пункт</w:t>
      </w:r>
      <w:r>
        <w:t> </w:t>
      </w:r>
      <w:r w:rsidRPr="00006130">
        <w:t>3).</w:t>
      </w:r>
    </w:p>
    <w:p w14:paraId="5B7D287C" w14:textId="77777777" w:rsidR="00CD2FF3" w:rsidRPr="00006130" w:rsidRDefault="00CD2FF3" w:rsidP="00CD2FF3">
      <w:pPr>
        <w:pStyle w:val="SingleTxtG"/>
      </w:pPr>
      <w:r w:rsidRPr="00006130">
        <w:t>…</w:t>
      </w:r>
    </w:p>
    <w:p w14:paraId="6B871455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  <w:t>27.</w:t>
      </w:r>
      <w:r w:rsidRPr="00006130">
        <w:tab/>
        <w:t>Независимость прокуроров является непременным условием выполнения ими своей миссии. Он</w:t>
      </w:r>
      <w:r>
        <w:t>а</w:t>
      </w:r>
      <w:r w:rsidRPr="00006130">
        <w:t xml:space="preserve"> укрепляет </w:t>
      </w:r>
      <w:r w:rsidRPr="001E7FDD">
        <w:t>их роль в правовом государстве и обществе, а также является гарантией того, что система правосудия будет действовать справедливо и эффективно и что будут реализованы все преимущества независимости судебной системы (Декларация, пункты</w:t>
      </w:r>
      <w:r>
        <w:t> </w:t>
      </w:r>
      <w:r w:rsidRPr="001E7FDD">
        <w:t>3 и 8)</w:t>
      </w:r>
      <w:r w:rsidRPr="00006130">
        <w:t xml:space="preserve">. Таким образом, подобно независимости судей, независимость прокуроров является не прерогативой или привилегией, предоставляемой в интересах </w:t>
      </w:r>
      <w:r w:rsidRPr="00006130">
        <w:lastRenderedPageBreak/>
        <w:t>прокуроров, а гарантией в интересах справедливого, беспристрастного и эффективного отправления правосудия, обеспечивающей защиту как государственных, так и частных интересов соответствующих лиц.</w:t>
      </w:r>
    </w:p>
    <w:p w14:paraId="3823E150" w14:textId="77777777" w:rsidR="00CD2FF3" w:rsidRPr="00006130" w:rsidRDefault="00CD2FF3" w:rsidP="00CD2FF3">
      <w:pPr>
        <w:pStyle w:val="SingleTxtG"/>
      </w:pPr>
      <w:r w:rsidRPr="00006130">
        <w:t>…</w:t>
      </w:r>
    </w:p>
    <w:p w14:paraId="53878B35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  <w:t>34.</w:t>
      </w:r>
      <w:r w:rsidRPr="00006130">
        <w:tab/>
      </w:r>
      <w:r w:rsidRPr="00112809">
        <w:t>Независимость судьи и прокурора неотделим</w:t>
      </w:r>
      <w:r>
        <w:t>а</w:t>
      </w:r>
      <w:r w:rsidRPr="00112809">
        <w:t xml:space="preserve"> от принципа верховенства права.</w:t>
      </w:r>
      <w:r>
        <w:t xml:space="preserve"> </w:t>
      </w:r>
      <w:r w:rsidRPr="00006130">
        <w:t>Судьи</w:t>
      </w:r>
      <w:r>
        <w:t xml:space="preserve"> и</w:t>
      </w:r>
      <w:r w:rsidRPr="00006130">
        <w:t xml:space="preserve"> прокуроры действуют в общих интересах</w:t>
      </w:r>
      <w:r>
        <w:t>,</w:t>
      </w:r>
      <w:r w:rsidRPr="00006130">
        <w:t xml:space="preserve"> во имя общества и его граждан, которые </w:t>
      </w:r>
      <w:r>
        <w:t>желают</w:t>
      </w:r>
      <w:r w:rsidRPr="00006130">
        <w:t>, чтобы их права и свободы гарантирова</w:t>
      </w:r>
      <w:r>
        <w:t>лись</w:t>
      </w:r>
      <w:r w:rsidRPr="00006130">
        <w:t xml:space="preserve"> во всех их аспектах. Они действуют в тех областях, где наиболее чувствительные права человека (личная свобода, неприкосновенность частной жизни, защита имущества и</w:t>
      </w:r>
      <w:r>
        <w:t> </w:t>
      </w:r>
      <w:r w:rsidRPr="00006130">
        <w:t>т.</w:t>
      </w:r>
      <w:r>
        <w:t> </w:t>
      </w:r>
      <w:r w:rsidRPr="00006130">
        <w:t>д.) заслуживают наибольшей защиты</w:t>
      </w:r>
      <w:r>
        <w:t>».</w:t>
      </w:r>
    </w:p>
    <w:p w14:paraId="11F46598" w14:textId="77777777" w:rsidR="00CD2FF3" w:rsidRPr="00006130" w:rsidRDefault="00CD2FF3" w:rsidP="00CD2FF3">
      <w:pPr>
        <w:pStyle w:val="SingleTxtG"/>
      </w:pPr>
      <w:r w:rsidRPr="00006130">
        <w:t>6.</w:t>
      </w:r>
      <w:r>
        <w:tab/>
      </w:r>
      <w:r w:rsidRPr="00006130">
        <w:t xml:space="preserve">В </w:t>
      </w:r>
      <w:r>
        <w:t>заключении</w:t>
      </w:r>
      <w:r w:rsidRPr="00006130">
        <w:t xml:space="preserve"> </w:t>
      </w:r>
      <w:r>
        <w:t>№ </w:t>
      </w:r>
      <w:r w:rsidRPr="00006130">
        <w:t>9 (</w:t>
      </w:r>
      <w:r w:rsidRPr="00D12BCE">
        <w:t>2014</w:t>
      </w:r>
      <w:r w:rsidRPr="00006130">
        <w:t>) Консультативного совета европейских прокуроров (</w:t>
      </w:r>
      <w:r>
        <w:t>«</w:t>
      </w:r>
      <w:r w:rsidRPr="00006130">
        <w:t>Римская хартия</w:t>
      </w:r>
      <w:r>
        <w:t>»</w:t>
      </w:r>
      <w:r w:rsidRPr="00006130">
        <w:t xml:space="preserve">) о европейских нормах и принципах, касающихся </w:t>
      </w:r>
      <w:r w:rsidRPr="008A008C">
        <w:t>прокуроров</w:t>
      </w:r>
      <w:r>
        <w:t>, говорится следующее</w:t>
      </w:r>
      <w:r w:rsidRPr="00006130">
        <w:t>:</w:t>
      </w:r>
    </w:p>
    <w:p w14:paraId="67EA3CED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</w:r>
      <w:r>
        <w:t>«</w:t>
      </w:r>
      <w:r w:rsidRPr="002E225A">
        <w:t>V</w:t>
      </w:r>
      <w:r w:rsidRPr="00006130">
        <w:t>.</w:t>
      </w:r>
      <w:r w:rsidRPr="00006130">
        <w:tab/>
      </w:r>
      <w:r w:rsidRPr="00236D50">
        <w:t>Прокуроры должны быть независимыми в принятии решений и выполнять свои обязанности без внешнего давления или вмешательства с учетом принципов разделения властей и подотчетности</w:t>
      </w:r>
      <w:r>
        <w:t>»</w:t>
      </w:r>
      <w:r w:rsidRPr="00006130">
        <w:t>.</w:t>
      </w:r>
    </w:p>
    <w:p w14:paraId="20303F98" w14:textId="77777777" w:rsidR="00CD2FF3" w:rsidRPr="00006130" w:rsidRDefault="00CD2FF3" w:rsidP="00CD2FF3">
      <w:pPr>
        <w:pStyle w:val="SingleTxtG"/>
      </w:pPr>
      <w:r>
        <w:t xml:space="preserve">В </w:t>
      </w:r>
      <w:r w:rsidRPr="00006130">
        <w:t>пояснительной записке к Римской хартии</w:t>
      </w:r>
      <w:r>
        <w:t xml:space="preserve"> отмечается следующее</w:t>
      </w:r>
      <w:r w:rsidRPr="00006130">
        <w:t>:</w:t>
      </w:r>
    </w:p>
    <w:p w14:paraId="7604687B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</w:r>
      <w:r>
        <w:t>«</w:t>
      </w:r>
      <w:r w:rsidRPr="00006130">
        <w:t>36.</w:t>
      </w:r>
      <w:r w:rsidRPr="00006130">
        <w:tab/>
        <w:t xml:space="preserve">Государства должны </w:t>
      </w:r>
      <w:r w:rsidRPr="006E1A78">
        <w:t>обеспечива</w:t>
      </w:r>
      <w:r>
        <w:t>ть</w:t>
      </w:r>
      <w:r w:rsidRPr="006E1A78">
        <w:t>, чтобы лица, осуществляющие судебное преследование, могли выполнять свои обязанности в обстановке, свободной от угроз, препятствий, запугивания, ненужного вмешательства или неоправданного привлечения к гражданской, уголовной или иной ответственности</w:t>
      </w:r>
      <w:r>
        <w:t>»</w:t>
      </w:r>
      <w:r w:rsidR="008A174F">
        <w:rPr>
          <w:rStyle w:val="aa"/>
        </w:rPr>
        <w:footnoteReference w:customMarkFollows="1" w:id="17"/>
        <w:t>1</w:t>
      </w:r>
      <w:r>
        <w:t>.</w:t>
      </w:r>
    </w:p>
    <w:p w14:paraId="222934B7" w14:textId="77777777" w:rsidR="00CD2FF3" w:rsidRPr="00006130" w:rsidRDefault="00CD2FF3" w:rsidP="00CD2FF3">
      <w:pPr>
        <w:pStyle w:val="SingleTxtG"/>
      </w:pPr>
      <w:r w:rsidRPr="00006130">
        <w:t>7.</w:t>
      </w:r>
      <w:r w:rsidRPr="00006130">
        <w:tab/>
      </w:r>
      <w:r>
        <w:t>В заключении</w:t>
      </w:r>
      <w:r w:rsidRPr="00006130">
        <w:t xml:space="preserve"> </w:t>
      </w:r>
      <w:r>
        <w:t>№ </w:t>
      </w:r>
      <w:r w:rsidRPr="00006130">
        <w:t>13 (</w:t>
      </w:r>
      <w:r w:rsidRPr="00D12BCE">
        <w:t>2018)</w:t>
      </w:r>
      <w:r w:rsidRPr="00006130">
        <w:t xml:space="preserve"> Консультативного совета европейских прокуроров о независимости, подотчетности и этике прокур</w:t>
      </w:r>
      <w:r>
        <w:t xml:space="preserve">оров </w:t>
      </w:r>
      <w:r w:rsidRPr="00006130">
        <w:t xml:space="preserve">также </w:t>
      </w:r>
      <w:r>
        <w:t xml:space="preserve">говорится следующее в связи с </w:t>
      </w:r>
      <w:r w:rsidRPr="00006130">
        <w:t>концепци</w:t>
      </w:r>
      <w:r>
        <w:t>ей</w:t>
      </w:r>
      <w:r w:rsidRPr="00006130">
        <w:t xml:space="preserve"> независимости </w:t>
      </w:r>
      <w:r>
        <w:t>прокуроров</w:t>
      </w:r>
      <w:r w:rsidRPr="00006130">
        <w:t>:</w:t>
      </w:r>
    </w:p>
    <w:p w14:paraId="21D8180A" w14:textId="77777777" w:rsidR="00CD2FF3" w:rsidRPr="00006130" w:rsidRDefault="00CD2FF3" w:rsidP="00CD2FF3">
      <w:pPr>
        <w:pStyle w:val="SingleTxtG"/>
        <w:ind w:left="1701" w:hanging="567"/>
      </w:pPr>
      <w:r w:rsidRPr="00006130">
        <w:tab/>
      </w:r>
      <w:r>
        <w:t>«</w:t>
      </w:r>
      <w:r w:rsidRPr="00006130">
        <w:t>15.</w:t>
      </w:r>
      <w:r w:rsidRPr="00006130">
        <w:tab/>
      </w:r>
      <w:r>
        <w:t>"</w:t>
      </w:r>
      <w:r w:rsidRPr="00006130">
        <w:t>Независимость" означает, что прокур</w:t>
      </w:r>
      <w:r>
        <w:t>оры</w:t>
      </w:r>
      <w:r w:rsidRPr="00006130">
        <w:t xml:space="preserve"> свободны от незаконного вмешательства в выполнение своих обязанностей по обеспечению полного уважения и применения закона и принципа верховенства права и не подвергаются какому-либо политическому давлению или незаконному влиянию в какой бы то ни было форме</w:t>
      </w:r>
      <w:r>
        <w:t>»</w:t>
      </w:r>
      <w:r w:rsidRPr="00006130">
        <w:t>.</w:t>
      </w:r>
    </w:p>
    <w:p w14:paraId="7A1EFD03" w14:textId="77777777" w:rsidR="00CD2FF3" w:rsidRPr="00006130" w:rsidRDefault="00CD2FF3" w:rsidP="00CD2FF3">
      <w:pPr>
        <w:pStyle w:val="SingleTxtG"/>
      </w:pPr>
      <w:r w:rsidRPr="00006130">
        <w:t>8.</w:t>
      </w:r>
      <w:r w:rsidRPr="00006130">
        <w:tab/>
        <w:t xml:space="preserve">В данном случае Комитет счел, что осуждение автора сообщения представляет собой </w:t>
      </w:r>
      <w:r>
        <w:t>вмешательство в</w:t>
      </w:r>
      <w:r w:rsidRPr="00006130">
        <w:t xml:space="preserve"> ее право на свободу выражения мнений (пункт</w:t>
      </w:r>
      <w:r>
        <w:t> </w:t>
      </w:r>
      <w:r w:rsidRPr="00006130">
        <w:t xml:space="preserve">8.2), однако </w:t>
      </w:r>
      <w:r>
        <w:t>постановил</w:t>
      </w:r>
      <w:r w:rsidRPr="00006130">
        <w:t>, что такое вмешательство предусмотрено законом по смыслу пункта</w:t>
      </w:r>
      <w:r>
        <w:t> </w:t>
      </w:r>
      <w:r w:rsidRPr="00006130">
        <w:t xml:space="preserve">3 </w:t>
      </w:r>
      <w:r>
        <w:t>статьи </w:t>
      </w:r>
      <w:r w:rsidRPr="00006130">
        <w:t>19 Пакта (пункты</w:t>
      </w:r>
      <w:r>
        <w:t> </w:t>
      </w:r>
      <w:r w:rsidRPr="00006130">
        <w:t xml:space="preserve">8.4 и 8.5). Комитет далее согласился с тем, что </w:t>
      </w:r>
      <w:r>
        <w:t>статья </w:t>
      </w:r>
      <w:r w:rsidRPr="00006130">
        <w:t>290 Уголовного кодекса Литвы направлена на обеспечение защиты прокуроров при выполнении ими своих конкретных функций, способствуя тем самым поддержанию доверия общественности к отправлению правосудия в целом. Поэтому данное положение может быть оправдано как содействующее достижению законной цели защиты общественного порядка (пункт</w:t>
      </w:r>
      <w:r>
        <w:t> </w:t>
      </w:r>
      <w:r w:rsidRPr="00006130">
        <w:t xml:space="preserve">8.7), которая включает </w:t>
      </w:r>
      <w:r>
        <w:t xml:space="preserve">в себя </w:t>
      </w:r>
      <w:r w:rsidRPr="00006130">
        <w:t>уважение к судьям и прокурорам.</w:t>
      </w:r>
    </w:p>
    <w:p w14:paraId="11DD63F0" w14:textId="77777777" w:rsidR="00CD2FF3" w:rsidRPr="00006130" w:rsidRDefault="00CD2FF3" w:rsidP="00482DA4">
      <w:pPr>
        <w:pStyle w:val="SingleTxtG"/>
        <w:pageBreakBefore/>
      </w:pPr>
      <w:r w:rsidRPr="00006130">
        <w:lastRenderedPageBreak/>
        <w:t>9.</w:t>
      </w:r>
      <w:r w:rsidRPr="00006130">
        <w:tab/>
        <w:t xml:space="preserve">Однако Комитет пришел к выводу, что ограничения прав автора являются несоразмерными и поэтому не могут быть оправданы в соответствии с </w:t>
      </w:r>
      <w:r>
        <w:t>пунктом </w:t>
      </w:r>
      <w:r w:rsidRPr="00006130">
        <w:t xml:space="preserve">3 </w:t>
      </w:r>
      <w:r>
        <w:t>статьи </w:t>
      </w:r>
      <w:r w:rsidRPr="00006130">
        <w:t>19 Пакта. Мы считаем</w:t>
      </w:r>
      <w:r>
        <w:t>, что</w:t>
      </w:r>
      <w:r w:rsidRPr="00006130">
        <w:t xml:space="preserve"> этот вывод труд</w:t>
      </w:r>
      <w:r>
        <w:t>ен</w:t>
      </w:r>
      <w:r w:rsidRPr="00006130">
        <w:t xml:space="preserve"> для понимания и неточно отраж</w:t>
      </w:r>
      <w:r>
        <w:t>ает</w:t>
      </w:r>
      <w:r w:rsidRPr="00006130">
        <w:t xml:space="preserve"> факт</w:t>
      </w:r>
      <w:r>
        <w:t>ы</w:t>
      </w:r>
      <w:r w:rsidRPr="00006130">
        <w:t xml:space="preserve"> в данном </w:t>
      </w:r>
      <w:r>
        <w:t>деле</w:t>
      </w:r>
      <w:r w:rsidRPr="00006130">
        <w:t>.</w:t>
      </w:r>
    </w:p>
    <w:p w14:paraId="754FADCC" w14:textId="77777777" w:rsidR="00CD2FF3" w:rsidRPr="00006130" w:rsidRDefault="00CD2FF3" w:rsidP="00CD2FF3">
      <w:pPr>
        <w:pStyle w:val="SingleTxtG"/>
      </w:pPr>
      <w:r w:rsidRPr="00006130">
        <w:t>10.</w:t>
      </w:r>
      <w:r w:rsidRPr="00006130">
        <w:tab/>
        <w:t>Как признает Комитет (пункт</w:t>
      </w:r>
      <w:r>
        <w:t> </w:t>
      </w:r>
      <w:r w:rsidRPr="00006130">
        <w:t>8.10), Верховный суд Литвы постановил,</w:t>
      </w:r>
      <w:r w:rsidR="008A174F">
        <w:br/>
      </w:r>
      <w:r w:rsidRPr="00006130">
        <w:t>что автор был</w:t>
      </w:r>
      <w:r>
        <w:t>а</w:t>
      </w:r>
      <w:r w:rsidRPr="00006130">
        <w:t xml:space="preserve"> осужден</w:t>
      </w:r>
      <w:r>
        <w:t>а</w:t>
      </w:r>
      <w:r w:rsidRPr="00006130">
        <w:t xml:space="preserve"> не за критику прокуроров как таковую, а за оскорбительные высказывания</w:t>
      </w:r>
      <w:r>
        <w:t xml:space="preserve"> в их адрес</w:t>
      </w:r>
      <w:r w:rsidRPr="00006130">
        <w:t>. Однако Комитет представляет эт</w:t>
      </w:r>
      <w:r>
        <w:t>у</w:t>
      </w:r>
      <w:r w:rsidRPr="00006130">
        <w:t xml:space="preserve"> аргументаци</w:t>
      </w:r>
      <w:r>
        <w:t>ю</w:t>
      </w:r>
      <w:r w:rsidRPr="00006130">
        <w:t xml:space="preserve"> не </w:t>
      </w:r>
      <w:r>
        <w:t>совсем верно</w:t>
      </w:r>
      <w:r w:rsidRPr="00006130">
        <w:t xml:space="preserve">. </w:t>
      </w:r>
      <w:r>
        <w:t>На самом деле г</w:t>
      </w:r>
      <w:r w:rsidRPr="00006130">
        <w:t xml:space="preserve">осударство-участник утверждает, что </w:t>
      </w:r>
      <w:r w:rsidRPr="00C565EE">
        <w:t xml:space="preserve">национальные суды провели тщательный анализ обстоятельств дела и </w:t>
      </w:r>
      <w:r>
        <w:t xml:space="preserve">что </w:t>
      </w:r>
      <w:r w:rsidRPr="00C565EE">
        <w:t>некоторые части заявления автора были даже исключены из проведенной оценки, поскольку они были расплывчатыми или неоскорбительными и, соответственно, не могли составлять элементы преступления в соответствии со статьей</w:t>
      </w:r>
      <w:r>
        <w:t> </w:t>
      </w:r>
      <w:r w:rsidRPr="00C565EE">
        <w:t>290 Уголовного кодекса</w:t>
      </w:r>
      <w:r w:rsidRPr="00006130">
        <w:t xml:space="preserve"> (пункт</w:t>
      </w:r>
      <w:r>
        <w:t> </w:t>
      </w:r>
      <w:r w:rsidRPr="00006130">
        <w:t xml:space="preserve">4.5). </w:t>
      </w:r>
      <w:r w:rsidRPr="006E43F4">
        <w:t>Кроме того, признавая важность форм выражения мнений, способствующих публичным дебатам, касающимся общественных деятелей в государственном секторе и государственных учреждениях, национальные суды пришли к выводу, что заявления автора не способствовали публичным дебатам и что оскорбленные прокуроры не могут считаться общественными деятелями или политиками</w:t>
      </w:r>
      <w:r>
        <w:t xml:space="preserve"> </w:t>
      </w:r>
      <w:r w:rsidRPr="00006130">
        <w:t>(см.</w:t>
      </w:r>
      <w:r>
        <w:t> </w:t>
      </w:r>
      <w:r w:rsidRPr="00006130">
        <w:t>также пункт</w:t>
      </w:r>
      <w:r>
        <w:t> </w:t>
      </w:r>
      <w:r w:rsidRPr="00006130">
        <w:t>6.2).</w:t>
      </w:r>
      <w:r w:rsidR="008A174F">
        <w:br/>
      </w:r>
      <w:r w:rsidRPr="00725257">
        <w:t>В этой связи Верховный суд отметил, что публичная критика может и должна осуществляться без использования экстремальных, оскорбительных слов, которые не способствуют общественному обсуждению и угрожают нормальному функционирования должностных лиц, их чести и достоинству. В этой связи Верховный суд подчеркнул, что автор была осуждена не за критику прокуроров,</w:t>
      </w:r>
      <w:r w:rsidR="008A174F">
        <w:br/>
      </w:r>
      <w:r w:rsidRPr="00725257">
        <w:t>а за оскорбительные высказывания в их адрес.</w:t>
      </w:r>
      <w:r w:rsidRPr="00006130">
        <w:t xml:space="preserve"> Мы согласны с этим заключением национальных судов Литвы.</w:t>
      </w:r>
    </w:p>
    <w:p w14:paraId="0CCB737B" w14:textId="77777777" w:rsidR="00CD2FF3" w:rsidRPr="00006130" w:rsidRDefault="00CD2FF3" w:rsidP="00CD2FF3">
      <w:pPr>
        <w:pStyle w:val="SingleTxtG"/>
      </w:pPr>
      <w:r w:rsidRPr="00006130">
        <w:t>11.</w:t>
      </w:r>
      <w:r w:rsidRPr="00006130">
        <w:tab/>
        <w:t xml:space="preserve">Комитет также счел, что </w:t>
      </w:r>
      <w:r w:rsidRPr="00CC5964">
        <w:t>был приведен лишь сокращенный вариант того, что сказала автор, и что не было сообщено никакого контекста, в результате чего все заявление было двусмысленным</w:t>
      </w:r>
      <w:r w:rsidRPr="00006130">
        <w:t xml:space="preserve"> (пункт</w:t>
      </w:r>
      <w:r>
        <w:t> </w:t>
      </w:r>
      <w:r w:rsidRPr="00006130">
        <w:t>8.10). Мы оспариваем этот вывод.</w:t>
      </w:r>
    </w:p>
    <w:p w14:paraId="7419FFA3" w14:textId="77777777" w:rsidR="00CD2FF3" w:rsidRPr="00006130" w:rsidRDefault="00CD2FF3" w:rsidP="00CD2FF3">
      <w:pPr>
        <w:pStyle w:val="SingleTxtG"/>
      </w:pPr>
      <w:r w:rsidRPr="00006130">
        <w:t>12.</w:t>
      </w:r>
      <w:r w:rsidRPr="00006130">
        <w:tab/>
      </w:r>
      <w:r>
        <w:t>«Сокращенный»</w:t>
      </w:r>
      <w:r w:rsidRPr="00006130">
        <w:t xml:space="preserve"> вариант был представлен сам</w:t>
      </w:r>
      <w:r>
        <w:t>им</w:t>
      </w:r>
      <w:r w:rsidRPr="00006130">
        <w:t xml:space="preserve"> автором, и она даже </w:t>
      </w:r>
      <w:r>
        <w:t>приводит</w:t>
      </w:r>
      <w:r w:rsidRPr="00006130">
        <w:t xml:space="preserve"> контекст</w:t>
      </w:r>
      <w:r>
        <w:t>, в котором было сделано</w:t>
      </w:r>
      <w:r w:rsidRPr="00006130">
        <w:t xml:space="preserve"> ее заявлени</w:t>
      </w:r>
      <w:r>
        <w:t>е</w:t>
      </w:r>
      <w:r w:rsidRPr="00006130">
        <w:t xml:space="preserve"> (пункт</w:t>
      </w:r>
      <w:r>
        <w:t> </w:t>
      </w:r>
      <w:r w:rsidRPr="00006130">
        <w:t xml:space="preserve">2.1): в Литве против нее было возбуждено три уголовных дела по обвинению в терроризме, что является </w:t>
      </w:r>
      <w:r>
        <w:t>тяжким</w:t>
      </w:r>
      <w:r w:rsidRPr="00006130">
        <w:t xml:space="preserve"> преступлением</w:t>
      </w:r>
      <w:r w:rsidR="00482DA4">
        <w:rPr>
          <w:rStyle w:val="aa"/>
        </w:rPr>
        <w:footnoteReference w:customMarkFollows="1" w:id="18"/>
        <w:t>2</w:t>
      </w:r>
      <w:r>
        <w:t>.</w:t>
      </w:r>
      <w:r w:rsidRPr="00006130">
        <w:t xml:space="preserve"> В ходе судебного слушания по одному из этих дел 24</w:t>
      </w:r>
      <w:r>
        <w:t> марта</w:t>
      </w:r>
      <w:r w:rsidRPr="00006130">
        <w:t xml:space="preserve"> 2011</w:t>
      </w:r>
      <w:r>
        <w:t> года</w:t>
      </w:r>
      <w:r w:rsidRPr="00006130">
        <w:t xml:space="preserve"> прокурор обратился в суд с </w:t>
      </w:r>
      <w:r>
        <w:t>ходатайством</w:t>
      </w:r>
      <w:r w:rsidRPr="00006130">
        <w:t xml:space="preserve"> </w:t>
      </w:r>
      <w:r>
        <w:t xml:space="preserve">о </w:t>
      </w:r>
      <w:r w:rsidRPr="00006130">
        <w:t>вынес</w:t>
      </w:r>
      <w:r>
        <w:t>ении</w:t>
      </w:r>
      <w:r w:rsidRPr="00006130">
        <w:t xml:space="preserve"> </w:t>
      </w:r>
      <w:r>
        <w:t>решения</w:t>
      </w:r>
      <w:r w:rsidRPr="00006130">
        <w:t xml:space="preserve"> о предварительном заключении автора сообщения</w:t>
      </w:r>
      <w:r w:rsidR="00482DA4">
        <w:rPr>
          <w:rStyle w:val="aa"/>
        </w:rPr>
        <w:footnoteReference w:customMarkFollows="1" w:id="19"/>
        <w:t>3</w:t>
      </w:r>
      <w:r>
        <w:t>.</w:t>
      </w:r>
      <w:r w:rsidRPr="00006130">
        <w:t xml:space="preserve"> Во время перерыва в судебном заседании автор </w:t>
      </w:r>
      <w:r>
        <w:t>дала</w:t>
      </w:r>
      <w:r w:rsidRPr="00006130">
        <w:t xml:space="preserve"> интервью </w:t>
      </w:r>
      <w:r>
        <w:t xml:space="preserve">одному </w:t>
      </w:r>
      <w:r w:rsidRPr="00006130">
        <w:t>телевизионно</w:t>
      </w:r>
      <w:r>
        <w:t>му</w:t>
      </w:r>
      <w:r w:rsidRPr="00006130">
        <w:t xml:space="preserve"> репортер</w:t>
      </w:r>
      <w:r>
        <w:t>у</w:t>
      </w:r>
      <w:r w:rsidRPr="00006130">
        <w:t xml:space="preserve"> и сделала заявление, в котором она предположила, что прокурор совершает преступления, может убивать людей и является преступником.</w:t>
      </w:r>
    </w:p>
    <w:p w14:paraId="2470F4C5" w14:textId="77777777" w:rsidR="00CD2FF3" w:rsidRPr="00006130" w:rsidRDefault="00CD2FF3" w:rsidP="00CD2FF3">
      <w:pPr>
        <w:pStyle w:val="SingleTxtG"/>
      </w:pPr>
      <w:r w:rsidRPr="00006130">
        <w:t>13.</w:t>
      </w:r>
      <w:r w:rsidRPr="00006130">
        <w:tab/>
        <w:t xml:space="preserve">Заявление автора, вопреки заключению Комитета, вряд ли можно рассматривать как </w:t>
      </w:r>
      <w:r>
        <w:t>лишь</w:t>
      </w:r>
      <w:r w:rsidRPr="00006130">
        <w:t xml:space="preserve"> спонтанную реакцию. Она уже </w:t>
      </w:r>
      <w:r>
        <w:t xml:space="preserve">проходила по </w:t>
      </w:r>
      <w:r w:rsidRPr="00006130">
        <w:t>тре</w:t>
      </w:r>
      <w:r>
        <w:t>м</w:t>
      </w:r>
      <w:r w:rsidRPr="00006130">
        <w:t xml:space="preserve"> уголовны</w:t>
      </w:r>
      <w:r>
        <w:t>м</w:t>
      </w:r>
      <w:r w:rsidRPr="00006130">
        <w:t xml:space="preserve"> дел</w:t>
      </w:r>
      <w:r>
        <w:t>ам</w:t>
      </w:r>
      <w:r w:rsidRPr="00006130">
        <w:t xml:space="preserve"> по обвинениям в терроризме</w:t>
      </w:r>
      <w:r>
        <w:t>;</w:t>
      </w:r>
      <w:r w:rsidRPr="00006130">
        <w:t xml:space="preserve"> государство-участник утверждает (пункты</w:t>
      </w:r>
      <w:r>
        <w:t> </w:t>
      </w:r>
      <w:r w:rsidRPr="00006130">
        <w:t>4.2</w:t>
      </w:r>
      <w:r w:rsidR="00482DA4">
        <w:br/>
      </w:r>
      <w:r w:rsidRPr="00006130">
        <w:t xml:space="preserve">и 4.6), </w:t>
      </w:r>
      <w:r>
        <w:t xml:space="preserve">что </w:t>
      </w:r>
      <w:r w:rsidRPr="00006130">
        <w:t xml:space="preserve">интервью, в ходе которого автор сделала свое заявление, широко транслировалось </w:t>
      </w:r>
      <w:r>
        <w:t>по</w:t>
      </w:r>
      <w:r w:rsidRPr="00006130">
        <w:t xml:space="preserve"> крупнейши</w:t>
      </w:r>
      <w:r>
        <w:t>м</w:t>
      </w:r>
      <w:r w:rsidRPr="00006130">
        <w:t xml:space="preserve"> коммерчески</w:t>
      </w:r>
      <w:r>
        <w:t>м</w:t>
      </w:r>
      <w:r w:rsidRPr="00006130">
        <w:t xml:space="preserve"> телеканала</w:t>
      </w:r>
      <w:r>
        <w:t>м</w:t>
      </w:r>
      <w:r w:rsidRPr="00006130">
        <w:t xml:space="preserve"> того времени, что позволило охватить неограниченное число людей, </w:t>
      </w:r>
      <w:r>
        <w:t xml:space="preserve">и что </w:t>
      </w:r>
      <w:r w:rsidRPr="00006130">
        <w:t xml:space="preserve">утверждения автора были ложными. </w:t>
      </w:r>
      <w:r w:rsidRPr="00C05763">
        <w:t>Предполагаемые процессуальные нарушения, серьезность обвинений и наказания и сложность дела не могут служить оправданием для того, чтобы обвиняемое лицо оскорбляло государственных служащих, ответственных за ведение его уголовного дела</w:t>
      </w:r>
      <w:r>
        <w:t xml:space="preserve">. </w:t>
      </w:r>
      <w:r w:rsidRPr="003B3012">
        <w:t>Тем не менее национальные суды должным образом приняли во внимание то обстоятельство, что автор находилась под сильным стрессом, когда она сделала порочащее заявление</w:t>
      </w:r>
      <w:r w:rsidRPr="00006130">
        <w:t>.</w:t>
      </w:r>
    </w:p>
    <w:p w14:paraId="1C6AFA6B" w14:textId="77777777" w:rsidR="00CD2FF3" w:rsidRPr="00482DA4" w:rsidRDefault="00CD2FF3" w:rsidP="00607969">
      <w:pPr>
        <w:pStyle w:val="SingleTxtG"/>
        <w:pageBreakBefore/>
        <w:rPr>
          <w:rStyle w:val="aa"/>
          <w:vertAlign w:val="baseline"/>
        </w:rPr>
      </w:pPr>
      <w:r w:rsidRPr="00006130">
        <w:lastRenderedPageBreak/>
        <w:t>14.</w:t>
      </w:r>
      <w:r w:rsidRPr="00006130">
        <w:tab/>
        <w:t>С другой стороны, автор не впервые совершила преступление</w:t>
      </w:r>
      <w:r w:rsidR="00482DA4">
        <w:rPr>
          <w:rStyle w:val="aa"/>
        </w:rPr>
        <w:footnoteReference w:customMarkFollows="1" w:id="20"/>
        <w:t>4</w:t>
      </w:r>
      <w:r w:rsidRPr="00006130">
        <w:t xml:space="preserve">, поскольку она была осуждена за преступные деяния, предусмотренные </w:t>
      </w:r>
      <w:r>
        <w:t>статьями </w:t>
      </w:r>
      <w:r w:rsidRPr="00006130">
        <w:t xml:space="preserve">145 (угроза убийством или причинение серьезного вреда здоровью человека или терроризирование какого-либо лица) и 290 (оскорбление государственного служащего или лица, выполняющего функции публичного </w:t>
      </w:r>
      <w:r>
        <w:t>администрирования</w:t>
      </w:r>
      <w:r w:rsidRPr="00006130">
        <w:t>) Уголовного кодекса Литвы. Было установлено, что автор направил</w:t>
      </w:r>
      <w:r>
        <w:t>а</w:t>
      </w:r>
      <w:r w:rsidRPr="00006130">
        <w:t xml:space="preserve"> прокурору несколько текстовых сообщений, угрожающих его физической неприкосновенности. Кроме того, 8</w:t>
      </w:r>
      <w:r>
        <w:t> </w:t>
      </w:r>
      <w:r w:rsidRPr="00006130">
        <w:t>мая 2013</w:t>
      </w:r>
      <w:r>
        <w:t> года</w:t>
      </w:r>
      <w:r w:rsidRPr="00006130">
        <w:t xml:space="preserve"> автор была признана виновной в предоставлении ложной информации в связи с преступлениями, предположительно совершенными против нее несколькими государственными служащими (пункт</w:t>
      </w:r>
      <w:r>
        <w:t> </w:t>
      </w:r>
      <w:r w:rsidRPr="00006130">
        <w:t>4.2). Поэтому заявление автора по данному делу следует рассматривать как препятств</w:t>
      </w:r>
      <w:r>
        <w:t>ующее</w:t>
      </w:r>
      <w:r w:rsidRPr="00006130">
        <w:t xml:space="preserve"> добросовестно</w:t>
      </w:r>
      <w:r>
        <w:t>му</w:t>
      </w:r>
      <w:r w:rsidRPr="00006130">
        <w:t xml:space="preserve"> и беспристрастно</w:t>
      </w:r>
      <w:r>
        <w:t>му</w:t>
      </w:r>
      <w:r w:rsidRPr="00006130">
        <w:t xml:space="preserve"> осуществлени</w:t>
      </w:r>
      <w:r>
        <w:t>ю</w:t>
      </w:r>
      <w:r w:rsidRPr="00006130">
        <w:t xml:space="preserve"> прокурор</w:t>
      </w:r>
      <w:r>
        <w:t>ом</w:t>
      </w:r>
      <w:r w:rsidRPr="00006130">
        <w:t xml:space="preserve"> своих функций в особо деликатном и серьезном уголовном деле, имеющем широкий общественный резонанс</w:t>
      </w:r>
      <w:r w:rsidR="00482DA4">
        <w:rPr>
          <w:rStyle w:val="aa"/>
        </w:rPr>
        <w:footnoteReference w:customMarkFollows="1" w:id="21"/>
        <w:t>5</w:t>
      </w:r>
      <w:r>
        <w:t>.</w:t>
      </w:r>
    </w:p>
    <w:p w14:paraId="4F158DF9" w14:textId="77777777" w:rsidR="00CD2FF3" w:rsidRPr="00006130" w:rsidRDefault="00CD2FF3" w:rsidP="00CD2FF3">
      <w:pPr>
        <w:pStyle w:val="SingleTxtG"/>
      </w:pPr>
      <w:r w:rsidRPr="00006130">
        <w:t>15.</w:t>
      </w:r>
      <w:r w:rsidRPr="00006130">
        <w:tab/>
        <w:t xml:space="preserve">Комитет также уделяет большое внимание тому факту, что в отношении автора сообщения было применено уголовное наказание в виде штрафа, </w:t>
      </w:r>
      <w:r>
        <w:t>который явился</w:t>
      </w:r>
      <w:r w:rsidR="00482DA4">
        <w:br/>
      </w:r>
      <w:r>
        <w:t>«</w:t>
      </w:r>
      <w:r w:rsidRPr="00006130">
        <w:t xml:space="preserve">для автора чрезмерным бременем, учитывая ее молодость и </w:t>
      </w:r>
      <w:r>
        <w:t>отсутствие у нее работы</w:t>
      </w:r>
      <w:r w:rsidRPr="00006130">
        <w:t xml:space="preserve"> в то время</w:t>
      </w:r>
      <w:r>
        <w:t>»</w:t>
      </w:r>
      <w:r w:rsidRPr="00006130">
        <w:t xml:space="preserve"> (пункт</w:t>
      </w:r>
      <w:r>
        <w:t> </w:t>
      </w:r>
      <w:r w:rsidRPr="00006130">
        <w:t>8.10). Однако в настоящих Соображениях не содержится никаких ссылок на ситуацию безработиц</w:t>
      </w:r>
      <w:r>
        <w:t xml:space="preserve">ы, в которой находилась </w:t>
      </w:r>
      <w:r w:rsidRPr="00006130">
        <w:t xml:space="preserve">автор. Кроме того, поскольку мы имеем дело с применением </w:t>
      </w:r>
      <w:r>
        <w:t>статьи </w:t>
      </w:r>
      <w:r w:rsidRPr="00006130">
        <w:t xml:space="preserve">290 Уголовного кодекса Литвы, </w:t>
      </w:r>
      <w:r>
        <w:t xml:space="preserve">то вполне </w:t>
      </w:r>
      <w:r w:rsidRPr="00006130">
        <w:t>естественно, что налагаем</w:t>
      </w:r>
      <w:r>
        <w:t>ая</w:t>
      </w:r>
      <w:r w:rsidRPr="00006130">
        <w:t xml:space="preserve"> санкци</w:t>
      </w:r>
      <w:r>
        <w:t>я</w:t>
      </w:r>
      <w:r w:rsidRPr="00006130">
        <w:t xml:space="preserve"> </w:t>
      </w:r>
      <w:r>
        <w:t xml:space="preserve">должна </w:t>
      </w:r>
      <w:r w:rsidRPr="00006130">
        <w:t>носит</w:t>
      </w:r>
      <w:r>
        <w:t>ь</w:t>
      </w:r>
      <w:r w:rsidRPr="00006130">
        <w:t xml:space="preserve"> уголовн</w:t>
      </w:r>
      <w:r>
        <w:t>о-правовой</w:t>
      </w:r>
      <w:r w:rsidRPr="00006130">
        <w:t xml:space="preserve"> характер. Однако наложенный штраф (1</w:t>
      </w:r>
      <w:r>
        <w:t> </w:t>
      </w:r>
      <w:r w:rsidRPr="00006130">
        <w:t>300</w:t>
      </w:r>
      <w:r>
        <w:t> </w:t>
      </w:r>
      <w:r w:rsidRPr="00006130">
        <w:t>литов, или приблизительно 380</w:t>
      </w:r>
      <w:r>
        <w:t> </w:t>
      </w:r>
      <w:r w:rsidRPr="00006130">
        <w:t>евро), по мнению государства-участника, является наиболее мягкой мерой наказания за данный вид преступн</w:t>
      </w:r>
      <w:r>
        <w:t>ого</w:t>
      </w:r>
      <w:r w:rsidRPr="00006130">
        <w:t xml:space="preserve"> деяни</w:t>
      </w:r>
      <w:r>
        <w:t>я</w:t>
      </w:r>
      <w:r w:rsidRPr="00006130">
        <w:t>, а также близк</w:t>
      </w:r>
      <w:r>
        <w:t>им</w:t>
      </w:r>
      <w:r w:rsidRPr="00006130">
        <w:t xml:space="preserve"> к миним</w:t>
      </w:r>
      <w:r>
        <w:t>альному размеру</w:t>
      </w:r>
      <w:r w:rsidRPr="00006130">
        <w:t>, предусмотренному соответствующими положениями закона (пункт</w:t>
      </w:r>
      <w:r>
        <w:t> </w:t>
      </w:r>
      <w:r w:rsidRPr="00006130">
        <w:t>4.6). В других странах та</w:t>
      </w:r>
      <w:r>
        <w:t>кая</w:t>
      </w:r>
      <w:r w:rsidRPr="00006130">
        <w:t xml:space="preserve"> же санкция </w:t>
      </w:r>
      <w:r>
        <w:t xml:space="preserve">могла бы быть применена за </w:t>
      </w:r>
      <w:r w:rsidRPr="00006130">
        <w:t xml:space="preserve">простое административное правонарушение. Вызывает тревогу тот аргумент, что уголовное наказание, такое как штраф, </w:t>
      </w:r>
      <w:r>
        <w:t>следует</w:t>
      </w:r>
      <w:r w:rsidRPr="00006130">
        <w:t xml:space="preserve"> рассматривать как </w:t>
      </w:r>
      <w:r>
        <w:t>«</w:t>
      </w:r>
      <w:r w:rsidRPr="00006130">
        <w:t>чрезмерное бремя</w:t>
      </w:r>
      <w:r>
        <w:t>»</w:t>
      </w:r>
      <w:r w:rsidRPr="00006130">
        <w:t xml:space="preserve"> и </w:t>
      </w:r>
      <w:r>
        <w:t xml:space="preserve">что штраф </w:t>
      </w:r>
      <w:r w:rsidRPr="00006130">
        <w:t>не долж</w:t>
      </w:r>
      <w:r>
        <w:t>ен</w:t>
      </w:r>
      <w:r w:rsidRPr="00006130">
        <w:t xml:space="preserve"> налагаться,</w:t>
      </w:r>
      <w:r w:rsidR="00482DA4">
        <w:br/>
      </w:r>
      <w:r w:rsidRPr="00006130">
        <w:t xml:space="preserve">если соответствующее лицо не в состоянии его оплатить. </w:t>
      </w:r>
      <w:r>
        <w:t xml:space="preserve">А как насчет </w:t>
      </w:r>
      <w:r w:rsidRPr="00006130">
        <w:t>сдерживающ</w:t>
      </w:r>
      <w:r>
        <w:t>его воздействия</w:t>
      </w:r>
      <w:r w:rsidRPr="00006130">
        <w:t xml:space="preserve"> уголовных санкций? Этот аргумент является особенно неуместным, поскольку пункт</w:t>
      </w:r>
      <w:r>
        <w:t> </w:t>
      </w:r>
      <w:r w:rsidRPr="00006130">
        <w:t xml:space="preserve">6 </w:t>
      </w:r>
      <w:r>
        <w:t>статьи </w:t>
      </w:r>
      <w:r w:rsidRPr="00006130">
        <w:t xml:space="preserve">47 Уголовного кодекса Литвы предусматривает, что штраф может быть заменен общественными работами, если лицо не в состоянии его </w:t>
      </w:r>
      <w:r>
        <w:t>о</w:t>
      </w:r>
      <w:r w:rsidRPr="00006130">
        <w:t xml:space="preserve">платить. Кроме того, что </w:t>
      </w:r>
      <w:r>
        <w:t>другого</w:t>
      </w:r>
      <w:r w:rsidRPr="00006130">
        <w:t xml:space="preserve"> </w:t>
      </w:r>
      <w:r>
        <w:t xml:space="preserve">от </w:t>
      </w:r>
      <w:r w:rsidRPr="00006130">
        <w:t>власт</w:t>
      </w:r>
      <w:r>
        <w:t>ей</w:t>
      </w:r>
      <w:r w:rsidRPr="00006130">
        <w:t xml:space="preserve"> </w:t>
      </w:r>
      <w:r>
        <w:t>следует ожидать, как не</w:t>
      </w:r>
      <w:r w:rsidRPr="00006130">
        <w:t xml:space="preserve"> обеспеч</w:t>
      </w:r>
      <w:r>
        <w:t xml:space="preserve">ения </w:t>
      </w:r>
      <w:r w:rsidRPr="00006130">
        <w:t>соблюдени</w:t>
      </w:r>
      <w:r>
        <w:t>я</w:t>
      </w:r>
      <w:r w:rsidRPr="00006130">
        <w:t xml:space="preserve"> соответствующего положения Уголовного кодекса? Должен </w:t>
      </w:r>
      <w:r>
        <w:t xml:space="preserve">был </w:t>
      </w:r>
      <w:r w:rsidRPr="00006130">
        <w:t>ли сам прокурор возбу</w:t>
      </w:r>
      <w:r>
        <w:t>ждать</w:t>
      </w:r>
      <w:r w:rsidRPr="00006130">
        <w:t xml:space="preserve"> гражданский иск против автора? Мы так не думаем.</w:t>
      </w:r>
    </w:p>
    <w:p w14:paraId="08F45EA7" w14:textId="77777777" w:rsidR="00CD2FF3" w:rsidRPr="00006130" w:rsidRDefault="00CD2FF3" w:rsidP="00CD2FF3">
      <w:pPr>
        <w:pStyle w:val="SingleTxtG"/>
      </w:pPr>
      <w:r w:rsidRPr="00006130">
        <w:t>16.</w:t>
      </w:r>
      <w:r w:rsidRPr="00006130">
        <w:tab/>
        <w:t xml:space="preserve">Мы также не </w:t>
      </w:r>
      <w:r>
        <w:t xml:space="preserve">считаем </w:t>
      </w:r>
      <w:r w:rsidRPr="00006130">
        <w:t>аргумент</w:t>
      </w:r>
      <w:r>
        <w:t>ом</w:t>
      </w:r>
      <w:r w:rsidRPr="00006130">
        <w:t xml:space="preserve"> последующ</w:t>
      </w:r>
      <w:r>
        <w:t>ую</w:t>
      </w:r>
      <w:r w:rsidRPr="00006130">
        <w:t xml:space="preserve"> отмен</w:t>
      </w:r>
      <w:r>
        <w:t>у</w:t>
      </w:r>
      <w:r w:rsidRPr="00006130">
        <w:t xml:space="preserve"> </w:t>
      </w:r>
      <w:r>
        <w:t>статьи </w:t>
      </w:r>
      <w:r w:rsidRPr="00006130">
        <w:t xml:space="preserve">290 Уголовного кодекса. Государство-участник пояснило, почему были внесены </w:t>
      </w:r>
      <w:r>
        <w:t xml:space="preserve">соответствующие </w:t>
      </w:r>
      <w:r w:rsidRPr="00006130">
        <w:t>изменения (пункт</w:t>
      </w:r>
      <w:r>
        <w:t> </w:t>
      </w:r>
      <w:r w:rsidRPr="00006130">
        <w:t xml:space="preserve">6.1). Как </w:t>
      </w:r>
      <w:r>
        <w:t xml:space="preserve">в </w:t>
      </w:r>
      <w:r w:rsidRPr="00006130">
        <w:t>Уголовн</w:t>
      </w:r>
      <w:r>
        <w:t>ом</w:t>
      </w:r>
      <w:r w:rsidRPr="00006130">
        <w:t xml:space="preserve"> кодекс</w:t>
      </w:r>
      <w:r>
        <w:t>е</w:t>
      </w:r>
      <w:r w:rsidRPr="00006130">
        <w:t xml:space="preserve">, так и </w:t>
      </w:r>
      <w:r>
        <w:t xml:space="preserve">в </w:t>
      </w:r>
      <w:r w:rsidRPr="00006130">
        <w:t>Кодекс</w:t>
      </w:r>
      <w:r>
        <w:t>е</w:t>
      </w:r>
      <w:r w:rsidRPr="00006130">
        <w:t xml:space="preserve"> об административных правонарушениях содержа</w:t>
      </w:r>
      <w:r>
        <w:t>лись</w:t>
      </w:r>
      <w:r w:rsidRPr="00006130">
        <w:t xml:space="preserve"> положения, касающиеся оскорбления лиц, выполняющих государственные функции. В целях гармонизации этих положений и выполнения требований принципа</w:t>
      </w:r>
      <w:r w:rsidRPr="00006130">
        <w:rPr>
          <w:i/>
          <w:iCs/>
        </w:rPr>
        <w:t xml:space="preserve"> </w:t>
      </w:r>
      <w:r w:rsidRPr="00107925">
        <w:rPr>
          <w:iCs/>
        </w:rPr>
        <w:t>ne bis in idem</w:t>
      </w:r>
      <w:r w:rsidRPr="00006130">
        <w:t xml:space="preserve"> законодательная власть решила отменить оба положения и </w:t>
      </w:r>
      <w:r>
        <w:t>предусмотреть</w:t>
      </w:r>
      <w:r w:rsidRPr="00006130">
        <w:t xml:space="preserve"> единое унифицированное положение в </w:t>
      </w:r>
      <w:r>
        <w:t>статье </w:t>
      </w:r>
      <w:r w:rsidRPr="00006130">
        <w:t>507 Кодекса об административных правонарушениях. Однако факт остается фактом: в то</w:t>
      </w:r>
      <w:r>
        <w:t xml:space="preserve"> время действовала статья </w:t>
      </w:r>
      <w:r w:rsidRPr="00006130">
        <w:t>290 Уголовного кодекса и поэтому прокуратурой должн</w:t>
      </w:r>
      <w:r>
        <w:t>а</w:t>
      </w:r>
      <w:r w:rsidRPr="00006130">
        <w:t xml:space="preserve"> </w:t>
      </w:r>
      <w:r>
        <w:t xml:space="preserve">была </w:t>
      </w:r>
      <w:r w:rsidRPr="00006130">
        <w:t xml:space="preserve">обеспечить ее исполнение, поскольку </w:t>
      </w:r>
      <w:r>
        <w:t xml:space="preserve">существующая </w:t>
      </w:r>
      <w:r w:rsidRPr="00006130">
        <w:t>в Литве система следует принципу законности и все зарегистрированные преступления подлежат расследованию.</w:t>
      </w:r>
    </w:p>
    <w:p w14:paraId="21DFF44D" w14:textId="77777777" w:rsidR="00CD2FF3" w:rsidRPr="00006130" w:rsidRDefault="00CD2FF3" w:rsidP="00CD2FF3">
      <w:pPr>
        <w:pStyle w:val="SingleTxtG"/>
      </w:pPr>
      <w:r w:rsidRPr="00006130">
        <w:t>17.</w:t>
      </w:r>
      <w:r w:rsidRPr="00006130">
        <w:tab/>
        <w:t>Поэтому в данном случае мы бы пришли к выводу, что жалоба автора является недостаточно обоснованной</w:t>
      </w:r>
      <w:r>
        <w:t>,</w:t>
      </w:r>
      <w:r w:rsidRPr="00006130">
        <w:t xml:space="preserve"> или, если бы она была сочтена приемлемой, </w:t>
      </w:r>
      <w:r>
        <w:t>заключили бы</w:t>
      </w:r>
      <w:r w:rsidRPr="00006130">
        <w:t>, что пункт</w:t>
      </w:r>
      <w:r>
        <w:t> </w:t>
      </w:r>
      <w:r w:rsidRPr="00006130">
        <w:t xml:space="preserve">2 </w:t>
      </w:r>
      <w:r>
        <w:t>статьи </w:t>
      </w:r>
      <w:r w:rsidRPr="00006130">
        <w:t>19 Пакта не был нарушен.</w:t>
      </w:r>
    </w:p>
    <w:p w14:paraId="27ABFA54" w14:textId="77777777" w:rsidR="00CD2FF3" w:rsidRPr="00006130" w:rsidRDefault="00CD2FF3" w:rsidP="00607969">
      <w:pPr>
        <w:pStyle w:val="SingleTxtG"/>
        <w:pageBreakBefore/>
      </w:pPr>
      <w:r w:rsidRPr="00006130">
        <w:lastRenderedPageBreak/>
        <w:t>18.</w:t>
      </w:r>
      <w:r w:rsidRPr="00006130">
        <w:tab/>
      </w:r>
      <w:r w:rsidRPr="005F2690">
        <w:t xml:space="preserve">В этой связи решение о </w:t>
      </w:r>
      <w:r>
        <w:t>неприемлемости</w:t>
      </w:r>
      <w:r w:rsidRPr="005F2690">
        <w:t xml:space="preserve">, принятое Комитетом на той же сессии </w:t>
      </w:r>
      <w:r w:rsidRPr="00006130">
        <w:t>(</w:t>
      </w:r>
      <w:r w:rsidRPr="00D12BCE">
        <w:rPr>
          <w:i/>
          <w:iCs/>
        </w:rPr>
        <w:t xml:space="preserve">X </w:t>
      </w:r>
      <w:r w:rsidRPr="00006130">
        <w:rPr>
          <w:i/>
          <w:iCs/>
        </w:rPr>
        <w:t>против Австралии</w:t>
      </w:r>
      <w:r w:rsidRPr="00006130">
        <w:t xml:space="preserve">, сообщение </w:t>
      </w:r>
      <w:r>
        <w:t>№ </w:t>
      </w:r>
      <w:r w:rsidRPr="00006130">
        <w:t>3580/2019), является весьма</w:t>
      </w:r>
      <w:r>
        <w:t xml:space="preserve"> поучительным</w:t>
      </w:r>
      <w:r w:rsidRPr="00006130">
        <w:t xml:space="preserve">. В </w:t>
      </w:r>
      <w:r>
        <w:t>том</w:t>
      </w:r>
      <w:r w:rsidRPr="00006130">
        <w:t xml:space="preserve"> </w:t>
      </w:r>
      <w:r>
        <w:t>деле</w:t>
      </w:r>
      <w:r w:rsidRPr="00006130">
        <w:t xml:space="preserve"> Комитет пришел к выводу, несмотря на гораздо менее оскорбительные</w:t>
      </w:r>
      <w:r>
        <w:t xml:space="preserve"> выражения</w:t>
      </w:r>
      <w:r w:rsidRPr="00006130">
        <w:t xml:space="preserve">, чем в данном случае, </w:t>
      </w:r>
      <w:r>
        <w:t xml:space="preserve">что </w:t>
      </w:r>
      <w:r w:rsidRPr="00006130">
        <w:t>информация свидетельствует о том,</w:t>
      </w:r>
      <w:r w:rsidR="00482DA4">
        <w:br/>
      </w:r>
      <w:r w:rsidRPr="00006130">
        <w:t xml:space="preserve">что принятые государством-участником меры основаны на законе и направлены на защиту </w:t>
      </w:r>
      <w:r>
        <w:t>целостности</w:t>
      </w:r>
      <w:r w:rsidRPr="00006130">
        <w:t xml:space="preserve"> судебной </w:t>
      </w:r>
      <w:r>
        <w:t>системы</w:t>
      </w:r>
      <w:r w:rsidRPr="00006130">
        <w:t xml:space="preserve"> как </w:t>
      </w:r>
      <w:r>
        <w:t xml:space="preserve">одного из </w:t>
      </w:r>
      <w:r w:rsidRPr="00006130">
        <w:t>элемент</w:t>
      </w:r>
      <w:r>
        <w:t>ов</w:t>
      </w:r>
      <w:r w:rsidRPr="00006130">
        <w:t xml:space="preserve"> общественного порядка и что санкции, назначенные автору сообщения</w:t>
      </w:r>
      <w:r w:rsidR="00482DA4">
        <w:rPr>
          <w:rStyle w:val="aa"/>
        </w:rPr>
        <w:footnoteReference w:customMarkFollows="1" w:id="22"/>
        <w:t>6</w:t>
      </w:r>
      <w:r w:rsidRPr="00006130">
        <w:t xml:space="preserve">, соразмерны </w:t>
      </w:r>
      <w:r w:rsidRPr="00E07E62">
        <w:t>служебн</w:t>
      </w:r>
      <w:r>
        <w:t>ому</w:t>
      </w:r>
      <w:r w:rsidRPr="00E07E62">
        <w:t xml:space="preserve"> проступ</w:t>
      </w:r>
      <w:r>
        <w:t>ку</w:t>
      </w:r>
      <w:r w:rsidRPr="00006130">
        <w:t>, в котором он был признан виновным.</w:t>
      </w:r>
    </w:p>
    <w:p w14:paraId="0BAF1F84" w14:textId="77777777" w:rsidR="00381C24" w:rsidRPr="00607969" w:rsidRDefault="00607969" w:rsidP="006079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07969" w:rsidSect="00D631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8013" w14:textId="77777777" w:rsidR="007905E0" w:rsidRPr="00A312BC" w:rsidRDefault="007905E0" w:rsidP="00A312BC"/>
  </w:endnote>
  <w:endnote w:type="continuationSeparator" w:id="0">
    <w:p w14:paraId="5311BD1E" w14:textId="77777777" w:rsidR="007905E0" w:rsidRPr="00A312BC" w:rsidRDefault="007905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73DF" w14:textId="2FB5F549" w:rsidR="00D631BA" w:rsidRPr="00D631BA" w:rsidRDefault="00D631BA">
    <w:pPr>
      <w:pStyle w:val="a8"/>
    </w:pPr>
    <w:r w:rsidRPr="00D631BA">
      <w:rPr>
        <w:b/>
        <w:sz w:val="18"/>
      </w:rPr>
      <w:fldChar w:fldCharType="begin"/>
    </w:r>
    <w:r w:rsidRPr="00D631BA">
      <w:rPr>
        <w:b/>
        <w:sz w:val="18"/>
      </w:rPr>
      <w:instrText xml:space="preserve"> PAGE  \* MERGEFORMAT </w:instrText>
    </w:r>
    <w:r w:rsidRPr="00D631BA">
      <w:rPr>
        <w:b/>
        <w:sz w:val="18"/>
      </w:rPr>
      <w:fldChar w:fldCharType="separate"/>
    </w:r>
    <w:r w:rsidR="00FB47FC">
      <w:rPr>
        <w:b/>
        <w:noProof/>
        <w:sz w:val="18"/>
      </w:rPr>
      <w:t>16</w:t>
    </w:r>
    <w:r w:rsidRPr="00D631BA">
      <w:rPr>
        <w:b/>
        <w:sz w:val="18"/>
      </w:rPr>
      <w:fldChar w:fldCharType="end"/>
    </w:r>
    <w:r>
      <w:rPr>
        <w:b/>
        <w:sz w:val="18"/>
      </w:rPr>
      <w:tab/>
    </w:r>
    <w:r>
      <w:t>GE.19-16434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AB85" w14:textId="0CDBEF40" w:rsidR="00D631BA" w:rsidRPr="00D631BA" w:rsidRDefault="00D631BA" w:rsidP="00D631BA">
    <w:pPr>
      <w:pStyle w:val="a8"/>
      <w:tabs>
        <w:tab w:val="clear" w:pos="9639"/>
        <w:tab w:val="right" w:pos="9638"/>
      </w:tabs>
      <w:rPr>
        <w:b/>
        <w:sz w:val="18"/>
      </w:rPr>
    </w:pPr>
    <w:r>
      <w:t>GE.19-16434</w:t>
    </w:r>
    <w:r>
      <w:tab/>
    </w:r>
    <w:r w:rsidRPr="00D631BA">
      <w:rPr>
        <w:b/>
        <w:sz w:val="18"/>
      </w:rPr>
      <w:fldChar w:fldCharType="begin"/>
    </w:r>
    <w:r w:rsidRPr="00D631BA">
      <w:rPr>
        <w:b/>
        <w:sz w:val="18"/>
      </w:rPr>
      <w:instrText xml:space="preserve"> PAGE  \* MERGEFORMAT </w:instrText>
    </w:r>
    <w:r w:rsidRPr="00D631BA">
      <w:rPr>
        <w:b/>
        <w:sz w:val="18"/>
      </w:rPr>
      <w:fldChar w:fldCharType="separate"/>
    </w:r>
    <w:r w:rsidR="00FB47FC">
      <w:rPr>
        <w:b/>
        <w:noProof/>
        <w:sz w:val="18"/>
      </w:rPr>
      <w:t>17</w:t>
    </w:r>
    <w:r w:rsidRPr="00D631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DE53" w14:textId="30A045C0" w:rsidR="00042B72" w:rsidRPr="00D631BA" w:rsidRDefault="00D631BA" w:rsidP="00D631B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D9E7DEB" wp14:editId="445190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16434  (</w:t>
    </w:r>
    <w:proofErr w:type="gramEnd"/>
    <w:r>
      <w:t>R)</w:t>
    </w:r>
    <w:r w:rsidR="00D234F6">
      <w:rPr>
        <w:lang w:val="en-US"/>
      </w:rPr>
      <w:t xml:space="preserve">  161219  17</w:t>
    </w:r>
    <w:r>
      <w:rPr>
        <w:lang w:val="en-US"/>
      </w:rPr>
      <w:t>1219</w:t>
    </w:r>
    <w:r>
      <w:br/>
    </w:r>
    <w:r w:rsidRPr="00D631BA">
      <w:rPr>
        <w:rFonts w:ascii="C39T30Lfz" w:hAnsi="C39T30Lfz"/>
        <w:kern w:val="14"/>
        <w:sz w:val="56"/>
      </w:rPr>
      <w:t></w:t>
    </w:r>
    <w:r w:rsidRPr="00D631BA">
      <w:rPr>
        <w:rFonts w:ascii="C39T30Lfz" w:hAnsi="C39T30Lfz"/>
        <w:kern w:val="14"/>
        <w:sz w:val="56"/>
      </w:rPr>
      <w:t></w:t>
    </w:r>
    <w:r w:rsidRPr="00D631BA">
      <w:rPr>
        <w:rFonts w:ascii="C39T30Lfz" w:hAnsi="C39T30Lfz"/>
        <w:kern w:val="14"/>
        <w:sz w:val="56"/>
      </w:rPr>
      <w:t></w:t>
    </w:r>
    <w:r w:rsidRPr="00D631BA">
      <w:rPr>
        <w:rFonts w:ascii="C39T30Lfz" w:hAnsi="C39T30Lfz"/>
        <w:kern w:val="14"/>
        <w:sz w:val="56"/>
      </w:rPr>
      <w:t></w:t>
    </w:r>
    <w:r w:rsidRPr="00D631BA">
      <w:rPr>
        <w:rFonts w:ascii="C39T30Lfz" w:hAnsi="C39T30Lfz"/>
        <w:kern w:val="14"/>
        <w:sz w:val="56"/>
      </w:rPr>
      <w:t></w:t>
    </w:r>
    <w:r w:rsidRPr="00D631BA">
      <w:rPr>
        <w:rFonts w:ascii="C39T30Lfz" w:hAnsi="C39T30Lfz"/>
        <w:kern w:val="14"/>
        <w:sz w:val="56"/>
      </w:rPr>
      <w:t></w:t>
    </w:r>
    <w:r w:rsidRPr="00D631BA">
      <w:rPr>
        <w:rFonts w:ascii="C39T30Lfz" w:hAnsi="C39T30Lfz"/>
        <w:kern w:val="14"/>
        <w:sz w:val="56"/>
      </w:rPr>
      <w:t></w:t>
    </w:r>
    <w:r w:rsidRPr="00D631BA">
      <w:rPr>
        <w:rFonts w:ascii="C39T30Lfz" w:hAnsi="C39T30Lfz"/>
        <w:kern w:val="14"/>
        <w:sz w:val="56"/>
      </w:rPr>
      <w:t></w:t>
    </w:r>
    <w:r w:rsidRPr="00D631B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1FF4E2" wp14:editId="4D0238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CCPR/C/126/D/2716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716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E569" w14:textId="77777777" w:rsidR="007905E0" w:rsidRPr="001075E9" w:rsidRDefault="007905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762B0E" w14:textId="77777777" w:rsidR="007905E0" w:rsidRDefault="007905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49DAE0" w14:textId="77777777" w:rsidR="00D631BA" w:rsidRPr="00C3741A" w:rsidRDefault="00D631BA" w:rsidP="00D631BA">
      <w:pPr>
        <w:pStyle w:val="ad"/>
      </w:pPr>
      <w:r>
        <w:tab/>
      </w:r>
      <w:r w:rsidRPr="00D631BA">
        <w:rPr>
          <w:rStyle w:val="aa"/>
          <w:vertAlign w:val="baseline"/>
        </w:rPr>
        <w:t>*</w:t>
      </w:r>
      <w:r w:rsidRPr="00D631BA">
        <w:tab/>
      </w:r>
      <w:r w:rsidRPr="00C3741A">
        <w:t>Приняты Комитетом на его 126-й сессии (1–26</w:t>
      </w:r>
      <w:r>
        <w:t> </w:t>
      </w:r>
      <w:r w:rsidRPr="00C3741A">
        <w:t>июля 2019</w:t>
      </w:r>
      <w:r>
        <w:t> </w:t>
      </w:r>
      <w:r w:rsidRPr="00C3741A">
        <w:t>года).</w:t>
      </w:r>
    </w:p>
  </w:footnote>
  <w:footnote w:id="2">
    <w:p w14:paraId="515EAB60" w14:textId="77777777" w:rsidR="00D631BA" w:rsidRPr="00866010" w:rsidRDefault="00D631BA" w:rsidP="00D631BA">
      <w:pPr>
        <w:pStyle w:val="ad"/>
      </w:pPr>
      <w:r>
        <w:tab/>
      </w:r>
      <w:r w:rsidRPr="00D631BA">
        <w:rPr>
          <w:rStyle w:val="aa"/>
          <w:vertAlign w:val="baseline"/>
        </w:rPr>
        <w:t>**</w:t>
      </w:r>
      <w:r w:rsidRPr="00D631BA">
        <w:tab/>
      </w:r>
      <w:r w:rsidRPr="00866010">
        <w:t>В рассмотрении настоящего сообщения принимали участие следующие члены Комитета: Танья</w:t>
      </w:r>
      <w:r>
        <w:rPr>
          <w:lang w:val="fr-CH"/>
        </w:rPr>
        <w:t> </w:t>
      </w:r>
      <w:r w:rsidRPr="00866010">
        <w:t>Мария</w:t>
      </w:r>
      <w:r>
        <w:rPr>
          <w:lang w:val="fr-CH"/>
        </w:rPr>
        <w:t> </w:t>
      </w:r>
      <w:r w:rsidRPr="00866010">
        <w:t>Абдо</w:t>
      </w:r>
      <w:r>
        <w:rPr>
          <w:lang w:val="fr-CH"/>
        </w:rPr>
        <w:t> </w:t>
      </w:r>
      <w:r w:rsidRPr="00866010">
        <w:t>Рочоль, Ариф</w:t>
      </w:r>
      <w:r>
        <w:rPr>
          <w:lang w:val="fr-CH"/>
        </w:rPr>
        <w:t> </w:t>
      </w:r>
      <w:r w:rsidRPr="00866010">
        <w:t>Балкан, Яд</w:t>
      </w:r>
      <w:r>
        <w:rPr>
          <w:lang w:val="fr-CH"/>
        </w:rPr>
        <w:t> </w:t>
      </w:r>
      <w:r w:rsidRPr="00866010">
        <w:t>Бен</w:t>
      </w:r>
      <w:r>
        <w:rPr>
          <w:lang w:val="fr-CH"/>
        </w:rPr>
        <w:t> </w:t>
      </w:r>
      <w:r w:rsidRPr="00866010">
        <w:t>Ашур, Илзе</w:t>
      </w:r>
      <w:r>
        <w:rPr>
          <w:lang w:val="fr-CH"/>
        </w:rPr>
        <w:t> </w:t>
      </w:r>
      <w:r w:rsidRPr="00866010">
        <w:t>Брандс</w:t>
      </w:r>
      <w:r>
        <w:rPr>
          <w:lang w:val="fr-CH"/>
        </w:rPr>
        <w:t> </w:t>
      </w:r>
      <w:r w:rsidRPr="00866010">
        <w:t>Кехрис, Гентиан</w:t>
      </w:r>
      <w:r>
        <w:t> </w:t>
      </w:r>
      <w:r w:rsidRPr="00866010">
        <w:t>Зюбери</w:t>
      </w:r>
      <w:r>
        <w:t>,</w:t>
      </w:r>
      <w:r w:rsidRPr="00866010">
        <w:t xml:space="preserve"> Эрнан</w:t>
      </w:r>
      <w:r>
        <w:t> </w:t>
      </w:r>
      <w:r w:rsidRPr="00866010">
        <w:t>Кесада</w:t>
      </w:r>
      <w:r>
        <w:t> </w:t>
      </w:r>
      <w:r w:rsidRPr="00866010">
        <w:t>Кабрера, Бамариам</w:t>
      </w:r>
      <w:r>
        <w:rPr>
          <w:lang w:val="fr-CH"/>
        </w:rPr>
        <w:t> </w:t>
      </w:r>
      <w:r w:rsidRPr="00866010">
        <w:t>Койта, Данкан</w:t>
      </w:r>
      <w:r>
        <w:rPr>
          <w:lang w:val="fr-CH"/>
        </w:rPr>
        <w:t> </w:t>
      </w:r>
      <w:r w:rsidRPr="00866010">
        <w:t>Лаки</w:t>
      </w:r>
      <w:r>
        <w:rPr>
          <w:lang w:val="fr-CH"/>
        </w:rPr>
        <w:t> </w:t>
      </w:r>
      <w:r w:rsidRPr="00866010">
        <w:t>Мухумуза, Фотини</w:t>
      </w:r>
      <w:r>
        <w:rPr>
          <w:lang w:val="fr-CH"/>
        </w:rPr>
        <w:t> </w:t>
      </w:r>
      <w:r w:rsidRPr="00866010">
        <w:t>Пазардзис, Жозе</w:t>
      </w:r>
      <w:r>
        <w:t> </w:t>
      </w:r>
      <w:r w:rsidRPr="00866010">
        <w:t>Мануэл</w:t>
      </w:r>
      <w:r>
        <w:t> </w:t>
      </w:r>
      <w:r w:rsidRPr="00866010">
        <w:t>Сантуш</w:t>
      </w:r>
      <w:r>
        <w:t> </w:t>
      </w:r>
      <w:r w:rsidRPr="00866010">
        <w:t>Паиш, Василька</w:t>
      </w:r>
      <w:r>
        <w:t> </w:t>
      </w:r>
      <w:r w:rsidRPr="00866010">
        <w:t>Санцин, Элен</w:t>
      </w:r>
      <w:r>
        <w:t> </w:t>
      </w:r>
      <w:r w:rsidRPr="00866010">
        <w:t>Тигруджа, Ахмед</w:t>
      </w:r>
      <w:r>
        <w:rPr>
          <w:lang w:val="fr-CH"/>
        </w:rPr>
        <w:t> </w:t>
      </w:r>
      <w:r w:rsidRPr="00866010">
        <w:t>Амин</w:t>
      </w:r>
      <w:r>
        <w:rPr>
          <w:lang w:val="fr-CH"/>
        </w:rPr>
        <w:t> </w:t>
      </w:r>
      <w:r w:rsidRPr="00866010">
        <w:t>Фатхалла, Сюити</w:t>
      </w:r>
      <w:r>
        <w:rPr>
          <w:lang w:val="fr-CH"/>
        </w:rPr>
        <w:t> </w:t>
      </w:r>
      <w:r w:rsidRPr="00866010">
        <w:t>Фуруя, Кристоф</w:t>
      </w:r>
      <w:r>
        <w:rPr>
          <w:lang w:val="fr-CH"/>
        </w:rPr>
        <w:t> </w:t>
      </w:r>
      <w:r w:rsidRPr="00866010">
        <w:t>Хейнс, Андреас</w:t>
      </w:r>
      <w:r>
        <w:t> </w:t>
      </w:r>
      <w:r w:rsidRPr="00866010">
        <w:t>Циммерман</w:t>
      </w:r>
      <w:r w:rsidRPr="00B43EAD">
        <w:t xml:space="preserve"> </w:t>
      </w:r>
      <w:r>
        <w:t xml:space="preserve">и </w:t>
      </w:r>
      <w:r w:rsidRPr="00866010">
        <w:t>Юваль</w:t>
      </w:r>
      <w:r>
        <w:t> </w:t>
      </w:r>
      <w:r w:rsidRPr="00866010">
        <w:t>Шани.</w:t>
      </w:r>
      <w:r>
        <w:t xml:space="preserve"> </w:t>
      </w:r>
      <w:r w:rsidRPr="00281066">
        <w:t>В соответствии с правилом</w:t>
      </w:r>
      <w:r>
        <w:t> </w:t>
      </w:r>
      <w:r w:rsidRPr="00281066">
        <w:t xml:space="preserve">108 правил процедуры Комитета </w:t>
      </w:r>
      <w:r w:rsidRPr="006C0374">
        <w:t>Марси</w:t>
      </w:r>
      <w:r>
        <w:t>я</w:t>
      </w:r>
      <w:r>
        <w:rPr>
          <w:lang w:val="fr-CH"/>
        </w:rPr>
        <w:t> </w:t>
      </w:r>
      <w:r w:rsidRPr="006C0374">
        <w:t>В.</w:t>
      </w:r>
      <w:r>
        <w:rPr>
          <w:lang w:val="fr-CH"/>
        </w:rPr>
        <w:t> </w:t>
      </w:r>
      <w:r w:rsidRPr="006C0374">
        <w:t>Дж.</w:t>
      </w:r>
      <w:r>
        <w:rPr>
          <w:lang w:val="fr-CH"/>
        </w:rPr>
        <w:t> </w:t>
      </w:r>
      <w:r w:rsidRPr="006C0374">
        <w:t>Кран</w:t>
      </w:r>
      <w:r w:rsidRPr="00281066">
        <w:t xml:space="preserve"> в рассмотрении </w:t>
      </w:r>
      <w:r w:rsidRPr="009866E0">
        <w:t xml:space="preserve">настоящего </w:t>
      </w:r>
      <w:r w:rsidRPr="00281066">
        <w:t>сообщения не участвовал</w:t>
      </w:r>
      <w:r>
        <w:t>а.</w:t>
      </w:r>
    </w:p>
  </w:footnote>
  <w:footnote w:id="3">
    <w:p w14:paraId="37E16036" w14:textId="77777777" w:rsidR="00D631BA" w:rsidRPr="006C0374" w:rsidRDefault="00D631BA" w:rsidP="00D631BA">
      <w:pPr>
        <w:pStyle w:val="ad"/>
        <w:spacing w:after="240"/>
      </w:pPr>
      <w:r>
        <w:tab/>
      </w:r>
      <w:r w:rsidRPr="00D631BA">
        <w:rPr>
          <w:rStyle w:val="aa"/>
          <w:vertAlign w:val="baseline"/>
        </w:rPr>
        <w:t>***</w:t>
      </w:r>
      <w:r w:rsidRPr="00D631BA">
        <w:tab/>
      </w:r>
      <w:r w:rsidRPr="005B38F9">
        <w:t>К настоящим Соображениям прилагается особое мнение (несогласное)</w:t>
      </w:r>
      <w:r>
        <w:t xml:space="preserve"> </w:t>
      </w:r>
      <w:r w:rsidRPr="005B38F9">
        <w:t>членов Комитета</w:t>
      </w:r>
      <w:bookmarkStart w:id="0" w:name="_Hlk27057635"/>
      <w:r w:rsidR="00CD2FF3">
        <w:br/>
      </w:r>
      <w:r>
        <w:t>Ж</w:t>
      </w:r>
      <w:r w:rsidRPr="005B38F9">
        <w:t>о</w:t>
      </w:r>
      <w:r>
        <w:t>з</w:t>
      </w:r>
      <w:r w:rsidRPr="005B38F9">
        <w:t>е Мануэл</w:t>
      </w:r>
      <w:r>
        <w:t>а</w:t>
      </w:r>
      <w:r w:rsidRPr="005B38F9">
        <w:t xml:space="preserve"> Сантуша Паи</w:t>
      </w:r>
      <w:r w:rsidR="00CD2FF3">
        <w:t>ш</w:t>
      </w:r>
      <w:r w:rsidRPr="005B38F9">
        <w:t>а и Яда Бен А</w:t>
      </w:r>
      <w:r>
        <w:t>ш</w:t>
      </w:r>
      <w:r w:rsidRPr="005B38F9">
        <w:t>ура</w:t>
      </w:r>
      <w:bookmarkEnd w:id="0"/>
      <w:r w:rsidRPr="005B38F9">
        <w:t>.</w:t>
      </w:r>
    </w:p>
  </w:footnote>
  <w:footnote w:id="4">
    <w:p w14:paraId="5C34C564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>Пункт</w:t>
      </w:r>
      <w:r>
        <w:t> </w:t>
      </w:r>
      <w:r w:rsidRPr="00006130">
        <w:t>5</w:t>
      </w:r>
      <w:r>
        <w:t> </w:t>
      </w:r>
      <w:r w:rsidRPr="00006130">
        <w:t>(2) статьи</w:t>
      </w:r>
      <w:r>
        <w:t> </w:t>
      </w:r>
      <w:r w:rsidRPr="00006130">
        <w:t xml:space="preserve">4 Закона </w:t>
      </w:r>
      <w:r>
        <w:t>«</w:t>
      </w:r>
      <w:r w:rsidRPr="00006130">
        <w:t>О гражданской службе</w:t>
      </w:r>
      <w:r w:rsidRPr="00A86D5B">
        <w:t xml:space="preserve"> </w:t>
      </w:r>
      <w:r w:rsidRPr="00006130">
        <w:t>Литвы</w:t>
      </w:r>
      <w:r>
        <w:t>»</w:t>
      </w:r>
      <w:r w:rsidRPr="00006130">
        <w:t xml:space="preserve"> прямо предусматривает,</w:t>
      </w:r>
      <w:r w:rsidR="00482DA4">
        <w:br/>
      </w:r>
      <w:r w:rsidRPr="00006130">
        <w:t xml:space="preserve">что он не применяется к прокурорам. </w:t>
      </w:r>
      <w:r w:rsidRPr="00006130">
        <w:rPr>
          <w:bCs/>
          <w:lang w:eastAsia="en-GB"/>
        </w:rPr>
        <w:t>Деятельность прокуроров регулируется отдельным законом, а именно Законом о прокуратуре.</w:t>
      </w:r>
    </w:p>
  </w:footnote>
  <w:footnote w:id="5">
    <w:p w14:paraId="6F857BFF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>Цель этого положения указана в названии главы</w:t>
      </w:r>
      <w:r>
        <w:t> XLI</w:t>
      </w:r>
      <w:r w:rsidRPr="00006130">
        <w:t xml:space="preserve"> Уголовного кодекса Литвы.</w:t>
      </w:r>
    </w:p>
  </w:footnote>
  <w:footnote w:id="6">
    <w:p w14:paraId="6EF2CA56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3F61C4">
        <w:rPr>
          <w:rStyle w:val="aa"/>
        </w:rPr>
        <w:tab/>
      </w:r>
      <w:r w:rsidRPr="00482DA4">
        <w:rPr>
          <w:rStyle w:val="aa"/>
          <w:vertAlign w:val="baseline"/>
        </w:rPr>
        <w:t>Автор ссылается, в частности,</w:t>
      </w:r>
      <w:r w:rsidRPr="003F61C4">
        <w:t xml:space="preserve"> </w:t>
      </w:r>
      <w:r>
        <w:t>на</w:t>
      </w:r>
      <w:r w:rsidRPr="003F61C4">
        <w:t xml:space="preserve"> </w:t>
      </w:r>
      <w:r w:rsidRPr="00F3131C">
        <w:rPr>
          <w:i/>
        </w:rPr>
        <w:t>Бодрожич</w:t>
      </w:r>
      <w:r w:rsidRPr="003F61C4">
        <w:rPr>
          <w:i/>
        </w:rPr>
        <w:t xml:space="preserve"> </w:t>
      </w:r>
      <w:r w:rsidRPr="00F3131C">
        <w:rPr>
          <w:i/>
        </w:rPr>
        <w:t>против</w:t>
      </w:r>
      <w:r w:rsidRPr="003F61C4">
        <w:rPr>
          <w:i/>
        </w:rPr>
        <w:t xml:space="preserve"> </w:t>
      </w:r>
      <w:r w:rsidRPr="00F3131C">
        <w:rPr>
          <w:i/>
        </w:rPr>
        <w:t>Сербии</w:t>
      </w:r>
      <w:r w:rsidRPr="003F61C4">
        <w:rPr>
          <w:i/>
        </w:rPr>
        <w:t xml:space="preserve"> </w:t>
      </w:r>
      <w:r w:rsidRPr="00F3131C">
        <w:rPr>
          <w:i/>
        </w:rPr>
        <w:t>и</w:t>
      </w:r>
      <w:r w:rsidRPr="003F61C4">
        <w:rPr>
          <w:i/>
        </w:rPr>
        <w:t xml:space="preserve"> </w:t>
      </w:r>
      <w:r w:rsidRPr="00F3131C">
        <w:rPr>
          <w:i/>
        </w:rPr>
        <w:t>Черногории</w:t>
      </w:r>
      <w:r w:rsidRPr="003F61C4">
        <w:rPr>
          <w:rStyle w:val="aa"/>
        </w:rPr>
        <w:t xml:space="preserve"> </w:t>
      </w:r>
      <w:r w:rsidRPr="003F61C4">
        <w:rPr>
          <w:iCs/>
        </w:rPr>
        <w:t>(</w:t>
      </w:r>
      <w:r w:rsidRPr="00726AB1">
        <w:t>CCPR</w:t>
      </w:r>
      <w:r w:rsidRPr="003F61C4">
        <w:t>/</w:t>
      </w:r>
      <w:r w:rsidRPr="00726AB1">
        <w:t>C</w:t>
      </w:r>
      <w:r w:rsidRPr="003F61C4">
        <w:t>/85/</w:t>
      </w:r>
      <w:r w:rsidRPr="00726AB1">
        <w:t>D</w:t>
      </w:r>
      <w:r w:rsidRPr="003F61C4">
        <w:t xml:space="preserve">/1180/2003), </w:t>
      </w:r>
      <w:r w:rsidRPr="00006130">
        <w:t>пункт</w:t>
      </w:r>
      <w:r w:rsidRPr="00F3131C">
        <w:t> </w:t>
      </w:r>
      <w:r w:rsidRPr="003F61C4">
        <w:t xml:space="preserve">7.2; </w:t>
      </w:r>
      <w:r w:rsidRPr="00006130">
        <w:t>и</w:t>
      </w:r>
      <w:r w:rsidRPr="003F61C4">
        <w:t xml:space="preserve"> </w:t>
      </w:r>
      <w:r>
        <w:t>на</w:t>
      </w:r>
      <w:r w:rsidRPr="003F61C4">
        <w:t xml:space="preserve"> </w:t>
      </w:r>
      <w:r w:rsidRPr="00F3131C">
        <w:rPr>
          <w:lang w:val="ru"/>
        </w:rPr>
        <w:t>Европейский суд по правам человека</w:t>
      </w:r>
      <w:r w:rsidRPr="003F61C4">
        <w:t xml:space="preserve">, </w:t>
      </w:r>
      <w:r w:rsidRPr="00C4275D">
        <w:rPr>
          <w:i/>
        </w:rPr>
        <w:t xml:space="preserve">Лингенс против Австрии </w:t>
      </w:r>
      <w:r>
        <w:t>(</w:t>
      </w:r>
      <w:r w:rsidRPr="00D12BCE">
        <w:rPr>
          <w:i/>
        </w:rPr>
        <w:t>Lingens v. Austria</w:t>
      </w:r>
      <w:r w:rsidRPr="00C4275D">
        <w:t>)</w:t>
      </w:r>
      <w:r w:rsidRPr="003F61C4">
        <w:t xml:space="preserve"> (</w:t>
      </w:r>
      <w:r>
        <w:t>жалоба № </w:t>
      </w:r>
      <w:r w:rsidRPr="003F61C4">
        <w:t xml:space="preserve">9815/82), </w:t>
      </w:r>
      <w:r w:rsidRPr="003F61C4">
        <w:rPr>
          <w:lang w:val="ru"/>
        </w:rPr>
        <w:t>8</w:t>
      </w:r>
      <w:r>
        <w:rPr>
          <w:lang w:val="ru"/>
        </w:rPr>
        <w:t> </w:t>
      </w:r>
      <w:r w:rsidRPr="00F3131C">
        <w:rPr>
          <w:lang w:val="ru"/>
        </w:rPr>
        <w:t>июля</w:t>
      </w:r>
      <w:r>
        <w:rPr>
          <w:lang w:val="ru"/>
        </w:rPr>
        <w:t xml:space="preserve"> </w:t>
      </w:r>
      <w:r w:rsidRPr="003F61C4">
        <w:rPr>
          <w:lang w:val="ru"/>
        </w:rPr>
        <w:t>1986</w:t>
      </w:r>
      <w:r>
        <w:rPr>
          <w:lang w:val="ru"/>
        </w:rPr>
        <w:t> </w:t>
      </w:r>
      <w:r w:rsidRPr="003F61C4">
        <w:rPr>
          <w:lang w:val="ru"/>
        </w:rPr>
        <w:t>года,</w:t>
      </w:r>
      <w:r>
        <w:rPr>
          <w:lang w:val="ru"/>
        </w:rPr>
        <w:t xml:space="preserve"> пункт </w:t>
      </w:r>
      <w:r w:rsidRPr="00B26C3B">
        <w:t xml:space="preserve">42; </w:t>
      </w:r>
      <w:r w:rsidRPr="00C4275D">
        <w:rPr>
          <w:i/>
        </w:rPr>
        <w:t xml:space="preserve">Дюндин против России </w:t>
      </w:r>
      <w:r>
        <w:t>(</w:t>
      </w:r>
      <w:r w:rsidRPr="00764B44">
        <w:rPr>
          <w:i/>
        </w:rPr>
        <w:t>Dyundin</w:t>
      </w:r>
      <w:r w:rsidRPr="00B26C3B">
        <w:rPr>
          <w:i/>
        </w:rPr>
        <w:t xml:space="preserve"> </w:t>
      </w:r>
      <w:r w:rsidRPr="00764B44">
        <w:rPr>
          <w:i/>
        </w:rPr>
        <w:t>v</w:t>
      </w:r>
      <w:r w:rsidRPr="00B26C3B">
        <w:rPr>
          <w:i/>
        </w:rPr>
        <w:t xml:space="preserve">. </w:t>
      </w:r>
      <w:r w:rsidRPr="00764B44">
        <w:rPr>
          <w:i/>
        </w:rPr>
        <w:t>Russia</w:t>
      </w:r>
      <w:r>
        <w:t>)</w:t>
      </w:r>
      <w:r w:rsidRPr="00B26C3B">
        <w:t xml:space="preserve"> (</w:t>
      </w:r>
      <w:r>
        <w:t>жалоба № </w:t>
      </w:r>
      <w:r w:rsidRPr="00B26C3B">
        <w:t xml:space="preserve">37406/03), </w:t>
      </w:r>
      <w:r w:rsidRPr="00B26C3B">
        <w:rPr>
          <w:lang w:val="ru"/>
        </w:rPr>
        <w:t>14</w:t>
      </w:r>
      <w:r>
        <w:rPr>
          <w:lang w:val="ru"/>
        </w:rPr>
        <w:t> </w:t>
      </w:r>
      <w:r w:rsidRPr="00F3131C">
        <w:rPr>
          <w:lang w:val="ru"/>
        </w:rPr>
        <w:t>октября</w:t>
      </w:r>
      <w:r w:rsidRPr="00B26C3B">
        <w:rPr>
          <w:lang w:val="ru"/>
        </w:rPr>
        <w:t xml:space="preserve"> 2008</w:t>
      </w:r>
      <w:r>
        <w:rPr>
          <w:lang w:val="ru"/>
        </w:rPr>
        <w:t> </w:t>
      </w:r>
      <w:r w:rsidRPr="00B26C3B">
        <w:rPr>
          <w:lang w:val="ru"/>
        </w:rPr>
        <w:t>года</w:t>
      </w:r>
      <w:r w:rsidRPr="00B26C3B">
        <w:t xml:space="preserve">, </w:t>
      </w:r>
      <w:r>
        <w:rPr>
          <w:lang w:val="ru"/>
        </w:rPr>
        <w:t>пункт </w:t>
      </w:r>
      <w:r w:rsidRPr="00B26C3B">
        <w:t xml:space="preserve">26; </w:t>
      </w:r>
      <w:r w:rsidRPr="0079126C">
        <w:rPr>
          <w:i/>
        </w:rPr>
        <w:t xml:space="preserve">Тома против Люксембурга </w:t>
      </w:r>
      <w:r>
        <w:t>(</w:t>
      </w:r>
      <w:r w:rsidRPr="00764B44">
        <w:rPr>
          <w:i/>
        </w:rPr>
        <w:t>Thoma</w:t>
      </w:r>
      <w:r w:rsidRPr="00B26C3B">
        <w:rPr>
          <w:i/>
        </w:rPr>
        <w:t xml:space="preserve"> </w:t>
      </w:r>
      <w:r w:rsidRPr="00764B44">
        <w:rPr>
          <w:i/>
        </w:rPr>
        <w:t>v</w:t>
      </w:r>
      <w:r w:rsidRPr="00B26C3B">
        <w:rPr>
          <w:i/>
        </w:rPr>
        <w:t xml:space="preserve">. </w:t>
      </w:r>
      <w:r w:rsidRPr="00764B44">
        <w:rPr>
          <w:i/>
        </w:rPr>
        <w:t>Luxembourg</w:t>
      </w:r>
      <w:r>
        <w:t>)</w:t>
      </w:r>
      <w:r w:rsidRPr="00B26C3B">
        <w:t xml:space="preserve"> (</w:t>
      </w:r>
      <w:r>
        <w:t>жалоба № </w:t>
      </w:r>
      <w:r w:rsidRPr="00B26C3B">
        <w:t xml:space="preserve">38432/97), </w:t>
      </w:r>
      <w:r w:rsidRPr="00B26C3B">
        <w:rPr>
          <w:lang w:val="ru"/>
        </w:rPr>
        <w:t>29</w:t>
      </w:r>
      <w:r>
        <w:rPr>
          <w:lang w:val="ru"/>
        </w:rPr>
        <w:t> </w:t>
      </w:r>
      <w:r w:rsidRPr="00F3131C">
        <w:rPr>
          <w:lang w:val="ru"/>
        </w:rPr>
        <w:t>марта</w:t>
      </w:r>
      <w:r>
        <w:rPr>
          <w:lang w:val="ru"/>
        </w:rPr>
        <w:t xml:space="preserve"> </w:t>
      </w:r>
      <w:r w:rsidRPr="00B26C3B">
        <w:rPr>
          <w:lang w:val="ru"/>
        </w:rPr>
        <w:t>2001</w:t>
      </w:r>
      <w:r>
        <w:rPr>
          <w:lang w:val="ru"/>
        </w:rPr>
        <w:t> </w:t>
      </w:r>
      <w:r w:rsidRPr="00B26C3B">
        <w:rPr>
          <w:lang w:val="ru"/>
        </w:rPr>
        <w:t>года</w:t>
      </w:r>
      <w:r w:rsidRPr="00B26C3B">
        <w:t xml:space="preserve">, </w:t>
      </w:r>
      <w:r>
        <w:rPr>
          <w:lang w:val="ru"/>
        </w:rPr>
        <w:t>пункт </w:t>
      </w:r>
      <w:r w:rsidRPr="00F3131C">
        <w:t xml:space="preserve">47; </w:t>
      </w:r>
      <w:r>
        <w:t>и</w:t>
      </w:r>
      <w:r w:rsidRPr="00F3131C">
        <w:t xml:space="preserve"> </w:t>
      </w:r>
      <w:r w:rsidRPr="0079126C">
        <w:rPr>
          <w:i/>
        </w:rPr>
        <w:t xml:space="preserve">Никула против Финляндии </w:t>
      </w:r>
      <w:r>
        <w:t>(</w:t>
      </w:r>
      <w:r w:rsidRPr="003F61C4">
        <w:rPr>
          <w:i/>
        </w:rPr>
        <w:t>Nikula v. Finland</w:t>
      </w:r>
      <w:r>
        <w:t>)</w:t>
      </w:r>
      <w:r w:rsidRPr="00F3131C">
        <w:t xml:space="preserve"> (</w:t>
      </w:r>
      <w:r>
        <w:t>жалоба № </w:t>
      </w:r>
      <w:r w:rsidRPr="00F3131C">
        <w:t xml:space="preserve">31611/96), </w:t>
      </w:r>
      <w:r w:rsidRPr="00F3131C">
        <w:rPr>
          <w:lang w:val="ru"/>
        </w:rPr>
        <w:t>21</w:t>
      </w:r>
      <w:r>
        <w:rPr>
          <w:lang w:val="ru"/>
        </w:rPr>
        <w:t> </w:t>
      </w:r>
      <w:r w:rsidRPr="00F3131C">
        <w:rPr>
          <w:lang w:val="ru"/>
        </w:rPr>
        <w:t>марта 2002</w:t>
      </w:r>
      <w:r>
        <w:rPr>
          <w:lang w:val="ru"/>
        </w:rPr>
        <w:t> </w:t>
      </w:r>
      <w:r w:rsidRPr="00F3131C">
        <w:rPr>
          <w:lang w:val="ru"/>
        </w:rPr>
        <w:t>года</w:t>
      </w:r>
      <w:r w:rsidRPr="00F3131C">
        <w:t xml:space="preserve">, </w:t>
      </w:r>
      <w:r>
        <w:rPr>
          <w:lang w:val="ru"/>
        </w:rPr>
        <w:t>пункт </w:t>
      </w:r>
      <w:r w:rsidRPr="00F3131C">
        <w:t>48.</w:t>
      </w:r>
    </w:p>
  </w:footnote>
  <w:footnote w:id="7">
    <w:p w14:paraId="73494A3D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>Государство-участник представило свои замечания относительно приемлемости сообщения; однако некоторые из его аргументов тесно связаны с существом дела.</w:t>
      </w:r>
    </w:p>
  </w:footnote>
  <w:footnote w:id="8">
    <w:p w14:paraId="5DB1EFE2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 xml:space="preserve">Этим аргументом государство-участник оспаривает, в частности, утверждение автора о том, что закон лишен точности и предсказуемости с точки зрения </w:t>
      </w:r>
      <w:r>
        <w:t xml:space="preserve">его </w:t>
      </w:r>
      <w:r w:rsidRPr="0084602A">
        <w:t>персональн</w:t>
      </w:r>
      <w:r>
        <w:t>ой</w:t>
      </w:r>
      <w:r w:rsidRPr="0084602A">
        <w:t xml:space="preserve"> сферы действия</w:t>
      </w:r>
      <w:r w:rsidRPr="00006130">
        <w:t xml:space="preserve">, которая </w:t>
      </w:r>
      <w:r>
        <w:t xml:space="preserve">была </w:t>
      </w:r>
      <w:r w:rsidRPr="00006130">
        <w:t xml:space="preserve">слишком широко </w:t>
      </w:r>
      <w:r>
        <w:t>ис</w:t>
      </w:r>
      <w:r w:rsidRPr="00006130">
        <w:t>толкова</w:t>
      </w:r>
      <w:r>
        <w:t>на</w:t>
      </w:r>
      <w:r w:rsidRPr="00006130">
        <w:t xml:space="preserve"> национальными судами.</w:t>
      </w:r>
    </w:p>
  </w:footnote>
  <w:footnote w:id="9">
    <w:p w14:paraId="0E4C9655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>
        <w:t xml:space="preserve">См., </w:t>
      </w:r>
      <w:r w:rsidRPr="00006130">
        <w:t>например, статью</w:t>
      </w:r>
      <w:r>
        <w:t> </w:t>
      </w:r>
      <w:r w:rsidRPr="00006130">
        <w:t>232 Уголовного кодекса Литвы</w:t>
      </w:r>
      <w:r>
        <w:t xml:space="preserve">, касающуюся неуважения к </w:t>
      </w:r>
      <w:r w:rsidRPr="00006130">
        <w:t>суд</w:t>
      </w:r>
      <w:r>
        <w:t>у</w:t>
      </w:r>
      <w:r w:rsidRPr="00006130">
        <w:t>.</w:t>
      </w:r>
    </w:p>
  </w:footnote>
  <w:footnote w:id="10">
    <w:p w14:paraId="2B2FFD91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 xml:space="preserve">В </w:t>
      </w:r>
      <w:r>
        <w:t>пункте 54</w:t>
      </w:r>
      <w:r w:rsidRPr="00006130">
        <w:t xml:space="preserve"> </w:t>
      </w:r>
      <w:r>
        <w:t xml:space="preserve">дела </w:t>
      </w:r>
      <w:r w:rsidRPr="00837689">
        <w:rPr>
          <w:i/>
        </w:rPr>
        <w:t>Лесник против Словакии</w:t>
      </w:r>
      <w:r w:rsidRPr="00837689">
        <w:t xml:space="preserve"> (</w:t>
      </w:r>
      <w:r w:rsidRPr="00837689">
        <w:rPr>
          <w:i/>
        </w:rPr>
        <w:t>Lesnik v. Slovakia</w:t>
      </w:r>
      <w:r w:rsidRPr="00837689">
        <w:t xml:space="preserve">) </w:t>
      </w:r>
      <w:r w:rsidRPr="00006130">
        <w:t>(</w:t>
      </w:r>
      <w:r w:rsidRPr="00FF518C">
        <w:t xml:space="preserve">жалоба </w:t>
      </w:r>
      <w:r w:rsidRPr="00006130">
        <w:t>№</w:t>
      </w:r>
      <w:r>
        <w:t> </w:t>
      </w:r>
      <w:r w:rsidRPr="00006130">
        <w:t>35640/97)</w:t>
      </w:r>
      <w:r>
        <w:t xml:space="preserve">, </w:t>
      </w:r>
      <w:r w:rsidRPr="0041308C">
        <w:t>постановление</w:t>
      </w:r>
      <w:r w:rsidRPr="00006130">
        <w:t xml:space="preserve"> от 11</w:t>
      </w:r>
      <w:r>
        <w:t> </w:t>
      </w:r>
      <w:r w:rsidRPr="00006130">
        <w:t>марта 2003</w:t>
      </w:r>
      <w:r>
        <w:t> года,</w:t>
      </w:r>
      <w:r w:rsidRPr="00006130">
        <w:t xml:space="preserve"> Европейский суд по правам человека постановил следующее</w:t>
      </w:r>
      <w:r w:rsidRPr="0041308C">
        <w:t>: «</w:t>
      </w:r>
      <w:r w:rsidRPr="008572CE">
        <w:t>Прокуроры являются государственными служащими, задача которых состоит в том, чтобы всячески содействовать надлежащему отправлению правосудия. В этом отношении они являются частью судебного аппарата в широком смысле этого термина. В интересах общества, чтобы они, как и служащие судов, пользовались общественным доверием. Поэтому может оказаться необходимым, чтобы государство защитило их от необоснованных обвинений</w:t>
      </w:r>
      <w:r>
        <w:t>»</w:t>
      </w:r>
      <w:r w:rsidRPr="00006130">
        <w:t>.</w:t>
      </w:r>
    </w:p>
  </w:footnote>
  <w:footnote w:id="11">
    <w:p w14:paraId="6B1F707A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 xml:space="preserve">Государство-участник также отмечает, что национальные суды должным образом учли </w:t>
      </w:r>
      <w:r>
        <w:t>состояние стресса, в котором находилась</w:t>
      </w:r>
      <w:r w:rsidRPr="00006130">
        <w:t xml:space="preserve"> автор, несмотря на тот факт, что ходатайство прокурора о заключении автора под стражу в конечном итоге было отклонено Апелляционным судом Литвы, что также свидетельствует о том, что </w:t>
      </w:r>
      <w:r>
        <w:t xml:space="preserve">принятие </w:t>
      </w:r>
      <w:r w:rsidRPr="00006130">
        <w:t>решени</w:t>
      </w:r>
      <w:r>
        <w:t>я</w:t>
      </w:r>
      <w:r w:rsidRPr="00006130">
        <w:t xml:space="preserve"> о необходимости содержания под стражей является прерогативой не прокуратуры, а судов. Соответственно, опасения автора, на которые она ссылается в свою защиту, не были вполне обоснованными.</w:t>
      </w:r>
    </w:p>
  </w:footnote>
  <w:footnote w:id="12">
    <w:p w14:paraId="302AD921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>
        <w:t xml:space="preserve">См., </w:t>
      </w:r>
      <w:r w:rsidRPr="00006130">
        <w:t xml:space="preserve">например, </w:t>
      </w:r>
      <w:r w:rsidRPr="00006130">
        <w:rPr>
          <w:i/>
        </w:rPr>
        <w:t>Судале</w:t>
      </w:r>
      <w:r w:rsidRPr="00D12BCE">
        <w:rPr>
          <w:i/>
        </w:rPr>
        <w:t>нко и Поплавный про</w:t>
      </w:r>
      <w:r w:rsidRPr="00006130">
        <w:rPr>
          <w:i/>
        </w:rPr>
        <w:t>тив Беларуси</w:t>
      </w:r>
      <w:r w:rsidRPr="00006130">
        <w:t xml:space="preserve"> (</w:t>
      </w:r>
      <w:r w:rsidRPr="00C54C52">
        <w:t>CCPR</w:t>
      </w:r>
      <w:r w:rsidRPr="00006130">
        <w:t>/</w:t>
      </w:r>
      <w:r w:rsidRPr="00C54C52">
        <w:t>C</w:t>
      </w:r>
      <w:r w:rsidRPr="00006130">
        <w:t>/122/</w:t>
      </w:r>
      <w:r w:rsidRPr="00C54C52">
        <w:t>D</w:t>
      </w:r>
      <w:r w:rsidRPr="00006130">
        <w:t>/2190/2012), пункт</w:t>
      </w:r>
      <w:r>
        <w:t> </w:t>
      </w:r>
      <w:r w:rsidRPr="00006130">
        <w:t>8.3.</w:t>
      </w:r>
    </w:p>
  </w:footnote>
  <w:footnote w:id="13">
    <w:p w14:paraId="76D89489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 xml:space="preserve">Согласно </w:t>
      </w:r>
      <w:r w:rsidRPr="00D12BCE">
        <w:t>Ко</w:t>
      </w:r>
      <w:r w:rsidRPr="00006130">
        <w:t xml:space="preserve">мментарию, это положение распространяется на всех лиц, выполняющих государственные функции, </w:t>
      </w:r>
      <w:r>
        <w:t>за</w:t>
      </w:r>
      <w:r w:rsidRPr="00006130">
        <w:t xml:space="preserve"> исключ</w:t>
      </w:r>
      <w:r>
        <w:t>ением</w:t>
      </w:r>
      <w:r w:rsidRPr="00006130">
        <w:t xml:space="preserve"> только определенны</w:t>
      </w:r>
      <w:r>
        <w:t>х</w:t>
      </w:r>
      <w:r w:rsidRPr="00006130">
        <w:t xml:space="preserve"> групп лиц, которые пользуются защитой в соответствии с отдельными статьями Уголовного кодекса.</w:t>
      </w:r>
    </w:p>
  </w:footnote>
  <w:footnote w:id="14">
    <w:p w14:paraId="6DC74BE5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 w:rsidRPr="00006130">
        <w:t xml:space="preserve">Европейский суд по правам человека, </w:t>
      </w:r>
      <w:r w:rsidRPr="00D12BCE">
        <w:rPr>
          <w:i/>
        </w:rPr>
        <w:t>Ле</w:t>
      </w:r>
      <w:r w:rsidRPr="00006130">
        <w:rPr>
          <w:i/>
        </w:rPr>
        <w:t>сник против Словакии</w:t>
      </w:r>
      <w:r w:rsidRPr="00006130">
        <w:t>.</w:t>
      </w:r>
    </w:p>
  </w:footnote>
  <w:footnote w:id="15">
    <w:p w14:paraId="11B78169" w14:textId="77777777" w:rsidR="00CD2FF3" w:rsidRPr="00006130" w:rsidRDefault="00CD2FF3" w:rsidP="00CD2FF3">
      <w:pPr>
        <w:pStyle w:val="ad"/>
      </w:pPr>
      <w:r w:rsidRPr="00006130">
        <w:tab/>
      </w:r>
      <w:r w:rsidRPr="00137EA3">
        <w:rPr>
          <w:rStyle w:val="aa"/>
        </w:rPr>
        <w:footnoteRef/>
      </w:r>
      <w:r w:rsidRPr="004A792D">
        <w:rPr>
          <w:rStyle w:val="aa"/>
        </w:rPr>
        <w:tab/>
      </w:r>
      <w:r>
        <w:t>См. </w:t>
      </w:r>
      <w:r w:rsidRPr="006F6B63">
        <w:rPr>
          <w:i/>
        </w:rPr>
        <w:t>Ц.</w:t>
      </w:r>
      <w:r>
        <w:rPr>
          <w:i/>
        </w:rPr>
        <w:t> </w:t>
      </w:r>
      <w:r w:rsidRPr="006F6B63">
        <w:rPr>
          <w:i/>
        </w:rPr>
        <w:t xml:space="preserve">Х. </w:t>
      </w:r>
      <w:r w:rsidRPr="004A792D">
        <w:rPr>
          <w:i/>
        </w:rPr>
        <w:t>против Австралии</w:t>
      </w:r>
      <w:r w:rsidRPr="004A792D">
        <w:t xml:space="preserve"> (</w:t>
      </w:r>
      <w:r w:rsidRPr="00D1658C">
        <w:rPr>
          <w:lang w:val="es-ES"/>
        </w:rPr>
        <w:t>CCPR</w:t>
      </w:r>
      <w:r w:rsidRPr="004A792D">
        <w:t>/</w:t>
      </w:r>
      <w:r w:rsidRPr="00D1658C">
        <w:rPr>
          <w:lang w:val="es-ES"/>
        </w:rPr>
        <w:t>C</w:t>
      </w:r>
      <w:r w:rsidRPr="004A792D">
        <w:t>/107/</w:t>
      </w:r>
      <w:r w:rsidRPr="00D1658C">
        <w:rPr>
          <w:lang w:val="es-ES"/>
        </w:rPr>
        <w:t>D</w:t>
      </w:r>
      <w:r w:rsidRPr="004A792D">
        <w:t>/1957/2010), пункт</w:t>
      </w:r>
      <w:r>
        <w:t> </w:t>
      </w:r>
      <w:r w:rsidRPr="00006130">
        <w:t>9.3.</w:t>
      </w:r>
    </w:p>
  </w:footnote>
  <w:footnote w:id="16">
    <w:p w14:paraId="47EC5E4E" w14:textId="77777777" w:rsidR="00CD2FF3" w:rsidRPr="006A1B39" w:rsidRDefault="00CD2FF3" w:rsidP="00CD2FF3">
      <w:pPr>
        <w:pStyle w:val="ad"/>
        <w:rPr>
          <w:color w:val="333333"/>
          <w:szCs w:val="18"/>
          <w:lang w:eastAsia="en-GB"/>
        </w:rPr>
      </w:pPr>
      <w:r w:rsidRPr="00006130">
        <w:tab/>
      </w:r>
      <w:r w:rsidRPr="00137EA3">
        <w:rPr>
          <w:rStyle w:val="aa"/>
        </w:rPr>
        <w:footnoteRef/>
      </w:r>
      <w:r w:rsidRPr="00006130">
        <w:rPr>
          <w:rStyle w:val="aa"/>
        </w:rPr>
        <w:tab/>
      </w:r>
      <w:r>
        <w:t xml:space="preserve">См., </w:t>
      </w:r>
      <w:r w:rsidRPr="00006130">
        <w:t xml:space="preserve">например, </w:t>
      </w:r>
      <w:r w:rsidRPr="00006130">
        <w:rPr>
          <w:i/>
        </w:rPr>
        <w:t>Фернандо против Шри-Ланки</w:t>
      </w:r>
      <w:r w:rsidRPr="00006130">
        <w:t xml:space="preserve"> (</w:t>
      </w:r>
      <w:r w:rsidRPr="00C54C52">
        <w:t>CCPR</w:t>
      </w:r>
      <w:r w:rsidRPr="00006130">
        <w:t>/</w:t>
      </w:r>
      <w:r w:rsidRPr="00C54C52">
        <w:t>C</w:t>
      </w:r>
      <w:r w:rsidRPr="00006130">
        <w:t>/83/</w:t>
      </w:r>
      <w:r w:rsidRPr="00C54C52">
        <w:t>D</w:t>
      </w:r>
      <w:r w:rsidRPr="00006130">
        <w:t>/1189/2003).</w:t>
      </w:r>
    </w:p>
  </w:footnote>
  <w:footnote w:id="17">
    <w:p w14:paraId="51EAA2E9" w14:textId="77777777" w:rsidR="008A174F" w:rsidRPr="008A174F" w:rsidRDefault="008A174F">
      <w:pPr>
        <w:pStyle w:val="ad"/>
        <w:rPr>
          <w:lang w:val="en-US"/>
        </w:rPr>
      </w:pPr>
      <w:r>
        <w:tab/>
      </w:r>
      <w:r w:rsidRPr="008A174F">
        <w:rPr>
          <w:rStyle w:val="aa"/>
          <w:lang w:val="en-US"/>
        </w:rPr>
        <w:t>1</w:t>
      </w:r>
      <w:r w:rsidRPr="008A174F">
        <w:rPr>
          <w:lang w:val="en-US"/>
        </w:rPr>
        <w:tab/>
      </w:r>
      <w:r w:rsidRPr="00006130">
        <w:t>См</w:t>
      </w:r>
      <w:r w:rsidRPr="005E6EAB">
        <w:rPr>
          <w:lang w:val="en-US"/>
        </w:rPr>
        <w:t>. </w:t>
      </w:r>
      <w:r w:rsidRPr="00006130">
        <w:t>также</w:t>
      </w:r>
      <w:r w:rsidRPr="005E6EAB">
        <w:rPr>
          <w:lang w:val="en-US"/>
        </w:rPr>
        <w:t xml:space="preserve"> Committee of Experts on the Role of Public Prosecution in the Criminal Justice System, </w:t>
      </w:r>
      <w:r w:rsidR="00D12BCE" w:rsidRPr="00D12BCE">
        <w:rPr>
          <w:lang w:val="en-US"/>
        </w:rPr>
        <w:t>«</w:t>
      </w:r>
      <w:r w:rsidRPr="005E6EAB">
        <w:rPr>
          <w:lang w:val="en-US"/>
        </w:rPr>
        <w:t>The role of public prosecution in the criminal justice system</w:t>
      </w:r>
      <w:r w:rsidR="00607969" w:rsidRPr="00607969">
        <w:rPr>
          <w:lang w:val="en-US"/>
        </w:rPr>
        <w:t>»</w:t>
      </w:r>
      <w:r w:rsidRPr="005E6EAB">
        <w:rPr>
          <w:lang w:val="en-US"/>
        </w:rPr>
        <w:t xml:space="preserve">, Recommendation Rec(2000)19 of the Committee of Ministers of the Council of Europe, para. 11; Conference of Prosecutors General of Europe, </w:t>
      </w:r>
      <w:r w:rsidR="00607969" w:rsidRPr="00607969">
        <w:rPr>
          <w:lang w:val="en-US"/>
        </w:rPr>
        <w:t>«</w:t>
      </w:r>
      <w:r w:rsidRPr="005E6EAB">
        <w:rPr>
          <w:lang w:val="en-US"/>
        </w:rPr>
        <w:t>European guidelines on ethics and conduct for public prosecutors: the Budapest Guidelines</w:t>
      </w:r>
      <w:r w:rsidR="00607969" w:rsidRPr="00607969">
        <w:rPr>
          <w:lang w:val="en-US"/>
        </w:rPr>
        <w:t>»</w:t>
      </w:r>
      <w:r w:rsidRPr="005E6EAB">
        <w:rPr>
          <w:lang w:val="en-US"/>
        </w:rPr>
        <w:t xml:space="preserve"> (2005), guidelines I and II; </w:t>
      </w:r>
      <w:r w:rsidRPr="00006130">
        <w:t>Организация</w:t>
      </w:r>
      <w:r w:rsidRPr="005E6EAB">
        <w:rPr>
          <w:lang w:val="en-US"/>
        </w:rPr>
        <w:t xml:space="preserve"> </w:t>
      </w:r>
      <w:r w:rsidRPr="00006130">
        <w:t>Объединенных</w:t>
      </w:r>
      <w:r w:rsidRPr="005E6EAB">
        <w:rPr>
          <w:lang w:val="en-US"/>
        </w:rPr>
        <w:t xml:space="preserve"> </w:t>
      </w:r>
      <w:r w:rsidRPr="00006130">
        <w:t>Наций</w:t>
      </w:r>
      <w:r w:rsidRPr="005E6EAB">
        <w:rPr>
          <w:lang w:val="en-US"/>
        </w:rPr>
        <w:t>, «</w:t>
      </w:r>
      <w:r w:rsidRPr="00006130">
        <w:t>Руководящие</w:t>
      </w:r>
      <w:r w:rsidRPr="005E6EAB">
        <w:rPr>
          <w:lang w:val="en-US"/>
        </w:rPr>
        <w:t xml:space="preserve"> </w:t>
      </w:r>
      <w:r w:rsidRPr="00006130">
        <w:t>принципы</w:t>
      </w:r>
      <w:r w:rsidRPr="005E6EAB">
        <w:rPr>
          <w:lang w:val="en-US"/>
        </w:rPr>
        <w:t xml:space="preserve">, </w:t>
      </w:r>
      <w:r w:rsidRPr="00006130">
        <w:t>касающиеся</w:t>
      </w:r>
      <w:r w:rsidRPr="005E6EAB">
        <w:rPr>
          <w:lang w:val="en-US"/>
        </w:rPr>
        <w:t xml:space="preserve"> </w:t>
      </w:r>
      <w:r w:rsidRPr="00006130">
        <w:t>роли</w:t>
      </w:r>
      <w:r w:rsidRPr="005E6EAB">
        <w:rPr>
          <w:lang w:val="en-US"/>
        </w:rPr>
        <w:t xml:space="preserve"> </w:t>
      </w:r>
      <w:r w:rsidRPr="00006130">
        <w:t>лиц</w:t>
      </w:r>
      <w:r w:rsidRPr="005E6EAB">
        <w:rPr>
          <w:lang w:val="en-US"/>
        </w:rPr>
        <w:t xml:space="preserve">, </w:t>
      </w:r>
      <w:r w:rsidRPr="00006130">
        <w:t>осуществляющих</w:t>
      </w:r>
      <w:r w:rsidRPr="005E6EAB">
        <w:rPr>
          <w:lang w:val="en-US"/>
        </w:rPr>
        <w:t xml:space="preserve"> </w:t>
      </w:r>
      <w:r w:rsidRPr="00006130">
        <w:t>судебное</w:t>
      </w:r>
      <w:r w:rsidRPr="005E6EAB">
        <w:rPr>
          <w:lang w:val="en-US"/>
        </w:rPr>
        <w:t xml:space="preserve"> </w:t>
      </w:r>
      <w:r w:rsidRPr="00006130">
        <w:t>преследование</w:t>
      </w:r>
      <w:r w:rsidRPr="005E6EAB">
        <w:rPr>
          <w:lang w:val="en-US"/>
        </w:rPr>
        <w:t xml:space="preserve">» (1990), </w:t>
      </w:r>
      <w:r w:rsidRPr="00006130">
        <w:t>пункт</w:t>
      </w:r>
      <w:r w:rsidRPr="005E6EAB">
        <w:rPr>
          <w:lang w:val="en-US"/>
        </w:rPr>
        <w:t xml:space="preserve"> 4; International Association of Prosecutors, </w:t>
      </w:r>
      <w:r w:rsidR="00607969" w:rsidRPr="00607969">
        <w:rPr>
          <w:lang w:val="en-US"/>
        </w:rPr>
        <w:t>«</w:t>
      </w:r>
      <w:r w:rsidRPr="005E6EAB">
        <w:rPr>
          <w:lang w:val="en-US"/>
        </w:rPr>
        <w:t>Standards of professional responsibility and statement of the essential duties and rights of prosecutors</w:t>
      </w:r>
      <w:r w:rsidR="00607969" w:rsidRPr="00607969">
        <w:rPr>
          <w:lang w:val="en-US"/>
        </w:rPr>
        <w:t>»</w:t>
      </w:r>
      <w:r w:rsidRPr="005E6EAB">
        <w:rPr>
          <w:lang w:val="en-US"/>
        </w:rPr>
        <w:t xml:space="preserve"> (1999), para. </w:t>
      </w:r>
      <w:r w:rsidRPr="004127B2">
        <w:rPr>
          <w:lang w:val="en-US"/>
        </w:rPr>
        <w:t xml:space="preserve">6; </w:t>
      </w:r>
      <w:r w:rsidRPr="00006130">
        <w:t>и</w:t>
      </w:r>
      <w:r w:rsidRPr="004127B2">
        <w:rPr>
          <w:lang w:val="en-US"/>
        </w:rPr>
        <w:t xml:space="preserve"> United Nations Office on Drugs and Crime,</w:t>
      </w:r>
      <w:r w:rsidR="00607969">
        <w:rPr>
          <w:lang w:val="en-US"/>
        </w:rPr>
        <w:br/>
      </w:r>
      <w:r w:rsidR="00607969" w:rsidRPr="00607969">
        <w:rPr>
          <w:lang w:val="en-US"/>
        </w:rPr>
        <w:t>«</w:t>
      </w:r>
      <w:r w:rsidRPr="004127B2">
        <w:rPr>
          <w:lang w:val="en-US"/>
        </w:rPr>
        <w:t>The status and role of prosecutors: a United Nations Office on Drugs and Crime and International Association of Prosecutors Guide</w:t>
      </w:r>
      <w:r w:rsidR="00607969" w:rsidRPr="00607969">
        <w:rPr>
          <w:lang w:val="en-US"/>
        </w:rPr>
        <w:t>»</w:t>
      </w:r>
      <w:r w:rsidRPr="004127B2">
        <w:rPr>
          <w:lang w:val="en-US"/>
        </w:rPr>
        <w:t>,</w:t>
      </w:r>
      <w:r w:rsidRPr="00607969">
        <w:rPr>
          <w:i/>
          <w:lang w:val="en-US"/>
        </w:rPr>
        <w:t xml:space="preserve"> Criminal Justice Handbook Series</w:t>
      </w:r>
      <w:r w:rsidRPr="004127B2">
        <w:rPr>
          <w:lang w:val="en-US"/>
        </w:rPr>
        <w:t xml:space="preserve"> (New York, 2014).</w:t>
      </w:r>
    </w:p>
  </w:footnote>
  <w:footnote w:id="18">
    <w:p w14:paraId="3178B6E9" w14:textId="77777777" w:rsidR="00482DA4" w:rsidRDefault="00482DA4">
      <w:pPr>
        <w:pStyle w:val="ad"/>
      </w:pPr>
      <w:r w:rsidRPr="00607969">
        <w:rPr>
          <w:lang w:val="en-US"/>
        </w:rPr>
        <w:tab/>
      </w:r>
      <w:r>
        <w:rPr>
          <w:rStyle w:val="aa"/>
        </w:rPr>
        <w:t>2</w:t>
      </w:r>
      <w:r>
        <w:tab/>
      </w:r>
      <w:r w:rsidRPr="00006130">
        <w:t xml:space="preserve">Она была </w:t>
      </w:r>
      <w:r>
        <w:t xml:space="preserve">предположительно </w:t>
      </w:r>
      <w:r w:rsidRPr="00006130">
        <w:t>завербована российскими гражданами для совершения террористического акта на военной базе в Москве.</w:t>
      </w:r>
    </w:p>
  </w:footnote>
  <w:footnote w:id="19">
    <w:p w14:paraId="7F0DE28E" w14:textId="77777777" w:rsidR="00482DA4" w:rsidRDefault="00482DA4">
      <w:pPr>
        <w:pStyle w:val="ad"/>
      </w:pPr>
      <w:r>
        <w:tab/>
      </w:r>
      <w:r>
        <w:rPr>
          <w:rStyle w:val="aa"/>
        </w:rPr>
        <w:t>3</w:t>
      </w:r>
      <w:r>
        <w:tab/>
      </w:r>
      <w:r w:rsidRPr="00006130">
        <w:t>Ходатайство прокурора о заключении автора под стражу было позднее отклонено Апелляционным судом Литвы. Соответственно, опасения автора не были вполне обоснованными (см.</w:t>
      </w:r>
      <w:r>
        <w:t> </w:t>
      </w:r>
      <w:r w:rsidRPr="00006130">
        <w:t>сноску</w:t>
      </w:r>
      <w:r>
        <w:t> </w:t>
      </w:r>
      <w:r w:rsidRPr="00006130">
        <w:t>9).</w:t>
      </w:r>
    </w:p>
  </w:footnote>
  <w:footnote w:id="20">
    <w:p w14:paraId="52B96097" w14:textId="77777777" w:rsidR="00482DA4" w:rsidRDefault="00482DA4">
      <w:pPr>
        <w:pStyle w:val="ad"/>
      </w:pPr>
      <w:r>
        <w:tab/>
      </w:r>
      <w:r>
        <w:rPr>
          <w:rStyle w:val="aa"/>
        </w:rPr>
        <w:t>4</w:t>
      </w:r>
      <w:r>
        <w:tab/>
      </w:r>
      <w:r w:rsidRPr="00006130">
        <w:t>Сама автор признает, что она содержалась ранее под стражей (пункт</w:t>
      </w:r>
      <w:r>
        <w:t> </w:t>
      </w:r>
      <w:r w:rsidRPr="00006130">
        <w:t>3.5).</w:t>
      </w:r>
    </w:p>
  </w:footnote>
  <w:footnote w:id="21">
    <w:p w14:paraId="2CBB5633" w14:textId="77777777" w:rsidR="00482DA4" w:rsidRDefault="00482DA4">
      <w:pPr>
        <w:pStyle w:val="ad"/>
      </w:pPr>
      <w:r>
        <w:tab/>
      </w:r>
      <w:r>
        <w:rPr>
          <w:rStyle w:val="aa"/>
        </w:rPr>
        <w:t>5</w:t>
      </w:r>
      <w:r>
        <w:tab/>
      </w:r>
      <w:r w:rsidRPr="00006130">
        <w:t xml:space="preserve">В Литве государственное обвинение действует на основе принципа законности: любое </w:t>
      </w:r>
      <w:r w:rsidRPr="00D41895">
        <w:t>зарегистрированн</w:t>
      </w:r>
      <w:r>
        <w:t>о</w:t>
      </w:r>
      <w:r w:rsidRPr="00D41895">
        <w:t xml:space="preserve">е </w:t>
      </w:r>
      <w:r w:rsidRPr="00006130">
        <w:t xml:space="preserve">уголовное преступление </w:t>
      </w:r>
      <w:r>
        <w:t xml:space="preserve">подлежит </w:t>
      </w:r>
      <w:r w:rsidRPr="00006130">
        <w:t>расследован</w:t>
      </w:r>
      <w:r>
        <w:t>ию</w:t>
      </w:r>
      <w:r w:rsidRPr="00006130">
        <w:t xml:space="preserve">, и поэтому </w:t>
      </w:r>
      <w:r>
        <w:t>прокуратура</w:t>
      </w:r>
      <w:r w:rsidRPr="00006130">
        <w:t xml:space="preserve"> должн</w:t>
      </w:r>
      <w:r>
        <w:t>а</w:t>
      </w:r>
      <w:r w:rsidRPr="00006130">
        <w:t xml:space="preserve"> был</w:t>
      </w:r>
      <w:r>
        <w:t>а</w:t>
      </w:r>
      <w:r w:rsidRPr="00006130">
        <w:t xml:space="preserve"> предъявить автору обвинения по статье</w:t>
      </w:r>
      <w:r>
        <w:t> </w:t>
      </w:r>
      <w:r w:rsidRPr="00006130">
        <w:t>290 Уголовного кодекса Литвы.</w:t>
      </w:r>
    </w:p>
  </w:footnote>
  <w:footnote w:id="22">
    <w:p w14:paraId="29E6B819" w14:textId="77777777" w:rsidR="00482DA4" w:rsidRDefault="00482DA4">
      <w:pPr>
        <w:pStyle w:val="ad"/>
      </w:pPr>
      <w:r>
        <w:tab/>
      </w:r>
      <w:r>
        <w:rPr>
          <w:rStyle w:val="aa"/>
        </w:rPr>
        <w:t>6</w:t>
      </w:r>
      <w:r>
        <w:tab/>
      </w:r>
      <w:r w:rsidRPr="00107925">
        <w:t xml:space="preserve">Поскольку автор был адвокатом, </w:t>
      </w:r>
      <w:r>
        <w:t>он получил взыскание за служебный проступок</w:t>
      </w:r>
      <w:r w:rsidRPr="00107925">
        <w:t xml:space="preserve"> и ему было </w:t>
      </w:r>
      <w:r>
        <w:t xml:space="preserve">дано указание </w:t>
      </w:r>
      <w:r w:rsidRPr="00107925">
        <w:t xml:space="preserve">за свой счет пройти курс </w:t>
      </w:r>
      <w:r>
        <w:t>по адвокатской</w:t>
      </w:r>
      <w:r w:rsidRPr="00107925">
        <w:t xml:space="preserve"> этик</w:t>
      </w:r>
      <w:r>
        <w:t>е</w:t>
      </w:r>
      <w:r w:rsidRPr="00107925">
        <w:t>, а также уплатить штрафы.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37C3" w14:textId="53554E09" w:rsidR="00D631BA" w:rsidRPr="00D631BA" w:rsidRDefault="00FB47F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CCPR/C/126/D/2716/2016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1B4B" w14:textId="245ED43A" w:rsidR="00D631BA" w:rsidRPr="00D631BA" w:rsidRDefault="00FB47FC" w:rsidP="00D631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CCPR/C/126/D/2716/2016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6"/>
  </w:num>
  <w:num w:numId="18">
    <w:abstractNumId w:val="18"/>
  </w:num>
  <w:num w:numId="19">
    <w:abstractNumId w:val="22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E0"/>
    <w:rsid w:val="00033EE1"/>
    <w:rsid w:val="00042B72"/>
    <w:rsid w:val="000476DB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3D52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F28DE"/>
    <w:rsid w:val="00407B78"/>
    <w:rsid w:val="00424203"/>
    <w:rsid w:val="00452493"/>
    <w:rsid w:val="00454E07"/>
    <w:rsid w:val="00472C5C"/>
    <w:rsid w:val="00482DA4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7969"/>
    <w:rsid w:val="00666B97"/>
    <w:rsid w:val="00681A10"/>
    <w:rsid w:val="006A1B39"/>
    <w:rsid w:val="006A1ED8"/>
    <w:rsid w:val="006C2031"/>
    <w:rsid w:val="006D461A"/>
    <w:rsid w:val="006D616B"/>
    <w:rsid w:val="006F35EE"/>
    <w:rsid w:val="007021FF"/>
    <w:rsid w:val="00712895"/>
    <w:rsid w:val="0075523D"/>
    <w:rsid w:val="00757357"/>
    <w:rsid w:val="00787D3A"/>
    <w:rsid w:val="007905E0"/>
    <w:rsid w:val="00791B9D"/>
    <w:rsid w:val="00825F8D"/>
    <w:rsid w:val="00834B71"/>
    <w:rsid w:val="0086445C"/>
    <w:rsid w:val="00894693"/>
    <w:rsid w:val="008A08D7"/>
    <w:rsid w:val="008A174F"/>
    <w:rsid w:val="008B6909"/>
    <w:rsid w:val="00902A9A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7521A"/>
    <w:rsid w:val="00A82AAB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90BBD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D2FF3"/>
    <w:rsid w:val="00CD6F74"/>
    <w:rsid w:val="00CE5A1A"/>
    <w:rsid w:val="00CF55F6"/>
    <w:rsid w:val="00D12BCE"/>
    <w:rsid w:val="00D234F6"/>
    <w:rsid w:val="00D33D63"/>
    <w:rsid w:val="00D631BA"/>
    <w:rsid w:val="00D75E76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878E6"/>
    <w:rsid w:val="00EA2C9F"/>
    <w:rsid w:val="00EA420E"/>
    <w:rsid w:val="00EC574F"/>
    <w:rsid w:val="00ED0BDA"/>
    <w:rsid w:val="00EF1360"/>
    <w:rsid w:val="00EF3220"/>
    <w:rsid w:val="00F43903"/>
    <w:rsid w:val="00F94155"/>
    <w:rsid w:val="00F9783F"/>
    <w:rsid w:val="00FB47FC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47DE1"/>
  <w15:docId w15:val="{43DCD9CF-ED6C-4DB0-84F0-031AA71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CD2FF3"/>
    <w:pPr>
      <w:numPr>
        <w:numId w:val="29"/>
      </w:numPr>
    </w:pPr>
  </w:style>
  <w:style w:type="numbering" w:styleId="1ai">
    <w:name w:val="Outline List 1"/>
    <w:basedOn w:val="a2"/>
    <w:semiHidden/>
    <w:rsid w:val="00CD2FF3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CD2FF3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CD2FF3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CD2FF3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CD2FF3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CD2FF3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CD2FF3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CD2FF3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CD2FF3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CD2FF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8307-9F33-4A08-ADC6-52464745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7</TotalTime>
  <Pages>17</Pages>
  <Words>7063</Words>
  <Characters>46422</Characters>
  <Application>Microsoft Office Word</Application>
  <DocSecurity>0</DocSecurity>
  <Lines>777</Lines>
  <Paragraphs>120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CCPR/C/126/D/2716/2016</vt:lpstr>
      <vt:lpstr>A/</vt:lpstr>
      <vt:lpstr>A/</vt:lpstr>
    </vt:vector>
  </TitlesOfParts>
  <Company>DCM</Company>
  <LinksUpToDate>false</LinksUpToDate>
  <CharactersWithSpaces>53388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CCPR/C/126/D/2716/2016</dc:title>
  <dc:subject/>
  <dc:creator>Anna KISSELEVA</dc:creator>
  <cp:keywords/>
  <cp:lastModifiedBy>Anna Petelina</cp:lastModifiedBy>
  <cp:revision>8</cp:revision>
  <cp:lastPrinted>2019-12-17T11:52:00Z</cp:lastPrinted>
  <dcterms:created xsi:type="dcterms:W3CDTF">2019-12-16T13:39:00Z</dcterms:created>
  <dcterms:modified xsi:type="dcterms:W3CDTF">2019-12-17T11:52:00Z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