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6F71EA" w:rsidRPr="00DB58B5" w14:paraId="6FF8AE10" w14:textId="77777777" w:rsidTr="002B7BC7">
        <w:trPr>
          <w:trHeight w:hRule="exact" w:val="851"/>
        </w:trPr>
        <w:tc>
          <w:tcPr>
            <w:tcW w:w="1276" w:type="dxa"/>
            <w:tcBorders>
              <w:bottom w:val="single" w:sz="4" w:space="0" w:color="auto"/>
            </w:tcBorders>
          </w:tcPr>
          <w:p w14:paraId="181D2CEE" w14:textId="77777777" w:rsidR="006F71EA" w:rsidRPr="00DB58B5" w:rsidRDefault="006F71EA" w:rsidP="002574C8"/>
        </w:tc>
        <w:tc>
          <w:tcPr>
            <w:tcW w:w="2268" w:type="dxa"/>
            <w:tcBorders>
              <w:bottom w:val="single" w:sz="4" w:space="0" w:color="auto"/>
            </w:tcBorders>
            <w:vAlign w:val="bottom"/>
          </w:tcPr>
          <w:p w14:paraId="32516254" w14:textId="77777777" w:rsidR="006F71EA" w:rsidRPr="00DB58B5" w:rsidRDefault="006F71EA" w:rsidP="002B7BC7">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77360F5F" w14:textId="77777777" w:rsidR="006F71EA" w:rsidRPr="00DB58B5" w:rsidRDefault="002574C8" w:rsidP="002574C8">
            <w:pPr>
              <w:jc w:val="right"/>
            </w:pPr>
            <w:r w:rsidRPr="002574C8">
              <w:rPr>
                <w:sz w:val="40"/>
              </w:rPr>
              <w:t>CCPR</w:t>
            </w:r>
            <w:r>
              <w:t>/C/126/D/2716/2016</w:t>
            </w:r>
          </w:p>
        </w:tc>
      </w:tr>
      <w:tr w:rsidR="006F71EA" w:rsidRPr="00DB58B5" w14:paraId="4237F6E9" w14:textId="77777777" w:rsidTr="002B7BC7">
        <w:trPr>
          <w:trHeight w:hRule="exact" w:val="2835"/>
        </w:trPr>
        <w:tc>
          <w:tcPr>
            <w:tcW w:w="1276" w:type="dxa"/>
            <w:tcBorders>
              <w:top w:val="single" w:sz="4" w:space="0" w:color="auto"/>
              <w:bottom w:val="single" w:sz="12" w:space="0" w:color="auto"/>
            </w:tcBorders>
          </w:tcPr>
          <w:p w14:paraId="323A9413" w14:textId="77777777" w:rsidR="006F71EA" w:rsidRPr="00DB58B5" w:rsidRDefault="006F71EA" w:rsidP="002B7BC7">
            <w:pPr>
              <w:spacing w:before="120"/>
              <w:jc w:val="center"/>
            </w:pPr>
            <w:r>
              <w:rPr>
                <w:noProof/>
                <w:lang w:eastAsia="fr-CH"/>
              </w:rPr>
              <w:drawing>
                <wp:inline distT="0" distB="0" distL="0" distR="0" wp14:anchorId="586D3EA1" wp14:editId="720887BE">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C4F64E9" w14:textId="77777777" w:rsidR="006F71EA" w:rsidRPr="00AB51C8" w:rsidRDefault="006F71EA" w:rsidP="002B7BC7">
            <w:pPr>
              <w:spacing w:before="120" w:line="380" w:lineRule="exact"/>
              <w:rPr>
                <w:b/>
                <w:sz w:val="34"/>
                <w:szCs w:val="34"/>
              </w:rPr>
            </w:pPr>
            <w:r w:rsidRPr="00AB51C8">
              <w:rPr>
                <w:b/>
                <w:sz w:val="34"/>
                <w:szCs w:val="34"/>
              </w:rPr>
              <w:t>Pacte international relatif</w:t>
            </w:r>
            <w:r w:rsidRPr="00AB51C8">
              <w:rPr>
                <w:b/>
                <w:sz w:val="34"/>
                <w:szCs w:val="34"/>
              </w:rPr>
              <w:br/>
              <w:t>aux droits civils et politiques</w:t>
            </w:r>
          </w:p>
        </w:tc>
        <w:tc>
          <w:tcPr>
            <w:tcW w:w="2835" w:type="dxa"/>
            <w:tcBorders>
              <w:top w:val="single" w:sz="4" w:space="0" w:color="auto"/>
              <w:bottom w:val="single" w:sz="12" w:space="0" w:color="auto"/>
            </w:tcBorders>
          </w:tcPr>
          <w:p w14:paraId="5CDF0779" w14:textId="77777777" w:rsidR="006F71EA" w:rsidRDefault="002574C8" w:rsidP="002B7BC7">
            <w:pPr>
              <w:spacing w:before="240"/>
            </w:pPr>
            <w:r>
              <w:t>Distr. générale</w:t>
            </w:r>
          </w:p>
          <w:p w14:paraId="732E9C13" w14:textId="77777777" w:rsidR="002574C8" w:rsidRDefault="002574C8" w:rsidP="002574C8">
            <w:pPr>
              <w:spacing w:line="240" w:lineRule="exact"/>
            </w:pPr>
            <w:r>
              <w:t>24 septembre 2019</w:t>
            </w:r>
          </w:p>
          <w:p w14:paraId="5E266D0D" w14:textId="77777777" w:rsidR="002574C8" w:rsidRDefault="002574C8" w:rsidP="002574C8">
            <w:pPr>
              <w:spacing w:line="240" w:lineRule="exact"/>
            </w:pPr>
            <w:r>
              <w:t>Français</w:t>
            </w:r>
          </w:p>
          <w:p w14:paraId="03327826" w14:textId="77777777" w:rsidR="002574C8" w:rsidRPr="00DB58B5" w:rsidRDefault="002574C8" w:rsidP="002574C8">
            <w:pPr>
              <w:spacing w:line="240" w:lineRule="exact"/>
            </w:pPr>
            <w:r>
              <w:t>Original : anglais</w:t>
            </w:r>
          </w:p>
        </w:tc>
      </w:tr>
    </w:tbl>
    <w:p w14:paraId="78082FD2" w14:textId="77777777" w:rsidR="006F71EA" w:rsidRDefault="006F71EA" w:rsidP="006F71EA">
      <w:pPr>
        <w:spacing w:before="120"/>
        <w:rPr>
          <w:b/>
          <w:sz w:val="24"/>
          <w:szCs w:val="24"/>
        </w:rPr>
      </w:pPr>
      <w:r w:rsidRPr="00DF3BF1">
        <w:rPr>
          <w:b/>
          <w:sz w:val="24"/>
          <w:szCs w:val="24"/>
        </w:rPr>
        <w:t>Comité des droits de l</w:t>
      </w:r>
      <w:r w:rsidR="00CA2931">
        <w:rPr>
          <w:b/>
          <w:sz w:val="24"/>
          <w:szCs w:val="24"/>
        </w:rPr>
        <w:t>’</w:t>
      </w:r>
      <w:r w:rsidRPr="00DF3BF1">
        <w:rPr>
          <w:b/>
          <w:sz w:val="24"/>
          <w:szCs w:val="24"/>
        </w:rPr>
        <w:t>homme</w:t>
      </w:r>
    </w:p>
    <w:p w14:paraId="6D1F80B3" w14:textId="77777777" w:rsidR="00E85C42" w:rsidRDefault="00765853" w:rsidP="00765853">
      <w:pPr>
        <w:pStyle w:val="HChG"/>
      </w:pPr>
      <w:r>
        <w:rPr>
          <w:lang w:val="fr-FR"/>
        </w:rPr>
        <w:tab/>
      </w:r>
      <w:r>
        <w:rPr>
          <w:lang w:val="fr-FR"/>
        </w:rPr>
        <w:tab/>
      </w:r>
      <w:r w:rsidRPr="00380A94">
        <w:rPr>
          <w:lang w:val="fr-FR"/>
        </w:rPr>
        <w:t>Constatations adoptées par le Comité au titre de l</w:t>
      </w:r>
      <w:r w:rsidR="00CA2931">
        <w:rPr>
          <w:lang w:val="fr-FR"/>
        </w:rPr>
        <w:t>’</w:t>
      </w:r>
      <w:r w:rsidRPr="00380A94">
        <w:rPr>
          <w:lang w:val="fr-FR"/>
        </w:rPr>
        <w:t xml:space="preserve">article 5 (par. 4) du Protocole facultatif, concernant </w:t>
      </w:r>
      <w:r w:rsidR="00BC4CEB">
        <w:rPr>
          <w:lang w:val="fr-FR"/>
        </w:rPr>
        <w:br/>
      </w:r>
      <w:r w:rsidRPr="00380A94">
        <w:rPr>
          <w:lang w:val="fr-FR"/>
        </w:rPr>
        <w:t>la c</w:t>
      </w:r>
      <w:r w:rsidRPr="006503C8">
        <w:t>ommunication</w:t>
      </w:r>
      <w:r>
        <w:t xml:space="preserve"> </w:t>
      </w:r>
      <w:r w:rsidRPr="006503C8">
        <w:rPr>
          <w:rFonts w:eastAsia="MS Mincho"/>
        </w:rPr>
        <w:t>n</w:t>
      </w:r>
      <w:r w:rsidRPr="006503C8">
        <w:rPr>
          <w:rFonts w:eastAsia="MS Mincho"/>
          <w:vertAlign w:val="superscript"/>
        </w:rPr>
        <w:t>o</w:t>
      </w:r>
      <w:r>
        <w:t> </w:t>
      </w:r>
      <w:r w:rsidRPr="006503C8">
        <w:t>2716/2016</w:t>
      </w:r>
      <w:r w:rsidRPr="00A47548">
        <w:rPr>
          <w:rStyle w:val="Appelnotedebasdep"/>
          <w:b w:val="0"/>
          <w:sz w:val="20"/>
          <w:vertAlign w:val="baseline"/>
          <w:lang w:val="fr-FR"/>
        </w:rPr>
        <w:footnoteReference w:customMarkFollows="1" w:id="2"/>
        <w:t>*</w:t>
      </w:r>
      <w:r w:rsidRPr="00765853">
        <w:rPr>
          <w:b w:val="0"/>
          <w:bCs/>
          <w:position w:val="6"/>
          <w:sz w:val="20"/>
          <w:lang w:val="fr-FR"/>
        </w:rPr>
        <w:t>,</w:t>
      </w:r>
      <w:r w:rsidRPr="00765853">
        <w:rPr>
          <w:b w:val="0"/>
          <w:bCs/>
          <w:sz w:val="20"/>
          <w:lang w:val="fr-FR"/>
        </w:rPr>
        <w:t xml:space="preserve"> </w:t>
      </w:r>
      <w:r w:rsidRPr="00765853">
        <w:rPr>
          <w:rStyle w:val="Appelnotedebasdep"/>
          <w:b w:val="0"/>
          <w:bCs/>
          <w:sz w:val="20"/>
          <w:vertAlign w:val="baseline"/>
        </w:rPr>
        <w:footnoteReference w:customMarkFollows="1" w:id="3"/>
        <w:t>**</w:t>
      </w:r>
      <w:r w:rsidRPr="00765853">
        <w:rPr>
          <w:b w:val="0"/>
          <w:bCs/>
          <w:position w:val="6"/>
          <w:sz w:val="20"/>
          <w:lang w:val="fr-FR"/>
        </w:rPr>
        <w:t>,</w:t>
      </w:r>
      <w:r>
        <w:rPr>
          <w:b w:val="0"/>
          <w:bCs/>
          <w:position w:val="6"/>
          <w:sz w:val="20"/>
          <w:lang w:val="fr-FR"/>
        </w:rPr>
        <w:t xml:space="preserve"> </w:t>
      </w:r>
      <w:r w:rsidRPr="00765853">
        <w:rPr>
          <w:rStyle w:val="Appelnotedebasdep"/>
          <w:b w:val="0"/>
          <w:bCs/>
          <w:sz w:val="20"/>
          <w:vertAlign w:val="baseline"/>
        </w:rPr>
        <w:footnoteReference w:customMarkFollows="1" w:id="4"/>
        <w:t>***</w:t>
      </w:r>
    </w:p>
    <w:tbl>
      <w:tblPr>
        <w:tblW w:w="0" w:type="auto"/>
        <w:tblInd w:w="1701" w:type="dxa"/>
        <w:tblLayout w:type="fixed"/>
        <w:tblCellMar>
          <w:left w:w="0" w:type="dxa"/>
          <w:right w:w="0" w:type="dxa"/>
        </w:tblCellMar>
        <w:tblLook w:val="01E0" w:firstRow="1" w:lastRow="1" w:firstColumn="1" w:lastColumn="1" w:noHBand="0" w:noVBand="0"/>
      </w:tblPr>
      <w:tblGrid>
        <w:gridCol w:w="2835"/>
        <w:gridCol w:w="3970"/>
      </w:tblGrid>
      <w:tr w:rsidR="00765853" w14:paraId="10FB91B4" w14:textId="77777777" w:rsidTr="00765853">
        <w:tc>
          <w:tcPr>
            <w:tcW w:w="2835" w:type="dxa"/>
          </w:tcPr>
          <w:p w14:paraId="6C994524" w14:textId="77777777" w:rsidR="00765853" w:rsidRDefault="00765853">
            <w:pPr>
              <w:pStyle w:val="SingleTxtG"/>
              <w:ind w:left="0" w:right="0"/>
              <w:jc w:val="left"/>
              <w:rPr>
                <w:i/>
              </w:rPr>
            </w:pPr>
            <w:r>
              <w:rPr>
                <w:i/>
              </w:rPr>
              <w:t>Communication présentée par</w:t>
            </w:r>
            <w:r>
              <w:t> :</w:t>
            </w:r>
          </w:p>
        </w:tc>
        <w:tc>
          <w:tcPr>
            <w:tcW w:w="3970" w:type="dxa"/>
          </w:tcPr>
          <w:p w14:paraId="4EFE687E" w14:textId="77777777" w:rsidR="00765853" w:rsidRDefault="00765853">
            <w:pPr>
              <w:pStyle w:val="SingleTxtG"/>
              <w:ind w:left="0" w:right="0"/>
              <w:jc w:val="left"/>
            </w:pPr>
            <w:r w:rsidRPr="006503C8">
              <w:t>Eglė</w:t>
            </w:r>
            <w:r>
              <w:t xml:space="preserve"> </w:t>
            </w:r>
            <w:r w:rsidRPr="006503C8">
              <w:t>Kusaitė</w:t>
            </w:r>
            <w:r>
              <w:t xml:space="preserve"> </w:t>
            </w:r>
            <w:r w:rsidRPr="006503C8">
              <w:t>(représentée</w:t>
            </w:r>
            <w:r>
              <w:t xml:space="preserve"> </w:t>
            </w:r>
            <w:r w:rsidRPr="006503C8">
              <w:t>par</w:t>
            </w:r>
            <w:r>
              <w:t xml:space="preserve"> </w:t>
            </w:r>
            <w:r w:rsidRPr="006503C8">
              <w:t>un</w:t>
            </w:r>
            <w:r>
              <w:t xml:space="preserve"> </w:t>
            </w:r>
            <w:bookmarkStart w:id="0" w:name="_Hlk8141529"/>
            <w:r w:rsidRPr="006503C8">
              <w:t>conseil,</w:t>
            </w:r>
            <w:r>
              <w:t xml:space="preserve"> </w:t>
            </w:r>
            <w:r w:rsidRPr="006503C8">
              <w:t>Erika</w:t>
            </w:r>
            <w:r>
              <w:t> </w:t>
            </w:r>
            <w:r w:rsidRPr="006503C8">
              <w:t>Leonaitė,</w:t>
            </w:r>
            <w:r>
              <w:t xml:space="preserve"> </w:t>
            </w:r>
            <w:r w:rsidRPr="006503C8">
              <w:t>et</w:t>
            </w:r>
            <w:r>
              <w:t> </w:t>
            </w:r>
            <w:r w:rsidRPr="006503C8">
              <w:t>précédemment</w:t>
            </w:r>
            <w:r>
              <w:t xml:space="preserve"> </w:t>
            </w:r>
            <w:r w:rsidRPr="006503C8">
              <w:t>par</w:t>
            </w:r>
            <w:r>
              <w:t xml:space="preserve"> </w:t>
            </w:r>
            <w:r w:rsidRPr="006503C8">
              <w:t>Jurate</w:t>
            </w:r>
            <w:r>
              <w:t xml:space="preserve"> </w:t>
            </w:r>
            <w:r w:rsidRPr="006503C8">
              <w:t>Guzeviciute</w:t>
            </w:r>
            <w:r>
              <w:t xml:space="preserve">, </w:t>
            </w:r>
            <w:r w:rsidRPr="006503C8">
              <w:t>du</w:t>
            </w:r>
            <w:r>
              <w:t> </w:t>
            </w:r>
            <w:r w:rsidRPr="006503C8">
              <w:t>Human</w:t>
            </w:r>
            <w:r>
              <w:t xml:space="preserve"> </w:t>
            </w:r>
            <w:r w:rsidRPr="006503C8">
              <w:t>Rights</w:t>
            </w:r>
            <w:r>
              <w:t xml:space="preserve"> </w:t>
            </w:r>
            <w:r w:rsidRPr="006503C8">
              <w:t>Monitoring</w:t>
            </w:r>
            <w:r>
              <w:t xml:space="preserve"> </w:t>
            </w:r>
            <w:r w:rsidRPr="006503C8">
              <w:t>Institute</w:t>
            </w:r>
            <w:bookmarkEnd w:id="0"/>
            <w:r w:rsidRPr="006503C8">
              <w:t>)</w:t>
            </w:r>
          </w:p>
        </w:tc>
      </w:tr>
      <w:tr w:rsidR="00765853" w14:paraId="6C5B5BC9" w14:textId="77777777" w:rsidTr="00765853">
        <w:tc>
          <w:tcPr>
            <w:tcW w:w="2835" w:type="dxa"/>
          </w:tcPr>
          <w:p w14:paraId="1E115765" w14:textId="77777777" w:rsidR="00765853" w:rsidRDefault="00765853">
            <w:pPr>
              <w:pStyle w:val="SingleTxtG"/>
              <w:ind w:left="0" w:right="0"/>
              <w:jc w:val="left"/>
              <w:rPr>
                <w:i/>
              </w:rPr>
            </w:pPr>
            <w:r>
              <w:rPr>
                <w:i/>
              </w:rPr>
              <w:t>Victime présumée</w:t>
            </w:r>
            <w:r>
              <w:t> :</w:t>
            </w:r>
          </w:p>
        </w:tc>
        <w:tc>
          <w:tcPr>
            <w:tcW w:w="3970" w:type="dxa"/>
          </w:tcPr>
          <w:p w14:paraId="1A528F97" w14:textId="77777777" w:rsidR="00765853" w:rsidRDefault="00765853">
            <w:pPr>
              <w:pStyle w:val="SingleTxtG"/>
              <w:ind w:left="0" w:right="0"/>
              <w:jc w:val="left"/>
            </w:pPr>
            <w:r w:rsidRPr="006503C8">
              <w:t>L</w:t>
            </w:r>
            <w:r w:rsidR="00CA2931">
              <w:t>’</w:t>
            </w:r>
            <w:r w:rsidRPr="006503C8">
              <w:t>auteure</w:t>
            </w:r>
          </w:p>
        </w:tc>
      </w:tr>
      <w:tr w:rsidR="00765853" w14:paraId="0F236F7D" w14:textId="77777777" w:rsidTr="00765853">
        <w:tc>
          <w:tcPr>
            <w:tcW w:w="2835" w:type="dxa"/>
          </w:tcPr>
          <w:p w14:paraId="07DD1640" w14:textId="77777777" w:rsidR="00765853" w:rsidRDefault="00765853">
            <w:pPr>
              <w:pStyle w:val="SingleTxtG"/>
              <w:ind w:left="0" w:right="0"/>
              <w:jc w:val="left"/>
              <w:rPr>
                <w:i/>
              </w:rPr>
            </w:pPr>
            <w:r>
              <w:rPr>
                <w:i/>
              </w:rPr>
              <w:t>État partie</w:t>
            </w:r>
            <w:r>
              <w:t> :</w:t>
            </w:r>
          </w:p>
        </w:tc>
        <w:tc>
          <w:tcPr>
            <w:tcW w:w="3970" w:type="dxa"/>
          </w:tcPr>
          <w:p w14:paraId="47AB3BD7" w14:textId="77777777" w:rsidR="00765853" w:rsidRDefault="00765853">
            <w:pPr>
              <w:pStyle w:val="SingleTxtG"/>
              <w:ind w:left="0" w:right="0"/>
              <w:jc w:val="left"/>
            </w:pPr>
            <w:r w:rsidRPr="006503C8">
              <w:t>Lituanie</w:t>
            </w:r>
          </w:p>
        </w:tc>
      </w:tr>
      <w:tr w:rsidR="00765853" w14:paraId="7D9CD114" w14:textId="77777777" w:rsidTr="00765853">
        <w:tc>
          <w:tcPr>
            <w:tcW w:w="2835" w:type="dxa"/>
          </w:tcPr>
          <w:p w14:paraId="5D78D3B8" w14:textId="77777777" w:rsidR="00765853" w:rsidRDefault="00765853">
            <w:pPr>
              <w:pStyle w:val="SingleTxtG"/>
              <w:ind w:left="0" w:right="0"/>
              <w:jc w:val="left"/>
              <w:rPr>
                <w:i/>
              </w:rPr>
            </w:pPr>
            <w:r>
              <w:rPr>
                <w:i/>
              </w:rPr>
              <w:t>Date de la communication</w:t>
            </w:r>
            <w:r>
              <w:t> :</w:t>
            </w:r>
          </w:p>
        </w:tc>
        <w:tc>
          <w:tcPr>
            <w:tcW w:w="3970" w:type="dxa"/>
          </w:tcPr>
          <w:p w14:paraId="7F5F145B" w14:textId="77777777" w:rsidR="00765853" w:rsidRDefault="00765853">
            <w:pPr>
              <w:pStyle w:val="SingleTxtG"/>
              <w:ind w:left="0" w:right="0"/>
              <w:jc w:val="left"/>
            </w:pPr>
            <w:r w:rsidRPr="006503C8">
              <w:t>30</w:t>
            </w:r>
            <w:r>
              <w:t> </w:t>
            </w:r>
            <w:r w:rsidRPr="006503C8">
              <w:t>octobre</w:t>
            </w:r>
            <w:r>
              <w:t xml:space="preserve"> </w:t>
            </w:r>
            <w:r w:rsidRPr="006503C8">
              <w:t>2015</w:t>
            </w:r>
            <w:r>
              <w:t xml:space="preserve"> </w:t>
            </w:r>
            <w:r w:rsidRPr="006503C8">
              <w:t>(date</w:t>
            </w:r>
            <w:r>
              <w:t xml:space="preserve"> </w:t>
            </w:r>
            <w:r w:rsidRPr="006503C8">
              <w:t>de</w:t>
            </w:r>
            <w:r>
              <w:t xml:space="preserve"> </w:t>
            </w:r>
            <w:r w:rsidRPr="006503C8">
              <w:t>la</w:t>
            </w:r>
            <w:r>
              <w:t xml:space="preserve"> </w:t>
            </w:r>
            <w:r w:rsidRPr="006503C8">
              <w:t>lettre</w:t>
            </w:r>
            <w:r>
              <w:t xml:space="preserve"> </w:t>
            </w:r>
            <w:r w:rsidRPr="006503C8">
              <w:t>initiale)</w:t>
            </w:r>
          </w:p>
        </w:tc>
      </w:tr>
      <w:tr w:rsidR="00765853" w14:paraId="3D2FA5A7" w14:textId="77777777" w:rsidTr="00765853">
        <w:tc>
          <w:tcPr>
            <w:tcW w:w="2835" w:type="dxa"/>
          </w:tcPr>
          <w:p w14:paraId="040DED5F" w14:textId="77777777" w:rsidR="00765853" w:rsidRDefault="00765853">
            <w:pPr>
              <w:pStyle w:val="SingleTxtG"/>
              <w:ind w:left="0" w:right="0"/>
              <w:jc w:val="left"/>
              <w:rPr>
                <w:i/>
              </w:rPr>
            </w:pPr>
            <w:r>
              <w:rPr>
                <w:i/>
              </w:rPr>
              <w:t>Références</w:t>
            </w:r>
            <w:r w:rsidRPr="00765853">
              <w:rPr>
                <w:iCs/>
              </w:rPr>
              <w:t> :</w:t>
            </w:r>
          </w:p>
        </w:tc>
        <w:tc>
          <w:tcPr>
            <w:tcW w:w="3970" w:type="dxa"/>
          </w:tcPr>
          <w:p w14:paraId="255807CA" w14:textId="77777777" w:rsidR="00765853" w:rsidRPr="006503C8" w:rsidRDefault="00765853">
            <w:pPr>
              <w:pStyle w:val="SingleTxtG"/>
              <w:ind w:left="0" w:right="0"/>
              <w:jc w:val="left"/>
            </w:pPr>
            <w:r w:rsidRPr="006503C8">
              <w:t>Décision</w:t>
            </w:r>
            <w:r>
              <w:t xml:space="preserve"> </w:t>
            </w:r>
            <w:r w:rsidRPr="006503C8">
              <w:t>prise</w:t>
            </w:r>
            <w:r>
              <w:t xml:space="preserve"> </w:t>
            </w:r>
            <w:r w:rsidRPr="006503C8">
              <w:t>en</w:t>
            </w:r>
            <w:r>
              <w:t xml:space="preserve"> </w:t>
            </w:r>
            <w:r w:rsidRPr="006503C8">
              <w:t>application</w:t>
            </w:r>
            <w:r>
              <w:t xml:space="preserve"> </w:t>
            </w:r>
            <w:r w:rsidRPr="006503C8">
              <w:t>de</w:t>
            </w:r>
            <w:r>
              <w:t xml:space="preserve"> </w:t>
            </w:r>
            <w:r w:rsidRPr="006503C8">
              <w:t>l</w:t>
            </w:r>
            <w:r w:rsidR="00CA2931">
              <w:t>’</w:t>
            </w:r>
            <w:r w:rsidRPr="006503C8">
              <w:t>article</w:t>
            </w:r>
            <w:r>
              <w:t xml:space="preserve"> </w:t>
            </w:r>
            <w:r w:rsidRPr="006503C8">
              <w:t>9</w:t>
            </w:r>
            <w:r>
              <w:t xml:space="preserve">7 </w:t>
            </w:r>
            <w:r w:rsidRPr="006503C8">
              <w:t>du</w:t>
            </w:r>
            <w:r>
              <w:t> </w:t>
            </w:r>
            <w:r w:rsidRPr="006503C8">
              <w:t>règlement</w:t>
            </w:r>
            <w:r>
              <w:t xml:space="preserve"> </w:t>
            </w:r>
            <w:r w:rsidRPr="006503C8">
              <w:t>intérieur</w:t>
            </w:r>
            <w:r>
              <w:t xml:space="preserve"> du Comité (article 92 du nouveau règlement)</w:t>
            </w:r>
            <w:r w:rsidRPr="006503C8">
              <w:t>,</w:t>
            </w:r>
            <w:r>
              <w:t xml:space="preserve"> </w:t>
            </w:r>
            <w:r w:rsidRPr="006503C8">
              <w:t>communiquée</w:t>
            </w:r>
            <w:r>
              <w:t xml:space="preserve"> </w:t>
            </w:r>
            <w:r w:rsidRPr="006503C8">
              <w:t>à</w:t>
            </w:r>
            <w:r>
              <w:t xml:space="preserve"> </w:t>
            </w:r>
            <w:r w:rsidRPr="006503C8">
              <w:t>l</w:t>
            </w:r>
            <w:r w:rsidR="00CA2931">
              <w:t>’</w:t>
            </w:r>
            <w:r w:rsidRPr="006503C8">
              <w:t>État</w:t>
            </w:r>
            <w:r>
              <w:t xml:space="preserve"> </w:t>
            </w:r>
            <w:r w:rsidRPr="006503C8">
              <w:t>partie</w:t>
            </w:r>
            <w:r>
              <w:t xml:space="preserve"> </w:t>
            </w:r>
            <w:r w:rsidRPr="006503C8">
              <w:t>le</w:t>
            </w:r>
            <w:r>
              <w:t xml:space="preserve"> </w:t>
            </w:r>
            <w:r w:rsidRPr="006503C8">
              <w:t>8</w:t>
            </w:r>
            <w:r>
              <w:t> </w:t>
            </w:r>
            <w:r w:rsidRPr="006503C8">
              <w:t>janvier</w:t>
            </w:r>
            <w:r>
              <w:t xml:space="preserve"> </w:t>
            </w:r>
            <w:r w:rsidRPr="006503C8">
              <w:t>2016</w:t>
            </w:r>
            <w:r>
              <w:t xml:space="preserve"> </w:t>
            </w:r>
            <w:r w:rsidRPr="006503C8">
              <w:t>(non</w:t>
            </w:r>
            <w:r>
              <w:t xml:space="preserve"> </w:t>
            </w:r>
            <w:r w:rsidRPr="006503C8">
              <w:t>publiée</w:t>
            </w:r>
            <w:r>
              <w:t xml:space="preserve"> </w:t>
            </w:r>
            <w:r w:rsidRPr="006503C8">
              <w:t>sous</w:t>
            </w:r>
            <w:r>
              <w:t xml:space="preserve"> </w:t>
            </w:r>
            <w:r w:rsidRPr="006503C8">
              <w:t>forme</w:t>
            </w:r>
            <w:r>
              <w:t> </w:t>
            </w:r>
            <w:r w:rsidRPr="006503C8">
              <w:t>de</w:t>
            </w:r>
            <w:r>
              <w:t xml:space="preserve"> </w:t>
            </w:r>
            <w:r w:rsidRPr="006503C8">
              <w:t>document)</w:t>
            </w:r>
          </w:p>
        </w:tc>
      </w:tr>
      <w:tr w:rsidR="00765853" w14:paraId="74E3FA57" w14:textId="77777777" w:rsidTr="00765853">
        <w:tc>
          <w:tcPr>
            <w:tcW w:w="2835" w:type="dxa"/>
          </w:tcPr>
          <w:p w14:paraId="67F2C644" w14:textId="77777777" w:rsidR="00765853" w:rsidRDefault="00765853">
            <w:pPr>
              <w:pStyle w:val="SingleTxtG"/>
              <w:ind w:left="0" w:right="0"/>
              <w:jc w:val="left"/>
              <w:rPr>
                <w:i/>
              </w:rPr>
            </w:pPr>
            <w:r>
              <w:rPr>
                <w:i/>
              </w:rPr>
              <w:t>Date des constatations</w:t>
            </w:r>
            <w:r>
              <w:t> :</w:t>
            </w:r>
          </w:p>
        </w:tc>
        <w:tc>
          <w:tcPr>
            <w:tcW w:w="3970" w:type="dxa"/>
            <w:vAlign w:val="bottom"/>
          </w:tcPr>
          <w:p w14:paraId="67AD0D4C" w14:textId="77777777" w:rsidR="00765853" w:rsidRDefault="00765853">
            <w:pPr>
              <w:pStyle w:val="SingleTxtG"/>
              <w:ind w:left="0" w:right="0"/>
              <w:jc w:val="left"/>
            </w:pPr>
            <w:r>
              <w:t xml:space="preserve">24 juillet </w:t>
            </w:r>
            <w:r w:rsidRPr="006503C8">
              <w:t>2019</w:t>
            </w:r>
          </w:p>
        </w:tc>
      </w:tr>
      <w:tr w:rsidR="00765853" w14:paraId="6779EE21" w14:textId="77777777" w:rsidTr="00765853">
        <w:tc>
          <w:tcPr>
            <w:tcW w:w="2835" w:type="dxa"/>
          </w:tcPr>
          <w:p w14:paraId="6907E4B9" w14:textId="77777777" w:rsidR="00765853" w:rsidRDefault="00765853">
            <w:pPr>
              <w:pStyle w:val="SingleTxtG"/>
              <w:ind w:left="0" w:right="0"/>
              <w:jc w:val="left"/>
            </w:pPr>
            <w:r>
              <w:rPr>
                <w:i/>
              </w:rPr>
              <w:t>Objet</w:t>
            </w:r>
            <w:r>
              <w:t> :</w:t>
            </w:r>
          </w:p>
        </w:tc>
        <w:tc>
          <w:tcPr>
            <w:tcW w:w="3970" w:type="dxa"/>
            <w:vAlign w:val="bottom"/>
          </w:tcPr>
          <w:p w14:paraId="6EDE76A1" w14:textId="77777777" w:rsidR="00765853" w:rsidRDefault="00765853">
            <w:pPr>
              <w:pStyle w:val="SingleTxtG"/>
              <w:ind w:left="0" w:right="0"/>
              <w:jc w:val="left"/>
            </w:pPr>
            <w:r w:rsidRPr="006503C8">
              <w:t>Portée</w:t>
            </w:r>
            <w:r>
              <w:t xml:space="preserve"> </w:t>
            </w:r>
            <w:r w:rsidRPr="006503C8">
              <w:t>des</w:t>
            </w:r>
            <w:r>
              <w:t xml:space="preserve"> </w:t>
            </w:r>
            <w:r w:rsidRPr="006503C8">
              <w:t>restrictions</w:t>
            </w:r>
            <w:r>
              <w:t xml:space="preserve"> </w:t>
            </w:r>
            <w:r w:rsidRPr="006503C8">
              <w:t>à</w:t>
            </w:r>
            <w:r>
              <w:t xml:space="preserve"> </w:t>
            </w:r>
            <w:r w:rsidRPr="006503C8">
              <w:t>la</w:t>
            </w:r>
            <w:r>
              <w:t xml:space="preserve"> </w:t>
            </w:r>
            <w:r w:rsidRPr="006503C8">
              <w:t>liberté</w:t>
            </w:r>
            <w:r>
              <w:t xml:space="preserve"> </w:t>
            </w:r>
            <w:r w:rsidRPr="006503C8">
              <w:t>d</w:t>
            </w:r>
            <w:r w:rsidR="00CA2931">
              <w:t>’</w:t>
            </w:r>
            <w:r w:rsidRPr="006503C8">
              <w:t>expression,</w:t>
            </w:r>
            <w:r>
              <w:t xml:space="preserve"> </w:t>
            </w:r>
            <w:r w:rsidRPr="006503C8">
              <w:t>lois</w:t>
            </w:r>
            <w:r>
              <w:t xml:space="preserve"> </w:t>
            </w:r>
            <w:r w:rsidRPr="006503C8">
              <w:t>sur</w:t>
            </w:r>
            <w:r>
              <w:t xml:space="preserve"> </w:t>
            </w:r>
            <w:r w:rsidRPr="006503C8">
              <w:t>la</w:t>
            </w:r>
            <w:r>
              <w:t xml:space="preserve"> </w:t>
            </w:r>
            <w:r w:rsidRPr="006503C8">
              <w:t>diffamation</w:t>
            </w:r>
          </w:p>
        </w:tc>
      </w:tr>
      <w:tr w:rsidR="00765853" w14:paraId="66181406" w14:textId="77777777" w:rsidTr="00765853">
        <w:tc>
          <w:tcPr>
            <w:tcW w:w="2835" w:type="dxa"/>
          </w:tcPr>
          <w:p w14:paraId="4BB15AB4" w14:textId="77777777" w:rsidR="00765853" w:rsidRDefault="00765853">
            <w:pPr>
              <w:pStyle w:val="SingleTxtG"/>
              <w:ind w:left="0" w:right="0"/>
              <w:jc w:val="left"/>
            </w:pPr>
            <w:r>
              <w:rPr>
                <w:i/>
              </w:rPr>
              <w:t>Question</w:t>
            </w:r>
            <w:r w:rsidR="00586DDF">
              <w:rPr>
                <w:i/>
              </w:rPr>
              <w:t>(</w:t>
            </w:r>
            <w:r>
              <w:rPr>
                <w:i/>
              </w:rPr>
              <w:t>s</w:t>
            </w:r>
            <w:r w:rsidR="00586DDF">
              <w:rPr>
                <w:i/>
              </w:rPr>
              <w:t>)</w:t>
            </w:r>
            <w:r>
              <w:rPr>
                <w:i/>
              </w:rPr>
              <w:t xml:space="preserve"> de procédure</w:t>
            </w:r>
            <w:r>
              <w:t> :</w:t>
            </w:r>
          </w:p>
        </w:tc>
        <w:tc>
          <w:tcPr>
            <w:tcW w:w="3970" w:type="dxa"/>
            <w:vAlign w:val="bottom"/>
          </w:tcPr>
          <w:p w14:paraId="6DF188C0" w14:textId="77777777" w:rsidR="00765853" w:rsidRDefault="00765853">
            <w:pPr>
              <w:pStyle w:val="SingleTxtG"/>
              <w:ind w:left="0" w:right="0"/>
              <w:jc w:val="left"/>
            </w:pPr>
            <w:r w:rsidRPr="006503C8">
              <w:t>Abus</w:t>
            </w:r>
            <w:r>
              <w:t xml:space="preserve"> </w:t>
            </w:r>
            <w:r w:rsidRPr="006503C8">
              <w:t>du</w:t>
            </w:r>
            <w:r>
              <w:t xml:space="preserve"> </w:t>
            </w:r>
            <w:r w:rsidRPr="006503C8">
              <w:t>droit</w:t>
            </w:r>
            <w:r>
              <w:t xml:space="preserve"> </w:t>
            </w:r>
            <w:r w:rsidRPr="006503C8">
              <w:t>de</w:t>
            </w:r>
            <w:r>
              <w:t xml:space="preserve"> </w:t>
            </w:r>
            <w:r w:rsidRPr="006503C8">
              <w:t>présenter</w:t>
            </w:r>
            <w:r>
              <w:t xml:space="preserve"> </w:t>
            </w:r>
            <w:r w:rsidRPr="006503C8">
              <w:t>des</w:t>
            </w:r>
            <w:r>
              <w:t xml:space="preserve"> </w:t>
            </w:r>
            <w:r w:rsidRPr="006503C8">
              <w:t>communications,</w:t>
            </w:r>
            <w:r>
              <w:t xml:space="preserve"> </w:t>
            </w:r>
            <w:r w:rsidRPr="006503C8">
              <w:t>statut</w:t>
            </w:r>
            <w:r>
              <w:t xml:space="preserve"> </w:t>
            </w:r>
            <w:r w:rsidRPr="006503C8">
              <w:t>de</w:t>
            </w:r>
            <w:r>
              <w:t xml:space="preserve"> </w:t>
            </w:r>
            <w:r w:rsidRPr="006503C8">
              <w:t>victime,</w:t>
            </w:r>
            <w:r>
              <w:t xml:space="preserve"> </w:t>
            </w:r>
            <w:r w:rsidRPr="006503C8">
              <w:t>même</w:t>
            </w:r>
            <w:r>
              <w:t xml:space="preserve"> </w:t>
            </w:r>
            <w:r w:rsidRPr="006503C8">
              <w:t>question</w:t>
            </w:r>
          </w:p>
        </w:tc>
      </w:tr>
      <w:tr w:rsidR="00765853" w14:paraId="01CAC51A" w14:textId="77777777" w:rsidTr="00765853">
        <w:tc>
          <w:tcPr>
            <w:tcW w:w="2835" w:type="dxa"/>
          </w:tcPr>
          <w:p w14:paraId="44C52822" w14:textId="77777777" w:rsidR="00765853" w:rsidRDefault="00765853">
            <w:pPr>
              <w:pStyle w:val="SingleTxtG"/>
              <w:ind w:left="0" w:right="0"/>
              <w:jc w:val="left"/>
            </w:pPr>
            <w:r>
              <w:rPr>
                <w:i/>
              </w:rPr>
              <w:t>Question</w:t>
            </w:r>
            <w:r w:rsidR="00586DDF">
              <w:rPr>
                <w:i/>
              </w:rPr>
              <w:t>(</w:t>
            </w:r>
            <w:r>
              <w:rPr>
                <w:i/>
              </w:rPr>
              <w:t>s</w:t>
            </w:r>
            <w:r w:rsidR="00586DDF">
              <w:rPr>
                <w:i/>
              </w:rPr>
              <w:t>)</w:t>
            </w:r>
            <w:bookmarkStart w:id="1" w:name="_GoBack"/>
            <w:bookmarkEnd w:id="1"/>
            <w:r>
              <w:rPr>
                <w:i/>
              </w:rPr>
              <w:t xml:space="preserve"> de fond</w:t>
            </w:r>
            <w:r>
              <w:t> :</w:t>
            </w:r>
          </w:p>
        </w:tc>
        <w:tc>
          <w:tcPr>
            <w:tcW w:w="3970" w:type="dxa"/>
            <w:vAlign w:val="bottom"/>
          </w:tcPr>
          <w:p w14:paraId="5AA18727" w14:textId="77777777" w:rsidR="00765853" w:rsidRDefault="00765853">
            <w:pPr>
              <w:pStyle w:val="SingleTxtG"/>
              <w:ind w:left="0" w:right="0"/>
              <w:jc w:val="left"/>
            </w:pPr>
            <w:r w:rsidRPr="006503C8">
              <w:t>Liberté</w:t>
            </w:r>
            <w:r>
              <w:t xml:space="preserve"> d</w:t>
            </w:r>
            <w:r w:rsidR="00CA2931">
              <w:t>’</w:t>
            </w:r>
            <w:r>
              <w:t xml:space="preserve">opinion et </w:t>
            </w:r>
            <w:r w:rsidRPr="006503C8">
              <w:t>d</w:t>
            </w:r>
            <w:r w:rsidR="00CA2931">
              <w:t>’</w:t>
            </w:r>
            <w:r w:rsidRPr="006503C8">
              <w:t>expression</w:t>
            </w:r>
          </w:p>
        </w:tc>
      </w:tr>
      <w:tr w:rsidR="00765853" w14:paraId="07A4698B" w14:textId="77777777" w:rsidTr="00765853">
        <w:tc>
          <w:tcPr>
            <w:tcW w:w="2835" w:type="dxa"/>
          </w:tcPr>
          <w:p w14:paraId="5AF8396E" w14:textId="77777777" w:rsidR="00765853" w:rsidRDefault="00765853">
            <w:pPr>
              <w:pStyle w:val="SingleTxtG"/>
              <w:ind w:left="0" w:right="0"/>
              <w:jc w:val="left"/>
              <w:rPr>
                <w:i/>
              </w:rPr>
            </w:pPr>
            <w:r>
              <w:rPr>
                <w:i/>
              </w:rPr>
              <w:t>Article(s) du Pacte </w:t>
            </w:r>
            <w:r w:rsidRPr="00765853">
              <w:rPr>
                <w:iCs/>
              </w:rPr>
              <w:t>:</w:t>
            </w:r>
          </w:p>
        </w:tc>
        <w:tc>
          <w:tcPr>
            <w:tcW w:w="3970" w:type="dxa"/>
            <w:vAlign w:val="bottom"/>
          </w:tcPr>
          <w:p w14:paraId="7FC019A2" w14:textId="77777777" w:rsidR="00765853" w:rsidRPr="006503C8" w:rsidRDefault="00765853">
            <w:pPr>
              <w:pStyle w:val="SingleTxtG"/>
              <w:ind w:left="0" w:right="0"/>
              <w:jc w:val="left"/>
            </w:pPr>
            <w:r w:rsidRPr="006503C8">
              <w:t>19</w:t>
            </w:r>
            <w:r>
              <w:t xml:space="preserve"> </w:t>
            </w:r>
            <w:r w:rsidRPr="006503C8">
              <w:t>(par.</w:t>
            </w:r>
            <w:r>
              <w:t> </w:t>
            </w:r>
            <w:r w:rsidRPr="006503C8">
              <w:t>2)</w:t>
            </w:r>
          </w:p>
        </w:tc>
      </w:tr>
      <w:tr w:rsidR="00765853" w14:paraId="2BC6C644" w14:textId="77777777" w:rsidTr="00765853">
        <w:tc>
          <w:tcPr>
            <w:tcW w:w="2835" w:type="dxa"/>
          </w:tcPr>
          <w:p w14:paraId="4971BF8E" w14:textId="77777777" w:rsidR="00765853" w:rsidRDefault="00765853">
            <w:pPr>
              <w:pStyle w:val="SingleTxtG"/>
              <w:ind w:left="0" w:right="0"/>
              <w:jc w:val="left"/>
            </w:pPr>
            <w:r>
              <w:rPr>
                <w:i/>
              </w:rPr>
              <w:t>Article(s) du Protocole facultatif</w:t>
            </w:r>
            <w:r>
              <w:t> :</w:t>
            </w:r>
          </w:p>
        </w:tc>
        <w:tc>
          <w:tcPr>
            <w:tcW w:w="3970" w:type="dxa"/>
            <w:vAlign w:val="bottom"/>
          </w:tcPr>
          <w:p w14:paraId="2BCE7E0F" w14:textId="77777777" w:rsidR="00765853" w:rsidRDefault="00765853">
            <w:pPr>
              <w:pStyle w:val="SingleTxtG"/>
              <w:ind w:left="0" w:right="0"/>
              <w:jc w:val="left"/>
            </w:pPr>
            <w:r w:rsidRPr="006503C8">
              <w:t>1,</w:t>
            </w:r>
            <w:r>
              <w:t xml:space="preserve"> </w:t>
            </w:r>
            <w:r w:rsidRPr="006503C8">
              <w:t>2,</w:t>
            </w:r>
            <w:r>
              <w:t xml:space="preserve"> </w:t>
            </w:r>
            <w:r w:rsidRPr="006503C8">
              <w:t>3</w:t>
            </w:r>
            <w:r>
              <w:t xml:space="preserve"> </w:t>
            </w:r>
            <w:r w:rsidRPr="006503C8">
              <w:t>et</w:t>
            </w:r>
            <w:r>
              <w:t xml:space="preserve"> </w:t>
            </w:r>
            <w:r w:rsidRPr="006503C8">
              <w:t>5</w:t>
            </w:r>
            <w:r>
              <w:t xml:space="preserve"> </w:t>
            </w:r>
            <w:r w:rsidRPr="006503C8">
              <w:t>(par.</w:t>
            </w:r>
            <w:r>
              <w:t> </w:t>
            </w:r>
            <w:r w:rsidRPr="006503C8">
              <w:t>2</w:t>
            </w:r>
            <w:r>
              <w:t> </w:t>
            </w:r>
            <w:r w:rsidRPr="006503C8">
              <w:t>a))</w:t>
            </w:r>
          </w:p>
        </w:tc>
      </w:tr>
    </w:tbl>
    <w:p w14:paraId="03B0D6C1" w14:textId="77777777" w:rsidR="00765853" w:rsidRPr="006503C8" w:rsidRDefault="00765853" w:rsidP="00765853">
      <w:pPr>
        <w:pStyle w:val="SingleTxtG"/>
      </w:pPr>
      <w:r>
        <w:br w:type="page"/>
      </w:r>
      <w:r w:rsidRPr="006503C8">
        <w:lastRenderedPageBreak/>
        <w:t>1.</w:t>
      </w:r>
      <w:r w:rsidRPr="006503C8">
        <w:tab/>
        <w:t>L</w:t>
      </w:r>
      <w:r w:rsidR="00CA2931">
        <w:t>’</w:t>
      </w:r>
      <w:r w:rsidRPr="006503C8">
        <w:t>auteure</w:t>
      </w:r>
      <w:r>
        <w:t xml:space="preserve"> </w:t>
      </w:r>
      <w:r w:rsidRPr="006503C8">
        <w:t>de</w:t>
      </w:r>
      <w:r>
        <w:t xml:space="preserve"> </w:t>
      </w:r>
      <w:r w:rsidRPr="006503C8">
        <w:t>la</w:t>
      </w:r>
      <w:r>
        <w:t xml:space="preserve"> </w:t>
      </w:r>
      <w:r w:rsidRPr="006503C8">
        <w:t>communication</w:t>
      </w:r>
      <w:r>
        <w:t xml:space="preserve"> </w:t>
      </w:r>
      <w:r w:rsidRPr="006503C8">
        <w:t>est</w:t>
      </w:r>
      <w:r>
        <w:t xml:space="preserve"> M</w:t>
      </w:r>
      <w:r>
        <w:rPr>
          <w:vertAlign w:val="superscript"/>
        </w:rPr>
        <w:t>me</w:t>
      </w:r>
      <w:r>
        <w:t> </w:t>
      </w:r>
      <w:r w:rsidRPr="006503C8">
        <w:t>Eglė</w:t>
      </w:r>
      <w:r>
        <w:t xml:space="preserve"> </w:t>
      </w:r>
      <w:r w:rsidRPr="006503C8">
        <w:t>Kusaitė,</w:t>
      </w:r>
      <w:r>
        <w:t xml:space="preserve"> </w:t>
      </w:r>
      <w:r w:rsidRPr="006503C8">
        <w:t>de</w:t>
      </w:r>
      <w:r>
        <w:t xml:space="preserve"> </w:t>
      </w:r>
      <w:r w:rsidRPr="006503C8">
        <w:t>nationalité</w:t>
      </w:r>
      <w:r>
        <w:t xml:space="preserve"> </w:t>
      </w:r>
      <w:r w:rsidRPr="006503C8">
        <w:t>lituanienne,</w:t>
      </w:r>
      <w:r>
        <w:t xml:space="preserve"> </w:t>
      </w:r>
      <w:r w:rsidRPr="006503C8">
        <w:t>née</w:t>
      </w:r>
      <w:r>
        <w:t xml:space="preserve"> </w:t>
      </w:r>
      <w:r w:rsidRPr="006503C8">
        <w:t>en</w:t>
      </w:r>
      <w:r>
        <w:t xml:space="preserve"> </w:t>
      </w:r>
      <w:r w:rsidRPr="006503C8">
        <w:t>1989.</w:t>
      </w:r>
      <w:r>
        <w:t xml:space="preserve"> </w:t>
      </w:r>
      <w:r w:rsidRPr="006503C8">
        <w:t>Elle</w:t>
      </w:r>
      <w:r>
        <w:t xml:space="preserve"> </w:t>
      </w:r>
      <w:r w:rsidRPr="006503C8">
        <w:t>affirme</w:t>
      </w:r>
      <w:r>
        <w:t xml:space="preserve"> </w:t>
      </w:r>
      <w:r w:rsidRPr="006503C8">
        <w:t>que</w:t>
      </w:r>
      <w:r>
        <w:t xml:space="preserve"> </w:t>
      </w:r>
      <w:r w:rsidRPr="006503C8">
        <w:t>l</w:t>
      </w:r>
      <w:r w:rsidR="00CA2931">
        <w:t>’</w:t>
      </w:r>
      <w:r w:rsidRPr="006503C8">
        <w:t>État</w:t>
      </w:r>
      <w:r>
        <w:t xml:space="preserve"> </w:t>
      </w:r>
      <w:r w:rsidRPr="006503C8">
        <w:t>partie</w:t>
      </w:r>
      <w:r>
        <w:t xml:space="preserve"> </w:t>
      </w:r>
      <w:r w:rsidRPr="006503C8">
        <w:t>a</w:t>
      </w:r>
      <w:r>
        <w:t xml:space="preserve"> </w:t>
      </w:r>
      <w:r w:rsidRPr="006503C8">
        <w:t>violé</w:t>
      </w:r>
      <w:r>
        <w:t xml:space="preserve"> </w:t>
      </w:r>
      <w:r w:rsidRPr="006503C8">
        <w:t>les</w:t>
      </w:r>
      <w:r>
        <w:t xml:space="preserve"> </w:t>
      </w:r>
      <w:r w:rsidRPr="006503C8">
        <w:t>droits</w:t>
      </w:r>
      <w:r>
        <w:t xml:space="preserve"> </w:t>
      </w:r>
      <w:r w:rsidRPr="006503C8">
        <w:t>qu</w:t>
      </w:r>
      <w:r w:rsidR="00CA2931">
        <w:t>’</w:t>
      </w:r>
      <w:r w:rsidRPr="006503C8">
        <w:t>elle</w:t>
      </w:r>
      <w:r>
        <w:t xml:space="preserve"> </w:t>
      </w:r>
      <w:r w:rsidRPr="006503C8">
        <w:t>tient</w:t>
      </w:r>
      <w:r>
        <w:t xml:space="preserve"> </w:t>
      </w:r>
      <w:r w:rsidRPr="006503C8">
        <w:t>du</w:t>
      </w:r>
      <w:r>
        <w:t xml:space="preserve"> </w:t>
      </w:r>
      <w:r w:rsidRPr="006503C8">
        <w:t>paragraphe</w:t>
      </w:r>
      <w:r>
        <w:t xml:space="preserve"> </w:t>
      </w:r>
      <w:r w:rsidRPr="006503C8">
        <w:t>2</w:t>
      </w:r>
      <w:r>
        <w:t xml:space="preserve"> </w:t>
      </w:r>
      <w:r w:rsidRPr="006503C8">
        <w:t>de</w:t>
      </w:r>
      <w:r>
        <w:t xml:space="preserve"> </w:t>
      </w:r>
      <w:r w:rsidRPr="006503C8">
        <w:t>l</w:t>
      </w:r>
      <w:r w:rsidR="00CA2931">
        <w:t>’</w:t>
      </w:r>
      <w:r w:rsidRPr="006503C8">
        <w:t>article</w:t>
      </w:r>
      <w:r>
        <w:t xml:space="preserve"> </w:t>
      </w:r>
      <w:r w:rsidRPr="006503C8">
        <w:t>19</w:t>
      </w:r>
      <w:r>
        <w:t xml:space="preserve"> </w:t>
      </w:r>
      <w:r w:rsidRPr="006503C8">
        <w:t>du</w:t>
      </w:r>
      <w:r>
        <w:t xml:space="preserve"> </w:t>
      </w:r>
      <w:r w:rsidRPr="006503C8">
        <w:t>Pacte.</w:t>
      </w:r>
      <w:r>
        <w:t xml:space="preserve"> </w:t>
      </w:r>
      <w:r w:rsidRPr="006503C8">
        <w:t>Le</w:t>
      </w:r>
      <w:r>
        <w:t xml:space="preserve"> </w:t>
      </w:r>
      <w:r w:rsidRPr="006503C8">
        <w:t>Protocole</w:t>
      </w:r>
      <w:r>
        <w:t xml:space="preserve"> </w:t>
      </w:r>
      <w:r w:rsidRPr="006503C8">
        <w:t>facultatif</w:t>
      </w:r>
      <w:r>
        <w:t xml:space="preserve"> </w:t>
      </w:r>
      <w:r w:rsidRPr="006503C8">
        <w:t>est</w:t>
      </w:r>
      <w:r>
        <w:t xml:space="preserve"> </w:t>
      </w:r>
      <w:r w:rsidRPr="006503C8">
        <w:t>entré</w:t>
      </w:r>
      <w:r>
        <w:t xml:space="preserve"> </w:t>
      </w:r>
      <w:r w:rsidRPr="006503C8">
        <w:t>en</w:t>
      </w:r>
      <w:r>
        <w:t xml:space="preserve"> </w:t>
      </w:r>
      <w:r w:rsidRPr="006503C8">
        <w:t>vigueur</w:t>
      </w:r>
      <w:r>
        <w:t xml:space="preserve"> </w:t>
      </w:r>
      <w:r w:rsidRPr="006503C8">
        <w:t>pour</w:t>
      </w:r>
      <w:r>
        <w:t xml:space="preserve"> </w:t>
      </w:r>
      <w:r w:rsidRPr="006503C8">
        <w:t>l</w:t>
      </w:r>
      <w:r w:rsidR="00CA2931">
        <w:t>’</w:t>
      </w:r>
      <w:r w:rsidRPr="006503C8">
        <w:t>État</w:t>
      </w:r>
      <w:r>
        <w:t xml:space="preserve"> </w:t>
      </w:r>
      <w:r w:rsidRPr="006503C8">
        <w:t>partie</w:t>
      </w:r>
      <w:r>
        <w:t xml:space="preserve"> </w:t>
      </w:r>
      <w:r w:rsidRPr="006503C8">
        <w:t>le</w:t>
      </w:r>
      <w:r>
        <w:t xml:space="preserve"> </w:t>
      </w:r>
      <w:r w:rsidRPr="006503C8">
        <w:t>20</w:t>
      </w:r>
      <w:r>
        <w:t> </w:t>
      </w:r>
      <w:r w:rsidRPr="006503C8">
        <w:t>février</w:t>
      </w:r>
      <w:r>
        <w:t xml:space="preserve"> </w:t>
      </w:r>
      <w:r w:rsidRPr="006503C8">
        <w:t>1992.</w:t>
      </w:r>
      <w:r>
        <w:t xml:space="preserve"> </w:t>
      </w:r>
      <w:r w:rsidRPr="006503C8">
        <w:t>L</w:t>
      </w:r>
      <w:r w:rsidR="00CA2931">
        <w:t>’</w:t>
      </w:r>
      <w:r w:rsidRPr="006503C8">
        <w:t>auteure</w:t>
      </w:r>
      <w:r>
        <w:t xml:space="preserve"> </w:t>
      </w:r>
      <w:r w:rsidRPr="006503C8">
        <w:t>est</w:t>
      </w:r>
      <w:r>
        <w:t xml:space="preserve"> </w:t>
      </w:r>
      <w:r w:rsidRPr="006503C8">
        <w:t>représentée</w:t>
      </w:r>
      <w:r>
        <w:t xml:space="preserve"> </w:t>
      </w:r>
      <w:r w:rsidRPr="006503C8">
        <w:t>par</w:t>
      </w:r>
      <w:r>
        <w:t xml:space="preserve"> </w:t>
      </w:r>
      <w:r w:rsidRPr="006503C8">
        <w:t>un</w:t>
      </w:r>
      <w:r>
        <w:t xml:space="preserve"> </w:t>
      </w:r>
      <w:r w:rsidRPr="006503C8">
        <w:t>conseil.</w:t>
      </w:r>
    </w:p>
    <w:p w14:paraId="322B587F" w14:textId="77777777" w:rsidR="00765853" w:rsidRPr="006503C8" w:rsidRDefault="00765853" w:rsidP="00765853">
      <w:pPr>
        <w:pStyle w:val="H23G"/>
      </w:pPr>
      <w:r w:rsidRPr="006503C8">
        <w:tab/>
      </w:r>
      <w:r w:rsidRPr="006503C8">
        <w:tab/>
        <w:t>Rappel</w:t>
      </w:r>
      <w:r>
        <w:t xml:space="preserve"> </w:t>
      </w:r>
      <w:r w:rsidRPr="006503C8">
        <w:t>des</w:t>
      </w:r>
      <w:r>
        <w:t xml:space="preserve"> </w:t>
      </w:r>
      <w:r w:rsidRPr="006503C8">
        <w:t>faits</w:t>
      </w:r>
      <w:r>
        <w:t xml:space="preserve"> </w:t>
      </w:r>
      <w:r w:rsidRPr="006503C8">
        <w:t>présentés</w:t>
      </w:r>
      <w:r>
        <w:t xml:space="preserve"> </w:t>
      </w:r>
      <w:r w:rsidRPr="006503C8">
        <w:t>par</w:t>
      </w:r>
      <w:r>
        <w:t xml:space="preserve"> </w:t>
      </w:r>
      <w:r w:rsidRPr="006503C8">
        <w:t>l</w:t>
      </w:r>
      <w:r w:rsidR="00CA2931">
        <w:t>’</w:t>
      </w:r>
      <w:r w:rsidRPr="006503C8">
        <w:t>auteure</w:t>
      </w:r>
    </w:p>
    <w:p w14:paraId="43EEC452" w14:textId="77777777" w:rsidR="00765853" w:rsidRPr="006503C8" w:rsidRDefault="00765853" w:rsidP="00765853">
      <w:pPr>
        <w:pStyle w:val="SingleTxtG"/>
      </w:pPr>
      <w:r w:rsidRPr="006503C8">
        <w:t>2.1</w:t>
      </w:r>
      <w:r w:rsidRPr="006503C8">
        <w:tab/>
        <w:t>Entre</w:t>
      </w:r>
      <w:r>
        <w:t xml:space="preserve"> </w:t>
      </w:r>
      <w:r w:rsidRPr="006503C8">
        <w:t>2009</w:t>
      </w:r>
      <w:r>
        <w:t xml:space="preserve"> </w:t>
      </w:r>
      <w:r w:rsidRPr="006503C8">
        <w:t>et</w:t>
      </w:r>
      <w:r>
        <w:t xml:space="preserve"> </w:t>
      </w:r>
      <w:r w:rsidRPr="006503C8">
        <w:t>2013,</w:t>
      </w:r>
      <w:r>
        <w:t xml:space="preserve"> </w:t>
      </w:r>
      <w:r w:rsidRPr="006503C8">
        <w:t>trois</w:t>
      </w:r>
      <w:r>
        <w:t xml:space="preserve"> </w:t>
      </w:r>
      <w:r w:rsidRPr="006503C8">
        <w:t>procédures</w:t>
      </w:r>
      <w:r>
        <w:t xml:space="preserve"> </w:t>
      </w:r>
      <w:r w:rsidRPr="006503C8">
        <w:t>pénales</w:t>
      </w:r>
      <w:r>
        <w:t xml:space="preserve"> </w:t>
      </w:r>
      <w:r w:rsidRPr="006503C8">
        <w:t>pour</w:t>
      </w:r>
      <w:r>
        <w:t xml:space="preserve"> </w:t>
      </w:r>
      <w:r w:rsidRPr="006503C8">
        <w:t>terrorisme</w:t>
      </w:r>
      <w:r>
        <w:t xml:space="preserve"> </w:t>
      </w:r>
      <w:r w:rsidRPr="006503C8">
        <w:t>ont</w:t>
      </w:r>
      <w:r>
        <w:t xml:space="preserve"> </w:t>
      </w:r>
      <w:r w:rsidRPr="006503C8">
        <w:t>été</w:t>
      </w:r>
      <w:r>
        <w:t xml:space="preserve"> </w:t>
      </w:r>
      <w:r w:rsidRPr="006503C8">
        <w:t>engagées</w:t>
      </w:r>
      <w:r>
        <w:t xml:space="preserve"> </w:t>
      </w:r>
      <w:r w:rsidRPr="006503C8">
        <w:t>contre</w:t>
      </w:r>
      <w:r>
        <w:t xml:space="preserve"> </w:t>
      </w:r>
      <w:r w:rsidRPr="006503C8">
        <w:t>l</w:t>
      </w:r>
      <w:r w:rsidR="00CA2931">
        <w:t>’</w:t>
      </w:r>
      <w:r w:rsidRPr="006503C8">
        <w:t>auteure</w:t>
      </w:r>
      <w:r>
        <w:t xml:space="preserve"> </w:t>
      </w:r>
      <w:r w:rsidRPr="006503C8">
        <w:t>en</w:t>
      </w:r>
      <w:r>
        <w:t xml:space="preserve"> </w:t>
      </w:r>
      <w:r w:rsidRPr="006503C8">
        <w:t>Lituanie.</w:t>
      </w:r>
      <w:r>
        <w:t xml:space="preserve"> </w:t>
      </w:r>
      <w:r w:rsidRPr="006503C8">
        <w:t>Le</w:t>
      </w:r>
      <w:r>
        <w:t xml:space="preserve"> </w:t>
      </w:r>
      <w:r w:rsidRPr="006503C8">
        <w:t>24</w:t>
      </w:r>
      <w:r>
        <w:t> </w:t>
      </w:r>
      <w:r w:rsidRPr="006503C8">
        <w:t>mars</w:t>
      </w:r>
      <w:r>
        <w:t xml:space="preserve"> </w:t>
      </w:r>
      <w:r w:rsidRPr="006503C8">
        <w:t>2011,</w:t>
      </w:r>
      <w:r>
        <w:t xml:space="preserve"> </w:t>
      </w:r>
      <w:r w:rsidRPr="006503C8">
        <w:t>à</w:t>
      </w:r>
      <w:r>
        <w:t xml:space="preserve"> </w:t>
      </w:r>
      <w:r w:rsidRPr="006503C8">
        <w:t>l</w:t>
      </w:r>
      <w:r w:rsidR="00CA2931">
        <w:t>’</w:t>
      </w:r>
      <w:r w:rsidRPr="006503C8">
        <w:t>audience</w:t>
      </w:r>
      <w:r>
        <w:t xml:space="preserve"> </w:t>
      </w:r>
      <w:r w:rsidRPr="006503C8">
        <w:t>consacrée</w:t>
      </w:r>
      <w:r>
        <w:t xml:space="preserve"> </w:t>
      </w:r>
      <w:r w:rsidRPr="006503C8">
        <w:t>à</w:t>
      </w:r>
      <w:r>
        <w:t xml:space="preserve"> </w:t>
      </w:r>
      <w:r w:rsidRPr="006503C8">
        <w:t>l</w:t>
      </w:r>
      <w:r w:rsidR="00CA2931">
        <w:t>’</w:t>
      </w:r>
      <w:r w:rsidRPr="006503C8">
        <w:t>une</w:t>
      </w:r>
      <w:r>
        <w:t xml:space="preserve"> </w:t>
      </w:r>
      <w:r w:rsidRPr="006503C8">
        <w:t>de</w:t>
      </w:r>
      <w:r>
        <w:t xml:space="preserve"> </w:t>
      </w:r>
      <w:r w:rsidRPr="006503C8">
        <w:t>ces</w:t>
      </w:r>
      <w:r>
        <w:t xml:space="preserve"> </w:t>
      </w:r>
      <w:r w:rsidRPr="006503C8">
        <w:t>trois</w:t>
      </w:r>
      <w:r>
        <w:t xml:space="preserve"> </w:t>
      </w:r>
      <w:r w:rsidRPr="006503C8">
        <w:t>affaires,</w:t>
      </w:r>
      <w:r>
        <w:t xml:space="preserve"> </w:t>
      </w:r>
      <w:r w:rsidRPr="006503C8">
        <w:t>le</w:t>
      </w:r>
      <w:r>
        <w:t xml:space="preserve"> </w:t>
      </w:r>
      <w:r w:rsidRPr="006503C8">
        <w:t>procureur</w:t>
      </w:r>
      <w:r>
        <w:t xml:space="preserve"> </w:t>
      </w:r>
      <w:r w:rsidRPr="006503C8">
        <w:t>M.</w:t>
      </w:r>
      <w:r>
        <w:t> </w:t>
      </w:r>
      <w:r w:rsidRPr="006503C8">
        <w:t>D.</w:t>
      </w:r>
      <w:r>
        <w:t xml:space="preserve"> </w:t>
      </w:r>
      <w:r w:rsidRPr="006503C8">
        <w:t>a</w:t>
      </w:r>
      <w:r>
        <w:t xml:space="preserve"> </w:t>
      </w:r>
      <w:r w:rsidRPr="006503C8">
        <w:t>demandé</w:t>
      </w:r>
      <w:r>
        <w:t xml:space="preserve"> </w:t>
      </w:r>
      <w:r w:rsidRPr="006503C8">
        <w:t>au</w:t>
      </w:r>
      <w:r>
        <w:t xml:space="preserve"> </w:t>
      </w:r>
      <w:r w:rsidRPr="006503C8">
        <w:t>tribunal</w:t>
      </w:r>
      <w:r>
        <w:t xml:space="preserve"> </w:t>
      </w:r>
      <w:r w:rsidRPr="006503C8">
        <w:t>régional</w:t>
      </w:r>
      <w:r>
        <w:t xml:space="preserve"> </w:t>
      </w:r>
      <w:r w:rsidRPr="006503C8">
        <w:t>de</w:t>
      </w:r>
      <w:r>
        <w:t xml:space="preserve"> </w:t>
      </w:r>
      <w:r w:rsidRPr="006503C8">
        <w:t>Vilnius</w:t>
      </w:r>
      <w:r>
        <w:t xml:space="preserve"> </w:t>
      </w:r>
      <w:r w:rsidRPr="006503C8">
        <w:t>d</w:t>
      </w:r>
      <w:r w:rsidR="00CA2931">
        <w:t>’</w:t>
      </w:r>
      <w:r w:rsidRPr="006503C8">
        <w:t>ordonner</w:t>
      </w:r>
      <w:r>
        <w:t xml:space="preserve"> </w:t>
      </w:r>
      <w:r w:rsidRPr="006503C8">
        <w:t>la</w:t>
      </w:r>
      <w:r>
        <w:t xml:space="preserve"> </w:t>
      </w:r>
      <w:r w:rsidRPr="006503C8">
        <w:t>détention</w:t>
      </w:r>
      <w:r>
        <w:t xml:space="preserve"> </w:t>
      </w:r>
      <w:r w:rsidRPr="006503C8">
        <w:t>provisoire</w:t>
      </w:r>
      <w:r>
        <w:t xml:space="preserve"> </w:t>
      </w:r>
      <w:r w:rsidRPr="006503C8">
        <w:t>de</w:t>
      </w:r>
      <w:r>
        <w:t xml:space="preserve"> </w:t>
      </w:r>
      <w:r w:rsidRPr="006503C8">
        <w:t>l</w:t>
      </w:r>
      <w:r w:rsidR="00CA2931">
        <w:t>’</w:t>
      </w:r>
      <w:r w:rsidRPr="006503C8">
        <w:t>auteure.</w:t>
      </w:r>
      <w:r>
        <w:t xml:space="preserve"> </w:t>
      </w:r>
      <w:r w:rsidRPr="006503C8">
        <w:t>Pendant</w:t>
      </w:r>
      <w:r>
        <w:t xml:space="preserve"> </w:t>
      </w:r>
      <w:r w:rsidRPr="006503C8">
        <w:t>la</w:t>
      </w:r>
      <w:r>
        <w:t xml:space="preserve"> </w:t>
      </w:r>
      <w:r w:rsidRPr="006503C8">
        <w:t>pause,</w:t>
      </w:r>
      <w:r>
        <w:t xml:space="preserve"> </w:t>
      </w:r>
      <w:r w:rsidRPr="006503C8">
        <w:t>l</w:t>
      </w:r>
      <w:r w:rsidR="00CA2931">
        <w:t>’</w:t>
      </w:r>
      <w:r w:rsidRPr="006503C8">
        <w:t>auteure</w:t>
      </w:r>
      <w:r>
        <w:t xml:space="preserve"> </w:t>
      </w:r>
      <w:r w:rsidRPr="006503C8">
        <w:t>a</w:t>
      </w:r>
      <w:r>
        <w:t xml:space="preserve"> </w:t>
      </w:r>
      <w:r w:rsidRPr="006503C8">
        <w:t>accordé</w:t>
      </w:r>
      <w:r>
        <w:t xml:space="preserve"> </w:t>
      </w:r>
      <w:r w:rsidRPr="006503C8">
        <w:t>une</w:t>
      </w:r>
      <w:r>
        <w:t xml:space="preserve"> </w:t>
      </w:r>
      <w:r w:rsidRPr="006503C8">
        <w:t>interview</w:t>
      </w:r>
      <w:r>
        <w:t xml:space="preserve"> au journaliste d</w:t>
      </w:r>
      <w:r w:rsidR="00CA2931">
        <w:t>’</w:t>
      </w:r>
      <w:r w:rsidRPr="006503C8">
        <w:t>une</w:t>
      </w:r>
      <w:r>
        <w:t xml:space="preserve"> </w:t>
      </w:r>
      <w:r w:rsidRPr="006503C8">
        <w:t>chaîne</w:t>
      </w:r>
      <w:r>
        <w:t xml:space="preserve"> </w:t>
      </w:r>
      <w:r w:rsidRPr="006503C8">
        <w:t>de</w:t>
      </w:r>
      <w:r>
        <w:t xml:space="preserve"> </w:t>
      </w:r>
      <w:r w:rsidRPr="006503C8">
        <w:t>télévision</w:t>
      </w:r>
      <w:r>
        <w:t xml:space="preserve"> </w:t>
      </w:r>
      <w:r w:rsidRPr="006503C8">
        <w:t>et</w:t>
      </w:r>
      <w:r>
        <w:t xml:space="preserve"> </w:t>
      </w:r>
      <w:r w:rsidRPr="006503C8">
        <w:t>a</w:t>
      </w:r>
      <w:r>
        <w:t xml:space="preserve"> </w:t>
      </w:r>
      <w:r w:rsidRPr="006503C8">
        <w:t>tenu</w:t>
      </w:r>
      <w:r>
        <w:t xml:space="preserve"> </w:t>
      </w:r>
      <w:r w:rsidRPr="006503C8">
        <w:t>les</w:t>
      </w:r>
      <w:r>
        <w:t xml:space="preserve"> </w:t>
      </w:r>
      <w:r w:rsidRPr="006503C8">
        <w:t>propos</w:t>
      </w:r>
      <w:r>
        <w:t xml:space="preserve"> </w:t>
      </w:r>
      <w:r w:rsidRPr="006503C8">
        <w:t>ci-après</w:t>
      </w:r>
      <w:r>
        <w:t xml:space="preserve"> </w:t>
      </w:r>
      <w:r w:rsidRPr="006503C8">
        <w:t>au</w:t>
      </w:r>
      <w:r>
        <w:t xml:space="preserve"> </w:t>
      </w:r>
      <w:r w:rsidRPr="006503C8">
        <w:t>sujet</w:t>
      </w:r>
      <w:r>
        <w:t xml:space="preserve"> </w:t>
      </w:r>
      <w:r w:rsidRPr="006503C8">
        <w:t>du</w:t>
      </w:r>
      <w:r>
        <w:t xml:space="preserve"> </w:t>
      </w:r>
      <w:r w:rsidRPr="006503C8">
        <w:t>procureur</w:t>
      </w:r>
      <w:r>
        <w:t xml:space="preserve"> </w:t>
      </w:r>
      <w:r w:rsidRPr="006503C8">
        <w:t>qui</w:t>
      </w:r>
      <w:r>
        <w:t xml:space="preserve"> </w:t>
      </w:r>
      <w:r w:rsidRPr="006503C8">
        <w:t>était</w:t>
      </w:r>
      <w:r>
        <w:t xml:space="preserve"> </w:t>
      </w:r>
      <w:r w:rsidRPr="006503C8">
        <w:t>en</w:t>
      </w:r>
      <w:r>
        <w:t xml:space="preserve"> </w:t>
      </w:r>
      <w:r w:rsidRPr="006503C8">
        <w:t>charge</w:t>
      </w:r>
      <w:r>
        <w:t xml:space="preserve"> </w:t>
      </w:r>
      <w:r w:rsidRPr="006503C8">
        <w:t>de</w:t>
      </w:r>
      <w:r>
        <w:t xml:space="preserve"> </w:t>
      </w:r>
      <w:r w:rsidRPr="006503C8">
        <w:t>son</w:t>
      </w:r>
      <w:r>
        <w:t xml:space="preserve"> </w:t>
      </w:r>
      <w:r w:rsidRPr="006503C8">
        <w:t>affaire</w:t>
      </w:r>
      <w:r>
        <w:t xml:space="preserve"> </w:t>
      </w:r>
      <w:r w:rsidRPr="006503C8">
        <w:t>à</w:t>
      </w:r>
      <w:r>
        <w:t xml:space="preserve"> </w:t>
      </w:r>
      <w:r w:rsidRPr="006503C8">
        <w:t>l</w:t>
      </w:r>
      <w:r w:rsidR="00CA2931">
        <w:t>’</w:t>
      </w:r>
      <w:r w:rsidRPr="006503C8">
        <w:t>époque,</w:t>
      </w:r>
      <w:r>
        <w:t xml:space="preserve"> </w:t>
      </w:r>
      <w:r w:rsidRPr="006503C8">
        <w:t>et</w:t>
      </w:r>
      <w:r>
        <w:t xml:space="preserve"> </w:t>
      </w:r>
      <w:r w:rsidRPr="006503C8">
        <w:t>du</w:t>
      </w:r>
      <w:r>
        <w:t xml:space="preserve"> </w:t>
      </w:r>
      <w:r w:rsidRPr="006503C8">
        <w:t>procureur</w:t>
      </w:r>
      <w:r>
        <w:t xml:space="preserve"> </w:t>
      </w:r>
      <w:r w:rsidRPr="006503C8">
        <w:t>qui</w:t>
      </w:r>
      <w:r>
        <w:t xml:space="preserve"> </w:t>
      </w:r>
      <w:r w:rsidRPr="006503C8">
        <w:t>l</w:t>
      </w:r>
      <w:r w:rsidR="00CA2931">
        <w:t>’</w:t>
      </w:r>
      <w:r w:rsidRPr="006503C8">
        <w:t>avait</w:t>
      </w:r>
      <w:r>
        <w:t xml:space="preserve"> </w:t>
      </w:r>
      <w:r w:rsidRPr="006503C8">
        <w:t>été</w:t>
      </w:r>
      <w:r>
        <w:t xml:space="preserve"> </w:t>
      </w:r>
      <w:r w:rsidRPr="006503C8">
        <w:t>auparavant</w:t>
      </w:r>
      <w:r>
        <w:t xml:space="preserve"> : </w:t>
      </w:r>
      <w:r w:rsidRPr="006503C8">
        <w:t>«</w:t>
      </w:r>
      <w:r>
        <w:t> </w:t>
      </w:r>
      <w:r w:rsidRPr="006503C8">
        <w:t>Bêtises,</w:t>
      </w:r>
      <w:r>
        <w:t xml:space="preserve"> </w:t>
      </w:r>
      <w:r w:rsidRPr="006503C8">
        <w:t>l</w:t>
      </w:r>
      <w:r w:rsidR="00CA2931">
        <w:t>’</w:t>
      </w:r>
      <w:r w:rsidRPr="006503C8">
        <w:t>État</w:t>
      </w:r>
      <w:r>
        <w:t xml:space="preserve"> </w:t>
      </w:r>
      <w:r w:rsidRPr="006503C8">
        <w:t>des</w:t>
      </w:r>
      <w:r>
        <w:t xml:space="preserve"> </w:t>
      </w:r>
      <w:r w:rsidRPr="006503C8">
        <w:t>bêtises,</w:t>
      </w:r>
      <w:r>
        <w:t xml:space="preserve"> </w:t>
      </w:r>
      <w:r w:rsidRPr="006503C8">
        <w:t>le</w:t>
      </w:r>
      <w:r>
        <w:t xml:space="preserve"> </w:t>
      </w:r>
      <w:r w:rsidRPr="006503C8">
        <w:t>procureur,</w:t>
      </w:r>
      <w:r>
        <w:t xml:space="preserve"> </w:t>
      </w:r>
      <w:r w:rsidRPr="006503C8">
        <w:t>à</w:t>
      </w:r>
      <w:r>
        <w:t xml:space="preserve"> </w:t>
      </w:r>
      <w:r w:rsidRPr="006503C8">
        <w:t>mon</w:t>
      </w:r>
      <w:r>
        <w:t xml:space="preserve"> </w:t>
      </w:r>
      <w:r w:rsidRPr="006503C8">
        <w:t>avis,</w:t>
      </w:r>
      <w:r>
        <w:t xml:space="preserve"> </w:t>
      </w:r>
      <w:r w:rsidRPr="006503C8">
        <w:t>est</w:t>
      </w:r>
      <w:r>
        <w:t xml:space="preserve"> </w:t>
      </w:r>
      <w:r w:rsidRPr="006503C8">
        <w:t>…</w:t>
      </w:r>
      <w:r>
        <w:t xml:space="preserve"> </w:t>
      </w:r>
      <w:r w:rsidRPr="006503C8">
        <w:t>commet</w:t>
      </w:r>
      <w:r>
        <w:t xml:space="preserve"> </w:t>
      </w:r>
      <w:r w:rsidRPr="006503C8">
        <w:t>des</w:t>
      </w:r>
      <w:r>
        <w:t xml:space="preserve"> </w:t>
      </w:r>
      <w:r w:rsidRPr="006503C8">
        <w:t>crimes</w:t>
      </w:r>
      <w:r>
        <w:t xml:space="preserve"> </w:t>
      </w:r>
      <w:r w:rsidRPr="006503C8">
        <w:t>…</w:t>
      </w:r>
      <w:r>
        <w:t xml:space="preserve"> </w:t>
      </w:r>
      <w:r w:rsidRPr="006503C8">
        <w:t>comment</w:t>
      </w:r>
      <w:r>
        <w:t xml:space="preserve"> </w:t>
      </w:r>
      <w:r w:rsidRPr="006503C8">
        <w:t>peuvent</w:t>
      </w:r>
      <w:r w:rsidR="000A78E3">
        <w:noBreakHyphen/>
      </w:r>
      <w:r w:rsidRPr="006503C8">
        <w:t>ils</w:t>
      </w:r>
      <w:r>
        <w:t xml:space="preserve"> </w:t>
      </w:r>
      <w:r w:rsidRPr="006503C8">
        <w:t>tuer</w:t>
      </w:r>
      <w:r>
        <w:t xml:space="preserve"> </w:t>
      </w:r>
      <w:r w:rsidRPr="006503C8">
        <w:t>des</w:t>
      </w:r>
      <w:r>
        <w:t xml:space="preserve"> </w:t>
      </w:r>
      <w:r w:rsidRPr="006503C8">
        <w:t>gens,</w:t>
      </w:r>
      <w:r>
        <w:t xml:space="preserve"> </w:t>
      </w:r>
      <w:r w:rsidRPr="006503C8">
        <w:t>qu</w:t>
      </w:r>
      <w:r w:rsidR="00CA2931">
        <w:t>’</w:t>
      </w:r>
      <w:r w:rsidRPr="006503C8">
        <w:t>ils</w:t>
      </w:r>
      <w:r>
        <w:t xml:space="preserve"> </w:t>
      </w:r>
      <w:r w:rsidRPr="006503C8">
        <w:t>regardent</w:t>
      </w:r>
      <w:r>
        <w:t xml:space="preserve"> </w:t>
      </w:r>
      <w:r w:rsidRPr="006503C8">
        <w:t>ce</w:t>
      </w:r>
      <w:r>
        <w:t xml:space="preserve"> </w:t>
      </w:r>
      <w:r w:rsidRPr="006503C8">
        <w:t>qu</w:t>
      </w:r>
      <w:r w:rsidR="00CA2931">
        <w:t>’</w:t>
      </w:r>
      <w:r w:rsidRPr="006503C8">
        <w:t>ils</w:t>
      </w:r>
      <w:r>
        <w:t xml:space="preserve"> </w:t>
      </w:r>
      <w:r w:rsidRPr="006503C8">
        <w:t>sont</w:t>
      </w:r>
      <w:r>
        <w:t xml:space="preserve"> </w:t>
      </w:r>
      <w:r w:rsidRPr="006503C8">
        <w:t>en</w:t>
      </w:r>
      <w:r>
        <w:t xml:space="preserve"> </w:t>
      </w:r>
      <w:r w:rsidRPr="006503C8">
        <w:t>train</w:t>
      </w:r>
      <w:r>
        <w:t xml:space="preserve"> </w:t>
      </w:r>
      <w:r w:rsidRPr="006503C8">
        <w:t>de</w:t>
      </w:r>
      <w:r>
        <w:t xml:space="preserve"> </w:t>
      </w:r>
      <w:r w:rsidRPr="006503C8">
        <w:t>faire</w:t>
      </w:r>
      <w:r>
        <w:t xml:space="preserve"> </w:t>
      </w:r>
      <w:r w:rsidRPr="006503C8">
        <w:t>à</w:t>
      </w:r>
      <w:r>
        <w:t xml:space="preserve"> </w:t>
      </w:r>
      <w:r w:rsidRPr="006503C8">
        <w:t>ma</w:t>
      </w:r>
      <w:r>
        <w:t xml:space="preserve"> </w:t>
      </w:r>
      <w:r w:rsidRPr="006503C8">
        <w:t>tante,</w:t>
      </w:r>
      <w:r>
        <w:t xml:space="preserve"> </w:t>
      </w:r>
      <w:r w:rsidRPr="006503C8">
        <w:t>aux</w:t>
      </w:r>
      <w:r>
        <w:t xml:space="preserve"> </w:t>
      </w:r>
      <w:r w:rsidRPr="006503C8">
        <w:t>membres</w:t>
      </w:r>
      <w:r>
        <w:t xml:space="preserve"> </w:t>
      </w:r>
      <w:r w:rsidRPr="006503C8">
        <w:t>de</w:t>
      </w:r>
      <w:r>
        <w:t xml:space="preserve"> </w:t>
      </w:r>
      <w:r w:rsidRPr="006503C8">
        <w:t>ma</w:t>
      </w:r>
      <w:r>
        <w:t xml:space="preserve"> </w:t>
      </w:r>
      <w:r w:rsidRPr="006503C8">
        <w:t>famille</w:t>
      </w:r>
      <w:r>
        <w:t xml:space="preserve"> </w:t>
      </w:r>
      <w:r w:rsidRPr="006503C8">
        <w:t>…</w:t>
      </w:r>
      <w:r>
        <w:t xml:space="preserve"> </w:t>
      </w:r>
      <w:r w:rsidRPr="006503C8">
        <w:t>J.</w:t>
      </w:r>
      <w:r>
        <w:t> </w:t>
      </w:r>
      <w:r w:rsidRPr="006503C8">
        <w:t>L.</w:t>
      </w:r>
      <w:r>
        <w:t xml:space="preserve"> </w:t>
      </w:r>
      <w:r w:rsidRPr="006503C8">
        <w:t>et</w:t>
      </w:r>
      <w:r>
        <w:t xml:space="preserve"> </w:t>
      </w:r>
      <w:r w:rsidRPr="006503C8">
        <w:t>M.</w:t>
      </w:r>
      <w:r>
        <w:t> </w:t>
      </w:r>
      <w:r w:rsidRPr="006503C8">
        <w:t>D.</w:t>
      </w:r>
      <w:r>
        <w:t xml:space="preserve"> </w:t>
      </w:r>
      <w:r w:rsidRPr="006503C8">
        <w:t>sont</w:t>
      </w:r>
      <w:r>
        <w:t xml:space="preserve"> </w:t>
      </w:r>
      <w:r w:rsidRPr="006503C8">
        <w:t>des</w:t>
      </w:r>
      <w:r>
        <w:t xml:space="preserve"> </w:t>
      </w:r>
      <w:r w:rsidRPr="006503C8">
        <w:t>criminels</w:t>
      </w:r>
      <w:r>
        <w:t>. </w:t>
      </w:r>
      <w:r w:rsidRPr="006503C8">
        <w:t>».</w:t>
      </w:r>
    </w:p>
    <w:p w14:paraId="39EE62DE" w14:textId="77777777" w:rsidR="00765853" w:rsidRPr="006503C8" w:rsidRDefault="00765853" w:rsidP="00765853">
      <w:pPr>
        <w:pStyle w:val="SingleTxtG"/>
      </w:pPr>
      <w:r w:rsidRPr="006503C8">
        <w:t>2.2</w:t>
      </w:r>
      <w:r w:rsidRPr="006503C8">
        <w:tab/>
        <w:t>Le</w:t>
      </w:r>
      <w:r>
        <w:t xml:space="preserve"> </w:t>
      </w:r>
      <w:r w:rsidRPr="006503C8">
        <w:t>29</w:t>
      </w:r>
      <w:r>
        <w:t> </w:t>
      </w:r>
      <w:r w:rsidRPr="006503C8">
        <w:t>mars</w:t>
      </w:r>
      <w:r>
        <w:t xml:space="preserve"> </w:t>
      </w:r>
      <w:r w:rsidRPr="006503C8">
        <w:t>2011,</w:t>
      </w:r>
      <w:r>
        <w:t xml:space="preserve"> </w:t>
      </w:r>
      <w:r w:rsidRPr="006503C8">
        <w:t>le</w:t>
      </w:r>
      <w:r>
        <w:t xml:space="preserve"> </w:t>
      </w:r>
      <w:r w:rsidRPr="006503C8">
        <w:t>procureur</w:t>
      </w:r>
      <w:r>
        <w:t xml:space="preserve"> </w:t>
      </w:r>
      <w:r w:rsidRPr="006503C8">
        <w:t>J.</w:t>
      </w:r>
      <w:r>
        <w:t> </w:t>
      </w:r>
      <w:r w:rsidRPr="006503C8">
        <w:t>L.</w:t>
      </w:r>
      <w:r>
        <w:t xml:space="preserve"> </w:t>
      </w:r>
      <w:r w:rsidRPr="006503C8">
        <w:t>a</w:t>
      </w:r>
      <w:r>
        <w:t xml:space="preserve"> </w:t>
      </w:r>
      <w:r w:rsidRPr="006503C8">
        <w:t>demandé</w:t>
      </w:r>
      <w:r>
        <w:t xml:space="preserve"> </w:t>
      </w:r>
      <w:r w:rsidRPr="006503C8">
        <w:t>au</w:t>
      </w:r>
      <w:r>
        <w:t xml:space="preserve"> </w:t>
      </w:r>
      <w:r w:rsidRPr="006503C8">
        <w:t>parquet</w:t>
      </w:r>
      <w:r>
        <w:t xml:space="preserve"> </w:t>
      </w:r>
      <w:r w:rsidRPr="006503C8">
        <w:t>de</w:t>
      </w:r>
      <w:r>
        <w:t xml:space="preserve"> </w:t>
      </w:r>
      <w:r w:rsidRPr="006503C8">
        <w:t>Vilnius</w:t>
      </w:r>
      <w:r>
        <w:t xml:space="preserve"> </w:t>
      </w:r>
      <w:r w:rsidRPr="006503C8">
        <w:t>d</w:t>
      </w:r>
      <w:r w:rsidR="00CA2931">
        <w:t>’</w:t>
      </w:r>
      <w:r w:rsidRPr="006503C8">
        <w:t>engager</w:t>
      </w:r>
      <w:r>
        <w:t xml:space="preserve"> </w:t>
      </w:r>
      <w:r w:rsidRPr="006503C8">
        <w:t>une</w:t>
      </w:r>
      <w:r>
        <w:t xml:space="preserve"> </w:t>
      </w:r>
      <w:r w:rsidRPr="006503C8">
        <w:t>enquête</w:t>
      </w:r>
      <w:r>
        <w:t xml:space="preserve"> </w:t>
      </w:r>
      <w:r w:rsidRPr="006503C8">
        <w:t>préliminaire</w:t>
      </w:r>
      <w:r>
        <w:t xml:space="preserve"> </w:t>
      </w:r>
      <w:r w:rsidRPr="006503C8">
        <w:t>contre</w:t>
      </w:r>
      <w:r>
        <w:t xml:space="preserve"> </w:t>
      </w:r>
      <w:r w:rsidRPr="006503C8">
        <w:t>l</w:t>
      </w:r>
      <w:r w:rsidR="00CA2931">
        <w:t>’</w:t>
      </w:r>
      <w:r w:rsidRPr="006503C8">
        <w:t>auteure</w:t>
      </w:r>
      <w:r>
        <w:t xml:space="preserve"> </w:t>
      </w:r>
      <w:r w:rsidRPr="006503C8">
        <w:t>au</w:t>
      </w:r>
      <w:r>
        <w:t xml:space="preserve"> </w:t>
      </w:r>
      <w:r w:rsidRPr="006503C8">
        <w:t>titre</w:t>
      </w:r>
      <w:r>
        <w:t xml:space="preserve"> </w:t>
      </w:r>
      <w:r w:rsidRPr="006503C8">
        <w:t>de</w:t>
      </w:r>
      <w:r>
        <w:t xml:space="preserve"> </w:t>
      </w:r>
      <w:r w:rsidRPr="006503C8">
        <w:t>l</w:t>
      </w:r>
      <w:r w:rsidR="00CA2931">
        <w:t>’</w:t>
      </w:r>
      <w:r w:rsidRPr="006503C8">
        <w:t>article</w:t>
      </w:r>
      <w:r>
        <w:t xml:space="preserve"> </w:t>
      </w:r>
      <w:r w:rsidRPr="006503C8">
        <w:t>290</w:t>
      </w:r>
      <w:r>
        <w:t xml:space="preserve"> </w:t>
      </w:r>
      <w:r w:rsidRPr="006503C8">
        <w:t>du</w:t>
      </w:r>
      <w:r>
        <w:t xml:space="preserve"> </w:t>
      </w:r>
      <w:r w:rsidRPr="006503C8">
        <w:t>Code</w:t>
      </w:r>
      <w:r>
        <w:t xml:space="preserve"> </w:t>
      </w:r>
      <w:r w:rsidRPr="006503C8">
        <w:t>pénal.</w:t>
      </w:r>
      <w:r>
        <w:t xml:space="preserve"> </w:t>
      </w:r>
      <w:r w:rsidRPr="006503C8">
        <w:t>Cet</w:t>
      </w:r>
      <w:r>
        <w:t xml:space="preserve"> </w:t>
      </w:r>
      <w:r w:rsidRPr="006503C8">
        <w:t>article</w:t>
      </w:r>
      <w:r>
        <w:t xml:space="preserve"> </w:t>
      </w:r>
      <w:r w:rsidRPr="006503C8">
        <w:t>dispose</w:t>
      </w:r>
      <w:r>
        <w:t xml:space="preserve"> </w:t>
      </w:r>
      <w:r w:rsidRPr="006503C8">
        <w:t>que</w:t>
      </w:r>
      <w:r>
        <w:t xml:space="preserve"> </w:t>
      </w:r>
      <w:r w:rsidRPr="006503C8">
        <w:t>quiconque</w:t>
      </w:r>
      <w:r>
        <w:t xml:space="preserve"> </w:t>
      </w:r>
      <w:r w:rsidRPr="006503C8">
        <w:t>insulte</w:t>
      </w:r>
      <w:r>
        <w:t xml:space="preserve"> </w:t>
      </w:r>
      <w:r w:rsidRPr="006503C8">
        <w:t>un</w:t>
      </w:r>
      <w:r>
        <w:t xml:space="preserve"> </w:t>
      </w:r>
      <w:r w:rsidRPr="006503C8">
        <w:t>fonctionnaire</w:t>
      </w:r>
      <w:r>
        <w:t xml:space="preserve"> </w:t>
      </w:r>
      <w:r w:rsidRPr="006503C8">
        <w:t>ou</w:t>
      </w:r>
      <w:r>
        <w:t xml:space="preserve"> </w:t>
      </w:r>
      <w:r w:rsidRPr="006503C8">
        <w:t>toute</w:t>
      </w:r>
      <w:r>
        <w:t xml:space="preserve"> </w:t>
      </w:r>
      <w:r w:rsidRPr="006503C8">
        <w:t>personne</w:t>
      </w:r>
      <w:r>
        <w:t xml:space="preserve"> </w:t>
      </w:r>
      <w:r w:rsidRPr="006503C8">
        <w:t>exerçant</w:t>
      </w:r>
      <w:r>
        <w:t xml:space="preserve"> </w:t>
      </w:r>
      <w:r w:rsidRPr="006503C8">
        <w:t>une</w:t>
      </w:r>
      <w:r>
        <w:t xml:space="preserve"> </w:t>
      </w:r>
      <w:r w:rsidRPr="006503C8">
        <w:t>fonction</w:t>
      </w:r>
      <w:r>
        <w:t xml:space="preserve"> </w:t>
      </w:r>
      <w:r w:rsidRPr="006503C8">
        <w:t>d</w:t>
      </w:r>
      <w:r w:rsidR="00CA2931">
        <w:t>’</w:t>
      </w:r>
      <w:r w:rsidRPr="006503C8">
        <w:t>administration</w:t>
      </w:r>
      <w:r>
        <w:t xml:space="preserve"> </w:t>
      </w:r>
      <w:r w:rsidRPr="006503C8">
        <w:t>publique</w:t>
      </w:r>
      <w:r>
        <w:t xml:space="preserve"> </w:t>
      </w:r>
      <w:r w:rsidRPr="006503C8">
        <w:t>dans</w:t>
      </w:r>
      <w:r>
        <w:t xml:space="preserve"> </w:t>
      </w:r>
      <w:r w:rsidRPr="006503C8">
        <w:t>l</w:t>
      </w:r>
      <w:r w:rsidR="00CA2931">
        <w:t>’</w:t>
      </w:r>
      <w:r w:rsidRPr="006503C8">
        <w:t>exercice</w:t>
      </w:r>
      <w:r>
        <w:t xml:space="preserve"> </w:t>
      </w:r>
      <w:r w:rsidRPr="006503C8">
        <w:t>de</w:t>
      </w:r>
      <w:r>
        <w:t xml:space="preserve"> </w:t>
      </w:r>
      <w:r w:rsidRPr="006503C8">
        <w:t>ses</w:t>
      </w:r>
      <w:r>
        <w:t xml:space="preserve"> </w:t>
      </w:r>
      <w:r w:rsidRPr="006503C8">
        <w:t>fonctions</w:t>
      </w:r>
      <w:r>
        <w:t xml:space="preserve"> </w:t>
      </w:r>
      <w:r w:rsidRPr="006503C8">
        <w:t>s</w:t>
      </w:r>
      <w:r w:rsidR="00CA2931">
        <w:t>’</w:t>
      </w:r>
      <w:r w:rsidRPr="006503C8">
        <w:t>expose</w:t>
      </w:r>
      <w:r>
        <w:t xml:space="preserve"> </w:t>
      </w:r>
      <w:r w:rsidRPr="006503C8">
        <w:t>à</w:t>
      </w:r>
      <w:r>
        <w:t xml:space="preserve"> </w:t>
      </w:r>
      <w:r w:rsidRPr="006503C8">
        <w:t>des</w:t>
      </w:r>
      <w:r>
        <w:t xml:space="preserve"> </w:t>
      </w:r>
      <w:r w:rsidRPr="006503C8">
        <w:t>poursuites</w:t>
      </w:r>
      <w:r>
        <w:t xml:space="preserve"> </w:t>
      </w:r>
      <w:r w:rsidRPr="006503C8">
        <w:t>pénales.</w:t>
      </w:r>
    </w:p>
    <w:p w14:paraId="0953B9C4" w14:textId="77777777" w:rsidR="00765853" w:rsidRPr="006503C8" w:rsidRDefault="00765853" w:rsidP="00765853">
      <w:pPr>
        <w:pStyle w:val="SingleTxtG"/>
      </w:pPr>
      <w:r w:rsidRPr="006503C8">
        <w:t>2.3</w:t>
      </w:r>
      <w:r w:rsidRPr="006503C8">
        <w:tab/>
        <w:t>Le</w:t>
      </w:r>
      <w:r>
        <w:t xml:space="preserve"> </w:t>
      </w:r>
      <w:r w:rsidRPr="006503C8">
        <w:t>10</w:t>
      </w:r>
      <w:r>
        <w:t> </w:t>
      </w:r>
      <w:r w:rsidRPr="006503C8">
        <w:t>avril</w:t>
      </w:r>
      <w:r>
        <w:t xml:space="preserve"> </w:t>
      </w:r>
      <w:r w:rsidRPr="006503C8">
        <w:t>2012,</w:t>
      </w:r>
      <w:r>
        <w:t xml:space="preserve"> </w:t>
      </w:r>
      <w:r w:rsidRPr="006503C8">
        <w:t>le</w:t>
      </w:r>
      <w:r>
        <w:t xml:space="preserve"> </w:t>
      </w:r>
      <w:r w:rsidRPr="006503C8">
        <w:t>tribunal</w:t>
      </w:r>
      <w:r>
        <w:t xml:space="preserve"> </w:t>
      </w:r>
      <w:r w:rsidRPr="006503C8">
        <w:t>de</w:t>
      </w:r>
      <w:r>
        <w:t xml:space="preserve"> </w:t>
      </w:r>
      <w:r w:rsidRPr="006503C8">
        <w:t>district</w:t>
      </w:r>
      <w:r>
        <w:t xml:space="preserve"> </w:t>
      </w:r>
      <w:r w:rsidRPr="006503C8">
        <w:t>de</w:t>
      </w:r>
      <w:r>
        <w:t xml:space="preserve"> </w:t>
      </w:r>
      <w:r w:rsidRPr="006503C8">
        <w:t>Vilnius</w:t>
      </w:r>
      <w:r>
        <w:t xml:space="preserve"> </w:t>
      </w:r>
      <w:r w:rsidRPr="006503C8">
        <w:t>a</w:t>
      </w:r>
      <w:r>
        <w:t xml:space="preserve"> </w:t>
      </w:r>
      <w:r w:rsidRPr="006503C8">
        <w:t>déclaré</w:t>
      </w:r>
      <w:r>
        <w:t xml:space="preserve"> </w:t>
      </w:r>
      <w:r w:rsidRPr="006503C8">
        <w:t>l</w:t>
      </w:r>
      <w:r w:rsidR="00CA2931">
        <w:t>’</w:t>
      </w:r>
      <w:r w:rsidRPr="006503C8">
        <w:t>auteure</w:t>
      </w:r>
      <w:r>
        <w:t xml:space="preserve"> </w:t>
      </w:r>
      <w:r w:rsidRPr="006503C8">
        <w:t>coupable</w:t>
      </w:r>
      <w:r>
        <w:t xml:space="preserve"> </w:t>
      </w:r>
      <w:r w:rsidRPr="006503C8">
        <w:t>des</w:t>
      </w:r>
      <w:r>
        <w:t xml:space="preserve"> </w:t>
      </w:r>
      <w:r w:rsidRPr="006503C8">
        <w:t>chefs</w:t>
      </w:r>
      <w:r>
        <w:t xml:space="preserve"> </w:t>
      </w:r>
      <w:r w:rsidRPr="006503C8">
        <w:t>d</w:t>
      </w:r>
      <w:r w:rsidR="00CA2931">
        <w:t>’</w:t>
      </w:r>
      <w:r w:rsidRPr="006503C8">
        <w:t>accusation</w:t>
      </w:r>
      <w:r>
        <w:t xml:space="preserve"> </w:t>
      </w:r>
      <w:r w:rsidRPr="006503C8">
        <w:t>susmentionnés</w:t>
      </w:r>
      <w:r>
        <w:t xml:space="preserve"> </w:t>
      </w:r>
      <w:r w:rsidRPr="006503C8">
        <w:t>et</w:t>
      </w:r>
      <w:r>
        <w:t xml:space="preserve"> </w:t>
      </w:r>
      <w:r w:rsidRPr="006503C8">
        <w:t>a</w:t>
      </w:r>
      <w:r>
        <w:t xml:space="preserve"> </w:t>
      </w:r>
      <w:r w:rsidRPr="006503C8">
        <w:t>imposé</w:t>
      </w:r>
      <w:r>
        <w:t xml:space="preserve"> </w:t>
      </w:r>
      <w:r w:rsidRPr="006503C8">
        <w:t>une</w:t>
      </w:r>
      <w:r>
        <w:t xml:space="preserve"> </w:t>
      </w:r>
      <w:r w:rsidRPr="006503C8">
        <w:t>amende</w:t>
      </w:r>
      <w:r>
        <w:t xml:space="preserve"> </w:t>
      </w:r>
      <w:r w:rsidRPr="006503C8">
        <w:t>pénale</w:t>
      </w:r>
      <w:r>
        <w:t xml:space="preserve"> </w:t>
      </w:r>
      <w:r w:rsidRPr="006503C8">
        <w:t>de</w:t>
      </w:r>
      <w:r>
        <w:t xml:space="preserve"> </w:t>
      </w:r>
      <w:bookmarkStart w:id="2" w:name="_Hlk44929405"/>
      <w:r w:rsidRPr="006503C8">
        <w:t>1</w:t>
      </w:r>
      <w:r>
        <w:t> </w:t>
      </w:r>
      <w:r w:rsidRPr="006503C8">
        <w:t>300</w:t>
      </w:r>
      <w:r>
        <w:t xml:space="preserve"> </w:t>
      </w:r>
      <w:r w:rsidRPr="006503C8">
        <w:t>lita</w:t>
      </w:r>
      <w:r>
        <w:t xml:space="preserve">i </w:t>
      </w:r>
      <w:r w:rsidRPr="006503C8">
        <w:t>(environ</w:t>
      </w:r>
      <w:r>
        <w:t xml:space="preserve"> </w:t>
      </w:r>
      <w:r w:rsidRPr="006503C8">
        <w:t>380</w:t>
      </w:r>
      <w:r>
        <w:t> </w:t>
      </w:r>
      <w:r w:rsidRPr="006503C8">
        <w:t>euros)</w:t>
      </w:r>
      <w:bookmarkEnd w:id="2"/>
      <w:r w:rsidRPr="006503C8">
        <w:t>.</w:t>
      </w:r>
      <w:r>
        <w:t xml:space="preserve"> </w:t>
      </w:r>
      <w:r w:rsidRPr="006503C8">
        <w:t>Le</w:t>
      </w:r>
      <w:r>
        <w:t xml:space="preserve"> </w:t>
      </w:r>
      <w:r w:rsidRPr="006503C8">
        <w:t>28</w:t>
      </w:r>
      <w:r>
        <w:t> </w:t>
      </w:r>
      <w:r w:rsidRPr="006503C8">
        <w:t>juin</w:t>
      </w:r>
      <w:r>
        <w:t xml:space="preserve"> </w:t>
      </w:r>
      <w:r w:rsidRPr="006503C8">
        <w:t>2012,</w:t>
      </w:r>
      <w:r>
        <w:t xml:space="preserve"> </w:t>
      </w:r>
      <w:r w:rsidRPr="006503C8">
        <w:t>le</w:t>
      </w:r>
      <w:r>
        <w:t xml:space="preserve"> </w:t>
      </w:r>
      <w:r w:rsidRPr="006503C8">
        <w:t>tribunal</w:t>
      </w:r>
      <w:r>
        <w:t xml:space="preserve"> </w:t>
      </w:r>
      <w:r w:rsidRPr="006503C8">
        <w:t>régional</w:t>
      </w:r>
      <w:r>
        <w:t xml:space="preserve"> </w:t>
      </w:r>
      <w:r w:rsidRPr="006503C8">
        <w:t>de</w:t>
      </w:r>
      <w:r>
        <w:t xml:space="preserve"> </w:t>
      </w:r>
      <w:r w:rsidRPr="006503C8">
        <w:t>Vilnius</w:t>
      </w:r>
      <w:r>
        <w:t xml:space="preserve"> </w:t>
      </w:r>
      <w:r w:rsidRPr="006503C8">
        <w:t>a</w:t>
      </w:r>
      <w:r>
        <w:t xml:space="preserve"> </w:t>
      </w:r>
      <w:r w:rsidRPr="006503C8">
        <w:t>confirmé</w:t>
      </w:r>
      <w:r>
        <w:t xml:space="preserve"> </w:t>
      </w:r>
      <w:r w:rsidRPr="006503C8">
        <w:t>la</w:t>
      </w:r>
      <w:r>
        <w:t xml:space="preserve"> </w:t>
      </w:r>
      <w:r w:rsidRPr="006503C8">
        <w:t>décision</w:t>
      </w:r>
      <w:r>
        <w:t xml:space="preserve"> </w:t>
      </w:r>
      <w:r w:rsidRPr="006503C8">
        <w:t>du</w:t>
      </w:r>
      <w:r>
        <w:t xml:space="preserve"> tribunal de </w:t>
      </w:r>
      <w:r w:rsidRPr="006503C8">
        <w:t>première</w:t>
      </w:r>
      <w:r>
        <w:t xml:space="preserve"> </w:t>
      </w:r>
      <w:r w:rsidRPr="006503C8">
        <w:t>instance.</w:t>
      </w:r>
      <w:r>
        <w:t xml:space="preserve"> </w:t>
      </w:r>
      <w:r w:rsidRPr="006503C8">
        <w:t>Le</w:t>
      </w:r>
      <w:r>
        <w:t xml:space="preserve"> </w:t>
      </w:r>
      <w:r w:rsidRPr="006503C8">
        <w:t>22</w:t>
      </w:r>
      <w:r>
        <w:t> </w:t>
      </w:r>
      <w:r w:rsidRPr="006503C8">
        <w:t>janvier</w:t>
      </w:r>
      <w:r>
        <w:t xml:space="preserve"> </w:t>
      </w:r>
      <w:r w:rsidRPr="006503C8">
        <w:t>2013,</w:t>
      </w:r>
      <w:r>
        <w:t xml:space="preserve"> </w:t>
      </w:r>
      <w:r w:rsidRPr="006503C8">
        <w:t>la</w:t>
      </w:r>
      <w:r>
        <w:t xml:space="preserve"> </w:t>
      </w:r>
      <w:r w:rsidRPr="006503C8">
        <w:t>Cour</w:t>
      </w:r>
      <w:r>
        <w:t xml:space="preserve"> </w:t>
      </w:r>
      <w:r w:rsidRPr="006503C8">
        <w:t>suprême</w:t>
      </w:r>
      <w:r>
        <w:t xml:space="preserve"> </w:t>
      </w:r>
      <w:r w:rsidRPr="006503C8">
        <w:t>de</w:t>
      </w:r>
      <w:r>
        <w:t xml:space="preserve"> </w:t>
      </w:r>
      <w:r w:rsidRPr="006503C8">
        <w:t>Lituanie,</w:t>
      </w:r>
      <w:r>
        <w:t xml:space="preserve"> </w:t>
      </w:r>
      <w:r w:rsidRPr="006503C8">
        <w:t>en</w:t>
      </w:r>
      <w:r>
        <w:t xml:space="preserve"> </w:t>
      </w:r>
      <w:r w:rsidRPr="006503C8">
        <w:t>cassation,</w:t>
      </w:r>
      <w:r>
        <w:t xml:space="preserve"> </w:t>
      </w:r>
      <w:r w:rsidRPr="006503C8">
        <w:t>a</w:t>
      </w:r>
      <w:r>
        <w:t xml:space="preserve"> </w:t>
      </w:r>
      <w:r w:rsidRPr="006503C8">
        <w:t>rejeté</w:t>
      </w:r>
      <w:r>
        <w:t xml:space="preserve"> </w:t>
      </w:r>
      <w:r w:rsidRPr="006503C8">
        <w:t>l</w:t>
      </w:r>
      <w:r w:rsidR="00CA2931">
        <w:t>’</w:t>
      </w:r>
      <w:r w:rsidRPr="006503C8">
        <w:t>appel</w:t>
      </w:r>
      <w:r>
        <w:t xml:space="preserve"> </w:t>
      </w:r>
      <w:r w:rsidRPr="006503C8">
        <w:t>formé</w:t>
      </w:r>
      <w:r>
        <w:t xml:space="preserve"> </w:t>
      </w:r>
      <w:r w:rsidRPr="006503C8">
        <w:t>par</w:t>
      </w:r>
      <w:r>
        <w:t xml:space="preserve"> </w:t>
      </w:r>
      <w:r w:rsidRPr="006503C8">
        <w:t>l</w:t>
      </w:r>
      <w:r w:rsidR="00CA2931">
        <w:t>’</w:t>
      </w:r>
      <w:r w:rsidRPr="006503C8">
        <w:t>auteure.</w:t>
      </w:r>
    </w:p>
    <w:p w14:paraId="6C0A42E2" w14:textId="77777777" w:rsidR="00765853" w:rsidRPr="006503C8" w:rsidRDefault="00765853" w:rsidP="00765853">
      <w:pPr>
        <w:pStyle w:val="SingleTxtG"/>
      </w:pPr>
      <w:r w:rsidRPr="006503C8">
        <w:t>2.4</w:t>
      </w:r>
      <w:r w:rsidRPr="006503C8">
        <w:tab/>
        <w:t>L</w:t>
      </w:r>
      <w:r w:rsidR="00CA2931">
        <w:t>’</w:t>
      </w:r>
      <w:r w:rsidRPr="006503C8">
        <w:t>auteure</w:t>
      </w:r>
      <w:r>
        <w:t xml:space="preserve"> </w:t>
      </w:r>
      <w:r w:rsidRPr="006503C8">
        <w:t>a</w:t>
      </w:r>
      <w:r>
        <w:t xml:space="preserve"> </w:t>
      </w:r>
      <w:r w:rsidRPr="006503C8">
        <w:t>saisi</w:t>
      </w:r>
      <w:r>
        <w:t xml:space="preserve"> </w:t>
      </w:r>
      <w:r w:rsidRPr="006503C8">
        <w:t>la</w:t>
      </w:r>
      <w:r>
        <w:t xml:space="preserve"> </w:t>
      </w:r>
      <w:r w:rsidRPr="006503C8">
        <w:t>Cour</w:t>
      </w:r>
      <w:r>
        <w:t xml:space="preserve"> </w:t>
      </w:r>
      <w:r w:rsidRPr="006503C8">
        <w:t>européenne</w:t>
      </w:r>
      <w:r>
        <w:t xml:space="preserve"> </w:t>
      </w:r>
      <w:r w:rsidRPr="006503C8">
        <w:t>des</w:t>
      </w:r>
      <w:r>
        <w:t xml:space="preserve"> </w:t>
      </w:r>
      <w:r w:rsidRPr="006503C8">
        <w:t>droits</w:t>
      </w:r>
      <w:r>
        <w:t xml:space="preserve"> </w:t>
      </w:r>
      <w:r w:rsidRPr="006503C8">
        <w:t>de</w:t>
      </w:r>
      <w:r>
        <w:t xml:space="preserve"> </w:t>
      </w:r>
      <w:r w:rsidRPr="006503C8">
        <w:t>l</w:t>
      </w:r>
      <w:r w:rsidR="00CA2931">
        <w:t>’</w:t>
      </w:r>
      <w:r w:rsidRPr="006503C8">
        <w:t>homme</w:t>
      </w:r>
      <w:r>
        <w:t xml:space="preserve"> </w:t>
      </w:r>
      <w:r w:rsidRPr="006503C8">
        <w:t>qui,</w:t>
      </w:r>
      <w:r>
        <w:t xml:space="preserve"> </w:t>
      </w:r>
      <w:r w:rsidRPr="006503C8">
        <w:t>siégeant</w:t>
      </w:r>
      <w:r>
        <w:t xml:space="preserve"> </w:t>
      </w:r>
      <w:r w:rsidRPr="006503C8">
        <w:t>en</w:t>
      </w:r>
      <w:r>
        <w:t xml:space="preserve"> </w:t>
      </w:r>
      <w:r w:rsidRPr="006503C8">
        <w:t>formation</w:t>
      </w:r>
      <w:r>
        <w:t xml:space="preserve"> </w:t>
      </w:r>
      <w:r w:rsidRPr="006503C8">
        <w:t>de</w:t>
      </w:r>
      <w:r>
        <w:t xml:space="preserve"> </w:t>
      </w:r>
      <w:r w:rsidRPr="006503C8">
        <w:t>juge</w:t>
      </w:r>
      <w:r>
        <w:t xml:space="preserve"> </w:t>
      </w:r>
      <w:r w:rsidRPr="006503C8">
        <w:t>unique,</w:t>
      </w:r>
      <w:r>
        <w:t xml:space="preserve"> </w:t>
      </w:r>
      <w:r w:rsidRPr="006503C8">
        <w:t>a</w:t>
      </w:r>
      <w:r>
        <w:t xml:space="preserve"> </w:t>
      </w:r>
      <w:r w:rsidRPr="006503C8">
        <w:t>déclaré</w:t>
      </w:r>
      <w:r>
        <w:t xml:space="preserve"> </w:t>
      </w:r>
      <w:r w:rsidRPr="006503C8">
        <w:t>la</w:t>
      </w:r>
      <w:r>
        <w:t xml:space="preserve"> </w:t>
      </w:r>
      <w:r w:rsidRPr="006503C8">
        <w:t>plainte</w:t>
      </w:r>
      <w:r>
        <w:t xml:space="preserve"> </w:t>
      </w:r>
      <w:r w:rsidRPr="006503C8">
        <w:t>irrecevable</w:t>
      </w:r>
      <w:r>
        <w:t xml:space="preserve"> </w:t>
      </w:r>
      <w:r w:rsidRPr="006503C8">
        <w:t>le</w:t>
      </w:r>
      <w:r>
        <w:t xml:space="preserve"> </w:t>
      </w:r>
      <w:r w:rsidRPr="006503C8">
        <w:t>31</w:t>
      </w:r>
      <w:r>
        <w:t> </w:t>
      </w:r>
      <w:r w:rsidRPr="006503C8">
        <w:t>octobre</w:t>
      </w:r>
      <w:r>
        <w:t xml:space="preserve"> </w:t>
      </w:r>
      <w:r w:rsidRPr="006503C8">
        <w:t>2013.</w:t>
      </w:r>
    </w:p>
    <w:p w14:paraId="60B4B828" w14:textId="77777777" w:rsidR="00765853" w:rsidRPr="006503C8" w:rsidRDefault="00765853" w:rsidP="00C050FA">
      <w:pPr>
        <w:pStyle w:val="H23G"/>
      </w:pPr>
      <w:r w:rsidRPr="006503C8">
        <w:tab/>
      </w:r>
      <w:r w:rsidRPr="006503C8">
        <w:tab/>
        <w:t>Teneur</w:t>
      </w:r>
      <w:r>
        <w:t xml:space="preserve"> </w:t>
      </w:r>
      <w:r w:rsidRPr="006503C8">
        <w:t>de</w:t>
      </w:r>
      <w:r>
        <w:t xml:space="preserve"> </w:t>
      </w:r>
      <w:r w:rsidRPr="006503C8">
        <w:t>la</w:t>
      </w:r>
      <w:r>
        <w:t xml:space="preserve"> </w:t>
      </w:r>
      <w:r w:rsidRPr="006503C8">
        <w:t>plainte</w:t>
      </w:r>
    </w:p>
    <w:p w14:paraId="1009D1A4" w14:textId="77777777" w:rsidR="00765853" w:rsidRPr="006503C8" w:rsidRDefault="00765853" w:rsidP="00765853">
      <w:pPr>
        <w:pStyle w:val="SingleTxtG"/>
      </w:pPr>
      <w:r w:rsidRPr="006503C8">
        <w:t>3.1</w:t>
      </w:r>
      <w:r w:rsidRPr="006503C8">
        <w:tab/>
        <w:t>L</w:t>
      </w:r>
      <w:r w:rsidR="00CA2931">
        <w:t>’</w:t>
      </w:r>
      <w:r w:rsidRPr="006503C8">
        <w:t>auteure</w:t>
      </w:r>
      <w:r>
        <w:t xml:space="preserve"> </w:t>
      </w:r>
      <w:r w:rsidRPr="006503C8">
        <w:t>affirme</w:t>
      </w:r>
      <w:r>
        <w:t xml:space="preserve"> </w:t>
      </w:r>
      <w:r w:rsidRPr="006503C8">
        <w:t>que</w:t>
      </w:r>
      <w:r>
        <w:t xml:space="preserve"> </w:t>
      </w:r>
      <w:r w:rsidRPr="006503C8">
        <w:t>sa</w:t>
      </w:r>
      <w:r>
        <w:t xml:space="preserve"> </w:t>
      </w:r>
      <w:r w:rsidRPr="006503C8">
        <w:t>condamnation</w:t>
      </w:r>
      <w:r>
        <w:t xml:space="preserve"> </w:t>
      </w:r>
      <w:r w:rsidRPr="006503C8">
        <w:t>pénale</w:t>
      </w:r>
      <w:r>
        <w:t xml:space="preserve"> </w:t>
      </w:r>
      <w:r w:rsidRPr="006503C8">
        <w:t>pour</w:t>
      </w:r>
      <w:r>
        <w:t xml:space="preserve"> </w:t>
      </w:r>
      <w:r w:rsidRPr="006503C8">
        <w:t>les</w:t>
      </w:r>
      <w:r>
        <w:t xml:space="preserve"> </w:t>
      </w:r>
      <w:r w:rsidRPr="006503C8">
        <w:t>propos</w:t>
      </w:r>
      <w:r>
        <w:t xml:space="preserve"> </w:t>
      </w:r>
      <w:r w:rsidRPr="006503C8">
        <w:t>critiques</w:t>
      </w:r>
      <w:r>
        <w:t xml:space="preserve"> </w:t>
      </w:r>
      <w:r w:rsidRPr="006503C8">
        <w:t>qu</w:t>
      </w:r>
      <w:r w:rsidR="00CA2931">
        <w:t>’</w:t>
      </w:r>
      <w:r w:rsidRPr="006503C8">
        <w:t>elles</w:t>
      </w:r>
      <w:r>
        <w:t xml:space="preserve"> </w:t>
      </w:r>
      <w:r w:rsidRPr="006503C8">
        <w:t>a</w:t>
      </w:r>
      <w:r>
        <w:t xml:space="preserve"> </w:t>
      </w:r>
      <w:r w:rsidRPr="006503C8">
        <w:t>tenus</w:t>
      </w:r>
      <w:r>
        <w:t xml:space="preserve"> </w:t>
      </w:r>
      <w:r w:rsidRPr="006503C8">
        <w:t>au</w:t>
      </w:r>
      <w:r>
        <w:t xml:space="preserve"> </w:t>
      </w:r>
      <w:r w:rsidRPr="006503C8">
        <w:t>sujet</w:t>
      </w:r>
      <w:r>
        <w:t xml:space="preserve"> </w:t>
      </w:r>
      <w:r w:rsidRPr="006503C8">
        <w:t>des</w:t>
      </w:r>
      <w:r>
        <w:t xml:space="preserve"> </w:t>
      </w:r>
      <w:r w:rsidRPr="006503C8">
        <w:t>procureurs</w:t>
      </w:r>
      <w:r>
        <w:t xml:space="preserve"> </w:t>
      </w:r>
      <w:r w:rsidRPr="006503C8">
        <w:t>chargés</w:t>
      </w:r>
      <w:r>
        <w:t xml:space="preserve"> </w:t>
      </w:r>
      <w:r w:rsidRPr="006503C8">
        <w:t>des</w:t>
      </w:r>
      <w:r>
        <w:t xml:space="preserve"> </w:t>
      </w:r>
      <w:r w:rsidRPr="006503C8">
        <w:t>procédures</w:t>
      </w:r>
      <w:r>
        <w:t xml:space="preserve"> </w:t>
      </w:r>
      <w:r w:rsidRPr="006503C8">
        <w:t>pénales</w:t>
      </w:r>
      <w:r>
        <w:t xml:space="preserve"> </w:t>
      </w:r>
      <w:r w:rsidRPr="006503C8">
        <w:t>engagées</w:t>
      </w:r>
      <w:r>
        <w:t xml:space="preserve"> </w:t>
      </w:r>
      <w:r w:rsidRPr="006503C8">
        <w:t>contre</w:t>
      </w:r>
      <w:r>
        <w:t xml:space="preserve"> </w:t>
      </w:r>
      <w:r w:rsidRPr="006503C8">
        <w:t>elle</w:t>
      </w:r>
      <w:r>
        <w:t xml:space="preserve"> </w:t>
      </w:r>
      <w:r w:rsidRPr="006503C8">
        <w:t>constituait</w:t>
      </w:r>
      <w:r>
        <w:t xml:space="preserve"> </w:t>
      </w:r>
      <w:r w:rsidRPr="006503C8">
        <w:t>une</w:t>
      </w:r>
      <w:r>
        <w:t xml:space="preserve"> </w:t>
      </w:r>
      <w:r w:rsidRPr="006503C8">
        <w:t>violation</w:t>
      </w:r>
      <w:r>
        <w:t xml:space="preserve"> </w:t>
      </w:r>
      <w:r w:rsidRPr="006503C8">
        <w:t>du</w:t>
      </w:r>
      <w:r>
        <w:t xml:space="preserve"> </w:t>
      </w:r>
      <w:r w:rsidRPr="006503C8">
        <w:t>droit</w:t>
      </w:r>
      <w:r>
        <w:t xml:space="preserve"> </w:t>
      </w:r>
      <w:r w:rsidRPr="006503C8">
        <w:t>à</w:t>
      </w:r>
      <w:r>
        <w:t xml:space="preserve"> </w:t>
      </w:r>
      <w:r w:rsidRPr="006503C8">
        <w:t>la</w:t>
      </w:r>
      <w:r>
        <w:t xml:space="preserve"> </w:t>
      </w:r>
      <w:r w:rsidRPr="006503C8">
        <w:t>liberté</w:t>
      </w:r>
      <w:r>
        <w:t xml:space="preserve"> </w:t>
      </w:r>
      <w:r w:rsidRPr="006503C8">
        <w:t>d</w:t>
      </w:r>
      <w:r w:rsidR="00CA2931">
        <w:t>’</w:t>
      </w:r>
      <w:r w:rsidRPr="006503C8">
        <w:t>expression</w:t>
      </w:r>
      <w:r>
        <w:t xml:space="preserve"> </w:t>
      </w:r>
      <w:r w:rsidRPr="006503C8">
        <w:t>qu</w:t>
      </w:r>
      <w:r w:rsidR="00CA2931">
        <w:t>’</w:t>
      </w:r>
      <w:r w:rsidRPr="006503C8">
        <w:t>elle</w:t>
      </w:r>
      <w:r>
        <w:t xml:space="preserve"> </w:t>
      </w:r>
      <w:r w:rsidRPr="006503C8">
        <w:t>tient</w:t>
      </w:r>
      <w:r>
        <w:t xml:space="preserve"> </w:t>
      </w:r>
      <w:r w:rsidRPr="006503C8">
        <w:t>du</w:t>
      </w:r>
      <w:r>
        <w:t xml:space="preserve"> </w:t>
      </w:r>
      <w:r w:rsidRPr="006503C8">
        <w:t>paragraphe</w:t>
      </w:r>
      <w:r>
        <w:t xml:space="preserve"> </w:t>
      </w:r>
      <w:r w:rsidRPr="006503C8">
        <w:t>2</w:t>
      </w:r>
      <w:r>
        <w:t xml:space="preserve"> </w:t>
      </w:r>
      <w:r w:rsidRPr="006503C8">
        <w:t>de</w:t>
      </w:r>
      <w:r>
        <w:t xml:space="preserve"> </w:t>
      </w:r>
      <w:r w:rsidRPr="006503C8">
        <w:t>l</w:t>
      </w:r>
      <w:r w:rsidR="00CA2931">
        <w:t>’</w:t>
      </w:r>
      <w:r w:rsidRPr="006503C8">
        <w:t>article</w:t>
      </w:r>
      <w:r>
        <w:t xml:space="preserve"> </w:t>
      </w:r>
      <w:r w:rsidRPr="006503C8">
        <w:t>19</w:t>
      </w:r>
      <w:r>
        <w:t xml:space="preserve"> </w:t>
      </w:r>
      <w:r w:rsidRPr="006503C8">
        <w:t>du</w:t>
      </w:r>
      <w:r>
        <w:t xml:space="preserve"> </w:t>
      </w:r>
      <w:r w:rsidRPr="006503C8">
        <w:t>Pacte.</w:t>
      </w:r>
    </w:p>
    <w:p w14:paraId="63BC44C3" w14:textId="77777777" w:rsidR="00765853" w:rsidRPr="006503C8" w:rsidRDefault="00765853" w:rsidP="00765853">
      <w:pPr>
        <w:pStyle w:val="SingleTxtG"/>
      </w:pPr>
      <w:r w:rsidRPr="006503C8">
        <w:t>3.2</w:t>
      </w:r>
      <w:r w:rsidRPr="006503C8">
        <w:tab/>
        <w:t>L</w:t>
      </w:r>
      <w:r w:rsidR="00CA2931">
        <w:t>’</w:t>
      </w:r>
      <w:r w:rsidRPr="006503C8">
        <w:t>auteure</w:t>
      </w:r>
      <w:r>
        <w:t xml:space="preserve"> </w:t>
      </w:r>
      <w:r w:rsidRPr="006503C8">
        <w:t>soutient</w:t>
      </w:r>
      <w:r>
        <w:t xml:space="preserve"> </w:t>
      </w:r>
      <w:r w:rsidRPr="006503C8">
        <w:t>que</w:t>
      </w:r>
      <w:r>
        <w:t xml:space="preserve"> </w:t>
      </w:r>
      <w:r w:rsidRPr="006503C8">
        <w:t>l</w:t>
      </w:r>
      <w:r w:rsidR="00CA2931">
        <w:t>’</w:t>
      </w:r>
      <w:r w:rsidRPr="006503C8">
        <w:t>article</w:t>
      </w:r>
      <w:r>
        <w:t xml:space="preserve"> </w:t>
      </w:r>
      <w:r w:rsidRPr="006503C8">
        <w:t>290</w:t>
      </w:r>
      <w:r>
        <w:t xml:space="preserve"> </w:t>
      </w:r>
      <w:r w:rsidRPr="006503C8">
        <w:t>du</w:t>
      </w:r>
      <w:r>
        <w:t xml:space="preserve"> </w:t>
      </w:r>
      <w:r w:rsidRPr="006503C8">
        <w:t>Code</w:t>
      </w:r>
      <w:r>
        <w:t xml:space="preserve"> </w:t>
      </w:r>
      <w:r w:rsidRPr="006503C8">
        <w:t>pénal</w:t>
      </w:r>
      <w:r>
        <w:t xml:space="preserve"> </w:t>
      </w:r>
      <w:r w:rsidRPr="006503C8">
        <w:t>vise</w:t>
      </w:r>
      <w:r>
        <w:t xml:space="preserve"> </w:t>
      </w:r>
      <w:r w:rsidRPr="006503C8">
        <w:t>exclusivement</w:t>
      </w:r>
      <w:r>
        <w:t xml:space="preserve"> </w:t>
      </w:r>
      <w:r w:rsidRPr="006503C8">
        <w:t>les</w:t>
      </w:r>
      <w:r>
        <w:t xml:space="preserve"> </w:t>
      </w:r>
      <w:r w:rsidRPr="006503C8">
        <w:t>fonctionnaires</w:t>
      </w:r>
      <w:r>
        <w:t xml:space="preserve"> </w:t>
      </w:r>
      <w:r w:rsidRPr="006503C8">
        <w:t>ou</w:t>
      </w:r>
      <w:r>
        <w:t xml:space="preserve"> </w:t>
      </w:r>
      <w:r w:rsidRPr="006503C8">
        <w:t>personnes</w:t>
      </w:r>
      <w:r>
        <w:t xml:space="preserve"> </w:t>
      </w:r>
      <w:r w:rsidRPr="006503C8">
        <w:t>exerçant</w:t>
      </w:r>
      <w:r>
        <w:t xml:space="preserve"> </w:t>
      </w:r>
      <w:r w:rsidRPr="006503C8">
        <w:t>une</w:t>
      </w:r>
      <w:r>
        <w:t xml:space="preserve"> </w:t>
      </w:r>
      <w:r w:rsidRPr="006503C8">
        <w:t>fonction</w:t>
      </w:r>
      <w:r>
        <w:t xml:space="preserve"> </w:t>
      </w:r>
      <w:r w:rsidRPr="006503C8">
        <w:t>d</w:t>
      </w:r>
      <w:r w:rsidR="00CA2931">
        <w:t>’</w:t>
      </w:r>
      <w:r w:rsidRPr="006503C8">
        <w:t>administration</w:t>
      </w:r>
      <w:r>
        <w:t xml:space="preserve"> </w:t>
      </w:r>
      <w:r w:rsidRPr="006503C8">
        <w:t>publique</w:t>
      </w:r>
      <w:r>
        <w:rPr>
          <w:rStyle w:val="Appelnotedebasdep"/>
          <w:szCs w:val="18"/>
        </w:rPr>
        <w:t xml:space="preserve"> </w:t>
      </w:r>
      <w:r w:rsidRPr="006503C8">
        <w:rPr>
          <w:szCs w:val="18"/>
        </w:rPr>
        <w:t>et</w:t>
      </w:r>
      <w:r>
        <w:rPr>
          <w:szCs w:val="18"/>
        </w:rPr>
        <w:t xml:space="preserve"> </w:t>
      </w:r>
      <w:r w:rsidRPr="006503C8">
        <w:rPr>
          <w:szCs w:val="18"/>
        </w:rPr>
        <w:t>que,</w:t>
      </w:r>
      <w:r>
        <w:rPr>
          <w:szCs w:val="18"/>
        </w:rPr>
        <w:t xml:space="preserve"> </w:t>
      </w:r>
      <w:r w:rsidRPr="006503C8">
        <w:rPr>
          <w:szCs w:val="18"/>
        </w:rPr>
        <w:t>selon</w:t>
      </w:r>
      <w:r>
        <w:rPr>
          <w:szCs w:val="18"/>
        </w:rPr>
        <w:t xml:space="preserve"> </w:t>
      </w:r>
      <w:r w:rsidRPr="006503C8">
        <w:rPr>
          <w:szCs w:val="18"/>
        </w:rPr>
        <w:t>la</w:t>
      </w:r>
      <w:r>
        <w:rPr>
          <w:szCs w:val="18"/>
        </w:rPr>
        <w:t xml:space="preserve"> </w:t>
      </w:r>
      <w:r w:rsidRPr="006503C8">
        <w:rPr>
          <w:szCs w:val="18"/>
        </w:rPr>
        <w:t>législation</w:t>
      </w:r>
      <w:r>
        <w:rPr>
          <w:szCs w:val="18"/>
        </w:rPr>
        <w:t xml:space="preserve"> </w:t>
      </w:r>
      <w:r w:rsidRPr="006503C8">
        <w:rPr>
          <w:szCs w:val="18"/>
        </w:rPr>
        <w:t>nationale,</w:t>
      </w:r>
      <w:r>
        <w:rPr>
          <w:szCs w:val="18"/>
        </w:rPr>
        <w:t xml:space="preserve"> </w:t>
      </w:r>
      <w:r w:rsidRPr="006503C8">
        <w:rPr>
          <w:szCs w:val="18"/>
        </w:rPr>
        <w:t>les</w:t>
      </w:r>
      <w:r>
        <w:rPr>
          <w:szCs w:val="18"/>
        </w:rPr>
        <w:t xml:space="preserve"> </w:t>
      </w:r>
      <w:r w:rsidRPr="006503C8">
        <w:rPr>
          <w:szCs w:val="18"/>
        </w:rPr>
        <w:t>procureurs</w:t>
      </w:r>
      <w:r>
        <w:rPr>
          <w:szCs w:val="18"/>
        </w:rPr>
        <w:t xml:space="preserve"> </w:t>
      </w:r>
      <w:r w:rsidRPr="006503C8">
        <w:rPr>
          <w:szCs w:val="18"/>
        </w:rPr>
        <w:t>ne</w:t>
      </w:r>
      <w:r>
        <w:rPr>
          <w:szCs w:val="18"/>
        </w:rPr>
        <w:t xml:space="preserve"> </w:t>
      </w:r>
      <w:r w:rsidRPr="006503C8">
        <w:rPr>
          <w:szCs w:val="18"/>
        </w:rPr>
        <w:t>sont</w:t>
      </w:r>
      <w:r>
        <w:rPr>
          <w:szCs w:val="18"/>
        </w:rPr>
        <w:t xml:space="preserve"> </w:t>
      </w:r>
      <w:r w:rsidRPr="006503C8">
        <w:rPr>
          <w:szCs w:val="18"/>
        </w:rPr>
        <w:t>pas</w:t>
      </w:r>
      <w:r>
        <w:rPr>
          <w:szCs w:val="18"/>
        </w:rPr>
        <w:t xml:space="preserve"> </w:t>
      </w:r>
      <w:r w:rsidRPr="006503C8">
        <w:rPr>
          <w:szCs w:val="18"/>
        </w:rPr>
        <w:t>considérés</w:t>
      </w:r>
      <w:r>
        <w:rPr>
          <w:szCs w:val="18"/>
        </w:rPr>
        <w:t xml:space="preserve"> </w:t>
      </w:r>
      <w:r w:rsidRPr="006503C8">
        <w:rPr>
          <w:szCs w:val="18"/>
        </w:rPr>
        <w:t>comme</w:t>
      </w:r>
      <w:r>
        <w:rPr>
          <w:szCs w:val="18"/>
        </w:rPr>
        <w:t xml:space="preserve"> </w:t>
      </w:r>
      <w:r w:rsidRPr="006503C8">
        <w:rPr>
          <w:szCs w:val="18"/>
        </w:rPr>
        <w:t>des</w:t>
      </w:r>
      <w:r>
        <w:rPr>
          <w:szCs w:val="18"/>
        </w:rPr>
        <w:t xml:space="preserve"> </w:t>
      </w:r>
      <w:r w:rsidRPr="006503C8">
        <w:rPr>
          <w:szCs w:val="18"/>
        </w:rPr>
        <w:t>fonctionnaires</w:t>
      </w:r>
      <w:r w:rsidRPr="00A47548">
        <w:rPr>
          <w:rStyle w:val="Appelnotedebasdep"/>
        </w:rPr>
        <w:footnoteReference w:id="5"/>
      </w:r>
      <w:r w:rsidRPr="006503C8">
        <w:t>.</w:t>
      </w:r>
      <w:r>
        <w:t xml:space="preserve"> </w:t>
      </w:r>
      <w:r w:rsidRPr="006503C8">
        <w:t>En</w:t>
      </w:r>
      <w:r>
        <w:t xml:space="preserve"> </w:t>
      </w:r>
      <w:r w:rsidRPr="006503C8">
        <w:t>conséquence,</w:t>
      </w:r>
      <w:r>
        <w:t xml:space="preserve"> </w:t>
      </w:r>
      <w:r w:rsidRPr="006503C8">
        <w:t>elle</w:t>
      </w:r>
      <w:r>
        <w:t xml:space="preserve"> </w:t>
      </w:r>
      <w:r w:rsidRPr="006503C8">
        <w:t>soutient</w:t>
      </w:r>
      <w:r>
        <w:t xml:space="preserve"> </w:t>
      </w:r>
      <w:r w:rsidRPr="006503C8">
        <w:t>que</w:t>
      </w:r>
      <w:r>
        <w:t xml:space="preserve"> </w:t>
      </w:r>
      <w:r w:rsidRPr="006503C8">
        <w:t>l</w:t>
      </w:r>
      <w:r w:rsidR="00CA2931">
        <w:t>’</w:t>
      </w:r>
      <w:r w:rsidRPr="006503C8">
        <w:t>interprétation</w:t>
      </w:r>
      <w:r>
        <w:t xml:space="preserve"> </w:t>
      </w:r>
      <w:r w:rsidRPr="006503C8">
        <w:t>trop</w:t>
      </w:r>
      <w:r>
        <w:t xml:space="preserve"> </w:t>
      </w:r>
      <w:r w:rsidRPr="006503C8">
        <w:t>large</w:t>
      </w:r>
      <w:r>
        <w:t xml:space="preserve"> </w:t>
      </w:r>
      <w:r w:rsidRPr="006503C8">
        <w:t>que</w:t>
      </w:r>
      <w:r>
        <w:t xml:space="preserve"> </w:t>
      </w:r>
      <w:r w:rsidRPr="006503C8">
        <w:t>les</w:t>
      </w:r>
      <w:r>
        <w:t xml:space="preserve"> </w:t>
      </w:r>
      <w:r w:rsidRPr="006503C8">
        <w:t>tribunaux</w:t>
      </w:r>
      <w:r>
        <w:t xml:space="preserve"> </w:t>
      </w:r>
      <w:r w:rsidRPr="006503C8">
        <w:t>nationaux</w:t>
      </w:r>
      <w:r>
        <w:t xml:space="preserve"> </w:t>
      </w:r>
      <w:r w:rsidRPr="006503C8">
        <w:t>ont</w:t>
      </w:r>
      <w:r>
        <w:t xml:space="preserve"> </w:t>
      </w:r>
      <w:r w:rsidRPr="006503C8">
        <w:t>donnée</w:t>
      </w:r>
      <w:r>
        <w:t xml:space="preserve"> </w:t>
      </w:r>
      <w:r w:rsidRPr="006503C8">
        <w:t>de</w:t>
      </w:r>
      <w:r>
        <w:t xml:space="preserve"> </w:t>
      </w:r>
      <w:r w:rsidRPr="006503C8">
        <w:t>l</w:t>
      </w:r>
      <w:r w:rsidR="00CA2931">
        <w:t>’</w:t>
      </w:r>
      <w:r w:rsidRPr="006503C8">
        <w:t>article</w:t>
      </w:r>
      <w:r>
        <w:t xml:space="preserve"> </w:t>
      </w:r>
      <w:r w:rsidRPr="006503C8">
        <w:t>290</w:t>
      </w:r>
      <w:r>
        <w:t xml:space="preserve"> </w:t>
      </w:r>
      <w:r w:rsidRPr="006503C8">
        <w:t>ne</w:t>
      </w:r>
      <w:r>
        <w:t xml:space="preserve"> </w:t>
      </w:r>
      <w:r w:rsidRPr="006503C8">
        <w:t>remplit</w:t>
      </w:r>
      <w:r>
        <w:t xml:space="preserve"> </w:t>
      </w:r>
      <w:r w:rsidRPr="006503C8">
        <w:t>pas</w:t>
      </w:r>
      <w:r>
        <w:t xml:space="preserve"> </w:t>
      </w:r>
      <w:r w:rsidRPr="006503C8">
        <w:t>la</w:t>
      </w:r>
      <w:r>
        <w:t xml:space="preserve"> </w:t>
      </w:r>
      <w:r w:rsidRPr="006503C8">
        <w:t>condition</w:t>
      </w:r>
      <w:r>
        <w:t xml:space="preserve"> </w:t>
      </w:r>
      <w:r w:rsidRPr="006503C8">
        <w:t>exigeant</w:t>
      </w:r>
      <w:r>
        <w:t xml:space="preserve"> </w:t>
      </w:r>
      <w:r w:rsidRPr="006503C8">
        <w:t>que</w:t>
      </w:r>
      <w:r>
        <w:t xml:space="preserve"> </w:t>
      </w:r>
      <w:r w:rsidRPr="006503C8">
        <w:t>la</w:t>
      </w:r>
      <w:r>
        <w:t xml:space="preserve"> </w:t>
      </w:r>
      <w:r w:rsidRPr="006503C8">
        <w:t>loi</w:t>
      </w:r>
      <w:r>
        <w:t xml:space="preserve"> </w:t>
      </w:r>
      <w:r w:rsidRPr="006503C8">
        <w:t>doit</w:t>
      </w:r>
      <w:r>
        <w:t xml:space="preserve"> </w:t>
      </w:r>
      <w:r w:rsidRPr="006503C8">
        <w:t>être</w:t>
      </w:r>
      <w:r>
        <w:t xml:space="preserve"> </w:t>
      </w:r>
      <w:r w:rsidRPr="006503C8">
        <w:t>suffisamment</w:t>
      </w:r>
      <w:r>
        <w:t xml:space="preserve"> </w:t>
      </w:r>
      <w:r w:rsidRPr="006503C8">
        <w:t>précise</w:t>
      </w:r>
      <w:r>
        <w:t xml:space="preserve"> </w:t>
      </w:r>
      <w:r w:rsidRPr="006503C8">
        <w:t>et</w:t>
      </w:r>
      <w:r>
        <w:t xml:space="preserve"> </w:t>
      </w:r>
      <w:r w:rsidRPr="006503C8">
        <w:t>prévisible</w:t>
      </w:r>
      <w:r>
        <w:t xml:space="preserve"> </w:t>
      </w:r>
      <w:r w:rsidRPr="006503C8">
        <w:t>et</w:t>
      </w:r>
      <w:r>
        <w:t xml:space="preserve"> </w:t>
      </w:r>
      <w:r w:rsidRPr="006503C8">
        <w:t>donc,</w:t>
      </w:r>
      <w:r>
        <w:t xml:space="preserve"> </w:t>
      </w:r>
      <w:r w:rsidRPr="006503C8">
        <w:t>que</w:t>
      </w:r>
      <w:r>
        <w:t xml:space="preserve"> </w:t>
      </w:r>
      <w:r w:rsidRPr="006503C8">
        <w:t>la</w:t>
      </w:r>
      <w:r>
        <w:t xml:space="preserve"> </w:t>
      </w:r>
      <w:r w:rsidRPr="006503C8">
        <w:t>restriction</w:t>
      </w:r>
      <w:r>
        <w:t xml:space="preserve"> </w:t>
      </w:r>
      <w:r w:rsidRPr="006503C8">
        <w:t>imposée</w:t>
      </w:r>
      <w:r>
        <w:t xml:space="preserve"> </w:t>
      </w:r>
      <w:r w:rsidRPr="006503C8">
        <w:t>à</w:t>
      </w:r>
      <w:r>
        <w:t xml:space="preserve"> </w:t>
      </w:r>
      <w:r w:rsidRPr="006503C8">
        <w:t>ses</w:t>
      </w:r>
      <w:r>
        <w:t xml:space="preserve"> </w:t>
      </w:r>
      <w:r w:rsidRPr="006503C8">
        <w:t>droits</w:t>
      </w:r>
      <w:r>
        <w:t xml:space="preserve"> </w:t>
      </w:r>
      <w:r w:rsidRPr="006503C8">
        <w:t>n</w:t>
      </w:r>
      <w:r w:rsidR="00CA2931">
        <w:t>’</w:t>
      </w:r>
      <w:r w:rsidRPr="006503C8">
        <w:t>était</w:t>
      </w:r>
      <w:r>
        <w:t xml:space="preserve"> </w:t>
      </w:r>
      <w:r w:rsidRPr="006503C8">
        <w:t>pas</w:t>
      </w:r>
      <w:r>
        <w:t xml:space="preserve"> </w:t>
      </w:r>
      <w:r w:rsidRPr="006503C8">
        <w:t>fixée</w:t>
      </w:r>
      <w:r>
        <w:t xml:space="preserve"> </w:t>
      </w:r>
      <w:r w:rsidRPr="006503C8">
        <w:t>par</w:t>
      </w:r>
      <w:r>
        <w:t xml:space="preserve"> </w:t>
      </w:r>
      <w:r w:rsidRPr="006503C8">
        <w:t>l</w:t>
      </w:r>
      <w:r w:rsidR="00132710">
        <w:t>a</w:t>
      </w:r>
      <w:r>
        <w:t xml:space="preserve"> </w:t>
      </w:r>
      <w:r w:rsidRPr="006503C8">
        <w:t>loi.</w:t>
      </w:r>
    </w:p>
    <w:p w14:paraId="48A6D1EB" w14:textId="77777777" w:rsidR="00765853" w:rsidRPr="006503C8" w:rsidRDefault="00765853" w:rsidP="00765853">
      <w:pPr>
        <w:pStyle w:val="SingleTxtG"/>
      </w:pPr>
      <w:r w:rsidRPr="006503C8">
        <w:t>3.3</w:t>
      </w:r>
      <w:r w:rsidRPr="006503C8">
        <w:tab/>
        <w:t>En</w:t>
      </w:r>
      <w:r>
        <w:t xml:space="preserve"> </w:t>
      </w:r>
      <w:r w:rsidRPr="006503C8">
        <w:t>outre,</w:t>
      </w:r>
      <w:r>
        <w:t xml:space="preserve"> </w:t>
      </w:r>
      <w:r w:rsidRPr="006503C8">
        <w:t>l</w:t>
      </w:r>
      <w:r w:rsidR="00CA2931">
        <w:t>’</w:t>
      </w:r>
      <w:r w:rsidRPr="006503C8">
        <w:t>auteure</w:t>
      </w:r>
      <w:r>
        <w:t xml:space="preserve"> </w:t>
      </w:r>
      <w:r w:rsidRPr="006503C8">
        <w:t>soutient</w:t>
      </w:r>
      <w:r>
        <w:t xml:space="preserve"> </w:t>
      </w:r>
      <w:r w:rsidRPr="006503C8">
        <w:t>que</w:t>
      </w:r>
      <w:r>
        <w:t xml:space="preserve"> </w:t>
      </w:r>
      <w:r w:rsidRPr="006503C8">
        <w:t>la</w:t>
      </w:r>
      <w:r>
        <w:t xml:space="preserve"> </w:t>
      </w:r>
      <w:r w:rsidRPr="006503C8">
        <w:t>restriction</w:t>
      </w:r>
      <w:r>
        <w:t xml:space="preserve"> </w:t>
      </w:r>
      <w:r w:rsidRPr="006503C8">
        <w:t>à</w:t>
      </w:r>
      <w:r>
        <w:t xml:space="preserve"> </w:t>
      </w:r>
      <w:r w:rsidRPr="006503C8">
        <w:t>la</w:t>
      </w:r>
      <w:r>
        <w:t xml:space="preserve"> </w:t>
      </w:r>
      <w:r w:rsidRPr="006503C8">
        <w:t>liberté</w:t>
      </w:r>
      <w:r>
        <w:t xml:space="preserve"> </w:t>
      </w:r>
      <w:r w:rsidRPr="006503C8">
        <w:t>d</w:t>
      </w:r>
      <w:r w:rsidR="00CA2931">
        <w:t>’</w:t>
      </w:r>
      <w:r w:rsidRPr="006503C8">
        <w:t>expression</w:t>
      </w:r>
      <w:r>
        <w:t xml:space="preserve"> </w:t>
      </w:r>
      <w:r w:rsidRPr="006503C8">
        <w:t>prévue</w:t>
      </w:r>
      <w:r>
        <w:t xml:space="preserve"> </w:t>
      </w:r>
      <w:r w:rsidRPr="006503C8">
        <w:t>à</w:t>
      </w:r>
      <w:r>
        <w:t xml:space="preserve"> </w:t>
      </w:r>
      <w:r w:rsidRPr="006503C8">
        <w:t>l</w:t>
      </w:r>
      <w:r w:rsidR="00CA2931">
        <w:t>’</w:t>
      </w:r>
      <w:r w:rsidRPr="006503C8">
        <w:t>article</w:t>
      </w:r>
      <w:r>
        <w:t xml:space="preserve"> </w:t>
      </w:r>
      <w:r w:rsidRPr="006503C8">
        <w:t>290</w:t>
      </w:r>
      <w:r>
        <w:t xml:space="preserve"> </w:t>
      </w:r>
      <w:r w:rsidRPr="006503C8">
        <w:t>vise</w:t>
      </w:r>
      <w:r>
        <w:t xml:space="preserve"> </w:t>
      </w:r>
      <w:r w:rsidRPr="006503C8">
        <w:t>à</w:t>
      </w:r>
      <w:r>
        <w:t xml:space="preserve"> </w:t>
      </w:r>
      <w:r w:rsidRPr="006503C8">
        <w:t>protéger</w:t>
      </w:r>
      <w:r>
        <w:t xml:space="preserve"> </w:t>
      </w:r>
      <w:r w:rsidRPr="006503C8">
        <w:t>les</w:t>
      </w:r>
      <w:r>
        <w:t xml:space="preserve"> </w:t>
      </w:r>
      <w:r w:rsidRPr="006503C8">
        <w:t>activités</w:t>
      </w:r>
      <w:r>
        <w:t xml:space="preserve"> </w:t>
      </w:r>
      <w:r w:rsidRPr="006503C8">
        <w:t>des</w:t>
      </w:r>
      <w:r>
        <w:t xml:space="preserve"> </w:t>
      </w:r>
      <w:r w:rsidRPr="006503C8">
        <w:t>fonctionnaires</w:t>
      </w:r>
      <w:r>
        <w:t xml:space="preserve"> </w:t>
      </w:r>
      <w:r w:rsidRPr="006503C8">
        <w:t>ou</w:t>
      </w:r>
      <w:r>
        <w:t xml:space="preserve"> </w:t>
      </w:r>
      <w:r w:rsidRPr="006503C8">
        <w:t>des</w:t>
      </w:r>
      <w:r>
        <w:t xml:space="preserve"> </w:t>
      </w:r>
      <w:r w:rsidRPr="006503C8">
        <w:t>personnes</w:t>
      </w:r>
      <w:r>
        <w:t xml:space="preserve"> </w:t>
      </w:r>
      <w:r w:rsidRPr="006503C8">
        <w:t>exerçant</w:t>
      </w:r>
      <w:r>
        <w:t xml:space="preserve"> </w:t>
      </w:r>
      <w:r w:rsidRPr="006503C8">
        <w:t>une</w:t>
      </w:r>
      <w:r>
        <w:t xml:space="preserve"> </w:t>
      </w:r>
      <w:r w:rsidRPr="006503C8">
        <w:t>fonction</w:t>
      </w:r>
      <w:r>
        <w:t xml:space="preserve"> </w:t>
      </w:r>
      <w:r w:rsidRPr="006503C8">
        <w:t>d</w:t>
      </w:r>
      <w:r w:rsidR="00CA2931">
        <w:t>’</w:t>
      </w:r>
      <w:r w:rsidRPr="006503C8">
        <w:t>administration</w:t>
      </w:r>
      <w:r>
        <w:t xml:space="preserve"> </w:t>
      </w:r>
      <w:r w:rsidRPr="006503C8">
        <w:t>publique</w:t>
      </w:r>
      <w:r w:rsidRPr="00A47548">
        <w:rPr>
          <w:rStyle w:val="Appelnotedebasdep"/>
        </w:rPr>
        <w:footnoteReference w:id="6"/>
      </w:r>
      <w:r w:rsidRPr="006503C8">
        <w:t>.</w:t>
      </w:r>
      <w:r>
        <w:t xml:space="preserve"> </w:t>
      </w:r>
      <w:r w:rsidRPr="006503C8">
        <w:t>Elle</w:t>
      </w:r>
      <w:r>
        <w:t xml:space="preserve"> </w:t>
      </w:r>
      <w:r w:rsidRPr="006503C8">
        <w:t>avance</w:t>
      </w:r>
      <w:r>
        <w:t xml:space="preserve"> </w:t>
      </w:r>
      <w:r w:rsidRPr="006503C8">
        <w:t>que</w:t>
      </w:r>
      <w:r>
        <w:t xml:space="preserve"> </w:t>
      </w:r>
      <w:r w:rsidRPr="006503C8">
        <w:t>cet</w:t>
      </w:r>
      <w:r>
        <w:t xml:space="preserve"> </w:t>
      </w:r>
      <w:r w:rsidRPr="006503C8">
        <w:t>objectif</w:t>
      </w:r>
      <w:r>
        <w:t xml:space="preserve"> </w:t>
      </w:r>
      <w:r w:rsidRPr="006503C8">
        <w:t>ne</w:t>
      </w:r>
      <w:r>
        <w:t xml:space="preserve"> </w:t>
      </w:r>
      <w:r w:rsidRPr="006503C8">
        <w:t>correspond</w:t>
      </w:r>
      <w:r>
        <w:t xml:space="preserve"> </w:t>
      </w:r>
      <w:r w:rsidRPr="006503C8">
        <w:t>pas</w:t>
      </w:r>
      <w:r>
        <w:t xml:space="preserve"> </w:t>
      </w:r>
      <w:r w:rsidRPr="006503C8">
        <w:t>à</w:t>
      </w:r>
      <w:r>
        <w:t xml:space="preserve"> </w:t>
      </w:r>
      <w:r w:rsidRPr="006503C8">
        <w:t>l</w:t>
      </w:r>
      <w:r w:rsidR="00CA2931">
        <w:t>’</w:t>
      </w:r>
      <w:r w:rsidRPr="006503C8">
        <w:t>un</w:t>
      </w:r>
      <w:r>
        <w:t xml:space="preserve"> </w:t>
      </w:r>
      <w:r w:rsidRPr="006503C8">
        <w:t>des</w:t>
      </w:r>
      <w:r>
        <w:t xml:space="preserve"> </w:t>
      </w:r>
      <w:r w:rsidRPr="006503C8">
        <w:t>objectifs</w:t>
      </w:r>
      <w:r>
        <w:t xml:space="preserve"> </w:t>
      </w:r>
      <w:r w:rsidRPr="006503C8">
        <w:t>légitimes</w:t>
      </w:r>
      <w:r>
        <w:t xml:space="preserve"> </w:t>
      </w:r>
      <w:r w:rsidRPr="006503C8">
        <w:t>énoncés</w:t>
      </w:r>
      <w:r>
        <w:t xml:space="preserve"> </w:t>
      </w:r>
      <w:r w:rsidRPr="006503C8">
        <w:t>au</w:t>
      </w:r>
      <w:r>
        <w:t xml:space="preserve"> </w:t>
      </w:r>
      <w:r w:rsidRPr="006503C8">
        <w:t>paragraphe</w:t>
      </w:r>
      <w:r>
        <w:t xml:space="preserve"> </w:t>
      </w:r>
      <w:r w:rsidRPr="006503C8">
        <w:t>3</w:t>
      </w:r>
      <w:r>
        <w:t xml:space="preserve"> </w:t>
      </w:r>
      <w:r w:rsidRPr="006503C8">
        <w:t>de</w:t>
      </w:r>
      <w:r>
        <w:t xml:space="preserve"> </w:t>
      </w:r>
      <w:r w:rsidRPr="006503C8">
        <w:t>l</w:t>
      </w:r>
      <w:r w:rsidR="00CA2931">
        <w:t>’</w:t>
      </w:r>
      <w:r w:rsidRPr="006503C8">
        <w:t>article</w:t>
      </w:r>
      <w:r>
        <w:t xml:space="preserve"> </w:t>
      </w:r>
      <w:r w:rsidRPr="006503C8">
        <w:t>19</w:t>
      </w:r>
      <w:r>
        <w:t xml:space="preserve"> </w:t>
      </w:r>
      <w:r w:rsidRPr="006503C8">
        <w:t>du</w:t>
      </w:r>
      <w:r>
        <w:t xml:space="preserve"> </w:t>
      </w:r>
      <w:r w:rsidRPr="006503C8">
        <w:t>Pacte.</w:t>
      </w:r>
      <w:r>
        <w:t xml:space="preserve"> </w:t>
      </w:r>
      <w:r w:rsidRPr="006503C8">
        <w:t>Elle</w:t>
      </w:r>
      <w:r>
        <w:t xml:space="preserve"> </w:t>
      </w:r>
      <w:r w:rsidRPr="006503C8">
        <w:t>insiste</w:t>
      </w:r>
      <w:r>
        <w:t xml:space="preserve"> </w:t>
      </w:r>
      <w:r w:rsidRPr="006503C8">
        <w:t>sur</w:t>
      </w:r>
      <w:r>
        <w:t xml:space="preserve"> </w:t>
      </w:r>
      <w:r w:rsidRPr="006503C8">
        <w:t>le</w:t>
      </w:r>
      <w:r>
        <w:t xml:space="preserve"> </w:t>
      </w:r>
      <w:r w:rsidRPr="006503C8">
        <w:t>fait</w:t>
      </w:r>
      <w:r>
        <w:t xml:space="preserve"> </w:t>
      </w:r>
      <w:r w:rsidRPr="006503C8">
        <w:t>que</w:t>
      </w:r>
      <w:r>
        <w:t xml:space="preserve"> </w:t>
      </w:r>
      <w:r w:rsidRPr="006503C8">
        <w:t>la</w:t>
      </w:r>
      <w:r>
        <w:t xml:space="preserve"> </w:t>
      </w:r>
      <w:r w:rsidRPr="006503C8">
        <w:t>notion</w:t>
      </w:r>
      <w:r>
        <w:t xml:space="preserve"> </w:t>
      </w:r>
      <w:r w:rsidRPr="006503C8">
        <w:t>de</w:t>
      </w:r>
      <w:r>
        <w:t xml:space="preserve"> </w:t>
      </w:r>
      <w:r w:rsidRPr="006503C8">
        <w:t>«</w:t>
      </w:r>
      <w:r>
        <w:t> </w:t>
      </w:r>
      <w:r w:rsidRPr="006503C8">
        <w:t>l</w:t>
      </w:r>
      <w:r w:rsidR="00CA2931">
        <w:t>’</w:t>
      </w:r>
      <w:r w:rsidRPr="006503C8">
        <w:t>ordre</w:t>
      </w:r>
      <w:r>
        <w:t xml:space="preserve"> </w:t>
      </w:r>
      <w:r w:rsidRPr="006503C8">
        <w:t>public</w:t>
      </w:r>
      <w:r>
        <w:t> </w:t>
      </w:r>
      <w:r w:rsidRPr="006503C8">
        <w:t>»,</w:t>
      </w:r>
      <w:r>
        <w:t xml:space="preserve"> </w:t>
      </w:r>
      <w:r w:rsidRPr="006503C8">
        <w:t>un</w:t>
      </w:r>
      <w:r>
        <w:t xml:space="preserve"> </w:t>
      </w:r>
      <w:r w:rsidRPr="006503C8">
        <w:t>motif</w:t>
      </w:r>
      <w:r>
        <w:t xml:space="preserve"> </w:t>
      </w:r>
      <w:r w:rsidRPr="006503C8">
        <w:t>acceptable</w:t>
      </w:r>
      <w:r>
        <w:t xml:space="preserve"> </w:t>
      </w:r>
      <w:r w:rsidRPr="006503C8">
        <w:t>pour</w:t>
      </w:r>
      <w:r>
        <w:t xml:space="preserve"> </w:t>
      </w:r>
      <w:r w:rsidRPr="006503C8">
        <w:t>restreindre</w:t>
      </w:r>
      <w:r>
        <w:t xml:space="preserve"> </w:t>
      </w:r>
      <w:r w:rsidRPr="006503C8">
        <w:t>la</w:t>
      </w:r>
      <w:r>
        <w:t xml:space="preserve"> </w:t>
      </w:r>
      <w:r w:rsidRPr="006503C8">
        <w:t>liberté</w:t>
      </w:r>
      <w:r>
        <w:t xml:space="preserve"> </w:t>
      </w:r>
      <w:r w:rsidRPr="006503C8">
        <w:t>d</w:t>
      </w:r>
      <w:r w:rsidR="00CA2931">
        <w:t>’</w:t>
      </w:r>
      <w:r w:rsidRPr="006503C8">
        <w:t>expression,</w:t>
      </w:r>
      <w:r>
        <w:t xml:space="preserve"> </w:t>
      </w:r>
      <w:r w:rsidRPr="006503C8">
        <w:t>ne</w:t>
      </w:r>
      <w:r>
        <w:t xml:space="preserve"> </w:t>
      </w:r>
      <w:r w:rsidRPr="006503C8">
        <w:t>doit</w:t>
      </w:r>
      <w:r>
        <w:t xml:space="preserve"> </w:t>
      </w:r>
      <w:r w:rsidRPr="006503C8">
        <w:t>pas</w:t>
      </w:r>
      <w:r>
        <w:t xml:space="preserve"> </w:t>
      </w:r>
      <w:r w:rsidRPr="006503C8">
        <w:t>être</w:t>
      </w:r>
      <w:r>
        <w:t xml:space="preserve"> </w:t>
      </w:r>
      <w:r w:rsidRPr="006503C8">
        <w:t>interprété</w:t>
      </w:r>
      <w:r>
        <w:t xml:space="preserve"> </w:t>
      </w:r>
      <w:r w:rsidRPr="006503C8">
        <w:t>largement,</w:t>
      </w:r>
      <w:r>
        <w:t xml:space="preserve"> </w:t>
      </w:r>
      <w:r w:rsidRPr="006503C8">
        <w:t>et</w:t>
      </w:r>
      <w:r>
        <w:t xml:space="preserve"> </w:t>
      </w:r>
      <w:r w:rsidRPr="006503C8">
        <w:t>que</w:t>
      </w:r>
      <w:r>
        <w:t xml:space="preserve"> </w:t>
      </w:r>
      <w:r w:rsidRPr="006503C8">
        <w:t>la</w:t>
      </w:r>
      <w:r>
        <w:t xml:space="preserve"> </w:t>
      </w:r>
      <w:r w:rsidRPr="006503C8">
        <w:t>protection</w:t>
      </w:r>
      <w:r>
        <w:t xml:space="preserve"> </w:t>
      </w:r>
      <w:r w:rsidRPr="006503C8">
        <w:t>des</w:t>
      </w:r>
      <w:r>
        <w:t xml:space="preserve"> </w:t>
      </w:r>
      <w:r w:rsidRPr="006503C8">
        <w:t>activités</w:t>
      </w:r>
      <w:r>
        <w:t xml:space="preserve"> </w:t>
      </w:r>
      <w:r w:rsidRPr="006503C8">
        <w:t>des</w:t>
      </w:r>
      <w:r>
        <w:t xml:space="preserve"> </w:t>
      </w:r>
      <w:r w:rsidRPr="006503C8">
        <w:t>fonctionnaires</w:t>
      </w:r>
      <w:r>
        <w:t xml:space="preserve"> </w:t>
      </w:r>
      <w:r w:rsidRPr="006503C8">
        <w:t>ne</w:t>
      </w:r>
      <w:r>
        <w:t xml:space="preserve"> </w:t>
      </w:r>
      <w:r w:rsidRPr="006503C8">
        <w:t>relève</w:t>
      </w:r>
      <w:r>
        <w:t xml:space="preserve"> </w:t>
      </w:r>
      <w:r w:rsidRPr="006503C8">
        <w:t>pas</w:t>
      </w:r>
      <w:r>
        <w:t xml:space="preserve"> </w:t>
      </w:r>
      <w:r w:rsidRPr="006503C8">
        <w:t>de</w:t>
      </w:r>
      <w:r>
        <w:t xml:space="preserve"> </w:t>
      </w:r>
      <w:r w:rsidRPr="006503C8">
        <w:t>l</w:t>
      </w:r>
      <w:r w:rsidR="00CA2931">
        <w:t>’</w:t>
      </w:r>
      <w:r w:rsidRPr="006503C8">
        <w:t>ordre</w:t>
      </w:r>
      <w:r>
        <w:t xml:space="preserve"> </w:t>
      </w:r>
      <w:r w:rsidRPr="006503C8">
        <w:t>public.</w:t>
      </w:r>
      <w:r>
        <w:t xml:space="preserve"> </w:t>
      </w:r>
      <w:r w:rsidRPr="006503C8">
        <w:t>Elle</w:t>
      </w:r>
      <w:r>
        <w:t xml:space="preserve"> </w:t>
      </w:r>
      <w:r w:rsidRPr="006503C8">
        <w:t>conteste</w:t>
      </w:r>
      <w:r>
        <w:t xml:space="preserve"> </w:t>
      </w:r>
      <w:r w:rsidRPr="006503C8">
        <w:t>également</w:t>
      </w:r>
      <w:r>
        <w:t xml:space="preserve"> </w:t>
      </w:r>
      <w:r w:rsidRPr="006503C8">
        <w:t>la</w:t>
      </w:r>
      <w:r>
        <w:t xml:space="preserve"> </w:t>
      </w:r>
      <w:r w:rsidRPr="006503C8">
        <w:t>conclusion</w:t>
      </w:r>
      <w:r>
        <w:t xml:space="preserve"> </w:t>
      </w:r>
      <w:r w:rsidRPr="006503C8">
        <w:t>de</w:t>
      </w:r>
      <w:r>
        <w:t xml:space="preserve"> </w:t>
      </w:r>
      <w:r w:rsidRPr="006503C8">
        <w:t>la</w:t>
      </w:r>
      <w:r>
        <w:t xml:space="preserve"> </w:t>
      </w:r>
      <w:r w:rsidRPr="006503C8">
        <w:t>Cour</w:t>
      </w:r>
      <w:r>
        <w:t xml:space="preserve"> </w:t>
      </w:r>
      <w:r w:rsidRPr="006503C8">
        <w:t>suprême</w:t>
      </w:r>
      <w:r>
        <w:t xml:space="preserve"> </w:t>
      </w:r>
      <w:r w:rsidRPr="006503C8">
        <w:t>selon</w:t>
      </w:r>
      <w:r>
        <w:t xml:space="preserve"> </w:t>
      </w:r>
      <w:r w:rsidRPr="006503C8">
        <w:t>qui</w:t>
      </w:r>
      <w:r>
        <w:t xml:space="preserve"> </w:t>
      </w:r>
      <w:r w:rsidRPr="006503C8">
        <w:t>l</w:t>
      </w:r>
      <w:r w:rsidR="00CA2931">
        <w:t>’</w:t>
      </w:r>
      <w:r w:rsidRPr="006503C8">
        <w:t>article</w:t>
      </w:r>
      <w:r>
        <w:t xml:space="preserve"> </w:t>
      </w:r>
      <w:r w:rsidRPr="006503C8">
        <w:t>290</w:t>
      </w:r>
      <w:r>
        <w:t xml:space="preserve"> </w:t>
      </w:r>
      <w:r w:rsidRPr="006503C8">
        <w:t>entend</w:t>
      </w:r>
      <w:r>
        <w:t xml:space="preserve"> </w:t>
      </w:r>
      <w:r w:rsidRPr="006503C8">
        <w:t>protéger,</w:t>
      </w:r>
      <w:r>
        <w:t xml:space="preserve"> </w:t>
      </w:r>
      <w:r w:rsidRPr="006503C8">
        <w:t>entre</w:t>
      </w:r>
      <w:r>
        <w:t xml:space="preserve"> </w:t>
      </w:r>
      <w:r w:rsidRPr="006503C8">
        <w:t>autres,</w:t>
      </w:r>
      <w:r>
        <w:t xml:space="preserve"> </w:t>
      </w:r>
      <w:r w:rsidRPr="006503C8">
        <w:t>l</w:t>
      </w:r>
      <w:r w:rsidR="00CA2931">
        <w:t>’</w:t>
      </w:r>
      <w:r w:rsidRPr="006503C8">
        <w:t>honneur</w:t>
      </w:r>
      <w:r>
        <w:t xml:space="preserve"> </w:t>
      </w:r>
      <w:r w:rsidRPr="006503C8">
        <w:t>et</w:t>
      </w:r>
      <w:r>
        <w:t xml:space="preserve"> </w:t>
      </w:r>
      <w:r w:rsidRPr="006503C8">
        <w:t>la</w:t>
      </w:r>
      <w:r>
        <w:t xml:space="preserve"> </w:t>
      </w:r>
      <w:r w:rsidRPr="006503C8">
        <w:t>dignité</w:t>
      </w:r>
      <w:r>
        <w:t xml:space="preserve"> </w:t>
      </w:r>
      <w:r w:rsidRPr="006503C8">
        <w:t>des</w:t>
      </w:r>
      <w:r>
        <w:t xml:space="preserve"> </w:t>
      </w:r>
      <w:r w:rsidRPr="006503C8">
        <w:t>fonctionnaires.</w:t>
      </w:r>
      <w:r>
        <w:t xml:space="preserve"> </w:t>
      </w:r>
      <w:r w:rsidRPr="006503C8">
        <w:t>Elle</w:t>
      </w:r>
      <w:r>
        <w:t xml:space="preserve"> </w:t>
      </w:r>
      <w:r w:rsidRPr="006503C8">
        <w:t>soutient</w:t>
      </w:r>
      <w:r>
        <w:t xml:space="preserve"> </w:t>
      </w:r>
      <w:r w:rsidRPr="006503C8">
        <w:t>que</w:t>
      </w:r>
      <w:r>
        <w:t xml:space="preserve"> </w:t>
      </w:r>
      <w:r w:rsidRPr="006503C8">
        <w:t>c</w:t>
      </w:r>
      <w:r w:rsidR="00CA2931">
        <w:t>’</w:t>
      </w:r>
      <w:r w:rsidRPr="006503C8">
        <w:t>est</w:t>
      </w:r>
      <w:r>
        <w:t xml:space="preserve"> </w:t>
      </w:r>
      <w:r w:rsidRPr="006503C8">
        <w:t>l</w:t>
      </w:r>
      <w:r w:rsidR="00CA2931">
        <w:t>’</w:t>
      </w:r>
      <w:r w:rsidRPr="006503C8">
        <w:t>article</w:t>
      </w:r>
      <w:r>
        <w:t xml:space="preserve"> </w:t>
      </w:r>
      <w:r w:rsidRPr="006503C8">
        <w:t>155</w:t>
      </w:r>
      <w:r>
        <w:t xml:space="preserve"> </w:t>
      </w:r>
      <w:r w:rsidRPr="006503C8">
        <w:t>du</w:t>
      </w:r>
      <w:r>
        <w:t xml:space="preserve"> </w:t>
      </w:r>
      <w:r w:rsidRPr="006503C8">
        <w:t>Code</w:t>
      </w:r>
      <w:r>
        <w:t xml:space="preserve"> </w:t>
      </w:r>
      <w:r w:rsidRPr="006503C8">
        <w:t>pénal</w:t>
      </w:r>
      <w:r>
        <w:t xml:space="preserve"> </w:t>
      </w:r>
      <w:r w:rsidRPr="006503C8">
        <w:t>qui</w:t>
      </w:r>
      <w:r>
        <w:t xml:space="preserve"> </w:t>
      </w:r>
      <w:r w:rsidRPr="006503C8">
        <w:t>vise</w:t>
      </w:r>
      <w:r>
        <w:t xml:space="preserve"> </w:t>
      </w:r>
      <w:r w:rsidRPr="006503C8">
        <w:t>à</w:t>
      </w:r>
      <w:r>
        <w:t xml:space="preserve"> </w:t>
      </w:r>
      <w:r w:rsidRPr="006503C8">
        <w:t>protéger</w:t>
      </w:r>
      <w:r>
        <w:t xml:space="preserve"> </w:t>
      </w:r>
      <w:r w:rsidRPr="006503C8">
        <w:t>l</w:t>
      </w:r>
      <w:r w:rsidR="00CA2931">
        <w:t>’</w:t>
      </w:r>
      <w:r w:rsidRPr="006503C8">
        <w:t>honneur</w:t>
      </w:r>
      <w:r>
        <w:t xml:space="preserve"> </w:t>
      </w:r>
      <w:r w:rsidRPr="006503C8">
        <w:t>et</w:t>
      </w:r>
      <w:r>
        <w:t xml:space="preserve"> </w:t>
      </w:r>
      <w:r w:rsidRPr="006503C8">
        <w:t>la</w:t>
      </w:r>
      <w:r>
        <w:t xml:space="preserve"> </w:t>
      </w:r>
      <w:r w:rsidRPr="006503C8">
        <w:t>dignité</w:t>
      </w:r>
      <w:r>
        <w:t xml:space="preserve"> </w:t>
      </w:r>
      <w:r w:rsidRPr="006503C8">
        <w:t>d</w:t>
      </w:r>
      <w:r w:rsidR="00CA2931">
        <w:t>’</w:t>
      </w:r>
      <w:r w:rsidRPr="006503C8">
        <w:t>une</w:t>
      </w:r>
      <w:r>
        <w:t xml:space="preserve"> </w:t>
      </w:r>
      <w:r w:rsidRPr="006503C8">
        <w:t>personne,</w:t>
      </w:r>
      <w:r>
        <w:t xml:space="preserve"> </w:t>
      </w:r>
      <w:r w:rsidRPr="006503C8">
        <w:t>et</w:t>
      </w:r>
      <w:r>
        <w:t xml:space="preserve"> </w:t>
      </w:r>
      <w:r w:rsidRPr="006503C8">
        <w:t>que</w:t>
      </w:r>
      <w:r>
        <w:t xml:space="preserve"> </w:t>
      </w:r>
      <w:r w:rsidRPr="006503C8">
        <w:t>donc,</w:t>
      </w:r>
      <w:r>
        <w:t xml:space="preserve"> </w:t>
      </w:r>
      <w:r w:rsidRPr="006503C8">
        <w:t>pour</w:t>
      </w:r>
      <w:r>
        <w:t xml:space="preserve"> </w:t>
      </w:r>
      <w:r w:rsidRPr="006503C8">
        <w:t>qu</w:t>
      </w:r>
      <w:r w:rsidR="00CA2931">
        <w:t>’</w:t>
      </w:r>
      <w:r w:rsidRPr="006503C8">
        <w:t>une</w:t>
      </w:r>
      <w:r>
        <w:t xml:space="preserve"> </w:t>
      </w:r>
      <w:r w:rsidRPr="006503C8">
        <w:t>procédure</w:t>
      </w:r>
      <w:r>
        <w:t xml:space="preserve"> </w:t>
      </w:r>
      <w:r w:rsidRPr="006503C8">
        <w:t>pénale</w:t>
      </w:r>
      <w:r>
        <w:t xml:space="preserve"> </w:t>
      </w:r>
      <w:r w:rsidRPr="006503C8">
        <w:t>soit</w:t>
      </w:r>
      <w:r>
        <w:t xml:space="preserve"> </w:t>
      </w:r>
      <w:r w:rsidRPr="006503C8">
        <w:lastRenderedPageBreak/>
        <w:t>engagée</w:t>
      </w:r>
      <w:r>
        <w:t xml:space="preserve"> </w:t>
      </w:r>
      <w:r w:rsidRPr="006503C8">
        <w:t>au</w:t>
      </w:r>
      <w:r>
        <w:t xml:space="preserve"> </w:t>
      </w:r>
      <w:r w:rsidRPr="006503C8">
        <w:t>titre</w:t>
      </w:r>
      <w:r>
        <w:t xml:space="preserve"> </w:t>
      </w:r>
      <w:r w:rsidRPr="006503C8">
        <w:t>de</w:t>
      </w:r>
      <w:r>
        <w:t xml:space="preserve"> </w:t>
      </w:r>
      <w:r w:rsidRPr="006503C8">
        <w:t>l</w:t>
      </w:r>
      <w:r w:rsidR="00CA2931">
        <w:t>’</w:t>
      </w:r>
      <w:r w:rsidRPr="006503C8">
        <w:t>article</w:t>
      </w:r>
      <w:r>
        <w:t xml:space="preserve"> </w:t>
      </w:r>
      <w:r w:rsidRPr="006503C8">
        <w:t>155,</w:t>
      </w:r>
      <w:r>
        <w:t xml:space="preserve"> </w:t>
      </w:r>
      <w:r w:rsidRPr="006503C8">
        <w:t>la</w:t>
      </w:r>
      <w:r>
        <w:t xml:space="preserve"> </w:t>
      </w:r>
      <w:r w:rsidRPr="006503C8">
        <w:t>victime</w:t>
      </w:r>
      <w:r>
        <w:t xml:space="preserve"> </w:t>
      </w:r>
      <w:r w:rsidRPr="006503C8">
        <w:t>doit</w:t>
      </w:r>
      <w:r>
        <w:t xml:space="preserve"> </w:t>
      </w:r>
      <w:r w:rsidRPr="006503C8">
        <w:t>avoir</w:t>
      </w:r>
      <w:r>
        <w:t xml:space="preserve"> </w:t>
      </w:r>
      <w:r w:rsidRPr="006503C8">
        <w:t>déposé</w:t>
      </w:r>
      <w:r>
        <w:t xml:space="preserve"> </w:t>
      </w:r>
      <w:r w:rsidRPr="006503C8">
        <w:t>une</w:t>
      </w:r>
      <w:r>
        <w:t xml:space="preserve"> </w:t>
      </w:r>
      <w:r w:rsidRPr="006503C8">
        <w:t>plainte</w:t>
      </w:r>
      <w:r>
        <w:t xml:space="preserve"> </w:t>
      </w:r>
      <w:r w:rsidRPr="006503C8">
        <w:t>au</w:t>
      </w:r>
      <w:r>
        <w:t xml:space="preserve"> </w:t>
      </w:r>
      <w:r w:rsidRPr="006503C8">
        <w:t>pénal</w:t>
      </w:r>
      <w:r>
        <w:t xml:space="preserve"> </w:t>
      </w:r>
      <w:r w:rsidRPr="006503C8">
        <w:t>(poursuites</w:t>
      </w:r>
      <w:r>
        <w:t xml:space="preserve"> </w:t>
      </w:r>
      <w:r w:rsidRPr="006503C8">
        <w:t>privées).</w:t>
      </w:r>
      <w:r>
        <w:t xml:space="preserve"> </w:t>
      </w:r>
      <w:r w:rsidRPr="006503C8">
        <w:t>Cependant,</w:t>
      </w:r>
      <w:r>
        <w:t xml:space="preserve"> </w:t>
      </w:r>
      <w:r w:rsidRPr="006503C8">
        <w:t>l</w:t>
      </w:r>
      <w:r w:rsidR="00CA2931">
        <w:t>’</w:t>
      </w:r>
      <w:r w:rsidRPr="006503C8">
        <w:t>ouverture</w:t>
      </w:r>
      <w:r>
        <w:t xml:space="preserve"> </w:t>
      </w:r>
      <w:r w:rsidRPr="006503C8">
        <w:t>d</w:t>
      </w:r>
      <w:r w:rsidR="00CA2931">
        <w:t>’</w:t>
      </w:r>
      <w:r w:rsidRPr="006503C8">
        <w:t>une</w:t>
      </w:r>
      <w:r>
        <w:t xml:space="preserve"> </w:t>
      </w:r>
      <w:r w:rsidRPr="006503C8">
        <w:t>procédure</w:t>
      </w:r>
      <w:r>
        <w:t xml:space="preserve"> </w:t>
      </w:r>
      <w:r w:rsidRPr="006503C8">
        <w:t>pénale</w:t>
      </w:r>
      <w:r>
        <w:t xml:space="preserve"> </w:t>
      </w:r>
      <w:r w:rsidRPr="006503C8">
        <w:t>au</w:t>
      </w:r>
      <w:r>
        <w:t xml:space="preserve"> </w:t>
      </w:r>
      <w:r w:rsidRPr="006503C8">
        <w:t>titre</w:t>
      </w:r>
      <w:r>
        <w:t xml:space="preserve"> </w:t>
      </w:r>
      <w:r w:rsidRPr="006503C8">
        <w:t>de</w:t>
      </w:r>
      <w:r>
        <w:t xml:space="preserve"> </w:t>
      </w:r>
      <w:r w:rsidRPr="006503C8">
        <w:t>l</w:t>
      </w:r>
      <w:r w:rsidR="00CA2931">
        <w:t>’</w:t>
      </w:r>
      <w:r w:rsidRPr="006503C8">
        <w:t>article</w:t>
      </w:r>
      <w:r>
        <w:t> </w:t>
      </w:r>
      <w:r w:rsidRPr="006503C8">
        <w:t>290,</w:t>
      </w:r>
      <w:r>
        <w:t xml:space="preserve"> </w:t>
      </w:r>
      <w:r w:rsidRPr="006503C8">
        <w:t>applicable</w:t>
      </w:r>
      <w:r>
        <w:t xml:space="preserve"> </w:t>
      </w:r>
      <w:r w:rsidRPr="006503C8">
        <w:t>dans</w:t>
      </w:r>
      <w:r>
        <w:t xml:space="preserve"> </w:t>
      </w:r>
      <w:r w:rsidRPr="006503C8">
        <w:t>le</w:t>
      </w:r>
      <w:r>
        <w:t xml:space="preserve"> </w:t>
      </w:r>
      <w:r w:rsidRPr="006503C8">
        <w:t>cas</w:t>
      </w:r>
      <w:r>
        <w:t xml:space="preserve"> </w:t>
      </w:r>
      <w:r w:rsidRPr="006503C8">
        <w:t>de</w:t>
      </w:r>
      <w:r>
        <w:t xml:space="preserve"> </w:t>
      </w:r>
      <w:r w:rsidRPr="006503C8">
        <w:t>l</w:t>
      </w:r>
      <w:r w:rsidR="00CA2931">
        <w:t>’</w:t>
      </w:r>
      <w:r w:rsidRPr="006503C8">
        <w:t>auteure,</w:t>
      </w:r>
      <w:r>
        <w:t xml:space="preserve"> </w:t>
      </w:r>
      <w:r w:rsidRPr="006503C8">
        <w:t>ne</w:t>
      </w:r>
      <w:r>
        <w:t xml:space="preserve"> </w:t>
      </w:r>
      <w:r w:rsidRPr="006503C8">
        <w:t>dépend</w:t>
      </w:r>
      <w:r>
        <w:t xml:space="preserve"> </w:t>
      </w:r>
      <w:r w:rsidRPr="006503C8">
        <w:t>pas</w:t>
      </w:r>
      <w:r>
        <w:t xml:space="preserve"> </w:t>
      </w:r>
      <w:r w:rsidRPr="006503C8">
        <w:t>du</w:t>
      </w:r>
      <w:r>
        <w:t xml:space="preserve"> </w:t>
      </w:r>
      <w:r w:rsidRPr="006503C8">
        <w:t>souhait</w:t>
      </w:r>
      <w:r>
        <w:t xml:space="preserve"> </w:t>
      </w:r>
      <w:r w:rsidRPr="006503C8">
        <w:t>explicite</w:t>
      </w:r>
      <w:r>
        <w:t xml:space="preserve"> </w:t>
      </w:r>
      <w:r w:rsidRPr="006503C8">
        <w:t>de</w:t>
      </w:r>
      <w:r>
        <w:t xml:space="preserve"> </w:t>
      </w:r>
      <w:r w:rsidRPr="006503C8">
        <w:t>la</w:t>
      </w:r>
      <w:r>
        <w:t xml:space="preserve"> </w:t>
      </w:r>
      <w:r w:rsidRPr="006503C8">
        <w:t>victime</w:t>
      </w:r>
      <w:r>
        <w:t xml:space="preserve"> </w:t>
      </w:r>
      <w:r w:rsidRPr="006503C8">
        <w:t>de</w:t>
      </w:r>
      <w:r>
        <w:t xml:space="preserve"> </w:t>
      </w:r>
      <w:r w:rsidRPr="006503C8">
        <w:t>poursuivre</w:t>
      </w:r>
      <w:r>
        <w:t xml:space="preserve"> </w:t>
      </w:r>
      <w:r w:rsidRPr="006503C8">
        <w:t>l</w:t>
      </w:r>
      <w:r w:rsidR="00CA2931">
        <w:t>’</w:t>
      </w:r>
      <w:r w:rsidRPr="006503C8">
        <w:t>auteur</w:t>
      </w:r>
      <w:r>
        <w:t xml:space="preserve"> </w:t>
      </w:r>
      <w:r w:rsidRPr="006503C8">
        <w:t>des</w:t>
      </w:r>
      <w:r>
        <w:t xml:space="preserve"> </w:t>
      </w:r>
      <w:r w:rsidRPr="006503C8">
        <w:t>faits.</w:t>
      </w:r>
      <w:r>
        <w:t xml:space="preserve"> </w:t>
      </w:r>
      <w:r w:rsidRPr="006503C8">
        <w:t>Et</w:t>
      </w:r>
      <w:r>
        <w:t xml:space="preserve"> </w:t>
      </w:r>
      <w:r w:rsidRPr="006503C8">
        <w:t>même</w:t>
      </w:r>
      <w:r>
        <w:t xml:space="preserve"> </w:t>
      </w:r>
      <w:r w:rsidRPr="006503C8">
        <w:t>si</w:t>
      </w:r>
      <w:r>
        <w:t xml:space="preserve"> </w:t>
      </w:r>
      <w:r w:rsidRPr="006503C8">
        <w:t>c</w:t>
      </w:r>
      <w:r w:rsidR="00CA2931">
        <w:t>’</w:t>
      </w:r>
      <w:r w:rsidRPr="006503C8">
        <w:t>était</w:t>
      </w:r>
      <w:r>
        <w:t xml:space="preserve"> </w:t>
      </w:r>
      <w:r w:rsidRPr="006503C8">
        <w:t>le</w:t>
      </w:r>
      <w:r>
        <w:t xml:space="preserve"> </w:t>
      </w:r>
      <w:r w:rsidRPr="006503C8">
        <w:t>cas,</w:t>
      </w:r>
      <w:r>
        <w:t xml:space="preserve"> </w:t>
      </w:r>
      <w:r w:rsidRPr="006503C8">
        <w:t>elle</w:t>
      </w:r>
      <w:r>
        <w:t xml:space="preserve"> </w:t>
      </w:r>
      <w:r w:rsidRPr="006503C8">
        <w:t>fait</w:t>
      </w:r>
      <w:r>
        <w:t xml:space="preserve"> </w:t>
      </w:r>
      <w:r w:rsidRPr="006503C8">
        <w:t>remarquer</w:t>
      </w:r>
      <w:r>
        <w:t xml:space="preserve"> </w:t>
      </w:r>
      <w:r w:rsidRPr="006503C8">
        <w:t>que</w:t>
      </w:r>
      <w:r>
        <w:t xml:space="preserve"> </w:t>
      </w:r>
      <w:r w:rsidRPr="006503C8">
        <w:t>le</w:t>
      </w:r>
      <w:r>
        <w:t xml:space="preserve"> </w:t>
      </w:r>
      <w:r w:rsidRPr="006503C8">
        <w:t>procureur</w:t>
      </w:r>
      <w:r>
        <w:t xml:space="preserve"> </w:t>
      </w:r>
      <w:r w:rsidRPr="006503C8">
        <w:t>M.</w:t>
      </w:r>
      <w:r>
        <w:t> </w:t>
      </w:r>
      <w:r w:rsidRPr="006503C8">
        <w:t>D.</w:t>
      </w:r>
      <w:r>
        <w:t xml:space="preserve"> </w:t>
      </w:r>
      <w:r w:rsidRPr="006503C8">
        <w:t>a</w:t>
      </w:r>
      <w:r>
        <w:t xml:space="preserve"> </w:t>
      </w:r>
      <w:r w:rsidRPr="006503C8">
        <w:t>déclaré</w:t>
      </w:r>
      <w:r>
        <w:t xml:space="preserve"> </w:t>
      </w:r>
      <w:r w:rsidRPr="006503C8">
        <w:t>qu</w:t>
      </w:r>
      <w:r w:rsidR="00CA2931">
        <w:t>’</w:t>
      </w:r>
      <w:r w:rsidRPr="006503C8">
        <w:t>il</w:t>
      </w:r>
      <w:r>
        <w:t xml:space="preserve"> </w:t>
      </w:r>
      <w:r w:rsidRPr="006503C8">
        <w:t>ne</w:t>
      </w:r>
      <w:r>
        <w:t xml:space="preserve"> </w:t>
      </w:r>
      <w:r w:rsidRPr="006503C8">
        <w:t>s</w:t>
      </w:r>
      <w:r w:rsidR="00CA2931">
        <w:t>’</w:t>
      </w:r>
      <w:r w:rsidRPr="006503C8">
        <w:t>était</w:t>
      </w:r>
      <w:r>
        <w:t xml:space="preserve"> </w:t>
      </w:r>
      <w:r w:rsidRPr="006503C8">
        <w:t>pas</w:t>
      </w:r>
      <w:r>
        <w:t xml:space="preserve"> </w:t>
      </w:r>
      <w:r w:rsidRPr="006503C8">
        <w:t>senti</w:t>
      </w:r>
      <w:r>
        <w:t xml:space="preserve"> </w:t>
      </w:r>
      <w:r w:rsidRPr="006503C8">
        <w:t>offensé</w:t>
      </w:r>
      <w:r>
        <w:t xml:space="preserve"> </w:t>
      </w:r>
      <w:r w:rsidRPr="006503C8">
        <w:t>par</w:t>
      </w:r>
      <w:r>
        <w:t xml:space="preserve"> </w:t>
      </w:r>
      <w:r w:rsidRPr="006503C8">
        <w:t>ses</w:t>
      </w:r>
      <w:r>
        <w:t xml:space="preserve"> </w:t>
      </w:r>
      <w:r w:rsidRPr="006503C8">
        <w:t>commentaires.</w:t>
      </w:r>
      <w:r>
        <w:t xml:space="preserve"> </w:t>
      </w:r>
      <w:r w:rsidRPr="006503C8">
        <w:t>Pour</w:t>
      </w:r>
      <w:r>
        <w:t xml:space="preserve"> </w:t>
      </w:r>
      <w:r w:rsidRPr="006503C8">
        <w:t>ces</w:t>
      </w:r>
      <w:r>
        <w:t xml:space="preserve"> </w:t>
      </w:r>
      <w:r w:rsidRPr="006503C8">
        <w:t>raisons,</w:t>
      </w:r>
      <w:r>
        <w:t xml:space="preserve"> </w:t>
      </w:r>
      <w:r w:rsidRPr="006503C8">
        <w:t>sa</w:t>
      </w:r>
      <w:r>
        <w:t xml:space="preserve"> </w:t>
      </w:r>
      <w:r w:rsidRPr="006503C8">
        <w:t>condamnation</w:t>
      </w:r>
      <w:r>
        <w:t xml:space="preserve"> </w:t>
      </w:r>
      <w:r w:rsidRPr="006503C8">
        <w:t>ne</w:t>
      </w:r>
      <w:r>
        <w:t xml:space="preserve"> </w:t>
      </w:r>
      <w:r w:rsidRPr="006503C8">
        <w:t>se</w:t>
      </w:r>
      <w:r>
        <w:t xml:space="preserve"> </w:t>
      </w:r>
      <w:r w:rsidRPr="006503C8">
        <w:t>justifie</w:t>
      </w:r>
      <w:r>
        <w:t xml:space="preserve"> </w:t>
      </w:r>
      <w:r w:rsidRPr="006503C8">
        <w:t>pas</w:t>
      </w:r>
      <w:r>
        <w:t xml:space="preserve"> </w:t>
      </w:r>
      <w:r w:rsidRPr="006503C8">
        <w:t>non</w:t>
      </w:r>
      <w:r>
        <w:t xml:space="preserve"> </w:t>
      </w:r>
      <w:r w:rsidRPr="006503C8">
        <w:t>plus</w:t>
      </w:r>
      <w:r>
        <w:t xml:space="preserve"> </w:t>
      </w:r>
      <w:r w:rsidRPr="006503C8">
        <w:t>par</w:t>
      </w:r>
      <w:r>
        <w:t xml:space="preserve"> </w:t>
      </w:r>
      <w:r w:rsidRPr="006503C8">
        <w:t>la</w:t>
      </w:r>
      <w:r>
        <w:t xml:space="preserve"> </w:t>
      </w:r>
      <w:r w:rsidRPr="006503C8">
        <w:t>nécessité</w:t>
      </w:r>
      <w:r>
        <w:t xml:space="preserve"> </w:t>
      </w:r>
      <w:r w:rsidRPr="006503C8">
        <w:t>de</w:t>
      </w:r>
      <w:r>
        <w:t xml:space="preserve"> </w:t>
      </w:r>
      <w:r w:rsidRPr="006503C8">
        <w:t>protéger</w:t>
      </w:r>
      <w:r>
        <w:t xml:space="preserve"> </w:t>
      </w:r>
      <w:r w:rsidRPr="006503C8">
        <w:t>l</w:t>
      </w:r>
      <w:r w:rsidR="00CA2931">
        <w:t>’</w:t>
      </w:r>
      <w:r w:rsidRPr="006503C8">
        <w:t>honneur</w:t>
      </w:r>
      <w:r>
        <w:t xml:space="preserve"> </w:t>
      </w:r>
      <w:r w:rsidRPr="006503C8">
        <w:t>et</w:t>
      </w:r>
      <w:r>
        <w:t xml:space="preserve"> </w:t>
      </w:r>
      <w:r w:rsidRPr="006503C8">
        <w:t>la</w:t>
      </w:r>
      <w:r>
        <w:t xml:space="preserve"> </w:t>
      </w:r>
      <w:r w:rsidRPr="006503C8">
        <w:t>dignité</w:t>
      </w:r>
      <w:r>
        <w:t xml:space="preserve"> </w:t>
      </w:r>
      <w:r w:rsidRPr="006503C8">
        <w:t>des</w:t>
      </w:r>
      <w:r>
        <w:t xml:space="preserve"> </w:t>
      </w:r>
      <w:r w:rsidRPr="006503C8">
        <w:t>procureurs.</w:t>
      </w:r>
    </w:p>
    <w:p w14:paraId="42CFFF7C" w14:textId="77777777" w:rsidR="00765853" w:rsidRPr="006503C8" w:rsidRDefault="00765853" w:rsidP="00765853">
      <w:pPr>
        <w:pStyle w:val="SingleTxtG"/>
      </w:pPr>
      <w:r w:rsidRPr="006503C8">
        <w:t>3.4</w:t>
      </w:r>
      <w:r w:rsidRPr="006503C8">
        <w:tab/>
        <w:t>L</w:t>
      </w:r>
      <w:r w:rsidR="00CA2931">
        <w:t>’</w:t>
      </w:r>
      <w:r w:rsidRPr="006503C8">
        <w:t>auteure</w:t>
      </w:r>
      <w:r>
        <w:t xml:space="preserve"> </w:t>
      </w:r>
      <w:r w:rsidRPr="006503C8">
        <w:t>conteste</w:t>
      </w:r>
      <w:r>
        <w:t xml:space="preserve"> </w:t>
      </w:r>
      <w:r w:rsidRPr="006503C8">
        <w:t>le</w:t>
      </w:r>
      <w:r>
        <w:t xml:space="preserve"> fait que </w:t>
      </w:r>
      <w:r w:rsidRPr="006503C8">
        <w:t>sa</w:t>
      </w:r>
      <w:r>
        <w:t xml:space="preserve"> </w:t>
      </w:r>
      <w:r w:rsidRPr="006503C8">
        <w:t>condamnation</w:t>
      </w:r>
      <w:r>
        <w:t xml:space="preserve"> se justifie </w:t>
      </w:r>
      <w:r w:rsidRPr="006503C8">
        <w:t>et</w:t>
      </w:r>
      <w:r>
        <w:t xml:space="preserve"> </w:t>
      </w:r>
      <w:r w:rsidRPr="006503C8">
        <w:t>soutient</w:t>
      </w:r>
      <w:r>
        <w:t xml:space="preserve"> </w:t>
      </w:r>
      <w:r w:rsidRPr="006503C8">
        <w:t>que</w:t>
      </w:r>
      <w:r>
        <w:t xml:space="preserve"> </w:t>
      </w:r>
      <w:r w:rsidRPr="006503C8">
        <w:t>conformément</w:t>
      </w:r>
      <w:r>
        <w:t xml:space="preserve"> </w:t>
      </w:r>
      <w:r w:rsidRPr="006503C8">
        <w:t>à</w:t>
      </w:r>
      <w:r>
        <w:t xml:space="preserve"> </w:t>
      </w:r>
      <w:r w:rsidRPr="006503C8">
        <w:t>l</w:t>
      </w:r>
      <w:r w:rsidR="00CA2931">
        <w:t>’</w:t>
      </w:r>
      <w:r>
        <w:t>o</w:t>
      </w:r>
      <w:r w:rsidRPr="006503C8">
        <w:t>bservation</w:t>
      </w:r>
      <w:r>
        <w:t xml:space="preserve"> </w:t>
      </w:r>
      <w:r w:rsidRPr="006503C8">
        <w:t>générale</w:t>
      </w:r>
      <w:r>
        <w:t xml:space="preserve"> </w:t>
      </w:r>
      <w:r w:rsidRPr="006503C8">
        <w:t>n</w:t>
      </w:r>
      <w:r w:rsidRPr="006503C8">
        <w:rPr>
          <w:vertAlign w:val="superscript"/>
        </w:rPr>
        <w:t>o</w:t>
      </w:r>
      <w:r>
        <w:t> </w:t>
      </w:r>
      <w:r w:rsidRPr="006503C8">
        <w:t>34</w:t>
      </w:r>
      <w:r>
        <w:t xml:space="preserve"> (2011) </w:t>
      </w:r>
      <w:r w:rsidRPr="006503C8">
        <w:t>du</w:t>
      </w:r>
      <w:r>
        <w:t xml:space="preserve"> </w:t>
      </w:r>
      <w:r w:rsidRPr="006503C8">
        <w:t>Comité</w:t>
      </w:r>
      <w:r>
        <w:t xml:space="preserve"> sur la liberté d</w:t>
      </w:r>
      <w:r w:rsidR="00CA2931">
        <w:t>’</w:t>
      </w:r>
      <w:r>
        <w:t>opinion et la liberté d</w:t>
      </w:r>
      <w:r w:rsidR="00CA2931">
        <w:t>’</w:t>
      </w:r>
      <w:r>
        <w:t>expression</w:t>
      </w:r>
      <w:r w:rsidRPr="006503C8">
        <w:t>,</w:t>
      </w:r>
      <w:r>
        <w:t xml:space="preserve"> </w:t>
      </w:r>
      <w:r w:rsidRPr="006503C8">
        <w:t>toutes</w:t>
      </w:r>
      <w:r>
        <w:t xml:space="preserve"> </w:t>
      </w:r>
      <w:r w:rsidRPr="006503C8">
        <w:t>restrictions</w:t>
      </w:r>
      <w:r>
        <w:t xml:space="preserve"> </w:t>
      </w:r>
      <w:r w:rsidRPr="006503C8">
        <w:t>imposées</w:t>
      </w:r>
      <w:r>
        <w:t xml:space="preserve"> </w:t>
      </w:r>
      <w:r w:rsidRPr="006503C8">
        <w:t>à</w:t>
      </w:r>
      <w:r>
        <w:t xml:space="preserve"> </w:t>
      </w:r>
      <w:r w:rsidRPr="006503C8">
        <w:t>la</w:t>
      </w:r>
      <w:r>
        <w:t xml:space="preserve"> </w:t>
      </w:r>
      <w:r w:rsidRPr="006503C8">
        <w:t>liberté</w:t>
      </w:r>
      <w:r>
        <w:t xml:space="preserve"> </w:t>
      </w:r>
      <w:r w:rsidRPr="006503C8">
        <w:t>d</w:t>
      </w:r>
      <w:r w:rsidR="00CA2931">
        <w:t>’</w:t>
      </w:r>
      <w:r w:rsidRPr="006503C8">
        <w:t>expression</w:t>
      </w:r>
      <w:r>
        <w:t xml:space="preserve"> </w:t>
      </w:r>
      <w:r w:rsidRPr="006503C8">
        <w:t>doivent</w:t>
      </w:r>
      <w:r>
        <w:t xml:space="preserve"> </w:t>
      </w:r>
      <w:r w:rsidRPr="006503C8">
        <w:t>répondre</w:t>
      </w:r>
      <w:r>
        <w:t xml:space="preserve"> </w:t>
      </w:r>
      <w:r w:rsidRPr="006503C8">
        <w:t>aux</w:t>
      </w:r>
      <w:r>
        <w:t xml:space="preserve"> </w:t>
      </w:r>
      <w:r w:rsidRPr="006503C8">
        <w:t>critères</w:t>
      </w:r>
      <w:r>
        <w:t xml:space="preserve"> </w:t>
      </w:r>
      <w:r w:rsidRPr="006503C8">
        <w:t>stricts</w:t>
      </w:r>
      <w:r>
        <w:t xml:space="preserve"> </w:t>
      </w:r>
      <w:r w:rsidRPr="006503C8">
        <w:t>de</w:t>
      </w:r>
      <w:r>
        <w:t xml:space="preserve"> </w:t>
      </w:r>
      <w:r w:rsidRPr="006503C8">
        <w:t>nécessité</w:t>
      </w:r>
      <w:r>
        <w:t xml:space="preserve"> </w:t>
      </w:r>
      <w:r w:rsidRPr="006503C8">
        <w:t>et</w:t>
      </w:r>
      <w:r>
        <w:t xml:space="preserve"> </w:t>
      </w:r>
      <w:r w:rsidRPr="006503C8">
        <w:t>de</w:t>
      </w:r>
      <w:r>
        <w:t xml:space="preserve"> </w:t>
      </w:r>
      <w:r w:rsidRPr="006503C8">
        <w:t>proportionnalité.</w:t>
      </w:r>
      <w:r>
        <w:t xml:space="preserve"> </w:t>
      </w:r>
      <w:r w:rsidRPr="006503C8">
        <w:t>Elle</w:t>
      </w:r>
      <w:r>
        <w:t xml:space="preserve"> </w:t>
      </w:r>
      <w:r w:rsidRPr="006503C8">
        <w:t>ajoute</w:t>
      </w:r>
      <w:r>
        <w:t xml:space="preserve"> </w:t>
      </w:r>
      <w:r w:rsidRPr="006503C8">
        <w:t>que</w:t>
      </w:r>
      <w:r>
        <w:t xml:space="preserve"> </w:t>
      </w:r>
      <w:r w:rsidRPr="006503C8">
        <w:t>l</w:t>
      </w:r>
      <w:r w:rsidR="00CA2931">
        <w:t>’</w:t>
      </w:r>
      <w:r w:rsidRPr="006503C8">
        <w:t>article</w:t>
      </w:r>
      <w:r>
        <w:t xml:space="preserve"> </w:t>
      </w:r>
      <w:r w:rsidRPr="006503C8">
        <w:t>290</w:t>
      </w:r>
      <w:r>
        <w:t xml:space="preserve"> </w:t>
      </w:r>
      <w:r w:rsidRPr="006503C8">
        <w:t>du</w:t>
      </w:r>
      <w:r>
        <w:t xml:space="preserve"> </w:t>
      </w:r>
      <w:r w:rsidRPr="006503C8">
        <w:t>Code</w:t>
      </w:r>
      <w:r>
        <w:t xml:space="preserve"> </w:t>
      </w:r>
      <w:r w:rsidRPr="006503C8">
        <w:t>pénal</w:t>
      </w:r>
      <w:r>
        <w:t xml:space="preserve"> </w:t>
      </w:r>
      <w:r w:rsidRPr="006503C8">
        <w:t>lituanien</w:t>
      </w:r>
      <w:r>
        <w:t xml:space="preserve"> </w:t>
      </w:r>
      <w:r w:rsidRPr="006503C8">
        <w:t>ne</w:t>
      </w:r>
      <w:r>
        <w:t xml:space="preserve"> </w:t>
      </w:r>
      <w:r w:rsidRPr="006503C8">
        <w:t>respecte</w:t>
      </w:r>
      <w:r>
        <w:t xml:space="preserve"> </w:t>
      </w:r>
      <w:r w:rsidRPr="006503C8">
        <w:t>pas</w:t>
      </w:r>
      <w:r>
        <w:t xml:space="preserve"> </w:t>
      </w:r>
      <w:r w:rsidRPr="006503C8">
        <w:t>le</w:t>
      </w:r>
      <w:r>
        <w:t xml:space="preserve"> </w:t>
      </w:r>
      <w:r w:rsidRPr="006503C8">
        <w:t>critère</w:t>
      </w:r>
      <w:r>
        <w:t xml:space="preserve"> </w:t>
      </w:r>
      <w:r w:rsidRPr="006503C8">
        <w:t>de</w:t>
      </w:r>
      <w:r>
        <w:t xml:space="preserve"> </w:t>
      </w:r>
      <w:r w:rsidRPr="006503C8">
        <w:t>nécessité</w:t>
      </w:r>
      <w:r>
        <w:t xml:space="preserve"> </w:t>
      </w:r>
      <w:r w:rsidRPr="006503C8">
        <w:t>parce</w:t>
      </w:r>
      <w:r>
        <w:t xml:space="preserve"> </w:t>
      </w:r>
      <w:r w:rsidRPr="006503C8">
        <w:t>que,</w:t>
      </w:r>
      <w:r>
        <w:t xml:space="preserve"> </w:t>
      </w:r>
      <w:r w:rsidRPr="006503C8">
        <w:t>contrairement</w:t>
      </w:r>
      <w:r>
        <w:t xml:space="preserve"> </w:t>
      </w:r>
      <w:r w:rsidRPr="006503C8">
        <w:t>à</w:t>
      </w:r>
      <w:r>
        <w:t xml:space="preserve"> </w:t>
      </w:r>
      <w:r w:rsidRPr="006503C8">
        <w:t>la</w:t>
      </w:r>
      <w:r>
        <w:t xml:space="preserve"> </w:t>
      </w:r>
      <w:r w:rsidRPr="006503C8">
        <w:t>jurisprudence</w:t>
      </w:r>
      <w:r>
        <w:t xml:space="preserve"> </w:t>
      </w:r>
      <w:r w:rsidRPr="006503C8">
        <w:t>du</w:t>
      </w:r>
      <w:r>
        <w:t xml:space="preserve"> </w:t>
      </w:r>
      <w:r w:rsidRPr="006503C8">
        <w:t>Comité</w:t>
      </w:r>
      <w:r>
        <w:t xml:space="preserve"> </w:t>
      </w:r>
      <w:r w:rsidRPr="006503C8">
        <w:t>et</w:t>
      </w:r>
      <w:r>
        <w:t xml:space="preserve"> </w:t>
      </w:r>
      <w:r w:rsidRPr="006503C8">
        <w:t>de</w:t>
      </w:r>
      <w:r>
        <w:t xml:space="preserve"> </w:t>
      </w:r>
      <w:r w:rsidRPr="006503C8">
        <w:t>la</w:t>
      </w:r>
      <w:r>
        <w:t xml:space="preserve"> </w:t>
      </w:r>
      <w:r w:rsidRPr="006503C8">
        <w:t>Cour</w:t>
      </w:r>
      <w:r>
        <w:t xml:space="preserve"> </w:t>
      </w:r>
      <w:r w:rsidRPr="006503C8">
        <w:t>européenne</w:t>
      </w:r>
      <w:r>
        <w:t xml:space="preserve"> </w:t>
      </w:r>
      <w:r w:rsidRPr="006503C8">
        <w:t>des</w:t>
      </w:r>
      <w:r>
        <w:t xml:space="preserve"> </w:t>
      </w:r>
      <w:r w:rsidRPr="006503C8">
        <w:t>droits</w:t>
      </w:r>
      <w:r>
        <w:t xml:space="preserve"> </w:t>
      </w:r>
      <w:r w:rsidRPr="006503C8">
        <w:t>de</w:t>
      </w:r>
      <w:r>
        <w:t xml:space="preserve"> </w:t>
      </w:r>
      <w:r w:rsidRPr="006503C8">
        <w:t>l</w:t>
      </w:r>
      <w:r w:rsidR="00CA2931">
        <w:t>’</w:t>
      </w:r>
      <w:r w:rsidRPr="006503C8">
        <w:t>homme,</w:t>
      </w:r>
      <w:r>
        <w:t xml:space="preserve"> </w:t>
      </w:r>
      <w:r w:rsidRPr="006503C8">
        <w:t>il</w:t>
      </w:r>
      <w:r>
        <w:t xml:space="preserve"> </w:t>
      </w:r>
      <w:r w:rsidRPr="006503C8">
        <w:t>protège</w:t>
      </w:r>
      <w:r>
        <w:t xml:space="preserve"> </w:t>
      </w:r>
      <w:r w:rsidRPr="006503C8">
        <w:t>davantage</w:t>
      </w:r>
      <w:r>
        <w:t xml:space="preserve"> </w:t>
      </w:r>
      <w:r w:rsidRPr="006503C8">
        <w:t>les</w:t>
      </w:r>
      <w:r>
        <w:t xml:space="preserve"> </w:t>
      </w:r>
      <w:r w:rsidRPr="006503C8">
        <w:t>fonctionnaires</w:t>
      </w:r>
      <w:r>
        <w:t xml:space="preserve"> </w:t>
      </w:r>
      <w:r w:rsidRPr="006503C8">
        <w:t>ou</w:t>
      </w:r>
      <w:r>
        <w:t xml:space="preserve"> </w:t>
      </w:r>
      <w:r w:rsidRPr="006503C8">
        <w:t>personnes</w:t>
      </w:r>
      <w:r>
        <w:t xml:space="preserve"> </w:t>
      </w:r>
      <w:r w:rsidRPr="006503C8">
        <w:t>exerçant</w:t>
      </w:r>
      <w:r>
        <w:t xml:space="preserve"> </w:t>
      </w:r>
      <w:r w:rsidRPr="006503C8">
        <w:t>une</w:t>
      </w:r>
      <w:r>
        <w:t xml:space="preserve"> </w:t>
      </w:r>
      <w:r w:rsidRPr="006503C8">
        <w:t>fonction</w:t>
      </w:r>
      <w:r>
        <w:t xml:space="preserve"> </w:t>
      </w:r>
      <w:r w:rsidRPr="006503C8">
        <w:t>d</w:t>
      </w:r>
      <w:r w:rsidR="00CA2931">
        <w:t>’</w:t>
      </w:r>
      <w:r w:rsidRPr="006503C8">
        <w:t>administration</w:t>
      </w:r>
      <w:r>
        <w:t xml:space="preserve"> </w:t>
      </w:r>
      <w:r w:rsidRPr="006503C8">
        <w:t>publique</w:t>
      </w:r>
      <w:r>
        <w:t xml:space="preserve"> </w:t>
      </w:r>
      <w:r w:rsidRPr="006503C8">
        <w:t>que</w:t>
      </w:r>
      <w:r>
        <w:t xml:space="preserve"> </w:t>
      </w:r>
      <w:r w:rsidRPr="006503C8">
        <w:t>les</w:t>
      </w:r>
      <w:r>
        <w:t xml:space="preserve"> </w:t>
      </w:r>
      <w:r w:rsidRPr="006503C8">
        <w:t>autres</w:t>
      </w:r>
      <w:r>
        <w:t xml:space="preserve"> </w:t>
      </w:r>
      <w:r w:rsidRPr="006503C8">
        <w:t>personnes</w:t>
      </w:r>
      <w:r w:rsidRPr="00A47548">
        <w:rPr>
          <w:rStyle w:val="Appelnotedebasdep"/>
        </w:rPr>
        <w:footnoteReference w:id="7"/>
      </w:r>
      <w:r w:rsidRPr="006503C8">
        <w:t>.</w:t>
      </w:r>
      <w:r>
        <w:t xml:space="preserve"> </w:t>
      </w:r>
      <w:r w:rsidRPr="006503C8">
        <w:t>Elle</w:t>
      </w:r>
      <w:r>
        <w:t xml:space="preserve"> </w:t>
      </w:r>
      <w:r w:rsidRPr="006503C8">
        <w:t>rappelle</w:t>
      </w:r>
      <w:r>
        <w:t xml:space="preserve"> </w:t>
      </w:r>
      <w:r w:rsidRPr="006503C8">
        <w:t>que</w:t>
      </w:r>
      <w:r>
        <w:t xml:space="preserve"> </w:t>
      </w:r>
      <w:r w:rsidRPr="006503C8">
        <w:t>l</w:t>
      </w:r>
      <w:r w:rsidR="00CA2931">
        <w:t>’</w:t>
      </w:r>
      <w:r w:rsidRPr="006503C8">
        <w:t>insulte</w:t>
      </w:r>
      <w:r>
        <w:t xml:space="preserve"> </w:t>
      </w:r>
      <w:r w:rsidRPr="006503C8">
        <w:t>à</w:t>
      </w:r>
      <w:r>
        <w:t xml:space="preserve"> </w:t>
      </w:r>
      <w:r w:rsidRPr="006503C8">
        <w:t>l</w:t>
      </w:r>
      <w:r w:rsidR="00CA2931">
        <w:t>’</w:t>
      </w:r>
      <w:r w:rsidRPr="006503C8">
        <w:t>encontre</w:t>
      </w:r>
      <w:r>
        <w:t xml:space="preserve"> </w:t>
      </w:r>
      <w:r w:rsidRPr="006503C8">
        <w:t>d</w:t>
      </w:r>
      <w:r w:rsidR="00CA2931">
        <w:t>’</w:t>
      </w:r>
      <w:r w:rsidRPr="006503C8">
        <w:t>un</w:t>
      </w:r>
      <w:r>
        <w:t xml:space="preserve"> </w:t>
      </w:r>
      <w:r w:rsidRPr="006503C8">
        <w:t>fonctionnaire</w:t>
      </w:r>
      <w:r>
        <w:t xml:space="preserve"> </w:t>
      </w:r>
      <w:r w:rsidRPr="006503C8">
        <w:t>ou</w:t>
      </w:r>
      <w:r>
        <w:t xml:space="preserve"> </w:t>
      </w:r>
      <w:r w:rsidRPr="006503C8">
        <w:t>d</w:t>
      </w:r>
      <w:r w:rsidR="00CA2931">
        <w:t>’</w:t>
      </w:r>
      <w:r w:rsidRPr="006503C8">
        <w:t>une</w:t>
      </w:r>
      <w:r>
        <w:t xml:space="preserve"> </w:t>
      </w:r>
      <w:r w:rsidRPr="006503C8">
        <w:t>personne</w:t>
      </w:r>
      <w:r>
        <w:t xml:space="preserve"> </w:t>
      </w:r>
      <w:r w:rsidRPr="006503C8">
        <w:t>exerçant</w:t>
      </w:r>
      <w:r>
        <w:t xml:space="preserve"> </w:t>
      </w:r>
      <w:r w:rsidRPr="006503C8">
        <w:t>une</w:t>
      </w:r>
      <w:r>
        <w:t xml:space="preserve"> </w:t>
      </w:r>
      <w:r w:rsidRPr="006503C8">
        <w:t>fonction</w:t>
      </w:r>
      <w:r>
        <w:t xml:space="preserve"> </w:t>
      </w:r>
      <w:r w:rsidRPr="006503C8">
        <w:t>d</w:t>
      </w:r>
      <w:r w:rsidR="00CA2931">
        <w:t>’</w:t>
      </w:r>
      <w:r w:rsidRPr="006503C8">
        <w:t>administration</w:t>
      </w:r>
      <w:r>
        <w:t xml:space="preserve"> </w:t>
      </w:r>
      <w:r w:rsidRPr="006503C8">
        <w:t>publique,</w:t>
      </w:r>
      <w:r>
        <w:t xml:space="preserve"> </w:t>
      </w:r>
      <w:r w:rsidRPr="006503C8">
        <w:t>au</w:t>
      </w:r>
      <w:r>
        <w:t xml:space="preserve"> </w:t>
      </w:r>
      <w:r w:rsidRPr="006503C8">
        <w:t>titre</w:t>
      </w:r>
      <w:r>
        <w:t xml:space="preserve"> </w:t>
      </w:r>
      <w:r w:rsidRPr="006503C8">
        <w:t>de</w:t>
      </w:r>
      <w:r>
        <w:t xml:space="preserve"> </w:t>
      </w:r>
      <w:r w:rsidRPr="006503C8">
        <w:t>l</w:t>
      </w:r>
      <w:r w:rsidR="00CA2931">
        <w:t>’</w:t>
      </w:r>
      <w:r w:rsidRPr="006503C8">
        <w:t>article</w:t>
      </w:r>
      <w:r>
        <w:t xml:space="preserve"> </w:t>
      </w:r>
      <w:r w:rsidRPr="006503C8">
        <w:t>290,</w:t>
      </w:r>
      <w:r>
        <w:t xml:space="preserve"> </w:t>
      </w:r>
      <w:r w:rsidRPr="006503C8">
        <w:t>est</w:t>
      </w:r>
      <w:r>
        <w:t xml:space="preserve"> </w:t>
      </w:r>
      <w:r w:rsidRPr="006503C8">
        <w:t>passible</w:t>
      </w:r>
      <w:r>
        <w:t xml:space="preserve"> </w:t>
      </w:r>
      <w:r w:rsidRPr="006503C8">
        <w:t>d</w:t>
      </w:r>
      <w:r w:rsidR="00CA2931">
        <w:t>’</w:t>
      </w:r>
      <w:r w:rsidRPr="006503C8">
        <w:t>une</w:t>
      </w:r>
      <w:r>
        <w:t xml:space="preserve"> </w:t>
      </w:r>
      <w:r w:rsidRPr="006503C8">
        <w:t>peine</w:t>
      </w:r>
      <w:r>
        <w:t xml:space="preserve"> </w:t>
      </w:r>
      <w:r w:rsidRPr="006503C8">
        <w:t>maximale</w:t>
      </w:r>
      <w:r>
        <w:t xml:space="preserve"> </w:t>
      </w:r>
      <w:r w:rsidRPr="006503C8">
        <w:t>de</w:t>
      </w:r>
      <w:r>
        <w:t xml:space="preserve"> </w:t>
      </w:r>
      <w:r w:rsidRPr="006503C8">
        <w:t>deux</w:t>
      </w:r>
      <w:r>
        <w:t xml:space="preserve"> </w:t>
      </w:r>
      <w:r w:rsidRPr="006503C8">
        <w:t>ans</w:t>
      </w:r>
      <w:r>
        <w:t xml:space="preserve"> </w:t>
      </w:r>
      <w:r w:rsidRPr="006503C8">
        <w:t>d</w:t>
      </w:r>
      <w:r w:rsidR="00CA2931">
        <w:t>’</w:t>
      </w:r>
      <w:r w:rsidRPr="006503C8">
        <w:t>emprisonnement</w:t>
      </w:r>
      <w:r>
        <w:t xml:space="preserve"> </w:t>
      </w:r>
      <w:r w:rsidRPr="006503C8">
        <w:t>alors</w:t>
      </w:r>
      <w:r>
        <w:t xml:space="preserve"> </w:t>
      </w:r>
      <w:r w:rsidRPr="006503C8">
        <w:t>que</w:t>
      </w:r>
      <w:r>
        <w:t xml:space="preserve"> </w:t>
      </w:r>
      <w:r w:rsidRPr="006503C8">
        <w:t>l</w:t>
      </w:r>
      <w:r w:rsidR="00CA2931">
        <w:t>’</w:t>
      </w:r>
      <w:r w:rsidRPr="006503C8">
        <w:t>insulte,</w:t>
      </w:r>
      <w:r>
        <w:t xml:space="preserve"> </w:t>
      </w:r>
      <w:r w:rsidRPr="006503C8">
        <w:t>au</w:t>
      </w:r>
      <w:r w:rsidR="00132710">
        <w:t> </w:t>
      </w:r>
      <w:r w:rsidRPr="006503C8">
        <w:t>titre</w:t>
      </w:r>
      <w:r>
        <w:t xml:space="preserve"> </w:t>
      </w:r>
      <w:r w:rsidRPr="006503C8">
        <w:t>de</w:t>
      </w:r>
      <w:r>
        <w:t xml:space="preserve"> </w:t>
      </w:r>
      <w:r w:rsidRPr="006503C8">
        <w:t>l</w:t>
      </w:r>
      <w:r w:rsidR="00CA2931">
        <w:t>’</w:t>
      </w:r>
      <w:r w:rsidRPr="006503C8">
        <w:t>article</w:t>
      </w:r>
      <w:r>
        <w:t xml:space="preserve"> </w:t>
      </w:r>
      <w:r w:rsidRPr="006503C8">
        <w:t>155,</w:t>
      </w:r>
      <w:r>
        <w:t xml:space="preserve"> </w:t>
      </w:r>
      <w:r w:rsidRPr="006503C8">
        <w:t>est</w:t>
      </w:r>
      <w:r>
        <w:t xml:space="preserve"> </w:t>
      </w:r>
      <w:r w:rsidRPr="006503C8">
        <w:t>passible</w:t>
      </w:r>
      <w:r>
        <w:t xml:space="preserve"> </w:t>
      </w:r>
      <w:r w:rsidRPr="006503C8">
        <w:t>d</w:t>
      </w:r>
      <w:r w:rsidR="00CA2931">
        <w:t>’</w:t>
      </w:r>
      <w:r w:rsidRPr="006503C8">
        <w:t>une</w:t>
      </w:r>
      <w:r>
        <w:t xml:space="preserve"> </w:t>
      </w:r>
      <w:r w:rsidRPr="006503C8">
        <w:t>peine</w:t>
      </w:r>
      <w:r>
        <w:t xml:space="preserve"> </w:t>
      </w:r>
      <w:r w:rsidRPr="006503C8">
        <w:t>maximale</w:t>
      </w:r>
      <w:r>
        <w:t xml:space="preserve"> </w:t>
      </w:r>
      <w:r w:rsidRPr="006503C8">
        <w:t>d</w:t>
      </w:r>
      <w:r w:rsidR="00CA2931">
        <w:t>’</w:t>
      </w:r>
      <w:r w:rsidRPr="006503C8">
        <w:t>un</w:t>
      </w:r>
      <w:r>
        <w:t xml:space="preserve"> </w:t>
      </w:r>
      <w:r w:rsidRPr="006503C8">
        <w:t>an</w:t>
      </w:r>
      <w:r>
        <w:t xml:space="preserve"> </w:t>
      </w:r>
      <w:r w:rsidRPr="006503C8">
        <w:t>d</w:t>
      </w:r>
      <w:r w:rsidR="00CA2931">
        <w:t>’</w:t>
      </w:r>
      <w:r w:rsidRPr="006503C8">
        <w:t>emprisonnement.</w:t>
      </w:r>
      <w:r>
        <w:t xml:space="preserve"> </w:t>
      </w:r>
      <w:r w:rsidRPr="006503C8">
        <w:t>Cela</w:t>
      </w:r>
      <w:r>
        <w:t xml:space="preserve"> </w:t>
      </w:r>
      <w:r w:rsidRPr="006503C8">
        <w:t>pose</w:t>
      </w:r>
      <w:r>
        <w:t xml:space="preserve"> </w:t>
      </w:r>
      <w:r w:rsidRPr="006503C8">
        <w:t>d</w:t>
      </w:r>
      <w:r w:rsidR="00CA2931">
        <w:t>’</w:t>
      </w:r>
      <w:r w:rsidRPr="006503C8">
        <w:t>autant</w:t>
      </w:r>
      <w:r>
        <w:t xml:space="preserve"> </w:t>
      </w:r>
      <w:r w:rsidRPr="006503C8">
        <w:t>plus</w:t>
      </w:r>
      <w:r>
        <w:t xml:space="preserve"> </w:t>
      </w:r>
      <w:r w:rsidRPr="006503C8">
        <w:t>problème</w:t>
      </w:r>
      <w:r>
        <w:t xml:space="preserve"> </w:t>
      </w:r>
      <w:r w:rsidRPr="006503C8">
        <w:t>que</w:t>
      </w:r>
      <w:r>
        <w:t xml:space="preserve"> </w:t>
      </w:r>
      <w:r w:rsidRPr="006503C8">
        <w:t>les</w:t>
      </w:r>
      <w:r>
        <w:t xml:space="preserve"> </w:t>
      </w:r>
      <w:r w:rsidRPr="006503C8">
        <w:t>limites</w:t>
      </w:r>
      <w:r>
        <w:t xml:space="preserve"> </w:t>
      </w:r>
      <w:r w:rsidRPr="006503C8">
        <w:t>de</w:t>
      </w:r>
      <w:r>
        <w:t xml:space="preserve"> </w:t>
      </w:r>
      <w:r w:rsidRPr="006503C8">
        <w:t>la</w:t>
      </w:r>
      <w:r>
        <w:t xml:space="preserve"> </w:t>
      </w:r>
      <w:r w:rsidRPr="006503C8">
        <w:t>critique</w:t>
      </w:r>
      <w:r>
        <w:t xml:space="preserve"> </w:t>
      </w:r>
      <w:r w:rsidRPr="006503C8">
        <w:t>admissible</w:t>
      </w:r>
      <w:r>
        <w:t xml:space="preserve"> </w:t>
      </w:r>
      <w:r w:rsidRPr="006503C8">
        <w:t>devraient</w:t>
      </w:r>
      <w:r>
        <w:t xml:space="preserve"> </w:t>
      </w:r>
      <w:r w:rsidRPr="006503C8">
        <w:t>être</w:t>
      </w:r>
      <w:r>
        <w:t xml:space="preserve"> </w:t>
      </w:r>
      <w:r w:rsidRPr="006503C8">
        <w:t>plus</w:t>
      </w:r>
      <w:r>
        <w:t xml:space="preserve"> </w:t>
      </w:r>
      <w:r w:rsidRPr="006503C8">
        <w:t>larges</w:t>
      </w:r>
      <w:r>
        <w:t xml:space="preserve"> </w:t>
      </w:r>
      <w:r w:rsidRPr="006503C8">
        <w:t>lorsque</w:t>
      </w:r>
      <w:r>
        <w:t xml:space="preserve"> </w:t>
      </w:r>
      <w:r w:rsidRPr="006503C8">
        <w:t>des</w:t>
      </w:r>
      <w:r>
        <w:t xml:space="preserve"> </w:t>
      </w:r>
      <w:r w:rsidRPr="006503C8">
        <w:t>propos</w:t>
      </w:r>
      <w:r>
        <w:t xml:space="preserve"> </w:t>
      </w:r>
      <w:r w:rsidRPr="006503C8">
        <w:t>présumés</w:t>
      </w:r>
      <w:r>
        <w:t xml:space="preserve"> </w:t>
      </w:r>
      <w:r w:rsidRPr="006503C8">
        <w:t>diffamatoires</w:t>
      </w:r>
      <w:r>
        <w:t xml:space="preserve"> </w:t>
      </w:r>
      <w:r w:rsidRPr="006503C8">
        <w:t>portent</w:t>
      </w:r>
      <w:r>
        <w:t xml:space="preserve"> </w:t>
      </w:r>
      <w:r w:rsidRPr="006503C8">
        <w:t>exclusivement</w:t>
      </w:r>
      <w:r>
        <w:t xml:space="preserve"> </w:t>
      </w:r>
      <w:r w:rsidRPr="006503C8">
        <w:t>sur</w:t>
      </w:r>
      <w:r>
        <w:t xml:space="preserve"> </w:t>
      </w:r>
      <w:r w:rsidRPr="006503C8">
        <w:t>les</w:t>
      </w:r>
      <w:r>
        <w:t xml:space="preserve"> </w:t>
      </w:r>
      <w:r w:rsidRPr="006503C8">
        <w:t>actes</w:t>
      </w:r>
      <w:r>
        <w:t xml:space="preserve"> </w:t>
      </w:r>
      <w:r w:rsidRPr="006503C8">
        <w:t>d</w:t>
      </w:r>
      <w:r w:rsidR="00CA2931">
        <w:t>’</w:t>
      </w:r>
      <w:r w:rsidRPr="006503C8">
        <w:t>une</w:t>
      </w:r>
      <w:r>
        <w:t xml:space="preserve"> </w:t>
      </w:r>
      <w:r w:rsidRPr="006503C8">
        <w:t>personne</w:t>
      </w:r>
      <w:r>
        <w:t xml:space="preserve"> </w:t>
      </w:r>
      <w:r w:rsidRPr="006503C8">
        <w:t>dans</w:t>
      </w:r>
      <w:r>
        <w:t xml:space="preserve"> </w:t>
      </w:r>
      <w:r w:rsidRPr="006503C8">
        <w:t>l</w:t>
      </w:r>
      <w:r w:rsidR="00CA2931">
        <w:t>’</w:t>
      </w:r>
      <w:r w:rsidRPr="006503C8">
        <w:t>exercice</w:t>
      </w:r>
      <w:r>
        <w:t xml:space="preserve"> </w:t>
      </w:r>
      <w:r w:rsidRPr="006503C8">
        <w:t>de</w:t>
      </w:r>
      <w:r>
        <w:t xml:space="preserve"> </w:t>
      </w:r>
      <w:r w:rsidRPr="006503C8">
        <w:t>sa</w:t>
      </w:r>
      <w:r>
        <w:t xml:space="preserve"> </w:t>
      </w:r>
      <w:r w:rsidRPr="006503C8">
        <w:t>fonction</w:t>
      </w:r>
      <w:r>
        <w:t xml:space="preserve"> </w:t>
      </w:r>
      <w:r w:rsidRPr="006503C8">
        <w:t>publique</w:t>
      </w:r>
      <w:r>
        <w:t xml:space="preserve"> </w:t>
      </w:r>
      <w:r w:rsidRPr="006503C8">
        <w:t>et</w:t>
      </w:r>
      <w:r>
        <w:t xml:space="preserve"> </w:t>
      </w:r>
      <w:r w:rsidRPr="006503C8">
        <w:t>non</w:t>
      </w:r>
      <w:r>
        <w:t xml:space="preserve"> </w:t>
      </w:r>
      <w:r w:rsidRPr="006503C8">
        <w:t>dans</w:t>
      </w:r>
      <w:r>
        <w:t xml:space="preserve"> </w:t>
      </w:r>
      <w:r w:rsidRPr="006503C8">
        <w:t>la</w:t>
      </w:r>
      <w:r>
        <w:t xml:space="preserve"> </w:t>
      </w:r>
      <w:r w:rsidRPr="006503C8">
        <w:t>sphère</w:t>
      </w:r>
      <w:r>
        <w:t xml:space="preserve"> </w:t>
      </w:r>
      <w:r w:rsidRPr="006503C8">
        <w:t>privée.</w:t>
      </w:r>
      <w:r>
        <w:t xml:space="preserve"> </w:t>
      </w:r>
      <w:r w:rsidRPr="006503C8">
        <w:t>L</w:t>
      </w:r>
      <w:r w:rsidR="00CA2931">
        <w:t>’</w:t>
      </w:r>
      <w:r w:rsidRPr="006503C8">
        <w:t>auteure</w:t>
      </w:r>
      <w:r>
        <w:t xml:space="preserve"> </w:t>
      </w:r>
      <w:r w:rsidRPr="006503C8">
        <w:t>avance</w:t>
      </w:r>
      <w:r>
        <w:t xml:space="preserve"> </w:t>
      </w:r>
      <w:r w:rsidRPr="006503C8">
        <w:t>que</w:t>
      </w:r>
      <w:r>
        <w:t xml:space="preserve"> s</w:t>
      </w:r>
      <w:r w:rsidRPr="006503C8">
        <w:t>es</w:t>
      </w:r>
      <w:r>
        <w:t xml:space="preserve"> </w:t>
      </w:r>
      <w:r w:rsidRPr="006503C8">
        <w:t>critiques</w:t>
      </w:r>
      <w:r>
        <w:t xml:space="preserve"> </w:t>
      </w:r>
      <w:r w:rsidRPr="006503C8">
        <w:t>étaient</w:t>
      </w:r>
      <w:r>
        <w:t xml:space="preserve"> </w:t>
      </w:r>
      <w:r w:rsidRPr="006503C8">
        <w:t>strictement</w:t>
      </w:r>
      <w:r>
        <w:t xml:space="preserve"> </w:t>
      </w:r>
      <w:r w:rsidRPr="006503C8">
        <w:t>limitées</w:t>
      </w:r>
      <w:r>
        <w:t xml:space="preserve"> </w:t>
      </w:r>
      <w:r w:rsidRPr="006503C8">
        <w:t>à</w:t>
      </w:r>
      <w:r>
        <w:t xml:space="preserve"> </w:t>
      </w:r>
      <w:r w:rsidRPr="006503C8">
        <w:t>la</w:t>
      </w:r>
      <w:r>
        <w:t xml:space="preserve"> </w:t>
      </w:r>
      <w:r w:rsidRPr="006503C8">
        <w:t>stratégie</w:t>
      </w:r>
      <w:r>
        <w:t xml:space="preserve"> </w:t>
      </w:r>
      <w:r w:rsidRPr="006503C8">
        <w:t>du</w:t>
      </w:r>
      <w:r>
        <w:t xml:space="preserve"> </w:t>
      </w:r>
      <w:r w:rsidRPr="006503C8">
        <w:t>parquet</w:t>
      </w:r>
      <w:r>
        <w:t xml:space="preserve"> </w:t>
      </w:r>
      <w:r w:rsidRPr="006503C8">
        <w:t>qui,</w:t>
      </w:r>
      <w:r>
        <w:t xml:space="preserve"> </w:t>
      </w:r>
      <w:r w:rsidRPr="006503C8">
        <w:t>selon</w:t>
      </w:r>
      <w:r>
        <w:t xml:space="preserve"> </w:t>
      </w:r>
      <w:r w:rsidRPr="006503C8">
        <w:t>elle,</w:t>
      </w:r>
      <w:r>
        <w:t xml:space="preserve"> </w:t>
      </w:r>
      <w:r w:rsidRPr="006503C8">
        <w:t>visait</w:t>
      </w:r>
      <w:r>
        <w:t xml:space="preserve"> </w:t>
      </w:r>
      <w:r w:rsidRPr="006503C8">
        <w:t>à</w:t>
      </w:r>
      <w:r>
        <w:t xml:space="preserve"> </w:t>
      </w:r>
      <w:r w:rsidRPr="006503C8">
        <w:t>la</w:t>
      </w:r>
      <w:r>
        <w:t xml:space="preserve"> </w:t>
      </w:r>
      <w:r w:rsidRPr="006503C8">
        <w:t>mettre</w:t>
      </w:r>
      <w:r>
        <w:t xml:space="preserve"> </w:t>
      </w:r>
      <w:r w:rsidRPr="006503C8">
        <w:t>sous</w:t>
      </w:r>
      <w:r>
        <w:t xml:space="preserve"> </w:t>
      </w:r>
      <w:r w:rsidRPr="006503C8">
        <w:t>pression</w:t>
      </w:r>
      <w:r>
        <w:t xml:space="preserve"> </w:t>
      </w:r>
      <w:r w:rsidRPr="006503C8">
        <w:t>dans</w:t>
      </w:r>
      <w:r>
        <w:t xml:space="preserve"> </w:t>
      </w:r>
      <w:r w:rsidRPr="006503C8">
        <w:t>le</w:t>
      </w:r>
      <w:r>
        <w:t xml:space="preserve"> </w:t>
      </w:r>
      <w:r w:rsidRPr="006503C8">
        <w:t>cadre</w:t>
      </w:r>
      <w:r>
        <w:t xml:space="preserve"> </w:t>
      </w:r>
      <w:r w:rsidRPr="006503C8">
        <w:t>de</w:t>
      </w:r>
      <w:r>
        <w:t xml:space="preserve"> </w:t>
      </w:r>
      <w:r w:rsidRPr="006503C8">
        <w:t>la</w:t>
      </w:r>
      <w:r>
        <w:t xml:space="preserve"> </w:t>
      </w:r>
      <w:r w:rsidRPr="006503C8">
        <w:t>procédure</w:t>
      </w:r>
      <w:r>
        <w:t xml:space="preserve"> </w:t>
      </w:r>
      <w:r w:rsidRPr="006503C8">
        <w:t>pénale</w:t>
      </w:r>
      <w:r>
        <w:t xml:space="preserve"> </w:t>
      </w:r>
      <w:r w:rsidRPr="006503C8">
        <w:t>engagée</w:t>
      </w:r>
      <w:r>
        <w:t xml:space="preserve"> </w:t>
      </w:r>
      <w:r w:rsidRPr="006503C8">
        <w:t>contre</w:t>
      </w:r>
      <w:r>
        <w:t xml:space="preserve"> </w:t>
      </w:r>
      <w:r w:rsidRPr="006503C8">
        <w:t>elle</w:t>
      </w:r>
      <w:r>
        <w:t xml:space="preserve"> </w:t>
      </w:r>
      <w:r w:rsidRPr="006503C8">
        <w:t>pour</w:t>
      </w:r>
      <w:r>
        <w:t xml:space="preserve"> </w:t>
      </w:r>
      <w:r w:rsidRPr="006503C8">
        <w:t>terrorisme.</w:t>
      </w:r>
    </w:p>
    <w:p w14:paraId="40890D17" w14:textId="77777777" w:rsidR="00765853" w:rsidRPr="006503C8" w:rsidRDefault="00765853" w:rsidP="00765853">
      <w:pPr>
        <w:pStyle w:val="SingleTxtG"/>
      </w:pPr>
      <w:r w:rsidRPr="006503C8">
        <w:t>3.5</w:t>
      </w:r>
      <w:r w:rsidRPr="006503C8">
        <w:tab/>
        <w:t>L</w:t>
      </w:r>
      <w:r w:rsidR="00CA2931">
        <w:t>’</w:t>
      </w:r>
      <w:r w:rsidRPr="006503C8">
        <w:t>auteure</w:t>
      </w:r>
      <w:r>
        <w:t xml:space="preserve"> </w:t>
      </w:r>
      <w:r w:rsidRPr="006503C8">
        <w:t>ajoute</w:t>
      </w:r>
      <w:r>
        <w:t xml:space="preserve"> </w:t>
      </w:r>
      <w:r w:rsidRPr="006503C8">
        <w:t>qu</w:t>
      </w:r>
      <w:r w:rsidR="00CA2931">
        <w:t>’</w:t>
      </w:r>
      <w:r w:rsidRPr="006503C8">
        <w:t>elle</w:t>
      </w:r>
      <w:r>
        <w:t xml:space="preserve"> </w:t>
      </w:r>
      <w:r w:rsidRPr="006503C8">
        <w:t>a</w:t>
      </w:r>
      <w:r>
        <w:t xml:space="preserve"> </w:t>
      </w:r>
      <w:r w:rsidRPr="006503C8">
        <w:t>tenu</w:t>
      </w:r>
      <w:r>
        <w:t xml:space="preserve"> </w:t>
      </w:r>
      <w:r w:rsidRPr="006503C8">
        <w:t>les</w:t>
      </w:r>
      <w:r>
        <w:t xml:space="preserve"> </w:t>
      </w:r>
      <w:r w:rsidRPr="006503C8">
        <w:t>propos</w:t>
      </w:r>
      <w:r>
        <w:t xml:space="preserve"> </w:t>
      </w:r>
      <w:r w:rsidRPr="006503C8">
        <w:t>qu</w:t>
      </w:r>
      <w:r w:rsidR="00CA2931">
        <w:t>’</w:t>
      </w:r>
      <w:r w:rsidRPr="006503C8">
        <w:t>on</w:t>
      </w:r>
      <w:r>
        <w:t xml:space="preserve"> </w:t>
      </w:r>
      <w:r w:rsidRPr="006503C8">
        <w:t>lui</w:t>
      </w:r>
      <w:r>
        <w:t xml:space="preserve"> </w:t>
      </w:r>
      <w:r w:rsidRPr="006503C8">
        <w:t>reproche</w:t>
      </w:r>
      <w:r>
        <w:t xml:space="preserve"> </w:t>
      </w:r>
      <w:r w:rsidRPr="006503C8">
        <w:t>immédiatement</w:t>
      </w:r>
      <w:r>
        <w:t xml:space="preserve"> </w:t>
      </w:r>
      <w:r w:rsidRPr="006503C8">
        <w:t>après</w:t>
      </w:r>
      <w:r>
        <w:t xml:space="preserve"> </w:t>
      </w:r>
      <w:r w:rsidRPr="006503C8">
        <w:t>avoir</w:t>
      </w:r>
      <w:r>
        <w:t xml:space="preserve"> </w:t>
      </w:r>
      <w:r w:rsidRPr="006503C8">
        <w:t>appris</w:t>
      </w:r>
      <w:r>
        <w:t xml:space="preserve"> </w:t>
      </w:r>
      <w:r w:rsidRPr="006503C8">
        <w:t>que</w:t>
      </w:r>
      <w:r>
        <w:t xml:space="preserve"> </w:t>
      </w:r>
      <w:r w:rsidRPr="006503C8">
        <w:t>le</w:t>
      </w:r>
      <w:r>
        <w:t xml:space="preserve"> </w:t>
      </w:r>
      <w:r w:rsidRPr="006503C8">
        <w:t>procureur</w:t>
      </w:r>
      <w:r>
        <w:t xml:space="preserve"> </w:t>
      </w:r>
      <w:r w:rsidRPr="006503C8">
        <w:t>avait</w:t>
      </w:r>
      <w:r>
        <w:t xml:space="preserve"> </w:t>
      </w:r>
      <w:r w:rsidRPr="006503C8">
        <w:t>demandé</w:t>
      </w:r>
      <w:r>
        <w:t xml:space="preserve"> </w:t>
      </w:r>
      <w:r w:rsidRPr="006503C8">
        <w:t>son</w:t>
      </w:r>
      <w:r>
        <w:t xml:space="preserve"> </w:t>
      </w:r>
      <w:r w:rsidRPr="006503C8">
        <w:t>placement</w:t>
      </w:r>
      <w:r>
        <w:t xml:space="preserve"> </w:t>
      </w:r>
      <w:r w:rsidRPr="006503C8">
        <w:t>en</w:t>
      </w:r>
      <w:r>
        <w:t xml:space="preserve"> </w:t>
      </w:r>
      <w:r w:rsidRPr="006503C8">
        <w:t>détention</w:t>
      </w:r>
      <w:r>
        <w:t xml:space="preserve"> </w:t>
      </w:r>
      <w:r w:rsidRPr="006503C8">
        <w:t>provisoire.</w:t>
      </w:r>
      <w:r>
        <w:t xml:space="preserve"> </w:t>
      </w:r>
      <w:r w:rsidRPr="006503C8">
        <w:t>Elle</w:t>
      </w:r>
      <w:r w:rsidR="00132710">
        <w:t> </w:t>
      </w:r>
      <w:r w:rsidRPr="006503C8">
        <w:t>rappelle</w:t>
      </w:r>
      <w:r>
        <w:t xml:space="preserve"> </w:t>
      </w:r>
      <w:r w:rsidRPr="006503C8">
        <w:t>que</w:t>
      </w:r>
      <w:r>
        <w:t xml:space="preserve"> </w:t>
      </w:r>
      <w:r w:rsidRPr="006503C8">
        <w:t>des</w:t>
      </w:r>
      <w:r>
        <w:t xml:space="preserve"> </w:t>
      </w:r>
      <w:r w:rsidRPr="006503C8">
        <w:t>organisations</w:t>
      </w:r>
      <w:r>
        <w:t xml:space="preserve"> </w:t>
      </w:r>
      <w:r w:rsidRPr="006503C8">
        <w:t>internationales</w:t>
      </w:r>
      <w:r>
        <w:t xml:space="preserve"> </w:t>
      </w:r>
      <w:r w:rsidRPr="006503C8">
        <w:t>ont,</w:t>
      </w:r>
      <w:r>
        <w:t xml:space="preserve"> </w:t>
      </w:r>
      <w:r w:rsidRPr="006503C8">
        <w:t>à</w:t>
      </w:r>
      <w:r>
        <w:t xml:space="preserve"> </w:t>
      </w:r>
      <w:r w:rsidRPr="006503C8">
        <w:t>plusieurs</w:t>
      </w:r>
      <w:r>
        <w:t xml:space="preserve"> </w:t>
      </w:r>
      <w:r w:rsidRPr="006503C8">
        <w:t>reprises,</w:t>
      </w:r>
      <w:r>
        <w:t xml:space="preserve"> </w:t>
      </w:r>
      <w:r w:rsidRPr="006503C8">
        <w:t>émis</w:t>
      </w:r>
      <w:r>
        <w:t xml:space="preserve"> </w:t>
      </w:r>
      <w:r w:rsidRPr="006503C8">
        <w:t>l</w:t>
      </w:r>
      <w:r w:rsidR="00CA2931">
        <w:t>’</w:t>
      </w:r>
      <w:r w:rsidRPr="006503C8">
        <w:t>avis</w:t>
      </w:r>
      <w:r>
        <w:t xml:space="preserve"> </w:t>
      </w:r>
      <w:r w:rsidRPr="006503C8">
        <w:t>que</w:t>
      </w:r>
      <w:r>
        <w:t xml:space="preserve"> </w:t>
      </w:r>
      <w:r w:rsidRPr="006503C8">
        <w:t>les</w:t>
      </w:r>
      <w:r>
        <w:t xml:space="preserve"> </w:t>
      </w:r>
      <w:r w:rsidRPr="006503C8">
        <w:t>conditions</w:t>
      </w:r>
      <w:r>
        <w:t xml:space="preserve"> </w:t>
      </w:r>
      <w:r w:rsidRPr="006503C8">
        <w:t>de</w:t>
      </w:r>
      <w:r>
        <w:t xml:space="preserve"> </w:t>
      </w:r>
      <w:r w:rsidRPr="006503C8">
        <w:t>détention</w:t>
      </w:r>
      <w:r>
        <w:t xml:space="preserve"> </w:t>
      </w:r>
      <w:r w:rsidRPr="006503C8">
        <w:t>en</w:t>
      </w:r>
      <w:r>
        <w:t xml:space="preserve"> </w:t>
      </w:r>
      <w:r w:rsidRPr="006503C8">
        <w:t>Lituanie</w:t>
      </w:r>
      <w:r>
        <w:t xml:space="preserve"> </w:t>
      </w:r>
      <w:r w:rsidRPr="006503C8">
        <w:t>relevaient</w:t>
      </w:r>
      <w:r>
        <w:t xml:space="preserve"> </w:t>
      </w:r>
      <w:r w:rsidRPr="006503C8">
        <w:t>du</w:t>
      </w:r>
      <w:r>
        <w:t xml:space="preserve"> </w:t>
      </w:r>
      <w:r w:rsidRPr="006503C8">
        <w:t>traitement</w:t>
      </w:r>
      <w:r>
        <w:t xml:space="preserve"> </w:t>
      </w:r>
      <w:r w:rsidRPr="006503C8">
        <w:t>inhumain</w:t>
      </w:r>
      <w:r>
        <w:t xml:space="preserve"> </w:t>
      </w:r>
      <w:r w:rsidRPr="006503C8">
        <w:t>et</w:t>
      </w:r>
      <w:r>
        <w:t xml:space="preserve"> </w:t>
      </w:r>
      <w:r w:rsidRPr="006503C8">
        <w:t>dégradant.</w:t>
      </w:r>
      <w:r>
        <w:t xml:space="preserve"> </w:t>
      </w:r>
      <w:r w:rsidRPr="006503C8">
        <w:t>Dans</w:t>
      </w:r>
      <w:r>
        <w:t xml:space="preserve"> </w:t>
      </w:r>
      <w:r w:rsidRPr="006503C8">
        <w:t>la</w:t>
      </w:r>
      <w:r>
        <w:t xml:space="preserve"> </w:t>
      </w:r>
      <w:r w:rsidRPr="006503C8">
        <w:t>mesure</w:t>
      </w:r>
      <w:r>
        <w:t xml:space="preserve"> </w:t>
      </w:r>
      <w:r w:rsidRPr="006503C8">
        <w:t>où</w:t>
      </w:r>
      <w:r>
        <w:t xml:space="preserve"> </w:t>
      </w:r>
      <w:r w:rsidRPr="006503C8">
        <w:t>elle</w:t>
      </w:r>
      <w:r>
        <w:t xml:space="preserve"> </w:t>
      </w:r>
      <w:r w:rsidRPr="006503C8">
        <w:t>avait</w:t>
      </w:r>
      <w:r>
        <w:t xml:space="preserve"> </w:t>
      </w:r>
      <w:r w:rsidRPr="006503C8">
        <w:t>déjà</w:t>
      </w:r>
      <w:r>
        <w:t xml:space="preserve"> </w:t>
      </w:r>
      <w:r w:rsidRPr="006503C8">
        <w:t>passé</w:t>
      </w:r>
      <w:r>
        <w:t xml:space="preserve"> </w:t>
      </w:r>
      <w:r w:rsidRPr="006503C8">
        <w:t>une</w:t>
      </w:r>
      <w:r>
        <w:t xml:space="preserve"> </w:t>
      </w:r>
      <w:r w:rsidRPr="006503C8">
        <w:t>longue</w:t>
      </w:r>
      <w:r>
        <w:t xml:space="preserve"> </w:t>
      </w:r>
      <w:r w:rsidRPr="006503C8">
        <w:t>période</w:t>
      </w:r>
      <w:r>
        <w:t xml:space="preserve"> </w:t>
      </w:r>
      <w:r w:rsidRPr="006503C8">
        <w:t>en</w:t>
      </w:r>
      <w:r>
        <w:t xml:space="preserve"> </w:t>
      </w:r>
      <w:r w:rsidRPr="006503C8">
        <w:t>prison</w:t>
      </w:r>
      <w:r>
        <w:t xml:space="preserve"> </w:t>
      </w:r>
      <w:r w:rsidRPr="006503C8">
        <w:t>auparavant,</w:t>
      </w:r>
      <w:r>
        <w:t xml:space="preserve"> </w:t>
      </w:r>
      <w:r w:rsidRPr="006503C8">
        <w:t>la</w:t>
      </w:r>
      <w:r>
        <w:t xml:space="preserve"> </w:t>
      </w:r>
      <w:r w:rsidRPr="006503C8">
        <w:t>seule</w:t>
      </w:r>
      <w:r>
        <w:t xml:space="preserve"> </w:t>
      </w:r>
      <w:r w:rsidRPr="006503C8">
        <w:t>perspective</w:t>
      </w:r>
      <w:r>
        <w:t xml:space="preserve"> </w:t>
      </w:r>
      <w:r w:rsidRPr="006503C8">
        <w:t>d</w:t>
      </w:r>
      <w:r w:rsidR="00CA2931">
        <w:t>’</w:t>
      </w:r>
      <w:r w:rsidRPr="006503C8">
        <w:t>une</w:t>
      </w:r>
      <w:r>
        <w:t xml:space="preserve"> </w:t>
      </w:r>
      <w:r w:rsidRPr="006503C8">
        <w:t>nouvelle</w:t>
      </w:r>
      <w:r>
        <w:t xml:space="preserve"> </w:t>
      </w:r>
      <w:r w:rsidRPr="006503C8">
        <w:t>détention</w:t>
      </w:r>
      <w:r>
        <w:t xml:space="preserve"> </w:t>
      </w:r>
      <w:r w:rsidRPr="006503C8">
        <w:t>provisoire</w:t>
      </w:r>
      <w:r>
        <w:t xml:space="preserve"> </w:t>
      </w:r>
      <w:r w:rsidRPr="006503C8">
        <w:t>lui</w:t>
      </w:r>
      <w:r>
        <w:t xml:space="preserve"> </w:t>
      </w:r>
      <w:r w:rsidRPr="006503C8">
        <w:t>a</w:t>
      </w:r>
      <w:r>
        <w:t xml:space="preserve"> </w:t>
      </w:r>
      <w:r w:rsidRPr="006503C8">
        <w:t>causé</w:t>
      </w:r>
      <w:r>
        <w:t xml:space="preserve"> </w:t>
      </w:r>
      <w:r w:rsidRPr="006503C8">
        <w:t>un</w:t>
      </w:r>
      <w:r>
        <w:t xml:space="preserve"> </w:t>
      </w:r>
      <w:r w:rsidRPr="006503C8">
        <w:t>stress</w:t>
      </w:r>
      <w:r>
        <w:t xml:space="preserve"> </w:t>
      </w:r>
      <w:r w:rsidRPr="006503C8">
        <w:t>considérable,</w:t>
      </w:r>
      <w:r>
        <w:t xml:space="preserve"> </w:t>
      </w:r>
      <w:r w:rsidRPr="006503C8">
        <w:t>qui</w:t>
      </w:r>
      <w:r>
        <w:t xml:space="preserve"> </w:t>
      </w:r>
      <w:r w:rsidRPr="006503C8">
        <w:t>a</w:t>
      </w:r>
      <w:r>
        <w:t xml:space="preserve"> </w:t>
      </w:r>
      <w:r w:rsidRPr="006503C8">
        <w:t>provoqué</w:t>
      </w:r>
      <w:r>
        <w:t xml:space="preserve"> </w:t>
      </w:r>
      <w:r w:rsidRPr="006503C8">
        <w:t>les</w:t>
      </w:r>
      <w:r>
        <w:t xml:space="preserve"> </w:t>
      </w:r>
      <w:r w:rsidRPr="006503C8">
        <w:t>propos</w:t>
      </w:r>
      <w:r>
        <w:t xml:space="preserve"> </w:t>
      </w:r>
      <w:r w:rsidRPr="006503C8">
        <w:t>critiques.</w:t>
      </w:r>
      <w:r>
        <w:t xml:space="preserve"> </w:t>
      </w:r>
      <w:r w:rsidRPr="006503C8">
        <w:t>Elle</w:t>
      </w:r>
      <w:r>
        <w:t xml:space="preserve"> </w:t>
      </w:r>
      <w:r w:rsidRPr="006503C8">
        <w:t>fait</w:t>
      </w:r>
      <w:r>
        <w:t xml:space="preserve"> </w:t>
      </w:r>
      <w:r w:rsidRPr="006503C8">
        <w:t>remarquer</w:t>
      </w:r>
      <w:r>
        <w:t xml:space="preserve"> </w:t>
      </w:r>
      <w:r w:rsidRPr="006503C8">
        <w:t>que</w:t>
      </w:r>
      <w:r>
        <w:t xml:space="preserve"> </w:t>
      </w:r>
      <w:r w:rsidRPr="006503C8">
        <w:t>le</w:t>
      </w:r>
      <w:r>
        <w:t xml:space="preserve"> </w:t>
      </w:r>
      <w:r w:rsidRPr="006503C8">
        <w:t>procureur</w:t>
      </w:r>
      <w:r>
        <w:t xml:space="preserve"> </w:t>
      </w:r>
      <w:r w:rsidRPr="006503C8">
        <w:t>M.</w:t>
      </w:r>
      <w:r>
        <w:t> </w:t>
      </w:r>
      <w:r w:rsidRPr="006503C8">
        <w:t>D.</w:t>
      </w:r>
      <w:r>
        <w:t xml:space="preserve"> </w:t>
      </w:r>
      <w:r w:rsidRPr="006503C8">
        <w:t>a</w:t>
      </w:r>
      <w:r>
        <w:t xml:space="preserve"> </w:t>
      </w:r>
      <w:r w:rsidRPr="006503C8">
        <w:t>dit</w:t>
      </w:r>
      <w:r>
        <w:t xml:space="preserve"> </w:t>
      </w:r>
      <w:r w:rsidRPr="006503C8">
        <w:t>qu</w:t>
      </w:r>
      <w:r w:rsidR="00CA2931">
        <w:t>’</w:t>
      </w:r>
      <w:r w:rsidRPr="006503C8">
        <w:t>il</w:t>
      </w:r>
      <w:r>
        <w:t xml:space="preserve"> </w:t>
      </w:r>
      <w:r w:rsidRPr="006503C8">
        <w:t>ne</w:t>
      </w:r>
      <w:r>
        <w:t xml:space="preserve"> </w:t>
      </w:r>
      <w:r w:rsidRPr="006503C8">
        <w:t>s</w:t>
      </w:r>
      <w:r w:rsidR="00CA2931">
        <w:t>’</w:t>
      </w:r>
      <w:r w:rsidRPr="006503C8">
        <w:t>était</w:t>
      </w:r>
      <w:r>
        <w:t xml:space="preserve"> </w:t>
      </w:r>
      <w:r w:rsidRPr="006503C8">
        <w:t>pas</w:t>
      </w:r>
      <w:r>
        <w:t xml:space="preserve"> </w:t>
      </w:r>
      <w:r w:rsidRPr="006503C8">
        <w:t>senti</w:t>
      </w:r>
      <w:r>
        <w:t xml:space="preserve"> </w:t>
      </w:r>
      <w:r w:rsidRPr="006503C8">
        <w:t>offensé</w:t>
      </w:r>
      <w:r>
        <w:t xml:space="preserve"> </w:t>
      </w:r>
      <w:r w:rsidRPr="006503C8">
        <w:t>par</w:t>
      </w:r>
      <w:r>
        <w:t xml:space="preserve"> </w:t>
      </w:r>
      <w:r w:rsidRPr="006503C8">
        <w:t>ses</w:t>
      </w:r>
      <w:r>
        <w:t xml:space="preserve"> </w:t>
      </w:r>
      <w:r w:rsidRPr="006503C8">
        <w:t>propos.</w:t>
      </w:r>
      <w:r>
        <w:t xml:space="preserve"> </w:t>
      </w:r>
      <w:r w:rsidRPr="006503C8">
        <w:t>Néanmoins,</w:t>
      </w:r>
      <w:r>
        <w:t xml:space="preserve"> </w:t>
      </w:r>
      <w:r w:rsidRPr="006503C8">
        <w:t>même</w:t>
      </w:r>
      <w:r>
        <w:t xml:space="preserve"> </w:t>
      </w:r>
      <w:r w:rsidRPr="006503C8">
        <w:t>si</w:t>
      </w:r>
      <w:r>
        <w:t xml:space="preserve"> </w:t>
      </w:r>
      <w:r w:rsidRPr="006503C8">
        <w:t>sa</w:t>
      </w:r>
      <w:r>
        <w:t xml:space="preserve"> </w:t>
      </w:r>
      <w:r w:rsidRPr="006503C8">
        <w:t>déclaration</w:t>
      </w:r>
      <w:r>
        <w:t xml:space="preserve"> </w:t>
      </w:r>
      <w:r w:rsidRPr="006503C8">
        <w:t>pouvait</w:t>
      </w:r>
      <w:r>
        <w:t xml:space="preserve"> </w:t>
      </w:r>
      <w:r w:rsidRPr="006503C8">
        <w:t>être</w:t>
      </w:r>
      <w:r>
        <w:t xml:space="preserve"> </w:t>
      </w:r>
      <w:r w:rsidRPr="006503C8">
        <w:t>jugée</w:t>
      </w:r>
      <w:r>
        <w:t xml:space="preserve"> </w:t>
      </w:r>
      <w:r w:rsidRPr="006503C8">
        <w:t>provocante,</w:t>
      </w:r>
      <w:r>
        <w:t xml:space="preserve"> </w:t>
      </w:r>
      <w:r w:rsidRPr="006503C8">
        <w:t>l</w:t>
      </w:r>
      <w:r w:rsidR="00CA2931">
        <w:t>’</w:t>
      </w:r>
      <w:r w:rsidRPr="006503C8">
        <w:t>auteure</w:t>
      </w:r>
      <w:r>
        <w:t xml:space="preserve"> </w:t>
      </w:r>
      <w:r w:rsidRPr="006503C8">
        <w:t>avance</w:t>
      </w:r>
      <w:r>
        <w:t xml:space="preserve"> </w:t>
      </w:r>
      <w:r w:rsidRPr="006503C8">
        <w:t>que,</w:t>
      </w:r>
      <w:r>
        <w:t xml:space="preserve"> </w:t>
      </w:r>
      <w:r w:rsidRPr="006503C8">
        <w:t>conformément</w:t>
      </w:r>
      <w:r>
        <w:t xml:space="preserve"> </w:t>
      </w:r>
      <w:r w:rsidRPr="006503C8">
        <w:t>à</w:t>
      </w:r>
      <w:r>
        <w:t xml:space="preserve"> </w:t>
      </w:r>
      <w:r w:rsidRPr="006503C8">
        <w:t>l</w:t>
      </w:r>
      <w:r w:rsidR="00CA2931">
        <w:t>’</w:t>
      </w:r>
      <w:r>
        <w:t xml:space="preserve">observation générale </w:t>
      </w:r>
      <w:r w:rsidRPr="006503C8">
        <w:t>n</w:t>
      </w:r>
      <w:r w:rsidRPr="006503C8">
        <w:rPr>
          <w:vertAlign w:val="superscript"/>
        </w:rPr>
        <w:t>o</w:t>
      </w:r>
      <w:r>
        <w:t> </w:t>
      </w:r>
      <w:r w:rsidRPr="006503C8">
        <w:t>34</w:t>
      </w:r>
      <w:r>
        <w:t xml:space="preserve"> </w:t>
      </w:r>
      <w:r w:rsidRPr="006503C8">
        <w:t>du</w:t>
      </w:r>
      <w:r>
        <w:t xml:space="preserve"> </w:t>
      </w:r>
      <w:r w:rsidRPr="006503C8">
        <w:t>Comité,</w:t>
      </w:r>
      <w:r>
        <w:t xml:space="preserve"> </w:t>
      </w:r>
      <w:r w:rsidRPr="006503C8">
        <w:t>la</w:t>
      </w:r>
      <w:r>
        <w:t xml:space="preserve"> </w:t>
      </w:r>
      <w:r w:rsidRPr="006503C8">
        <w:t>liberté</w:t>
      </w:r>
      <w:r>
        <w:t xml:space="preserve"> </w:t>
      </w:r>
      <w:r w:rsidRPr="006503C8">
        <w:t>d</w:t>
      </w:r>
      <w:r w:rsidR="00CA2931">
        <w:t>’</w:t>
      </w:r>
      <w:r w:rsidRPr="006503C8">
        <w:t>expression</w:t>
      </w:r>
      <w:r>
        <w:t xml:space="preserve"> </w:t>
      </w:r>
      <w:r w:rsidRPr="006503C8">
        <w:t>protège</w:t>
      </w:r>
      <w:r>
        <w:t xml:space="preserve"> </w:t>
      </w:r>
      <w:r w:rsidRPr="006503C8">
        <w:t>également</w:t>
      </w:r>
      <w:r>
        <w:t xml:space="preserve"> </w:t>
      </w:r>
      <w:r w:rsidRPr="006503C8">
        <w:t>les</w:t>
      </w:r>
      <w:r>
        <w:t xml:space="preserve"> </w:t>
      </w:r>
      <w:r w:rsidRPr="006503C8">
        <w:t>propos</w:t>
      </w:r>
      <w:r>
        <w:t xml:space="preserve"> </w:t>
      </w:r>
      <w:r w:rsidRPr="006503C8">
        <w:t>exagérés</w:t>
      </w:r>
      <w:r>
        <w:t xml:space="preserve"> </w:t>
      </w:r>
      <w:r w:rsidRPr="006503C8">
        <w:t>ou</w:t>
      </w:r>
      <w:r>
        <w:t xml:space="preserve"> </w:t>
      </w:r>
      <w:r w:rsidRPr="006503C8">
        <w:t>provocants</w:t>
      </w:r>
      <w:r>
        <w:t xml:space="preserve"> </w:t>
      </w:r>
      <w:r w:rsidRPr="006503C8">
        <w:t>dans</w:t>
      </w:r>
      <w:r>
        <w:t xml:space="preserve"> </w:t>
      </w:r>
      <w:r w:rsidRPr="006503C8">
        <w:t>une</w:t>
      </w:r>
      <w:r>
        <w:t xml:space="preserve"> </w:t>
      </w:r>
      <w:r w:rsidRPr="006503C8">
        <w:t>certaine</w:t>
      </w:r>
      <w:r>
        <w:t xml:space="preserve"> </w:t>
      </w:r>
      <w:r w:rsidRPr="006503C8">
        <w:t>mesure.</w:t>
      </w:r>
    </w:p>
    <w:p w14:paraId="64C80B69" w14:textId="77777777" w:rsidR="00765853" w:rsidRPr="006503C8" w:rsidRDefault="00765853" w:rsidP="00765853">
      <w:pPr>
        <w:pStyle w:val="SingleTxtG"/>
      </w:pPr>
      <w:r w:rsidRPr="006503C8">
        <w:t>3.6</w:t>
      </w:r>
      <w:r w:rsidRPr="006503C8">
        <w:tab/>
        <w:t>S</w:t>
      </w:r>
      <w:r w:rsidR="00CA2931">
        <w:t>’</w:t>
      </w:r>
      <w:r w:rsidRPr="006503C8">
        <w:t>agissant</w:t>
      </w:r>
      <w:r>
        <w:t xml:space="preserve"> </w:t>
      </w:r>
      <w:r w:rsidRPr="006503C8">
        <w:t>du</w:t>
      </w:r>
      <w:r>
        <w:t xml:space="preserve"> </w:t>
      </w:r>
      <w:r w:rsidRPr="006503C8">
        <w:t>critère</w:t>
      </w:r>
      <w:r>
        <w:t xml:space="preserve"> </w:t>
      </w:r>
      <w:r w:rsidRPr="006503C8">
        <w:t>de</w:t>
      </w:r>
      <w:r>
        <w:t xml:space="preserve"> </w:t>
      </w:r>
      <w:r w:rsidRPr="006503C8">
        <w:t>proportionnalité,</w:t>
      </w:r>
      <w:r>
        <w:t xml:space="preserve"> </w:t>
      </w:r>
      <w:r w:rsidRPr="006503C8">
        <w:t>l</w:t>
      </w:r>
      <w:r w:rsidR="00CA2931">
        <w:t>’</w:t>
      </w:r>
      <w:r w:rsidRPr="006503C8">
        <w:t>auteure</w:t>
      </w:r>
      <w:r>
        <w:t xml:space="preserve"> </w:t>
      </w:r>
      <w:r w:rsidRPr="006503C8">
        <w:t>soutient</w:t>
      </w:r>
      <w:r>
        <w:t xml:space="preserve"> </w:t>
      </w:r>
      <w:r w:rsidRPr="006503C8">
        <w:t>que</w:t>
      </w:r>
      <w:r>
        <w:t xml:space="preserve"> </w:t>
      </w:r>
      <w:r w:rsidRPr="006503C8">
        <w:t>la</w:t>
      </w:r>
      <w:r>
        <w:t xml:space="preserve"> </w:t>
      </w:r>
      <w:r w:rsidRPr="006503C8">
        <w:t>nature</w:t>
      </w:r>
      <w:r>
        <w:t xml:space="preserve"> </w:t>
      </w:r>
      <w:r w:rsidRPr="006503C8">
        <w:t>et</w:t>
      </w:r>
      <w:r>
        <w:t xml:space="preserve"> </w:t>
      </w:r>
      <w:r w:rsidRPr="006503C8">
        <w:t>la</w:t>
      </w:r>
      <w:r>
        <w:t xml:space="preserve"> </w:t>
      </w:r>
      <w:r w:rsidRPr="006503C8">
        <w:t>sévérité</w:t>
      </w:r>
      <w:r>
        <w:t xml:space="preserve"> </w:t>
      </w:r>
      <w:r w:rsidRPr="006503C8">
        <w:t>de</w:t>
      </w:r>
      <w:r>
        <w:t xml:space="preserve"> </w:t>
      </w:r>
      <w:r w:rsidRPr="006503C8">
        <w:t>la</w:t>
      </w:r>
      <w:r>
        <w:t xml:space="preserve"> </w:t>
      </w:r>
      <w:r w:rsidRPr="006503C8">
        <w:t>peine</w:t>
      </w:r>
      <w:r>
        <w:t xml:space="preserve"> </w:t>
      </w:r>
      <w:r w:rsidRPr="006503C8">
        <w:t>qui</w:t>
      </w:r>
      <w:r>
        <w:t xml:space="preserve"> </w:t>
      </w:r>
      <w:r w:rsidRPr="006503C8">
        <w:t>lui</w:t>
      </w:r>
      <w:r>
        <w:t xml:space="preserve"> </w:t>
      </w:r>
      <w:r w:rsidRPr="006503C8">
        <w:t>a</w:t>
      </w:r>
      <w:r>
        <w:t xml:space="preserve"> </w:t>
      </w:r>
      <w:r w:rsidRPr="006503C8">
        <w:t>été</w:t>
      </w:r>
      <w:r>
        <w:t xml:space="preserve"> </w:t>
      </w:r>
      <w:r w:rsidRPr="006503C8">
        <w:t>imposée</w:t>
      </w:r>
      <w:r>
        <w:t xml:space="preserve"> </w:t>
      </w:r>
      <w:r w:rsidRPr="006503C8">
        <w:t>ne</w:t>
      </w:r>
      <w:r>
        <w:t xml:space="preserve"> </w:t>
      </w:r>
      <w:r w:rsidRPr="006503C8">
        <w:t>correspondent</w:t>
      </w:r>
      <w:r>
        <w:t xml:space="preserve"> </w:t>
      </w:r>
      <w:r w:rsidRPr="006503C8">
        <w:t>pas</w:t>
      </w:r>
      <w:r>
        <w:t xml:space="preserve"> </w:t>
      </w:r>
      <w:r w:rsidRPr="006503C8">
        <w:t>à</w:t>
      </w:r>
      <w:r>
        <w:t xml:space="preserve"> </w:t>
      </w:r>
      <w:r w:rsidRPr="006503C8">
        <w:t>la</w:t>
      </w:r>
      <w:r>
        <w:t xml:space="preserve"> </w:t>
      </w:r>
      <w:r w:rsidRPr="006503C8">
        <w:t>gravité</w:t>
      </w:r>
      <w:r>
        <w:t xml:space="preserve"> </w:t>
      </w:r>
      <w:r w:rsidRPr="006503C8">
        <w:t>de</w:t>
      </w:r>
      <w:r>
        <w:t xml:space="preserve"> </w:t>
      </w:r>
      <w:r w:rsidRPr="006503C8">
        <w:t>l</w:t>
      </w:r>
      <w:r w:rsidR="00CA2931">
        <w:t>’</w:t>
      </w:r>
      <w:r w:rsidRPr="006503C8">
        <w:t>infraction</w:t>
      </w:r>
      <w:r>
        <w:t xml:space="preserve"> </w:t>
      </w:r>
      <w:r w:rsidRPr="006503C8">
        <w:t>ni</w:t>
      </w:r>
      <w:r>
        <w:t xml:space="preserve"> </w:t>
      </w:r>
      <w:r w:rsidRPr="006503C8">
        <w:t>au</w:t>
      </w:r>
      <w:r>
        <w:t xml:space="preserve"> </w:t>
      </w:r>
      <w:r w:rsidRPr="006503C8">
        <w:t>préjudice</w:t>
      </w:r>
      <w:r>
        <w:t xml:space="preserve"> </w:t>
      </w:r>
      <w:r w:rsidRPr="006503C8">
        <w:t>qui</w:t>
      </w:r>
      <w:r>
        <w:t xml:space="preserve"> </w:t>
      </w:r>
      <w:r w:rsidRPr="006503C8">
        <w:t>aurait</w:t>
      </w:r>
      <w:r>
        <w:t xml:space="preserve"> </w:t>
      </w:r>
      <w:r w:rsidRPr="006503C8">
        <w:t>été</w:t>
      </w:r>
      <w:r>
        <w:t xml:space="preserve"> </w:t>
      </w:r>
      <w:r w:rsidRPr="006503C8">
        <w:t>causé</w:t>
      </w:r>
      <w:r>
        <w:t xml:space="preserve"> </w:t>
      </w:r>
      <w:r w:rsidRPr="006503C8">
        <w:t>au</w:t>
      </w:r>
      <w:r>
        <w:t xml:space="preserve"> </w:t>
      </w:r>
      <w:r w:rsidRPr="006503C8">
        <w:t>parquet</w:t>
      </w:r>
      <w:r>
        <w:t xml:space="preserve"> </w:t>
      </w:r>
      <w:r w:rsidRPr="006503C8">
        <w:t>et</w:t>
      </w:r>
      <w:r>
        <w:t xml:space="preserve"> </w:t>
      </w:r>
      <w:r w:rsidRPr="006503C8">
        <w:t>que</w:t>
      </w:r>
      <w:r>
        <w:t xml:space="preserve"> </w:t>
      </w:r>
      <w:r w:rsidRPr="006503C8">
        <w:t>la</w:t>
      </w:r>
      <w:r>
        <w:t xml:space="preserve"> </w:t>
      </w:r>
      <w:r w:rsidRPr="006503C8">
        <w:t>peine</w:t>
      </w:r>
      <w:r>
        <w:t xml:space="preserve"> </w:t>
      </w:r>
      <w:r w:rsidRPr="006503C8">
        <w:t>était</w:t>
      </w:r>
      <w:r>
        <w:t xml:space="preserve"> donc </w:t>
      </w:r>
      <w:r w:rsidRPr="006503C8">
        <w:t>disproportionnée.</w:t>
      </w:r>
      <w:r>
        <w:t xml:space="preserve"> </w:t>
      </w:r>
      <w:r w:rsidRPr="006503C8">
        <w:t>Elle</w:t>
      </w:r>
      <w:r w:rsidR="00132710">
        <w:t> </w:t>
      </w:r>
      <w:r w:rsidRPr="006503C8">
        <w:t>avance</w:t>
      </w:r>
      <w:r>
        <w:t xml:space="preserve"> </w:t>
      </w:r>
      <w:r w:rsidRPr="006503C8">
        <w:t>que</w:t>
      </w:r>
      <w:r>
        <w:t xml:space="preserve"> </w:t>
      </w:r>
      <w:r w:rsidRPr="006503C8">
        <w:t>le</w:t>
      </w:r>
      <w:r>
        <w:t xml:space="preserve"> </w:t>
      </w:r>
      <w:r w:rsidRPr="006503C8">
        <w:t>fait</w:t>
      </w:r>
      <w:r>
        <w:t xml:space="preserve"> </w:t>
      </w:r>
      <w:r w:rsidRPr="006503C8">
        <w:t>d</w:t>
      </w:r>
      <w:r w:rsidR="00CA2931">
        <w:t>’</w:t>
      </w:r>
      <w:r w:rsidRPr="006503C8">
        <w:t>avoir</w:t>
      </w:r>
      <w:r>
        <w:t xml:space="preserve"> </w:t>
      </w:r>
      <w:r w:rsidRPr="006503C8">
        <w:t>été</w:t>
      </w:r>
      <w:r>
        <w:t xml:space="preserve"> </w:t>
      </w:r>
      <w:r w:rsidRPr="006503C8">
        <w:t>condamnée</w:t>
      </w:r>
      <w:r>
        <w:t xml:space="preserve"> </w:t>
      </w:r>
      <w:r w:rsidRPr="006503C8">
        <w:t>à</w:t>
      </w:r>
      <w:r>
        <w:t xml:space="preserve"> </w:t>
      </w:r>
      <w:r w:rsidRPr="006503C8">
        <w:t>une</w:t>
      </w:r>
      <w:r>
        <w:t xml:space="preserve"> </w:t>
      </w:r>
      <w:r w:rsidRPr="006503C8">
        <w:t>amende</w:t>
      </w:r>
      <w:r>
        <w:t xml:space="preserve"> </w:t>
      </w:r>
      <w:r w:rsidRPr="006503C8">
        <w:t>ne</w:t>
      </w:r>
      <w:r>
        <w:t xml:space="preserve"> </w:t>
      </w:r>
      <w:r w:rsidRPr="006503C8">
        <w:t>diminue</w:t>
      </w:r>
      <w:r>
        <w:t xml:space="preserve"> </w:t>
      </w:r>
      <w:r w:rsidRPr="006503C8">
        <w:t>pas</w:t>
      </w:r>
      <w:r>
        <w:t xml:space="preserve"> </w:t>
      </w:r>
      <w:r w:rsidRPr="006503C8">
        <w:t>l</w:t>
      </w:r>
      <w:r w:rsidR="00CA2931">
        <w:t>’</w:t>
      </w:r>
      <w:r w:rsidRPr="006503C8">
        <w:t>effet</w:t>
      </w:r>
      <w:r>
        <w:t xml:space="preserve"> </w:t>
      </w:r>
      <w:r w:rsidRPr="006503C8">
        <w:t>qu</w:t>
      </w:r>
      <w:r w:rsidR="00CA2931">
        <w:t>’</w:t>
      </w:r>
      <w:r w:rsidRPr="006503C8">
        <w:t>entraîne</w:t>
      </w:r>
      <w:r>
        <w:t xml:space="preserve"> </w:t>
      </w:r>
      <w:r w:rsidRPr="006503C8">
        <w:t>une</w:t>
      </w:r>
      <w:r>
        <w:t xml:space="preserve"> </w:t>
      </w:r>
      <w:r w:rsidRPr="006503C8">
        <w:t>sanction</w:t>
      </w:r>
      <w:r>
        <w:t xml:space="preserve"> </w:t>
      </w:r>
      <w:r w:rsidRPr="006503C8">
        <w:t>pénale.</w:t>
      </w:r>
      <w:r>
        <w:t xml:space="preserve"> </w:t>
      </w:r>
      <w:r w:rsidRPr="006503C8">
        <w:t>Une</w:t>
      </w:r>
      <w:r>
        <w:t xml:space="preserve"> </w:t>
      </w:r>
      <w:r w:rsidRPr="006503C8">
        <w:t>fois</w:t>
      </w:r>
      <w:r>
        <w:t xml:space="preserve"> </w:t>
      </w:r>
      <w:r w:rsidRPr="006503C8">
        <w:t>l</w:t>
      </w:r>
      <w:r w:rsidR="00CA2931">
        <w:t>’</w:t>
      </w:r>
      <w:r w:rsidRPr="006503C8">
        <w:t>amende</w:t>
      </w:r>
      <w:r>
        <w:t xml:space="preserve"> </w:t>
      </w:r>
      <w:r w:rsidRPr="006503C8">
        <w:t>payée,</w:t>
      </w:r>
      <w:r>
        <w:t xml:space="preserve"> </w:t>
      </w:r>
      <w:r w:rsidRPr="006503C8">
        <w:t>la</w:t>
      </w:r>
      <w:r>
        <w:t xml:space="preserve"> </w:t>
      </w:r>
      <w:r w:rsidRPr="006503C8">
        <w:t>condamnation</w:t>
      </w:r>
      <w:r>
        <w:t xml:space="preserve"> </w:t>
      </w:r>
      <w:r w:rsidRPr="006503C8">
        <w:t>pénale</w:t>
      </w:r>
      <w:r>
        <w:t xml:space="preserve"> </w:t>
      </w:r>
      <w:r w:rsidRPr="006503C8">
        <w:t>aura</w:t>
      </w:r>
      <w:r>
        <w:t xml:space="preserve"> </w:t>
      </w:r>
      <w:r w:rsidRPr="006503C8">
        <w:t>des</w:t>
      </w:r>
      <w:r>
        <w:t xml:space="preserve"> </w:t>
      </w:r>
      <w:r w:rsidRPr="006503C8">
        <w:t>conséquences</w:t>
      </w:r>
      <w:r>
        <w:t xml:space="preserve"> </w:t>
      </w:r>
      <w:r w:rsidRPr="006503C8">
        <w:t>pendant</w:t>
      </w:r>
      <w:r>
        <w:t xml:space="preserve"> </w:t>
      </w:r>
      <w:r w:rsidRPr="006503C8">
        <w:t>trois</w:t>
      </w:r>
      <w:r>
        <w:t xml:space="preserve"> </w:t>
      </w:r>
      <w:r w:rsidRPr="006503C8">
        <w:t>ans</w:t>
      </w:r>
      <w:r>
        <w:t xml:space="preserve"> </w:t>
      </w:r>
      <w:r w:rsidRPr="006503C8">
        <w:t>et</w:t>
      </w:r>
      <w:r>
        <w:t xml:space="preserve"> </w:t>
      </w:r>
      <w:r w:rsidRPr="006503C8">
        <w:t>figurera</w:t>
      </w:r>
      <w:r>
        <w:t xml:space="preserve"> </w:t>
      </w:r>
      <w:r w:rsidRPr="006503C8">
        <w:t>dans</w:t>
      </w:r>
      <w:r>
        <w:t xml:space="preserve"> </w:t>
      </w:r>
      <w:r w:rsidRPr="006503C8">
        <w:t>son</w:t>
      </w:r>
      <w:r>
        <w:t xml:space="preserve"> </w:t>
      </w:r>
      <w:r w:rsidRPr="006503C8">
        <w:t>casier</w:t>
      </w:r>
      <w:r>
        <w:t xml:space="preserve"> </w:t>
      </w:r>
      <w:r w:rsidRPr="006503C8">
        <w:t>judiciaire,</w:t>
      </w:r>
      <w:r>
        <w:t xml:space="preserve"> </w:t>
      </w:r>
      <w:r w:rsidRPr="006503C8">
        <w:t>ce</w:t>
      </w:r>
      <w:r>
        <w:t xml:space="preserve"> </w:t>
      </w:r>
      <w:r w:rsidRPr="006503C8">
        <w:t>qui</w:t>
      </w:r>
      <w:r>
        <w:t xml:space="preserve"> </w:t>
      </w:r>
      <w:r w:rsidRPr="006503C8">
        <w:t>réduira</w:t>
      </w:r>
      <w:r>
        <w:t xml:space="preserve"> </w:t>
      </w:r>
      <w:r w:rsidRPr="006503C8">
        <w:t>ses</w:t>
      </w:r>
      <w:r>
        <w:t xml:space="preserve"> </w:t>
      </w:r>
      <w:r w:rsidRPr="006503C8">
        <w:t>chances</w:t>
      </w:r>
      <w:r>
        <w:t xml:space="preserve"> </w:t>
      </w:r>
      <w:r w:rsidRPr="006503C8">
        <w:t>sur</w:t>
      </w:r>
      <w:r>
        <w:t xml:space="preserve"> </w:t>
      </w:r>
      <w:r w:rsidRPr="006503C8">
        <w:t>le</w:t>
      </w:r>
      <w:r>
        <w:t xml:space="preserve"> </w:t>
      </w:r>
      <w:r w:rsidRPr="006503C8">
        <w:t>marché</w:t>
      </w:r>
      <w:r>
        <w:t xml:space="preserve"> </w:t>
      </w:r>
      <w:r w:rsidRPr="006503C8">
        <w:t>du</w:t>
      </w:r>
      <w:r>
        <w:t xml:space="preserve"> </w:t>
      </w:r>
      <w:r w:rsidRPr="006503C8">
        <w:t>travail.</w:t>
      </w:r>
    </w:p>
    <w:p w14:paraId="696AB61A" w14:textId="77777777" w:rsidR="00765853" w:rsidRPr="006503C8" w:rsidRDefault="00765853" w:rsidP="00765853">
      <w:pPr>
        <w:pStyle w:val="SingleTxtG"/>
      </w:pPr>
      <w:r w:rsidRPr="006503C8">
        <w:t>3.7</w:t>
      </w:r>
      <w:r w:rsidRPr="006503C8">
        <w:tab/>
        <w:t>L</w:t>
      </w:r>
      <w:r w:rsidR="00CA2931">
        <w:t>’</w:t>
      </w:r>
      <w:r w:rsidRPr="006503C8">
        <w:t>auteure</w:t>
      </w:r>
      <w:r>
        <w:t xml:space="preserve"> </w:t>
      </w:r>
      <w:r w:rsidRPr="006503C8">
        <w:t>conclut</w:t>
      </w:r>
      <w:r>
        <w:t xml:space="preserve"> </w:t>
      </w:r>
      <w:r w:rsidRPr="006503C8">
        <w:t>que</w:t>
      </w:r>
      <w:r>
        <w:t xml:space="preserve"> </w:t>
      </w:r>
      <w:r w:rsidRPr="006503C8">
        <w:t>les</w:t>
      </w:r>
      <w:r>
        <w:t xml:space="preserve"> </w:t>
      </w:r>
      <w:r w:rsidRPr="006503C8">
        <w:t>juridictions</w:t>
      </w:r>
      <w:r>
        <w:t xml:space="preserve"> </w:t>
      </w:r>
      <w:r w:rsidRPr="006503C8">
        <w:t>nationales</w:t>
      </w:r>
      <w:r>
        <w:t xml:space="preserve"> </w:t>
      </w:r>
      <w:r w:rsidRPr="006503C8">
        <w:t>n</w:t>
      </w:r>
      <w:r w:rsidR="00CA2931">
        <w:t>’</w:t>
      </w:r>
      <w:r w:rsidRPr="006503C8">
        <w:t>ont</w:t>
      </w:r>
      <w:r>
        <w:t xml:space="preserve"> </w:t>
      </w:r>
      <w:r w:rsidRPr="006503C8">
        <w:t>pas</w:t>
      </w:r>
      <w:r>
        <w:t xml:space="preserve"> </w:t>
      </w:r>
      <w:r w:rsidRPr="006503C8">
        <w:t>donné</w:t>
      </w:r>
      <w:r>
        <w:t xml:space="preserve"> </w:t>
      </w:r>
      <w:r w:rsidRPr="006503C8">
        <w:t>de</w:t>
      </w:r>
      <w:r>
        <w:t xml:space="preserve"> </w:t>
      </w:r>
      <w:r w:rsidRPr="006503C8">
        <w:t>motifs</w:t>
      </w:r>
      <w:r>
        <w:t xml:space="preserve"> </w:t>
      </w:r>
      <w:r w:rsidRPr="006503C8">
        <w:t>pertinents</w:t>
      </w:r>
      <w:r>
        <w:t xml:space="preserve"> </w:t>
      </w:r>
      <w:r w:rsidRPr="006503C8">
        <w:t>et</w:t>
      </w:r>
      <w:r>
        <w:t xml:space="preserve"> </w:t>
      </w:r>
      <w:r w:rsidRPr="006503C8">
        <w:t>suffisants</w:t>
      </w:r>
      <w:r>
        <w:t xml:space="preserve"> </w:t>
      </w:r>
      <w:r w:rsidRPr="006503C8">
        <w:t>pour</w:t>
      </w:r>
      <w:r>
        <w:t xml:space="preserve"> </w:t>
      </w:r>
      <w:r w:rsidRPr="006503C8">
        <w:t>justifier</w:t>
      </w:r>
      <w:r>
        <w:t xml:space="preserve"> </w:t>
      </w:r>
      <w:r w:rsidRPr="006503C8">
        <w:t>la</w:t>
      </w:r>
      <w:r>
        <w:t xml:space="preserve"> </w:t>
      </w:r>
      <w:r w:rsidRPr="006503C8">
        <w:t>restriction</w:t>
      </w:r>
      <w:r>
        <w:t xml:space="preserve"> </w:t>
      </w:r>
      <w:r w:rsidRPr="006503C8">
        <w:t>imposée</w:t>
      </w:r>
      <w:r>
        <w:t xml:space="preserve"> </w:t>
      </w:r>
      <w:r w:rsidRPr="006503C8">
        <w:t>à</w:t>
      </w:r>
      <w:r>
        <w:t xml:space="preserve"> </w:t>
      </w:r>
      <w:r w:rsidRPr="006503C8">
        <w:t>son</w:t>
      </w:r>
      <w:r>
        <w:t xml:space="preserve"> </w:t>
      </w:r>
      <w:r w:rsidRPr="006503C8">
        <w:t>droit</w:t>
      </w:r>
      <w:r>
        <w:t xml:space="preserve"> </w:t>
      </w:r>
      <w:r w:rsidRPr="006503C8">
        <w:t>à</w:t>
      </w:r>
      <w:r>
        <w:t xml:space="preserve"> </w:t>
      </w:r>
      <w:r w:rsidRPr="006503C8">
        <w:t>la</w:t>
      </w:r>
      <w:r>
        <w:t xml:space="preserve"> </w:t>
      </w:r>
      <w:r w:rsidRPr="006503C8">
        <w:t>liberté</w:t>
      </w:r>
      <w:r>
        <w:t xml:space="preserve"> </w:t>
      </w:r>
      <w:r w:rsidRPr="006503C8">
        <w:t>d</w:t>
      </w:r>
      <w:r w:rsidR="00CA2931">
        <w:t>’</w:t>
      </w:r>
      <w:r w:rsidRPr="006503C8">
        <w:t>expression,</w:t>
      </w:r>
      <w:r>
        <w:t xml:space="preserve"> </w:t>
      </w:r>
      <w:r w:rsidRPr="006503C8">
        <w:t>une</w:t>
      </w:r>
      <w:r>
        <w:t xml:space="preserve"> </w:t>
      </w:r>
      <w:r w:rsidRPr="006503C8">
        <w:t>restriction</w:t>
      </w:r>
      <w:r>
        <w:t xml:space="preserve"> </w:t>
      </w:r>
      <w:r w:rsidRPr="006503C8">
        <w:t>qui</w:t>
      </w:r>
      <w:r>
        <w:t xml:space="preserve"> </w:t>
      </w:r>
      <w:r w:rsidRPr="006503C8">
        <w:t>semble</w:t>
      </w:r>
      <w:r>
        <w:t xml:space="preserve"> </w:t>
      </w:r>
      <w:r w:rsidRPr="006503C8">
        <w:t>disproportionnée</w:t>
      </w:r>
      <w:r>
        <w:t xml:space="preserve"> </w:t>
      </w:r>
      <w:r w:rsidRPr="006503C8">
        <w:t>et</w:t>
      </w:r>
      <w:r>
        <w:t xml:space="preserve"> </w:t>
      </w:r>
      <w:r w:rsidRPr="006503C8">
        <w:t>donc,</w:t>
      </w:r>
      <w:r>
        <w:t xml:space="preserve"> </w:t>
      </w:r>
      <w:r w:rsidRPr="006503C8">
        <w:t>non</w:t>
      </w:r>
      <w:r>
        <w:t xml:space="preserve"> </w:t>
      </w:r>
      <w:r w:rsidRPr="006503C8">
        <w:t>nécessaire.</w:t>
      </w:r>
      <w:r>
        <w:t xml:space="preserve"> </w:t>
      </w:r>
      <w:r w:rsidRPr="006503C8">
        <w:t>Par</w:t>
      </w:r>
      <w:r>
        <w:t xml:space="preserve"> </w:t>
      </w:r>
      <w:r w:rsidRPr="006503C8">
        <w:t>conséquent,</w:t>
      </w:r>
      <w:r>
        <w:t xml:space="preserve"> </w:t>
      </w:r>
      <w:r w:rsidRPr="006503C8">
        <w:t>l</w:t>
      </w:r>
      <w:r w:rsidR="00CA2931">
        <w:t>’</w:t>
      </w:r>
      <w:r w:rsidRPr="006503C8">
        <w:t>auteure</w:t>
      </w:r>
      <w:r>
        <w:t xml:space="preserve"> </w:t>
      </w:r>
      <w:r w:rsidRPr="006503C8">
        <w:t>soutient</w:t>
      </w:r>
      <w:r>
        <w:t xml:space="preserve"> </w:t>
      </w:r>
      <w:r w:rsidRPr="006503C8">
        <w:t>que</w:t>
      </w:r>
      <w:r>
        <w:t xml:space="preserve"> </w:t>
      </w:r>
      <w:r w:rsidRPr="006503C8">
        <w:t>l</w:t>
      </w:r>
      <w:r w:rsidR="00CA2931">
        <w:t>’</w:t>
      </w:r>
      <w:r w:rsidRPr="006503C8">
        <w:t>État</w:t>
      </w:r>
      <w:r>
        <w:t xml:space="preserve"> </w:t>
      </w:r>
      <w:r w:rsidRPr="006503C8">
        <w:t>partie</w:t>
      </w:r>
      <w:r>
        <w:t xml:space="preserve"> </w:t>
      </w:r>
      <w:r w:rsidRPr="006503C8">
        <w:t>a</w:t>
      </w:r>
      <w:r>
        <w:t xml:space="preserve"> </w:t>
      </w:r>
      <w:r w:rsidRPr="006503C8">
        <w:t>violé</w:t>
      </w:r>
      <w:r>
        <w:t xml:space="preserve"> </w:t>
      </w:r>
      <w:r w:rsidRPr="006503C8">
        <w:t>le</w:t>
      </w:r>
      <w:r>
        <w:t xml:space="preserve"> </w:t>
      </w:r>
      <w:r w:rsidRPr="006503C8">
        <w:t>droit</w:t>
      </w:r>
      <w:r>
        <w:t xml:space="preserve"> </w:t>
      </w:r>
      <w:r w:rsidRPr="006503C8">
        <w:t>qu</w:t>
      </w:r>
      <w:r w:rsidR="00CA2931">
        <w:t>’</w:t>
      </w:r>
      <w:r w:rsidRPr="006503C8">
        <w:t>elle</w:t>
      </w:r>
      <w:r>
        <w:t xml:space="preserve"> </w:t>
      </w:r>
      <w:r w:rsidRPr="006503C8">
        <w:t>tient</w:t>
      </w:r>
      <w:r>
        <w:t xml:space="preserve"> </w:t>
      </w:r>
      <w:r w:rsidRPr="006503C8">
        <w:t>du</w:t>
      </w:r>
      <w:r>
        <w:t xml:space="preserve"> </w:t>
      </w:r>
      <w:r w:rsidRPr="006503C8">
        <w:t>paragraphe</w:t>
      </w:r>
      <w:r>
        <w:t xml:space="preserve"> </w:t>
      </w:r>
      <w:r w:rsidRPr="006503C8">
        <w:t>2</w:t>
      </w:r>
      <w:r>
        <w:t xml:space="preserve"> </w:t>
      </w:r>
      <w:r w:rsidRPr="006503C8">
        <w:t>de</w:t>
      </w:r>
      <w:r>
        <w:t xml:space="preserve"> </w:t>
      </w:r>
      <w:r w:rsidRPr="006503C8">
        <w:t>l</w:t>
      </w:r>
      <w:r w:rsidR="00CA2931">
        <w:t>’</w:t>
      </w:r>
      <w:r w:rsidRPr="006503C8">
        <w:t>article</w:t>
      </w:r>
      <w:r>
        <w:t xml:space="preserve"> </w:t>
      </w:r>
      <w:r w:rsidRPr="006503C8">
        <w:t>19</w:t>
      </w:r>
      <w:r>
        <w:t xml:space="preserve"> </w:t>
      </w:r>
      <w:r w:rsidRPr="006503C8">
        <w:t>du</w:t>
      </w:r>
      <w:r>
        <w:t xml:space="preserve"> </w:t>
      </w:r>
      <w:r w:rsidRPr="006503C8">
        <w:t>Pacte.</w:t>
      </w:r>
    </w:p>
    <w:p w14:paraId="3DD8E00F" w14:textId="77777777" w:rsidR="00765853" w:rsidRPr="006503C8" w:rsidRDefault="00765853" w:rsidP="00C050FA">
      <w:pPr>
        <w:pStyle w:val="H23G"/>
      </w:pPr>
      <w:r w:rsidRPr="006503C8">
        <w:lastRenderedPageBreak/>
        <w:tab/>
      </w:r>
      <w:r w:rsidRPr="006503C8">
        <w:tab/>
        <w:t>Observations</w:t>
      </w:r>
      <w:r>
        <w:t xml:space="preserve"> </w:t>
      </w:r>
      <w:r w:rsidRPr="006503C8">
        <w:t>de</w:t>
      </w:r>
      <w:r>
        <w:t xml:space="preserve"> </w:t>
      </w:r>
      <w:r w:rsidRPr="006503C8">
        <w:t>l</w:t>
      </w:r>
      <w:r w:rsidR="00CA2931">
        <w:t>’</w:t>
      </w:r>
      <w:r w:rsidRPr="006503C8">
        <w:t>État</w:t>
      </w:r>
      <w:r>
        <w:t xml:space="preserve"> </w:t>
      </w:r>
      <w:r w:rsidRPr="006503C8">
        <w:t>partie</w:t>
      </w:r>
      <w:r>
        <w:t xml:space="preserve"> </w:t>
      </w:r>
      <w:r w:rsidRPr="006503C8">
        <w:t>sur</w:t>
      </w:r>
      <w:r>
        <w:t xml:space="preserve"> </w:t>
      </w:r>
      <w:r w:rsidRPr="006503C8">
        <w:t>la</w:t>
      </w:r>
      <w:r>
        <w:t xml:space="preserve"> </w:t>
      </w:r>
      <w:r w:rsidRPr="006503C8">
        <w:t>recevabilité</w:t>
      </w:r>
      <w:r w:rsidRPr="005A75C2">
        <w:rPr>
          <w:rStyle w:val="Appelnotedebasdep"/>
          <w:b w:val="0"/>
          <w:bCs/>
        </w:rPr>
        <w:footnoteReference w:id="8"/>
      </w:r>
    </w:p>
    <w:p w14:paraId="44186668" w14:textId="77777777" w:rsidR="00765853" w:rsidRPr="00634671" w:rsidRDefault="00765853" w:rsidP="00765853">
      <w:pPr>
        <w:pStyle w:val="SingleTxtG"/>
      </w:pPr>
      <w:r w:rsidRPr="006503C8">
        <w:t>4.1</w:t>
      </w:r>
      <w:r w:rsidRPr="006503C8">
        <w:tab/>
      </w:r>
      <w:r w:rsidRPr="00634671">
        <w:t>Dans une note verbale datée du 8 mars 2016, l</w:t>
      </w:r>
      <w:r w:rsidR="00CA2931">
        <w:t>’</w:t>
      </w:r>
      <w:r w:rsidRPr="00634671">
        <w:t>État partie demande au Comité de déclarer la communication irrecevable aux motifs que l</w:t>
      </w:r>
      <w:r w:rsidR="00CA2931">
        <w:t>’</w:t>
      </w:r>
      <w:r w:rsidRPr="00634671">
        <w:t>auteure n</w:t>
      </w:r>
      <w:r w:rsidR="00CA2931">
        <w:t>’</w:t>
      </w:r>
      <w:r w:rsidRPr="00634671">
        <w:t>a pas la qualité de victime, que les griefs n</w:t>
      </w:r>
      <w:r w:rsidR="00CA2931">
        <w:t>’</w:t>
      </w:r>
      <w:r w:rsidRPr="00634671">
        <w:t>ont pas été étayés et que la communication constitue un abus du droit de présenter des communications, conformément aux articles 1, 2 et 3, respectivement, du Protocole facultatif se rapportant au Pacte.</w:t>
      </w:r>
    </w:p>
    <w:p w14:paraId="771D7E24" w14:textId="77777777" w:rsidR="00765853" w:rsidRPr="003120CE" w:rsidRDefault="00765853" w:rsidP="00765853">
      <w:pPr>
        <w:pStyle w:val="SingleTxtG"/>
        <w:rPr>
          <w:spacing w:val="-1"/>
        </w:rPr>
      </w:pPr>
      <w:r w:rsidRPr="003120CE">
        <w:rPr>
          <w:spacing w:val="-1"/>
        </w:rPr>
        <w:t>4.2</w:t>
      </w:r>
      <w:r w:rsidRPr="003120CE">
        <w:rPr>
          <w:spacing w:val="-1"/>
        </w:rPr>
        <w:tab/>
        <w:t>S</w:t>
      </w:r>
      <w:r w:rsidR="00CA2931">
        <w:rPr>
          <w:spacing w:val="-1"/>
        </w:rPr>
        <w:t>’</w:t>
      </w:r>
      <w:r w:rsidRPr="003120CE">
        <w:rPr>
          <w:spacing w:val="-1"/>
        </w:rPr>
        <w:t>agissant des faits de l</w:t>
      </w:r>
      <w:r w:rsidR="00CA2931">
        <w:rPr>
          <w:spacing w:val="-1"/>
        </w:rPr>
        <w:t>’</w:t>
      </w:r>
      <w:r w:rsidRPr="003120CE">
        <w:rPr>
          <w:spacing w:val="-1"/>
        </w:rPr>
        <w:t>affaire, l</w:t>
      </w:r>
      <w:r w:rsidR="00CA2931">
        <w:rPr>
          <w:spacing w:val="-1"/>
        </w:rPr>
        <w:t>’</w:t>
      </w:r>
      <w:r w:rsidRPr="003120CE">
        <w:rPr>
          <w:spacing w:val="-1"/>
        </w:rPr>
        <w:t>État partie soutient que la procédure pénale engagée contre l</w:t>
      </w:r>
      <w:r w:rsidR="00CA2931">
        <w:rPr>
          <w:spacing w:val="-1"/>
        </w:rPr>
        <w:t>’</w:t>
      </w:r>
      <w:r w:rsidRPr="003120CE">
        <w:rPr>
          <w:spacing w:val="-1"/>
        </w:rPr>
        <w:t>auteure pour préparation d</w:t>
      </w:r>
      <w:r w:rsidR="00CA2931">
        <w:rPr>
          <w:spacing w:val="-1"/>
        </w:rPr>
        <w:t>’</w:t>
      </w:r>
      <w:r w:rsidRPr="003120CE">
        <w:rPr>
          <w:spacing w:val="-1"/>
        </w:rPr>
        <w:t>un acte terroriste, dans le cadre de laquelle l</w:t>
      </w:r>
      <w:r w:rsidR="00CA2931">
        <w:rPr>
          <w:spacing w:val="-1"/>
        </w:rPr>
        <w:t>’</w:t>
      </w:r>
      <w:r w:rsidRPr="003120CE">
        <w:rPr>
          <w:spacing w:val="-1"/>
        </w:rPr>
        <w:t>auteure a tenu les propos concernés, était largement suivie par le public. L</w:t>
      </w:r>
      <w:r w:rsidR="00CA2931">
        <w:rPr>
          <w:spacing w:val="-1"/>
        </w:rPr>
        <w:t>’</w:t>
      </w:r>
      <w:r w:rsidRPr="003120CE">
        <w:rPr>
          <w:spacing w:val="-1"/>
        </w:rPr>
        <w:t>interview en cause a été diffusée sur les chaînes de télévision commerciales les plus importantes à l</w:t>
      </w:r>
      <w:r w:rsidR="00CA2931">
        <w:rPr>
          <w:spacing w:val="-1"/>
        </w:rPr>
        <w:t>’</w:t>
      </w:r>
      <w:r w:rsidRPr="003120CE">
        <w:rPr>
          <w:spacing w:val="-1"/>
        </w:rPr>
        <w:t>époque. L</w:t>
      </w:r>
      <w:r w:rsidR="00CA2931">
        <w:rPr>
          <w:spacing w:val="-1"/>
        </w:rPr>
        <w:t>’</w:t>
      </w:r>
      <w:r w:rsidRPr="003120CE">
        <w:rPr>
          <w:spacing w:val="-1"/>
        </w:rPr>
        <w:t xml:space="preserve">État partie fait </w:t>
      </w:r>
      <w:r w:rsidRPr="00765853">
        <w:t>également</w:t>
      </w:r>
      <w:r>
        <w:rPr>
          <w:spacing w:val="-1"/>
        </w:rPr>
        <w:t xml:space="preserve"> </w:t>
      </w:r>
      <w:r w:rsidRPr="003120CE">
        <w:rPr>
          <w:spacing w:val="-1"/>
        </w:rPr>
        <w:t>valoir que, même si l</w:t>
      </w:r>
      <w:r w:rsidR="00CA2931">
        <w:rPr>
          <w:spacing w:val="-1"/>
        </w:rPr>
        <w:t>’</w:t>
      </w:r>
      <w:r w:rsidRPr="003120CE">
        <w:rPr>
          <w:spacing w:val="-1"/>
        </w:rPr>
        <w:t>auteure a été définitivement acquittée</w:t>
      </w:r>
      <w:r>
        <w:rPr>
          <w:spacing w:val="-1"/>
        </w:rPr>
        <w:t xml:space="preserve"> le 12 janvier 2016 par la Cour suprême</w:t>
      </w:r>
      <w:r w:rsidRPr="003120CE">
        <w:rPr>
          <w:spacing w:val="-1"/>
        </w:rPr>
        <w:t xml:space="preserve"> des chefs d</w:t>
      </w:r>
      <w:r w:rsidR="00CA2931">
        <w:rPr>
          <w:spacing w:val="-1"/>
        </w:rPr>
        <w:t>’</w:t>
      </w:r>
      <w:r w:rsidRPr="003120CE">
        <w:rPr>
          <w:spacing w:val="-1"/>
        </w:rPr>
        <w:t xml:space="preserve">accusation </w:t>
      </w:r>
      <w:r>
        <w:rPr>
          <w:spacing w:val="-1"/>
        </w:rPr>
        <w:t>portés contre elle</w:t>
      </w:r>
      <w:r w:rsidRPr="003120CE">
        <w:rPr>
          <w:spacing w:val="-1"/>
        </w:rPr>
        <w:t>, le 20 février 2011, elle avait été, en plus de la condamnation faisant l</w:t>
      </w:r>
      <w:r w:rsidR="00CA2931">
        <w:rPr>
          <w:spacing w:val="-1"/>
        </w:rPr>
        <w:t>’</w:t>
      </w:r>
      <w:r w:rsidRPr="003120CE">
        <w:rPr>
          <w:spacing w:val="-1"/>
        </w:rPr>
        <w:t xml:space="preserve">objet de la présente communication, </w:t>
      </w:r>
      <w:r>
        <w:rPr>
          <w:spacing w:val="-1"/>
        </w:rPr>
        <w:t>déclarée</w:t>
      </w:r>
      <w:r w:rsidRPr="003120CE">
        <w:rPr>
          <w:spacing w:val="-1"/>
        </w:rPr>
        <w:t xml:space="preserve"> coupable des infractions pénales visées aux articles</w:t>
      </w:r>
      <w:r>
        <w:rPr>
          <w:spacing w:val="-1"/>
        </w:rPr>
        <w:t> </w:t>
      </w:r>
      <w:r w:rsidRPr="003120CE">
        <w:rPr>
          <w:spacing w:val="-1"/>
        </w:rPr>
        <w:t>145 (menace de tuer ou de porter gravement atteinte à la santé d</w:t>
      </w:r>
      <w:r w:rsidR="00CA2931">
        <w:rPr>
          <w:spacing w:val="-1"/>
        </w:rPr>
        <w:t>’</w:t>
      </w:r>
      <w:r w:rsidRPr="003120CE">
        <w:rPr>
          <w:spacing w:val="-1"/>
        </w:rPr>
        <w:t>une personne ou terroriser une personne) et 290 (insulte à l</w:t>
      </w:r>
      <w:r w:rsidR="00CA2931">
        <w:rPr>
          <w:spacing w:val="-1"/>
        </w:rPr>
        <w:t>’</w:t>
      </w:r>
      <w:r w:rsidRPr="003120CE">
        <w:rPr>
          <w:spacing w:val="-1"/>
        </w:rPr>
        <w:t>encontre d</w:t>
      </w:r>
      <w:r w:rsidR="00CA2931">
        <w:rPr>
          <w:spacing w:val="-1"/>
        </w:rPr>
        <w:t>’</w:t>
      </w:r>
      <w:r w:rsidRPr="003120CE">
        <w:rPr>
          <w:spacing w:val="-1"/>
        </w:rPr>
        <w:t>un fonctionnaire ou d</w:t>
      </w:r>
      <w:r w:rsidR="00CA2931">
        <w:rPr>
          <w:spacing w:val="-1"/>
        </w:rPr>
        <w:t>’</w:t>
      </w:r>
      <w:r w:rsidRPr="003120CE">
        <w:rPr>
          <w:spacing w:val="-1"/>
        </w:rPr>
        <w:t>une personne exerçant une fonction d</w:t>
      </w:r>
      <w:r w:rsidR="00CA2931">
        <w:rPr>
          <w:spacing w:val="-1"/>
        </w:rPr>
        <w:t>’</w:t>
      </w:r>
      <w:r w:rsidRPr="003120CE">
        <w:rPr>
          <w:spacing w:val="-1"/>
        </w:rPr>
        <w:t>administration publique) du Code pénal lituanien. Il avait été établi que l</w:t>
      </w:r>
      <w:r w:rsidR="00CA2931">
        <w:rPr>
          <w:spacing w:val="-1"/>
        </w:rPr>
        <w:t>’</w:t>
      </w:r>
      <w:r w:rsidRPr="003120CE">
        <w:rPr>
          <w:spacing w:val="-1"/>
        </w:rPr>
        <w:t>auteure avait envoyé au procureur J. L. plusieurs SMS dans lesquels elle menaçait de porter atteinte à son intégrité physique. Le 8 mai 2013, l</w:t>
      </w:r>
      <w:r w:rsidR="00CA2931">
        <w:rPr>
          <w:spacing w:val="-1"/>
        </w:rPr>
        <w:t>’</w:t>
      </w:r>
      <w:r w:rsidRPr="003120CE">
        <w:rPr>
          <w:spacing w:val="-1"/>
        </w:rPr>
        <w:t>auteure a</w:t>
      </w:r>
      <w:r>
        <w:rPr>
          <w:spacing w:val="-1"/>
        </w:rPr>
        <w:t>vait</w:t>
      </w:r>
      <w:r w:rsidRPr="003120CE">
        <w:rPr>
          <w:spacing w:val="-1"/>
        </w:rPr>
        <w:t xml:space="preserve"> aussi été </w:t>
      </w:r>
      <w:r>
        <w:rPr>
          <w:spacing w:val="-1"/>
        </w:rPr>
        <w:t>déclarée</w:t>
      </w:r>
      <w:r w:rsidRPr="003120CE">
        <w:rPr>
          <w:spacing w:val="-1"/>
        </w:rPr>
        <w:t xml:space="preserve"> coupable</w:t>
      </w:r>
      <w:r>
        <w:rPr>
          <w:spacing w:val="-1"/>
        </w:rPr>
        <w:t>,</w:t>
      </w:r>
      <w:r w:rsidRPr="003120CE">
        <w:rPr>
          <w:spacing w:val="-1"/>
        </w:rPr>
        <w:t xml:space="preserve"> au titre de l</w:t>
      </w:r>
      <w:r w:rsidR="00CA2931">
        <w:rPr>
          <w:spacing w:val="-1"/>
        </w:rPr>
        <w:t>’</w:t>
      </w:r>
      <w:r w:rsidRPr="003120CE">
        <w:rPr>
          <w:spacing w:val="-1"/>
        </w:rPr>
        <w:t>article 236 du Code pénal</w:t>
      </w:r>
      <w:r w:rsidR="00145441">
        <w:rPr>
          <w:spacing w:val="-1"/>
        </w:rPr>
        <w:t>,</w:t>
      </w:r>
      <w:r w:rsidRPr="003120CE">
        <w:rPr>
          <w:spacing w:val="-1"/>
        </w:rPr>
        <w:t xml:space="preserve"> d</w:t>
      </w:r>
      <w:r w:rsidR="00CA2931">
        <w:rPr>
          <w:spacing w:val="-1"/>
        </w:rPr>
        <w:t>’</w:t>
      </w:r>
      <w:r w:rsidRPr="003120CE">
        <w:rPr>
          <w:spacing w:val="-1"/>
        </w:rPr>
        <w:t>avoir fourni de fausses informations au sujet d</w:t>
      </w:r>
      <w:r w:rsidR="00CA2931">
        <w:rPr>
          <w:spacing w:val="-1"/>
        </w:rPr>
        <w:t>’</w:t>
      </w:r>
      <w:r w:rsidRPr="003120CE">
        <w:rPr>
          <w:spacing w:val="-1"/>
        </w:rPr>
        <w:t>infractions que plusieurs fonctionnaires de l</w:t>
      </w:r>
      <w:r w:rsidR="00CA2931">
        <w:rPr>
          <w:spacing w:val="-1"/>
        </w:rPr>
        <w:t>’</w:t>
      </w:r>
      <w:r w:rsidRPr="003120CE">
        <w:rPr>
          <w:spacing w:val="-1"/>
        </w:rPr>
        <w:t xml:space="preserve">État, </w:t>
      </w:r>
      <w:r>
        <w:rPr>
          <w:spacing w:val="-1"/>
        </w:rPr>
        <w:t>dont</w:t>
      </w:r>
      <w:r w:rsidRPr="003120CE">
        <w:rPr>
          <w:spacing w:val="-1"/>
        </w:rPr>
        <w:t xml:space="preserve"> le procureur J. L., auraient commises contre elle.</w:t>
      </w:r>
    </w:p>
    <w:p w14:paraId="417D2D87" w14:textId="77777777" w:rsidR="00765853" w:rsidRPr="006503C8" w:rsidRDefault="00765853" w:rsidP="00765853">
      <w:pPr>
        <w:pStyle w:val="SingleTxtG"/>
      </w:pPr>
      <w:r w:rsidRPr="006503C8">
        <w:t>4.3</w:t>
      </w:r>
      <w:r w:rsidRPr="006503C8">
        <w:tab/>
        <w:t>S</w:t>
      </w:r>
      <w:r w:rsidR="00CA2931">
        <w:t>’</w:t>
      </w:r>
      <w:r w:rsidRPr="006503C8">
        <w:t>agissant</w:t>
      </w:r>
      <w:r>
        <w:t xml:space="preserve"> </w:t>
      </w:r>
      <w:r w:rsidRPr="006503C8">
        <w:t>de</w:t>
      </w:r>
      <w:r>
        <w:t xml:space="preserve"> </w:t>
      </w:r>
      <w:r w:rsidRPr="006503C8">
        <w:t>la</w:t>
      </w:r>
      <w:r>
        <w:t xml:space="preserve"> </w:t>
      </w:r>
      <w:r w:rsidRPr="006503C8">
        <w:t>recevabilité</w:t>
      </w:r>
      <w:r>
        <w:t xml:space="preserve"> </w:t>
      </w:r>
      <w:r w:rsidRPr="006503C8">
        <w:t>de</w:t>
      </w:r>
      <w:r>
        <w:t xml:space="preserve"> </w:t>
      </w:r>
      <w:r w:rsidRPr="006503C8">
        <w:t>la</w:t>
      </w:r>
      <w:r>
        <w:t xml:space="preserve"> </w:t>
      </w:r>
      <w:r w:rsidRPr="006503C8">
        <w:t>plainte</w:t>
      </w:r>
      <w:r>
        <w:t xml:space="preserve"> </w:t>
      </w:r>
      <w:r w:rsidRPr="006503C8">
        <w:t>au</w:t>
      </w:r>
      <w:r>
        <w:t xml:space="preserve"> </w:t>
      </w:r>
      <w:r w:rsidRPr="006503C8">
        <w:t>regard</w:t>
      </w:r>
      <w:r>
        <w:t xml:space="preserve"> </w:t>
      </w:r>
      <w:r w:rsidRPr="006503C8">
        <w:t>de</w:t>
      </w:r>
      <w:r>
        <w:t xml:space="preserve"> </w:t>
      </w:r>
      <w:r w:rsidRPr="006503C8">
        <w:t>l</w:t>
      </w:r>
      <w:r w:rsidR="00CA2931">
        <w:t>’</w:t>
      </w:r>
      <w:r w:rsidRPr="006503C8">
        <w:t>absence</w:t>
      </w:r>
      <w:r>
        <w:t xml:space="preserve"> </w:t>
      </w:r>
      <w:r w:rsidRPr="006503C8">
        <w:t>alléguée</w:t>
      </w:r>
      <w:r>
        <w:t xml:space="preserve"> </w:t>
      </w:r>
      <w:r w:rsidRPr="006503C8">
        <w:t>de</w:t>
      </w:r>
      <w:r>
        <w:t xml:space="preserve"> </w:t>
      </w:r>
      <w:r w:rsidRPr="006503C8">
        <w:t>la</w:t>
      </w:r>
      <w:r>
        <w:t xml:space="preserve"> </w:t>
      </w:r>
      <w:r w:rsidRPr="006503C8">
        <w:t>qualité</w:t>
      </w:r>
      <w:r>
        <w:t xml:space="preserve"> </w:t>
      </w:r>
      <w:r w:rsidRPr="006503C8">
        <w:t>de</w:t>
      </w:r>
      <w:r>
        <w:t xml:space="preserve"> </w:t>
      </w:r>
      <w:r w:rsidRPr="006503C8">
        <w:t>victime,</w:t>
      </w:r>
      <w:r>
        <w:t xml:space="preserve"> </w:t>
      </w:r>
      <w:r w:rsidRPr="006503C8">
        <w:t>l</w:t>
      </w:r>
      <w:r w:rsidR="00CA2931">
        <w:t>’</w:t>
      </w:r>
      <w:r w:rsidRPr="006503C8">
        <w:t>État</w:t>
      </w:r>
      <w:r>
        <w:t xml:space="preserve"> </w:t>
      </w:r>
      <w:r w:rsidRPr="006503C8">
        <w:t>partie</w:t>
      </w:r>
      <w:r>
        <w:t xml:space="preserve"> </w:t>
      </w:r>
      <w:r w:rsidRPr="006503C8">
        <w:t>soutient</w:t>
      </w:r>
      <w:r>
        <w:t xml:space="preserve"> </w:t>
      </w:r>
      <w:r w:rsidRPr="006503C8">
        <w:t>que</w:t>
      </w:r>
      <w:r>
        <w:t xml:space="preserve"> </w:t>
      </w:r>
      <w:r w:rsidRPr="006503C8">
        <w:t>l</w:t>
      </w:r>
      <w:r w:rsidR="00CA2931">
        <w:t>’</w:t>
      </w:r>
      <w:r w:rsidRPr="006503C8">
        <w:t>auteure,</w:t>
      </w:r>
      <w:r>
        <w:t xml:space="preserve"> </w:t>
      </w:r>
      <w:r w:rsidRPr="006503C8">
        <w:t>plutôt</w:t>
      </w:r>
      <w:r>
        <w:t xml:space="preserve"> </w:t>
      </w:r>
      <w:r w:rsidRPr="006503C8">
        <w:t>que</w:t>
      </w:r>
      <w:r>
        <w:t xml:space="preserve"> </w:t>
      </w:r>
      <w:r w:rsidRPr="006503C8">
        <w:t>de</w:t>
      </w:r>
      <w:r>
        <w:t xml:space="preserve"> </w:t>
      </w:r>
      <w:r w:rsidRPr="006503C8">
        <w:t>contester</w:t>
      </w:r>
      <w:r>
        <w:t xml:space="preserve"> </w:t>
      </w:r>
      <w:r w:rsidRPr="006503C8">
        <w:t>sa</w:t>
      </w:r>
      <w:r>
        <w:t xml:space="preserve"> </w:t>
      </w:r>
      <w:r w:rsidRPr="006503C8">
        <w:t>condamnation</w:t>
      </w:r>
      <w:r>
        <w:t xml:space="preserve"> </w:t>
      </w:r>
      <w:r w:rsidRPr="006503C8">
        <w:t>au</w:t>
      </w:r>
      <w:r>
        <w:t xml:space="preserve"> </w:t>
      </w:r>
      <w:r w:rsidRPr="006503C8">
        <w:t>motif</w:t>
      </w:r>
      <w:r>
        <w:t xml:space="preserve"> </w:t>
      </w:r>
      <w:r w:rsidRPr="006503C8">
        <w:t>qu</w:t>
      </w:r>
      <w:r w:rsidR="00CA2931">
        <w:t>’</w:t>
      </w:r>
      <w:r w:rsidRPr="006503C8">
        <w:t>elle</w:t>
      </w:r>
      <w:r>
        <w:t xml:space="preserve"> </w:t>
      </w:r>
      <w:r w:rsidRPr="006503C8">
        <w:t>est</w:t>
      </w:r>
      <w:r>
        <w:t xml:space="preserve"> </w:t>
      </w:r>
      <w:r w:rsidRPr="006503C8">
        <w:t>disproportionnée,</w:t>
      </w:r>
      <w:r>
        <w:t xml:space="preserve"> </w:t>
      </w:r>
      <w:r w:rsidRPr="006503C8">
        <w:t>semble</w:t>
      </w:r>
      <w:r>
        <w:t xml:space="preserve"> </w:t>
      </w:r>
      <w:r w:rsidRPr="006503C8">
        <w:t>contester,</w:t>
      </w:r>
      <w:r>
        <w:t xml:space="preserve"> </w:t>
      </w:r>
      <w:r w:rsidRPr="006503C8">
        <w:t>dans</w:t>
      </w:r>
      <w:r>
        <w:t xml:space="preserve"> </w:t>
      </w:r>
      <w:r w:rsidRPr="006503C8">
        <w:t>l</w:t>
      </w:r>
      <w:r w:rsidR="00CA2931">
        <w:t>’</w:t>
      </w:r>
      <w:r w:rsidRPr="006503C8">
        <w:t>abstrait,</w:t>
      </w:r>
      <w:r>
        <w:t xml:space="preserve"> </w:t>
      </w:r>
      <w:r w:rsidRPr="006503C8">
        <w:t>la</w:t>
      </w:r>
      <w:r>
        <w:t xml:space="preserve"> </w:t>
      </w:r>
      <w:r w:rsidRPr="006503C8">
        <w:t>compatibilité</w:t>
      </w:r>
      <w:r>
        <w:t xml:space="preserve"> </w:t>
      </w:r>
      <w:r w:rsidRPr="006503C8">
        <w:t>des</w:t>
      </w:r>
      <w:r>
        <w:t xml:space="preserve"> </w:t>
      </w:r>
      <w:r w:rsidRPr="006503C8">
        <w:t>dispositions</w:t>
      </w:r>
      <w:r>
        <w:t xml:space="preserve"> </w:t>
      </w:r>
      <w:r w:rsidRPr="006503C8">
        <w:t>pénales</w:t>
      </w:r>
      <w:r>
        <w:t xml:space="preserve"> </w:t>
      </w:r>
      <w:r w:rsidRPr="006503C8">
        <w:t>pertinentes</w:t>
      </w:r>
      <w:r>
        <w:t xml:space="preserve"> </w:t>
      </w:r>
      <w:r w:rsidRPr="006503C8">
        <w:t>avec</w:t>
      </w:r>
      <w:r>
        <w:t xml:space="preserve"> </w:t>
      </w:r>
      <w:r w:rsidRPr="006503C8">
        <w:t>le</w:t>
      </w:r>
      <w:r>
        <w:t xml:space="preserve"> </w:t>
      </w:r>
      <w:r w:rsidRPr="006503C8">
        <w:t>Pacte</w:t>
      </w:r>
      <w:r w:rsidRPr="00A47548">
        <w:rPr>
          <w:rStyle w:val="Appelnotedebasdep"/>
        </w:rPr>
        <w:footnoteReference w:id="9"/>
      </w:r>
      <w:r w:rsidRPr="006503C8">
        <w:t>.</w:t>
      </w:r>
      <w:r>
        <w:t xml:space="preserve"> </w:t>
      </w:r>
      <w:r w:rsidRPr="006503C8">
        <w:t>C</w:t>
      </w:r>
      <w:r w:rsidR="00CA2931">
        <w:t>’</w:t>
      </w:r>
      <w:r w:rsidRPr="006503C8">
        <w:t>est</w:t>
      </w:r>
      <w:r>
        <w:t xml:space="preserve"> </w:t>
      </w:r>
      <w:r w:rsidRPr="006503C8">
        <w:t>pourquoi,</w:t>
      </w:r>
      <w:r>
        <w:t xml:space="preserve"> </w:t>
      </w:r>
      <w:r w:rsidRPr="006503C8">
        <w:t>la</w:t>
      </w:r>
      <w:r>
        <w:t xml:space="preserve"> </w:t>
      </w:r>
      <w:r w:rsidRPr="006503C8">
        <w:t>plainte</w:t>
      </w:r>
      <w:r>
        <w:t xml:space="preserve"> </w:t>
      </w:r>
      <w:r w:rsidRPr="006503C8">
        <w:t>devrait</w:t>
      </w:r>
      <w:r>
        <w:t xml:space="preserve"> </w:t>
      </w:r>
      <w:r w:rsidRPr="006503C8">
        <w:t>être</w:t>
      </w:r>
      <w:r>
        <w:t xml:space="preserve"> </w:t>
      </w:r>
      <w:r w:rsidRPr="006503C8">
        <w:t>considérée</w:t>
      </w:r>
      <w:r>
        <w:t xml:space="preserve"> </w:t>
      </w:r>
      <w:r w:rsidRPr="006503C8">
        <w:t>comme</w:t>
      </w:r>
      <w:r>
        <w:t xml:space="preserve"> </w:t>
      </w:r>
      <w:r w:rsidRPr="006503C8">
        <w:t>une</w:t>
      </w:r>
      <w:r>
        <w:t xml:space="preserve"> </w:t>
      </w:r>
      <w:r w:rsidRPr="006503C8">
        <w:rPr>
          <w:i/>
        </w:rPr>
        <w:t>actio</w:t>
      </w:r>
      <w:r>
        <w:rPr>
          <w:i/>
        </w:rPr>
        <w:t xml:space="preserve"> </w:t>
      </w:r>
      <w:r w:rsidRPr="006503C8">
        <w:rPr>
          <w:i/>
        </w:rPr>
        <w:t>popularis</w:t>
      </w:r>
      <w:r>
        <w:t xml:space="preserve"> </w:t>
      </w:r>
      <w:r w:rsidRPr="006503C8">
        <w:t>et</w:t>
      </w:r>
      <w:r>
        <w:t xml:space="preserve"> </w:t>
      </w:r>
      <w:r w:rsidRPr="006503C8">
        <w:t>donc</w:t>
      </w:r>
      <w:r>
        <w:t xml:space="preserve"> </w:t>
      </w:r>
      <w:r w:rsidRPr="006503C8">
        <w:t>rejetée</w:t>
      </w:r>
      <w:r>
        <w:t xml:space="preserve"> </w:t>
      </w:r>
      <w:r w:rsidRPr="006503C8">
        <w:t>conformément</w:t>
      </w:r>
      <w:r>
        <w:t xml:space="preserve"> </w:t>
      </w:r>
      <w:r w:rsidRPr="006503C8">
        <w:t>à</w:t>
      </w:r>
      <w:r>
        <w:t xml:space="preserve"> </w:t>
      </w:r>
      <w:r w:rsidRPr="006503C8">
        <w:t>l</w:t>
      </w:r>
      <w:r w:rsidR="00CA2931">
        <w:t>’</w:t>
      </w:r>
      <w:r w:rsidRPr="006503C8">
        <w:t>article</w:t>
      </w:r>
      <w:r>
        <w:t xml:space="preserve"> </w:t>
      </w:r>
      <w:r w:rsidRPr="006503C8">
        <w:t>premier</w:t>
      </w:r>
      <w:r>
        <w:t xml:space="preserve"> </w:t>
      </w:r>
      <w:r w:rsidRPr="006503C8">
        <w:t>du</w:t>
      </w:r>
      <w:r>
        <w:t xml:space="preserve"> </w:t>
      </w:r>
      <w:r w:rsidRPr="006503C8">
        <w:t>Protocole</w:t>
      </w:r>
      <w:r>
        <w:t xml:space="preserve"> </w:t>
      </w:r>
      <w:r w:rsidRPr="006503C8">
        <w:t>facultatif.</w:t>
      </w:r>
      <w:r>
        <w:t xml:space="preserve"> </w:t>
      </w:r>
      <w:r w:rsidRPr="006503C8">
        <w:t>S</w:t>
      </w:r>
      <w:r w:rsidR="00CA2931">
        <w:t>’</w:t>
      </w:r>
      <w:r w:rsidRPr="006503C8">
        <w:t>appuyant</w:t>
      </w:r>
      <w:r>
        <w:t xml:space="preserve"> </w:t>
      </w:r>
      <w:r w:rsidRPr="006503C8">
        <w:t>sur</w:t>
      </w:r>
      <w:r>
        <w:t xml:space="preserve"> </w:t>
      </w:r>
      <w:r w:rsidRPr="006503C8">
        <w:t>la</w:t>
      </w:r>
      <w:r>
        <w:t xml:space="preserve"> </w:t>
      </w:r>
      <w:r w:rsidRPr="006503C8">
        <w:t>jurisprudence</w:t>
      </w:r>
      <w:r>
        <w:t xml:space="preserve"> </w:t>
      </w:r>
      <w:r w:rsidRPr="006503C8">
        <w:t>constante</w:t>
      </w:r>
      <w:r>
        <w:t xml:space="preserve"> </w:t>
      </w:r>
      <w:r w:rsidRPr="006503C8">
        <w:t>des</w:t>
      </w:r>
      <w:r>
        <w:t xml:space="preserve"> </w:t>
      </w:r>
      <w:r w:rsidRPr="006503C8">
        <w:t>juridictions</w:t>
      </w:r>
      <w:r>
        <w:t xml:space="preserve"> </w:t>
      </w:r>
      <w:r w:rsidRPr="006503C8">
        <w:t>nationales</w:t>
      </w:r>
      <w:r>
        <w:t xml:space="preserve"> </w:t>
      </w:r>
      <w:r w:rsidRPr="006503C8">
        <w:t>et</w:t>
      </w:r>
      <w:r>
        <w:t xml:space="preserve"> </w:t>
      </w:r>
      <w:r w:rsidRPr="006503C8">
        <w:t>sur</w:t>
      </w:r>
      <w:r>
        <w:t xml:space="preserve"> </w:t>
      </w:r>
      <w:r w:rsidRPr="006503C8">
        <w:t>le</w:t>
      </w:r>
      <w:r>
        <w:t xml:space="preserve"> </w:t>
      </w:r>
      <w:r w:rsidRPr="006503C8">
        <w:t>Commentaire</w:t>
      </w:r>
      <w:r>
        <w:t xml:space="preserve"> </w:t>
      </w:r>
      <w:r w:rsidRPr="006503C8">
        <w:t>du</w:t>
      </w:r>
      <w:r>
        <w:t xml:space="preserve"> </w:t>
      </w:r>
      <w:r w:rsidRPr="006503C8">
        <w:t>Code</w:t>
      </w:r>
      <w:r>
        <w:t xml:space="preserve"> </w:t>
      </w:r>
      <w:r w:rsidRPr="006503C8">
        <w:t>pénal</w:t>
      </w:r>
      <w:r>
        <w:t xml:space="preserve"> </w:t>
      </w:r>
      <w:r w:rsidRPr="006503C8">
        <w:t>lituanien,</w:t>
      </w:r>
      <w:r>
        <w:t xml:space="preserve"> </w:t>
      </w:r>
      <w:r w:rsidRPr="006503C8">
        <w:t>l</w:t>
      </w:r>
      <w:r w:rsidR="00CA2931">
        <w:t>’</w:t>
      </w:r>
      <w:r w:rsidRPr="006503C8">
        <w:t>État</w:t>
      </w:r>
      <w:r>
        <w:t xml:space="preserve"> </w:t>
      </w:r>
      <w:r w:rsidRPr="006503C8">
        <w:t>partie</w:t>
      </w:r>
      <w:r>
        <w:t xml:space="preserve"> </w:t>
      </w:r>
      <w:r w:rsidRPr="006503C8">
        <w:t>soutient</w:t>
      </w:r>
      <w:r>
        <w:t xml:space="preserve"> </w:t>
      </w:r>
      <w:r w:rsidRPr="006503C8">
        <w:t>que</w:t>
      </w:r>
      <w:r>
        <w:t xml:space="preserve"> l</w:t>
      </w:r>
      <w:r w:rsidR="00CA2931">
        <w:t>’</w:t>
      </w:r>
      <w:r>
        <w:t xml:space="preserve">article 290 </w:t>
      </w:r>
      <w:r w:rsidRPr="006503C8">
        <w:t>s</w:t>
      </w:r>
      <w:r w:rsidR="00CA2931">
        <w:t>’</w:t>
      </w:r>
      <w:r w:rsidRPr="006503C8">
        <w:t>applique</w:t>
      </w:r>
      <w:r>
        <w:t xml:space="preserve"> </w:t>
      </w:r>
      <w:r w:rsidRPr="006503C8">
        <w:t>à</w:t>
      </w:r>
      <w:r>
        <w:t xml:space="preserve"> </w:t>
      </w:r>
      <w:r w:rsidRPr="006503C8">
        <w:t>toutes</w:t>
      </w:r>
      <w:r>
        <w:t xml:space="preserve"> </w:t>
      </w:r>
      <w:r w:rsidRPr="006503C8">
        <w:t>les</w:t>
      </w:r>
      <w:r>
        <w:t xml:space="preserve"> </w:t>
      </w:r>
      <w:r w:rsidRPr="006503C8">
        <w:t>personnes</w:t>
      </w:r>
      <w:r>
        <w:t xml:space="preserve"> </w:t>
      </w:r>
      <w:r w:rsidRPr="006503C8">
        <w:t>qui</w:t>
      </w:r>
      <w:r>
        <w:t xml:space="preserve"> </w:t>
      </w:r>
      <w:r w:rsidRPr="006503C8">
        <w:t>exercent</w:t>
      </w:r>
      <w:r>
        <w:t xml:space="preserve"> </w:t>
      </w:r>
      <w:r w:rsidRPr="006503C8">
        <w:t>des</w:t>
      </w:r>
      <w:r>
        <w:t xml:space="preserve"> </w:t>
      </w:r>
      <w:r w:rsidRPr="006503C8">
        <w:t>fonctions</w:t>
      </w:r>
      <w:r>
        <w:t xml:space="preserve"> </w:t>
      </w:r>
      <w:r w:rsidRPr="006503C8">
        <w:t>publiques,</w:t>
      </w:r>
      <w:r>
        <w:t xml:space="preserve"> </w:t>
      </w:r>
      <w:r w:rsidRPr="006503C8">
        <w:t>y</w:t>
      </w:r>
      <w:r w:rsidR="00145441">
        <w:t> </w:t>
      </w:r>
      <w:r w:rsidRPr="006503C8">
        <w:t>compris</w:t>
      </w:r>
      <w:r>
        <w:t xml:space="preserve"> </w:t>
      </w:r>
      <w:r w:rsidRPr="006503C8">
        <w:t>aux</w:t>
      </w:r>
      <w:r>
        <w:t xml:space="preserve"> </w:t>
      </w:r>
      <w:r w:rsidRPr="006503C8">
        <w:t>procureurs,</w:t>
      </w:r>
      <w:r>
        <w:t xml:space="preserve"> </w:t>
      </w:r>
      <w:r w:rsidRPr="006503C8">
        <w:t>à</w:t>
      </w:r>
      <w:r>
        <w:t xml:space="preserve"> </w:t>
      </w:r>
      <w:r w:rsidRPr="006503C8">
        <w:t>la</w:t>
      </w:r>
      <w:r>
        <w:t xml:space="preserve"> </w:t>
      </w:r>
      <w:r w:rsidRPr="006503C8">
        <w:t>seule</w:t>
      </w:r>
      <w:r>
        <w:t xml:space="preserve"> </w:t>
      </w:r>
      <w:r w:rsidRPr="006503C8">
        <w:t>exception</w:t>
      </w:r>
      <w:r>
        <w:t xml:space="preserve"> </w:t>
      </w:r>
      <w:r w:rsidRPr="006503C8">
        <w:t>de</w:t>
      </w:r>
      <w:r>
        <w:t xml:space="preserve"> </w:t>
      </w:r>
      <w:r w:rsidRPr="006503C8">
        <w:t>certains</w:t>
      </w:r>
      <w:r>
        <w:t xml:space="preserve"> </w:t>
      </w:r>
      <w:r w:rsidRPr="006503C8">
        <w:t>groupes</w:t>
      </w:r>
      <w:r>
        <w:t xml:space="preserve"> </w:t>
      </w:r>
      <w:r w:rsidRPr="006503C8">
        <w:t>de</w:t>
      </w:r>
      <w:r>
        <w:t xml:space="preserve"> </w:t>
      </w:r>
      <w:r w:rsidRPr="006503C8">
        <w:t>personnes</w:t>
      </w:r>
      <w:r>
        <w:t xml:space="preserve"> </w:t>
      </w:r>
      <w:r w:rsidRPr="006503C8">
        <w:t>qui</w:t>
      </w:r>
      <w:r>
        <w:t xml:space="preserve"> </w:t>
      </w:r>
      <w:r w:rsidRPr="006503C8">
        <w:t>bénéficient</w:t>
      </w:r>
      <w:r>
        <w:t xml:space="preserve"> </w:t>
      </w:r>
      <w:r w:rsidRPr="006503C8">
        <w:t>d</w:t>
      </w:r>
      <w:r w:rsidR="00CA2931">
        <w:t>’</w:t>
      </w:r>
      <w:r w:rsidRPr="006503C8">
        <w:t>une</w:t>
      </w:r>
      <w:r>
        <w:t xml:space="preserve"> </w:t>
      </w:r>
      <w:r w:rsidRPr="006503C8">
        <w:t>protection</w:t>
      </w:r>
      <w:r>
        <w:t xml:space="preserve"> </w:t>
      </w:r>
      <w:r w:rsidRPr="006503C8">
        <w:t>au</w:t>
      </w:r>
      <w:r>
        <w:t xml:space="preserve"> </w:t>
      </w:r>
      <w:r w:rsidRPr="006503C8">
        <w:t>titre</w:t>
      </w:r>
      <w:r>
        <w:t xml:space="preserve"> </w:t>
      </w:r>
      <w:r w:rsidRPr="006503C8">
        <w:t>d</w:t>
      </w:r>
      <w:r w:rsidR="00CA2931">
        <w:t>’</w:t>
      </w:r>
      <w:r w:rsidRPr="006503C8">
        <w:t>autres</w:t>
      </w:r>
      <w:r>
        <w:t xml:space="preserve"> </w:t>
      </w:r>
      <w:r w:rsidRPr="006503C8">
        <w:t>articles</w:t>
      </w:r>
      <w:r>
        <w:t xml:space="preserve"> </w:t>
      </w:r>
      <w:r w:rsidRPr="006503C8">
        <w:t>du</w:t>
      </w:r>
      <w:r>
        <w:t xml:space="preserve"> </w:t>
      </w:r>
      <w:r w:rsidRPr="006503C8">
        <w:t>Code</w:t>
      </w:r>
      <w:r>
        <w:t xml:space="preserve"> </w:t>
      </w:r>
      <w:r w:rsidRPr="006503C8">
        <w:t>pénal</w:t>
      </w:r>
      <w:r w:rsidRPr="00A47548">
        <w:rPr>
          <w:rStyle w:val="Appelnotedebasdep"/>
        </w:rPr>
        <w:footnoteReference w:id="10"/>
      </w:r>
      <w:r w:rsidRPr="006503C8">
        <w:t>.</w:t>
      </w:r>
      <w:r>
        <w:t xml:space="preserve"> </w:t>
      </w:r>
      <w:r w:rsidRPr="006503C8">
        <w:t>L</w:t>
      </w:r>
      <w:r w:rsidR="00CA2931">
        <w:t>’</w:t>
      </w:r>
      <w:r w:rsidRPr="006503C8">
        <w:t>État</w:t>
      </w:r>
      <w:r>
        <w:t xml:space="preserve"> </w:t>
      </w:r>
      <w:r w:rsidRPr="006503C8">
        <w:t>partie</w:t>
      </w:r>
      <w:r>
        <w:t xml:space="preserve"> </w:t>
      </w:r>
      <w:r w:rsidRPr="006503C8">
        <w:t>fait</w:t>
      </w:r>
      <w:r>
        <w:t xml:space="preserve"> </w:t>
      </w:r>
      <w:r w:rsidRPr="006503C8">
        <w:t>observer</w:t>
      </w:r>
      <w:r>
        <w:t xml:space="preserve"> </w:t>
      </w:r>
      <w:r w:rsidRPr="006503C8">
        <w:t>que</w:t>
      </w:r>
      <w:r>
        <w:t xml:space="preserve"> </w:t>
      </w:r>
      <w:r w:rsidRPr="006503C8">
        <w:t>la</w:t>
      </w:r>
      <w:r>
        <w:t xml:space="preserve"> </w:t>
      </w:r>
      <w:r w:rsidRPr="006503C8">
        <w:t>Cour</w:t>
      </w:r>
      <w:r>
        <w:t xml:space="preserve"> </w:t>
      </w:r>
      <w:r w:rsidRPr="006503C8">
        <w:t>suprême</w:t>
      </w:r>
      <w:r>
        <w:t xml:space="preserve"> </w:t>
      </w:r>
      <w:r w:rsidRPr="006503C8">
        <w:t>a</w:t>
      </w:r>
      <w:r>
        <w:t xml:space="preserve"> </w:t>
      </w:r>
      <w:r w:rsidRPr="006503C8">
        <w:t>examiné</w:t>
      </w:r>
      <w:r>
        <w:t xml:space="preserve"> </w:t>
      </w:r>
      <w:r w:rsidRPr="006503C8">
        <w:t>l</w:t>
      </w:r>
      <w:r w:rsidR="00CA2931">
        <w:t>’</w:t>
      </w:r>
      <w:r w:rsidRPr="006503C8">
        <w:t>argument</w:t>
      </w:r>
      <w:r>
        <w:t xml:space="preserve"> </w:t>
      </w:r>
      <w:r w:rsidRPr="006503C8">
        <w:t>de</w:t>
      </w:r>
      <w:r>
        <w:t xml:space="preserve"> </w:t>
      </w:r>
      <w:r w:rsidRPr="006503C8">
        <w:t>l</w:t>
      </w:r>
      <w:r w:rsidR="00CA2931">
        <w:t>’</w:t>
      </w:r>
      <w:r w:rsidRPr="006503C8">
        <w:t>auteure</w:t>
      </w:r>
      <w:r>
        <w:t xml:space="preserve"> </w:t>
      </w:r>
      <w:r w:rsidRPr="006503C8">
        <w:t>sur</w:t>
      </w:r>
      <w:r>
        <w:t xml:space="preserve"> </w:t>
      </w:r>
      <w:r w:rsidRPr="006503C8">
        <w:t>ce</w:t>
      </w:r>
      <w:r>
        <w:t xml:space="preserve"> </w:t>
      </w:r>
      <w:r w:rsidRPr="006503C8">
        <w:t>point</w:t>
      </w:r>
      <w:r>
        <w:t xml:space="preserve"> </w:t>
      </w:r>
      <w:r w:rsidRPr="006503C8">
        <w:t>et</w:t>
      </w:r>
      <w:r>
        <w:t xml:space="preserve"> </w:t>
      </w:r>
      <w:r w:rsidRPr="006503C8">
        <w:t>a</w:t>
      </w:r>
      <w:r>
        <w:t xml:space="preserve"> </w:t>
      </w:r>
      <w:r w:rsidRPr="006503C8">
        <w:t>conclu</w:t>
      </w:r>
      <w:r>
        <w:t xml:space="preserve"> </w:t>
      </w:r>
      <w:r w:rsidRPr="006503C8">
        <w:t>que</w:t>
      </w:r>
      <w:r>
        <w:t xml:space="preserve"> </w:t>
      </w:r>
      <w:r w:rsidRPr="006503C8">
        <w:t>la</w:t>
      </w:r>
      <w:r>
        <w:t xml:space="preserve"> </w:t>
      </w:r>
      <w:r w:rsidRPr="006503C8">
        <w:t>disposition</w:t>
      </w:r>
      <w:r>
        <w:t xml:space="preserve"> </w:t>
      </w:r>
      <w:r w:rsidRPr="006503C8">
        <w:t>visée</w:t>
      </w:r>
      <w:r>
        <w:t xml:space="preserve"> </w:t>
      </w:r>
      <w:r w:rsidRPr="006503C8">
        <w:t>ne</w:t>
      </w:r>
      <w:r>
        <w:t xml:space="preserve"> </w:t>
      </w:r>
      <w:r w:rsidRPr="006503C8">
        <w:t>devait</w:t>
      </w:r>
      <w:r>
        <w:t xml:space="preserve"> </w:t>
      </w:r>
      <w:r w:rsidRPr="006503C8">
        <w:t>pas</w:t>
      </w:r>
      <w:r>
        <w:t xml:space="preserve"> </w:t>
      </w:r>
      <w:r w:rsidRPr="006503C8">
        <w:t>être</w:t>
      </w:r>
      <w:r>
        <w:t xml:space="preserve"> </w:t>
      </w:r>
      <w:r w:rsidRPr="006503C8">
        <w:t>interprétée</w:t>
      </w:r>
      <w:r>
        <w:t xml:space="preserve"> </w:t>
      </w:r>
      <w:r w:rsidRPr="006503C8">
        <w:t>de</w:t>
      </w:r>
      <w:r>
        <w:t xml:space="preserve"> </w:t>
      </w:r>
      <w:r w:rsidRPr="006503C8">
        <w:t>manière</w:t>
      </w:r>
      <w:r>
        <w:t xml:space="preserve"> </w:t>
      </w:r>
      <w:r w:rsidRPr="006503C8">
        <w:t>isolée,</w:t>
      </w:r>
      <w:r>
        <w:t xml:space="preserve"> </w:t>
      </w:r>
      <w:r w:rsidRPr="006503C8">
        <w:t>mais</w:t>
      </w:r>
      <w:r>
        <w:t xml:space="preserve"> </w:t>
      </w:r>
      <w:r w:rsidRPr="006503C8">
        <w:t>compte</w:t>
      </w:r>
      <w:r>
        <w:t xml:space="preserve"> </w:t>
      </w:r>
      <w:r w:rsidRPr="006503C8">
        <w:t>tenu</w:t>
      </w:r>
      <w:r>
        <w:t xml:space="preserve"> </w:t>
      </w:r>
      <w:r w:rsidRPr="006503C8">
        <w:t>de</w:t>
      </w:r>
      <w:r>
        <w:t xml:space="preserve"> </w:t>
      </w:r>
      <w:r w:rsidRPr="006503C8">
        <w:t>l</w:t>
      </w:r>
      <w:r w:rsidR="00CA2931">
        <w:t>’</w:t>
      </w:r>
      <w:r w:rsidRPr="006503C8">
        <w:t>intention</w:t>
      </w:r>
      <w:r>
        <w:t xml:space="preserve"> </w:t>
      </w:r>
      <w:r w:rsidRPr="006503C8">
        <w:t>du</w:t>
      </w:r>
      <w:r>
        <w:t xml:space="preserve"> </w:t>
      </w:r>
      <w:r w:rsidRPr="006503C8">
        <w:t>législateur,</w:t>
      </w:r>
      <w:r>
        <w:t xml:space="preserve"> </w:t>
      </w:r>
      <w:r w:rsidRPr="006503C8">
        <w:t>du</w:t>
      </w:r>
      <w:r>
        <w:t xml:space="preserve"> </w:t>
      </w:r>
      <w:r w:rsidRPr="006503C8">
        <w:t>système</w:t>
      </w:r>
      <w:r>
        <w:t xml:space="preserve"> </w:t>
      </w:r>
      <w:r w:rsidRPr="006503C8">
        <w:t>juridique</w:t>
      </w:r>
      <w:r>
        <w:t xml:space="preserve"> </w:t>
      </w:r>
      <w:r w:rsidRPr="006503C8">
        <w:t>dans</w:t>
      </w:r>
      <w:r>
        <w:t xml:space="preserve"> </w:t>
      </w:r>
      <w:r w:rsidRPr="006503C8">
        <w:t>son</w:t>
      </w:r>
      <w:r>
        <w:t xml:space="preserve"> </w:t>
      </w:r>
      <w:r w:rsidRPr="006503C8">
        <w:t>ensemble</w:t>
      </w:r>
      <w:r>
        <w:t xml:space="preserve"> </w:t>
      </w:r>
      <w:r w:rsidRPr="006503C8">
        <w:t>et</w:t>
      </w:r>
      <w:r>
        <w:t xml:space="preserve"> </w:t>
      </w:r>
      <w:r w:rsidRPr="006503C8">
        <w:t>également</w:t>
      </w:r>
      <w:r>
        <w:t xml:space="preserve"> </w:t>
      </w:r>
      <w:r w:rsidRPr="006503C8">
        <w:t>de</w:t>
      </w:r>
      <w:r>
        <w:t xml:space="preserve"> </w:t>
      </w:r>
      <w:r w:rsidRPr="006503C8">
        <w:t>la</w:t>
      </w:r>
      <w:r>
        <w:t xml:space="preserve"> </w:t>
      </w:r>
      <w:r w:rsidRPr="006503C8">
        <w:t>jurisprudence</w:t>
      </w:r>
      <w:r>
        <w:t xml:space="preserve"> </w:t>
      </w:r>
      <w:r w:rsidRPr="006503C8">
        <w:t>de</w:t>
      </w:r>
      <w:r>
        <w:t xml:space="preserve"> </w:t>
      </w:r>
      <w:r w:rsidRPr="006503C8">
        <w:t>la</w:t>
      </w:r>
      <w:r>
        <w:t xml:space="preserve"> </w:t>
      </w:r>
      <w:r w:rsidRPr="006503C8">
        <w:t>Cour</w:t>
      </w:r>
      <w:r>
        <w:t xml:space="preserve"> </w:t>
      </w:r>
      <w:r w:rsidRPr="006503C8">
        <w:t>européenne</w:t>
      </w:r>
      <w:r>
        <w:t xml:space="preserve"> </w:t>
      </w:r>
      <w:r w:rsidRPr="006503C8">
        <w:t>des</w:t>
      </w:r>
      <w:r>
        <w:t xml:space="preserve"> </w:t>
      </w:r>
      <w:r w:rsidRPr="006503C8">
        <w:t>droits</w:t>
      </w:r>
      <w:r>
        <w:t xml:space="preserve"> </w:t>
      </w:r>
      <w:r w:rsidRPr="006503C8">
        <w:t>de</w:t>
      </w:r>
      <w:r>
        <w:t xml:space="preserve"> </w:t>
      </w:r>
      <w:r w:rsidRPr="006503C8">
        <w:t>l</w:t>
      </w:r>
      <w:r w:rsidR="00CA2931">
        <w:t>’</w:t>
      </w:r>
      <w:r w:rsidRPr="006503C8">
        <w:t>homme</w:t>
      </w:r>
      <w:r w:rsidRPr="00A47548">
        <w:rPr>
          <w:rStyle w:val="Appelnotedebasdep"/>
        </w:rPr>
        <w:footnoteReference w:id="11"/>
      </w:r>
      <w:r w:rsidRPr="006503C8">
        <w:t>.</w:t>
      </w:r>
      <w:r>
        <w:t xml:space="preserve"> En outre</w:t>
      </w:r>
      <w:r w:rsidRPr="006503C8">
        <w:t>,</w:t>
      </w:r>
      <w:r>
        <w:t xml:space="preserve"> </w:t>
      </w:r>
      <w:r w:rsidRPr="006503C8">
        <w:t>l</w:t>
      </w:r>
      <w:r w:rsidR="00CA2931">
        <w:t>’</w:t>
      </w:r>
      <w:r w:rsidRPr="006503C8">
        <w:t>exclusion</w:t>
      </w:r>
      <w:r>
        <w:t xml:space="preserve"> </w:t>
      </w:r>
      <w:r w:rsidRPr="006503C8">
        <w:t>des</w:t>
      </w:r>
      <w:r>
        <w:t xml:space="preserve"> </w:t>
      </w:r>
      <w:r w:rsidRPr="006503C8">
        <w:t>procureurs</w:t>
      </w:r>
      <w:r>
        <w:t xml:space="preserve"> </w:t>
      </w:r>
      <w:r w:rsidRPr="006503C8">
        <w:t>du</w:t>
      </w:r>
      <w:r>
        <w:t xml:space="preserve"> </w:t>
      </w:r>
      <w:r w:rsidRPr="006503C8">
        <w:t>champ</w:t>
      </w:r>
      <w:r>
        <w:t xml:space="preserve"> </w:t>
      </w:r>
      <w:r w:rsidRPr="006503C8">
        <w:t>d</w:t>
      </w:r>
      <w:r w:rsidR="00CA2931">
        <w:t>’</w:t>
      </w:r>
      <w:r w:rsidRPr="006503C8">
        <w:t>application</w:t>
      </w:r>
      <w:r>
        <w:t xml:space="preserve"> </w:t>
      </w:r>
      <w:r w:rsidRPr="006503C8">
        <w:t>de</w:t>
      </w:r>
      <w:r>
        <w:t xml:space="preserve"> </w:t>
      </w:r>
      <w:r w:rsidRPr="006503C8">
        <w:t>l</w:t>
      </w:r>
      <w:r w:rsidR="00CA2931">
        <w:t>’</w:t>
      </w:r>
      <w:r w:rsidRPr="006503C8">
        <w:t>article</w:t>
      </w:r>
      <w:r>
        <w:t xml:space="preserve"> </w:t>
      </w:r>
      <w:r w:rsidRPr="006503C8">
        <w:t>visé</w:t>
      </w:r>
      <w:r>
        <w:t xml:space="preserve"> </w:t>
      </w:r>
      <w:r w:rsidRPr="006503C8">
        <w:t>laisserait</w:t>
      </w:r>
      <w:r>
        <w:t xml:space="preserve"> </w:t>
      </w:r>
      <w:r w:rsidRPr="006503C8">
        <w:t>un</w:t>
      </w:r>
      <w:r>
        <w:t xml:space="preserve"> </w:t>
      </w:r>
      <w:r w:rsidRPr="006503C8">
        <w:t>groupe</w:t>
      </w:r>
      <w:r>
        <w:t xml:space="preserve"> </w:t>
      </w:r>
      <w:r w:rsidRPr="006503C8">
        <w:t>de</w:t>
      </w:r>
      <w:r>
        <w:t xml:space="preserve"> </w:t>
      </w:r>
      <w:r w:rsidRPr="006503C8">
        <w:t>personnes</w:t>
      </w:r>
      <w:r>
        <w:t xml:space="preserve"> </w:t>
      </w:r>
      <w:r w:rsidRPr="006503C8">
        <w:t>exerçant</w:t>
      </w:r>
      <w:r>
        <w:t xml:space="preserve"> </w:t>
      </w:r>
      <w:r w:rsidRPr="006503C8">
        <w:t>des</w:t>
      </w:r>
      <w:r>
        <w:t xml:space="preserve"> </w:t>
      </w:r>
      <w:r w:rsidRPr="006503C8">
        <w:t>fonctions</w:t>
      </w:r>
      <w:r>
        <w:t xml:space="preserve"> </w:t>
      </w:r>
      <w:r w:rsidRPr="006503C8">
        <w:t>publiques</w:t>
      </w:r>
      <w:r>
        <w:t xml:space="preserve"> </w:t>
      </w:r>
      <w:r w:rsidRPr="006503C8">
        <w:t>sans</w:t>
      </w:r>
      <w:r>
        <w:t xml:space="preserve"> </w:t>
      </w:r>
      <w:r w:rsidRPr="006503C8">
        <w:t>protection</w:t>
      </w:r>
      <w:r>
        <w:t xml:space="preserve"> </w:t>
      </w:r>
      <w:r w:rsidRPr="006503C8">
        <w:t>contre</w:t>
      </w:r>
      <w:r>
        <w:t xml:space="preserve"> </w:t>
      </w:r>
      <w:r w:rsidRPr="006503C8">
        <w:t>des</w:t>
      </w:r>
      <w:r>
        <w:t xml:space="preserve"> </w:t>
      </w:r>
      <w:r w:rsidRPr="006503C8">
        <w:t>propos</w:t>
      </w:r>
      <w:r>
        <w:t xml:space="preserve"> </w:t>
      </w:r>
      <w:r w:rsidRPr="006503C8">
        <w:t>diffamatoires.</w:t>
      </w:r>
      <w:r>
        <w:t xml:space="preserve"> </w:t>
      </w:r>
      <w:r w:rsidRPr="006503C8">
        <w:t>En</w:t>
      </w:r>
      <w:r w:rsidR="00145441">
        <w:t> </w:t>
      </w:r>
      <w:r w:rsidRPr="006503C8">
        <w:t>conséquence,</w:t>
      </w:r>
      <w:r>
        <w:t xml:space="preserve"> </w:t>
      </w:r>
      <w:r w:rsidRPr="006503C8">
        <w:t>la</w:t>
      </w:r>
      <w:r>
        <w:t xml:space="preserve"> </w:t>
      </w:r>
      <w:r w:rsidRPr="006503C8">
        <w:t>restriction</w:t>
      </w:r>
      <w:r>
        <w:t xml:space="preserve"> </w:t>
      </w:r>
      <w:r w:rsidRPr="006503C8">
        <w:t>était</w:t>
      </w:r>
      <w:r>
        <w:t xml:space="preserve"> </w:t>
      </w:r>
      <w:r w:rsidRPr="006503C8">
        <w:t>prévue</w:t>
      </w:r>
      <w:r>
        <w:t xml:space="preserve"> </w:t>
      </w:r>
      <w:r w:rsidRPr="006503C8">
        <w:t>par</w:t>
      </w:r>
      <w:r>
        <w:t xml:space="preserve"> </w:t>
      </w:r>
      <w:r w:rsidRPr="006503C8">
        <w:t>la</w:t>
      </w:r>
      <w:r>
        <w:t xml:space="preserve"> </w:t>
      </w:r>
      <w:r w:rsidRPr="006503C8">
        <w:t>loi,</w:t>
      </w:r>
      <w:r>
        <w:t xml:space="preserve"> </w:t>
      </w:r>
      <w:r w:rsidRPr="006503C8">
        <w:t>laquelle</w:t>
      </w:r>
      <w:r>
        <w:t xml:space="preserve"> </w:t>
      </w:r>
      <w:r w:rsidRPr="006503C8">
        <w:t>était</w:t>
      </w:r>
      <w:r>
        <w:t xml:space="preserve"> </w:t>
      </w:r>
      <w:r w:rsidRPr="006503C8">
        <w:t>claire</w:t>
      </w:r>
      <w:r>
        <w:t xml:space="preserve"> </w:t>
      </w:r>
      <w:r w:rsidRPr="006503C8">
        <w:t>et</w:t>
      </w:r>
      <w:r>
        <w:t xml:space="preserve"> </w:t>
      </w:r>
      <w:r w:rsidRPr="006503C8">
        <w:t>prévisible.</w:t>
      </w:r>
    </w:p>
    <w:p w14:paraId="7A487705" w14:textId="77777777" w:rsidR="00765853" w:rsidRPr="006503C8" w:rsidRDefault="00765853" w:rsidP="00765853">
      <w:pPr>
        <w:pStyle w:val="SingleTxtG"/>
      </w:pPr>
      <w:r w:rsidRPr="006503C8">
        <w:t>4.4</w:t>
      </w:r>
      <w:r w:rsidRPr="006503C8">
        <w:tab/>
        <w:t>S</w:t>
      </w:r>
      <w:r w:rsidR="00CA2931">
        <w:t>’</w:t>
      </w:r>
      <w:r w:rsidRPr="006503C8">
        <w:t>agissant</w:t>
      </w:r>
      <w:r>
        <w:t xml:space="preserve"> </w:t>
      </w:r>
      <w:r w:rsidRPr="006503C8">
        <w:t>de</w:t>
      </w:r>
      <w:r>
        <w:t xml:space="preserve"> </w:t>
      </w:r>
      <w:r w:rsidRPr="006503C8">
        <w:t>la</w:t>
      </w:r>
      <w:r>
        <w:t xml:space="preserve"> </w:t>
      </w:r>
      <w:r w:rsidRPr="006503C8">
        <w:t>question</w:t>
      </w:r>
      <w:r>
        <w:t xml:space="preserve"> </w:t>
      </w:r>
      <w:r w:rsidRPr="006503C8">
        <w:t>de</w:t>
      </w:r>
      <w:r>
        <w:t xml:space="preserve"> </w:t>
      </w:r>
      <w:r w:rsidRPr="006503C8">
        <w:t>savoir</w:t>
      </w:r>
      <w:r>
        <w:t xml:space="preserve"> </w:t>
      </w:r>
      <w:r w:rsidRPr="006503C8">
        <w:t>si</w:t>
      </w:r>
      <w:r>
        <w:t xml:space="preserve"> </w:t>
      </w:r>
      <w:r w:rsidRPr="006503C8">
        <w:t>un</w:t>
      </w:r>
      <w:r>
        <w:t xml:space="preserve"> </w:t>
      </w:r>
      <w:r w:rsidRPr="006503C8">
        <w:t>objectif</w:t>
      </w:r>
      <w:r>
        <w:t xml:space="preserve"> </w:t>
      </w:r>
      <w:r w:rsidRPr="006503C8">
        <w:t>légitime</w:t>
      </w:r>
      <w:r>
        <w:t xml:space="preserve"> </w:t>
      </w:r>
      <w:r w:rsidRPr="006503C8">
        <w:t>justifiait</w:t>
      </w:r>
      <w:r>
        <w:t xml:space="preserve"> </w:t>
      </w:r>
      <w:r w:rsidRPr="006503C8">
        <w:t>la</w:t>
      </w:r>
      <w:r>
        <w:t xml:space="preserve"> </w:t>
      </w:r>
      <w:r w:rsidRPr="006503C8">
        <w:t>restriction,</w:t>
      </w:r>
      <w:r>
        <w:t xml:space="preserve"> </w:t>
      </w:r>
      <w:r w:rsidRPr="006503C8">
        <w:t>et</w:t>
      </w:r>
      <w:r>
        <w:t xml:space="preserve"> </w:t>
      </w:r>
      <w:r w:rsidRPr="006503C8">
        <w:t>en</w:t>
      </w:r>
      <w:r>
        <w:t xml:space="preserve"> </w:t>
      </w:r>
      <w:r w:rsidRPr="006503C8">
        <w:t>particulier</w:t>
      </w:r>
      <w:r>
        <w:t xml:space="preserve"> </w:t>
      </w:r>
      <w:r w:rsidRPr="006503C8">
        <w:t>des</w:t>
      </w:r>
      <w:r>
        <w:t xml:space="preserve"> </w:t>
      </w:r>
      <w:r w:rsidRPr="006503C8">
        <w:t>arguments</w:t>
      </w:r>
      <w:r>
        <w:t xml:space="preserve"> </w:t>
      </w:r>
      <w:r w:rsidRPr="006503C8">
        <w:t>par</w:t>
      </w:r>
      <w:r>
        <w:t xml:space="preserve"> </w:t>
      </w:r>
      <w:r w:rsidRPr="006503C8">
        <w:t>lesquels</w:t>
      </w:r>
      <w:r>
        <w:t xml:space="preserve"> </w:t>
      </w:r>
      <w:r w:rsidRPr="006503C8">
        <w:t>l</w:t>
      </w:r>
      <w:r w:rsidR="00CA2931">
        <w:t>’</w:t>
      </w:r>
      <w:r w:rsidRPr="006503C8">
        <w:t>auteure</w:t>
      </w:r>
      <w:r>
        <w:t xml:space="preserve"> </w:t>
      </w:r>
      <w:r w:rsidRPr="006503C8">
        <w:t>allègue</w:t>
      </w:r>
      <w:r>
        <w:t xml:space="preserve"> </w:t>
      </w:r>
      <w:r w:rsidRPr="006503C8">
        <w:t>qu</w:t>
      </w:r>
      <w:r w:rsidR="00CA2931">
        <w:t>’</w:t>
      </w:r>
      <w:r w:rsidRPr="006503C8">
        <w:t>il</w:t>
      </w:r>
      <w:r>
        <w:t xml:space="preserve"> </w:t>
      </w:r>
      <w:r w:rsidRPr="006503C8">
        <w:t>y</w:t>
      </w:r>
      <w:r>
        <w:t xml:space="preserve"> </w:t>
      </w:r>
      <w:r w:rsidRPr="006503C8">
        <w:t>a</w:t>
      </w:r>
      <w:r>
        <w:t xml:space="preserve"> </w:t>
      </w:r>
      <w:r w:rsidRPr="006503C8">
        <w:t>dichotomie</w:t>
      </w:r>
      <w:r>
        <w:t xml:space="preserve"> </w:t>
      </w:r>
      <w:r w:rsidRPr="006503C8">
        <w:t>entre</w:t>
      </w:r>
      <w:r>
        <w:t xml:space="preserve"> </w:t>
      </w:r>
      <w:r w:rsidRPr="006503C8">
        <w:t>l</w:t>
      </w:r>
      <w:r w:rsidR="00CA2931">
        <w:t>’</w:t>
      </w:r>
      <w:r w:rsidRPr="006503C8">
        <w:t>«</w:t>
      </w:r>
      <w:r>
        <w:t> </w:t>
      </w:r>
      <w:r w:rsidRPr="006503C8">
        <w:t>insulte</w:t>
      </w:r>
      <w:r>
        <w:t> </w:t>
      </w:r>
      <w:r w:rsidRPr="006503C8">
        <w:t>»,</w:t>
      </w:r>
      <w:r>
        <w:t xml:space="preserve"> </w:t>
      </w:r>
      <w:r w:rsidRPr="006503C8">
        <w:t>infraction</w:t>
      </w:r>
      <w:r>
        <w:t xml:space="preserve"> </w:t>
      </w:r>
      <w:r w:rsidRPr="006503C8">
        <w:t>pénale</w:t>
      </w:r>
      <w:r>
        <w:t xml:space="preserve"> </w:t>
      </w:r>
      <w:r w:rsidRPr="006503C8">
        <w:t>prévue</w:t>
      </w:r>
      <w:r>
        <w:t xml:space="preserve"> </w:t>
      </w:r>
      <w:r w:rsidRPr="006503C8">
        <w:t>à</w:t>
      </w:r>
      <w:r>
        <w:t xml:space="preserve"> </w:t>
      </w:r>
      <w:r w:rsidRPr="006503C8">
        <w:t>l</w:t>
      </w:r>
      <w:r w:rsidR="00CA2931">
        <w:t>’</w:t>
      </w:r>
      <w:r w:rsidRPr="006503C8">
        <w:t>article</w:t>
      </w:r>
      <w:r>
        <w:t xml:space="preserve"> </w:t>
      </w:r>
      <w:r w:rsidRPr="006503C8">
        <w:t>155</w:t>
      </w:r>
      <w:r>
        <w:t xml:space="preserve"> </w:t>
      </w:r>
      <w:r w:rsidRPr="006503C8">
        <w:t>et</w:t>
      </w:r>
      <w:r>
        <w:t xml:space="preserve"> </w:t>
      </w:r>
      <w:r w:rsidRPr="006503C8">
        <w:t>l</w:t>
      </w:r>
      <w:r w:rsidR="00CA2931">
        <w:t>’</w:t>
      </w:r>
      <w:r w:rsidRPr="006503C8">
        <w:t>«</w:t>
      </w:r>
      <w:r>
        <w:t> </w:t>
      </w:r>
      <w:r w:rsidRPr="006503C8">
        <w:t>insulte</w:t>
      </w:r>
      <w:r>
        <w:t xml:space="preserve"> </w:t>
      </w:r>
      <w:r w:rsidRPr="006503C8">
        <w:t>à</w:t>
      </w:r>
      <w:r>
        <w:t xml:space="preserve"> </w:t>
      </w:r>
      <w:r w:rsidRPr="006503C8">
        <w:t>l</w:t>
      </w:r>
      <w:r w:rsidR="00CA2931">
        <w:t>’</w:t>
      </w:r>
      <w:r w:rsidRPr="006503C8">
        <w:t>encontre</w:t>
      </w:r>
      <w:r>
        <w:t xml:space="preserve"> </w:t>
      </w:r>
      <w:r w:rsidRPr="006503C8">
        <w:t>d</w:t>
      </w:r>
      <w:r w:rsidR="00CA2931">
        <w:t>’</w:t>
      </w:r>
      <w:r w:rsidRPr="006503C8">
        <w:t>un</w:t>
      </w:r>
      <w:r>
        <w:t xml:space="preserve"> </w:t>
      </w:r>
      <w:r w:rsidRPr="006503C8">
        <w:t>fonctionnaire</w:t>
      </w:r>
      <w:r>
        <w:t> </w:t>
      </w:r>
      <w:r w:rsidRPr="006503C8">
        <w:t>»,</w:t>
      </w:r>
      <w:r>
        <w:t xml:space="preserve"> </w:t>
      </w:r>
      <w:r w:rsidRPr="006503C8">
        <w:t>visée</w:t>
      </w:r>
      <w:r>
        <w:t xml:space="preserve"> </w:t>
      </w:r>
      <w:r w:rsidRPr="006503C8">
        <w:t>à</w:t>
      </w:r>
      <w:r>
        <w:t xml:space="preserve"> </w:t>
      </w:r>
      <w:r w:rsidRPr="006503C8">
        <w:t>l</w:t>
      </w:r>
      <w:r w:rsidR="00CA2931">
        <w:t>’</w:t>
      </w:r>
      <w:r w:rsidRPr="006503C8">
        <w:t>article</w:t>
      </w:r>
      <w:r>
        <w:t xml:space="preserve"> </w:t>
      </w:r>
      <w:r w:rsidRPr="006503C8">
        <w:t>290,</w:t>
      </w:r>
      <w:r>
        <w:t xml:space="preserve"> </w:t>
      </w:r>
      <w:r w:rsidRPr="006503C8">
        <w:t>l</w:t>
      </w:r>
      <w:r w:rsidR="00CA2931">
        <w:t>’</w:t>
      </w:r>
      <w:r w:rsidRPr="006503C8">
        <w:t>État</w:t>
      </w:r>
      <w:r>
        <w:t xml:space="preserve"> </w:t>
      </w:r>
      <w:r w:rsidRPr="006503C8">
        <w:t>partie</w:t>
      </w:r>
      <w:r>
        <w:t xml:space="preserve"> </w:t>
      </w:r>
      <w:r w:rsidRPr="006503C8">
        <w:t>fait</w:t>
      </w:r>
      <w:r>
        <w:t xml:space="preserve"> </w:t>
      </w:r>
      <w:r w:rsidRPr="006503C8">
        <w:t>observer</w:t>
      </w:r>
      <w:r>
        <w:t xml:space="preserve"> </w:t>
      </w:r>
      <w:r w:rsidRPr="006503C8">
        <w:t>que</w:t>
      </w:r>
      <w:r>
        <w:t xml:space="preserve"> </w:t>
      </w:r>
      <w:r w:rsidRPr="006503C8">
        <w:t>cette</w:t>
      </w:r>
      <w:r>
        <w:t xml:space="preserve"> </w:t>
      </w:r>
      <w:r w:rsidRPr="006503C8">
        <w:t>dernière</w:t>
      </w:r>
      <w:r>
        <w:t xml:space="preserve"> </w:t>
      </w:r>
      <w:r w:rsidRPr="006503C8">
        <w:t>constitue</w:t>
      </w:r>
      <w:r>
        <w:t xml:space="preserve"> </w:t>
      </w:r>
      <w:r w:rsidRPr="006503C8">
        <w:t>une</w:t>
      </w:r>
      <w:r>
        <w:t xml:space="preserve"> </w:t>
      </w:r>
      <w:r w:rsidRPr="006503C8">
        <w:t>infraction</w:t>
      </w:r>
      <w:r>
        <w:t xml:space="preserve"> </w:t>
      </w:r>
      <w:r w:rsidRPr="006503C8">
        <w:t>pénale</w:t>
      </w:r>
      <w:r>
        <w:t xml:space="preserve"> </w:t>
      </w:r>
      <w:r w:rsidRPr="006503C8">
        <w:t>à</w:t>
      </w:r>
      <w:r>
        <w:t xml:space="preserve"> </w:t>
      </w:r>
      <w:r w:rsidRPr="006503C8">
        <w:t>part</w:t>
      </w:r>
      <w:r>
        <w:t xml:space="preserve"> </w:t>
      </w:r>
      <w:r w:rsidRPr="006503C8">
        <w:t>entière</w:t>
      </w:r>
      <w:r>
        <w:t xml:space="preserve"> </w:t>
      </w:r>
      <w:r w:rsidRPr="006503C8">
        <w:t>prévue</w:t>
      </w:r>
      <w:r>
        <w:t xml:space="preserve"> </w:t>
      </w:r>
      <w:r w:rsidRPr="006503C8">
        <w:t>par</w:t>
      </w:r>
      <w:r>
        <w:t xml:space="preserve"> </w:t>
      </w:r>
      <w:r w:rsidRPr="006503C8">
        <w:t>le</w:t>
      </w:r>
      <w:r>
        <w:t xml:space="preserve"> </w:t>
      </w:r>
      <w:r w:rsidRPr="006503C8">
        <w:t>Code</w:t>
      </w:r>
      <w:r>
        <w:t xml:space="preserve"> </w:t>
      </w:r>
      <w:r w:rsidRPr="006503C8">
        <w:t>pénal.</w:t>
      </w:r>
      <w:r>
        <w:t xml:space="preserve"> </w:t>
      </w:r>
      <w:r w:rsidRPr="006503C8">
        <w:t>Les</w:t>
      </w:r>
      <w:r>
        <w:t xml:space="preserve"> </w:t>
      </w:r>
      <w:r w:rsidRPr="006503C8">
        <w:t>deux</w:t>
      </w:r>
      <w:r>
        <w:t xml:space="preserve"> </w:t>
      </w:r>
      <w:r w:rsidRPr="006503C8">
        <w:t>infractions</w:t>
      </w:r>
      <w:r>
        <w:t xml:space="preserve"> </w:t>
      </w:r>
      <w:r w:rsidRPr="006503C8">
        <w:t>se</w:t>
      </w:r>
      <w:r>
        <w:t xml:space="preserve"> </w:t>
      </w:r>
      <w:r w:rsidRPr="006503C8">
        <w:t>distinguent</w:t>
      </w:r>
      <w:r>
        <w:t xml:space="preserve"> </w:t>
      </w:r>
      <w:r w:rsidRPr="006503C8">
        <w:t>par</w:t>
      </w:r>
      <w:r>
        <w:t xml:space="preserve"> </w:t>
      </w:r>
      <w:r w:rsidRPr="006503C8">
        <w:t>le</w:t>
      </w:r>
      <w:r>
        <w:t xml:space="preserve"> </w:t>
      </w:r>
      <w:r w:rsidRPr="006503C8">
        <w:t>fait,</w:t>
      </w:r>
      <w:r>
        <w:t xml:space="preserve"> </w:t>
      </w:r>
      <w:r w:rsidRPr="006503C8">
        <w:t>entre</w:t>
      </w:r>
      <w:r>
        <w:t xml:space="preserve"> </w:t>
      </w:r>
      <w:r w:rsidRPr="006503C8">
        <w:t>autres,</w:t>
      </w:r>
      <w:r>
        <w:t xml:space="preserve"> </w:t>
      </w:r>
      <w:r w:rsidRPr="006503C8">
        <w:t>que</w:t>
      </w:r>
      <w:r>
        <w:t xml:space="preserve"> </w:t>
      </w:r>
      <w:r w:rsidRPr="006503C8">
        <w:t>dans</w:t>
      </w:r>
      <w:r>
        <w:t xml:space="preserve"> </w:t>
      </w:r>
      <w:r w:rsidRPr="006503C8">
        <w:t>le</w:t>
      </w:r>
      <w:r>
        <w:t xml:space="preserve"> </w:t>
      </w:r>
      <w:r w:rsidRPr="006503C8">
        <w:t>cas</w:t>
      </w:r>
      <w:r>
        <w:t xml:space="preserve"> </w:t>
      </w:r>
      <w:r w:rsidRPr="006503C8">
        <w:t>de</w:t>
      </w:r>
      <w:r>
        <w:t xml:space="preserve"> </w:t>
      </w:r>
      <w:r w:rsidRPr="006503C8">
        <w:t>l</w:t>
      </w:r>
      <w:r w:rsidR="00CA2931">
        <w:t>’</w:t>
      </w:r>
      <w:r w:rsidRPr="006503C8">
        <w:t>«</w:t>
      </w:r>
      <w:r>
        <w:t> </w:t>
      </w:r>
      <w:r w:rsidRPr="006503C8">
        <w:t>insulte</w:t>
      </w:r>
      <w:r>
        <w:t> </w:t>
      </w:r>
      <w:r w:rsidRPr="006503C8">
        <w:t>»,</w:t>
      </w:r>
      <w:r>
        <w:t xml:space="preserve"> </w:t>
      </w:r>
      <w:r w:rsidRPr="006503C8">
        <w:t>la</w:t>
      </w:r>
      <w:r>
        <w:t xml:space="preserve"> </w:t>
      </w:r>
      <w:r w:rsidRPr="006503C8">
        <w:t>loi</w:t>
      </w:r>
      <w:r>
        <w:t xml:space="preserve"> </w:t>
      </w:r>
      <w:r w:rsidRPr="006503C8">
        <w:t>entend</w:t>
      </w:r>
      <w:r>
        <w:t xml:space="preserve"> </w:t>
      </w:r>
      <w:r w:rsidRPr="006503C8">
        <w:t>protéger</w:t>
      </w:r>
      <w:r>
        <w:t xml:space="preserve"> </w:t>
      </w:r>
      <w:r w:rsidRPr="006503C8">
        <w:lastRenderedPageBreak/>
        <w:t>l</w:t>
      </w:r>
      <w:r w:rsidR="00CA2931">
        <w:t>’</w:t>
      </w:r>
      <w:r w:rsidRPr="006503C8">
        <w:t>honneur</w:t>
      </w:r>
      <w:r>
        <w:t xml:space="preserve"> </w:t>
      </w:r>
      <w:r w:rsidRPr="006503C8">
        <w:t>et</w:t>
      </w:r>
      <w:r>
        <w:t xml:space="preserve"> </w:t>
      </w:r>
      <w:r w:rsidRPr="006503C8">
        <w:t>la</w:t>
      </w:r>
      <w:r>
        <w:t xml:space="preserve"> </w:t>
      </w:r>
      <w:r w:rsidRPr="006503C8">
        <w:t>dignité</w:t>
      </w:r>
      <w:r>
        <w:t xml:space="preserve"> </w:t>
      </w:r>
      <w:r w:rsidRPr="006503C8">
        <w:t>d</w:t>
      </w:r>
      <w:r w:rsidR="00CA2931">
        <w:t>’</w:t>
      </w:r>
      <w:r w:rsidRPr="006503C8">
        <w:t>une</w:t>
      </w:r>
      <w:r>
        <w:t xml:space="preserve"> </w:t>
      </w:r>
      <w:r w:rsidRPr="006503C8">
        <w:t>personne,</w:t>
      </w:r>
      <w:r>
        <w:t xml:space="preserve"> </w:t>
      </w:r>
      <w:r w:rsidRPr="006503C8">
        <w:t>alors</w:t>
      </w:r>
      <w:r>
        <w:t xml:space="preserve"> </w:t>
      </w:r>
      <w:r w:rsidRPr="006503C8">
        <w:t>que</w:t>
      </w:r>
      <w:r>
        <w:t xml:space="preserve"> </w:t>
      </w:r>
      <w:r w:rsidRPr="006503C8">
        <w:t>dans</w:t>
      </w:r>
      <w:r>
        <w:t xml:space="preserve"> </w:t>
      </w:r>
      <w:r w:rsidRPr="006503C8">
        <w:t>le</w:t>
      </w:r>
      <w:r>
        <w:t xml:space="preserve"> </w:t>
      </w:r>
      <w:r w:rsidRPr="006503C8">
        <w:t>cas</w:t>
      </w:r>
      <w:r>
        <w:t xml:space="preserve"> </w:t>
      </w:r>
      <w:r w:rsidRPr="006503C8">
        <w:t>de</w:t>
      </w:r>
      <w:r>
        <w:t xml:space="preserve"> </w:t>
      </w:r>
      <w:r w:rsidRPr="006503C8">
        <w:t>l</w:t>
      </w:r>
      <w:r w:rsidR="00CA2931">
        <w:t>’</w:t>
      </w:r>
      <w:r w:rsidRPr="006503C8">
        <w:t>«</w:t>
      </w:r>
      <w:r>
        <w:t> </w:t>
      </w:r>
      <w:r w:rsidRPr="006503C8">
        <w:t>insulte</w:t>
      </w:r>
      <w:r>
        <w:t xml:space="preserve"> </w:t>
      </w:r>
      <w:r w:rsidRPr="006503C8">
        <w:t>à</w:t>
      </w:r>
      <w:r>
        <w:t xml:space="preserve"> </w:t>
      </w:r>
      <w:r w:rsidRPr="006503C8">
        <w:t>l</w:t>
      </w:r>
      <w:r w:rsidR="00CA2931">
        <w:t>’</w:t>
      </w:r>
      <w:r w:rsidRPr="006503C8">
        <w:t>encontre</w:t>
      </w:r>
      <w:r>
        <w:t xml:space="preserve"> </w:t>
      </w:r>
      <w:r w:rsidRPr="006503C8">
        <w:t>d</w:t>
      </w:r>
      <w:r w:rsidR="00CA2931">
        <w:t>’</w:t>
      </w:r>
      <w:r w:rsidRPr="006503C8">
        <w:t>un</w:t>
      </w:r>
      <w:r>
        <w:t xml:space="preserve"> </w:t>
      </w:r>
      <w:r w:rsidRPr="006503C8">
        <w:t>fonctionnaire</w:t>
      </w:r>
      <w:r>
        <w:t xml:space="preserve"> </w:t>
      </w:r>
      <w:r w:rsidRPr="006503C8">
        <w:t>ou</w:t>
      </w:r>
      <w:r>
        <w:t xml:space="preserve"> </w:t>
      </w:r>
      <w:r w:rsidRPr="006503C8">
        <w:t>d</w:t>
      </w:r>
      <w:r w:rsidR="00CA2931">
        <w:t>’</w:t>
      </w:r>
      <w:r w:rsidRPr="006503C8">
        <w:t>une</w:t>
      </w:r>
      <w:r>
        <w:t xml:space="preserve"> </w:t>
      </w:r>
      <w:r w:rsidRPr="006503C8">
        <w:t>personne</w:t>
      </w:r>
      <w:r>
        <w:t xml:space="preserve"> </w:t>
      </w:r>
      <w:r w:rsidRPr="006503C8">
        <w:t>exerçant</w:t>
      </w:r>
      <w:r>
        <w:t xml:space="preserve"> </w:t>
      </w:r>
      <w:r w:rsidRPr="006503C8">
        <w:t>des</w:t>
      </w:r>
      <w:r>
        <w:t xml:space="preserve"> </w:t>
      </w:r>
      <w:r w:rsidRPr="006503C8">
        <w:t>fonctions</w:t>
      </w:r>
      <w:r>
        <w:t xml:space="preserve"> </w:t>
      </w:r>
      <w:r w:rsidRPr="006503C8">
        <w:t>d</w:t>
      </w:r>
      <w:r w:rsidR="00CA2931">
        <w:t>’</w:t>
      </w:r>
      <w:r w:rsidRPr="006503C8">
        <w:t>administration</w:t>
      </w:r>
      <w:r>
        <w:t xml:space="preserve"> </w:t>
      </w:r>
      <w:r w:rsidRPr="006503C8">
        <w:t>publique</w:t>
      </w:r>
      <w:r>
        <w:t> </w:t>
      </w:r>
      <w:r w:rsidRPr="006503C8">
        <w:t>»,</w:t>
      </w:r>
      <w:r>
        <w:t xml:space="preserve"> </w:t>
      </w:r>
      <w:r w:rsidRPr="006503C8">
        <w:t>l</w:t>
      </w:r>
      <w:r w:rsidR="00CA2931">
        <w:t>’</w:t>
      </w:r>
      <w:r w:rsidRPr="006503C8">
        <w:t>objectif</w:t>
      </w:r>
      <w:r>
        <w:t xml:space="preserve"> </w:t>
      </w:r>
      <w:r w:rsidRPr="006503C8">
        <w:t>de</w:t>
      </w:r>
      <w:r>
        <w:t xml:space="preserve"> </w:t>
      </w:r>
      <w:r w:rsidRPr="006503C8">
        <w:t>la</w:t>
      </w:r>
      <w:r>
        <w:t xml:space="preserve"> </w:t>
      </w:r>
      <w:r w:rsidRPr="006503C8">
        <w:t>loi</w:t>
      </w:r>
      <w:r>
        <w:t xml:space="preserve"> </w:t>
      </w:r>
      <w:r w:rsidRPr="006503C8">
        <w:t>est</w:t>
      </w:r>
      <w:r>
        <w:t xml:space="preserve"> </w:t>
      </w:r>
      <w:r w:rsidRPr="006503C8">
        <w:t>de</w:t>
      </w:r>
      <w:r>
        <w:t xml:space="preserve"> </w:t>
      </w:r>
      <w:r w:rsidRPr="006503C8">
        <w:t>protéger</w:t>
      </w:r>
      <w:r>
        <w:t xml:space="preserve"> </w:t>
      </w:r>
      <w:r w:rsidRPr="006503C8">
        <w:t>un</w:t>
      </w:r>
      <w:r>
        <w:t xml:space="preserve"> </w:t>
      </w:r>
      <w:r w:rsidRPr="006503C8">
        <w:t>groupe</w:t>
      </w:r>
      <w:r>
        <w:t xml:space="preserve"> </w:t>
      </w:r>
      <w:r w:rsidRPr="006503C8">
        <w:t>particulier</w:t>
      </w:r>
      <w:r>
        <w:t xml:space="preserve"> </w:t>
      </w:r>
      <w:r w:rsidRPr="006503C8">
        <w:t>de</w:t>
      </w:r>
      <w:r>
        <w:t xml:space="preserve"> </w:t>
      </w:r>
      <w:r w:rsidRPr="006503C8">
        <w:t>personnes,</w:t>
      </w:r>
      <w:r>
        <w:t xml:space="preserve"> </w:t>
      </w:r>
      <w:r w:rsidRPr="006503C8">
        <w:t>dans</w:t>
      </w:r>
      <w:r>
        <w:t xml:space="preserve"> </w:t>
      </w:r>
      <w:r w:rsidRPr="006503C8">
        <w:t>l</w:t>
      </w:r>
      <w:r w:rsidR="00CA2931">
        <w:t>’</w:t>
      </w:r>
      <w:r w:rsidRPr="006503C8">
        <w:t>exercice</w:t>
      </w:r>
      <w:r>
        <w:t xml:space="preserve"> </w:t>
      </w:r>
      <w:r w:rsidRPr="006503C8">
        <w:t>des</w:t>
      </w:r>
      <w:r>
        <w:t xml:space="preserve"> </w:t>
      </w:r>
      <w:r w:rsidRPr="006503C8">
        <w:t>activités</w:t>
      </w:r>
      <w:r>
        <w:t xml:space="preserve"> </w:t>
      </w:r>
      <w:r w:rsidRPr="006503C8">
        <w:t>qui</w:t>
      </w:r>
      <w:r>
        <w:t xml:space="preserve"> </w:t>
      </w:r>
      <w:r w:rsidRPr="006503C8">
        <w:t>sont</w:t>
      </w:r>
      <w:r>
        <w:t xml:space="preserve"> </w:t>
      </w:r>
      <w:r w:rsidRPr="006503C8">
        <w:t>les</w:t>
      </w:r>
      <w:r>
        <w:t xml:space="preserve"> </w:t>
      </w:r>
      <w:r w:rsidRPr="006503C8">
        <w:t>leurs.</w:t>
      </w:r>
      <w:r>
        <w:t xml:space="preserve"> </w:t>
      </w:r>
      <w:r w:rsidRPr="006503C8">
        <w:t>Par</w:t>
      </w:r>
      <w:r>
        <w:t xml:space="preserve"> </w:t>
      </w:r>
      <w:r w:rsidRPr="006503C8">
        <w:t>cette</w:t>
      </w:r>
      <w:r>
        <w:t xml:space="preserve"> </w:t>
      </w:r>
      <w:r w:rsidRPr="006503C8">
        <w:t>infraction</w:t>
      </w:r>
      <w:r>
        <w:t xml:space="preserve"> </w:t>
      </w:r>
      <w:r w:rsidRPr="006503C8">
        <w:t>pénale</w:t>
      </w:r>
      <w:r>
        <w:t xml:space="preserve"> </w:t>
      </w:r>
      <w:r w:rsidRPr="006503C8">
        <w:t>à</w:t>
      </w:r>
      <w:r>
        <w:t xml:space="preserve"> </w:t>
      </w:r>
      <w:r w:rsidRPr="006503C8">
        <w:t>part</w:t>
      </w:r>
      <w:r>
        <w:t xml:space="preserve"> </w:t>
      </w:r>
      <w:r w:rsidRPr="006503C8">
        <w:t>entière,</w:t>
      </w:r>
      <w:r>
        <w:t xml:space="preserve"> </w:t>
      </w:r>
      <w:r w:rsidRPr="006503C8">
        <w:t>la</w:t>
      </w:r>
      <w:r>
        <w:t xml:space="preserve"> </w:t>
      </w:r>
      <w:r w:rsidRPr="006503C8">
        <w:t>loi</w:t>
      </w:r>
      <w:r>
        <w:t xml:space="preserve"> </w:t>
      </w:r>
      <w:r w:rsidRPr="006503C8">
        <w:t>entend</w:t>
      </w:r>
      <w:r>
        <w:t xml:space="preserve"> </w:t>
      </w:r>
      <w:r w:rsidRPr="006503C8">
        <w:t>avant</w:t>
      </w:r>
      <w:r>
        <w:t xml:space="preserve"> </w:t>
      </w:r>
      <w:r w:rsidRPr="006503C8">
        <w:t>tout</w:t>
      </w:r>
      <w:r>
        <w:t xml:space="preserve"> </w:t>
      </w:r>
      <w:r w:rsidRPr="006503C8">
        <w:t>garantir</w:t>
      </w:r>
      <w:r>
        <w:t xml:space="preserve"> </w:t>
      </w:r>
      <w:r w:rsidRPr="006503C8">
        <w:t>l</w:t>
      </w:r>
      <w:r w:rsidR="00CA2931">
        <w:t>’</w:t>
      </w:r>
      <w:r w:rsidRPr="006503C8">
        <w:t>ordre</w:t>
      </w:r>
      <w:r>
        <w:t xml:space="preserve"> </w:t>
      </w:r>
      <w:r w:rsidRPr="006503C8">
        <w:t>public</w:t>
      </w:r>
      <w:r>
        <w:t xml:space="preserve"> </w:t>
      </w:r>
      <w:r w:rsidRPr="006503C8">
        <w:t>et</w:t>
      </w:r>
      <w:r>
        <w:t xml:space="preserve"> </w:t>
      </w:r>
      <w:r w:rsidRPr="006503C8">
        <w:t>non</w:t>
      </w:r>
      <w:r>
        <w:t xml:space="preserve"> </w:t>
      </w:r>
      <w:r w:rsidRPr="006503C8">
        <w:t>empêcher</w:t>
      </w:r>
      <w:r>
        <w:t xml:space="preserve"> </w:t>
      </w:r>
      <w:r w:rsidRPr="006503C8">
        <w:t>un</w:t>
      </w:r>
      <w:r>
        <w:t xml:space="preserve"> </w:t>
      </w:r>
      <w:r w:rsidRPr="006503C8">
        <w:t>préjudice</w:t>
      </w:r>
      <w:r>
        <w:t xml:space="preserve"> </w:t>
      </w:r>
      <w:r w:rsidRPr="006503C8">
        <w:t>personnel,</w:t>
      </w:r>
      <w:r>
        <w:t xml:space="preserve"> </w:t>
      </w:r>
      <w:r w:rsidRPr="006503C8">
        <w:t>ce</w:t>
      </w:r>
      <w:r>
        <w:t xml:space="preserve"> </w:t>
      </w:r>
      <w:r w:rsidRPr="006503C8">
        <w:t>qui</w:t>
      </w:r>
      <w:r>
        <w:t xml:space="preserve"> </w:t>
      </w:r>
      <w:r w:rsidRPr="006503C8">
        <w:t>est</w:t>
      </w:r>
      <w:r>
        <w:t xml:space="preserve"> seulement </w:t>
      </w:r>
      <w:r w:rsidRPr="006503C8">
        <w:t>un</w:t>
      </w:r>
      <w:r>
        <w:t xml:space="preserve"> </w:t>
      </w:r>
      <w:r w:rsidRPr="006503C8">
        <w:t>objectif</w:t>
      </w:r>
      <w:r>
        <w:t xml:space="preserve"> </w:t>
      </w:r>
      <w:r w:rsidRPr="006503C8">
        <w:t>secondaire</w:t>
      </w:r>
      <w:r>
        <w:t xml:space="preserve"> </w:t>
      </w:r>
      <w:r w:rsidRPr="006503C8">
        <w:t>de</w:t>
      </w:r>
      <w:r>
        <w:t xml:space="preserve"> </w:t>
      </w:r>
      <w:r w:rsidRPr="006503C8">
        <w:t>la</w:t>
      </w:r>
      <w:r>
        <w:t xml:space="preserve"> </w:t>
      </w:r>
      <w:r w:rsidRPr="006503C8">
        <w:t>disposition</w:t>
      </w:r>
      <w:r>
        <w:t xml:space="preserve"> </w:t>
      </w:r>
      <w:r w:rsidRPr="006503C8">
        <w:t>visée.</w:t>
      </w:r>
      <w:r>
        <w:t xml:space="preserve"> </w:t>
      </w:r>
      <w:r w:rsidRPr="006503C8">
        <w:t>Dans</w:t>
      </w:r>
      <w:r>
        <w:t xml:space="preserve"> </w:t>
      </w:r>
      <w:r w:rsidRPr="006503C8">
        <w:t>son</w:t>
      </w:r>
      <w:r>
        <w:t xml:space="preserve"> </w:t>
      </w:r>
      <w:r w:rsidRPr="006503C8">
        <w:t>arrêt,</w:t>
      </w:r>
      <w:r>
        <w:t xml:space="preserve"> </w:t>
      </w:r>
      <w:r w:rsidRPr="006503C8">
        <w:t>la</w:t>
      </w:r>
      <w:r>
        <w:t xml:space="preserve"> </w:t>
      </w:r>
      <w:r w:rsidRPr="006503C8">
        <w:t>Cour</w:t>
      </w:r>
      <w:r>
        <w:t xml:space="preserve"> </w:t>
      </w:r>
      <w:r w:rsidRPr="006503C8">
        <w:t>suprême</w:t>
      </w:r>
      <w:r>
        <w:t xml:space="preserve"> </w:t>
      </w:r>
      <w:r w:rsidRPr="006503C8">
        <w:t>dit</w:t>
      </w:r>
      <w:r>
        <w:t xml:space="preserve"> </w:t>
      </w:r>
      <w:r w:rsidRPr="006503C8">
        <w:t>explicitement</w:t>
      </w:r>
      <w:r>
        <w:t xml:space="preserve"> </w:t>
      </w:r>
      <w:r w:rsidRPr="006503C8">
        <w:t>que</w:t>
      </w:r>
      <w:r>
        <w:t xml:space="preserve"> </w:t>
      </w:r>
      <w:r w:rsidRPr="006503C8">
        <w:t>l</w:t>
      </w:r>
      <w:r w:rsidR="00CA2931">
        <w:t>’</w:t>
      </w:r>
      <w:r w:rsidRPr="006503C8">
        <w:t>objectif</w:t>
      </w:r>
      <w:r>
        <w:t xml:space="preserve"> </w:t>
      </w:r>
      <w:r w:rsidRPr="006503C8">
        <w:t>de</w:t>
      </w:r>
      <w:r>
        <w:t xml:space="preserve"> </w:t>
      </w:r>
      <w:r w:rsidRPr="006503C8">
        <w:t>cet</w:t>
      </w:r>
      <w:r>
        <w:t xml:space="preserve"> </w:t>
      </w:r>
      <w:r w:rsidRPr="006503C8">
        <w:t>article</w:t>
      </w:r>
      <w:r>
        <w:t xml:space="preserve"> </w:t>
      </w:r>
      <w:r w:rsidRPr="006503C8">
        <w:t>est</w:t>
      </w:r>
      <w:r>
        <w:t xml:space="preserve"> </w:t>
      </w:r>
      <w:r w:rsidRPr="006503C8">
        <w:t>de</w:t>
      </w:r>
      <w:r>
        <w:t xml:space="preserve"> </w:t>
      </w:r>
      <w:r w:rsidRPr="006503C8">
        <w:t>permettre</w:t>
      </w:r>
      <w:r>
        <w:t xml:space="preserve"> </w:t>
      </w:r>
      <w:r w:rsidRPr="006503C8">
        <w:t>aux</w:t>
      </w:r>
      <w:r>
        <w:t xml:space="preserve"> </w:t>
      </w:r>
      <w:r w:rsidRPr="006503C8">
        <w:t>fonctionnaires</w:t>
      </w:r>
      <w:r>
        <w:t xml:space="preserve"> </w:t>
      </w:r>
      <w:r w:rsidRPr="006503C8">
        <w:t>ou</w:t>
      </w:r>
      <w:r>
        <w:t xml:space="preserve"> </w:t>
      </w:r>
      <w:r w:rsidRPr="006503C8">
        <w:t>aux</w:t>
      </w:r>
      <w:r>
        <w:t xml:space="preserve"> </w:t>
      </w:r>
      <w:r w:rsidRPr="006503C8">
        <w:t>personnes</w:t>
      </w:r>
      <w:r>
        <w:t xml:space="preserve"> </w:t>
      </w:r>
      <w:r w:rsidRPr="006503C8">
        <w:t>exerçant</w:t>
      </w:r>
      <w:r>
        <w:t xml:space="preserve"> </w:t>
      </w:r>
      <w:r w:rsidRPr="006503C8">
        <w:t>des</w:t>
      </w:r>
      <w:r>
        <w:t xml:space="preserve"> </w:t>
      </w:r>
      <w:r w:rsidRPr="006503C8">
        <w:t>fonctions</w:t>
      </w:r>
      <w:r>
        <w:t xml:space="preserve"> </w:t>
      </w:r>
      <w:r w:rsidRPr="006503C8">
        <w:t>d</w:t>
      </w:r>
      <w:r w:rsidR="00CA2931">
        <w:t>’</w:t>
      </w:r>
      <w:r w:rsidRPr="006503C8">
        <w:t>administration</w:t>
      </w:r>
      <w:r>
        <w:t xml:space="preserve"> </w:t>
      </w:r>
      <w:r w:rsidRPr="006503C8">
        <w:t>publique</w:t>
      </w:r>
      <w:r>
        <w:t xml:space="preserve"> </w:t>
      </w:r>
      <w:r w:rsidRPr="006503C8">
        <w:t>de</w:t>
      </w:r>
      <w:r>
        <w:t xml:space="preserve"> </w:t>
      </w:r>
      <w:r w:rsidRPr="006503C8">
        <w:t>s</w:t>
      </w:r>
      <w:r w:rsidR="00CA2931">
        <w:t>’</w:t>
      </w:r>
      <w:r w:rsidRPr="006503C8">
        <w:t>acquitter</w:t>
      </w:r>
      <w:r>
        <w:t xml:space="preserve"> </w:t>
      </w:r>
      <w:r w:rsidRPr="006503C8">
        <w:t>de</w:t>
      </w:r>
      <w:r>
        <w:t xml:space="preserve"> </w:t>
      </w:r>
      <w:r w:rsidRPr="006503C8">
        <w:t>leurs</w:t>
      </w:r>
      <w:r>
        <w:t xml:space="preserve"> </w:t>
      </w:r>
      <w:r w:rsidRPr="006503C8">
        <w:t>fonctions</w:t>
      </w:r>
      <w:r>
        <w:t xml:space="preserve"> </w:t>
      </w:r>
      <w:r w:rsidRPr="006503C8">
        <w:t>et</w:t>
      </w:r>
      <w:r>
        <w:t xml:space="preserve"> </w:t>
      </w:r>
      <w:r w:rsidRPr="006503C8">
        <w:t>d</w:t>
      </w:r>
      <w:r w:rsidR="00CA2931">
        <w:t>’</w:t>
      </w:r>
      <w:r w:rsidRPr="006503C8">
        <w:t>exercer</w:t>
      </w:r>
      <w:r>
        <w:t xml:space="preserve"> </w:t>
      </w:r>
      <w:r w:rsidRPr="006503C8">
        <w:t>leurs</w:t>
      </w:r>
      <w:r>
        <w:t xml:space="preserve"> </w:t>
      </w:r>
      <w:r w:rsidRPr="006503C8">
        <w:t>activités</w:t>
      </w:r>
      <w:r>
        <w:t xml:space="preserve"> </w:t>
      </w:r>
      <w:r w:rsidRPr="006503C8">
        <w:t>normales.</w:t>
      </w:r>
      <w:r>
        <w:t xml:space="preserve"> </w:t>
      </w:r>
      <w:r w:rsidRPr="006503C8">
        <w:t>Selon</w:t>
      </w:r>
      <w:r>
        <w:t xml:space="preserve"> </w:t>
      </w:r>
      <w:r w:rsidRPr="006503C8">
        <w:t>l</w:t>
      </w:r>
      <w:r w:rsidR="00CA2931">
        <w:t>’</w:t>
      </w:r>
      <w:r w:rsidRPr="006503C8">
        <w:t>État</w:t>
      </w:r>
      <w:r>
        <w:t xml:space="preserve"> </w:t>
      </w:r>
      <w:r w:rsidRPr="006503C8">
        <w:t>partie,</w:t>
      </w:r>
      <w:r>
        <w:t xml:space="preserve"> l</w:t>
      </w:r>
      <w:r w:rsidRPr="006503C8">
        <w:t>es</w:t>
      </w:r>
      <w:r>
        <w:t xml:space="preserve"> </w:t>
      </w:r>
      <w:r w:rsidRPr="006503C8">
        <w:t>motifs</w:t>
      </w:r>
      <w:r>
        <w:t xml:space="preserve"> </w:t>
      </w:r>
      <w:r w:rsidRPr="006503C8">
        <w:t>qui</w:t>
      </w:r>
      <w:r>
        <w:t xml:space="preserve"> </w:t>
      </w:r>
      <w:r w:rsidRPr="006503C8">
        <w:t>ont</w:t>
      </w:r>
      <w:r>
        <w:t xml:space="preserve"> </w:t>
      </w:r>
      <w:r w:rsidRPr="006503C8">
        <w:t>justifié</w:t>
      </w:r>
      <w:r>
        <w:t xml:space="preserve"> </w:t>
      </w:r>
      <w:r w:rsidRPr="006503C8">
        <w:t>la</w:t>
      </w:r>
      <w:r>
        <w:t xml:space="preserve"> </w:t>
      </w:r>
      <w:r w:rsidRPr="006503C8">
        <w:t>restriction</w:t>
      </w:r>
      <w:r>
        <w:t xml:space="preserve"> </w:t>
      </w:r>
      <w:r w:rsidRPr="006503C8">
        <w:t>à</w:t>
      </w:r>
      <w:r>
        <w:t xml:space="preserve"> </w:t>
      </w:r>
      <w:r w:rsidRPr="006503C8">
        <w:t>la</w:t>
      </w:r>
      <w:r>
        <w:t xml:space="preserve"> </w:t>
      </w:r>
      <w:r w:rsidRPr="006503C8">
        <w:t>liberté</w:t>
      </w:r>
      <w:r>
        <w:t xml:space="preserve"> </w:t>
      </w:r>
      <w:r w:rsidRPr="006503C8">
        <w:t>appartiennent</w:t>
      </w:r>
      <w:r>
        <w:t xml:space="preserve"> </w:t>
      </w:r>
      <w:r w:rsidRPr="006503C8">
        <w:t>aux</w:t>
      </w:r>
      <w:r>
        <w:t xml:space="preserve"> </w:t>
      </w:r>
      <w:r w:rsidRPr="006503C8">
        <w:t>motifs</w:t>
      </w:r>
      <w:r>
        <w:t xml:space="preserve"> </w:t>
      </w:r>
      <w:r w:rsidRPr="006503C8">
        <w:t>autorisés,</w:t>
      </w:r>
      <w:r>
        <w:t xml:space="preserve"> </w:t>
      </w:r>
      <w:r w:rsidRPr="006503C8">
        <w:t>en</w:t>
      </w:r>
      <w:r>
        <w:t xml:space="preserve"> </w:t>
      </w:r>
      <w:r w:rsidRPr="006503C8">
        <w:t>particulier</w:t>
      </w:r>
      <w:r>
        <w:t xml:space="preserve"> </w:t>
      </w:r>
      <w:r w:rsidRPr="006503C8">
        <w:t>la</w:t>
      </w:r>
      <w:r>
        <w:t xml:space="preserve"> </w:t>
      </w:r>
      <w:r w:rsidRPr="006503C8">
        <w:t>sauvegarde</w:t>
      </w:r>
      <w:r>
        <w:t xml:space="preserve"> </w:t>
      </w:r>
      <w:r w:rsidRPr="006503C8">
        <w:t>de</w:t>
      </w:r>
      <w:r>
        <w:t xml:space="preserve"> </w:t>
      </w:r>
      <w:r w:rsidRPr="006503C8">
        <w:t>l</w:t>
      </w:r>
      <w:r w:rsidR="00CA2931">
        <w:t>’</w:t>
      </w:r>
      <w:r w:rsidRPr="006503C8">
        <w:t>ordre</w:t>
      </w:r>
      <w:r>
        <w:t xml:space="preserve"> </w:t>
      </w:r>
      <w:r w:rsidRPr="006503C8">
        <w:t>public</w:t>
      </w:r>
      <w:r>
        <w:t xml:space="preserve"> </w:t>
      </w:r>
      <w:r w:rsidRPr="006503C8">
        <w:t>conformément</w:t>
      </w:r>
      <w:r>
        <w:t xml:space="preserve"> </w:t>
      </w:r>
      <w:r w:rsidRPr="006503C8">
        <w:t>au</w:t>
      </w:r>
      <w:r>
        <w:t xml:space="preserve"> </w:t>
      </w:r>
      <w:r w:rsidRPr="006503C8">
        <w:t>paragraphe</w:t>
      </w:r>
      <w:r>
        <w:t xml:space="preserve"> </w:t>
      </w:r>
      <w:r w:rsidRPr="006503C8">
        <w:t>3</w:t>
      </w:r>
      <w:r>
        <w:t xml:space="preserve"> </w:t>
      </w:r>
      <w:r w:rsidRPr="006503C8">
        <w:t>de</w:t>
      </w:r>
      <w:r>
        <w:t xml:space="preserve"> </w:t>
      </w:r>
      <w:r w:rsidRPr="006503C8">
        <w:t>l</w:t>
      </w:r>
      <w:r w:rsidR="00CA2931">
        <w:t>’</w:t>
      </w:r>
      <w:r w:rsidRPr="006503C8">
        <w:t>article</w:t>
      </w:r>
      <w:r>
        <w:t xml:space="preserve"> </w:t>
      </w:r>
      <w:r w:rsidRPr="006503C8">
        <w:t>19</w:t>
      </w:r>
      <w:r>
        <w:t xml:space="preserve"> </w:t>
      </w:r>
      <w:r w:rsidRPr="006503C8">
        <w:t>du</w:t>
      </w:r>
      <w:r>
        <w:t xml:space="preserve"> </w:t>
      </w:r>
      <w:r w:rsidRPr="006503C8">
        <w:t>Pacte.</w:t>
      </w:r>
    </w:p>
    <w:p w14:paraId="490AF8FF" w14:textId="77777777" w:rsidR="00765853" w:rsidRPr="006503C8" w:rsidRDefault="00765853" w:rsidP="00765853">
      <w:pPr>
        <w:pStyle w:val="SingleTxtG"/>
      </w:pPr>
      <w:r w:rsidRPr="006503C8">
        <w:t>4.5</w:t>
      </w:r>
      <w:r w:rsidRPr="006503C8">
        <w:tab/>
        <w:t>S</w:t>
      </w:r>
      <w:r w:rsidR="00CA2931">
        <w:t>’</w:t>
      </w:r>
      <w:r w:rsidRPr="006503C8">
        <w:t>agissant</w:t>
      </w:r>
      <w:r>
        <w:t xml:space="preserve"> </w:t>
      </w:r>
      <w:r w:rsidRPr="006503C8">
        <w:t>du</w:t>
      </w:r>
      <w:r>
        <w:t xml:space="preserve"> </w:t>
      </w:r>
      <w:r w:rsidRPr="006503C8">
        <w:t>critère</w:t>
      </w:r>
      <w:r>
        <w:t xml:space="preserve"> </w:t>
      </w:r>
      <w:r w:rsidRPr="006503C8">
        <w:t>de</w:t>
      </w:r>
      <w:r>
        <w:t xml:space="preserve"> </w:t>
      </w:r>
      <w:r w:rsidRPr="006503C8">
        <w:t>proportionnalité,</w:t>
      </w:r>
      <w:r>
        <w:t xml:space="preserve"> </w:t>
      </w:r>
      <w:r w:rsidRPr="006503C8">
        <w:t>l</w:t>
      </w:r>
      <w:r w:rsidR="00CA2931">
        <w:t>’</w:t>
      </w:r>
      <w:r w:rsidRPr="006503C8">
        <w:t>État</w:t>
      </w:r>
      <w:r>
        <w:t xml:space="preserve"> </w:t>
      </w:r>
      <w:r w:rsidRPr="006503C8">
        <w:t>partie</w:t>
      </w:r>
      <w:r>
        <w:t xml:space="preserve"> </w:t>
      </w:r>
      <w:r w:rsidRPr="006503C8">
        <w:t>soutient</w:t>
      </w:r>
      <w:r>
        <w:t xml:space="preserve"> </w:t>
      </w:r>
      <w:r w:rsidRPr="006503C8">
        <w:t>que</w:t>
      </w:r>
      <w:r>
        <w:t xml:space="preserve"> </w:t>
      </w:r>
      <w:r w:rsidRPr="006503C8">
        <w:t>l</w:t>
      </w:r>
      <w:r w:rsidR="00CA2931">
        <w:t>’</w:t>
      </w:r>
      <w:r w:rsidRPr="006503C8">
        <w:t>auteure</w:t>
      </w:r>
      <w:r>
        <w:t xml:space="preserve"> </w:t>
      </w:r>
      <w:r w:rsidRPr="006503C8">
        <w:t>n</w:t>
      </w:r>
      <w:r w:rsidR="00CA2931">
        <w:t>’</w:t>
      </w:r>
      <w:r w:rsidRPr="006503C8">
        <w:t>a</w:t>
      </w:r>
      <w:r>
        <w:t xml:space="preserve"> </w:t>
      </w:r>
      <w:r w:rsidRPr="006503C8">
        <w:t>pas</w:t>
      </w:r>
      <w:r>
        <w:t xml:space="preserve"> </w:t>
      </w:r>
      <w:r w:rsidRPr="006503C8">
        <w:t>suffisamment</w:t>
      </w:r>
      <w:r>
        <w:t xml:space="preserve"> </w:t>
      </w:r>
      <w:r w:rsidRPr="006503C8">
        <w:t>étayé</w:t>
      </w:r>
      <w:r>
        <w:t xml:space="preserve"> </w:t>
      </w:r>
      <w:r w:rsidRPr="006503C8">
        <w:t>ses</w:t>
      </w:r>
      <w:r>
        <w:t xml:space="preserve"> </w:t>
      </w:r>
      <w:r w:rsidRPr="006503C8">
        <w:t>griefs</w:t>
      </w:r>
      <w:r>
        <w:t xml:space="preserve"> </w:t>
      </w:r>
      <w:r w:rsidRPr="006503C8">
        <w:t>et</w:t>
      </w:r>
      <w:r>
        <w:t xml:space="preserve"> </w:t>
      </w:r>
      <w:r w:rsidRPr="006503C8">
        <w:t>que</w:t>
      </w:r>
      <w:r>
        <w:t xml:space="preserve"> </w:t>
      </w:r>
      <w:r w:rsidRPr="006503C8">
        <w:t>sa</w:t>
      </w:r>
      <w:r>
        <w:t xml:space="preserve"> </w:t>
      </w:r>
      <w:r w:rsidRPr="006503C8">
        <w:t>communication</w:t>
      </w:r>
      <w:r>
        <w:t xml:space="preserve"> </w:t>
      </w:r>
      <w:r w:rsidRPr="006503C8">
        <w:t>devrait</w:t>
      </w:r>
      <w:r>
        <w:t xml:space="preserve"> </w:t>
      </w:r>
      <w:r w:rsidRPr="006503C8">
        <w:t>donc</w:t>
      </w:r>
      <w:r>
        <w:t xml:space="preserve"> </w:t>
      </w:r>
      <w:r w:rsidRPr="006503C8">
        <w:t>être</w:t>
      </w:r>
      <w:r>
        <w:t xml:space="preserve"> </w:t>
      </w:r>
      <w:r w:rsidRPr="006503C8">
        <w:t>déclarée</w:t>
      </w:r>
      <w:r>
        <w:t xml:space="preserve"> </w:t>
      </w:r>
      <w:r w:rsidRPr="006503C8">
        <w:t>irrecevable</w:t>
      </w:r>
      <w:r>
        <w:t xml:space="preserve"> </w:t>
      </w:r>
      <w:r w:rsidRPr="006503C8">
        <w:t>en</w:t>
      </w:r>
      <w:r>
        <w:t xml:space="preserve"> </w:t>
      </w:r>
      <w:r w:rsidRPr="006503C8">
        <w:t>application</w:t>
      </w:r>
      <w:r>
        <w:t xml:space="preserve"> </w:t>
      </w:r>
      <w:r w:rsidRPr="006503C8">
        <w:t>de</w:t>
      </w:r>
      <w:r>
        <w:t xml:space="preserve"> </w:t>
      </w:r>
      <w:r w:rsidRPr="006503C8">
        <w:t>l</w:t>
      </w:r>
      <w:r w:rsidR="00CA2931">
        <w:t>’</w:t>
      </w:r>
      <w:r w:rsidRPr="006503C8">
        <w:t>article</w:t>
      </w:r>
      <w:r>
        <w:t> </w:t>
      </w:r>
      <w:r w:rsidRPr="006503C8">
        <w:t>2</w:t>
      </w:r>
      <w:r>
        <w:t xml:space="preserve"> </w:t>
      </w:r>
      <w:r w:rsidRPr="006503C8">
        <w:t>du</w:t>
      </w:r>
      <w:r>
        <w:t xml:space="preserve"> </w:t>
      </w:r>
      <w:r w:rsidRPr="006503C8">
        <w:t>Protocole</w:t>
      </w:r>
      <w:r>
        <w:t xml:space="preserve"> </w:t>
      </w:r>
      <w:r w:rsidRPr="006503C8">
        <w:t>facultatif.</w:t>
      </w:r>
      <w:r>
        <w:t xml:space="preserve"> </w:t>
      </w:r>
      <w:r w:rsidRPr="006503C8">
        <w:t>Selon</w:t>
      </w:r>
      <w:r>
        <w:t xml:space="preserve"> </w:t>
      </w:r>
      <w:r w:rsidRPr="006503C8">
        <w:t>l</w:t>
      </w:r>
      <w:r w:rsidR="00CA2931">
        <w:t>’</w:t>
      </w:r>
      <w:r w:rsidRPr="006503C8">
        <w:t>État</w:t>
      </w:r>
      <w:r>
        <w:t xml:space="preserve"> </w:t>
      </w:r>
      <w:r w:rsidRPr="006503C8">
        <w:t>partie,</w:t>
      </w:r>
      <w:r>
        <w:t xml:space="preserve"> </w:t>
      </w:r>
      <w:r w:rsidRPr="006503C8">
        <w:t>les</w:t>
      </w:r>
      <w:r>
        <w:t xml:space="preserve"> </w:t>
      </w:r>
      <w:r w:rsidRPr="006503C8">
        <w:t>juridictions</w:t>
      </w:r>
      <w:r>
        <w:t xml:space="preserve"> </w:t>
      </w:r>
      <w:r w:rsidRPr="006503C8">
        <w:t>nationales</w:t>
      </w:r>
      <w:r>
        <w:t xml:space="preserve"> </w:t>
      </w:r>
      <w:r w:rsidRPr="006503C8">
        <w:t>ont</w:t>
      </w:r>
      <w:r>
        <w:t xml:space="preserve"> </w:t>
      </w:r>
      <w:r w:rsidRPr="006503C8">
        <w:t>minutieusement</w:t>
      </w:r>
      <w:r>
        <w:t xml:space="preserve"> </w:t>
      </w:r>
      <w:r w:rsidRPr="006503C8">
        <w:t>analysé</w:t>
      </w:r>
      <w:r>
        <w:t xml:space="preserve"> </w:t>
      </w:r>
      <w:r w:rsidRPr="006503C8">
        <w:t>les</w:t>
      </w:r>
      <w:r>
        <w:t xml:space="preserve"> </w:t>
      </w:r>
      <w:r w:rsidRPr="006503C8">
        <w:t>circonstances</w:t>
      </w:r>
      <w:r>
        <w:t xml:space="preserve"> </w:t>
      </w:r>
      <w:r w:rsidRPr="006503C8">
        <w:t>de</w:t>
      </w:r>
      <w:r>
        <w:t xml:space="preserve"> </w:t>
      </w:r>
      <w:r w:rsidRPr="006503C8">
        <w:t>l</w:t>
      </w:r>
      <w:r w:rsidR="00CA2931">
        <w:t>’</w:t>
      </w:r>
      <w:r w:rsidRPr="006503C8">
        <w:t>affaire.</w:t>
      </w:r>
      <w:r>
        <w:t xml:space="preserve"> </w:t>
      </w:r>
      <w:r w:rsidRPr="006503C8">
        <w:t>Certaines</w:t>
      </w:r>
      <w:r>
        <w:t xml:space="preserve"> </w:t>
      </w:r>
      <w:r w:rsidRPr="006503C8">
        <w:t>parties</w:t>
      </w:r>
      <w:r>
        <w:t xml:space="preserve"> </w:t>
      </w:r>
      <w:r w:rsidRPr="006503C8">
        <w:t>de</w:t>
      </w:r>
      <w:r>
        <w:t xml:space="preserve"> </w:t>
      </w:r>
      <w:r w:rsidRPr="006503C8">
        <w:t>la</w:t>
      </w:r>
      <w:r>
        <w:t xml:space="preserve"> </w:t>
      </w:r>
      <w:r w:rsidRPr="006503C8">
        <w:t>déclaration</w:t>
      </w:r>
      <w:r>
        <w:t xml:space="preserve"> </w:t>
      </w:r>
      <w:r w:rsidRPr="006503C8">
        <w:t>de</w:t>
      </w:r>
      <w:r>
        <w:t xml:space="preserve"> </w:t>
      </w:r>
      <w:r w:rsidRPr="006503C8">
        <w:t>l</w:t>
      </w:r>
      <w:r w:rsidR="00CA2931">
        <w:t>’</w:t>
      </w:r>
      <w:r w:rsidRPr="006503C8">
        <w:t>auteure</w:t>
      </w:r>
      <w:r>
        <w:t xml:space="preserve"> </w:t>
      </w:r>
      <w:r w:rsidRPr="006503C8">
        <w:t>ont</w:t>
      </w:r>
      <w:r>
        <w:t xml:space="preserve"> </w:t>
      </w:r>
      <w:r w:rsidRPr="006503C8">
        <w:t>même</w:t>
      </w:r>
      <w:r>
        <w:t xml:space="preserve"> </w:t>
      </w:r>
      <w:r w:rsidRPr="006503C8">
        <w:t>été</w:t>
      </w:r>
      <w:r>
        <w:t xml:space="preserve"> </w:t>
      </w:r>
      <w:r w:rsidRPr="006503C8">
        <w:t>ignorées</w:t>
      </w:r>
      <w:r>
        <w:t xml:space="preserve"> </w:t>
      </w:r>
      <w:r w:rsidRPr="006503C8">
        <w:t>parce</w:t>
      </w:r>
      <w:r>
        <w:t xml:space="preserve"> </w:t>
      </w:r>
      <w:r w:rsidRPr="006503C8">
        <w:t>qu</w:t>
      </w:r>
      <w:r w:rsidR="00CA2931">
        <w:t>’</w:t>
      </w:r>
      <w:r w:rsidRPr="006503C8">
        <w:t>elles</w:t>
      </w:r>
      <w:r>
        <w:t xml:space="preserve"> </w:t>
      </w:r>
      <w:r w:rsidRPr="006503C8">
        <w:t>étaient</w:t>
      </w:r>
      <w:r>
        <w:t xml:space="preserve"> </w:t>
      </w:r>
      <w:r w:rsidRPr="006503C8">
        <w:t>vagues</w:t>
      </w:r>
      <w:r>
        <w:t xml:space="preserve"> </w:t>
      </w:r>
      <w:r w:rsidRPr="006503C8">
        <w:t>ou</w:t>
      </w:r>
      <w:r>
        <w:t xml:space="preserve"> </w:t>
      </w:r>
      <w:r w:rsidRPr="006503C8">
        <w:t>inoffensives</w:t>
      </w:r>
      <w:r>
        <w:t xml:space="preserve"> </w:t>
      </w:r>
      <w:r w:rsidRPr="006503C8">
        <w:t>et</w:t>
      </w:r>
      <w:r>
        <w:t xml:space="preserve"> </w:t>
      </w:r>
      <w:r w:rsidRPr="006503C8">
        <w:t>ne</w:t>
      </w:r>
      <w:r>
        <w:t xml:space="preserve"> </w:t>
      </w:r>
      <w:r w:rsidRPr="006503C8">
        <w:t>pouvaient</w:t>
      </w:r>
      <w:r>
        <w:t xml:space="preserve"> </w:t>
      </w:r>
      <w:r w:rsidRPr="006503C8">
        <w:t>donc</w:t>
      </w:r>
      <w:r>
        <w:t xml:space="preserve"> </w:t>
      </w:r>
      <w:r w:rsidRPr="006503C8">
        <w:t>constituer</w:t>
      </w:r>
      <w:r>
        <w:t xml:space="preserve"> </w:t>
      </w:r>
      <w:r w:rsidRPr="006503C8">
        <w:t>des</w:t>
      </w:r>
      <w:r>
        <w:t xml:space="preserve"> </w:t>
      </w:r>
      <w:r w:rsidRPr="006503C8">
        <w:t>éléments</w:t>
      </w:r>
      <w:r>
        <w:t xml:space="preserve"> </w:t>
      </w:r>
      <w:r w:rsidRPr="006503C8">
        <w:t>de</w:t>
      </w:r>
      <w:r>
        <w:t xml:space="preserve"> </w:t>
      </w:r>
      <w:r w:rsidRPr="006503C8">
        <w:t>l</w:t>
      </w:r>
      <w:r w:rsidR="00CA2931">
        <w:t>’</w:t>
      </w:r>
      <w:r w:rsidRPr="006503C8">
        <w:t>infraction</w:t>
      </w:r>
      <w:r>
        <w:t xml:space="preserve"> </w:t>
      </w:r>
      <w:r w:rsidRPr="006503C8">
        <w:t>visée</w:t>
      </w:r>
      <w:r>
        <w:t xml:space="preserve"> </w:t>
      </w:r>
      <w:r w:rsidRPr="006503C8">
        <w:t>à</w:t>
      </w:r>
      <w:r>
        <w:t xml:space="preserve"> </w:t>
      </w:r>
      <w:r w:rsidRPr="006503C8">
        <w:t>l</w:t>
      </w:r>
      <w:r w:rsidR="00CA2931">
        <w:t>’</w:t>
      </w:r>
      <w:r w:rsidRPr="006503C8">
        <w:t>article</w:t>
      </w:r>
      <w:r>
        <w:t> </w:t>
      </w:r>
      <w:r w:rsidRPr="006503C8">
        <w:t>290</w:t>
      </w:r>
      <w:r>
        <w:t xml:space="preserve"> </w:t>
      </w:r>
      <w:r w:rsidRPr="006503C8">
        <w:t>du</w:t>
      </w:r>
      <w:r>
        <w:t xml:space="preserve"> </w:t>
      </w:r>
      <w:r w:rsidRPr="006503C8">
        <w:t>Code</w:t>
      </w:r>
      <w:r>
        <w:t xml:space="preserve"> </w:t>
      </w:r>
      <w:r w:rsidRPr="006503C8">
        <w:t>pénal.</w:t>
      </w:r>
      <w:r>
        <w:t xml:space="preserve"> </w:t>
      </w:r>
      <w:r w:rsidRPr="006503C8">
        <w:t>En</w:t>
      </w:r>
      <w:r>
        <w:t xml:space="preserve"> </w:t>
      </w:r>
      <w:r w:rsidRPr="006503C8">
        <w:t>outre,</w:t>
      </w:r>
      <w:r>
        <w:t xml:space="preserve"> </w:t>
      </w:r>
      <w:r w:rsidRPr="006503C8">
        <w:t>tout</w:t>
      </w:r>
      <w:r>
        <w:t xml:space="preserve"> </w:t>
      </w:r>
      <w:r w:rsidRPr="006503C8">
        <w:t>en</w:t>
      </w:r>
      <w:r>
        <w:t xml:space="preserve"> </w:t>
      </w:r>
      <w:r w:rsidRPr="006503C8">
        <w:t>reconnaissant</w:t>
      </w:r>
      <w:r>
        <w:t xml:space="preserve"> </w:t>
      </w:r>
      <w:r w:rsidRPr="006503C8">
        <w:t>l</w:t>
      </w:r>
      <w:r w:rsidR="00CA2931">
        <w:t>’</w:t>
      </w:r>
      <w:r w:rsidRPr="006503C8">
        <w:t>importance</w:t>
      </w:r>
      <w:r>
        <w:t xml:space="preserve"> </w:t>
      </w:r>
      <w:r w:rsidRPr="006503C8">
        <w:t>des</w:t>
      </w:r>
      <w:r>
        <w:t xml:space="preserve"> </w:t>
      </w:r>
      <w:r w:rsidRPr="006503C8">
        <w:t>formes</w:t>
      </w:r>
      <w:r>
        <w:t xml:space="preserve"> </w:t>
      </w:r>
      <w:r w:rsidRPr="006503C8">
        <w:t>d</w:t>
      </w:r>
      <w:r w:rsidR="00CA2931">
        <w:t>’</w:t>
      </w:r>
      <w:r w:rsidRPr="006503C8">
        <w:t>expression</w:t>
      </w:r>
      <w:r>
        <w:t xml:space="preserve"> </w:t>
      </w:r>
      <w:r w:rsidRPr="006503C8">
        <w:t>qui</w:t>
      </w:r>
      <w:r>
        <w:t xml:space="preserve"> </w:t>
      </w:r>
      <w:r w:rsidRPr="006503C8">
        <w:t>contribuent</w:t>
      </w:r>
      <w:r>
        <w:t xml:space="preserve"> </w:t>
      </w:r>
      <w:r w:rsidRPr="006503C8">
        <w:t>au</w:t>
      </w:r>
      <w:r>
        <w:t xml:space="preserve"> </w:t>
      </w:r>
      <w:r w:rsidRPr="006503C8">
        <w:t>débat</w:t>
      </w:r>
      <w:r>
        <w:t xml:space="preserve"> </w:t>
      </w:r>
      <w:r w:rsidRPr="006503C8">
        <w:t>public</w:t>
      </w:r>
      <w:r>
        <w:t xml:space="preserve"> </w:t>
      </w:r>
      <w:r w:rsidRPr="006503C8">
        <w:t>au</w:t>
      </w:r>
      <w:r>
        <w:t xml:space="preserve"> </w:t>
      </w:r>
      <w:r w:rsidRPr="006503C8">
        <w:t>sujet</w:t>
      </w:r>
      <w:r>
        <w:t xml:space="preserve"> </w:t>
      </w:r>
      <w:r w:rsidRPr="006503C8">
        <w:t>de</w:t>
      </w:r>
      <w:r>
        <w:t xml:space="preserve"> </w:t>
      </w:r>
      <w:r w:rsidRPr="006503C8">
        <w:t>personnalités</w:t>
      </w:r>
      <w:r>
        <w:t xml:space="preserve"> </w:t>
      </w:r>
      <w:r w:rsidRPr="006503C8">
        <w:t>publiques,</w:t>
      </w:r>
      <w:r>
        <w:t xml:space="preserve"> </w:t>
      </w:r>
      <w:r w:rsidRPr="006503C8">
        <w:t>dans</w:t>
      </w:r>
      <w:r>
        <w:t xml:space="preserve"> </w:t>
      </w:r>
      <w:r w:rsidRPr="006503C8">
        <w:t>le</w:t>
      </w:r>
      <w:r>
        <w:t xml:space="preserve"> </w:t>
      </w:r>
      <w:r w:rsidRPr="006503C8">
        <w:t>domaine</w:t>
      </w:r>
      <w:r>
        <w:t xml:space="preserve"> </w:t>
      </w:r>
      <w:r w:rsidRPr="006503C8">
        <w:t>public</w:t>
      </w:r>
      <w:r>
        <w:t xml:space="preserve"> </w:t>
      </w:r>
      <w:r w:rsidRPr="006503C8">
        <w:t>et</w:t>
      </w:r>
      <w:r>
        <w:t xml:space="preserve"> </w:t>
      </w:r>
      <w:r w:rsidRPr="006503C8">
        <w:t>les</w:t>
      </w:r>
      <w:r>
        <w:t xml:space="preserve"> </w:t>
      </w:r>
      <w:r w:rsidRPr="006503C8">
        <w:t>institutions</w:t>
      </w:r>
      <w:r>
        <w:t xml:space="preserve"> </w:t>
      </w:r>
      <w:r w:rsidRPr="006503C8">
        <w:t>publiques,</w:t>
      </w:r>
      <w:r>
        <w:t xml:space="preserve"> </w:t>
      </w:r>
      <w:r w:rsidRPr="006503C8">
        <w:t>les</w:t>
      </w:r>
      <w:r>
        <w:t xml:space="preserve"> </w:t>
      </w:r>
      <w:r w:rsidRPr="006503C8">
        <w:t>juridictions</w:t>
      </w:r>
      <w:r>
        <w:t xml:space="preserve"> </w:t>
      </w:r>
      <w:r w:rsidRPr="006503C8">
        <w:t>nationales</w:t>
      </w:r>
      <w:r>
        <w:t xml:space="preserve"> </w:t>
      </w:r>
      <w:r w:rsidRPr="006503C8">
        <w:t>ont</w:t>
      </w:r>
      <w:r>
        <w:t xml:space="preserve"> </w:t>
      </w:r>
      <w:r w:rsidRPr="006503C8">
        <w:t>conclu</w:t>
      </w:r>
      <w:r>
        <w:t xml:space="preserve"> </w:t>
      </w:r>
      <w:r w:rsidRPr="006503C8">
        <w:t>que,</w:t>
      </w:r>
      <w:r>
        <w:t xml:space="preserve"> </w:t>
      </w:r>
      <w:r w:rsidRPr="006503C8">
        <w:t>d</w:t>
      </w:r>
      <w:r w:rsidR="00CA2931">
        <w:t>’</w:t>
      </w:r>
      <w:r w:rsidRPr="006503C8">
        <w:t>une</w:t>
      </w:r>
      <w:r>
        <w:t xml:space="preserve"> </w:t>
      </w:r>
      <w:r w:rsidRPr="006503C8">
        <w:t>part,</w:t>
      </w:r>
      <w:r>
        <w:t xml:space="preserve"> </w:t>
      </w:r>
      <w:r w:rsidRPr="006503C8">
        <w:t>les</w:t>
      </w:r>
      <w:r>
        <w:t xml:space="preserve"> </w:t>
      </w:r>
      <w:r w:rsidRPr="006503C8">
        <w:t>déclarations</w:t>
      </w:r>
      <w:r>
        <w:t xml:space="preserve"> </w:t>
      </w:r>
      <w:r w:rsidRPr="006503C8">
        <w:t>de</w:t>
      </w:r>
      <w:r>
        <w:t xml:space="preserve"> </w:t>
      </w:r>
      <w:r w:rsidRPr="006503C8">
        <w:t>l</w:t>
      </w:r>
      <w:r w:rsidR="00CA2931">
        <w:t>’</w:t>
      </w:r>
      <w:r w:rsidRPr="006503C8">
        <w:t>auteure</w:t>
      </w:r>
      <w:r>
        <w:t xml:space="preserve"> </w:t>
      </w:r>
      <w:r w:rsidRPr="006503C8">
        <w:t>ne</w:t>
      </w:r>
      <w:r>
        <w:t xml:space="preserve"> </w:t>
      </w:r>
      <w:r w:rsidRPr="006503C8">
        <w:t>contribuaient</w:t>
      </w:r>
      <w:r>
        <w:t xml:space="preserve"> </w:t>
      </w:r>
      <w:r w:rsidRPr="006503C8">
        <w:t>pas</w:t>
      </w:r>
      <w:r>
        <w:t xml:space="preserve"> </w:t>
      </w:r>
      <w:r w:rsidRPr="006503C8">
        <w:t>à</w:t>
      </w:r>
      <w:r>
        <w:t xml:space="preserve"> </w:t>
      </w:r>
      <w:r w:rsidRPr="006503C8">
        <w:t>un</w:t>
      </w:r>
      <w:r>
        <w:t xml:space="preserve"> </w:t>
      </w:r>
      <w:r w:rsidRPr="006503C8">
        <w:t>débat</w:t>
      </w:r>
      <w:r>
        <w:t xml:space="preserve"> </w:t>
      </w:r>
      <w:r w:rsidRPr="006503C8">
        <w:t>public</w:t>
      </w:r>
      <w:r>
        <w:t xml:space="preserve"> </w:t>
      </w:r>
      <w:r w:rsidRPr="006503C8">
        <w:t>et</w:t>
      </w:r>
      <w:r>
        <w:t xml:space="preserve"> </w:t>
      </w:r>
      <w:r w:rsidRPr="006503C8">
        <w:t>que,</w:t>
      </w:r>
      <w:r>
        <w:t xml:space="preserve"> </w:t>
      </w:r>
      <w:r w:rsidRPr="006503C8">
        <w:t>d</w:t>
      </w:r>
      <w:r w:rsidR="00CA2931">
        <w:t>’</w:t>
      </w:r>
      <w:r w:rsidRPr="006503C8">
        <w:t>autre</w:t>
      </w:r>
      <w:r>
        <w:t xml:space="preserve"> </w:t>
      </w:r>
      <w:r w:rsidRPr="006503C8">
        <w:t>part,</w:t>
      </w:r>
      <w:r>
        <w:t xml:space="preserve"> </w:t>
      </w:r>
      <w:r w:rsidRPr="006503C8">
        <w:t>les</w:t>
      </w:r>
      <w:r>
        <w:t xml:space="preserve"> </w:t>
      </w:r>
      <w:r w:rsidRPr="006503C8">
        <w:t>procureurs</w:t>
      </w:r>
      <w:r>
        <w:t xml:space="preserve"> </w:t>
      </w:r>
      <w:r w:rsidRPr="006503C8">
        <w:t>insultés</w:t>
      </w:r>
      <w:r>
        <w:t xml:space="preserve"> </w:t>
      </w:r>
      <w:r w:rsidRPr="006503C8">
        <w:t>ne</w:t>
      </w:r>
      <w:r>
        <w:t xml:space="preserve"> </w:t>
      </w:r>
      <w:r w:rsidRPr="006503C8">
        <w:t>pouvaient</w:t>
      </w:r>
      <w:r>
        <w:t xml:space="preserve"> </w:t>
      </w:r>
      <w:r w:rsidRPr="006503C8">
        <w:t>être</w:t>
      </w:r>
      <w:r>
        <w:t xml:space="preserve"> </w:t>
      </w:r>
      <w:r w:rsidRPr="006503C8">
        <w:t>considérés</w:t>
      </w:r>
      <w:r>
        <w:t xml:space="preserve"> </w:t>
      </w:r>
      <w:r w:rsidRPr="006503C8">
        <w:t>comme</w:t>
      </w:r>
      <w:r>
        <w:t xml:space="preserve"> </w:t>
      </w:r>
      <w:r w:rsidRPr="006503C8">
        <w:t>des</w:t>
      </w:r>
      <w:r>
        <w:t xml:space="preserve"> </w:t>
      </w:r>
      <w:r w:rsidRPr="006503C8">
        <w:t>personnalités</w:t>
      </w:r>
      <w:r>
        <w:t xml:space="preserve"> </w:t>
      </w:r>
      <w:r w:rsidRPr="006503C8">
        <w:t>publiques</w:t>
      </w:r>
      <w:r>
        <w:t xml:space="preserve"> </w:t>
      </w:r>
      <w:r w:rsidRPr="006503C8">
        <w:t>ou</w:t>
      </w:r>
      <w:r>
        <w:t xml:space="preserve"> </w:t>
      </w:r>
      <w:r w:rsidRPr="006503C8">
        <w:t>politiques.</w:t>
      </w:r>
      <w:r>
        <w:t xml:space="preserve"> </w:t>
      </w:r>
      <w:r w:rsidRPr="006503C8">
        <w:t>À</w:t>
      </w:r>
      <w:r>
        <w:t xml:space="preserve"> </w:t>
      </w:r>
      <w:r w:rsidRPr="006503C8">
        <w:t>ce</w:t>
      </w:r>
      <w:r>
        <w:t xml:space="preserve"> </w:t>
      </w:r>
      <w:r w:rsidRPr="006503C8">
        <w:t>sujet,</w:t>
      </w:r>
      <w:r>
        <w:t xml:space="preserve"> </w:t>
      </w:r>
      <w:r w:rsidRPr="006503C8">
        <w:t>la</w:t>
      </w:r>
      <w:r>
        <w:t xml:space="preserve"> </w:t>
      </w:r>
      <w:r w:rsidRPr="006503C8">
        <w:t>Cour</w:t>
      </w:r>
      <w:r>
        <w:t xml:space="preserve"> </w:t>
      </w:r>
      <w:r w:rsidRPr="006503C8">
        <w:t>suprême</w:t>
      </w:r>
      <w:r>
        <w:t xml:space="preserve"> </w:t>
      </w:r>
      <w:r w:rsidRPr="006503C8">
        <w:t>a</w:t>
      </w:r>
      <w:r>
        <w:t xml:space="preserve"> </w:t>
      </w:r>
      <w:r w:rsidRPr="006503C8">
        <w:t>fait</w:t>
      </w:r>
      <w:r>
        <w:t xml:space="preserve"> </w:t>
      </w:r>
      <w:r w:rsidRPr="006503C8">
        <w:t>remarquer</w:t>
      </w:r>
      <w:r>
        <w:t xml:space="preserve"> </w:t>
      </w:r>
      <w:r w:rsidRPr="006503C8">
        <w:t>que</w:t>
      </w:r>
      <w:r>
        <w:t xml:space="preserve"> </w:t>
      </w:r>
      <w:r w:rsidRPr="006503C8">
        <w:t>la</w:t>
      </w:r>
      <w:r>
        <w:t xml:space="preserve"> </w:t>
      </w:r>
      <w:r w:rsidRPr="006503C8">
        <w:t>critique</w:t>
      </w:r>
      <w:r>
        <w:t xml:space="preserve"> </w:t>
      </w:r>
      <w:r w:rsidRPr="006503C8">
        <w:t>publique</w:t>
      </w:r>
      <w:r>
        <w:t xml:space="preserve"> </w:t>
      </w:r>
      <w:r w:rsidRPr="006503C8">
        <w:t>pouvait</w:t>
      </w:r>
      <w:r>
        <w:t xml:space="preserve"> </w:t>
      </w:r>
      <w:r w:rsidRPr="006503C8">
        <w:t>et</w:t>
      </w:r>
      <w:r>
        <w:t xml:space="preserve"> </w:t>
      </w:r>
      <w:r w:rsidRPr="006503C8">
        <w:t>devait</w:t>
      </w:r>
      <w:r>
        <w:t xml:space="preserve"> </w:t>
      </w:r>
      <w:r w:rsidRPr="006503C8">
        <w:t>être</w:t>
      </w:r>
      <w:r>
        <w:t xml:space="preserve"> </w:t>
      </w:r>
      <w:r w:rsidRPr="006503C8">
        <w:t>exprimée</w:t>
      </w:r>
      <w:r>
        <w:t xml:space="preserve"> </w:t>
      </w:r>
      <w:r w:rsidRPr="006503C8">
        <w:t>sans</w:t>
      </w:r>
      <w:r>
        <w:t xml:space="preserve"> </w:t>
      </w:r>
      <w:r w:rsidRPr="006503C8">
        <w:t>termes</w:t>
      </w:r>
      <w:r>
        <w:t xml:space="preserve"> </w:t>
      </w:r>
      <w:r w:rsidRPr="006503C8">
        <w:t>extrêmes</w:t>
      </w:r>
      <w:r>
        <w:t xml:space="preserve"> </w:t>
      </w:r>
      <w:r w:rsidRPr="006503C8">
        <w:t>ou</w:t>
      </w:r>
      <w:r>
        <w:t xml:space="preserve"> </w:t>
      </w:r>
      <w:r w:rsidRPr="006503C8">
        <w:t>insultants</w:t>
      </w:r>
      <w:r>
        <w:t xml:space="preserve"> </w:t>
      </w:r>
      <w:r w:rsidRPr="006503C8">
        <w:t>qui</w:t>
      </w:r>
      <w:r>
        <w:t xml:space="preserve"> </w:t>
      </w:r>
      <w:r w:rsidRPr="006503C8">
        <w:t>n</w:t>
      </w:r>
      <w:r w:rsidR="00CA2931">
        <w:t>’</w:t>
      </w:r>
      <w:r w:rsidRPr="006503C8">
        <w:t>enrichissent</w:t>
      </w:r>
      <w:r>
        <w:t xml:space="preserve"> </w:t>
      </w:r>
      <w:r w:rsidRPr="006503C8">
        <w:t>pas</w:t>
      </w:r>
      <w:r>
        <w:t xml:space="preserve"> </w:t>
      </w:r>
      <w:r w:rsidRPr="006503C8">
        <w:t>le</w:t>
      </w:r>
      <w:r>
        <w:t xml:space="preserve"> </w:t>
      </w:r>
      <w:r w:rsidRPr="006503C8">
        <w:t>débat</w:t>
      </w:r>
      <w:r>
        <w:t xml:space="preserve"> </w:t>
      </w:r>
      <w:r w:rsidRPr="006503C8">
        <w:t>et</w:t>
      </w:r>
      <w:r>
        <w:t xml:space="preserve"> </w:t>
      </w:r>
      <w:r w:rsidRPr="006503C8">
        <w:t>menacent</w:t>
      </w:r>
      <w:r>
        <w:t xml:space="preserve"> </w:t>
      </w:r>
      <w:r w:rsidRPr="006503C8">
        <w:t>le</w:t>
      </w:r>
      <w:r>
        <w:t xml:space="preserve"> </w:t>
      </w:r>
      <w:r w:rsidRPr="006503C8">
        <w:t>bon</w:t>
      </w:r>
      <w:r>
        <w:t xml:space="preserve"> </w:t>
      </w:r>
      <w:r w:rsidRPr="006503C8">
        <w:t>travail</w:t>
      </w:r>
      <w:r>
        <w:t xml:space="preserve"> </w:t>
      </w:r>
      <w:r w:rsidRPr="006503C8">
        <w:t>des</w:t>
      </w:r>
      <w:r>
        <w:t xml:space="preserve"> </w:t>
      </w:r>
      <w:r w:rsidRPr="006503C8">
        <w:t>fonctionnaires,</w:t>
      </w:r>
      <w:r>
        <w:t xml:space="preserve"> </w:t>
      </w:r>
      <w:r w:rsidRPr="006503C8">
        <w:t>ainsi</w:t>
      </w:r>
      <w:r>
        <w:t xml:space="preserve"> </w:t>
      </w:r>
      <w:r w:rsidRPr="006503C8">
        <w:t>que</w:t>
      </w:r>
      <w:r>
        <w:t xml:space="preserve"> </w:t>
      </w:r>
      <w:r w:rsidRPr="006503C8">
        <w:t>leur</w:t>
      </w:r>
      <w:r>
        <w:t xml:space="preserve"> </w:t>
      </w:r>
      <w:r w:rsidRPr="006503C8">
        <w:t>honneur</w:t>
      </w:r>
      <w:r>
        <w:t xml:space="preserve"> </w:t>
      </w:r>
      <w:r w:rsidRPr="006503C8">
        <w:t>et</w:t>
      </w:r>
      <w:r>
        <w:t xml:space="preserve"> </w:t>
      </w:r>
      <w:r w:rsidRPr="006503C8">
        <w:t>leur</w:t>
      </w:r>
      <w:r>
        <w:t xml:space="preserve"> </w:t>
      </w:r>
      <w:r w:rsidRPr="006503C8">
        <w:t>dignité.</w:t>
      </w:r>
      <w:r>
        <w:t xml:space="preserve"> </w:t>
      </w:r>
      <w:r w:rsidRPr="006503C8">
        <w:t>La</w:t>
      </w:r>
      <w:r>
        <w:t xml:space="preserve"> </w:t>
      </w:r>
      <w:r w:rsidRPr="006503C8">
        <w:t>Cour</w:t>
      </w:r>
      <w:r>
        <w:t xml:space="preserve"> </w:t>
      </w:r>
      <w:r w:rsidRPr="006503C8">
        <w:t>suprême</w:t>
      </w:r>
      <w:r>
        <w:t xml:space="preserve"> </w:t>
      </w:r>
      <w:r w:rsidRPr="006503C8">
        <w:t>a</w:t>
      </w:r>
      <w:r>
        <w:t xml:space="preserve"> </w:t>
      </w:r>
      <w:r w:rsidRPr="006503C8">
        <w:t>souligné</w:t>
      </w:r>
      <w:r>
        <w:t xml:space="preserve"> </w:t>
      </w:r>
      <w:r w:rsidRPr="006503C8">
        <w:t>que</w:t>
      </w:r>
      <w:r>
        <w:t xml:space="preserve"> </w:t>
      </w:r>
      <w:r w:rsidRPr="006503C8">
        <w:t>l</w:t>
      </w:r>
      <w:r w:rsidR="00CA2931">
        <w:t>’</w:t>
      </w:r>
      <w:r w:rsidRPr="006503C8">
        <w:t>auteure</w:t>
      </w:r>
      <w:r>
        <w:t xml:space="preserve"> </w:t>
      </w:r>
      <w:r w:rsidRPr="006503C8">
        <w:t>n</w:t>
      </w:r>
      <w:r w:rsidR="00CA2931">
        <w:t>’</w:t>
      </w:r>
      <w:r w:rsidRPr="006503C8">
        <w:t>avait</w:t>
      </w:r>
      <w:r>
        <w:t xml:space="preserve"> </w:t>
      </w:r>
      <w:r w:rsidRPr="006503C8">
        <w:t>pas</w:t>
      </w:r>
      <w:r>
        <w:t xml:space="preserve"> </w:t>
      </w:r>
      <w:r w:rsidRPr="006503C8">
        <w:t>été</w:t>
      </w:r>
      <w:r>
        <w:t xml:space="preserve"> </w:t>
      </w:r>
      <w:r w:rsidRPr="006503C8">
        <w:t>condamnée</w:t>
      </w:r>
      <w:r>
        <w:t xml:space="preserve"> </w:t>
      </w:r>
      <w:r w:rsidRPr="006503C8">
        <w:t>pour</w:t>
      </w:r>
      <w:r>
        <w:t xml:space="preserve"> </w:t>
      </w:r>
      <w:r w:rsidRPr="006503C8">
        <w:t>avoir</w:t>
      </w:r>
      <w:r>
        <w:t xml:space="preserve"> </w:t>
      </w:r>
      <w:r w:rsidRPr="006503C8">
        <w:t>critiqu</w:t>
      </w:r>
      <w:r>
        <w:t xml:space="preserve">é </w:t>
      </w:r>
      <w:r w:rsidRPr="006503C8">
        <w:t>les</w:t>
      </w:r>
      <w:r>
        <w:t xml:space="preserve"> </w:t>
      </w:r>
      <w:r w:rsidRPr="006503C8">
        <w:t>procureurs,</w:t>
      </w:r>
      <w:r>
        <w:t xml:space="preserve"> </w:t>
      </w:r>
      <w:r w:rsidRPr="006503C8">
        <w:t>mais</w:t>
      </w:r>
      <w:r>
        <w:t xml:space="preserve"> </w:t>
      </w:r>
      <w:r w:rsidRPr="006503C8">
        <w:t>pour</w:t>
      </w:r>
      <w:r>
        <w:t xml:space="preserve"> </w:t>
      </w:r>
      <w:r w:rsidRPr="006503C8">
        <w:t>l</w:t>
      </w:r>
      <w:r w:rsidR="00CA2931">
        <w:t>’</w:t>
      </w:r>
      <w:r w:rsidRPr="006503C8">
        <w:t>avoir</w:t>
      </w:r>
      <w:r>
        <w:t xml:space="preserve"> </w:t>
      </w:r>
      <w:r w:rsidRPr="006503C8">
        <w:t>fait</w:t>
      </w:r>
      <w:r>
        <w:t xml:space="preserve"> </w:t>
      </w:r>
      <w:r w:rsidRPr="006503C8">
        <w:t>de</w:t>
      </w:r>
      <w:r>
        <w:t xml:space="preserve"> </w:t>
      </w:r>
      <w:r w:rsidRPr="006503C8">
        <w:t>façon</w:t>
      </w:r>
      <w:r>
        <w:t xml:space="preserve"> </w:t>
      </w:r>
      <w:r w:rsidRPr="006503C8">
        <w:t>insultante.</w:t>
      </w:r>
    </w:p>
    <w:p w14:paraId="44FF23FB" w14:textId="77777777" w:rsidR="00765853" w:rsidRPr="006503C8" w:rsidRDefault="00765853" w:rsidP="00765853">
      <w:pPr>
        <w:pStyle w:val="SingleTxtG"/>
      </w:pPr>
      <w:r w:rsidRPr="006503C8">
        <w:t>4.6</w:t>
      </w:r>
      <w:r w:rsidRPr="006503C8">
        <w:tab/>
        <w:t>En</w:t>
      </w:r>
      <w:r>
        <w:t xml:space="preserve"> </w:t>
      </w:r>
      <w:r w:rsidRPr="006503C8">
        <w:t>outre,</w:t>
      </w:r>
      <w:r>
        <w:t xml:space="preserve"> </w:t>
      </w:r>
      <w:r w:rsidRPr="006503C8">
        <w:t>l</w:t>
      </w:r>
      <w:r w:rsidR="00CA2931">
        <w:t>’</w:t>
      </w:r>
      <w:r w:rsidRPr="006503C8">
        <w:t>État</w:t>
      </w:r>
      <w:r>
        <w:t xml:space="preserve"> </w:t>
      </w:r>
      <w:r w:rsidRPr="006503C8">
        <w:t>partie</w:t>
      </w:r>
      <w:r>
        <w:t xml:space="preserve"> </w:t>
      </w:r>
      <w:r w:rsidRPr="006503C8">
        <w:t>insiste</w:t>
      </w:r>
      <w:r>
        <w:t xml:space="preserve"> </w:t>
      </w:r>
      <w:r w:rsidRPr="006503C8">
        <w:t>sur</w:t>
      </w:r>
      <w:r>
        <w:t xml:space="preserve"> </w:t>
      </w:r>
      <w:r w:rsidRPr="006503C8">
        <w:t>le</w:t>
      </w:r>
      <w:r>
        <w:t xml:space="preserve"> </w:t>
      </w:r>
      <w:r w:rsidRPr="006503C8">
        <w:t>fait</w:t>
      </w:r>
      <w:r>
        <w:t xml:space="preserve"> </w:t>
      </w:r>
      <w:r w:rsidRPr="006503C8">
        <w:t>que</w:t>
      </w:r>
      <w:r>
        <w:t xml:space="preserve"> </w:t>
      </w:r>
      <w:r w:rsidRPr="006503C8">
        <w:t>les</w:t>
      </w:r>
      <w:r>
        <w:t xml:space="preserve"> </w:t>
      </w:r>
      <w:r w:rsidRPr="006503C8">
        <w:t>juridictions</w:t>
      </w:r>
      <w:r>
        <w:t xml:space="preserve"> </w:t>
      </w:r>
      <w:r w:rsidRPr="006503C8">
        <w:t>nationales</w:t>
      </w:r>
      <w:r>
        <w:t xml:space="preserve"> </w:t>
      </w:r>
      <w:r w:rsidRPr="006503C8">
        <w:t>ont</w:t>
      </w:r>
      <w:r>
        <w:t xml:space="preserve"> </w:t>
      </w:r>
      <w:r w:rsidRPr="006503C8">
        <w:t>considéré</w:t>
      </w:r>
      <w:r>
        <w:t xml:space="preserve"> </w:t>
      </w:r>
      <w:r w:rsidRPr="006503C8">
        <w:t>l</w:t>
      </w:r>
      <w:r w:rsidR="00CA2931">
        <w:t>’</w:t>
      </w:r>
      <w:r w:rsidRPr="006503C8">
        <w:t>affaire</w:t>
      </w:r>
      <w:r>
        <w:t xml:space="preserve"> </w:t>
      </w:r>
      <w:r w:rsidRPr="006503C8">
        <w:t>dans</w:t>
      </w:r>
      <w:r>
        <w:t xml:space="preserve"> </w:t>
      </w:r>
      <w:r w:rsidRPr="006503C8">
        <w:t>son</w:t>
      </w:r>
      <w:r>
        <w:t xml:space="preserve"> </w:t>
      </w:r>
      <w:r w:rsidRPr="006503C8">
        <w:t>ensemble</w:t>
      </w:r>
      <w:r>
        <w:t xml:space="preserve"> </w:t>
      </w:r>
      <w:r w:rsidRPr="006503C8">
        <w:t>et</w:t>
      </w:r>
      <w:r>
        <w:t xml:space="preserve"> </w:t>
      </w:r>
      <w:r w:rsidRPr="006503C8">
        <w:t>apprécié</w:t>
      </w:r>
      <w:r>
        <w:t xml:space="preserve"> </w:t>
      </w:r>
      <w:r w:rsidRPr="006503C8">
        <w:t>comme</w:t>
      </w:r>
      <w:r>
        <w:t xml:space="preserve"> </w:t>
      </w:r>
      <w:r w:rsidRPr="006503C8">
        <w:t>il</w:t>
      </w:r>
      <w:r>
        <w:t xml:space="preserve"> </w:t>
      </w:r>
      <w:r w:rsidRPr="006503C8">
        <w:t>se</w:t>
      </w:r>
      <w:r>
        <w:t xml:space="preserve"> </w:t>
      </w:r>
      <w:r w:rsidRPr="006503C8">
        <w:t>doit</w:t>
      </w:r>
      <w:r>
        <w:t xml:space="preserve"> </w:t>
      </w:r>
      <w:r w:rsidRPr="006503C8">
        <w:t>les</w:t>
      </w:r>
      <w:r>
        <w:t xml:space="preserve"> </w:t>
      </w:r>
      <w:r w:rsidRPr="006503C8">
        <w:t>circonstances</w:t>
      </w:r>
      <w:r>
        <w:t xml:space="preserve"> </w:t>
      </w:r>
      <w:r w:rsidRPr="006503C8">
        <w:t>aggravantes</w:t>
      </w:r>
      <w:r>
        <w:t xml:space="preserve"> </w:t>
      </w:r>
      <w:r w:rsidRPr="006503C8">
        <w:t>et</w:t>
      </w:r>
      <w:r>
        <w:t xml:space="preserve"> </w:t>
      </w:r>
      <w:r w:rsidRPr="006503C8">
        <w:t>atténuantes.</w:t>
      </w:r>
      <w:r>
        <w:t xml:space="preserve"> </w:t>
      </w:r>
      <w:r w:rsidRPr="006503C8">
        <w:t>Ainsi,</w:t>
      </w:r>
      <w:r>
        <w:t xml:space="preserve"> </w:t>
      </w:r>
      <w:r w:rsidRPr="006503C8">
        <w:t>elles</w:t>
      </w:r>
      <w:r>
        <w:t xml:space="preserve"> </w:t>
      </w:r>
      <w:r w:rsidRPr="006503C8">
        <w:t>ont</w:t>
      </w:r>
      <w:r>
        <w:t xml:space="preserve"> </w:t>
      </w:r>
      <w:r w:rsidRPr="006503C8">
        <w:t>pris</w:t>
      </w:r>
      <w:r>
        <w:t xml:space="preserve"> </w:t>
      </w:r>
      <w:r w:rsidRPr="006503C8">
        <w:t>note</w:t>
      </w:r>
      <w:r>
        <w:t xml:space="preserve"> </w:t>
      </w:r>
      <w:r w:rsidRPr="006503C8">
        <w:t>du</w:t>
      </w:r>
      <w:r>
        <w:t xml:space="preserve"> </w:t>
      </w:r>
      <w:r w:rsidRPr="006503C8">
        <w:t>fait</w:t>
      </w:r>
      <w:r>
        <w:t xml:space="preserve"> </w:t>
      </w:r>
      <w:r w:rsidRPr="006503C8">
        <w:t>que</w:t>
      </w:r>
      <w:r>
        <w:t xml:space="preserve"> </w:t>
      </w:r>
      <w:r w:rsidRPr="006503C8">
        <w:t>l</w:t>
      </w:r>
      <w:r w:rsidR="00CA2931">
        <w:t>’</w:t>
      </w:r>
      <w:r w:rsidRPr="006503C8">
        <w:t>interview</w:t>
      </w:r>
      <w:r>
        <w:t xml:space="preserve"> </w:t>
      </w:r>
      <w:r w:rsidRPr="006503C8">
        <w:t>pendant</w:t>
      </w:r>
      <w:r>
        <w:t xml:space="preserve"> </w:t>
      </w:r>
      <w:r w:rsidRPr="006503C8">
        <w:t>laquelle</w:t>
      </w:r>
      <w:r>
        <w:t xml:space="preserve"> </w:t>
      </w:r>
      <w:r w:rsidRPr="006503C8">
        <w:t>l</w:t>
      </w:r>
      <w:r w:rsidR="00CA2931">
        <w:t>’</w:t>
      </w:r>
      <w:r w:rsidRPr="006503C8">
        <w:t>auteur</w:t>
      </w:r>
      <w:r>
        <w:t xml:space="preserve">e </w:t>
      </w:r>
      <w:r w:rsidRPr="006503C8">
        <w:t>avait</w:t>
      </w:r>
      <w:r>
        <w:t xml:space="preserve"> </w:t>
      </w:r>
      <w:r w:rsidRPr="006503C8">
        <w:t>fait</w:t>
      </w:r>
      <w:r>
        <w:t xml:space="preserve"> </w:t>
      </w:r>
      <w:r w:rsidRPr="006503C8">
        <w:t>sa</w:t>
      </w:r>
      <w:r>
        <w:t xml:space="preserve"> </w:t>
      </w:r>
      <w:r w:rsidRPr="006503C8">
        <w:t>déclaration</w:t>
      </w:r>
      <w:r>
        <w:t xml:space="preserve"> </w:t>
      </w:r>
      <w:r w:rsidRPr="006503C8">
        <w:t>avait</w:t>
      </w:r>
      <w:r>
        <w:t xml:space="preserve"> </w:t>
      </w:r>
      <w:r w:rsidRPr="006503C8">
        <w:t>été</w:t>
      </w:r>
      <w:r>
        <w:t xml:space="preserve"> </w:t>
      </w:r>
      <w:r w:rsidRPr="006503C8">
        <w:t>largement</w:t>
      </w:r>
      <w:r>
        <w:t xml:space="preserve"> </w:t>
      </w:r>
      <w:r w:rsidRPr="006503C8">
        <w:t>diffusée</w:t>
      </w:r>
      <w:r>
        <w:t xml:space="preserve"> </w:t>
      </w:r>
      <w:r w:rsidRPr="006503C8">
        <w:t>à</w:t>
      </w:r>
      <w:r>
        <w:t xml:space="preserve"> </w:t>
      </w:r>
      <w:r w:rsidRPr="006503C8">
        <w:t>la</w:t>
      </w:r>
      <w:r>
        <w:t xml:space="preserve"> </w:t>
      </w:r>
      <w:r w:rsidRPr="006503C8">
        <w:t>télévision</w:t>
      </w:r>
      <w:r>
        <w:t xml:space="preserve"> </w:t>
      </w:r>
      <w:r w:rsidRPr="006503C8">
        <w:t>et</w:t>
      </w:r>
      <w:r>
        <w:t xml:space="preserve"> </w:t>
      </w:r>
      <w:r w:rsidRPr="006503C8">
        <w:t>avait</w:t>
      </w:r>
      <w:r>
        <w:t xml:space="preserve"> </w:t>
      </w:r>
      <w:r w:rsidRPr="006503C8">
        <w:t>donc</w:t>
      </w:r>
      <w:r>
        <w:t xml:space="preserve"> </w:t>
      </w:r>
      <w:r w:rsidRPr="006503C8">
        <w:t>touché</w:t>
      </w:r>
      <w:r>
        <w:t xml:space="preserve"> </w:t>
      </w:r>
      <w:r w:rsidRPr="006503C8">
        <w:t>un</w:t>
      </w:r>
      <w:r>
        <w:t xml:space="preserve"> </w:t>
      </w:r>
      <w:r w:rsidRPr="006503C8">
        <w:t>nombre</w:t>
      </w:r>
      <w:r>
        <w:t xml:space="preserve"> </w:t>
      </w:r>
      <w:r w:rsidRPr="006503C8">
        <w:t>indéterminé</w:t>
      </w:r>
      <w:r>
        <w:t xml:space="preserve"> </w:t>
      </w:r>
      <w:r w:rsidRPr="006503C8">
        <w:t>de</w:t>
      </w:r>
      <w:r>
        <w:t xml:space="preserve"> </w:t>
      </w:r>
      <w:r w:rsidRPr="006503C8">
        <w:t>personnes.</w:t>
      </w:r>
      <w:r>
        <w:t xml:space="preserve"> </w:t>
      </w:r>
      <w:r w:rsidRPr="006503C8">
        <w:t>Elles</w:t>
      </w:r>
      <w:r>
        <w:t xml:space="preserve"> </w:t>
      </w:r>
      <w:r w:rsidRPr="006503C8">
        <w:t>ont</w:t>
      </w:r>
      <w:r>
        <w:t xml:space="preserve"> </w:t>
      </w:r>
      <w:r w:rsidRPr="006503C8">
        <w:t>également</w:t>
      </w:r>
      <w:r>
        <w:t xml:space="preserve"> </w:t>
      </w:r>
      <w:r w:rsidRPr="006503C8">
        <w:t>considéré</w:t>
      </w:r>
      <w:r>
        <w:t xml:space="preserve"> </w:t>
      </w:r>
      <w:r w:rsidRPr="006503C8">
        <w:t>le</w:t>
      </w:r>
      <w:r>
        <w:t xml:space="preserve"> </w:t>
      </w:r>
      <w:r w:rsidRPr="006503C8">
        <w:t>fait</w:t>
      </w:r>
      <w:r>
        <w:t xml:space="preserve"> </w:t>
      </w:r>
      <w:r w:rsidRPr="006503C8">
        <w:t>que</w:t>
      </w:r>
      <w:r>
        <w:t xml:space="preserve"> </w:t>
      </w:r>
      <w:r w:rsidRPr="006503C8">
        <w:t>les</w:t>
      </w:r>
      <w:r>
        <w:t xml:space="preserve"> </w:t>
      </w:r>
      <w:r w:rsidRPr="006503C8">
        <w:t>allégations</w:t>
      </w:r>
      <w:r>
        <w:t xml:space="preserve"> </w:t>
      </w:r>
      <w:r w:rsidRPr="006503C8">
        <w:t>de</w:t>
      </w:r>
      <w:r>
        <w:t xml:space="preserve"> </w:t>
      </w:r>
      <w:r w:rsidRPr="006503C8">
        <w:t>l</w:t>
      </w:r>
      <w:r w:rsidR="00CA2931">
        <w:t>’</w:t>
      </w:r>
      <w:r w:rsidRPr="006503C8">
        <w:t>auteure</w:t>
      </w:r>
      <w:r>
        <w:t xml:space="preserve"> </w:t>
      </w:r>
      <w:r w:rsidRPr="006503C8">
        <w:t>étaient</w:t>
      </w:r>
      <w:r>
        <w:t xml:space="preserve"> </w:t>
      </w:r>
      <w:r w:rsidRPr="006503C8">
        <w:t>fausses.</w:t>
      </w:r>
      <w:r>
        <w:t xml:space="preserve"> </w:t>
      </w:r>
      <w:r w:rsidRPr="006503C8">
        <w:t>Dans</w:t>
      </w:r>
      <w:r>
        <w:t xml:space="preserve"> </w:t>
      </w:r>
      <w:r w:rsidRPr="006503C8">
        <w:t>son</w:t>
      </w:r>
      <w:r>
        <w:t xml:space="preserve"> </w:t>
      </w:r>
      <w:r w:rsidRPr="006503C8">
        <w:t>arrêt,</w:t>
      </w:r>
      <w:r>
        <w:t xml:space="preserve"> </w:t>
      </w:r>
      <w:r w:rsidRPr="006503C8">
        <w:t>la</w:t>
      </w:r>
      <w:r>
        <w:t xml:space="preserve"> </w:t>
      </w:r>
      <w:r w:rsidRPr="006503C8">
        <w:t>Cour</w:t>
      </w:r>
      <w:r>
        <w:t xml:space="preserve"> </w:t>
      </w:r>
      <w:r w:rsidRPr="006503C8">
        <w:t>suprême</w:t>
      </w:r>
      <w:r>
        <w:t xml:space="preserve"> </w:t>
      </w:r>
      <w:r w:rsidRPr="006503C8">
        <w:t>dit</w:t>
      </w:r>
      <w:r>
        <w:t xml:space="preserve"> </w:t>
      </w:r>
      <w:r w:rsidRPr="006503C8">
        <w:t>également</w:t>
      </w:r>
      <w:r>
        <w:t xml:space="preserve"> </w:t>
      </w:r>
      <w:r w:rsidRPr="006503C8">
        <w:t>que</w:t>
      </w:r>
      <w:r>
        <w:t xml:space="preserve"> </w:t>
      </w:r>
      <w:r w:rsidRPr="006503C8">
        <w:t>des</w:t>
      </w:r>
      <w:r>
        <w:t xml:space="preserve"> </w:t>
      </w:r>
      <w:r w:rsidRPr="006503C8">
        <w:t>violations</w:t>
      </w:r>
      <w:r>
        <w:t xml:space="preserve"> </w:t>
      </w:r>
      <w:r w:rsidRPr="006503C8">
        <w:t>procédurales</w:t>
      </w:r>
      <w:r>
        <w:t xml:space="preserve"> </w:t>
      </w:r>
      <w:r w:rsidRPr="006503C8">
        <w:t>présumées,</w:t>
      </w:r>
      <w:r>
        <w:t xml:space="preserve"> </w:t>
      </w:r>
      <w:r w:rsidRPr="006503C8">
        <w:t>la</w:t>
      </w:r>
      <w:r>
        <w:t xml:space="preserve"> </w:t>
      </w:r>
      <w:r w:rsidRPr="006503C8">
        <w:t>gravité</w:t>
      </w:r>
      <w:r>
        <w:t xml:space="preserve"> </w:t>
      </w:r>
      <w:r w:rsidRPr="006503C8">
        <w:t>des</w:t>
      </w:r>
      <w:r>
        <w:t xml:space="preserve"> </w:t>
      </w:r>
      <w:r w:rsidRPr="006503C8">
        <w:t>chefs</w:t>
      </w:r>
      <w:r>
        <w:t xml:space="preserve"> </w:t>
      </w:r>
      <w:r w:rsidRPr="006503C8">
        <w:t>d</w:t>
      </w:r>
      <w:r w:rsidR="00CA2931">
        <w:t>’</w:t>
      </w:r>
      <w:r w:rsidRPr="006503C8">
        <w:t>accusation,</w:t>
      </w:r>
      <w:r>
        <w:t xml:space="preserve"> </w:t>
      </w:r>
      <w:r w:rsidRPr="006503C8">
        <w:t>la</w:t>
      </w:r>
      <w:r>
        <w:t xml:space="preserve"> </w:t>
      </w:r>
      <w:r w:rsidRPr="006503C8">
        <w:t>sévérité</w:t>
      </w:r>
      <w:r>
        <w:t xml:space="preserve"> </w:t>
      </w:r>
      <w:r w:rsidRPr="006503C8">
        <w:t>de</w:t>
      </w:r>
      <w:r>
        <w:t xml:space="preserve"> </w:t>
      </w:r>
      <w:r w:rsidRPr="006503C8">
        <w:t>la</w:t>
      </w:r>
      <w:r>
        <w:t xml:space="preserve"> </w:t>
      </w:r>
      <w:r w:rsidRPr="006503C8">
        <w:t>sanction</w:t>
      </w:r>
      <w:r>
        <w:t xml:space="preserve"> </w:t>
      </w:r>
      <w:r w:rsidRPr="006503C8">
        <w:t>et</w:t>
      </w:r>
      <w:r>
        <w:t xml:space="preserve"> </w:t>
      </w:r>
      <w:r w:rsidRPr="006503C8">
        <w:t>la</w:t>
      </w:r>
      <w:r>
        <w:t xml:space="preserve"> </w:t>
      </w:r>
      <w:r w:rsidRPr="006503C8">
        <w:t>complexité</w:t>
      </w:r>
      <w:r>
        <w:t xml:space="preserve"> </w:t>
      </w:r>
      <w:r w:rsidRPr="006503C8">
        <w:t>de</w:t>
      </w:r>
      <w:r>
        <w:t xml:space="preserve"> </w:t>
      </w:r>
      <w:r w:rsidRPr="006503C8">
        <w:t>l</w:t>
      </w:r>
      <w:r w:rsidR="00CA2931">
        <w:t>’</w:t>
      </w:r>
      <w:r w:rsidRPr="006503C8">
        <w:t>affaire</w:t>
      </w:r>
      <w:r>
        <w:t xml:space="preserve"> </w:t>
      </w:r>
      <w:r w:rsidRPr="006503C8">
        <w:t>ne</w:t>
      </w:r>
      <w:r>
        <w:t xml:space="preserve"> </w:t>
      </w:r>
      <w:r w:rsidRPr="006503C8">
        <w:t>peuvent</w:t>
      </w:r>
      <w:r>
        <w:t xml:space="preserve"> </w:t>
      </w:r>
      <w:r w:rsidRPr="006503C8">
        <w:t>justifier</w:t>
      </w:r>
      <w:r>
        <w:t xml:space="preserve"> </w:t>
      </w:r>
      <w:r w:rsidRPr="006503C8">
        <w:t>qu</w:t>
      </w:r>
      <w:r w:rsidR="00CA2931">
        <w:t>’</w:t>
      </w:r>
      <w:r w:rsidRPr="006503C8">
        <w:t>un</w:t>
      </w:r>
      <w:r>
        <w:t xml:space="preserve"> </w:t>
      </w:r>
      <w:r w:rsidRPr="006503C8">
        <w:t>accusé</w:t>
      </w:r>
      <w:r>
        <w:t xml:space="preserve"> </w:t>
      </w:r>
      <w:r w:rsidRPr="006503C8">
        <w:t>insulte</w:t>
      </w:r>
      <w:r>
        <w:t xml:space="preserve"> </w:t>
      </w:r>
      <w:r w:rsidRPr="006503C8">
        <w:t>les</w:t>
      </w:r>
      <w:r>
        <w:t xml:space="preserve"> </w:t>
      </w:r>
      <w:r w:rsidRPr="006503C8">
        <w:t>fonctionnaires</w:t>
      </w:r>
      <w:r>
        <w:t xml:space="preserve"> </w:t>
      </w:r>
      <w:r w:rsidRPr="006503C8">
        <w:t>en</w:t>
      </w:r>
      <w:r>
        <w:t xml:space="preserve"> </w:t>
      </w:r>
      <w:r w:rsidRPr="006503C8">
        <w:t>charge</w:t>
      </w:r>
      <w:r>
        <w:t xml:space="preserve"> </w:t>
      </w:r>
      <w:r w:rsidRPr="006503C8">
        <w:t>de</w:t>
      </w:r>
      <w:r>
        <w:t xml:space="preserve"> </w:t>
      </w:r>
      <w:r w:rsidRPr="006503C8">
        <w:t>son</w:t>
      </w:r>
      <w:r>
        <w:t xml:space="preserve"> </w:t>
      </w:r>
      <w:r w:rsidRPr="006503C8">
        <w:t>dossier</w:t>
      </w:r>
      <w:r>
        <w:t xml:space="preserve"> </w:t>
      </w:r>
      <w:r w:rsidRPr="006503C8">
        <w:t>pénal.</w:t>
      </w:r>
      <w:r>
        <w:t xml:space="preserve"> </w:t>
      </w:r>
      <w:r w:rsidRPr="006503C8">
        <w:t>Néanmoins,</w:t>
      </w:r>
      <w:r>
        <w:t xml:space="preserve"> </w:t>
      </w:r>
      <w:r w:rsidRPr="006503C8">
        <w:t>les</w:t>
      </w:r>
      <w:r>
        <w:t xml:space="preserve"> </w:t>
      </w:r>
      <w:r w:rsidRPr="006503C8">
        <w:t>juridictions</w:t>
      </w:r>
      <w:r>
        <w:t xml:space="preserve"> </w:t>
      </w:r>
      <w:r w:rsidRPr="006503C8">
        <w:t>nationales</w:t>
      </w:r>
      <w:r>
        <w:t xml:space="preserve"> </w:t>
      </w:r>
      <w:r w:rsidRPr="006503C8">
        <w:t>ont</w:t>
      </w:r>
      <w:r>
        <w:t xml:space="preserve"> </w:t>
      </w:r>
      <w:r w:rsidRPr="006503C8">
        <w:t>dûment</w:t>
      </w:r>
      <w:r>
        <w:t xml:space="preserve"> </w:t>
      </w:r>
      <w:r w:rsidRPr="006503C8">
        <w:t>tenu</w:t>
      </w:r>
      <w:r>
        <w:t xml:space="preserve"> </w:t>
      </w:r>
      <w:r w:rsidRPr="006503C8">
        <w:t>compte</w:t>
      </w:r>
      <w:r>
        <w:t xml:space="preserve"> </w:t>
      </w:r>
      <w:r w:rsidRPr="006503C8">
        <w:t>du</w:t>
      </w:r>
      <w:r>
        <w:t xml:space="preserve"> </w:t>
      </w:r>
      <w:r w:rsidRPr="006503C8">
        <w:t>fait</w:t>
      </w:r>
      <w:r>
        <w:t xml:space="preserve"> </w:t>
      </w:r>
      <w:r w:rsidRPr="006503C8">
        <w:t>que</w:t>
      </w:r>
      <w:r>
        <w:t xml:space="preserve"> </w:t>
      </w:r>
      <w:r w:rsidRPr="006503C8">
        <w:t>l</w:t>
      </w:r>
      <w:r w:rsidR="00CA2931">
        <w:t>’</w:t>
      </w:r>
      <w:r w:rsidRPr="006503C8">
        <w:t>auteure</w:t>
      </w:r>
      <w:r>
        <w:t xml:space="preserve"> </w:t>
      </w:r>
      <w:r w:rsidRPr="006503C8">
        <w:t>était</w:t>
      </w:r>
      <w:r>
        <w:t xml:space="preserve"> </w:t>
      </w:r>
      <w:r w:rsidRPr="006503C8">
        <w:t>dans</w:t>
      </w:r>
      <w:r>
        <w:t xml:space="preserve"> </w:t>
      </w:r>
      <w:r w:rsidRPr="006503C8">
        <w:t>une</w:t>
      </w:r>
      <w:r>
        <w:t xml:space="preserve"> </w:t>
      </w:r>
      <w:r w:rsidRPr="006503C8">
        <w:t>situation</w:t>
      </w:r>
      <w:r>
        <w:t xml:space="preserve"> </w:t>
      </w:r>
      <w:r w:rsidRPr="006503C8">
        <w:t>de</w:t>
      </w:r>
      <w:r>
        <w:t xml:space="preserve"> </w:t>
      </w:r>
      <w:r w:rsidRPr="006503C8">
        <w:t>stress</w:t>
      </w:r>
      <w:r>
        <w:t xml:space="preserve"> </w:t>
      </w:r>
      <w:r w:rsidRPr="006503C8">
        <w:t>considérable</w:t>
      </w:r>
      <w:r>
        <w:t xml:space="preserve"> </w:t>
      </w:r>
      <w:r w:rsidRPr="006503C8">
        <w:t>lorsqu</w:t>
      </w:r>
      <w:r w:rsidR="00CA2931">
        <w:t>’</w:t>
      </w:r>
      <w:r w:rsidRPr="006503C8">
        <w:t>elle</w:t>
      </w:r>
      <w:r>
        <w:t xml:space="preserve"> </w:t>
      </w:r>
      <w:r w:rsidRPr="006503C8">
        <w:t>a</w:t>
      </w:r>
      <w:r>
        <w:t xml:space="preserve"> </w:t>
      </w:r>
      <w:r w:rsidRPr="006503C8">
        <w:t>tenu</w:t>
      </w:r>
      <w:r>
        <w:t xml:space="preserve"> </w:t>
      </w:r>
      <w:r w:rsidRPr="006503C8">
        <w:t>les</w:t>
      </w:r>
      <w:r>
        <w:t xml:space="preserve"> </w:t>
      </w:r>
      <w:r w:rsidRPr="006503C8">
        <w:t>propos</w:t>
      </w:r>
      <w:r>
        <w:t xml:space="preserve"> </w:t>
      </w:r>
      <w:r w:rsidRPr="006503C8">
        <w:t>qui</w:t>
      </w:r>
      <w:r>
        <w:t xml:space="preserve"> </w:t>
      </w:r>
      <w:r w:rsidRPr="006503C8">
        <w:t>lui</w:t>
      </w:r>
      <w:r>
        <w:t xml:space="preserve"> </w:t>
      </w:r>
      <w:r w:rsidRPr="006503C8">
        <w:t>sont</w:t>
      </w:r>
      <w:r>
        <w:t xml:space="preserve"> </w:t>
      </w:r>
      <w:r w:rsidRPr="006503C8">
        <w:t>reprochés</w:t>
      </w:r>
      <w:r w:rsidRPr="00A47548">
        <w:rPr>
          <w:rStyle w:val="Appelnotedebasdep"/>
        </w:rPr>
        <w:footnoteReference w:id="12"/>
      </w:r>
      <w:r w:rsidRPr="006503C8">
        <w:t>.</w:t>
      </w:r>
      <w:r>
        <w:t xml:space="preserve"> </w:t>
      </w:r>
      <w:r w:rsidRPr="006503C8">
        <w:t>En</w:t>
      </w:r>
      <w:r>
        <w:t xml:space="preserve"> </w:t>
      </w:r>
      <w:r w:rsidRPr="006503C8">
        <w:t>outre,</w:t>
      </w:r>
      <w:r>
        <w:t xml:space="preserve"> </w:t>
      </w:r>
      <w:r w:rsidRPr="006503C8">
        <w:t>l</w:t>
      </w:r>
      <w:r w:rsidR="00CA2931">
        <w:t>’</w:t>
      </w:r>
      <w:r w:rsidRPr="006503C8">
        <w:t>État</w:t>
      </w:r>
      <w:r>
        <w:t xml:space="preserve"> </w:t>
      </w:r>
      <w:r w:rsidRPr="006503C8">
        <w:t>partie</w:t>
      </w:r>
      <w:r>
        <w:t xml:space="preserve"> </w:t>
      </w:r>
      <w:r w:rsidRPr="006503C8">
        <w:t>rappelle</w:t>
      </w:r>
      <w:r>
        <w:t xml:space="preserve"> </w:t>
      </w:r>
      <w:r w:rsidRPr="006503C8">
        <w:t>qu</w:t>
      </w:r>
      <w:r w:rsidR="00CA2931">
        <w:t>’</w:t>
      </w:r>
      <w:r w:rsidRPr="006503C8">
        <w:t>une</w:t>
      </w:r>
      <w:r>
        <w:t xml:space="preserve"> </w:t>
      </w:r>
      <w:r w:rsidRPr="006503C8">
        <w:t>amende</w:t>
      </w:r>
      <w:r>
        <w:t xml:space="preserve"> </w:t>
      </w:r>
      <w:r w:rsidRPr="006503C8">
        <w:t>était</w:t>
      </w:r>
      <w:r>
        <w:t xml:space="preserve"> </w:t>
      </w:r>
      <w:r w:rsidRPr="006503C8">
        <w:t>la</w:t>
      </w:r>
      <w:r>
        <w:t xml:space="preserve"> </w:t>
      </w:r>
      <w:r w:rsidRPr="006503C8">
        <w:t>sanction</w:t>
      </w:r>
      <w:r>
        <w:t xml:space="preserve"> </w:t>
      </w:r>
      <w:r w:rsidRPr="006503C8">
        <w:t>la</w:t>
      </w:r>
      <w:r>
        <w:t xml:space="preserve"> </w:t>
      </w:r>
      <w:r w:rsidRPr="006503C8">
        <w:t>plus</w:t>
      </w:r>
      <w:r>
        <w:t xml:space="preserve"> </w:t>
      </w:r>
      <w:r w:rsidRPr="006503C8">
        <w:t>clémente</w:t>
      </w:r>
      <w:r>
        <w:t xml:space="preserve"> </w:t>
      </w:r>
      <w:r w:rsidRPr="006503C8">
        <w:t>pour</w:t>
      </w:r>
      <w:r>
        <w:t xml:space="preserve"> une </w:t>
      </w:r>
      <w:r w:rsidRPr="006503C8">
        <w:t>infraction</w:t>
      </w:r>
      <w:r>
        <w:t xml:space="preserve"> </w:t>
      </w:r>
      <w:r w:rsidRPr="006503C8">
        <w:t>pénale</w:t>
      </w:r>
      <w:r>
        <w:t xml:space="preserve"> de cette nature</w:t>
      </w:r>
      <w:r w:rsidRPr="006503C8">
        <w:t>,</w:t>
      </w:r>
      <w:r>
        <w:t xml:space="preserve"> </w:t>
      </w:r>
      <w:r w:rsidRPr="006503C8">
        <w:t>et</w:t>
      </w:r>
      <w:r>
        <w:t xml:space="preserve"> </w:t>
      </w:r>
      <w:r w:rsidRPr="006503C8">
        <w:t>que</w:t>
      </w:r>
      <w:r>
        <w:t xml:space="preserve"> </w:t>
      </w:r>
      <w:r w:rsidRPr="006503C8">
        <w:t>le</w:t>
      </w:r>
      <w:r>
        <w:t xml:space="preserve"> </w:t>
      </w:r>
      <w:r w:rsidRPr="006503C8">
        <w:t>montant</w:t>
      </w:r>
      <w:r>
        <w:t xml:space="preserve"> </w:t>
      </w:r>
      <w:r w:rsidRPr="006503C8">
        <w:t>fixé</w:t>
      </w:r>
      <w:r>
        <w:t xml:space="preserve"> </w:t>
      </w:r>
      <w:r w:rsidRPr="006503C8">
        <w:t>(environ</w:t>
      </w:r>
      <w:r>
        <w:t xml:space="preserve"> </w:t>
      </w:r>
      <w:r w:rsidRPr="006503C8">
        <w:t>377</w:t>
      </w:r>
      <w:r>
        <w:t> </w:t>
      </w:r>
      <w:r w:rsidRPr="006503C8">
        <w:t>euros)</w:t>
      </w:r>
      <w:r>
        <w:t xml:space="preserve"> </w:t>
      </w:r>
      <w:r w:rsidRPr="006503C8">
        <w:t>était</w:t>
      </w:r>
      <w:r>
        <w:t xml:space="preserve"> </w:t>
      </w:r>
      <w:r w:rsidRPr="006503C8">
        <w:t>également</w:t>
      </w:r>
      <w:r>
        <w:t xml:space="preserve"> </w:t>
      </w:r>
      <w:r w:rsidRPr="006503C8">
        <w:t>proche</w:t>
      </w:r>
      <w:r>
        <w:t xml:space="preserve"> </w:t>
      </w:r>
      <w:r w:rsidRPr="006503C8">
        <w:t>du</w:t>
      </w:r>
      <w:r>
        <w:t xml:space="preserve"> </w:t>
      </w:r>
      <w:r w:rsidRPr="006503C8">
        <w:t>minimum</w:t>
      </w:r>
      <w:r>
        <w:t xml:space="preserve"> </w:t>
      </w:r>
      <w:r w:rsidRPr="006503C8">
        <w:t>prévu</w:t>
      </w:r>
      <w:r>
        <w:t xml:space="preserve"> </w:t>
      </w:r>
      <w:r w:rsidRPr="006503C8">
        <w:t>par</w:t>
      </w:r>
      <w:r>
        <w:t xml:space="preserve"> </w:t>
      </w:r>
      <w:r w:rsidRPr="006503C8">
        <w:t>les</w:t>
      </w:r>
      <w:r>
        <w:t xml:space="preserve"> </w:t>
      </w:r>
      <w:r w:rsidRPr="006503C8">
        <w:t>dispositions</w:t>
      </w:r>
      <w:r>
        <w:t xml:space="preserve"> </w:t>
      </w:r>
      <w:r w:rsidRPr="006503C8">
        <w:t>juridiques</w:t>
      </w:r>
      <w:r>
        <w:t xml:space="preserve"> </w:t>
      </w:r>
      <w:r w:rsidRPr="006503C8">
        <w:t>applicables.</w:t>
      </w:r>
      <w:r>
        <w:t xml:space="preserve"> </w:t>
      </w:r>
      <w:r w:rsidRPr="006503C8">
        <w:t>L</w:t>
      </w:r>
      <w:r w:rsidR="00CA2931">
        <w:t>’</w:t>
      </w:r>
      <w:r w:rsidRPr="006503C8">
        <w:t>État</w:t>
      </w:r>
      <w:r>
        <w:t xml:space="preserve"> </w:t>
      </w:r>
      <w:r w:rsidRPr="006503C8">
        <w:t>partie</w:t>
      </w:r>
      <w:r>
        <w:t xml:space="preserve"> </w:t>
      </w:r>
      <w:r w:rsidRPr="006503C8">
        <w:t>ajoute</w:t>
      </w:r>
      <w:r>
        <w:t xml:space="preserve"> </w:t>
      </w:r>
      <w:r w:rsidRPr="006503C8">
        <w:t>que</w:t>
      </w:r>
      <w:r>
        <w:t xml:space="preserve"> </w:t>
      </w:r>
      <w:r w:rsidRPr="006503C8">
        <w:t>l</w:t>
      </w:r>
      <w:r w:rsidR="00CA2931">
        <w:t>’</w:t>
      </w:r>
      <w:r w:rsidRPr="006503C8">
        <w:t>allégation</w:t>
      </w:r>
      <w:r>
        <w:t xml:space="preserve"> </w:t>
      </w:r>
      <w:r w:rsidRPr="006503C8">
        <w:t>de</w:t>
      </w:r>
      <w:r>
        <w:t xml:space="preserve"> </w:t>
      </w:r>
      <w:r w:rsidRPr="006503C8">
        <w:t>l</w:t>
      </w:r>
      <w:r w:rsidR="00CA2931">
        <w:t>’</w:t>
      </w:r>
      <w:r w:rsidRPr="006503C8">
        <w:t>auteure</w:t>
      </w:r>
      <w:r>
        <w:t xml:space="preserve"> </w:t>
      </w:r>
      <w:r w:rsidRPr="006503C8">
        <w:t>au</w:t>
      </w:r>
      <w:r>
        <w:t xml:space="preserve"> </w:t>
      </w:r>
      <w:r w:rsidRPr="006503C8">
        <w:t>sujet</w:t>
      </w:r>
      <w:r>
        <w:t xml:space="preserve"> </w:t>
      </w:r>
      <w:r w:rsidRPr="006503C8">
        <w:t>des</w:t>
      </w:r>
      <w:r>
        <w:t xml:space="preserve"> </w:t>
      </w:r>
      <w:r w:rsidRPr="006503C8">
        <w:t>effets</w:t>
      </w:r>
      <w:r>
        <w:t xml:space="preserve"> </w:t>
      </w:r>
      <w:r w:rsidRPr="006503C8">
        <w:t>que</w:t>
      </w:r>
      <w:r>
        <w:t xml:space="preserve"> </w:t>
      </w:r>
      <w:r w:rsidRPr="006503C8">
        <w:t>sa</w:t>
      </w:r>
      <w:r>
        <w:t xml:space="preserve"> </w:t>
      </w:r>
      <w:r w:rsidRPr="006503C8">
        <w:t>condamnation</w:t>
      </w:r>
      <w:r>
        <w:t xml:space="preserve"> </w:t>
      </w:r>
      <w:r w:rsidRPr="006503C8">
        <w:t>aurait</w:t>
      </w:r>
      <w:r>
        <w:t xml:space="preserve"> </w:t>
      </w:r>
      <w:r w:rsidRPr="006503C8">
        <w:t>à</w:t>
      </w:r>
      <w:r>
        <w:t xml:space="preserve"> </w:t>
      </w:r>
      <w:r w:rsidRPr="006503C8">
        <w:t>long</w:t>
      </w:r>
      <w:r>
        <w:t xml:space="preserve"> </w:t>
      </w:r>
      <w:r w:rsidRPr="006503C8">
        <w:t>terme</w:t>
      </w:r>
      <w:r>
        <w:t xml:space="preserve"> </w:t>
      </w:r>
      <w:r w:rsidRPr="006503C8">
        <w:t>sont</w:t>
      </w:r>
      <w:r>
        <w:t xml:space="preserve"> </w:t>
      </w:r>
      <w:r w:rsidRPr="006503C8">
        <w:t>vagues</w:t>
      </w:r>
      <w:r>
        <w:t xml:space="preserve"> </w:t>
      </w:r>
      <w:r w:rsidRPr="006503C8">
        <w:t>dans</w:t>
      </w:r>
      <w:r>
        <w:t xml:space="preserve"> </w:t>
      </w:r>
      <w:r w:rsidRPr="006503C8">
        <w:t>la</w:t>
      </w:r>
      <w:r>
        <w:t xml:space="preserve"> </w:t>
      </w:r>
      <w:r w:rsidRPr="006503C8">
        <w:t>mesure</w:t>
      </w:r>
      <w:r>
        <w:t xml:space="preserve"> </w:t>
      </w:r>
      <w:r w:rsidRPr="006503C8">
        <w:t>où</w:t>
      </w:r>
      <w:r>
        <w:t xml:space="preserve"> </w:t>
      </w:r>
      <w:r w:rsidRPr="006503C8">
        <w:t>elle</w:t>
      </w:r>
      <w:r>
        <w:t xml:space="preserve"> </w:t>
      </w:r>
      <w:r w:rsidRPr="006503C8">
        <w:t>n</w:t>
      </w:r>
      <w:r w:rsidR="00CA2931">
        <w:t>’</w:t>
      </w:r>
      <w:r w:rsidRPr="006503C8">
        <w:t>a</w:t>
      </w:r>
      <w:r>
        <w:t xml:space="preserve"> </w:t>
      </w:r>
      <w:r w:rsidRPr="006503C8">
        <w:t>pas</w:t>
      </w:r>
      <w:r>
        <w:t xml:space="preserve"> </w:t>
      </w:r>
      <w:r w:rsidRPr="006503C8">
        <w:t>précisé</w:t>
      </w:r>
      <w:r>
        <w:t xml:space="preserve"> </w:t>
      </w:r>
      <w:r w:rsidRPr="006503C8">
        <w:t>quelles</w:t>
      </w:r>
      <w:r>
        <w:t xml:space="preserve"> </w:t>
      </w:r>
      <w:r w:rsidRPr="006503C8">
        <w:t>activités</w:t>
      </w:r>
      <w:r>
        <w:t xml:space="preserve"> </w:t>
      </w:r>
      <w:r w:rsidRPr="006503C8">
        <w:t>elle</w:t>
      </w:r>
      <w:r>
        <w:t xml:space="preserve"> </w:t>
      </w:r>
      <w:r w:rsidRPr="006503C8">
        <w:t>ne</w:t>
      </w:r>
      <w:r>
        <w:t xml:space="preserve"> </w:t>
      </w:r>
      <w:r w:rsidRPr="006503C8">
        <w:t>pourrait</w:t>
      </w:r>
      <w:r>
        <w:t xml:space="preserve"> </w:t>
      </w:r>
      <w:r w:rsidRPr="006503C8">
        <w:t>plus</w:t>
      </w:r>
      <w:r>
        <w:t xml:space="preserve"> </w:t>
      </w:r>
      <w:r w:rsidRPr="006503C8">
        <w:t>exercer</w:t>
      </w:r>
      <w:r>
        <w:t xml:space="preserve"> </w:t>
      </w:r>
      <w:r w:rsidRPr="006503C8">
        <w:t>ni</w:t>
      </w:r>
      <w:r>
        <w:t xml:space="preserve"> </w:t>
      </w:r>
      <w:r w:rsidRPr="006503C8">
        <w:t>si</w:t>
      </w:r>
      <w:r>
        <w:t xml:space="preserve"> </w:t>
      </w:r>
      <w:r w:rsidRPr="006503C8">
        <w:t>sa</w:t>
      </w:r>
      <w:r>
        <w:t xml:space="preserve"> </w:t>
      </w:r>
      <w:r w:rsidRPr="006503C8">
        <w:t>condamnation</w:t>
      </w:r>
      <w:r>
        <w:t xml:space="preserve"> </w:t>
      </w:r>
      <w:r w:rsidRPr="006503C8">
        <w:t>était</w:t>
      </w:r>
      <w:r>
        <w:t xml:space="preserve"> </w:t>
      </w:r>
      <w:r w:rsidRPr="006503C8">
        <w:t>seule</w:t>
      </w:r>
      <w:r>
        <w:t xml:space="preserve"> </w:t>
      </w:r>
      <w:r w:rsidRPr="006503C8">
        <w:t>responsable</w:t>
      </w:r>
      <w:r>
        <w:t xml:space="preserve"> </w:t>
      </w:r>
      <w:r w:rsidRPr="006503C8">
        <w:t>de</w:t>
      </w:r>
      <w:r>
        <w:t xml:space="preserve"> </w:t>
      </w:r>
      <w:r w:rsidRPr="006503C8">
        <w:t>ce</w:t>
      </w:r>
      <w:r>
        <w:t xml:space="preserve"> </w:t>
      </w:r>
      <w:r w:rsidRPr="006503C8">
        <w:t>fait.</w:t>
      </w:r>
      <w:r>
        <w:t xml:space="preserve"> </w:t>
      </w:r>
      <w:r w:rsidRPr="006503C8">
        <w:t>De</w:t>
      </w:r>
      <w:r>
        <w:t xml:space="preserve"> </w:t>
      </w:r>
      <w:r w:rsidRPr="006503C8">
        <w:t>plus,</w:t>
      </w:r>
      <w:r>
        <w:t xml:space="preserve"> </w:t>
      </w:r>
      <w:r w:rsidRPr="006503C8">
        <w:t>contrairement</w:t>
      </w:r>
      <w:r>
        <w:t xml:space="preserve"> </w:t>
      </w:r>
      <w:r w:rsidRPr="006503C8">
        <w:t>à</w:t>
      </w:r>
      <w:r>
        <w:t xml:space="preserve"> </w:t>
      </w:r>
      <w:r w:rsidRPr="006503C8">
        <w:t>ce</w:t>
      </w:r>
      <w:r>
        <w:t xml:space="preserve"> </w:t>
      </w:r>
      <w:r w:rsidRPr="006503C8">
        <w:t>que</w:t>
      </w:r>
      <w:r>
        <w:t xml:space="preserve"> </w:t>
      </w:r>
      <w:r w:rsidRPr="006503C8">
        <w:t>l</w:t>
      </w:r>
      <w:r w:rsidR="00CA2931">
        <w:t>’</w:t>
      </w:r>
      <w:r w:rsidRPr="006503C8">
        <w:t>auteure</w:t>
      </w:r>
      <w:r>
        <w:t xml:space="preserve"> </w:t>
      </w:r>
      <w:r w:rsidRPr="006503C8">
        <w:t>affirme,</w:t>
      </w:r>
      <w:r>
        <w:t xml:space="preserve"> </w:t>
      </w:r>
      <w:r w:rsidRPr="006503C8">
        <w:t>trois</w:t>
      </w:r>
      <w:r>
        <w:t xml:space="preserve"> </w:t>
      </w:r>
      <w:r w:rsidRPr="006503C8">
        <w:t>ans</w:t>
      </w:r>
      <w:r>
        <w:t xml:space="preserve"> </w:t>
      </w:r>
      <w:r w:rsidRPr="006503C8">
        <w:t>après</w:t>
      </w:r>
      <w:r>
        <w:t xml:space="preserve"> </w:t>
      </w:r>
      <w:r w:rsidRPr="006503C8">
        <w:t>sa</w:t>
      </w:r>
      <w:r>
        <w:t xml:space="preserve"> </w:t>
      </w:r>
      <w:r w:rsidRPr="006503C8">
        <w:t>condamnation,</w:t>
      </w:r>
      <w:r>
        <w:t xml:space="preserve"> </w:t>
      </w:r>
      <w:r w:rsidRPr="006503C8">
        <w:t>toute</w:t>
      </w:r>
      <w:r>
        <w:t xml:space="preserve"> </w:t>
      </w:r>
      <w:r w:rsidRPr="006503C8">
        <w:t>mention</w:t>
      </w:r>
      <w:r>
        <w:t xml:space="preserve"> </w:t>
      </w:r>
      <w:r w:rsidRPr="006503C8">
        <w:t>de</w:t>
      </w:r>
      <w:r>
        <w:t xml:space="preserve"> </w:t>
      </w:r>
      <w:r w:rsidRPr="006503C8">
        <w:t>celle-ci</w:t>
      </w:r>
      <w:r>
        <w:t xml:space="preserve"> </w:t>
      </w:r>
      <w:r w:rsidRPr="006503C8">
        <w:t>disparaîtra</w:t>
      </w:r>
      <w:r>
        <w:t xml:space="preserve"> </w:t>
      </w:r>
      <w:r w:rsidRPr="006503C8">
        <w:t>de</w:t>
      </w:r>
      <w:r>
        <w:t xml:space="preserve"> </w:t>
      </w:r>
      <w:r w:rsidRPr="006503C8">
        <w:t>son</w:t>
      </w:r>
      <w:r>
        <w:t xml:space="preserve"> </w:t>
      </w:r>
      <w:r w:rsidRPr="006503C8">
        <w:t>casier</w:t>
      </w:r>
      <w:r>
        <w:t xml:space="preserve"> </w:t>
      </w:r>
      <w:r w:rsidRPr="006503C8">
        <w:t>judiciaire.</w:t>
      </w:r>
    </w:p>
    <w:p w14:paraId="0B1429C1" w14:textId="77777777" w:rsidR="00765853" w:rsidRPr="006503C8" w:rsidRDefault="00765853" w:rsidP="00765853">
      <w:pPr>
        <w:pStyle w:val="SingleTxtG"/>
      </w:pPr>
      <w:r w:rsidRPr="006503C8">
        <w:t>4.7</w:t>
      </w:r>
      <w:r w:rsidRPr="006503C8">
        <w:tab/>
        <w:t>En</w:t>
      </w:r>
      <w:r>
        <w:t xml:space="preserve"> </w:t>
      </w:r>
      <w:r w:rsidRPr="006503C8">
        <w:t>conséquence,</w:t>
      </w:r>
      <w:r>
        <w:t xml:space="preserve"> </w:t>
      </w:r>
      <w:r w:rsidRPr="006503C8">
        <w:t>l</w:t>
      </w:r>
      <w:r w:rsidR="00CA2931">
        <w:t>’</w:t>
      </w:r>
      <w:r w:rsidRPr="006503C8">
        <w:t>État</w:t>
      </w:r>
      <w:r>
        <w:t xml:space="preserve"> </w:t>
      </w:r>
      <w:r w:rsidRPr="006503C8">
        <w:t>partie</w:t>
      </w:r>
      <w:r>
        <w:t xml:space="preserve"> </w:t>
      </w:r>
      <w:r w:rsidRPr="006503C8">
        <w:t>est</w:t>
      </w:r>
      <w:r>
        <w:t xml:space="preserve"> </w:t>
      </w:r>
      <w:r w:rsidRPr="006503C8">
        <w:t>d</w:t>
      </w:r>
      <w:r w:rsidR="00CA2931">
        <w:t>’</w:t>
      </w:r>
      <w:r w:rsidRPr="006503C8">
        <w:t>avis</w:t>
      </w:r>
      <w:r>
        <w:t xml:space="preserve"> </w:t>
      </w:r>
      <w:r w:rsidRPr="006503C8">
        <w:t>que</w:t>
      </w:r>
      <w:r>
        <w:t xml:space="preserve"> </w:t>
      </w:r>
      <w:r w:rsidRPr="006503C8">
        <w:t>les</w:t>
      </w:r>
      <w:r>
        <w:t xml:space="preserve"> </w:t>
      </w:r>
      <w:r w:rsidRPr="006503C8">
        <w:t>juridictions</w:t>
      </w:r>
      <w:r>
        <w:t xml:space="preserve"> </w:t>
      </w:r>
      <w:r w:rsidRPr="006503C8">
        <w:t>nationales</w:t>
      </w:r>
      <w:r>
        <w:t xml:space="preserve"> </w:t>
      </w:r>
      <w:r w:rsidRPr="006503C8">
        <w:t>ont</w:t>
      </w:r>
      <w:r>
        <w:t xml:space="preserve"> </w:t>
      </w:r>
      <w:r w:rsidRPr="006503C8">
        <w:t>minutieusement</w:t>
      </w:r>
      <w:r>
        <w:t xml:space="preserve"> </w:t>
      </w:r>
      <w:r w:rsidRPr="006503C8">
        <w:t>analysé</w:t>
      </w:r>
      <w:r>
        <w:t xml:space="preserve"> </w:t>
      </w:r>
      <w:r w:rsidRPr="006503C8">
        <w:t>les</w:t>
      </w:r>
      <w:r>
        <w:t xml:space="preserve"> </w:t>
      </w:r>
      <w:r w:rsidRPr="006503C8">
        <w:t>éléments</w:t>
      </w:r>
      <w:r>
        <w:t xml:space="preserve"> </w:t>
      </w:r>
      <w:r w:rsidRPr="006503C8">
        <w:t>pertinents</w:t>
      </w:r>
      <w:r>
        <w:t xml:space="preserve"> </w:t>
      </w:r>
      <w:r w:rsidRPr="006503C8">
        <w:t>du</w:t>
      </w:r>
      <w:r>
        <w:t xml:space="preserve"> </w:t>
      </w:r>
      <w:r w:rsidRPr="006503C8">
        <w:t>dossier</w:t>
      </w:r>
      <w:r>
        <w:t xml:space="preserve"> </w:t>
      </w:r>
      <w:r w:rsidRPr="006503C8">
        <w:t>et</w:t>
      </w:r>
      <w:r>
        <w:t xml:space="preserve"> </w:t>
      </w:r>
      <w:r w:rsidRPr="006503C8">
        <w:t>que</w:t>
      </w:r>
      <w:r>
        <w:t xml:space="preserve"> </w:t>
      </w:r>
      <w:r w:rsidRPr="006503C8">
        <w:t>le</w:t>
      </w:r>
      <w:r>
        <w:t xml:space="preserve"> </w:t>
      </w:r>
      <w:r w:rsidRPr="006503C8">
        <w:t>Comité</w:t>
      </w:r>
      <w:r>
        <w:t xml:space="preserve"> </w:t>
      </w:r>
      <w:r w:rsidRPr="006503C8">
        <w:t>ne</w:t>
      </w:r>
      <w:r>
        <w:t xml:space="preserve"> </w:t>
      </w:r>
      <w:r w:rsidRPr="006503C8">
        <w:t>devrait</w:t>
      </w:r>
      <w:r>
        <w:t xml:space="preserve"> </w:t>
      </w:r>
      <w:r w:rsidRPr="006503C8">
        <w:t>pas</w:t>
      </w:r>
      <w:r>
        <w:t xml:space="preserve"> </w:t>
      </w:r>
      <w:r w:rsidRPr="006503C8">
        <w:t>agir</w:t>
      </w:r>
      <w:r>
        <w:t xml:space="preserve"> </w:t>
      </w:r>
      <w:r w:rsidRPr="006503C8">
        <w:t>comme</w:t>
      </w:r>
      <w:r>
        <w:t xml:space="preserve"> </w:t>
      </w:r>
      <w:r w:rsidRPr="006503C8">
        <w:t>un</w:t>
      </w:r>
      <w:r>
        <w:t xml:space="preserve"> </w:t>
      </w:r>
      <w:r w:rsidRPr="006503C8">
        <w:t>«</w:t>
      </w:r>
      <w:r>
        <w:t> </w:t>
      </w:r>
      <w:r w:rsidRPr="006503C8">
        <w:t>tribunal</w:t>
      </w:r>
      <w:r>
        <w:t xml:space="preserve"> </w:t>
      </w:r>
      <w:r w:rsidRPr="006503C8">
        <w:t>de</w:t>
      </w:r>
      <w:r>
        <w:t xml:space="preserve"> </w:t>
      </w:r>
      <w:r w:rsidRPr="006503C8">
        <w:t>quatrième</w:t>
      </w:r>
      <w:r>
        <w:t xml:space="preserve"> </w:t>
      </w:r>
      <w:r w:rsidRPr="006503C8">
        <w:t>instance</w:t>
      </w:r>
      <w:r>
        <w:t> </w:t>
      </w:r>
      <w:r w:rsidRPr="006503C8">
        <w:t>»</w:t>
      </w:r>
      <w:r>
        <w:t xml:space="preserve"> </w:t>
      </w:r>
      <w:r w:rsidRPr="006503C8">
        <w:t>en</w:t>
      </w:r>
      <w:r>
        <w:t xml:space="preserve"> </w:t>
      </w:r>
      <w:r w:rsidRPr="006503C8">
        <w:t>examinant</w:t>
      </w:r>
      <w:r>
        <w:t xml:space="preserve"> </w:t>
      </w:r>
      <w:r w:rsidRPr="006503C8">
        <w:t>l</w:t>
      </w:r>
      <w:r w:rsidR="00CA2931">
        <w:t>’</w:t>
      </w:r>
      <w:r w:rsidRPr="006503C8">
        <w:t>appréciation</w:t>
      </w:r>
      <w:r>
        <w:t xml:space="preserve"> </w:t>
      </w:r>
      <w:r w:rsidRPr="006503C8">
        <w:t>que</w:t>
      </w:r>
      <w:r>
        <w:t xml:space="preserve"> </w:t>
      </w:r>
      <w:r w:rsidRPr="006503C8">
        <w:t>les</w:t>
      </w:r>
      <w:r>
        <w:t xml:space="preserve"> </w:t>
      </w:r>
      <w:r w:rsidRPr="006503C8">
        <w:t>juridictions</w:t>
      </w:r>
      <w:r>
        <w:t xml:space="preserve"> </w:t>
      </w:r>
      <w:r w:rsidRPr="006503C8">
        <w:t>domestiques</w:t>
      </w:r>
      <w:r>
        <w:t xml:space="preserve"> </w:t>
      </w:r>
      <w:r w:rsidRPr="006503C8">
        <w:t>ont</w:t>
      </w:r>
      <w:r>
        <w:t xml:space="preserve"> </w:t>
      </w:r>
      <w:r w:rsidRPr="006503C8">
        <w:t>faite</w:t>
      </w:r>
      <w:r>
        <w:t xml:space="preserve"> </w:t>
      </w:r>
      <w:r w:rsidRPr="006503C8">
        <w:t>de</w:t>
      </w:r>
      <w:r>
        <w:t xml:space="preserve"> </w:t>
      </w:r>
      <w:r w:rsidRPr="006503C8">
        <w:t>l</w:t>
      </w:r>
      <w:r w:rsidR="00CA2931">
        <w:t>’</w:t>
      </w:r>
      <w:r w:rsidRPr="006503C8">
        <w:t>affaire.</w:t>
      </w:r>
      <w:r>
        <w:t xml:space="preserve"> </w:t>
      </w:r>
      <w:r w:rsidRPr="006503C8">
        <w:t>Compte</w:t>
      </w:r>
      <w:r>
        <w:t xml:space="preserve"> </w:t>
      </w:r>
      <w:r w:rsidRPr="006503C8">
        <w:t>tenu</w:t>
      </w:r>
      <w:r>
        <w:t xml:space="preserve"> </w:t>
      </w:r>
      <w:r w:rsidRPr="006503C8">
        <w:t>des</w:t>
      </w:r>
      <w:r>
        <w:t xml:space="preserve"> </w:t>
      </w:r>
      <w:r w:rsidRPr="006503C8">
        <w:t>considérations</w:t>
      </w:r>
      <w:r>
        <w:t xml:space="preserve"> </w:t>
      </w:r>
      <w:r w:rsidRPr="006503C8">
        <w:t>qui</w:t>
      </w:r>
      <w:r>
        <w:t xml:space="preserve"> </w:t>
      </w:r>
      <w:r w:rsidRPr="006503C8">
        <w:t>précèdent,</w:t>
      </w:r>
      <w:r>
        <w:t xml:space="preserve"> </w:t>
      </w:r>
      <w:r w:rsidRPr="006503C8">
        <w:t>l</w:t>
      </w:r>
      <w:r w:rsidR="00CA2931">
        <w:t>’</w:t>
      </w:r>
      <w:r w:rsidRPr="006503C8">
        <w:t>État</w:t>
      </w:r>
      <w:r>
        <w:t xml:space="preserve"> </w:t>
      </w:r>
      <w:r w:rsidRPr="006503C8">
        <w:t>partie</w:t>
      </w:r>
      <w:r>
        <w:t xml:space="preserve"> </w:t>
      </w:r>
      <w:r w:rsidRPr="006503C8">
        <w:t>conclut</w:t>
      </w:r>
      <w:r>
        <w:t xml:space="preserve"> </w:t>
      </w:r>
      <w:r w:rsidRPr="006503C8">
        <w:t>que</w:t>
      </w:r>
      <w:r>
        <w:t xml:space="preserve"> </w:t>
      </w:r>
      <w:r w:rsidRPr="006503C8">
        <w:t>la</w:t>
      </w:r>
      <w:r>
        <w:t xml:space="preserve"> sanction imposée à l</w:t>
      </w:r>
      <w:r w:rsidR="00CA2931">
        <w:t>’</w:t>
      </w:r>
      <w:r>
        <w:t xml:space="preserve">auteure </w:t>
      </w:r>
      <w:r w:rsidRPr="006503C8">
        <w:t>était</w:t>
      </w:r>
      <w:r>
        <w:t xml:space="preserve"> </w:t>
      </w:r>
      <w:r w:rsidRPr="006503C8">
        <w:t>nécessaire</w:t>
      </w:r>
      <w:r>
        <w:t xml:space="preserve"> </w:t>
      </w:r>
      <w:r w:rsidRPr="006503C8">
        <w:t>dans</w:t>
      </w:r>
      <w:r>
        <w:t xml:space="preserve"> </w:t>
      </w:r>
      <w:r w:rsidRPr="006503C8">
        <w:t>une</w:t>
      </w:r>
      <w:r>
        <w:t xml:space="preserve"> </w:t>
      </w:r>
      <w:r w:rsidRPr="006503C8">
        <w:lastRenderedPageBreak/>
        <w:t>société</w:t>
      </w:r>
      <w:r>
        <w:t xml:space="preserve"> </w:t>
      </w:r>
      <w:r w:rsidRPr="006503C8">
        <w:t>démocratique</w:t>
      </w:r>
      <w:r>
        <w:t xml:space="preserve"> </w:t>
      </w:r>
      <w:r w:rsidRPr="006503C8">
        <w:t>et</w:t>
      </w:r>
      <w:r>
        <w:t xml:space="preserve"> </w:t>
      </w:r>
      <w:r w:rsidRPr="006503C8">
        <w:t>proportionnelle</w:t>
      </w:r>
      <w:r>
        <w:t xml:space="preserve"> </w:t>
      </w:r>
      <w:r w:rsidRPr="006503C8">
        <w:t>aux</w:t>
      </w:r>
      <w:r>
        <w:t xml:space="preserve"> </w:t>
      </w:r>
      <w:r w:rsidRPr="006503C8">
        <w:t>objectifs</w:t>
      </w:r>
      <w:r>
        <w:t xml:space="preserve"> </w:t>
      </w:r>
      <w:r w:rsidRPr="006503C8">
        <w:t>poursuivis.</w:t>
      </w:r>
      <w:r>
        <w:t xml:space="preserve"> </w:t>
      </w:r>
      <w:r w:rsidRPr="006503C8">
        <w:t>Partant,</w:t>
      </w:r>
      <w:r>
        <w:t xml:space="preserve"> </w:t>
      </w:r>
      <w:r w:rsidRPr="006503C8">
        <w:t>l</w:t>
      </w:r>
      <w:r w:rsidR="00CA2931">
        <w:t>’</w:t>
      </w:r>
      <w:r w:rsidRPr="006503C8">
        <w:t>État</w:t>
      </w:r>
      <w:r>
        <w:t xml:space="preserve"> </w:t>
      </w:r>
      <w:r w:rsidRPr="006503C8">
        <w:t>partie</w:t>
      </w:r>
      <w:r>
        <w:t xml:space="preserve"> </w:t>
      </w:r>
      <w:r w:rsidRPr="006503C8">
        <w:t>considère</w:t>
      </w:r>
      <w:r>
        <w:t xml:space="preserve"> </w:t>
      </w:r>
      <w:r w:rsidRPr="006503C8">
        <w:t>que</w:t>
      </w:r>
      <w:r>
        <w:t xml:space="preserve"> </w:t>
      </w:r>
      <w:r w:rsidRPr="006503C8">
        <w:t>la</w:t>
      </w:r>
      <w:r>
        <w:t xml:space="preserve"> </w:t>
      </w:r>
      <w:r w:rsidRPr="006503C8">
        <w:t>plainte</w:t>
      </w:r>
      <w:r>
        <w:t xml:space="preserve"> </w:t>
      </w:r>
      <w:r w:rsidRPr="006503C8">
        <w:t>devrait</w:t>
      </w:r>
      <w:r>
        <w:t xml:space="preserve"> </w:t>
      </w:r>
      <w:r w:rsidRPr="006503C8">
        <w:t>être</w:t>
      </w:r>
      <w:r>
        <w:t xml:space="preserve"> </w:t>
      </w:r>
      <w:r w:rsidRPr="006503C8">
        <w:t>jugée</w:t>
      </w:r>
      <w:r>
        <w:t xml:space="preserve"> </w:t>
      </w:r>
      <w:r w:rsidRPr="006503C8">
        <w:t>irrecevable</w:t>
      </w:r>
      <w:r>
        <w:t xml:space="preserve"> </w:t>
      </w:r>
      <w:r w:rsidRPr="006503C8">
        <w:t>parce</w:t>
      </w:r>
      <w:r>
        <w:t xml:space="preserve"> </w:t>
      </w:r>
      <w:r w:rsidRPr="006503C8">
        <w:t>qu</w:t>
      </w:r>
      <w:r w:rsidR="00CA2931">
        <w:t>’</w:t>
      </w:r>
      <w:r w:rsidRPr="006503C8">
        <w:t>insuffisamment</w:t>
      </w:r>
      <w:r>
        <w:t xml:space="preserve"> </w:t>
      </w:r>
      <w:r w:rsidRPr="006503C8">
        <w:t>étayée.</w:t>
      </w:r>
    </w:p>
    <w:p w14:paraId="1F92953A" w14:textId="77777777" w:rsidR="00765853" w:rsidRPr="006503C8" w:rsidRDefault="00765853" w:rsidP="00765853">
      <w:pPr>
        <w:pStyle w:val="SingleTxtG"/>
      </w:pPr>
      <w:r w:rsidRPr="006503C8">
        <w:t>4.8</w:t>
      </w:r>
      <w:r w:rsidRPr="006503C8">
        <w:tab/>
        <w:t>Enfin,</w:t>
      </w:r>
      <w:r>
        <w:t xml:space="preserve"> </w:t>
      </w:r>
      <w:r w:rsidRPr="006503C8">
        <w:t>l</w:t>
      </w:r>
      <w:r w:rsidR="00CA2931">
        <w:t>’</w:t>
      </w:r>
      <w:r w:rsidRPr="006503C8">
        <w:t>État</w:t>
      </w:r>
      <w:r>
        <w:t xml:space="preserve"> </w:t>
      </w:r>
      <w:r w:rsidRPr="006503C8">
        <w:t>partie</w:t>
      </w:r>
      <w:r>
        <w:t xml:space="preserve"> </w:t>
      </w:r>
      <w:r w:rsidRPr="006503C8">
        <w:t>soutient</w:t>
      </w:r>
      <w:r>
        <w:t xml:space="preserve"> </w:t>
      </w:r>
      <w:r w:rsidRPr="006503C8">
        <w:t>que</w:t>
      </w:r>
      <w:r>
        <w:t xml:space="preserve"> </w:t>
      </w:r>
      <w:r w:rsidRPr="006503C8">
        <w:t>l</w:t>
      </w:r>
      <w:r w:rsidR="00CA2931">
        <w:t>’</w:t>
      </w:r>
      <w:r w:rsidRPr="006503C8">
        <w:t>auteure</w:t>
      </w:r>
      <w:r>
        <w:t xml:space="preserve"> </w:t>
      </w:r>
      <w:r w:rsidRPr="006503C8">
        <w:t>a</w:t>
      </w:r>
      <w:r>
        <w:t xml:space="preserve"> </w:t>
      </w:r>
      <w:r w:rsidRPr="006503C8">
        <w:t>trompé</w:t>
      </w:r>
      <w:r>
        <w:t xml:space="preserve"> </w:t>
      </w:r>
      <w:r w:rsidRPr="006503C8">
        <w:t>le</w:t>
      </w:r>
      <w:r>
        <w:t xml:space="preserve"> </w:t>
      </w:r>
      <w:r w:rsidRPr="006503C8">
        <w:t>Comité</w:t>
      </w:r>
      <w:r>
        <w:t xml:space="preserve"> en : </w:t>
      </w:r>
      <w:r w:rsidRPr="006503C8">
        <w:t>a)</w:t>
      </w:r>
      <w:r>
        <w:t> </w:t>
      </w:r>
      <w:r w:rsidRPr="006503C8">
        <w:t>déclarant</w:t>
      </w:r>
      <w:r>
        <w:t xml:space="preserve"> </w:t>
      </w:r>
      <w:r w:rsidRPr="006503C8">
        <w:t>faussement</w:t>
      </w:r>
      <w:r>
        <w:t xml:space="preserve"> </w:t>
      </w:r>
      <w:r w:rsidRPr="006503C8">
        <w:t>que</w:t>
      </w:r>
      <w:r>
        <w:t xml:space="preserve"> </w:t>
      </w:r>
      <w:r w:rsidRPr="006503C8">
        <w:t>les</w:t>
      </w:r>
      <w:r>
        <w:t xml:space="preserve"> </w:t>
      </w:r>
      <w:r w:rsidRPr="006503C8">
        <w:t>juridictions</w:t>
      </w:r>
      <w:r>
        <w:t xml:space="preserve"> </w:t>
      </w:r>
      <w:r w:rsidRPr="006503C8">
        <w:t>nationales</w:t>
      </w:r>
      <w:r>
        <w:t xml:space="preserve"> </w:t>
      </w:r>
      <w:r w:rsidRPr="006503C8">
        <w:t>avaient</w:t>
      </w:r>
      <w:r>
        <w:t xml:space="preserve"> </w:t>
      </w:r>
      <w:r w:rsidRPr="006503C8">
        <w:t>élargi</w:t>
      </w:r>
      <w:r>
        <w:t xml:space="preserve"> </w:t>
      </w:r>
      <w:r w:rsidRPr="006503C8">
        <w:t>l</w:t>
      </w:r>
      <w:r w:rsidR="00CA2931">
        <w:t>’</w:t>
      </w:r>
      <w:r w:rsidRPr="006503C8">
        <w:t>interprétation</w:t>
      </w:r>
      <w:r>
        <w:t xml:space="preserve"> </w:t>
      </w:r>
      <w:r w:rsidRPr="006503C8">
        <w:t>de</w:t>
      </w:r>
      <w:r>
        <w:t xml:space="preserve"> </w:t>
      </w:r>
      <w:r w:rsidRPr="006503C8">
        <w:t>la</w:t>
      </w:r>
      <w:r>
        <w:t xml:space="preserve"> </w:t>
      </w:r>
      <w:r w:rsidRPr="006503C8">
        <w:t>loi</w:t>
      </w:r>
      <w:r>
        <w:t xml:space="preserve"> </w:t>
      </w:r>
      <w:r w:rsidRPr="006503C8">
        <w:t>fondant</w:t>
      </w:r>
      <w:r>
        <w:t xml:space="preserve"> </w:t>
      </w:r>
      <w:r w:rsidRPr="006503C8">
        <w:t>sa</w:t>
      </w:r>
      <w:r>
        <w:t xml:space="preserve"> </w:t>
      </w:r>
      <w:r w:rsidRPr="006503C8">
        <w:t>responsabilité</w:t>
      </w:r>
      <w:r>
        <w:t xml:space="preserve"> </w:t>
      </w:r>
      <w:r w:rsidRPr="006503C8">
        <w:t>pénale</w:t>
      </w:r>
      <w:r>
        <w:t xml:space="preserve"> ; </w:t>
      </w:r>
      <w:r w:rsidRPr="006503C8">
        <w:t>b)</w:t>
      </w:r>
      <w:r>
        <w:t> </w:t>
      </w:r>
      <w:r w:rsidRPr="006503C8">
        <w:t>déclarant</w:t>
      </w:r>
      <w:r>
        <w:t xml:space="preserve"> </w:t>
      </w:r>
      <w:r w:rsidRPr="006503C8">
        <w:t>que</w:t>
      </w:r>
      <w:r>
        <w:t xml:space="preserve"> </w:t>
      </w:r>
      <w:r w:rsidRPr="006503C8">
        <w:t>l</w:t>
      </w:r>
      <w:r w:rsidR="00CA2931">
        <w:t>’</w:t>
      </w:r>
      <w:r w:rsidRPr="006503C8">
        <w:t>objectif</w:t>
      </w:r>
      <w:r>
        <w:t xml:space="preserve"> </w:t>
      </w:r>
      <w:r w:rsidRPr="006503C8">
        <w:t>de</w:t>
      </w:r>
      <w:r>
        <w:t xml:space="preserve"> </w:t>
      </w:r>
      <w:r w:rsidRPr="006503C8">
        <w:t>la</w:t>
      </w:r>
      <w:r>
        <w:t xml:space="preserve"> </w:t>
      </w:r>
      <w:r w:rsidRPr="006503C8">
        <w:t>loi</w:t>
      </w:r>
      <w:r>
        <w:t xml:space="preserve"> </w:t>
      </w:r>
      <w:r w:rsidRPr="006503C8">
        <w:t>était</w:t>
      </w:r>
      <w:r>
        <w:t xml:space="preserve"> </w:t>
      </w:r>
      <w:r w:rsidRPr="006503C8">
        <w:t>de</w:t>
      </w:r>
      <w:r>
        <w:t xml:space="preserve"> </w:t>
      </w:r>
      <w:r w:rsidRPr="006503C8">
        <w:t>préserver</w:t>
      </w:r>
      <w:r>
        <w:t xml:space="preserve"> </w:t>
      </w:r>
      <w:r w:rsidRPr="006503C8">
        <w:t>l</w:t>
      </w:r>
      <w:r w:rsidR="00CA2931">
        <w:t>’</w:t>
      </w:r>
      <w:r w:rsidRPr="006503C8">
        <w:t>honneur</w:t>
      </w:r>
      <w:r>
        <w:t xml:space="preserve"> </w:t>
      </w:r>
      <w:r w:rsidRPr="006503C8">
        <w:t>et</w:t>
      </w:r>
      <w:r>
        <w:t xml:space="preserve"> </w:t>
      </w:r>
      <w:r w:rsidRPr="006503C8">
        <w:t>la</w:t>
      </w:r>
      <w:r>
        <w:t xml:space="preserve"> </w:t>
      </w:r>
      <w:r w:rsidRPr="006503C8">
        <w:t>dignité</w:t>
      </w:r>
      <w:r>
        <w:t xml:space="preserve"> </w:t>
      </w:r>
      <w:r w:rsidRPr="006503C8">
        <w:t>des</w:t>
      </w:r>
      <w:r>
        <w:t xml:space="preserve"> </w:t>
      </w:r>
      <w:r w:rsidRPr="006503C8">
        <w:t>procureurs,</w:t>
      </w:r>
      <w:r>
        <w:t xml:space="preserve"> </w:t>
      </w:r>
      <w:r w:rsidRPr="006503C8">
        <w:t>ce</w:t>
      </w:r>
      <w:r>
        <w:t xml:space="preserve"> </w:t>
      </w:r>
      <w:r w:rsidRPr="006503C8">
        <w:t>qui</w:t>
      </w:r>
      <w:r>
        <w:t xml:space="preserve"> </w:t>
      </w:r>
      <w:r w:rsidRPr="006503C8">
        <w:t>ne</w:t>
      </w:r>
      <w:r>
        <w:t xml:space="preserve"> </w:t>
      </w:r>
      <w:r w:rsidRPr="006503C8">
        <w:t>correspond</w:t>
      </w:r>
      <w:r>
        <w:t xml:space="preserve"> </w:t>
      </w:r>
      <w:r w:rsidRPr="006503C8">
        <w:t>pas</w:t>
      </w:r>
      <w:r>
        <w:t xml:space="preserve"> </w:t>
      </w:r>
      <w:r w:rsidRPr="006503C8">
        <w:t>à</w:t>
      </w:r>
      <w:r>
        <w:t xml:space="preserve"> </w:t>
      </w:r>
      <w:r w:rsidRPr="006503C8">
        <w:t>l</w:t>
      </w:r>
      <w:r w:rsidR="00CA2931">
        <w:t>’</w:t>
      </w:r>
      <w:r w:rsidRPr="006503C8">
        <w:t>un</w:t>
      </w:r>
      <w:r>
        <w:t xml:space="preserve"> </w:t>
      </w:r>
      <w:r w:rsidRPr="006503C8">
        <w:t>des</w:t>
      </w:r>
      <w:r>
        <w:t xml:space="preserve"> </w:t>
      </w:r>
      <w:r w:rsidRPr="006503C8">
        <w:t>motifs</w:t>
      </w:r>
      <w:r>
        <w:t xml:space="preserve"> </w:t>
      </w:r>
      <w:r w:rsidRPr="006503C8">
        <w:t>pour</w:t>
      </w:r>
      <w:r>
        <w:t xml:space="preserve"> </w:t>
      </w:r>
      <w:r w:rsidRPr="006503C8">
        <w:t>lesquels</w:t>
      </w:r>
      <w:r>
        <w:t xml:space="preserve"> </w:t>
      </w:r>
      <w:r w:rsidRPr="006503C8">
        <w:t>des</w:t>
      </w:r>
      <w:r>
        <w:t xml:space="preserve"> </w:t>
      </w:r>
      <w:r w:rsidRPr="006503C8">
        <w:t>restrictions</w:t>
      </w:r>
      <w:r>
        <w:t xml:space="preserve"> </w:t>
      </w:r>
      <w:r w:rsidRPr="006503C8">
        <w:t>à</w:t>
      </w:r>
      <w:r>
        <w:t xml:space="preserve"> </w:t>
      </w:r>
      <w:r w:rsidRPr="006503C8">
        <w:t>la</w:t>
      </w:r>
      <w:r>
        <w:t xml:space="preserve"> </w:t>
      </w:r>
      <w:r w:rsidRPr="006503C8">
        <w:t>liberté</w:t>
      </w:r>
      <w:r>
        <w:t xml:space="preserve"> </w:t>
      </w:r>
      <w:r w:rsidRPr="006503C8">
        <w:t>d</w:t>
      </w:r>
      <w:r w:rsidR="00CA2931">
        <w:t>’</w:t>
      </w:r>
      <w:r w:rsidRPr="006503C8">
        <w:t>expression</w:t>
      </w:r>
      <w:r>
        <w:t xml:space="preserve"> </w:t>
      </w:r>
      <w:r w:rsidRPr="006503C8">
        <w:t>peuvent</w:t>
      </w:r>
      <w:r>
        <w:t xml:space="preserve"> </w:t>
      </w:r>
      <w:r w:rsidRPr="006503C8">
        <w:t>être</w:t>
      </w:r>
      <w:r>
        <w:t xml:space="preserve"> </w:t>
      </w:r>
      <w:r w:rsidRPr="006503C8">
        <w:t>imposées</w:t>
      </w:r>
      <w:r>
        <w:t xml:space="preserve"> ; </w:t>
      </w:r>
      <w:r w:rsidRPr="006503C8">
        <w:t>c)</w:t>
      </w:r>
      <w:r>
        <w:t> </w:t>
      </w:r>
      <w:r w:rsidRPr="006503C8">
        <w:t>invoquant</w:t>
      </w:r>
      <w:r>
        <w:t xml:space="preserve"> </w:t>
      </w:r>
      <w:r w:rsidRPr="006503C8">
        <w:t>des</w:t>
      </w:r>
      <w:r>
        <w:t xml:space="preserve"> </w:t>
      </w:r>
      <w:r w:rsidRPr="006503C8">
        <w:t>affaires</w:t>
      </w:r>
      <w:r>
        <w:t xml:space="preserve"> </w:t>
      </w:r>
      <w:r w:rsidRPr="006503C8">
        <w:t>de</w:t>
      </w:r>
      <w:r>
        <w:t xml:space="preserve"> </w:t>
      </w:r>
      <w:r w:rsidRPr="006503C8">
        <w:t>la</w:t>
      </w:r>
      <w:r>
        <w:t xml:space="preserve"> </w:t>
      </w:r>
      <w:r w:rsidRPr="006503C8">
        <w:t>Cour</w:t>
      </w:r>
      <w:r>
        <w:t xml:space="preserve"> </w:t>
      </w:r>
      <w:r w:rsidRPr="006503C8">
        <w:t>européenne</w:t>
      </w:r>
      <w:r>
        <w:t xml:space="preserve"> </w:t>
      </w:r>
      <w:r w:rsidRPr="006503C8">
        <w:t>des</w:t>
      </w:r>
      <w:r>
        <w:t xml:space="preserve"> </w:t>
      </w:r>
      <w:r w:rsidRPr="006503C8">
        <w:t>droits</w:t>
      </w:r>
      <w:r>
        <w:t xml:space="preserve"> </w:t>
      </w:r>
      <w:r w:rsidRPr="006503C8">
        <w:t>de</w:t>
      </w:r>
      <w:r>
        <w:t xml:space="preserve"> </w:t>
      </w:r>
      <w:r w:rsidRPr="006503C8">
        <w:t>l</w:t>
      </w:r>
      <w:r w:rsidR="00CA2931">
        <w:t>’</w:t>
      </w:r>
      <w:r w:rsidRPr="006503C8">
        <w:t>homme</w:t>
      </w:r>
      <w:r>
        <w:t xml:space="preserve"> </w:t>
      </w:r>
      <w:r w:rsidRPr="006503C8">
        <w:t>qui</w:t>
      </w:r>
      <w:r>
        <w:t xml:space="preserve"> </w:t>
      </w:r>
      <w:r w:rsidRPr="006503C8">
        <w:t>sont</w:t>
      </w:r>
      <w:r>
        <w:t xml:space="preserve"> </w:t>
      </w:r>
      <w:r w:rsidRPr="006503C8">
        <w:t>sans</w:t>
      </w:r>
      <w:r>
        <w:t xml:space="preserve"> </w:t>
      </w:r>
      <w:r w:rsidRPr="006503C8">
        <w:t>rapport</w:t>
      </w:r>
      <w:r>
        <w:t xml:space="preserve"> </w:t>
      </w:r>
      <w:r w:rsidRPr="006503C8">
        <w:t>avec</w:t>
      </w:r>
      <w:r>
        <w:t xml:space="preserve"> </w:t>
      </w:r>
      <w:r w:rsidRPr="006503C8">
        <w:t>son</w:t>
      </w:r>
      <w:r>
        <w:t xml:space="preserve"> </w:t>
      </w:r>
      <w:r w:rsidRPr="006503C8">
        <w:t>affaire</w:t>
      </w:r>
      <w:r>
        <w:t xml:space="preserve"> </w:t>
      </w:r>
      <w:r w:rsidRPr="006503C8">
        <w:t>parce</w:t>
      </w:r>
      <w:r>
        <w:t xml:space="preserve"> </w:t>
      </w:r>
      <w:r w:rsidRPr="006503C8">
        <w:t>que</w:t>
      </w:r>
      <w:r>
        <w:t xml:space="preserve"> </w:t>
      </w:r>
      <w:r w:rsidRPr="006503C8">
        <w:t>les</w:t>
      </w:r>
      <w:r>
        <w:t xml:space="preserve"> </w:t>
      </w:r>
      <w:r w:rsidRPr="006503C8">
        <w:t>circonstances</w:t>
      </w:r>
      <w:r>
        <w:t xml:space="preserve"> </w:t>
      </w:r>
      <w:r w:rsidRPr="006503C8">
        <w:t>factuelles</w:t>
      </w:r>
      <w:r>
        <w:t xml:space="preserve"> </w:t>
      </w:r>
      <w:r w:rsidRPr="006503C8">
        <w:t>et</w:t>
      </w:r>
      <w:r>
        <w:t xml:space="preserve"> </w:t>
      </w:r>
      <w:r w:rsidRPr="006503C8">
        <w:t>juridiques</w:t>
      </w:r>
      <w:r>
        <w:t xml:space="preserve"> </w:t>
      </w:r>
      <w:r w:rsidRPr="006503C8">
        <w:t>diffèrent.</w:t>
      </w:r>
      <w:r>
        <w:t xml:space="preserve"> De ce fait</w:t>
      </w:r>
      <w:r w:rsidRPr="006503C8">
        <w:t>,</w:t>
      </w:r>
      <w:r>
        <w:t xml:space="preserve"> </w:t>
      </w:r>
      <w:r w:rsidRPr="006503C8">
        <w:t>l</w:t>
      </w:r>
      <w:r w:rsidR="00CA2931">
        <w:t>’</w:t>
      </w:r>
      <w:r w:rsidRPr="006503C8">
        <w:t>État</w:t>
      </w:r>
      <w:r>
        <w:t xml:space="preserve"> </w:t>
      </w:r>
      <w:r w:rsidRPr="006503C8">
        <w:t>partie</w:t>
      </w:r>
      <w:r>
        <w:t xml:space="preserve"> </w:t>
      </w:r>
      <w:r w:rsidRPr="006503C8">
        <w:t>est</w:t>
      </w:r>
      <w:r>
        <w:t xml:space="preserve"> </w:t>
      </w:r>
      <w:r w:rsidRPr="006503C8">
        <w:t>d</w:t>
      </w:r>
      <w:r w:rsidR="00CA2931">
        <w:t>’</w:t>
      </w:r>
      <w:r w:rsidRPr="006503C8">
        <w:t>avis</w:t>
      </w:r>
      <w:r>
        <w:t xml:space="preserve"> </w:t>
      </w:r>
      <w:r w:rsidRPr="006503C8">
        <w:t>que</w:t>
      </w:r>
      <w:r>
        <w:t xml:space="preserve"> </w:t>
      </w:r>
      <w:r w:rsidRPr="006503C8">
        <w:t>la</w:t>
      </w:r>
      <w:r>
        <w:t xml:space="preserve"> </w:t>
      </w:r>
      <w:r w:rsidRPr="006503C8">
        <w:t>plainte</w:t>
      </w:r>
      <w:r>
        <w:t xml:space="preserve"> </w:t>
      </w:r>
      <w:r w:rsidRPr="006503C8">
        <w:t>devrait</w:t>
      </w:r>
      <w:r>
        <w:t xml:space="preserve"> </w:t>
      </w:r>
      <w:r w:rsidRPr="006503C8">
        <w:t>être</w:t>
      </w:r>
      <w:r>
        <w:t xml:space="preserve"> </w:t>
      </w:r>
      <w:r w:rsidRPr="006503C8">
        <w:t>jugée</w:t>
      </w:r>
      <w:r>
        <w:t xml:space="preserve"> </w:t>
      </w:r>
      <w:r w:rsidRPr="006503C8">
        <w:t>irrecevable</w:t>
      </w:r>
      <w:r>
        <w:t xml:space="preserve"> </w:t>
      </w:r>
      <w:r w:rsidRPr="006503C8">
        <w:t>au</w:t>
      </w:r>
      <w:r>
        <w:t xml:space="preserve"> </w:t>
      </w:r>
      <w:r w:rsidRPr="006503C8">
        <w:t>motif</w:t>
      </w:r>
      <w:r>
        <w:t xml:space="preserve"> </w:t>
      </w:r>
      <w:r w:rsidRPr="006503C8">
        <w:t>qu</w:t>
      </w:r>
      <w:r w:rsidR="00CA2931">
        <w:t>’</w:t>
      </w:r>
      <w:r w:rsidRPr="006503C8">
        <w:t>elle</w:t>
      </w:r>
      <w:r>
        <w:t xml:space="preserve"> </w:t>
      </w:r>
      <w:r w:rsidRPr="006503C8">
        <w:t>constitue</w:t>
      </w:r>
      <w:r>
        <w:t xml:space="preserve"> </w:t>
      </w:r>
      <w:r w:rsidRPr="006503C8">
        <w:t>un</w:t>
      </w:r>
      <w:r>
        <w:t xml:space="preserve"> </w:t>
      </w:r>
      <w:r w:rsidRPr="006503C8">
        <w:t>abus</w:t>
      </w:r>
      <w:r>
        <w:t xml:space="preserve"> </w:t>
      </w:r>
      <w:r w:rsidRPr="006503C8">
        <w:t>du</w:t>
      </w:r>
      <w:r>
        <w:t xml:space="preserve"> </w:t>
      </w:r>
      <w:r w:rsidRPr="006503C8">
        <w:t>droit</w:t>
      </w:r>
      <w:r>
        <w:t xml:space="preserve"> </w:t>
      </w:r>
      <w:r w:rsidRPr="006503C8">
        <w:t>à</w:t>
      </w:r>
      <w:r>
        <w:t xml:space="preserve"> </w:t>
      </w:r>
      <w:r w:rsidRPr="006503C8">
        <w:t>soumettre</w:t>
      </w:r>
      <w:r>
        <w:t xml:space="preserve"> </w:t>
      </w:r>
      <w:r w:rsidRPr="006503C8">
        <w:t>des</w:t>
      </w:r>
      <w:r>
        <w:t xml:space="preserve"> </w:t>
      </w:r>
      <w:r w:rsidRPr="006503C8">
        <w:t>communications,</w:t>
      </w:r>
      <w:r>
        <w:t xml:space="preserve"> </w:t>
      </w:r>
      <w:r w:rsidRPr="006503C8">
        <w:t>au</w:t>
      </w:r>
      <w:r>
        <w:t xml:space="preserve"> </w:t>
      </w:r>
      <w:r w:rsidRPr="006503C8">
        <w:t>titre</w:t>
      </w:r>
      <w:r>
        <w:t xml:space="preserve"> </w:t>
      </w:r>
      <w:r w:rsidRPr="006503C8">
        <w:t>de</w:t>
      </w:r>
      <w:r>
        <w:t xml:space="preserve"> </w:t>
      </w:r>
      <w:r w:rsidRPr="006503C8">
        <w:t>l</w:t>
      </w:r>
      <w:r w:rsidR="00CA2931">
        <w:t>’</w:t>
      </w:r>
      <w:r w:rsidRPr="006503C8">
        <w:t>article</w:t>
      </w:r>
      <w:r>
        <w:t xml:space="preserve"> </w:t>
      </w:r>
      <w:r w:rsidRPr="006503C8">
        <w:t>3</w:t>
      </w:r>
      <w:r>
        <w:t xml:space="preserve"> </w:t>
      </w:r>
      <w:r w:rsidRPr="006503C8">
        <w:t>du</w:t>
      </w:r>
      <w:r>
        <w:t xml:space="preserve"> </w:t>
      </w:r>
      <w:r w:rsidRPr="006503C8">
        <w:t>Protocole</w:t>
      </w:r>
      <w:r>
        <w:t xml:space="preserve"> </w:t>
      </w:r>
      <w:r w:rsidRPr="006503C8">
        <w:t>facultatif.</w:t>
      </w:r>
    </w:p>
    <w:p w14:paraId="557389D1" w14:textId="77777777" w:rsidR="00765853" w:rsidRPr="006503C8" w:rsidRDefault="00765853" w:rsidP="00765853">
      <w:pPr>
        <w:pStyle w:val="SingleTxtG"/>
      </w:pPr>
      <w:r w:rsidRPr="006503C8">
        <w:t>4.9</w:t>
      </w:r>
      <w:r w:rsidRPr="006503C8">
        <w:tab/>
        <w:t>Dans</w:t>
      </w:r>
      <w:r>
        <w:t xml:space="preserve"> </w:t>
      </w:r>
      <w:r w:rsidRPr="006503C8">
        <w:t>une</w:t>
      </w:r>
      <w:r>
        <w:t xml:space="preserve"> </w:t>
      </w:r>
      <w:r w:rsidRPr="006503C8">
        <w:t>note</w:t>
      </w:r>
      <w:r>
        <w:t xml:space="preserve"> </w:t>
      </w:r>
      <w:r w:rsidRPr="006503C8">
        <w:t>verbale</w:t>
      </w:r>
      <w:r>
        <w:t xml:space="preserve"> </w:t>
      </w:r>
      <w:r w:rsidRPr="006503C8">
        <w:t>datée</w:t>
      </w:r>
      <w:r>
        <w:t xml:space="preserve"> </w:t>
      </w:r>
      <w:r w:rsidRPr="006503C8">
        <w:t>du</w:t>
      </w:r>
      <w:r>
        <w:t xml:space="preserve"> </w:t>
      </w:r>
      <w:r w:rsidRPr="006503C8">
        <w:t>7</w:t>
      </w:r>
      <w:r>
        <w:t> </w:t>
      </w:r>
      <w:r w:rsidRPr="006503C8">
        <w:t>juillet</w:t>
      </w:r>
      <w:r>
        <w:t xml:space="preserve"> </w:t>
      </w:r>
      <w:r w:rsidRPr="006503C8">
        <w:t>2016,</w:t>
      </w:r>
      <w:r>
        <w:t xml:space="preserve"> </w:t>
      </w:r>
      <w:r w:rsidRPr="006503C8">
        <w:t>l</w:t>
      </w:r>
      <w:r w:rsidR="00CA2931">
        <w:t>’</w:t>
      </w:r>
      <w:r w:rsidRPr="006503C8">
        <w:t>État</w:t>
      </w:r>
      <w:r>
        <w:t xml:space="preserve"> </w:t>
      </w:r>
      <w:r w:rsidRPr="006503C8">
        <w:t>partie</w:t>
      </w:r>
      <w:r>
        <w:t xml:space="preserve"> </w:t>
      </w:r>
      <w:r w:rsidRPr="006503C8">
        <w:t>a</w:t>
      </w:r>
      <w:r>
        <w:t xml:space="preserve"> </w:t>
      </w:r>
      <w:r w:rsidRPr="006503C8">
        <w:t>répété</w:t>
      </w:r>
      <w:r>
        <w:t xml:space="preserve"> </w:t>
      </w:r>
      <w:r w:rsidRPr="006503C8">
        <w:t>que</w:t>
      </w:r>
      <w:r>
        <w:t xml:space="preserve"> </w:t>
      </w:r>
      <w:r w:rsidRPr="006503C8">
        <w:t>le</w:t>
      </w:r>
      <w:r>
        <w:t xml:space="preserve"> </w:t>
      </w:r>
      <w:r w:rsidRPr="006503C8">
        <w:t>Comité</w:t>
      </w:r>
      <w:r>
        <w:t xml:space="preserve"> </w:t>
      </w:r>
      <w:r w:rsidRPr="006503C8">
        <w:t>devrait</w:t>
      </w:r>
      <w:r>
        <w:t xml:space="preserve"> </w:t>
      </w:r>
      <w:r w:rsidRPr="006503C8">
        <w:t>juger</w:t>
      </w:r>
      <w:r>
        <w:t xml:space="preserve"> </w:t>
      </w:r>
      <w:r w:rsidRPr="006503C8">
        <w:t>la</w:t>
      </w:r>
      <w:r>
        <w:t xml:space="preserve"> </w:t>
      </w:r>
      <w:r w:rsidRPr="006503C8">
        <w:t>communication</w:t>
      </w:r>
      <w:r>
        <w:t xml:space="preserve"> </w:t>
      </w:r>
      <w:r w:rsidRPr="006503C8">
        <w:t>irrecevable</w:t>
      </w:r>
      <w:r>
        <w:t xml:space="preserve"> </w:t>
      </w:r>
      <w:r w:rsidRPr="006503C8">
        <w:t>au</w:t>
      </w:r>
      <w:r>
        <w:t xml:space="preserve"> </w:t>
      </w:r>
      <w:r w:rsidRPr="006503C8">
        <w:t>titre</w:t>
      </w:r>
      <w:r>
        <w:t xml:space="preserve"> </w:t>
      </w:r>
      <w:r w:rsidRPr="006503C8">
        <w:t>des</w:t>
      </w:r>
      <w:r>
        <w:t xml:space="preserve"> </w:t>
      </w:r>
      <w:r w:rsidRPr="006503C8">
        <w:t>articles</w:t>
      </w:r>
      <w:r>
        <w:t xml:space="preserve"> </w:t>
      </w:r>
      <w:r w:rsidRPr="006503C8">
        <w:t>1,</w:t>
      </w:r>
      <w:r>
        <w:t xml:space="preserve"> </w:t>
      </w:r>
      <w:r w:rsidRPr="006503C8">
        <w:t>2</w:t>
      </w:r>
      <w:r>
        <w:t xml:space="preserve"> </w:t>
      </w:r>
      <w:r w:rsidRPr="006503C8">
        <w:t>et</w:t>
      </w:r>
      <w:r>
        <w:t xml:space="preserve"> </w:t>
      </w:r>
      <w:r w:rsidRPr="006503C8">
        <w:t>3</w:t>
      </w:r>
      <w:r>
        <w:t xml:space="preserve"> </w:t>
      </w:r>
      <w:r w:rsidRPr="006503C8">
        <w:t>du</w:t>
      </w:r>
      <w:r>
        <w:t xml:space="preserve"> </w:t>
      </w:r>
      <w:r w:rsidRPr="006503C8">
        <w:t>Protocole</w:t>
      </w:r>
      <w:r>
        <w:t xml:space="preserve"> </w:t>
      </w:r>
      <w:r w:rsidRPr="006503C8">
        <w:t>facultatif.</w:t>
      </w:r>
      <w:r>
        <w:t xml:space="preserve"> </w:t>
      </w:r>
      <w:r w:rsidRPr="006503C8">
        <w:t>Il</w:t>
      </w:r>
      <w:r>
        <w:t xml:space="preserve"> </w:t>
      </w:r>
      <w:r w:rsidRPr="006503C8">
        <w:t>a</w:t>
      </w:r>
      <w:r>
        <w:t xml:space="preserve"> </w:t>
      </w:r>
      <w:r w:rsidRPr="006503C8">
        <w:t>ajouté</w:t>
      </w:r>
      <w:r>
        <w:t xml:space="preserve"> </w:t>
      </w:r>
      <w:r w:rsidRPr="006503C8">
        <w:t>que</w:t>
      </w:r>
      <w:r>
        <w:t xml:space="preserve"> </w:t>
      </w:r>
      <w:r w:rsidRPr="006503C8">
        <w:t>si</w:t>
      </w:r>
      <w:r>
        <w:t xml:space="preserve"> </w:t>
      </w:r>
      <w:r w:rsidRPr="006503C8">
        <w:t>le</w:t>
      </w:r>
      <w:r>
        <w:t xml:space="preserve"> </w:t>
      </w:r>
      <w:r w:rsidRPr="006503C8">
        <w:t>Comité</w:t>
      </w:r>
      <w:r>
        <w:t xml:space="preserve"> </w:t>
      </w:r>
      <w:r w:rsidRPr="006503C8">
        <w:t>devait</w:t>
      </w:r>
      <w:r>
        <w:t xml:space="preserve"> </w:t>
      </w:r>
      <w:r w:rsidRPr="006503C8">
        <w:t>examiner</w:t>
      </w:r>
      <w:r>
        <w:t xml:space="preserve"> </w:t>
      </w:r>
      <w:r w:rsidRPr="006503C8">
        <w:t>la</w:t>
      </w:r>
      <w:r>
        <w:t xml:space="preserve"> </w:t>
      </w:r>
      <w:r w:rsidRPr="006503C8">
        <w:t>communication</w:t>
      </w:r>
      <w:r>
        <w:t xml:space="preserve"> </w:t>
      </w:r>
      <w:r w:rsidRPr="006503C8">
        <w:t>sur</w:t>
      </w:r>
      <w:r>
        <w:t xml:space="preserve"> </w:t>
      </w:r>
      <w:r w:rsidRPr="006503C8">
        <w:t>le</w:t>
      </w:r>
      <w:r>
        <w:t xml:space="preserve"> </w:t>
      </w:r>
      <w:r w:rsidRPr="006503C8">
        <w:t>fond,</w:t>
      </w:r>
      <w:r>
        <w:t xml:space="preserve"> </w:t>
      </w:r>
      <w:r w:rsidRPr="006503C8">
        <w:t>il</w:t>
      </w:r>
      <w:r>
        <w:t xml:space="preserve"> </w:t>
      </w:r>
      <w:r w:rsidRPr="006503C8">
        <w:t>devrait</w:t>
      </w:r>
      <w:r>
        <w:t xml:space="preserve"> </w:t>
      </w:r>
      <w:r w:rsidRPr="006503C8">
        <w:t>prendre</w:t>
      </w:r>
      <w:r>
        <w:t xml:space="preserve"> </w:t>
      </w:r>
      <w:r w:rsidRPr="006503C8">
        <w:t>en</w:t>
      </w:r>
      <w:r>
        <w:t xml:space="preserve"> </w:t>
      </w:r>
      <w:r w:rsidRPr="006503C8">
        <w:t>considération</w:t>
      </w:r>
      <w:r>
        <w:t xml:space="preserve"> </w:t>
      </w:r>
      <w:r w:rsidRPr="006503C8">
        <w:t>les</w:t>
      </w:r>
      <w:r>
        <w:t xml:space="preserve"> </w:t>
      </w:r>
      <w:r w:rsidRPr="006503C8">
        <w:t>observations</w:t>
      </w:r>
      <w:r>
        <w:t xml:space="preserve"> </w:t>
      </w:r>
      <w:r w:rsidRPr="006503C8">
        <w:t>formulées</w:t>
      </w:r>
      <w:r>
        <w:t xml:space="preserve"> </w:t>
      </w:r>
      <w:r w:rsidRPr="006503C8">
        <w:t>par</w:t>
      </w:r>
      <w:r>
        <w:t xml:space="preserve"> </w:t>
      </w:r>
      <w:r w:rsidRPr="006503C8">
        <w:t>l</w:t>
      </w:r>
      <w:r w:rsidR="00CA2931">
        <w:t>’</w:t>
      </w:r>
      <w:r w:rsidRPr="006503C8">
        <w:t>État</w:t>
      </w:r>
      <w:r>
        <w:t xml:space="preserve"> </w:t>
      </w:r>
      <w:r w:rsidRPr="006503C8">
        <w:t>partie</w:t>
      </w:r>
      <w:r>
        <w:t xml:space="preserve"> </w:t>
      </w:r>
      <w:r w:rsidRPr="006503C8">
        <w:t>le</w:t>
      </w:r>
      <w:r>
        <w:t xml:space="preserve"> 8 </w:t>
      </w:r>
      <w:r w:rsidRPr="006503C8">
        <w:t>mars</w:t>
      </w:r>
      <w:r>
        <w:t xml:space="preserve"> </w:t>
      </w:r>
      <w:r w:rsidRPr="006503C8">
        <w:t>2016</w:t>
      </w:r>
      <w:r>
        <w:t xml:space="preserve"> </w:t>
      </w:r>
      <w:r w:rsidRPr="006503C8">
        <w:t>au</w:t>
      </w:r>
      <w:r>
        <w:t xml:space="preserve"> </w:t>
      </w:r>
      <w:r w:rsidRPr="006503C8">
        <w:t>sujet</w:t>
      </w:r>
      <w:r>
        <w:t xml:space="preserve"> </w:t>
      </w:r>
      <w:r w:rsidRPr="006503C8">
        <w:t>de</w:t>
      </w:r>
      <w:r>
        <w:t xml:space="preserve"> </w:t>
      </w:r>
      <w:r w:rsidRPr="006503C8">
        <w:t>la</w:t>
      </w:r>
      <w:r>
        <w:t xml:space="preserve"> </w:t>
      </w:r>
      <w:r w:rsidRPr="006503C8">
        <w:t>recevabilité</w:t>
      </w:r>
      <w:r>
        <w:t xml:space="preserve"> </w:t>
      </w:r>
      <w:r w:rsidRPr="006503C8">
        <w:t>et</w:t>
      </w:r>
      <w:r>
        <w:t xml:space="preserve"> </w:t>
      </w:r>
      <w:r w:rsidRPr="006503C8">
        <w:t>du</w:t>
      </w:r>
      <w:r>
        <w:t xml:space="preserve"> </w:t>
      </w:r>
      <w:r w:rsidRPr="006503C8">
        <w:t>fond</w:t>
      </w:r>
      <w:r>
        <w:t xml:space="preserve"> </w:t>
      </w:r>
      <w:r w:rsidRPr="006503C8">
        <w:t>des</w:t>
      </w:r>
      <w:r>
        <w:t xml:space="preserve"> </w:t>
      </w:r>
      <w:r w:rsidRPr="006503C8">
        <w:t>griefs</w:t>
      </w:r>
      <w:r>
        <w:t xml:space="preserve"> </w:t>
      </w:r>
      <w:r w:rsidRPr="006503C8">
        <w:t>de</w:t>
      </w:r>
      <w:r>
        <w:t xml:space="preserve"> </w:t>
      </w:r>
      <w:r w:rsidRPr="006503C8">
        <w:t>l</w:t>
      </w:r>
      <w:r w:rsidR="00CA2931">
        <w:t>’</w:t>
      </w:r>
      <w:r w:rsidRPr="006503C8">
        <w:t>auteure</w:t>
      </w:r>
      <w:r>
        <w:t xml:space="preserve"> </w:t>
      </w:r>
      <w:r w:rsidRPr="006503C8">
        <w:t>et,</w:t>
      </w:r>
      <w:r>
        <w:t xml:space="preserve"> </w:t>
      </w:r>
      <w:r w:rsidRPr="006503C8">
        <w:t>pour</w:t>
      </w:r>
      <w:r>
        <w:t xml:space="preserve"> </w:t>
      </w:r>
      <w:r w:rsidRPr="006503C8">
        <w:t>les</w:t>
      </w:r>
      <w:r>
        <w:t xml:space="preserve"> </w:t>
      </w:r>
      <w:r w:rsidRPr="006503C8">
        <w:t>raisons</w:t>
      </w:r>
      <w:r>
        <w:t xml:space="preserve"> </w:t>
      </w:r>
      <w:r w:rsidRPr="006503C8">
        <w:t>qui</w:t>
      </w:r>
      <w:r>
        <w:t xml:space="preserve"> </w:t>
      </w:r>
      <w:r w:rsidRPr="006503C8">
        <w:t>y</w:t>
      </w:r>
      <w:r>
        <w:t xml:space="preserve"> </w:t>
      </w:r>
      <w:r w:rsidRPr="006503C8">
        <w:t>étaient</w:t>
      </w:r>
      <w:r>
        <w:t xml:space="preserve"> </w:t>
      </w:r>
      <w:r w:rsidRPr="006503C8">
        <w:t>exposées,</w:t>
      </w:r>
      <w:r>
        <w:t xml:space="preserve"> </w:t>
      </w:r>
      <w:r w:rsidRPr="006503C8">
        <w:t>conclure</w:t>
      </w:r>
      <w:r>
        <w:t xml:space="preserve"> </w:t>
      </w:r>
      <w:r w:rsidRPr="006503C8">
        <w:t>qu</w:t>
      </w:r>
      <w:r w:rsidR="00CA2931">
        <w:t>’</w:t>
      </w:r>
      <w:r w:rsidRPr="006503C8">
        <w:t>il</w:t>
      </w:r>
      <w:r>
        <w:t xml:space="preserve"> </w:t>
      </w:r>
      <w:r w:rsidRPr="006503C8">
        <w:t>n</w:t>
      </w:r>
      <w:r w:rsidR="00CA2931">
        <w:t>’</w:t>
      </w:r>
      <w:r w:rsidRPr="006503C8">
        <w:t>y</w:t>
      </w:r>
      <w:r>
        <w:t xml:space="preserve"> </w:t>
      </w:r>
      <w:r w:rsidRPr="006503C8">
        <w:t>avait</w:t>
      </w:r>
      <w:r>
        <w:t xml:space="preserve"> </w:t>
      </w:r>
      <w:r w:rsidRPr="006503C8">
        <w:t>pas</w:t>
      </w:r>
      <w:r>
        <w:t xml:space="preserve"> </w:t>
      </w:r>
      <w:r w:rsidRPr="006503C8">
        <w:t>eu</w:t>
      </w:r>
      <w:r>
        <w:t xml:space="preserve"> </w:t>
      </w:r>
      <w:r w:rsidRPr="006503C8">
        <w:t>violation</w:t>
      </w:r>
      <w:r>
        <w:t xml:space="preserve"> </w:t>
      </w:r>
      <w:r w:rsidRPr="006503C8">
        <w:t>du</w:t>
      </w:r>
      <w:r>
        <w:t xml:space="preserve"> </w:t>
      </w:r>
      <w:r w:rsidRPr="006503C8">
        <w:t>paragraphe</w:t>
      </w:r>
      <w:r>
        <w:t xml:space="preserve"> </w:t>
      </w:r>
      <w:r w:rsidRPr="006503C8">
        <w:t>2</w:t>
      </w:r>
      <w:r>
        <w:t xml:space="preserve"> </w:t>
      </w:r>
      <w:r w:rsidRPr="006503C8">
        <w:t>de</w:t>
      </w:r>
      <w:r>
        <w:t xml:space="preserve"> </w:t>
      </w:r>
      <w:r w:rsidRPr="006503C8">
        <w:t>l</w:t>
      </w:r>
      <w:r w:rsidR="00CA2931">
        <w:t>’</w:t>
      </w:r>
      <w:r w:rsidRPr="006503C8">
        <w:t>article</w:t>
      </w:r>
      <w:r>
        <w:t xml:space="preserve"> </w:t>
      </w:r>
      <w:r w:rsidRPr="006503C8">
        <w:t>19</w:t>
      </w:r>
      <w:r>
        <w:t xml:space="preserve"> </w:t>
      </w:r>
      <w:r w:rsidRPr="006503C8">
        <w:t>du</w:t>
      </w:r>
      <w:r>
        <w:t xml:space="preserve"> </w:t>
      </w:r>
      <w:r w:rsidRPr="006503C8">
        <w:t>Pacte.</w:t>
      </w:r>
    </w:p>
    <w:p w14:paraId="4C7AF629" w14:textId="77777777" w:rsidR="00765853" w:rsidRPr="006503C8" w:rsidRDefault="00765853" w:rsidP="00C050FA">
      <w:pPr>
        <w:pStyle w:val="H23G"/>
      </w:pPr>
      <w:r w:rsidRPr="006503C8">
        <w:tab/>
      </w:r>
      <w:r w:rsidRPr="006503C8">
        <w:tab/>
        <w:t>Commentaires</w:t>
      </w:r>
      <w:r>
        <w:t xml:space="preserve"> </w:t>
      </w:r>
      <w:r w:rsidRPr="006503C8">
        <w:t>de</w:t>
      </w:r>
      <w:r>
        <w:t xml:space="preserve"> </w:t>
      </w:r>
      <w:r w:rsidRPr="006503C8">
        <w:t>l</w:t>
      </w:r>
      <w:r w:rsidR="00CA2931">
        <w:t>’</w:t>
      </w:r>
      <w:r w:rsidRPr="006503C8">
        <w:t>auteure</w:t>
      </w:r>
      <w:r>
        <w:t xml:space="preserve"> </w:t>
      </w:r>
      <w:r w:rsidRPr="006503C8">
        <w:t>sur</w:t>
      </w:r>
      <w:r>
        <w:t xml:space="preserve"> </w:t>
      </w:r>
      <w:r w:rsidRPr="006503C8">
        <w:t>les</w:t>
      </w:r>
      <w:r>
        <w:t xml:space="preserve"> </w:t>
      </w:r>
      <w:r w:rsidRPr="006503C8">
        <w:t>observations</w:t>
      </w:r>
      <w:r>
        <w:t xml:space="preserve"> </w:t>
      </w:r>
      <w:r w:rsidR="001C68FE">
        <w:br/>
      </w:r>
      <w:r w:rsidRPr="006503C8">
        <w:t>de</w:t>
      </w:r>
      <w:r>
        <w:t xml:space="preserve"> </w:t>
      </w:r>
      <w:r w:rsidRPr="006503C8">
        <w:t>l</w:t>
      </w:r>
      <w:r w:rsidR="00CA2931">
        <w:t>’</w:t>
      </w:r>
      <w:r w:rsidRPr="006503C8">
        <w:t>État</w:t>
      </w:r>
      <w:r>
        <w:t xml:space="preserve"> </w:t>
      </w:r>
      <w:r w:rsidRPr="006503C8">
        <w:t>partie</w:t>
      </w:r>
      <w:r>
        <w:t xml:space="preserve"> concernant la recevabilité</w:t>
      </w:r>
    </w:p>
    <w:p w14:paraId="24425791" w14:textId="77777777" w:rsidR="00765853" w:rsidRPr="006503C8" w:rsidRDefault="00765853" w:rsidP="00765853">
      <w:pPr>
        <w:pStyle w:val="SingleTxtG"/>
      </w:pPr>
      <w:r w:rsidRPr="006503C8">
        <w:t>5.1</w:t>
      </w:r>
      <w:r w:rsidRPr="006503C8">
        <w:tab/>
        <w:t>Dans</w:t>
      </w:r>
      <w:r>
        <w:t xml:space="preserve"> </w:t>
      </w:r>
      <w:r w:rsidRPr="006503C8">
        <w:t>une</w:t>
      </w:r>
      <w:r>
        <w:t xml:space="preserve"> </w:t>
      </w:r>
      <w:r w:rsidRPr="006503C8">
        <w:t>lettre</w:t>
      </w:r>
      <w:r>
        <w:t xml:space="preserve"> </w:t>
      </w:r>
      <w:r w:rsidRPr="006503C8">
        <w:t>datée</w:t>
      </w:r>
      <w:r>
        <w:t xml:space="preserve"> </w:t>
      </w:r>
      <w:r w:rsidRPr="006503C8">
        <w:t>du</w:t>
      </w:r>
      <w:r>
        <w:t xml:space="preserve"> </w:t>
      </w:r>
      <w:r w:rsidRPr="006503C8">
        <w:t>10</w:t>
      </w:r>
      <w:r>
        <w:t> </w:t>
      </w:r>
      <w:r w:rsidRPr="006503C8">
        <w:t>août</w:t>
      </w:r>
      <w:r>
        <w:t xml:space="preserve"> </w:t>
      </w:r>
      <w:r w:rsidRPr="006503C8">
        <w:t>2016,</w:t>
      </w:r>
      <w:r>
        <w:t xml:space="preserve"> </w:t>
      </w:r>
      <w:r w:rsidRPr="006503C8">
        <w:t>l</w:t>
      </w:r>
      <w:r w:rsidR="00CA2931">
        <w:t>’</w:t>
      </w:r>
      <w:r w:rsidRPr="006503C8">
        <w:t>auteure</w:t>
      </w:r>
      <w:r>
        <w:t xml:space="preserve"> </w:t>
      </w:r>
      <w:r w:rsidRPr="006503C8">
        <w:t>a</w:t>
      </w:r>
      <w:r>
        <w:t xml:space="preserve"> </w:t>
      </w:r>
      <w:r w:rsidRPr="006503C8">
        <w:t>répondu</w:t>
      </w:r>
      <w:r>
        <w:t xml:space="preserve"> </w:t>
      </w:r>
      <w:r w:rsidRPr="006503C8">
        <w:t>aux</w:t>
      </w:r>
      <w:r>
        <w:t xml:space="preserve"> </w:t>
      </w:r>
      <w:r w:rsidRPr="006503C8">
        <w:t>observations</w:t>
      </w:r>
      <w:r>
        <w:t xml:space="preserve"> </w:t>
      </w:r>
      <w:r w:rsidRPr="006503C8">
        <w:t>de</w:t>
      </w:r>
      <w:r>
        <w:t xml:space="preserve"> </w:t>
      </w:r>
      <w:r w:rsidRPr="006503C8">
        <w:t>l</w:t>
      </w:r>
      <w:r w:rsidR="00CA2931">
        <w:t>’</w:t>
      </w:r>
      <w:r w:rsidRPr="006503C8">
        <w:t>État</w:t>
      </w:r>
      <w:r>
        <w:t xml:space="preserve"> </w:t>
      </w:r>
      <w:r w:rsidRPr="006503C8">
        <w:t>partie.</w:t>
      </w:r>
      <w:r>
        <w:t xml:space="preserve"> </w:t>
      </w:r>
      <w:r w:rsidRPr="006503C8">
        <w:t>S</w:t>
      </w:r>
      <w:r w:rsidR="00CA2931">
        <w:t>’</w:t>
      </w:r>
      <w:r w:rsidRPr="006503C8">
        <w:t>agissant</w:t>
      </w:r>
      <w:r>
        <w:t xml:space="preserve"> </w:t>
      </w:r>
      <w:r w:rsidRPr="006503C8">
        <w:t>des</w:t>
      </w:r>
      <w:r>
        <w:t xml:space="preserve"> </w:t>
      </w:r>
      <w:r w:rsidRPr="006503C8">
        <w:t>arguments</w:t>
      </w:r>
      <w:r>
        <w:t xml:space="preserve"> </w:t>
      </w:r>
      <w:r w:rsidRPr="006503C8">
        <w:t>que</w:t>
      </w:r>
      <w:r>
        <w:t xml:space="preserve"> </w:t>
      </w:r>
      <w:r w:rsidRPr="006503C8">
        <w:t>ce</w:t>
      </w:r>
      <w:r>
        <w:t xml:space="preserve"> </w:t>
      </w:r>
      <w:r w:rsidRPr="006503C8">
        <w:t>dernier</w:t>
      </w:r>
      <w:r>
        <w:t xml:space="preserve"> </w:t>
      </w:r>
      <w:r w:rsidRPr="006503C8">
        <w:t>a</w:t>
      </w:r>
      <w:r>
        <w:t xml:space="preserve"> </w:t>
      </w:r>
      <w:r w:rsidRPr="006503C8">
        <w:t>formulés</w:t>
      </w:r>
      <w:r>
        <w:t xml:space="preserve"> </w:t>
      </w:r>
      <w:r w:rsidRPr="006503C8">
        <w:t>au</w:t>
      </w:r>
      <w:r>
        <w:t xml:space="preserve"> </w:t>
      </w:r>
      <w:r w:rsidRPr="006503C8">
        <w:t>regard</w:t>
      </w:r>
      <w:r>
        <w:t xml:space="preserve"> </w:t>
      </w:r>
      <w:r w:rsidRPr="006503C8">
        <w:t>de</w:t>
      </w:r>
      <w:r>
        <w:t xml:space="preserve"> </w:t>
      </w:r>
      <w:r w:rsidRPr="006503C8">
        <w:t>l</w:t>
      </w:r>
      <w:r w:rsidR="00CA2931">
        <w:t>’</w:t>
      </w:r>
      <w:r w:rsidRPr="006503C8">
        <w:t>article</w:t>
      </w:r>
      <w:r>
        <w:t xml:space="preserve"> </w:t>
      </w:r>
      <w:r w:rsidRPr="006503C8">
        <w:t>premier</w:t>
      </w:r>
      <w:r>
        <w:t xml:space="preserve"> </w:t>
      </w:r>
      <w:r w:rsidRPr="006503C8">
        <w:t>du</w:t>
      </w:r>
      <w:r>
        <w:t xml:space="preserve"> </w:t>
      </w:r>
      <w:r w:rsidRPr="006503C8">
        <w:t>Protocole</w:t>
      </w:r>
      <w:r>
        <w:t xml:space="preserve"> </w:t>
      </w:r>
      <w:r w:rsidRPr="006503C8">
        <w:t>facultatif,</w:t>
      </w:r>
      <w:r>
        <w:t xml:space="preserve"> </w:t>
      </w:r>
      <w:r w:rsidRPr="006503C8">
        <w:t>elle</w:t>
      </w:r>
      <w:r>
        <w:t xml:space="preserve"> </w:t>
      </w:r>
      <w:r w:rsidRPr="006503C8">
        <w:t>fait</w:t>
      </w:r>
      <w:r>
        <w:t xml:space="preserve"> </w:t>
      </w:r>
      <w:r w:rsidRPr="006503C8">
        <w:t>observer</w:t>
      </w:r>
      <w:r>
        <w:t xml:space="preserve"> </w:t>
      </w:r>
      <w:r w:rsidRPr="006503C8">
        <w:t>que</w:t>
      </w:r>
      <w:r>
        <w:t xml:space="preserve"> </w:t>
      </w:r>
      <w:r w:rsidRPr="006503C8">
        <w:t>la</w:t>
      </w:r>
      <w:r>
        <w:t xml:space="preserve"> </w:t>
      </w:r>
      <w:r w:rsidRPr="006503C8">
        <w:t>condamnation</w:t>
      </w:r>
      <w:r>
        <w:t xml:space="preserve"> </w:t>
      </w:r>
      <w:r w:rsidRPr="006503C8">
        <w:t>pénale,</w:t>
      </w:r>
      <w:r>
        <w:t xml:space="preserve"> </w:t>
      </w:r>
      <w:r w:rsidRPr="006503C8">
        <w:t>fondée</w:t>
      </w:r>
      <w:r>
        <w:t xml:space="preserve"> </w:t>
      </w:r>
      <w:r w:rsidRPr="006503C8">
        <w:t>sur</w:t>
      </w:r>
      <w:r>
        <w:t xml:space="preserve"> </w:t>
      </w:r>
      <w:r w:rsidRPr="006503C8">
        <w:t>ses</w:t>
      </w:r>
      <w:r>
        <w:t xml:space="preserve"> </w:t>
      </w:r>
      <w:r w:rsidRPr="006503C8">
        <w:t>propos</w:t>
      </w:r>
      <w:r>
        <w:t xml:space="preserve"> </w:t>
      </w:r>
      <w:r w:rsidRPr="006503C8">
        <w:t>critiques</w:t>
      </w:r>
      <w:r>
        <w:t xml:space="preserve"> </w:t>
      </w:r>
      <w:r w:rsidRPr="006503C8">
        <w:t>à</w:t>
      </w:r>
      <w:r>
        <w:t xml:space="preserve"> </w:t>
      </w:r>
      <w:r w:rsidRPr="006503C8">
        <w:t>l</w:t>
      </w:r>
      <w:r w:rsidR="00CA2931">
        <w:t>’</w:t>
      </w:r>
      <w:r w:rsidRPr="006503C8">
        <w:t>encontre</w:t>
      </w:r>
      <w:r>
        <w:t xml:space="preserve"> </w:t>
      </w:r>
      <w:r w:rsidRPr="006503C8">
        <w:t>des</w:t>
      </w:r>
      <w:r>
        <w:t xml:space="preserve"> </w:t>
      </w:r>
      <w:r w:rsidRPr="006503C8">
        <w:t>procureurs,</w:t>
      </w:r>
      <w:r>
        <w:t xml:space="preserve"> </w:t>
      </w:r>
      <w:r w:rsidRPr="006503C8">
        <w:t>a</w:t>
      </w:r>
      <w:r>
        <w:t xml:space="preserve"> </w:t>
      </w:r>
      <w:r w:rsidRPr="006503C8">
        <w:t>sans</w:t>
      </w:r>
      <w:r>
        <w:t xml:space="preserve"> </w:t>
      </w:r>
      <w:r w:rsidRPr="006503C8">
        <w:t>nul</w:t>
      </w:r>
      <w:r>
        <w:t xml:space="preserve"> </w:t>
      </w:r>
      <w:r w:rsidRPr="006503C8">
        <w:t>doute</w:t>
      </w:r>
      <w:r>
        <w:t xml:space="preserve"> </w:t>
      </w:r>
      <w:r w:rsidRPr="006503C8">
        <w:t>porté</w:t>
      </w:r>
      <w:r>
        <w:t xml:space="preserve"> </w:t>
      </w:r>
      <w:r w:rsidRPr="006503C8">
        <w:t>atteinte</w:t>
      </w:r>
      <w:r>
        <w:t xml:space="preserve"> </w:t>
      </w:r>
      <w:r w:rsidRPr="006503C8">
        <w:t>aux</w:t>
      </w:r>
      <w:r>
        <w:t xml:space="preserve"> </w:t>
      </w:r>
      <w:r w:rsidRPr="006503C8">
        <w:t>droits</w:t>
      </w:r>
      <w:r>
        <w:t xml:space="preserve"> </w:t>
      </w:r>
      <w:r w:rsidRPr="006503C8">
        <w:t>qu</w:t>
      </w:r>
      <w:r w:rsidR="00CA2931">
        <w:t>’</w:t>
      </w:r>
      <w:r w:rsidRPr="006503C8">
        <w:t>elle</w:t>
      </w:r>
      <w:r>
        <w:t xml:space="preserve"> </w:t>
      </w:r>
      <w:r w:rsidRPr="006503C8">
        <w:t>tient</w:t>
      </w:r>
      <w:r>
        <w:t xml:space="preserve"> </w:t>
      </w:r>
      <w:r w:rsidRPr="006503C8">
        <w:t>de</w:t>
      </w:r>
      <w:r>
        <w:t xml:space="preserve"> </w:t>
      </w:r>
      <w:r w:rsidRPr="006503C8">
        <w:t>l</w:t>
      </w:r>
      <w:r w:rsidR="00CA2931">
        <w:t>’</w:t>
      </w:r>
      <w:r w:rsidRPr="006503C8">
        <w:t>article</w:t>
      </w:r>
      <w:r>
        <w:t xml:space="preserve"> </w:t>
      </w:r>
      <w:r w:rsidRPr="006503C8">
        <w:t>19</w:t>
      </w:r>
      <w:r>
        <w:t xml:space="preserve"> </w:t>
      </w:r>
      <w:r w:rsidRPr="006503C8">
        <w:t>du</w:t>
      </w:r>
      <w:r>
        <w:t xml:space="preserve"> </w:t>
      </w:r>
      <w:r w:rsidRPr="006503C8">
        <w:t>Pacte.</w:t>
      </w:r>
      <w:r>
        <w:t xml:space="preserve"> </w:t>
      </w:r>
      <w:r w:rsidRPr="006503C8">
        <w:t>Elle</w:t>
      </w:r>
      <w:r>
        <w:t xml:space="preserve"> </w:t>
      </w:r>
      <w:r w:rsidRPr="006503C8">
        <w:t>insiste</w:t>
      </w:r>
      <w:r>
        <w:t xml:space="preserve"> </w:t>
      </w:r>
      <w:r w:rsidRPr="006503C8">
        <w:t>sur</w:t>
      </w:r>
      <w:r>
        <w:t xml:space="preserve"> </w:t>
      </w:r>
      <w:r w:rsidRPr="006503C8">
        <w:t>le</w:t>
      </w:r>
      <w:r>
        <w:t xml:space="preserve"> </w:t>
      </w:r>
      <w:r w:rsidRPr="006503C8">
        <w:t>fait</w:t>
      </w:r>
      <w:r>
        <w:t xml:space="preserve"> </w:t>
      </w:r>
      <w:r w:rsidRPr="006503C8">
        <w:t>qu</w:t>
      </w:r>
      <w:r w:rsidR="00CA2931">
        <w:t>’</w:t>
      </w:r>
      <w:r w:rsidRPr="006503C8">
        <w:t>elle</w:t>
      </w:r>
      <w:r>
        <w:t xml:space="preserve"> </w:t>
      </w:r>
      <w:r w:rsidRPr="006503C8">
        <w:t>n</w:t>
      </w:r>
      <w:r w:rsidR="00CA2931">
        <w:t>’</w:t>
      </w:r>
      <w:r w:rsidRPr="006503C8">
        <w:t>entend</w:t>
      </w:r>
      <w:r>
        <w:t xml:space="preserve"> </w:t>
      </w:r>
      <w:r w:rsidRPr="006503C8">
        <w:t>pas</w:t>
      </w:r>
      <w:r>
        <w:t xml:space="preserve"> </w:t>
      </w:r>
      <w:r w:rsidRPr="006503C8">
        <w:t>contester</w:t>
      </w:r>
      <w:r>
        <w:t xml:space="preserve"> </w:t>
      </w:r>
      <w:r w:rsidRPr="006503C8">
        <w:t>la</w:t>
      </w:r>
      <w:r>
        <w:t xml:space="preserve"> </w:t>
      </w:r>
      <w:r w:rsidRPr="006503C8">
        <w:t>loi</w:t>
      </w:r>
      <w:r>
        <w:t xml:space="preserve"> </w:t>
      </w:r>
      <w:r w:rsidRPr="006503C8">
        <w:rPr>
          <w:i/>
        </w:rPr>
        <w:t>in</w:t>
      </w:r>
      <w:r>
        <w:rPr>
          <w:i/>
        </w:rPr>
        <w:t xml:space="preserve"> </w:t>
      </w:r>
      <w:r w:rsidRPr="006503C8">
        <w:rPr>
          <w:i/>
        </w:rPr>
        <w:t>abstracto</w:t>
      </w:r>
      <w:r w:rsidRPr="006503C8">
        <w:t>,</w:t>
      </w:r>
      <w:r>
        <w:t xml:space="preserve"> </w:t>
      </w:r>
      <w:r w:rsidRPr="006503C8">
        <w:t>mais</w:t>
      </w:r>
      <w:r>
        <w:t xml:space="preserve"> </w:t>
      </w:r>
      <w:r w:rsidRPr="006503C8">
        <w:t>bien</w:t>
      </w:r>
      <w:r>
        <w:t xml:space="preserve"> </w:t>
      </w:r>
      <w:r w:rsidRPr="006503C8">
        <w:t>la</w:t>
      </w:r>
      <w:r>
        <w:t xml:space="preserve"> </w:t>
      </w:r>
      <w:r w:rsidRPr="006503C8">
        <w:t>façon</w:t>
      </w:r>
      <w:r>
        <w:t xml:space="preserve"> </w:t>
      </w:r>
      <w:r w:rsidRPr="006503C8">
        <w:t>dont</w:t>
      </w:r>
      <w:r>
        <w:t xml:space="preserve"> </w:t>
      </w:r>
      <w:r w:rsidRPr="006503C8">
        <w:t>celle-ci</w:t>
      </w:r>
      <w:r>
        <w:t xml:space="preserve"> </w:t>
      </w:r>
      <w:r w:rsidRPr="006503C8">
        <w:t>a</w:t>
      </w:r>
      <w:r>
        <w:t xml:space="preserve"> </w:t>
      </w:r>
      <w:r w:rsidRPr="006503C8">
        <w:t>été</w:t>
      </w:r>
      <w:r>
        <w:t xml:space="preserve"> </w:t>
      </w:r>
      <w:r w:rsidRPr="006503C8">
        <w:t>appliquée</w:t>
      </w:r>
      <w:r>
        <w:t xml:space="preserve"> </w:t>
      </w:r>
      <w:r w:rsidRPr="006503C8">
        <w:t>à</w:t>
      </w:r>
      <w:r>
        <w:t xml:space="preserve"> </w:t>
      </w:r>
      <w:r w:rsidRPr="006503C8">
        <w:t>son</w:t>
      </w:r>
      <w:r>
        <w:t xml:space="preserve"> </w:t>
      </w:r>
      <w:r w:rsidRPr="006503C8">
        <w:t>détriment</w:t>
      </w:r>
      <w:r>
        <w:t xml:space="preserve"> </w:t>
      </w:r>
      <w:r w:rsidRPr="006503C8">
        <w:t>en</w:t>
      </w:r>
      <w:r>
        <w:t xml:space="preserve"> </w:t>
      </w:r>
      <w:r w:rsidRPr="006503C8">
        <w:t>l</w:t>
      </w:r>
      <w:r w:rsidR="00CA2931">
        <w:t>’</w:t>
      </w:r>
      <w:r w:rsidRPr="006503C8">
        <w:t>espèce.</w:t>
      </w:r>
      <w:r>
        <w:t xml:space="preserve"> </w:t>
      </w:r>
      <w:r w:rsidRPr="006503C8">
        <w:t>Elle</w:t>
      </w:r>
      <w:r>
        <w:t xml:space="preserve"> </w:t>
      </w:r>
      <w:r w:rsidRPr="006503C8">
        <w:t>allègue</w:t>
      </w:r>
      <w:r>
        <w:t xml:space="preserve"> </w:t>
      </w:r>
      <w:r w:rsidRPr="006503C8">
        <w:t>donc</w:t>
      </w:r>
      <w:r>
        <w:t xml:space="preserve"> </w:t>
      </w:r>
      <w:r w:rsidRPr="006503C8">
        <w:t>qu</w:t>
      </w:r>
      <w:r w:rsidR="00CA2931">
        <w:t>’</w:t>
      </w:r>
      <w:r w:rsidRPr="006503C8">
        <w:t>elle</w:t>
      </w:r>
      <w:r>
        <w:t xml:space="preserve"> </w:t>
      </w:r>
      <w:r w:rsidRPr="006503C8">
        <w:t>a</w:t>
      </w:r>
      <w:r>
        <w:t xml:space="preserve"> </w:t>
      </w:r>
      <w:r w:rsidRPr="006503C8">
        <w:t>la</w:t>
      </w:r>
      <w:r>
        <w:t xml:space="preserve"> </w:t>
      </w:r>
      <w:r w:rsidRPr="006503C8">
        <w:t>qualité</w:t>
      </w:r>
      <w:r>
        <w:t xml:space="preserve"> </w:t>
      </w:r>
      <w:r w:rsidRPr="006503C8">
        <w:t>de</w:t>
      </w:r>
      <w:r>
        <w:t xml:space="preserve"> </w:t>
      </w:r>
      <w:r w:rsidRPr="006503C8">
        <w:t>victime</w:t>
      </w:r>
      <w:r>
        <w:t xml:space="preserve"> </w:t>
      </w:r>
      <w:r w:rsidRPr="006503C8">
        <w:t>aux</w:t>
      </w:r>
      <w:r>
        <w:t xml:space="preserve"> </w:t>
      </w:r>
      <w:r w:rsidRPr="006503C8">
        <w:t>fins</w:t>
      </w:r>
      <w:r>
        <w:t xml:space="preserve"> </w:t>
      </w:r>
      <w:r w:rsidRPr="006503C8">
        <w:t>de</w:t>
      </w:r>
      <w:r>
        <w:t xml:space="preserve"> </w:t>
      </w:r>
      <w:r w:rsidRPr="006503C8">
        <w:t>la</w:t>
      </w:r>
      <w:r>
        <w:t xml:space="preserve"> </w:t>
      </w:r>
      <w:r w:rsidRPr="006503C8">
        <w:t>procédure</w:t>
      </w:r>
      <w:r>
        <w:t xml:space="preserve"> </w:t>
      </w:r>
      <w:r w:rsidRPr="006503C8">
        <w:t>devant</w:t>
      </w:r>
      <w:r>
        <w:t xml:space="preserve"> </w:t>
      </w:r>
      <w:r w:rsidRPr="006503C8">
        <w:t>le</w:t>
      </w:r>
      <w:r>
        <w:t xml:space="preserve"> </w:t>
      </w:r>
      <w:r w:rsidRPr="006503C8">
        <w:t>Comité.</w:t>
      </w:r>
    </w:p>
    <w:p w14:paraId="202612E5" w14:textId="77777777" w:rsidR="00765853" w:rsidRPr="006503C8" w:rsidRDefault="00765853" w:rsidP="00765853">
      <w:pPr>
        <w:pStyle w:val="SingleTxtG"/>
      </w:pPr>
      <w:r w:rsidRPr="006503C8">
        <w:t>5.2</w:t>
      </w:r>
      <w:r w:rsidRPr="006503C8">
        <w:tab/>
        <w:t>En</w:t>
      </w:r>
      <w:r>
        <w:t xml:space="preserve"> </w:t>
      </w:r>
      <w:r w:rsidRPr="006503C8">
        <w:t>réponse</w:t>
      </w:r>
      <w:r>
        <w:t xml:space="preserve"> </w:t>
      </w:r>
      <w:r w:rsidRPr="006503C8">
        <w:t>à</w:t>
      </w:r>
      <w:r>
        <w:t xml:space="preserve"> </w:t>
      </w:r>
      <w:r w:rsidRPr="006503C8">
        <w:t>la</w:t>
      </w:r>
      <w:r>
        <w:t xml:space="preserve"> </w:t>
      </w:r>
      <w:r w:rsidRPr="006503C8">
        <w:t>déclaration</w:t>
      </w:r>
      <w:r>
        <w:t xml:space="preserve"> </w:t>
      </w:r>
      <w:r w:rsidRPr="006503C8">
        <w:t>de</w:t>
      </w:r>
      <w:r>
        <w:t xml:space="preserve"> </w:t>
      </w:r>
      <w:r w:rsidRPr="006503C8">
        <w:t>l</w:t>
      </w:r>
      <w:r w:rsidR="00CA2931">
        <w:t>’</w:t>
      </w:r>
      <w:r w:rsidRPr="006503C8">
        <w:t>État</w:t>
      </w:r>
      <w:r>
        <w:t xml:space="preserve"> </w:t>
      </w:r>
      <w:r w:rsidRPr="006503C8">
        <w:t>partie,</w:t>
      </w:r>
      <w:r>
        <w:t xml:space="preserve"> </w:t>
      </w:r>
      <w:r w:rsidRPr="006503C8">
        <w:t>selon</w:t>
      </w:r>
      <w:r>
        <w:t xml:space="preserve"> </w:t>
      </w:r>
      <w:r w:rsidRPr="006503C8">
        <w:t>laquelle</w:t>
      </w:r>
      <w:r>
        <w:t xml:space="preserve"> </w:t>
      </w:r>
      <w:r w:rsidRPr="006503C8">
        <w:t>sa</w:t>
      </w:r>
      <w:r>
        <w:t xml:space="preserve"> </w:t>
      </w:r>
      <w:r w:rsidRPr="006503C8">
        <w:t>communication</w:t>
      </w:r>
      <w:r>
        <w:t xml:space="preserve"> </w:t>
      </w:r>
      <w:r w:rsidRPr="006503C8">
        <w:t>serait</w:t>
      </w:r>
      <w:r>
        <w:t xml:space="preserve"> </w:t>
      </w:r>
      <w:r w:rsidRPr="006503C8">
        <w:t>insuffisamment</w:t>
      </w:r>
      <w:r>
        <w:t xml:space="preserve"> </w:t>
      </w:r>
      <w:r w:rsidRPr="006503C8">
        <w:t>étayée</w:t>
      </w:r>
      <w:r>
        <w:t xml:space="preserve"> </w:t>
      </w:r>
      <w:r w:rsidRPr="006503C8">
        <w:t>puisque</w:t>
      </w:r>
      <w:r>
        <w:t xml:space="preserve"> </w:t>
      </w:r>
      <w:r w:rsidRPr="006503C8">
        <w:t>son</w:t>
      </w:r>
      <w:r>
        <w:t xml:space="preserve"> </w:t>
      </w:r>
      <w:r w:rsidRPr="006503C8">
        <w:t>affaire</w:t>
      </w:r>
      <w:r>
        <w:t xml:space="preserve"> </w:t>
      </w:r>
      <w:r w:rsidRPr="006503C8">
        <w:t>a</w:t>
      </w:r>
      <w:r>
        <w:t xml:space="preserve"> </w:t>
      </w:r>
      <w:r w:rsidRPr="006503C8">
        <w:t>été</w:t>
      </w:r>
      <w:r>
        <w:t xml:space="preserve"> </w:t>
      </w:r>
      <w:r w:rsidRPr="006503C8">
        <w:t>minutieusement</w:t>
      </w:r>
      <w:r>
        <w:t xml:space="preserve"> </w:t>
      </w:r>
      <w:r w:rsidRPr="006503C8">
        <w:t>examinée</w:t>
      </w:r>
      <w:r>
        <w:t xml:space="preserve"> </w:t>
      </w:r>
      <w:r w:rsidRPr="006503C8">
        <w:t>par</w:t>
      </w:r>
      <w:r>
        <w:t xml:space="preserve"> </w:t>
      </w:r>
      <w:r w:rsidRPr="006503C8">
        <w:t>les</w:t>
      </w:r>
      <w:r>
        <w:t xml:space="preserve"> </w:t>
      </w:r>
      <w:r w:rsidRPr="006503C8">
        <w:t>juridictions</w:t>
      </w:r>
      <w:r>
        <w:t xml:space="preserve"> </w:t>
      </w:r>
      <w:r w:rsidRPr="006503C8">
        <w:t>nationales,</w:t>
      </w:r>
      <w:r>
        <w:t xml:space="preserve"> </w:t>
      </w:r>
      <w:r w:rsidRPr="006503C8">
        <w:t>l</w:t>
      </w:r>
      <w:r w:rsidR="00CA2931">
        <w:t>’</w:t>
      </w:r>
      <w:r w:rsidRPr="006503C8">
        <w:t>auteure</w:t>
      </w:r>
      <w:r>
        <w:t xml:space="preserve"> </w:t>
      </w:r>
      <w:r w:rsidRPr="006503C8">
        <w:t>soutient</w:t>
      </w:r>
      <w:r>
        <w:t xml:space="preserve"> </w:t>
      </w:r>
      <w:r w:rsidRPr="006503C8">
        <w:t>que</w:t>
      </w:r>
      <w:r>
        <w:t xml:space="preserve"> </w:t>
      </w:r>
      <w:r w:rsidRPr="006503C8">
        <w:t>le</w:t>
      </w:r>
      <w:r>
        <w:t xml:space="preserve"> </w:t>
      </w:r>
      <w:r w:rsidRPr="006503C8">
        <w:t>seul</w:t>
      </w:r>
      <w:r>
        <w:t xml:space="preserve"> </w:t>
      </w:r>
      <w:r w:rsidRPr="006503C8">
        <w:t>fait</w:t>
      </w:r>
      <w:r>
        <w:t xml:space="preserve"> </w:t>
      </w:r>
      <w:r w:rsidRPr="006503C8">
        <w:t>que</w:t>
      </w:r>
      <w:r>
        <w:t xml:space="preserve"> </w:t>
      </w:r>
      <w:r w:rsidRPr="006503C8">
        <w:t>son</w:t>
      </w:r>
      <w:r>
        <w:t xml:space="preserve"> </w:t>
      </w:r>
      <w:r w:rsidRPr="006503C8">
        <w:t>affaire</w:t>
      </w:r>
      <w:r>
        <w:t xml:space="preserve"> </w:t>
      </w:r>
      <w:r w:rsidRPr="006503C8">
        <w:t>ait</w:t>
      </w:r>
      <w:r>
        <w:t xml:space="preserve"> </w:t>
      </w:r>
      <w:r w:rsidRPr="006503C8">
        <w:t>été</w:t>
      </w:r>
      <w:r>
        <w:t xml:space="preserve"> </w:t>
      </w:r>
      <w:r w:rsidRPr="006503C8">
        <w:t>examinée</w:t>
      </w:r>
      <w:r>
        <w:t xml:space="preserve"> </w:t>
      </w:r>
      <w:r w:rsidRPr="006503C8">
        <w:t>à</w:t>
      </w:r>
      <w:r>
        <w:t xml:space="preserve"> </w:t>
      </w:r>
      <w:r w:rsidRPr="006503C8">
        <w:t>trois</w:t>
      </w:r>
      <w:r>
        <w:t xml:space="preserve"> </w:t>
      </w:r>
      <w:r w:rsidRPr="006503C8">
        <w:t>reprises</w:t>
      </w:r>
      <w:r>
        <w:t xml:space="preserve"> </w:t>
      </w:r>
      <w:r w:rsidRPr="006503C8">
        <w:t>par</w:t>
      </w:r>
      <w:r>
        <w:t xml:space="preserve"> </w:t>
      </w:r>
      <w:r w:rsidRPr="006503C8">
        <w:t>trois</w:t>
      </w:r>
      <w:r>
        <w:t xml:space="preserve"> </w:t>
      </w:r>
      <w:r w:rsidRPr="006503C8">
        <w:t>juridictions</w:t>
      </w:r>
      <w:r>
        <w:t xml:space="preserve"> corrobore son argument, selon lequel </w:t>
      </w:r>
      <w:r w:rsidRPr="006503C8">
        <w:t>elle</w:t>
      </w:r>
      <w:r>
        <w:t xml:space="preserve"> </w:t>
      </w:r>
      <w:r w:rsidRPr="006503C8">
        <w:t>a</w:t>
      </w:r>
      <w:r>
        <w:t xml:space="preserve"> </w:t>
      </w:r>
      <w:r w:rsidRPr="006503C8">
        <w:t>épuisé</w:t>
      </w:r>
      <w:r>
        <w:t xml:space="preserve"> </w:t>
      </w:r>
      <w:r w:rsidRPr="006503C8">
        <w:t>les</w:t>
      </w:r>
      <w:r>
        <w:t xml:space="preserve"> </w:t>
      </w:r>
      <w:r w:rsidRPr="006503C8">
        <w:t>recours</w:t>
      </w:r>
      <w:r>
        <w:t xml:space="preserve"> </w:t>
      </w:r>
      <w:r w:rsidRPr="006503C8">
        <w:t>internes.</w:t>
      </w:r>
      <w:r>
        <w:t xml:space="preserve"> </w:t>
      </w:r>
      <w:r w:rsidRPr="006503C8">
        <w:t>L</w:t>
      </w:r>
      <w:r w:rsidR="00CA2931">
        <w:t>’</w:t>
      </w:r>
      <w:r w:rsidRPr="006503C8">
        <w:t>État</w:t>
      </w:r>
      <w:r>
        <w:t xml:space="preserve"> </w:t>
      </w:r>
      <w:r w:rsidRPr="006503C8">
        <w:t>partie</w:t>
      </w:r>
      <w:r>
        <w:t xml:space="preserve"> </w:t>
      </w:r>
      <w:r w:rsidRPr="006503C8">
        <w:t>ne</w:t>
      </w:r>
      <w:r>
        <w:t xml:space="preserve"> </w:t>
      </w:r>
      <w:r w:rsidRPr="006503C8">
        <w:t>peut</w:t>
      </w:r>
      <w:r>
        <w:t xml:space="preserve"> </w:t>
      </w:r>
      <w:r w:rsidRPr="006503C8">
        <w:t>invoquer</w:t>
      </w:r>
      <w:r>
        <w:t xml:space="preserve"> </w:t>
      </w:r>
      <w:r w:rsidRPr="006503C8">
        <w:t>le</w:t>
      </w:r>
      <w:r>
        <w:t xml:space="preserve"> </w:t>
      </w:r>
      <w:r w:rsidRPr="006503C8">
        <w:t>fait</w:t>
      </w:r>
      <w:r>
        <w:t xml:space="preserve"> </w:t>
      </w:r>
      <w:r w:rsidRPr="006503C8">
        <w:t>que</w:t>
      </w:r>
      <w:r>
        <w:t xml:space="preserve"> </w:t>
      </w:r>
      <w:r w:rsidRPr="006503C8">
        <w:t>sa</w:t>
      </w:r>
      <w:r>
        <w:t xml:space="preserve"> </w:t>
      </w:r>
      <w:r w:rsidRPr="006503C8">
        <w:t>plainte</w:t>
      </w:r>
      <w:r>
        <w:t xml:space="preserve"> </w:t>
      </w:r>
      <w:r w:rsidRPr="006503C8">
        <w:t>a</w:t>
      </w:r>
      <w:r>
        <w:t xml:space="preserve"> </w:t>
      </w:r>
      <w:r w:rsidRPr="006503C8">
        <w:t>été</w:t>
      </w:r>
      <w:r>
        <w:t xml:space="preserve"> </w:t>
      </w:r>
      <w:r w:rsidRPr="006503C8">
        <w:t>examinée</w:t>
      </w:r>
      <w:r>
        <w:t xml:space="preserve"> </w:t>
      </w:r>
      <w:r w:rsidRPr="006503C8">
        <w:t>par</w:t>
      </w:r>
      <w:r>
        <w:t xml:space="preserve"> </w:t>
      </w:r>
      <w:r w:rsidRPr="006503C8">
        <w:t>les</w:t>
      </w:r>
      <w:r>
        <w:t xml:space="preserve"> </w:t>
      </w:r>
      <w:r w:rsidRPr="006503C8">
        <w:t>juridictions</w:t>
      </w:r>
      <w:r>
        <w:t xml:space="preserve"> </w:t>
      </w:r>
      <w:r w:rsidRPr="006503C8">
        <w:t>nationales</w:t>
      </w:r>
      <w:r>
        <w:t xml:space="preserve"> </w:t>
      </w:r>
      <w:r w:rsidRPr="006503C8">
        <w:t>pour</w:t>
      </w:r>
      <w:r>
        <w:t xml:space="preserve"> </w:t>
      </w:r>
      <w:r w:rsidRPr="006503C8">
        <w:t>la</w:t>
      </w:r>
      <w:r>
        <w:t xml:space="preserve"> </w:t>
      </w:r>
      <w:r w:rsidRPr="006503C8">
        <w:t>faire</w:t>
      </w:r>
      <w:r>
        <w:t xml:space="preserve"> </w:t>
      </w:r>
      <w:r w:rsidRPr="006503C8">
        <w:t>déclarer</w:t>
      </w:r>
      <w:r>
        <w:t xml:space="preserve"> </w:t>
      </w:r>
      <w:r w:rsidRPr="006503C8">
        <w:t>irrecevable.</w:t>
      </w:r>
      <w:r>
        <w:t xml:space="preserve"> </w:t>
      </w:r>
      <w:r w:rsidRPr="006503C8">
        <w:t>S</w:t>
      </w:r>
      <w:r w:rsidR="00CA2931">
        <w:t>’</w:t>
      </w:r>
      <w:r w:rsidRPr="006503C8">
        <w:t>agissant</w:t>
      </w:r>
      <w:r>
        <w:t xml:space="preserve"> </w:t>
      </w:r>
      <w:r w:rsidRPr="006503C8">
        <w:t>des</w:t>
      </w:r>
      <w:r>
        <w:t xml:space="preserve"> </w:t>
      </w:r>
      <w:r w:rsidRPr="006503C8">
        <w:t>arguments</w:t>
      </w:r>
      <w:r>
        <w:t xml:space="preserve"> </w:t>
      </w:r>
      <w:r w:rsidRPr="006503C8">
        <w:t>de</w:t>
      </w:r>
      <w:r>
        <w:t xml:space="preserve"> </w:t>
      </w:r>
      <w:r w:rsidRPr="006503C8">
        <w:t>l</w:t>
      </w:r>
      <w:r w:rsidR="00CA2931">
        <w:t>’</w:t>
      </w:r>
      <w:r w:rsidRPr="006503C8">
        <w:t>État</w:t>
      </w:r>
      <w:r>
        <w:t xml:space="preserve"> </w:t>
      </w:r>
      <w:r w:rsidRPr="006503C8">
        <w:t>partie</w:t>
      </w:r>
      <w:r>
        <w:t xml:space="preserve"> </w:t>
      </w:r>
      <w:r w:rsidRPr="006503C8">
        <w:t>au</w:t>
      </w:r>
      <w:r>
        <w:t xml:space="preserve"> </w:t>
      </w:r>
      <w:r w:rsidRPr="006503C8">
        <w:t>sujet</w:t>
      </w:r>
      <w:r>
        <w:t xml:space="preserve"> </w:t>
      </w:r>
      <w:r w:rsidRPr="006503C8">
        <w:t>de</w:t>
      </w:r>
      <w:r>
        <w:t xml:space="preserve"> </w:t>
      </w:r>
      <w:r w:rsidRPr="006503C8">
        <w:t>la</w:t>
      </w:r>
      <w:r>
        <w:t xml:space="preserve"> </w:t>
      </w:r>
      <w:r w:rsidRPr="006503C8">
        <w:t>proportionnalité</w:t>
      </w:r>
      <w:r>
        <w:t xml:space="preserve"> </w:t>
      </w:r>
      <w:r w:rsidRPr="006503C8">
        <w:t>de</w:t>
      </w:r>
      <w:r>
        <w:t xml:space="preserve"> </w:t>
      </w:r>
      <w:r w:rsidRPr="006503C8">
        <w:t>la</w:t>
      </w:r>
      <w:r>
        <w:t xml:space="preserve"> </w:t>
      </w:r>
      <w:r w:rsidRPr="006503C8">
        <w:t>restriction,</w:t>
      </w:r>
      <w:r>
        <w:t xml:space="preserve"> </w:t>
      </w:r>
      <w:r w:rsidRPr="006503C8">
        <w:t>elle</w:t>
      </w:r>
      <w:r>
        <w:t xml:space="preserve"> </w:t>
      </w:r>
      <w:r w:rsidRPr="006503C8">
        <w:t>avance</w:t>
      </w:r>
      <w:r>
        <w:t xml:space="preserve"> </w:t>
      </w:r>
      <w:r w:rsidRPr="006503C8">
        <w:t>que</w:t>
      </w:r>
      <w:r>
        <w:t xml:space="preserve"> </w:t>
      </w:r>
      <w:r w:rsidRPr="006503C8">
        <w:t>ces</w:t>
      </w:r>
      <w:r>
        <w:t xml:space="preserve"> </w:t>
      </w:r>
      <w:r w:rsidRPr="006503C8">
        <w:t>arguments</w:t>
      </w:r>
      <w:r>
        <w:t xml:space="preserve"> </w:t>
      </w:r>
      <w:r w:rsidRPr="006503C8">
        <w:t>ne</w:t>
      </w:r>
      <w:r>
        <w:t xml:space="preserve"> </w:t>
      </w:r>
      <w:r w:rsidRPr="006503C8">
        <w:t>tiennent</w:t>
      </w:r>
      <w:r>
        <w:t xml:space="preserve"> </w:t>
      </w:r>
      <w:r w:rsidRPr="006503C8">
        <w:t>pas</w:t>
      </w:r>
      <w:r>
        <w:t xml:space="preserve"> </w:t>
      </w:r>
      <w:r w:rsidRPr="006503C8">
        <w:t>compte</w:t>
      </w:r>
      <w:r>
        <w:t xml:space="preserve"> </w:t>
      </w:r>
      <w:r w:rsidRPr="006503C8">
        <w:t>du</w:t>
      </w:r>
      <w:r>
        <w:t xml:space="preserve"> </w:t>
      </w:r>
      <w:r w:rsidRPr="006503C8">
        <w:t>fait</w:t>
      </w:r>
      <w:r>
        <w:t xml:space="preserve"> </w:t>
      </w:r>
      <w:r w:rsidRPr="006503C8">
        <w:t>que</w:t>
      </w:r>
      <w:r>
        <w:t xml:space="preserve"> </w:t>
      </w:r>
      <w:r w:rsidRPr="006503C8">
        <w:t>le</w:t>
      </w:r>
      <w:r>
        <w:t xml:space="preserve"> </w:t>
      </w:r>
      <w:r w:rsidRPr="006503C8">
        <w:t>principal</w:t>
      </w:r>
      <w:r>
        <w:t xml:space="preserve"> </w:t>
      </w:r>
      <w:r w:rsidRPr="006503C8">
        <w:t>grief</w:t>
      </w:r>
      <w:r>
        <w:t xml:space="preserve"> </w:t>
      </w:r>
      <w:r w:rsidRPr="006503C8">
        <w:t>qu</w:t>
      </w:r>
      <w:r w:rsidR="00CA2931">
        <w:t>’</w:t>
      </w:r>
      <w:r w:rsidRPr="006503C8">
        <w:t>elle</w:t>
      </w:r>
      <w:r>
        <w:t xml:space="preserve"> </w:t>
      </w:r>
      <w:r w:rsidRPr="006503C8">
        <w:t>porte</w:t>
      </w:r>
      <w:r>
        <w:t xml:space="preserve"> </w:t>
      </w:r>
      <w:r w:rsidRPr="006503C8">
        <w:t>devant</w:t>
      </w:r>
      <w:r>
        <w:t xml:space="preserve"> </w:t>
      </w:r>
      <w:r w:rsidRPr="006503C8">
        <w:t>le</w:t>
      </w:r>
      <w:r>
        <w:t xml:space="preserve"> </w:t>
      </w:r>
      <w:r w:rsidRPr="006503C8">
        <w:t>Comité</w:t>
      </w:r>
      <w:r>
        <w:t xml:space="preserve"> </w:t>
      </w:r>
      <w:r w:rsidRPr="006503C8">
        <w:t>ne</w:t>
      </w:r>
      <w:r>
        <w:t xml:space="preserve"> </w:t>
      </w:r>
      <w:r w:rsidRPr="006503C8">
        <w:t>concerne</w:t>
      </w:r>
      <w:r>
        <w:t xml:space="preserve"> </w:t>
      </w:r>
      <w:r w:rsidRPr="006503C8">
        <w:t>pas</w:t>
      </w:r>
      <w:r>
        <w:t xml:space="preserve"> </w:t>
      </w:r>
      <w:r w:rsidRPr="006503C8">
        <w:t>la</w:t>
      </w:r>
      <w:r>
        <w:t xml:space="preserve"> </w:t>
      </w:r>
      <w:r w:rsidRPr="006503C8">
        <w:t>sévérité</w:t>
      </w:r>
      <w:r>
        <w:t xml:space="preserve"> </w:t>
      </w:r>
      <w:r w:rsidRPr="006503C8">
        <w:t>de</w:t>
      </w:r>
      <w:r>
        <w:t xml:space="preserve"> </w:t>
      </w:r>
      <w:r w:rsidRPr="006503C8">
        <w:t>la</w:t>
      </w:r>
      <w:r>
        <w:t xml:space="preserve"> </w:t>
      </w:r>
      <w:r w:rsidRPr="006503C8">
        <w:t>sanction</w:t>
      </w:r>
      <w:r>
        <w:t xml:space="preserve"> </w:t>
      </w:r>
      <w:r w:rsidRPr="006503C8">
        <w:t>qui</w:t>
      </w:r>
      <w:r>
        <w:t xml:space="preserve"> </w:t>
      </w:r>
      <w:r w:rsidRPr="006503C8">
        <w:t>lui</w:t>
      </w:r>
      <w:r>
        <w:t xml:space="preserve"> </w:t>
      </w:r>
      <w:r w:rsidRPr="006503C8">
        <w:t>a</w:t>
      </w:r>
      <w:r>
        <w:t xml:space="preserve"> </w:t>
      </w:r>
      <w:r w:rsidRPr="006503C8">
        <w:t>été</w:t>
      </w:r>
      <w:r>
        <w:t xml:space="preserve"> </w:t>
      </w:r>
      <w:r w:rsidRPr="006503C8">
        <w:t>imposée</w:t>
      </w:r>
      <w:r>
        <w:t xml:space="preserve"> </w:t>
      </w:r>
      <w:r w:rsidRPr="006503C8">
        <w:t>mais</w:t>
      </w:r>
      <w:r>
        <w:t xml:space="preserve"> </w:t>
      </w:r>
      <w:r w:rsidRPr="006503C8">
        <w:t>bien</w:t>
      </w:r>
      <w:r>
        <w:t xml:space="preserve"> </w:t>
      </w:r>
      <w:r w:rsidRPr="006503C8">
        <w:t>le</w:t>
      </w:r>
      <w:r>
        <w:t xml:space="preserve"> </w:t>
      </w:r>
      <w:r w:rsidRPr="006503C8">
        <w:t>fait</w:t>
      </w:r>
      <w:r>
        <w:t xml:space="preserve"> </w:t>
      </w:r>
      <w:r w:rsidRPr="006503C8">
        <w:t>même</w:t>
      </w:r>
      <w:r>
        <w:t xml:space="preserve"> </w:t>
      </w:r>
      <w:r w:rsidRPr="006503C8">
        <w:t>qu</w:t>
      </w:r>
      <w:r w:rsidR="00CA2931">
        <w:t>’</w:t>
      </w:r>
      <w:r w:rsidRPr="006503C8">
        <w:t>elle</w:t>
      </w:r>
      <w:r>
        <w:t xml:space="preserve"> </w:t>
      </w:r>
      <w:r w:rsidRPr="006503C8">
        <w:t>a</w:t>
      </w:r>
      <w:r>
        <w:t xml:space="preserve"> </w:t>
      </w:r>
      <w:r w:rsidRPr="006503C8">
        <w:t>fait</w:t>
      </w:r>
      <w:r>
        <w:t xml:space="preserve"> </w:t>
      </w:r>
      <w:r w:rsidRPr="006503C8">
        <w:t>l</w:t>
      </w:r>
      <w:r w:rsidR="00CA2931">
        <w:t>’</w:t>
      </w:r>
      <w:r w:rsidRPr="006503C8">
        <w:t>objet</w:t>
      </w:r>
      <w:r>
        <w:t xml:space="preserve"> </w:t>
      </w:r>
      <w:r w:rsidRPr="006503C8">
        <w:t>de</w:t>
      </w:r>
      <w:r>
        <w:t xml:space="preserve"> </w:t>
      </w:r>
      <w:r w:rsidRPr="006503C8">
        <w:t>poursuites</w:t>
      </w:r>
      <w:r>
        <w:t xml:space="preserve"> </w:t>
      </w:r>
      <w:r w:rsidRPr="006503C8">
        <w:t>pénales</w:t>
      </w:r>
      <w:r>
        <w:t xml:space="preserve"> </w:t>
      </w:r>
      <w:r w:rsidRPr="006503C8">
        <w:t>pour</w:t>
      </w:r>
      <w:r>
        <w:t xml:space="preserve"> </w:t>
      </w:r>
      <w:r w:rsidRPr="006503C8">
        <w:t>avoir</w:t>
      </w:r>
      <w:r>
        <w:t xml:space="preserve"> </w:t>
      </w:r>
      <w:r w:rsidRPr="006503C8">
        <w:t>fait</w:t>
      </w:r>
      <w:r>
        <w:t xml:space="preserve"> </w:t>
      </w:r>
      <w:r w:rsidRPr="006503C8">
        <w:t>une</w:t>
      </w:r>
      <w:r>
        <w:t xml:space="preserve"> </w:t>
      </w:r>
      <w:r w:rsidRPr="006503C8">
        <w:t>déclaration</w:t>
      </w:r>
      <w:r>
        <w:t xml:space="preserve"> </w:t>
      </w:r>
      <w:r w:rsidRPr="006503C8">
        <w:t>critique</w:t>
      </w:r>
      <w:r>
        <w:t xml:space="preserve"> </w:t>
      </w:r>
      <w:r w:rsidRPr="006503C8">
        <w:t>en</w:t>
      </w:r>
      <w:r w:rsidR="001C68FE">
        <w:t xml:space="preserve"> </w:t>
      </w:r>
      <w:r w:rsidRPr="006503C8">
        <w:t>public.</w:t>
      </w:r>
    </w:p>
    <w:p w14:paraId="6FAF9E06" w14:textId="77777777" w:rsidR="00765853" w:rsidRPr="006503C8" w:rsidRDefault="00765853" w:rsidP="00765853">
      <w:pPr>
        <w:pStyle w:val="SingleTxtG"/>
      </w:pPr>
      <w:r w:rsidRPr="006503C8">
        <w:t>5.3</w:t>
      </w:r>
      <w:r w:rsidRPr="006503C8">
        <w:tab/>
      </w:r>
      <w:r>
        <w:t>Enfin</w:t>
      </w:r>
      <w:r w:rsidRPr="006503C8">
        <w:t>,</w:t>
      </w:r>
      <w:r>
        <w:t xml:space="preserve"> </w:t>
      </w:r>
      <w:r w:rsidRPr="006503C8">
        <w:t>l</w:t>
      </w:r>
      <w:r w:rsidR="00CA2931">
        <w:t>’</w:t>
      </w:r>
      <w:r w:rsidRPr="006503C8">
        <w:t>auteure</w:t>
      </w:r>
      <w:r>
        <w:t xml:space="preserve"> </w:t>
      </w:r>
      <w:r w:rsidRPr="006503C8">
        <w:t>fait</w:t>
      </w:r>
      <w:r>
        <w:t xml:space="preserve"> </w:t>
      </w:r>
      <w:r w:rsidRPr="006503C8">
        <w:t>observer</w:t>
      </w:r>
      <w:r>
        <w:t xml:space="preserve"> </w:t>
      </w:r>
      <w:r w:rsidRPr="006503C8">
        <w:t>que</w:t>
      </w:r>
      <w:r>
        <w:t xml:space="preserve"> </w:t>
      </w:r>
      <w:r w:rsidRPr="006503C8">
        <w:t>le</w:t>
      </w:r>
      <w:r>
        <w:t xml:space="preserve"> </w:t>
      </w:r>
      <w:r w:rsidRPr="006503C8">
        <w:t>fait</w:t>
      </w:r>
      <w:r>
        <w:t xml:space="preserve"> </w:t>
      </w:r>
      <w:r w:rsidRPr="006503C8">
        <w:t>que</w:t>
      </w:r>
      <w:r>
        <w:t xml:space="preserve"> </w:t>
      </w:r>
      <w:r w:rsidRPr="006503C8">
        <w:t>ses</w:t>
      </w:r>
      <w:r>
        <w:t xml:space="preserve"> </w:t>
      </w:r>
      <w:r w:rsidRPr="006503C8">
        <w:t>arguments</w:t>
      </w:r>
      <w:r>
        <w:t xml:space="preserve"> </w:t>
      </w:r>
      <w:r w:rsidRPr="006503C8">
        <w:t>et</w:t>
      </w:r>
      <w:r>
        <w:t xml:space="preserve"> </w:t>
      </w:r>
      <w:r w:rsidRPr="006503C8">
        <w:t>son</w:t>
      </w:r>
      <w:r>
        <w:t xml:space="preserve"> </w:t>
      </w:r>
      <w:r w:rsidRPr="006503C8">
        <w:t>interprétation</w:t>
      </w:r>
      <w:r>
        <w:t xml:space="preserve"> </w:t>
      </w:r>
      <w:r w:rsidRPr="006503C8">
        <w:t>de</w:t>
      </w:r>
      <w:r>
        <w:t xml:space="preserve"> </w:t>
      </w:r>
      <w:r w:rsidRPr="006503C8">
        <w:t>la</w:t>
      </w:r>
      <w:r>
        <w:t xml:space="preserve"> </w:t>
      </w:r>
      <w:r w:rsidRPr="006503C8">
        <w:t>loi</w:t>
      </w:r>
      <w:r>
        <w:t xml:space="preserve"> </w:t>
      </w:r>
      <w:r w:rsidRPr="006503C8">
        <w:t>ne</w:t>
      </w:r>
      <w:r>
        <w:t xml:space="preserve"> </w:t>
      </w:r>
      <w:r w:rsidRPr="006503C8">
        <w:t>coïncident</w:t>
      </w:r>
      <w:r>
        <w:t xml:space="preserve"> </w:t>
      </w:r>
      <w:r w:rsidRPr="006503C8">
        <w:t>pas</w:t>
      </w:r>
      <w:r>
        <w:t xml:space="preserve"> </w:t>
      </w:r>
      <w:r w:rsidRPr="006503C8">
        <w:t>avec</w:t>
      </w:r>
      <w:r>
        <w:t xml:space="preserve"> </w:t>
      </w:r>
      <w:r w:rsidRPr="006503C8">
        <w:t>ceux</w:t>
      </w:r>
      <w:r>
        <w:t xml:space="preserve"> </w:t>
      </w:r>
      <w:r w:rsidRPr="006503C8">
        <w:t>de</w:t>
      </w:r>
      <w:r>
        <w:t xml:space="preserve"> </w:t>
      </w:r>
      <w:r w:rsidRPr="006503C8">
        <w:t>l</w:t>
      </w:r>
      <w:r w:rsidR="00CA2931">
        <w:t>’</w:t>
      </w:r>
      <w:r w:rsidRPr="006503C8">
        <w:t>État</w:t>
      </w:r>
      <w:r>
        <w:t xml:space="preserve"> </w:t>
      </w:r>
      <w:r w:rsidRPr="006503C8">
        <w:t>partie</w:t>
      </w:r>
      <w:r>
        <w:t xml:space="preserve"> </w:t>
      </w:r>
      <w:r w:rsidRPr="006503C8">
        <w:t>ne</w:t>
      </w:r>
      <w:r>
        <w:t xml:space="preserve"> devrait pas </w:t>
      </w:r>
      <w:r w:rsidRPr="006503C8">
        <w:t>être</w:t>
      </w:r>
      <w:r>
        <w:t xml:space="preserve"> </w:t>
      </w:r>
      <w:r w:rsidRPr="006503C8">
        <w:t>considéré</w:t>
      </w:r>
      <w:r>
        <w:t xml:space="preserve"> </w:t>
      </w:r>
      <w:r w:rsidRPr="006503C8">
        <w:t>par</w:t>
      </w:r>
      <w:r>
        <w:t xml:space="preserve"> </w:t>
      </w:r>
      <w:r w:rsidRPr="006503C8">
        <w:t>ce</w:t>
      </w:r>
      <w:r>
        <w:t xml:space="preserve"> </w:t>
      </w:r>
      <w:r w:rsidRPr="006503C8">
        <w:t>dernier</w:t>
      </w:r>
      <w:r>
        <w:t xml:space="preserve"> </w:t>
      </w:r>
      <w:r w:rsidRPr="006503C8">
        <w:t>comme</w:t>
      </w:r>
      <w:r>
        <w:t xml:space="preserve"> </w:t>
      </w:r>
      <w:r w:rsidRPr="006503C8">
        <w:t>une</w:t>
      </w:r>
      <w:r>
        <w:t xml:space="preserve"> </w:t>
      </w:r>
      <w:r w:rsidRPr="006503C8">
        <w:t>tentative</w:t>
      </w:r>
      <w:r>
        <w:t xml:space="preserve"> </w:t>
      </w:r>
      <w:r w:rsidRPr="006503C8">
        <w:t>de</w:t>
      </w:r>
      <w:r>
        <w:t xml:space="preserve"> </w:t>
      </w:r>
      <w:r w:rsidRPr="006503C8">
        <w:t>tromper</w:t>
      </w:r>
      <w:r>
        <w:t xml:space="preserve"> </w:t>
      </w:r>
      <w:r w:rsidRPr="006503C8">
        <w:t>le</w:t>
      </w:r>
      <w:r>
        <w:t xml:space="preserve"> </w:t>
      </w:r>
      <w:r w:rsidRPr="006503C8">
        <w:t>Comité,</w:t>
      </w:r>
      <w:r>
        <w:t xml:space="preserve"> </w:t>
      </w:r>
      <w:r w:rsidRPr="006503C8">
        <w:t>mais</w:t>
      </w:r>
      <w:r>
        <w:t xml:space="preserve"> </w:t>
      </w:r>
      <w:r w:rsidRPr="006503C8">
        <w:t>bien</w:t>
      </w:r>
      <w:r>
        <w:t xml:space="preserve"> </w:t>
      </w:r>
      <w:r w:rsidRPr="006503C8">
        <w:t>comme</w:t>
      </w:r>
      <w:r>
        <w:t xml:space="preserve"> </w:t>
      </w:r>
      <w:r w:rsidRPr="006503C8">
        <w:t>faisant</w:t>
      </w:r>
      <w:r>
        <w:t xml:space="preserve"> </w:t>
      </w:r>
      <w:r w:rsidRPr="006503C8">
        <w:t>partie</w:t>
      </w:r>
      <w:r>
        <w:t xml:space="preserve"> </w:t>
      </w:r>
      <w:r w:rsidRPr="006503C8">
        <w:t>intégrante</w:t>
      </w:r>
      <w:r>
        <w:t xml:space="preserve"> </w:t>
      </w:r>
      <w:r w:rsidRPr="006503C8">
        <w:t>du</w:t>
      </w:r>
      <w:r>
        <w:t xml:space="preserve"> </w:t>
      </w:r>
      <w:r w:rsidRPr="006503C8">
        <w:t>processus</w:t>
      </w:r>
      <w:r>
        <w:t xml:space="preserve"> </w:t>
      </w:r>
      <w:r w:rsidRPr="006503C8">
        <w:t>de</w:t>
      </w:r>
      <w:r>
        <w:t xml:space="preserve"> </w:t>
      </w:r>
      <w:r w:rsidRPr="006503C8">
        <w:t>résolution</w:t>
      </w:r>
      <w:r>
        <w:t xml:space="preserve"> </w:t>
      </w:r>
      <w:r w:rsidRPr="006503C8">
        <w:t>d</w:t>
      </w:r>
      <w:r w:rsidR="00CA2931">
        <w:t>’</w:t>
      </w:r>
      <w:r w:rsidRPr="006503C8">
        <w:t>un</w:t>
      </w:r>
      <w:r>
        <w:t xml:space="preserve"> </w:t>
      </w:r>
      <w:r w:rsidRPr="006503C8">
        <w:t>différend</w:t>
      </w:r>
      <w:r>
        <w:t xml:space="preserve"> </w:t>
      </w:r>
      <w:r w:rsidRPr="006503C8">
        <w:t>porté</w:t>
      </w:r>
      <w:r>
        <w:t xml:space="preserve"> </w:t>
      </w:r>
      <w:r w:rsidRPr="006503C8">
        <w:t>devant</w:t>
      </w:r>
      <w:r>
        <w:t xml:space="preserve"> </w:t>
      </w:r>
      <w:r w:rsidRPr="006503C8">
        <w:t>un</w:t>
      </w:r>
      <w:r>
        <w:t xml:space="preserve"> </w:t>
      </w:r>
      <w:r w:rsidRPr="006503C8">
        <w:t>tribunal</w:t>
      </w:r>
      <w:r>
        <w:t xml:space="preserve"> </w:t>
      </w:r>
      <w:r w:rsidRPr="006503C8">
        <w:t>impartial.</w:t>
      </w:r>
      <w:r>
        <w:t xml:space="preserve"> </w:t>
      </w:r>
      <w:r w:rsidRPr="006503C8">
        <w:t>Cette</w:t>
      </w:r>
      <w:r>
        <w:t xml:space="preserve"> </w:t>
      </w:r>
      <w:r w:rsidRPr="006503C8">
        <w:t>différence</w:t>
      </w:r>
      <w:r>
        <w:t xml:space="preserve"> </w:t>
      </w:r>
      <w:r w:rsidRPr="006503C8">
        <w:t>d</w:t>
      </w:r>
      <w:r w:rsidR="00CA2931">
        <w:t>’</w:t>
      </w:r>
      <w:r w:rsidRPr="006503C8">
        <w:t>opinion</w:t>
      </w:r>
      <w:r>
        <w:t xml:space="preserve"> </w:t>
      </w:r>
      <w:r w:rsidRPr="006503C8">
        <w:t>ne</w:t>
      </w:r>
      <w:r>
        <w:t xml:space="preserve"> </w:t>
      </w:r>
      <w:r w:rsidRPr="006503C8">
        <w:t>peut</w:t>
      </w:r>
      <w:r>
        <w:t xml:space="preserve"> </w:t>
      </w:r>
      <w:r w:rsidRPr="006503C8">
        <w:t>être</w:t>
      </w:r>
      <w:r>
        <w:t xml:space="preserve"> </w:t>
      </w:r>
      <w:r w:rsidRPr="006503C8">
        <w:t>considérée</w:t>
      </w:r>
      <w:r>
        <w:t xml:space="preserve"> </w:t>
      </w:r>
      <w:r w:rsidRPr="006503C8">
        <w:t>comme</w:t>
      </w:r>
      <w:r>
        <w:t xml:space="preserve"> </w:t>
      </w:r>
      <w:r w:rsidRPr="006503C8">
        <w:t>un</w:t>
      </w:r>
      <w:r>
        <w:t xml:space="preserve"> </w:t>
      </w:r>
      <w:r w:rsidRPr="006503C8">
        <w:t>abus</w:t>
      </w:r>
      <w:r>
        <w:t xml:space="preserve"> </w:t>
      </w:r>
      <w:r w:rsidRPr="006503C8">
        <w:t>du</w:t>
      </w:r>
      <w:r>
        <w:t xml:space="preserve"> </w:t>
      </w:r>
      <w:r w:rsidRPr="006503C8">
        <w:t>droit</w:t>
      </w:r>
      <w:r>
        <w:t xml:space="preserve"> </w:t>
      </w:r>
      <w:r w:rsidRPr="006503C8">
        <w:t>de</w:t>
      </w:r>
      <w:r>
        <w:t xml:space="preserve"> </w:t>
      </w:r>
      <w:r w:rsidRPr="006503C8">
        <w:t>présenter</w:t>
      </w:r>
      <w:r>
        <w:t xml:space="preserve"> </w:t>
      </w:r>
      <w:r w:rsidRPr="006503C8">
        <w:t>des</w:t>
      </w:r>
      <w:r>
        <w:t xml:space="preserve"> </w:t>
      </w:r>
      <w:r w:rsidRPr="006503C8">
        <w:t>communications.</w:t>
      </w:r>
    </w:p>
    <w:p w14:paraId="3F4E4D48" w14:textId="77777777" w:rsidR="00765853" w:rsidRPr="006503C8" w:rsidRDefault="00765853" w:rsidP="00765853">
      <w:pPr>
        <w:pStyle w:val="SingleTxtG"/>
      </w:pPr>
      <w:r w:rsidRPr="006503C8">
        <w:t>5.4</w:t>
      </w:r>
      <w:r w:rsidRPr="006503C8">
        <w:tab/>
        <w:t>Le</w:t>
      </w:r>
      <w:r>
        <w:t xml:space="preserve"> </w:t>
      </w:r>
      <w:r w:rsidRPr="006503C8">
        <w:t>18</w:t>
      </w:r>
      <w:r>
        <w:t> </w:t>
      </w:r>
      <w:r w:rsidRPr="006503C8">
        <w:t>avril</w:t>
      </w:r>
      <w:r>
        <w:t xml:space="preserve"> </w:t>
      </w:r>
      <w:r w:rsidRPr="006503C8">
        <w:t>201</w:t>
      </w:r>
      <w:r>
        <w:t>7</w:t>
      </w:r>
      <w:r w:rsidRPr="006503C8">
        <w:t>,</w:t>
      </w:r>
      <w:r>
        <w:t xml:space="preserve"> </w:t>
      </w:r>
      <w:r w:rsidRPr="006503C8">
        <w:t>l</w:t>
      </w:r>
      <w:r w:rsidR="00CA2931">
        <w:t>’</w:t>
      </w:r>
      <w:r w:rsidRPr="006503C8">
        <w:t>auteure</w:t>
      </w:r>
      <w:r>
        <w:t xml:space="preserve"> </w:t>
      </w:r>
      <w:r w:rsidRPr="006503C8">
        <w:t>a</w:t>
      </w:r>
      <w:r>
        <w:t xml:space="preserve"> </w:t>
      </w:r>
      <w:r w:rsidRPr="006503C8">
        <w:t>ré</w:t>
      </w:r>
      <w:r>
        <w:t>affirm</w:t>
      </w:r>
      <w:r w:rsidRPr="006503C8">
        <w:t>é</w:t>
      </w:r>
      <w:r>
        <w:t xml:space="preserve"> </w:t>
      </w:r>
      <w:r w:rsidRPr="006503C8">
        <w:t>sa</w:t>
      </w:r>
      <w:r>
        <w:t xml:space="preserve"> </w:t>
      </w:r>
      <w:r w:rsidRPr="006503C8">
        <w:t>position</w:t>
      </w:r>
      <w:r>
        <w:t xml:space="preserve"> </w:t>
      </w:r>
      <w:r w:rsidRPr="006503C8">
        <w:t>selon</w:t>
      </w:r>
      <w:r>
        <w:t xml:space="preserve"> </w:t>
      </w:r>
      <w:r w:rsidRPr="006503C8">
        <w:t>laquelle</w:t>
      </w:r>
      <w:r>
        <w:t xml:space="preserve"> </w:t>
      </w:r>
      <w:r w:rsidRPr="006503C8">
        <w:t>sa</w:t>
      </w:r>
      <w:r>
        <w:t xml:space="preserve"> </w:t>
      </w:r>
      <w:r w:rsidRPr="006503C8">
        <w:t>condamnation</w:t>
      </w:r>
      <w:r>
        <w:t xml:space="preserve"> </w:t>
      </w:r>
      <w:r w:rsidRPr="006503C8">
        <w:t>pénale</w:t>
      </w:r>
      <w:r>
        <w:t xml:space="preserve"> </w:t>
      </w:r>
      <w:r w:rsidRPr="006503C8">
        <w:t>pour</w:t>
      </w:r>
      <w:r>
        <w:t xml:space="preserve"> </w:t>
      </w:r>
      <w:r w:rsidRPr="006503C8">
        <w:t>insulte</w:t>
      </w:r>
      <w:r>
        <w:t xml:space="preserve"> </w:t>
      </w:r>
      <w:r w:rsidRPr="006503C8">
        <w:t>verbale</w:t>
      </w:r>
      <w:r>
        <w:t xml:space="preserve"> </w:t>
      </w:r>
      <w:r w:rsidRPr="006503C8">
        <w:t>à</w:t>
      </w:r>
      <w:r>
        <w:t xml:space="preserve"> </w:t>
      </w:r>
      <w:r w:rsidRPr="006503C8">
        <w:t>l</w:t>
      </w:r>
      <w:r w:rsidR="00CA2931">
        <w:t>’</w:t>
      </w:r>
      <w:r w:rsidRPr="006503C8">
        <w:t>encontre</w:t>
      </w:r>
      <w:r>
        <w:t xml:space="preserve"> </w:t>
      </w:r>
      <w:r w:rsidRPr="006503C8">
        <w:t>du</w:t>
      </w:r>
      <w:r>
        <w:t xml:space="preserve"> </w:t>
      </w:r>
      <w:r w:rsidRPr="006503C8">
        <w:t>ministère</w:t>
      </w:r>
      <w:r>
        <w:t xml:space="preserve"> </w:t>
      </w:r>
      <w:r w:rsidRPr="006503C8">
        <w:t>public</w:t>
      </w:r>
      <w:r>
        <w:t xml:space="preserve"> </w:t>
      </w:r>
      <w:r w:rsidRPr="006503C8">
        <w:t>constituait</w:t>
      </w:r>
      <w:r>
        <w:t xml:space="preserve"> </w:t>
      </w:r>
      <w:r w:rsidRPr="006503C8">
        <w:t>une</w:t>
      </w:r>
      <w:r>
        <w:t xml:space="preserve"> </w:t>
      </w:r>
      <w:r w:rsidRPr="006503C8">
        <w:t>restriction</w:t>
      </w:r>
      <w:r>
        <w:t xml:space="preserve"> </w:t>
      </w:r>
      <w:r w:rsidRPr="006503C8">
        <w:t>au</w:t>
      </w:r>
      <w:r>
        <w:t xml:space="preserve"> </w:t>
      </w:r>
      <w:r w:rsidRPr="006503C8">
        <w:t>droit</w:t>
      </w:r>
      <w:r>
        <w:t xml:space="preserve"> </w:t>
      </w:r>
      <w:r w:rsidRPr="006503C8">
        <w:t>à</w:t>
      </w:r>
      <w:r>
        <w:t xml:space="preserve"> </w:t>
      </w:r>
      <w:r w:rsidRPr="006503C8">
        <w:t>la</w:t>
      </w:r>
      <w:r>
        <w:t xml:space="preserve"> </w:t>
      </w:r>
      <w:r w:rsidRPr="006503C8">
        <w:t>liberté</w:t>
      </w:r>
      <w:r>
        <w:t xml:space="preserve"> </w:t>
      </w:r>
      <w:r w:rsidRPr="006503C8">
        <w:t>d</w:t>
      </w:r>
      <w:r w:rsidR="00CA2931">
        <w:t>’</w:t>
      </w:r>
      <w:r w:rsidRPr="006503C8">
        <w:t>expression</w:t>
      </w:r>
      <w:r>
        <w:t xml:space="preserve"> </w:t>
      </w:r>
      <w:r w:rsidRPr="006503C8">
        <w:t>qu</w:t>
      </w:r>
      <w:r w:rsidR="00CA2931">
        <w:t>’</w:t>
      </w:r>
      <w:r w:rsidRPr="006503C8">
        <w:t>elle</w:t>
      </w:r>
      <w:r>
        <w:t xml:space="preserve"> </w:t>
      </w:r>
      <w:r w:rsidRPr="006503C8">
        <w:t>tenait</w:t>
      </w:r>
      <w:r>
        <w:t xml:space="preserve"> </w:t>
      </w:r>
      <w:r w:rsidRPr="006503C8">
        <w:t>du</w:t>
      </w:r>
      <w:r>
        <w:t xml:space="preserve"> </w:t>
      </w:r>
      <w:r w:rsidRPr="006503C8">
        <w:t>paragraphe</w:t>
      </w:r>
      <w:r>
        <w:t xml:space="preserve"> </w:t>
      </w:r>
      <w:r w:rsidRPr="006503C8">
        <w:t>2</w:t>
      </w:r>
      <w:r>
        <w:t xml:space="preserve"> </w:t>
      </w:r>
      <w:r w:rsidRPr="006503C8">
        <w:t>l</w:t>
      </w:r>
      <w:r w:rsidR="00CA2931">
        <w:t>’</w:t>
      </w:r>
      <w:r w:rsidRPr="006503C8">
        <w:t>article</w:t>
      </w:r>
      <w:r>
        <w:t xml:space="preserve"> </w:t>
      </w:r>
      <w:r w:rsidRPr="006503C8">
        <w:t>19</w:t>
      </w:r>
      <w:r>
        <w:t xml:space="preserve"> </w:t>
      </w:r>
      <w:r w:rsidRPr="006503C8">
        <w:t>du</w:t>
      </w:r>
      <w:r>
        <w:t xml:space="preserve"> </w:t>
      </w:r>
      <w:r w:rsidRPr="006503C8">
        <w:t>Pacte,</w:t>
      </w:r>
      <w:r>
        <w:t xml:space="preserve"> une </w:t>
      </w:r>
      <w:r w:rsidRPr="006503C8">
        <w:t>restriction</w:t>
      </w:r>
      <w:r>
        <w:t xml:space="preserve"> </w:t>
      </w:r>
      <w:r w:rsidRPr="006503C8">
        <w:t>qui</w:t>
      </w:r>
      <w:r>
        <w:t xml:space="preserve"> </w:t>
      </w:r>
      <w:r w:rsidRPr="006503C8">
        <w:t>ne</w:t>
      </w:r>
      <w:r>
        <w:t xml:space="preserve"> </w:t>
      </w:r>
      <w:r w:rsidRPr="006503C8">
        <w:t>remplissait</w:t>
      </w:r>
      <w:r>
        <w:t xml:space="preserve"> </w:t>
      </w:r>
      <w:r w:rsidRPr="006503C8">
        <w:t>pas</w:t>
      </w:r>
      <w:r>
        <w:t xml:space="preserve"> </w:t>
      </w:r>
      <w:r w:rsidRPr="006503C8">
        <w:t>les</w:t>
      </w:r>
      <w:r>
        <w:t xml:space="preserve"> </w:t>
      </w:r>
      <w:r w:rsidRPr="006503C8">
        <w:t>conditions</w:t>
      </w:r>
      <w:r>
        <w:t xml:space="preserve"> </w:t>
      </w:r>
      <w:r w:rsidRPr="006503C8">
        <w:t>du</w:t>
      </w:r>
      <w:r>
        <w:t xml:space="preserve"> </w:t>
      </w:r>
      <w:r w:rsidRPr="006503C8">
        <w:t>paragraphe</w:t>
      </w:r>
      <w:r>
        <w:t xml:space="preserve"> </w:t>
      </w:r>
      <w:r w:rsidRPr="006503C8">
        <w:t>3</w:t>
      </w:r>
      <w:r>
        <w:t xml:space="preserve"> </w:t>
      </w:r>
      <w:r w:rsidRPr="006503C8">
        <w:t>du</w:t>
      </w:r>
      <w:r>
        <w:t xml:space="preserve"> </w:t>
      </w:r>
      <w:r w:rsidRPr="006503C8">
        <w:t>même</w:t>
      </w:r>
      <w:r>
        <w:t xml:space="preserve"> </w:t>
      </w:r>
      <w:r w:rsidRPr="006503C8">
        <w:t>article</w:t>
      </w:r>
      <w:r>
        <w:t xml:space="preserve"> </w:t>
      </w:r>
      <w:r w:rsidRPr="006503C8">
        <w:t>et</w:t>
      </w:r>
      <w:r>
        <w:t xml:space="preserve"> </w:t>
      </w:r>
      <w:r w:rsidRPr="006503C8">
        <w:t>ne</w:t>
      </w:r>
      <w:r>
        <w:t xml:space="preserve"> </w:t>
      </w:r>
      <w:r w:rsidRPr="006503C8">
        <w:t>pouvait</w:t>
      </w:r>
      <w:r>
        <w:t xml:space="preserve"> </w:t>
      </w:r>
      <w:r w:rsidRPr="006503C8">
        <w:t>dès</w:t>
      </w:r>
      <w:r>
        <w:t xml:space="preserve"> </w:t>
      </w:r>
      <w:r w:rsidRPr="006503C8">
        <w:t>lors</w:t>
      </w:r>
      <w:r>
        <w:t xml:space="preserve"> </w:t>
      </w:r>
      <w:r w:rsidRPr="006503C8">
        <w:t>se</w:t>
      </w:r>
      <w:r>
        <w:t xml:space="preserve"> </w:t>
      </w:r>
      <w:r w:rsidRPr="006503C8">
        <w:t>justifier.</w:t>
      </w:r>
      <w:r>
        <w:t xml:space="preserve"> </w:t>
      </w:r>
      <w:r w:rsidRPr="006503C8">
        <w:t>Elle</w:t>
      </w:r>
      <w:r>
        <w:t xml:space="preserve"> </w:t>
      </w:r>
      <w:r w:rsidRPr="006503C8">
        <w:t>a</w:t>
      </w:r>
      <w:r>
        <w:t xml:space="preserve"> </w:t>
      </w:r>
      <w:r w:rsidRPr="006503C8">
        <w:t>également</w:t>
      </w:r>
      <w:r>
        <w:t xml:space="preserve"> </w:t>
      </w:r>
      <w:r w:rsidRPr="006503C8">
        <w:t>informé</w:t>
      </w:r>
      <w:r>
        <w:t xml:space="preserve"> </w:t>
      </w:r>
      <w:r w:rsidRPr="006503C8">
        <w:t>le</w:t>
      </w:r>
      <w:r>
        <w:t xml:space="preserve"> </w:t>
      </w:r>
      <w:r w:rsidRPr="006503C8">
        <w:t>Comité</w:t>
      </w:r>
      <w:r>
        <w:t xml:space="preserve"> </w:t>
      </w:r>
      <w:r w:rsidRPr="006503C8">
        <w:t>que</w:t>
      </w:r>
      <w:r>
        <w:t xml:space="preserve"> </w:t>
      </w:r>
      <w:r w:rsidRPr="006503C8">
        <w:t>tant</w:t>
      </w:r>
      <w:r>
        <w:t xml:space="preserve"> </w:t>
      </w:r>
      <w:r w:rsidRPr="006503C8">
        <w:t>l</w:t>
      </w:r>
      <w:r w:rsidR="00CA2931">
        <w:t>’</w:t>
      </w:r>
      <w:r w:rsidRPr="006503C8">
        <w:t>«</w:t>
      </w:r>
      <w:r>
        <w:t> </w:t>
      </w:r>
      <w:r w:rsidRPr="006503C8">
        <w:t>insulte</w:t>
      </w:r>
      <w:r>
        <w:t> </w:t>
      </w:r>
      <w:r w:rsidRPr="006503C8">
        <w:t>»</w:t>
      </w:r>
      <w:r>
        <w:t xml:space="preserve"> </w:t>
      </w:r>
      <w:r w:rsidRPr="006503C8">
        <w:t>prévue</w:t>
      </w:r>
      <w:r>
        <w:t xml:space="preserve"> </w:t>
      </w:r>
      <w:r w:rsidRPr="006503C8">
        <w:t>à</w:t>
      </w:r>
      <w:r>
        <w:t xml:space="preserve"> </w:t>
      </w:r>
      <w:r w:rsidRPr="006503C8">
        <w:t>l</w:t>
      </w:r>
      <w:r w:rsidR="00CA2931">
        <w:t>’</w:t>
      </w:r>
      <w:r w:rsidRPr="006503C8">
        <w:t>article</w:t>
      </w:r>
      <w:r>
        <w:t xml:space="preserve"> </w:t>
      </w:r>
      <w:r w:rsidRPr="006503C8">
        <w:t>155</w:t>
      </w:r>
      <w:r>
        <w:t xml:space="preserve"> </w:t>
      </w:r>
      <w:r w:rsidRPr="006503C8">
        <w:t>que</w:t>
      </w:r>
      <w:r>
        <w:t xml:space="preserve"> </w:t>
      </w:r>
      <w:r w:rsidRPr="006503C8">
        <w:t>l</w:t>
      </w:r>
      <w:r w:rsidR="00CA2931">
        <w:t>’</w:t>
      </w:r>
      <w:r w:rsidRPr="006503C8">
        <w:t>«</w:t>
      </w:r>
      <w:r>
        <w:t> </w:t>
      </w:r>
      <w:r w:rsidRPr="006503C8">
        <w:t>insulte</w:t>
      </w:r>
      <w:r>
        <w:t xml:space="preserve"> </w:t>
      </w:r>
      <w:r w:rsidRPr="006503C8">
        <w:t>à</w:t>
      </w:r>
      <w:r>
        <w:t xml:space="preserve"> </w:t>
      </w:r>
      <w:r w:rsidRPr="006503C8">
        <w:t>l</w:t>
      </w:r>
      <w:r w:rsidR="00CA2931">
        <w:t>’</w:t>
      </w:r>
      <w:r w:rsidRPr="006503C8">
        <w:t>encontre</w:t>
      </w:r>
      <w:r>
        <w:t xml:space="preserve"> </w:t>
      </w:r>
      <w:r w:rsidRPr="006503C8">
        <w:t>d</w:t>
      </w:r>
      <w:r w:rsidR="00CA2931">
        <w:t>’</w:t>
      </w:r>
      <w:r w:rsidRPr="006503C8">
        <w:t>un</w:t>
      </w:r>
      <w:r>
        <w:t xml:space="preserve"> </w:t>
      </w:r>
      <w:r w:rsidRPr="006503C8">
        <w:t>fonctionnaire</w:t>
      </w:r>
      <w:r>
        <w:t xml:space="preserve"> </w:t>
      </w:r>
      <w:r w:rsidRPr="006503C8">
        <w:t>ou</w:t>
      </w:r>
      <w:r>
        <w:t xml:space="preserve"> </w:t>
      </w:r>
      <w:r w:rsidRPr="006503C8">
        <w:t>d</w:t>
      </w:r>
      <w:r w:rsidR="00CA2931">
        <w:t>’</w:t>
      </w:r>
      <w:r w:rsidRPr="006503C8">
        <w:t>une</w:t>
      </w:r>
      <w:r>
        <w:t xml:space="preserve"> </w:t>
      </w:r>
      <w:r w:rsidRPr="006503C8">
        <w:t>personne</w:t>
      </w:r>
      <w:r>
        <w:t xml:space="preserve"> </w:t>
      </w:r>
      <w:r w:rsidRPr="006503C8">
        <w:t>exerçant</w:t>
      </w:r>
      <w:r>
        <w:t xml:space="preserve"> </w:t>
      </w:r>
      <w:r w:rsidRPr="006503C8">
        <w:t>une</w:t>
      </w:r>
      <w:r>
        <w:t xml:space="preserve"> </w:t>
      </w:r>
      <w:r w:rsidRPr="006503C8">
        <w:t>fonction</w:t>
      </w:r>
      <w:r>
        <w:t xml:space="preserve"> </w:t>
      </w:r>
      <w:r w:rsidRPr="006503C8">
        <w:t>d</w:t>
      </w:r>
      <w:r w:rsidR="00CA2931">
        <w:t>’</w:t>
      </w:r>
      <w:r w:rsidRPr="006503C8">
        <w:t>administration</w:t>
      </w:r>
      <w:r>
        <w:t xml:space="preserve"> </w:t>
      </w:r>
      <w:r w:rsidRPr="006503C8">
        <w:t>publique</w:t>
      </w:r>
      <w:r>
        <w:t> </w:t>
      </w:r>
      <w:r w:rsidRPr="006503C8">
        <w:t>»</w:t>
      </w:r>
      <w:r>
        <w:t xml:space="preserve"> </w:t>
      </w:r>
      <w:r w:rsidRPr="006503C8">
        <w:t>prévue</w:t>
      </w:r>
      <w:r>
        <w:t xml:space="preserve"> </w:t>
      </w:r>
      <w:r w:rsidRPr="006503C8">
        <w:t>à</w:t>
      </w:r>
      <w:r>
        <w:t xml:space="preserve"> </w:t>
      </w:r>
      <w:r w:rsidRPr="006503C8">
        <w:t>l</w:t>
      </w:r>
      <w:r w:rsidR="00CA2931">
        <w:t>’</w:t>
      </w:r>
      <w:r w:rsidRPr="006503C8">
        <w:t>article</w:t>
      </w:r>
      <w:r>
        <w:t xml:space="preserve"> </w:t>
      </w:r>
      <w:r w:rsidRPr="006503C8">
        <w:t>290</w:t>
      </w:r>
      <w:r>
        <w:t xml:space="preserve"> </w:t>
      </w:r>
      <w:r w:rsidRPr="006503C8">
        <w:t>avaient</w:t>
      </w:r>
      <w:r>
        <w:t xml:space="preserve"> </w:t>
      </w:r>
      <w:r w:rsidRPr="006503C8">
        <w:t>été</w:t>
      </w:r>
      <w:r>
        <w:t xml:space="preserve"> </w:t>
      </w:r>
      <w:r w:rsidRPr="006503C8">
        <w:t>dépénalisées</w:t>
      </w:r>
      <w:r>
        <w:t xml:space="preserve"> </w:t>
      </w:r>
      <w:r w:rsidRPr="006503C8">
        <w:t>en</w:t>
      </w:r>
      <w:r>
        <w:t xml:space="preserve"> </w:t>
      </w:r>
      <w:r w:rsidRPr="006503C8">
        <w:t>Lituanie,</w:t>
      </w:r>
      <w:r>
        <w:t xml:space="preserve"> </w:t>
      </w:r>
      <w:r w:rsidRPr="006503C8">
        <w:t>ce</w:t>
      </w:r>
      <w:r>
        <w:t xml:space="preserve"> </w:t>
      </w:r>
      <w:r w:rsidRPr="006503C8">
        <w:t>qui</w:t>
      </w:r>
      <w:r>
        <w:t xml:space="preserve"> </w:t>
      </w:r>
      <w:r w:rsidRPr="006503C8">
        <w:t>montrait</w:t>
      </w:r>
      <w:r>
        <w:t xml:space="preserve"> </w:t>
      </w:r>
      <w:r w:rsidRPr="006503C8">
        <w:t>également</w:t>
      </w:r>
      <w:r>
        <w:t xml:space="preserve"> </w:t>
      </w:r>
      <w:r w:rsidRPr="006503C8">
        <w:t>l</w:t>
      </w:r>
      <w:r w:rsidR="00CA2931">
        <w:t>’</w:t>
      </w:r>
      <w:r w:rsidRPr="006503C8">
        <w:t>absence</w:t>
      </w:r>
      <w:r>
        <w:t xml:space="preserve"> </w:t>
      </w:r>
      <w:r w:rsidRPr="006503C8">
        <w:t>de</w:t>
      </w:r>
      <w:r>
        <w:t xml:space="preserve"> </w:t>
      </w:r>
      <w:r w:rsidRPr="006503C8">
        <w:t>nécessité</w:t>
      </w:r>
      <w:r>
        <w:t xml:space="preserve"> </w:t>
      </w:r>
      <w:r w:rsidRPr="006503C8">
        <w:t>et</w:t>
      </w:r>
      <w:r>
        <w:t xml:space="preserve"> </w:t>
      </w:r>
      <w:r w:rsidRPr="006503C8">
        <w:t>de</w:t>
      </w:r>
      <w:r>
        <w:t xml:space="preserve"> </w:t>
      </w:r>
      <w:r w:rsidRPr="006503C8">
        <w:t>proportionnalité</w:t>
      </w:r>
      <w:r>
        <w:t xml:space="preserve"> </w:t>
      </w:r>
      <w:r w:rsidRPr="006503C8">
        <w:t>des</w:t>
      </w:r>
      <w:r>
        <w:t xml:space="preserve"> </w:t>
      </w:r>
      <w:r w:rsidRPr="006503C8">
        <w:t>poursuites</w:t>
      </w:r>
      <w:r>
        <w:t xml:space="preserve"> </w:t>
      </w:r>
      <w:r w:rsidRPr="006503C8">
        <w:t>pénales</w:t>
      </w:r>
      <w:r>
        <w:t xml:space="preserve"> </w:t>
      </w:r>
      <w:r w:rsidRPr="006503C8">
        <w:t>ayant</w:t>
      </w:r>
      <w:r>
        <w:t xml:space="preserve"> </w:t>
      </w:r>
      <w:r w:rsidRPr="006503C8">
        <w:t>entraîné</w:t>
      </w:r>
      <w:r>
        <w:t xml:space="preserve"> </w:t>
      </w:r>
      <w:r w:rsidRPr="006503C8">
        <w:t>sa</w:t>
      </w:r>
      <w:r>
        <w:t xml:space="preserve"> </w:t>
      </w:r>
      <w:r w:rsidRPr="006503C8">
        <w:t>condamnation</w:t>
      </w:r>
      <w:r>
        <w:t xml:space="preserve"> </w:t>
      </w:r>
      <w:r w:rsidRPr="006503C8">
        <w:t>au</w:t>
      </w:r>
      <w:r>
        <w:t xml:space="preserve"> </w:t>
      </w:r>
      <w:r w:rsidRPr="006503C8">
        <w:t>moment</w:t>
      </w:r>
      <w:r>
        <w:t xml:space="preserve"> </w:t>
      </w:r>
      <w:r w:rsidRPr="006503C8">
        <w:t>des</w:t>
      </w:r>
      <w:r>
        <w:t xml:space="preserve"> </w:t>
      </w:r>
      <w:r w:rsidRPr="006503C8">
        <w:t>faits.</w:t>
      </w:r>
    </w:p>
    <w:p w14:paraId="39F79BCC" w14:textId="77777777" w:rsidR="00765853" w:rsidRPr="006503C8" w:rsidRDefault="00765853" w:rsidP="000138E1">
      <w:pPr>
        <w:pStyle w:val="H23G"/>
        <w:rPr>
          <w:rFonts w:eastAsia="Calibri"/>
        </w:rPr>
      </w:pPr>
      <w:r w:rsidRPr="006503C8">
        <w:rPr>
          <w:rFonts w:eastAsia="Calibri"/>
        </w:rPr>
        <w:lastRenderedPageBreak/>
        <w:tab/>
      </w:r>
      <w:r w:rsidRPr="006503C8">
        <w:tab/>
        <w:t>Observations</w:t>
      </w:r>
      <w:r>
        <w:t xml:space="preserve"> </w:t>
      </w:r>
      <w:r w:rsidRPr="006503C8">
        <w:t>complémentaires</w:t>
      </w:r>
      <w:r>
        <w:t xml:space="preserve"> </w:t>
      </w:r>
      <w:r w:rsidRPr="006503C8">
        <w:t>de</w:t>
      </w:r>
      <w:r>
        <w:t xml:space="preserve"> </w:t>
      </w:r>
      <w:r w:rsidRPr="006503C8">
        <w:t>l</w:t>
      </w:r>
      <w:r w:rsidR="00CA2931">
        <w:t>’</w:t>
      </w:r>
      <w:r w:rsidRPr="006503C8">
        <w:t>État</w:t>
      </w:r>
      <w:r>
        <w:t xml:space="preserve"> </w:t>
      </w:r>
      <w:r w:rsidRPr="006503C8">
        <w:t>partie</w:t>
      </w:r>
    </w:p>
    <w:p w14:paraId="6B20B660" w14:textId="77777777" w:rsidR="00765853" w:rsidRPr="006503C8" w:rsidRDefault="00765853" w:rsidP="00765853">
      <w:pPr>
        <w:pStyle w:val="SingleTxtG"/>
      </w:pPr>
      <w:r w:rsidRPr="006503C8">
        <w:t>6.1</w:t>
      </w:r>
      <w:r w:rsidRPr="006503C8">
        <w:tab/>
      </w:r>
      <w:r>
        <w:t xml:space="preserve">Dans </w:t>
      </w:r>
      <w:r w:rsidRPr="006503C8">
        <w:t>une</w:t>
      </w:r>
      <w:r>
        <w:t xml:space="preserve"> </w:t>
      </w:r>
      <w:r w:rsidRPr="006503C8">
        <w:t>note</w:t>
      </w:r>
      <w:r>
        <w:t xml:space="preserve"> </w:t>
      </w:r>
      <w:r w:rsidRPr="006503C8">
        <w:t>verbale</w:t>
      </w:r>
      <w:r>
        <w:t xml:space="preserve"> </w:t>
      </w:r>
      <w:r w:rsidRPr="006503C8">
        <w:t>datée</w:t>
      </w:r>
      <w:r>
        <w:t xml:space="preserve"> </w:t>
      </w:r>
      <w:r w:rsidRPr="006503C8">
        <w:t>du</w:t>
      </w:r>
      <w:r>
        <w:t xml:space="preserve"> 19 </w:t>
      </w:r>
      <w:r w:rsidRPr="006503C8">
        <w:t>mai</w:t>
      </w:r>
      <w:r>
        <w:t xml:space="preserve"> </w:t>
      </w:r>
      <w:r w:rsidRPr="006503C8">
        <w:t>2017,</w:t>
      </w:r>
      <w:r>
        <w:t xml:space="preserve"> </w:t>
      </w:r>
      <w:r w:rsidRPr="006503C8">
        <w:t>l</w:t>
      </w:r>
      <w:r w:rsidR="00CA2931">
        <w:t>’</w:t>
      </w:r>
      <w:r w:rsidRPr="006503C8">
        <w:t>État</w:t>
      </w:r>
      <w:r>
        <w:t xml:space="preserve"> </w:t>
      </w:r>
      <w:r w:rsidRPr="006503C8">
        <w:t>partie</w:t>
      </w:r>
      <w:r>
        <w:t xml:space="preserve"> </w:t>
      </w:r>
      <w:r w:rsidRPr="006503C8">
        <w:t>a</w:t>
      </w:r>
      <w:r>
        <w:t xml:space="preserve"> </w:t>
      </w:r>
      <w:r w:rsidRPr="006503C8">
        <w:t>une</w:t>
      </w:r>
      <w:r>
        <w:t xml:space="preserve"> </w:t>
      </w:r>
      <w:r w:rsidRPr="006503C8">
        <w:t>nouvelle</w:t>
      </w:r>
      <w:r>
        <w:t xml:space="preserve"> </w:t>
      </w:r>
      <w:r w:rsidRPr="006503C8">
        <w:t>fois</w:t>
      </w:r>
      <w:r>
        <w:t xml:space="preserve"> </w:t>
      </w:r>
      <w:r w:rsidRPr="006503C8">
        <w:t>dit</w:t>
      </w:r>
      <w:r>
        <w:t xml:space="preserve"> </w:t>
      </w:r>
      <w:r w:rsidRPr="006503C8">
        <w:t>que</w:t>
      </w:r>
      <w:r>
        <w:t xml:space="preserve"> </w:t>
      </w:r>
      <w:r w:rsidRPr="006503C8">
        <w:t>le</w:t>
      </w:r>
      <w:r>
        <w:t xml:space="preserve"> </w:t>
      </w:r>
      <w:r w:rsidRPr="006503C8">
        <w:t>Comité</w:t>
      </w:r>
      <w:r>
        <w:t xml:space="preserve"> </w:t>
      </w:r>
      <w:r w:rsidRPr="006503C8">
        <w:t>devrait</w:t>
      </w:r>
      <w:r>
        <w:t xml:space="preserve"> </w:t>
      </w:r>
      <w:r w:rsidRPr="006503C8">
        <w:t>juger</w:t>
      </w:r>
      <w:r>
        <w:t xml:space="preserve"> </w:t>
      </w:r>
      <w:r w:rsidRPr="006503C8">
        <w:t>la</w:t>
      </w:r>
      <w:r>
        <w:t xml:space="preserve"> </w:t>
      </w:r>
      <w:r w:rsidRPr="006503C8">
        <w:t>communication</w:t>
      </w:r>
      <w:r>
        <w:t xml:space="preserve"> </w:t>
      </w:r>
      <w:r w:rsidRPr="006503C8">
        <w:t>irrecevable</w:t>
      </w:r>
      <w:r>
        <w:t xml:space="preserve"> </w:t>
      </w:r>
      <w:r w:rsidRPr="006503C8">
        <w:t>aux</w:t>
      </w:r>
      <w:r>
        <w:t xml:space="preserve"> </w:t>
      </w:r>
      <w:r w:rsidRPr="006503C8">
        <w:t>motifs</w:t>
      </w:r>
      <w:r>
        <w:t xml:space="preserve"> </w:t>
      </w:r>
      <w:r w:rsidRPr="006503C8">
        <w:t>que</w:t>
      </w:r>
      <w:r>
        <w:t xml:space="preserve"> </w:t>
      </w:r>
      <w:r w:rsidRPr="006503C8">
        <w:t>l</w:t>
      </w:r>
      <w:r w:rsidR="00CA2931">
        <w:t>’</w:t>
      </w:r>
      <w:r w:rsidRPr="006503C8">
        <w:t>auteure</w:t>
      </w:r>
      <w:r>
        <w:t xml:space="preserve"> </w:t>
      </w:r>
      <w:r w:rsidRPr="006503C8">
        <w:t>n</w:t>
      </w:r>
      <w:r w:rsidR="00CA2931">
        <w:t>’</w:t>
      </w:r>
      <w:r w:rsidRPr="006503C8">
        <w:t>a</w:t>
      </w:r>
      <w:r>
        <w:t xml:space="preserve">vait </w:t>
      </w:r>
      <w:r w:rsidRPr="006503C8">
        <w:t>pas</w:t>
      </w:r>
      <w:r>
        <w:t xml:space="preserve"> </w:t>
      </w:r>
      <w:r w:rsidRPr="006503C8">
        <w:t>la</w:t>
      </w:r>
      <w:r>
        <w:t xml:space="preserve"> </w:t>
      </w:r>
      <w:r w:rsidRPr="006503C8">
        <w:t>qualité</w:t>
      </w:r>
      <w:r>
        <w:t xml:space="preserve"> </w:t>
      </w:r>
      <w:r w:rsidRPr="006503C8">
        <w:t>de</w:t>
      </w:r>
      <w:r>
        <w:t xml:space="preserve"> </w:t>
      </w:r>
      <w:r w:rsidRPr="006503C8">
        <w:t>victime,</w:t>
      </w:r>
      <w:r>
        <w:t xml:space="preserve"> </w:t>
      </w:r>
      <w:r w:rsidRPr="006503C8">
        <w:t>que</w:t>
      </w:r>
      <w:r>
        <w:t xml:space="preserve"> </w:t>
      </w:r>
      <w:r w:rsidRPr="006503C8">
        <w:t>les</w:t>
      </w:r>
      <w:r>
        <w:t xml:space="preserve"> </w:t>
      </w:r>
      <w:r w:rsidRPr="006503C8">
        <w:t>griefs</w:t>
      </w:r>
      <w:r>
        <w:t xml:space="preserve"> </w:t>
      </w:r>
      <w:r w:rsidRPr="006503C8">
        <w:t>n</w:t>
      </w:r>
      <w:r w:rsidR="00CA2931">
        <w:t>’</w:t>
      </w:r>
      <w:r>
        <w:t>avaie</w:t>
      </w:r>
      <w:r w:rsidRPr="006503C8">
        <w:t>nt</w:t>
      </w:r>
      <w:r>
        <w:t xml:space="preserve"> </w:t>
      </w:r>
      <w:r w:rsidRPr="006503C8">
        <w:t>pas</w:t>
      </w:r>
      <w:r>
        <w:t xml:space="preserve"> </w:t>
      </w:r>
      <w:r w:rsidRPr="006503C8">
        <w:t>été</w:t>
      </w:r>
      <w:r>
        <w:t xml:space="preserve"> </w:t>
      </w:r>
      <w:r w:rsidRPr="006503C8">
        <w:t>étayés</w:t>
      </w:r>
      <w:r>
        <w:t xml:space="preserve"> </w:t>
      </w:r>
      <w:r w:rsidRPr="006503C8">
        <w:t>et</w:t>
      </w:r>
      <w:r>
        <w:t xml:space="preserve"> </w:t>
      </w:r>
      <w:r w:rsidRPr="006503C8">
        <w:t>que</w:t>
      </w:r>
      <w:r>
        <w:t xml:space="preserve"> </w:t>
      </w:r>
      <w:r w:rsidRPr="006503C8">
        <w:t>la</w:t>
      </w:r>
      <w:r>
        <w:t xml:space="preserve"> </w:t>
      </w:r>
      <w:r w:rsidRPr="006503C8">
        <w:t>communication</w:t>
      </w:r>
      <w:r>
        <w:t xml:space="preserve"> </w:t>
      </w:r>
      <w:r w:rsidRPr="006503C8">
        <w:t>constitu</w:t>
      </w:r>
      <w:r>
        <w:t xml:space="preserve">ait </w:t>
      </w:r>
      <w:r w:rsidRPr="006503C8">
        <w:t>un</w:t>
      </w:r>
      <w:r>
        <w:t xml:space="preserve"> </w:t>
      </w:r>
      <w:r w:rsidRPr="006503C8">
        <w:t>abus</w:t>
      </w:r>
      <w:r>
        <w:t xml:space="preserve"> </w:t>
      </w:r>
      <w:r w:rsidRPr="006503C8">
        <w:t>du</w:t>
      </w:r>
      <w:r>
        <w:t xml:space="preserve"> </w:t>
      </w:r>
      <w:r w:rsidRPr="006503C8">
        <w:t>droit</w:t>
      </w:r>
      <w:r>
        <w:t xml:space="preserve"> </w:t>
      </w:r>
      <w:r w:rsidRPr="006503C8">
        <w:t>de</w:t>
      </w:r>
      <w:r>
        <w:t xml:space="preserve"> </w:t>
      </w:r>
      <w:r w:rsidRPr="006503C8">
        <w:t>présenter</w:t>
      </w:r>
      <w:r>
        <w:t xml:space="preserve"> </w:t>
      </w:r>
      <w:r w:rsidRPr="006503C8">
        <w:t>des</w:t>
      </w:r>
      <w:r>
        <w:t xml:space="preserve"> </w:t>
      </w:r>
      <w:r w:rsidRPr="006503C8">
        <w:t>communications.</w:t>
      </w:r>
      <w:r>
        <w:t xml:space="preserve"> </w:t>
      </w:r>
      <w:r w:rsidRPr="006503C8">
        <w:t>Pour</w:t>
      </w:r>
      <w:r>
        <w:t xml:space="preserve"> </w:t>
      </w:r>
      <w:r w:rsidRPr="006503C8">
        <w:t>ce</w:t>
      </w:r>
      <w:r>
        <w:t xml:space="preserve"> </w:t>
      </w:r>
      <w:r w:rsidRPr="006503C8">
        <w:t>qui</w:t>
      </w:r>
      <w:r>
        <w:t xml:space="preserve"> </w:t>
      </w:r>
      <w:r w:rsidRPr="006503C8">
        <w:t>est</w:t>
      </w:r>
      <w:r>
        <w:t xml:space="preserve"> </w:t>
      </w:r>
      <w:r w:rsidRPr="006503C8">
        <w:t>de</w:t>
      </w:r>
      <w:r>
        <w:t xml:space="preserve"> </w:t>
      </w:r>
      <w:r w:rsidRPr="006503C8">
        <w:t>la</w:t>
      </w:r>
      <w:r>
        <w:t xml:space="preserve"> </w:t>
      </w:r>
      <w:r w:rsidRPr="006503C8">
        <w:t>dépénalisation,</w:t>
      </w:r>
      <w:r>
        <w:t xml:space="preserve"> </w:t>
      </w:r>
      <w:r w:rsidRPr="006503C8">
        <w:t>entre</w:t>
      </w:r>
      <w:r>
        <w:t xml:space="preserve"> </w:t>
      </w:r>
      <w:r w:rsidRPr="006503C8">
        <w:t>autres</w:t>
      </w:r>
      <w:r>
        <w:t xml:space="preserve"> </w:t>
      </w:r>
      <w:r w:rsidRPr="006503C8">
        <w:t>actes,</w:t>
      </w:r>
      <w:r>
        <w:t xml:space="preserve"> </w:t>
      </w:r>
      <w:r w:rsidRPr="006503C8">
        <w:t>du</w:t>
      </w:r>
      <w:r>
        <w:t xml:space="preserve"> </w:t>
      </w:r>
      <w:r w:rsidRPr="006503C8">
        <w:t>comportement</w:t>
      </w:r>
      <w:r>
        <w:t xml:space="preserve"> </w:t>
      </w:r>
      <w:r w:rsidRPr="006503C8">
        <w:t>de</w:t>
      </w:r>
      <w:r>
        <w:t xml:space="preserve"> </w:t>
      </w:r>
      <w:r w:rsidRPr="006503C8">
        <w:t>l</w:t>
      </w:r>
      <w:r w:rsidR="00CA2931">
        <w:t>’</w:t>
      </w:r>
      <w:r w:rsidRPr="006503C8">
        <w:t>auteure</w:t>
      </w:r>
      <w:r>
        <w:t xml:space="preserve"> </w:t>
      </w:r>
      <w:r w:rsidRPr="006503C8">
        <w:t>qui</w:t>
      </w:r>
      <w:r>
        <w:t xml:space="preserve"> </w:t>
      </w:r>
      <w:r w:rsidRPr="006503C8">
        <w:t>constituait</w:t>
      </w:r>
      <w:r>
        <w:t xml:space="preserve"> </w:t>
      </w:r>
      <w:r w:rsidRPr="006503C8">
        <w:t>une</w:t>
      </w:r>
      <w:r>
        <w:t xml:space="preserve"> </w:t>
      </w:r>
      <w:r w:rsidRPr="006503C8">
        <w:t>infraction</w:t>
      </w:r>
      <w:r>
        <w:t xml:space="preserve"> </w:t>
      </w:r>
      <w:r w:rsidRPr="006503C8">
        <w:t>pénale</w:t>
      </w:r>
      <w:r>
        <w:t xml:space="preserve"> </w:t>
      </w:r>
      <w:r w:rsidRPr="006503C8">
        <w:t>à</w:t>
      </w:r>
      <w:r>
        <w:t xml:space="preserve"> </w:t>
      </w:r>
      <w:r w:rsidRPr="006503C8">
        <w:t>l</w:t>
      </w:r>
      <w:r w:rsidR="00CA2931">
        <w:t>’</w:t>
      </w:r>
      <w:r w:rsidRPr="006503C8">
        <w:t>époque</w:t>
      </w:r>
      <w:r>
        <w:t xml:space="preserve"> </w:t>
      </w:r>
      <w:r w:rsidRPr="006503C8">
        <w:t>des</w:t>
      </w:r>
      <w:r>
        <w:t xml:space="preserve"> </w:t>
      </w:r>
      <w:r w:rsidRPr="006503C8">
        <w:t>faits,</w:t>
      </w:r>
      <w:r>
        <w:t xml:space="preserve"> </w:t>
      </w:r>
      <w:r w:rsidRPr="006503C8">
        <w:t>l</w:t>
      </w:r>
      <w:r w:rsidR="00CA2931">
        <w:t>’</w:t>
      </w:r>
      <w:r w:rsidRPr="006503C8">
        <w:t>État</w:t>
      </w:r>
      <w:r>
        <w:t xml:space="preserve"> </w:t>
      </w:r>
      <w:r w:rsidRPr="006503C8">
        <w:t>partie</w:t>
      </w:r>
      <w:r>
        <w:t xml:space="preserve"> </w:t>
      </w:r>
      <w:r w:rsidRPr="006503C8">
        <w:t>explique</w:t>
      </w:r>
      <w:r>
        <w:t xml:space="preserve"> </w:t>
      </w:r>
      <w:r w:rsidRPr="006503C8">
        <w:t>que</w:t>
      </w:r>
      <w:r>
        <w:t xml:space="preserve"> </w:t>
      </w:r>
      <w:bookmarkStart w:id="3" w:name="_Hlk44931016"/>
      <w:r w:rsidRPr="006503C8">
        <w:t>le</w:t>
      </w:r>
      <w:r>
        <w:t xml:space="preserve"> </w:t>
      </w:r>
      <w:r w:rsidRPr="006503C8">
        <w:t>Code</w:t>
      </w:r>
      <w:r>
        <w:t xml:space="preserve"> </w:t>
      </w:r>
      <w:r w:rsidRPr="006503C8">
        <w:t>pénal</w:t>
      </w:r>
      <w:r>
        <w:t xml:space="preserve"> </w:t>
      </w:r>
      <w:r w:rsidRPr="006503C8">
        <w:t>et</w:t>
      </w:r>
      <w:r>
        <w:t xml:space="preserve"> </w:t>
      </w:r>
      <w:r w:rsidRPr="006503C8">
        <w:t>le</w:t>
      </w:r>
      <w:r>
        <w:t xml:space="preserve"> </w:t>
      </w:r>
      <w:r w:rsidRPr="006503C8">
        <w:t>Code</w:t>
      </w:r>
      <w:r>
        <w:t xml:space="preserve"> </w:t>
      </w:r>
      <w:r w:rsidRPr="006503C8">
        <w:t>des</w:t>
      </w:r>
      <w:r>
        <w:t xml:space="preserve"> </w:t>
      </w:r>
      <w:r w:rsidRPr="006503C8">
        <w:t>infractions</w:t>
      </w:r>
      <w:r>
        <w:t xml:space="preserve"> </w:t>
      </w:r>
      <w:r w:rsidRPr="006503C8">
        <w:t>administratives</w:t>
      </w:r>
      <w:r>
        <w:t xml:space="preserve"> </w:t>
      </w:r>
      <w:r w:rsidRPr="006503C8">
        <w:t>contenaient</w:t>
      </w:r>
      <w:r>
        <w:t xml:space="preserve"> </w:t>
      </w:r>
      <w:r w:rsidRPr="006503C8">
        <w:t>tous</w:t>
      </w:r>
      <w:r>
        <w:t xml:space="preserve"> </w:t>
      </w:r>
      <w:r w:rsidRPr="006503C8">
        <w:t>deux</w:t>
      </w:r>
      <w:r>
        <w:t xml:space="preserve"> </w:t>
      </w:r>
      <w:r w:rsidRPr="006503C8">
        <w:t>des</w:t>
      </w:r>
      <w:r>
        <w:t xml:space="preserve"> </w:t>
      </w:r>
      <w:r w:rsidRPr="006503C8">
        <w:t>dispositions</w:t>
      </w:r>
      <w:r>
        <w:t xml:space="preserve"> </w:t>
      </w:r>
      <w:r w:rsidRPr="006503C8">
        <w:t>relatives</w:t>
      </w:r>
      <w:r>
        <w:t xml:space="preserve"> </w:t>
      </w:r>
      <w:r w:rsidRPr="006503C8">
        <w:t>à</w:t>
      </w:r>
      <w:r>
        <w:t xml:space="preserve"> </w:t>
      </w:r>
      <w:r w:rsidRPr="006503C8">
        <w:t>l</w:t>
      </w:r>
      <w:r w:rsidR="00CA2931">
        <w:t>’</w:t>
      </w:r>
      <w:r w:rsidRPr="006503C8">
        <w:t>insulte</w:t>
      </w:r>
      <w:r>
        <w:t xml:space="preserve"> </w:t>
      </w:r>
      <w:r w:rsidRPr="006503C8">
        <w:t>à</w:t>
      </w:r>
      <w:r>
        <w:t xml:space="preserve"> </w:t>
      </w:r>
      <w:r w:rsidRPr="006503C8">
        <w:t>l</w:t>
      </w:r>
      <w:r w:rsidR="00CA2931">
        <w:t>’</w:t>
      </w:r>
      <w:r w:rsidRPr="006503C8">
        <w:t>encontre</w:t>
      </w:r>
      <w:r>
        <w:t xml:space="preserve"> </w:t>
      </w:r>
      <w:r w:rsidRPr="006503C8">
        <w:t>de</w:t>
      </w:r>
      <w:r>
        <w:t xml:space="preserve"> </w:t>
      </w:r>
      <w:r w:rsidRPr="006503C8">
        <w:t>personnes</w:t>
      </w:r>
      <w:r>
        <w:t xml:space="preserve"> </w:t>
      </w:r>
      <w:r w:rsidRPr="006503C8">
        <w:t>exerçant</w:t>
      </w:r>
      <w:r>
        <w:t xml:space="preserve"> </w:t>
      </w:r>
      <w:r w:rsidRPr="006503C8">
        <w:t>des</w:t>
      </w:r>
      <w:r>
        <w:t xml:space="preserve"> </w:t>
      </w:r>
      <w:r w:rsidRPr="006503C8">
        <w:t>fonctions</w:t>
      </w:r>
      <w:r>
        <w:t xml:space="preserve"> </w:t>
      </w:r>
      <w:r w:rsidRPr="006503C8">
        <w:t>publiques.</w:t>
      </w:r>
      <w:r>
        <w:t xml:space="preserve"> </w:t>
      </w:r>
      <w:r w:rsidRPr="006503C8">
        <w:t>Afin</w:t>
      </w:r>
      <w:r>
        <w:t xml:space="preserve"> </w:t>
      </w:r>
      <w:r w:rsidRPr="006503C8">
        <w:t>d</w:t>
      </w:r>
      <w:r w:rsidR="00CA2931">
        <w:t>’</w:t>
      </w:r>
      <w:r w:rsidRPr="006503C8">
        <w:t>harmoniser</w:t>
      </w:r>
      <w:r>
        <w:t xml:space="preserve"> </w:t>
      </w:r>
      <w:r w:rsidRPr="006503C8">
        <w:t>ces</w:t>
      </w:r>
      <w:r>
        <w:t xml:space="preserve"> </w:t>
      </w:r>
      <w:r w:rsidRPr="006503C8">
        <w:t>dispositions,</w:t>
      </w:r>
      <w:r>
        <w:t xml:space="preserve"> </w:t>
      </w:r>
      <w:r w:rsidRPr="006503C8">
        <w:t>et</w:t>
      </w:r>
      <w:r>
        <w:t xml:space="preserve"> </w:t>
      </w:r>
      <w:r w:rsidRPr="006503C8">
        <w:t>également</w:t>
      </w:r>
      <w:r>
        <w:t xml:space="preserve"> </w:t>
      </w:r>
      <w:r w:rsidRPr="006503C8">
        <w:t>de</w:t>
      </w:r>
      <w:r>
        <w:t xml:space="preserve"> </w:t>
      </w:r>
      <w:r w:rsidRPr="006503C8">
        <w:t>satisfaire</w:t>
      </w:r>
      <w:r>
        <w:t xml:space="preserve"> </w:t>
      </w:r>
      <w:r w:rsidRPr="006503C8">
        <w:t>aux</w:t>
      </w:r>
      <w:r>
        <w:t xml:space="preserve"> </w:t>
      </w:r>
      <w:r w:rsidRPr="006503C8">
        <w:t>conditions</w:t>
      </w:r>
      <w:r>
        <w:t xml:space="preserve"> </w:t>
      </w:r>
      <w:r w:rsidRPr="006503C8">
        <w:t>du</w:t>
      </w:r>
      <w:r>
        <w:t xml:space="preserve"> </w:t>
      </w:r>
      <w:r w:rsidRPr="006503C8">
        <w:t>principe</w:t>
      </w:r>
      <w:r>
        <w:t xml:space="preserve"> </w:t>
      </w:r>
      <w:r w:rsidRPr="006503C8">
        <w:rPr>
          <w:i/>
        </w:rPr>
        <w:t>ne</w:t>
      </w:r>
      <w:r>
        <w:rPr>
          <w:i/>
        </w:rPr>
        <w:t xml:space="preserve"> </w:t>
      </w:r>
      <w:r w:rsidRPr="006503C8">
        <w:rPr>
          <w:i/>
        </w:rPr>
        <w:t>bis</w:t>
      </w:r>
      <w:r>
        <w:rPr>
          <w:i/>
        </w:rPr>
        <w:t xml:space="preserve"> </w:t>
      </w:r>
      <w:r w:rsidRPr="006503C8">
        <w:rPr>
          <w:i/>
        </w:rPr>
        <w:t>in</w:t>
      </w:r>
      <w:r>
        <w:rPr>
          <w:i/>
        </w:rPr>
        <w:t xml:space="preserve"> </w:t>
      </w:r>
      <w:r w:rsidRPr="006503C8">
        <w:rPr>
          <w:i/>
        </w:rPr>
        <w:t>idem</w:t>
      </w:r>
      <w:r w:rsidRPr="006503C8">
        <w:t>,</w:t>
      </w:r>
      <w:r>
        <w:t xml:space="preserve"> </w:t>
      </w:r>
      <w:r w:rsidRPr="006503C8">
        <w:t>le</w:t>
      </w:r>
      <w:r>
        <w:t xml:space="preserve"> </w:t>
      </w:r>
      <w:r w:rsidRPr="006503C8">
        <w:t>législateur</w:t>
      </w:r>
      <w:r>
        <w:t xml:space="preserve"> </w:t>
      </w:r>
      <w:r w:rsidRPr="006503C8">
        <w:t>a</w:t>
      </w:r>
      <w:r>
        <w:t xml:space="preserve"> </w:t>
      </w:r>
      <w:r w:rsidRPr="006503C8">
        <w:t>décidé</w:t>
      </w:r>
      <w:r>
        <w:t xml:space="preserve"> </w:t>
      </w:r>
      <w:r w:rsidRPr="006503C8">
        <w:t>d</w:t>
      </w:r>
      <w:r w:rsidR="00CA2931">
        <w:t>’</w:t>
      </w:r>
      <w:r w:rsidRPr="006503C8">
        <w:t>abroger</w:t>
      </w:r>
      <w:r>
        <w:t xml:space="preserve"> </w:t>
      </w:r>
      <w:r w:rsidRPr="006503C8">
        <w:t>ces</w:t>
      </w:r>
      <w:r>
        <w:t xml:space="preserve"> </w:t>
      </w:r>
      <w:r w:rsidRPr="006503C8">
        <w:t>deux</w:t>
      </w:r>
      <w:r>
        <w:t xml:space="preserve"> </w:t>
      </w:r>
      <w:r w:rsidRPr="006503C8">
        <w:t>dispositions</w:t>
      </w:r>
      <w:r>
        <w:t xml:space="preserve"> </w:t>
      </w:r>
      <w:r w:rsidRPr="006503C8">
        <w:t>et</w:t>
      </w:r>
      <w:r>
        <w:t xml:space="preserve"> </w:t>
      </w:r>
      <w:r w:rsidRPr="006503C8">
        <w:t>d</w:t>
      </w:r>
      <w:r w:rsidR="00CA2931">
        <w:t>’</w:t>
      </w:r>
      <w:r w:rsidRPr="006503C8">
        <w:t>en</w:t>
      </w:r>
      <w:r>
        <w:t xml:space="preserve"> </w:t>
      </w:r>
      <w:r w:rsidRPr="006503C8">
        <w:t>introduire</w:t>
      </w:r>
      <w:r>
        <w:t xml:space="preserve"> </w:t>
      </w:r>
      <w:r w:rsidRPr="006503C8">
        <w:t>une</w:t>
      </w:r>
      <w:r>
        <w:t xml:space="preserve"> </w:t>
      </w:r>
      <w:r w:rsidRPr="006503C8">
        <w:t>seule</w:t>
      </w:r>
      <w:r>
        <w:t xml:space="preserve"> </w:t>
      </w:r>
      <w:r w:rsidRPr="006503C8">
        <w:t>et</w:t>
      </w:r>
      <w:r>
        <w:t xml:space="preserve"> </w:t>
      </w:r>
      <w:r w:rsidRPr="006503C8">
        <w:t>unique</w:t>
      </w:r>
      <w:r>
        <w:t xml:space="preserve"> à l</w:t>
      </w:r>
      <w:r w:rsidR="00CA2931">
        <w:t>’</w:t>
      </w:r>
      <w:r>
        <w:t xml:space="preserve">article 507 </w:t>
      </w:r>
      <w:r w:rsidRPr="006503C8">
        <w:t>d</w:t>
      </w:r>
      <w:r>
        <w:t xml:space="preserve">u </w:t>
      </w:r>
      <w:r w:rsidRPr="006503C8">
        <w:t>Code</w:t>
      </w:r>
      <w:r>
        <w:t xml:space="preserve"> </w:t>
      </w:r>
      <w:r w:rsidRPr="006503C8">
        <w:t>des</w:t>
      </w:r>
      <w:r>
        <w:t xml:space="preserve"> </w:t>
      </w:r>
      <w:r w:rsidRPr="006503C8">
        <w:t>violations</w:t>
      </w:r>
      <w:r>
        <w:t xml:space="preserve"> </w:t>
      </w:r>
      <w:r w:rsidRPr="006503C8">
        <w:t>administratives.</w:t>
      </w:r>
    </w:p>
    <w:bookmarkEnd w:id="3"/>
    <w:p w14:paraId="610175D6" w14:textId="77777777" w:rsidR="00765853" w:rsidRPr="006503C8" w:rsidRDefault="00765853" w:rsidP="00765853">
      <w:pPr>
        <w:pStyle w:val="SingleTxtG"/>
        <w:rPr>
          <w:spacing w:val="-2"/>
        </w:rPr>
      </w:pPr>
      <w:r w:rsidRPr="006503C8">
        <w:t>6.2</w:t>
      </w:r>
      <w:r w:rsidRPr="006503C8">
        <w:tab/>
        <w:t>Enfin,</w:t>
      </w:r>
      <w:r>
        <w:t xml:space="preserve"> </w:t>
      </w:r>
      <w:r w:rsidRPr="006503C8">
        <w:t>l</w:t>
      </w:r>
      <w:r w:rsidR="00CA2931">
        <w:t>’</w:t>
      </w:r>
      <w:r w:rsidRPr="006503C8">
        <w:t>État</w:t>
      </w:r>
      <w:r>
        <w:t xml:space="preserve"> </w:t>
      </w:r>
      <w:r w:rsidRPr="006503C8">
        <w:t>partie</w:t>
      </w:r>
      <w:r>
        <w:t xml:space="preserve"> </w:t>
      </w:r>
      <w:r w:rsidRPr="006503C8">
        <w:t>rappelle</w:t>
      </w:r>
      <w:r>
        <w:t xml:space="preserve"> </w:t>
      </w:r>
      <w:r w:rsidRPr="006503C8">
        <w:t>que</w:t>
      </w:r>
      <w:r>
        <w:t xml:space="preserve"> </w:t>
      </w:r>
      <w:r w:rsidRPr="006503C8">
        <w:t>l</w:t>
      </w:r>
      <w:r w:rsidR="00CA2931">
        <w:t>’</w:t>
      </w:r>
      <w:r w:rsidRPr="006503C8">
        <w:t>affaire</w:t>
      </w:r>
      <w:r>
        <w:t xml:space="preserve"> </w:t>
      </w:r>
      <w:r w:rsidRPr="006503C8">
        <w:t>de</w:t>
      </w:r>
      <w:r>
        <w:t xml:space="preserve"> </w:t>
      </w:r>
      <w:r w:rsidRPr="006503C8">
        <w:t>l</w:t>
      </w:r>
      <w:r w:rsidR="00CA2931">
        <w:t>’</w:t>
      </w:r>
      <w:r w:rsidRPr="006503C8">
        <w:t>auteure</w:t>
      </w:r>
      <w:r>
        <w:t xml:space="preserve"> </w:t>
      </w:r>
      <w:r w:rsidRPr="006503C8">
        <w:t>ne</w:t>
      </w:r>
      <w:r>
        <w:t xml:space="preserve"> </w:t>
      </w:r>
      <w:r w:rsidRPr="006503C8">
        <w:t>porte</w:t>
      </w:r>
      <w:r>
        <w:t xml:space="preserve"> </w:t>
      </w:r>
      <w:r w:rsidRPr="006503C8">
        <w:t>pas</w:t>
      </w:r>
      <w:r>
        <w:t xml:space="preserve"> </w:t>
      </w:r>
      <w:r w:rsidRPr="006503C8">
        <w:t>sur</w:t>
      </w:r>
      <w:r>
        <w:t xml:space="preserve"> </w:t>
      </w:r>
      <w:r w:rsidRPr="006503C8">
        <w:t>la</w:t>
      </w:r>
      <w:r>
        <w:t xml:space="preserve"> </w:t>
      </w:r>
      <w:r w:rsidRPr="006503C8">
        <w:t>relation</w:t>
      </w:r>
      <w:r>
        <w:t xml:space="preserve"> </w:t>
      </w:r>
      <w:r w:rsidRPr="006503C8">
        <w:t>entre</w:t>
      </w:r>
      <w:r>
        <w:t xml:space="preserve"> </w:t>
      </w:r>
      <w:r w:rsidRPr="006503C8">
        <w:t>la</w:t>
      </w:r>
      <w:r>
        <w:t xml:space="preserve"> </w:t>
      </w:r>
      <w:r w:rsidRPr="006503C8">
        <w:t>liberté</w:t>
      </w:r>
      <w:r>
        <w:t xml:space="preserve"> </w:t>
      </w:r>
      <w:r w:rsidRPr="006503C8">
        <w:t>d</w:t>
      </w:r>
      <w:r w:rsidR="00CA2931">
        <w:t>’</w:t>
      </w:r>
      <w:r w:rsidRPr="006503C8">
        <w:t>expression</w:t>
      </w:r>
      <w:r>
        <w:t xml:space="preserve"> </w:t>
      </w:r>
      <w:r w:rsidRPr="006503C8">
        <w:t>et</w:t>
      </w:r>
      <w:r>
        <w:t xml:space="preserve"> </w:t>
      </w:r>
      <w:r w:rsidRPr="006503C8">
        <w:t>les</w:t>
      </w:r>
      <w:r>
        <w:t xml:space="preserve"> </w:t>
      </w:r>
      <w:r w:rsidRPr="006503C8">
        <w:t>médias,</w:t>
      </w:r>
      <w:r>
        <w:t xml:space="preserve"> </w:t>
      </w:r>
      <w:r w:rsidRPr="006503C8">
        <w:t>que</w:t>
      </w:r>
      <w:r>
        <w:t xml:space="preserve"> </w:t>
      </w:r>
      <w:r w:rsidRPr="006503C8">
        <w:t>les</w:t>
      </w:r>
      <w:r>
        <w:t xml:space="preserve"> </w:t>
      </w:r>
      <w:r w:rsidRPr="006503C8">
        <w:t>déclarations</w:t>
      </w:r>
      <w:r>
        <w:t xml:space="preserve"> </w:t>
      </w:r>
      <w:r w:rsidRPr="006503C8">
        <w:t>de</w:t>
      </w:r>
      <w:r>
        <w:t xml:space="preserve"> </w:t>
      </w:r>
      <w:r w:rsidRPr="006503C8">
        <w:t>l</w:t>
      </w:r>
      <w:r w:rsidR="00CA2931">
        <w:t>’</w:t>
      </w:r>
      <w:r w:rsidRPr="006503C8">
        <w:t>auteure</w:t>
      </w:r>
      <w:r>
        <w:t xml:space="preserve"> </w:t>
      </w:r>
      <w:r w:rsidRPr="006503C8">
        <w:t>ne</w:t>
      </w:r>
      <w:r>
        <w:t xml:space="preserve"> </w:t>
      </w:r>
      <w:r w:rsidRPr="006503C8">
        <w:t>doivent</w:t>
      </w:r>
      <w:r>
        <w:t xml:space="preserve"> </w:t>
      </w:r>
      <w:r w:rsidRPr="006503C8">
        <w:t>pas</w:t>
      </w:r>
      <w:r>
        <w:t xml:space="preserve"> </w:t>
      </w:r>
      <w:r w:rsidRPr="006503C8">
        <w:t>être</w:t>
      </w:r>
      <w:r>
        <w:t xml:space="preserve"> </w:t>
      </w:r>
      <w:r w:rsidRPr="006503C8">
        <w:t>considérées</w:t>
      </w:r>
      <w:r>
        <w:t xml:space="preserve"> </w:t>
      </w:r>
      <w:r w:rsidRPr="006503C8">
        <w:t>comme</w:t>
      </w:r>
      <w:r>
        <w:t xml:space="preserve"> </w:t>
      </w:r>
      <w:r w:rsidRPr="006503C8">
        <w:t>des</w:t>
      </w:r>
      <w:r>
        <w:t xml:space="preserve"> </w:t>
      </w:r>
      <w:r w:rsidRPr="006503C8">
        <w:t>informations</w:t>
      </w:r>
      <w:r>
        <w:t xml:space="preserve"> </w:t>
      </w:r>
      <w:r w:rsidRPr="006503C8">
        <w:t>ou</w:t>
      </w:r>
      <w:r>
        <w:t xml:space="preserve"> </w:t>
      </w:r>
      <w:r w:rsidRPr="006503C8">
        <w:t>idées</w:t>
      </w:r>
      <w:r>
        <w:t xml:space="preserve"> </w:t>
      </w:r>
      <w:r w:rsidRPr="006503C8">
        <w:t>relatives</w:t>
      </w:r>
      <w:r>
        <w:t xml:space="preserve"> </w:t>
      </w:r>
      <w:r w:rsidRPr="006503C8">
        <w:t>à</w:t>
      </w:r>
      <w:r>
        <w:t xml:space="preserve"> </w:t>
      </w:r>
      <w:r w:rsidRPr="006503C8">
        <w:t>des</w:t>
      </w:r>
      <w:r>
        <w:t xml:space="preserve"> </w:t>
      </w:r>
      <w:r w:rsidRPr="006503C8">
        <w:t>questions</w:t>
      </w:r>
      <w:r>
        <w:t xml:space="preserve"> </w:t>
      </w:r>
      <w:r w:rsidRPr="006503C8">
        <w:t>d</w:t>
      </w:r>
      <w:r w:rsidR="00CA2931">
        <w:t>’</w:t>
      </w:r>
      <w:r w:rsidRPr="006503C8">
        <w:t>intérêt</w:t>
      </w:r>
      <w:r>
        <w:t xml:space="preserve"> </w:t>
      </w:r>
      <w:r w:rsidRPr="006503C8">
        <w:t>public</w:t>
      </w:r>
      <w:r>
        <w:t xml:space="preserve"> </w:t>
      </w:r>
      <w:r w:rsidRPr="006503C8">
        <w:t>ou</w:t>
      </w:r>
      <w:r>
        <w:t xml:space="preserve"> </w:t>
      </w:r>
      <w:r w:rsidRPr="006503C8">
        <w:t>politique</w:t>
      </w:r>
      <w:r>
        <w:rPr>
          <w:spacing w:val="-2"/>
        </w:rPr>
        <w:t xml:space="preserve"> </w:t>
      </w:r>
      <w:r w:rsidRPr="006503C8">
        <w:rPr>
          <w:spacing w:val="-2"/>
        </w:rPr>
        <w:t>et</w:t>
      </w:r>
      <w:r>
        <w:rPr>
          <w:spacing w:val="-2"/>
        </w:rPr>
        <w:t xml:space="preserve"> </w:t>
      </w:r>
      <w:r w:rsidRPr="006503C8">
        <w:rPr>
          <w:spacing w:val="-2"/>
        </w:rPr>
        <w:t>que</w:t>
      </w:r>
      <w:r>
        <w:rPr>
          <w:spacing w:val="-2"/>
        </w:rPr>
        <w:t xml:space="preserve"> </w:t>
      </w:r>
      <w:r w:rsidRPr="006503C8">
        <w:rPr>
          <w:spacing w:val="-2"/>
        </w:rPr>
        <w:t>les</w:t>
      </w:r>
      <w:r>
        <w:rPr>
          <w:spacing w:val="-2"/>
        </w:rPr>
        <w:t xml:space="preserve"> </w:t>
      </w:r>
      <w:r w:rsidRPr="006503C8">
        <w:rPr>
          <w:spacing w:val="-2"/>
        </w:rPr>
        <w:t>procureurs</w:t>
      </w:r>
      <w:r>
        <w:rPr>
          <w:spacing w:val="-2"/>
        </w:rPr>
        <w:t xml:space="preserve"> </w:t>
      </w:r>
      <w:r w:rsidRPr="006503C8">
        <w:rPr>
          <w:spacing w:val="-2"/>
        </w:rPr>
        <w:t>concernés</w:t>
      </w:r>
      <w:r>
        <w:rPr>
          <w:spacing w:val="-2"/>
        </w:rPr>
        <w:t xml:space="preserve"> </w:t>
      </w:r>
      <w:r w:rsidRPr="006503C8">
        <w:rPr>
          <w:spacing w:val="-2"/>
        </w:rPr>
        <w:t>n</w:t>
      </w:r>
      <w:r w:rsidR="00CA2931">
        <w:rPr>
          <w:spacing w:val="-2"/>
        </w:rPr>
        <w:t>’</w:t>
      </w:r>
      <w:r w:rsidRPr="006503C8">
        <w:rPr>
          <w:spacing w:val="-2"/>
        </w:rPr>
        <w:t>étaient</w:t>
      </w:r>
      <w:r>
        <w:rPr>
          <w:spacing w:val="-2"/>
        </w:rPr>
        <w:t xml:space="preserve"> </w:t>
      </w:r>
      <w:r w:rsidRPr="006503C8">
        <w:rPr>
          <w:spacing w:val="-2"/>
        </w:rPr>
        <w:t>pas</w:t>
      </w:r>
      <w:r>
        <w:rPr>
          <w:spacing w:val="-2"/>
        </w:rPr>
        <w:t xml:space="preserve"> </w:t>
      </w:r>
      <w:r w:rsidRPr="006503C8">
        <w:rPr>
          <w:spacing w:val="-2"/>
        </w:rPr>
        <w:t>des</w:t>
      </w:r>
      <w:r>
        <w:rPr>
          <w:spacing w:val="-2"/>
        </w:rPr>
        <w:t xml:space="preserve"> </w:t>
      </w:r>
      <w:r w:rsidRPr="006503C8">
        <w:rPr>
          <w:spacing w:val="-2"/>
        </w:rPr>
        <w:t>personnalités</w:t>
      </w:r>
      <w:r>
        <w:rPr>
          <w:spacing w:val="-2"/>
        </w:rPr>
        <w:t xml:space="preserve"> </w:t>
      </w:r>
      <w:r w:rsidRPr="006503C8">
        <w:rPr>
          <w:spacing w:val="-2"/>
        </w:rPr>
        <w:t>publiques</w:t>
      </w:r>
      <w:r>
        <w:rPr>
          <w:spacing w:val="-2"/>
        </w:rPr>
        <w:t xml:space="preserve"> </w:t>
      </w:r>
      <w:r w:rsidRPr="006503C8">
        <w:rPr>
          <w:spacing w:val="-2"/>
        </w:rPr>
        <w:t>ou</w:t>
      </w:r>
      <w:r>
        <w:rPr>
          <w:spacing w:val="-2"/>
        </w:rPr>
        <w:t xml:space="preserve"> </w:t>
      </w:r>
      <w:r w:rsidRPr="006503C8">
        <w:rPr>
          <w:spacing w:val="-2"/>
        </w:rPr>
        <w:t>politiques</w:t>
      </w:r>
      <w:r>
        <w:rPr>
          <w:spacing w:val="-2"/>
        </w:rPr>
        <w:t xml:space="preserve"> </w:t>
      </w:r>
      <w:r w:rsidRPr="006503C8">
        <w:rPr>
          <w:spacing w:val="-2"/>
        </w:rPr>
        <w:t>très</w:t>
      </w:r>
      <w:r>
        <w:rPr>
          <w:spacing w:val="-2"/>
        </w:rPr>
        <w:t xml:space="preserve"> </w:t>
      </w:r>
      <w:r w:rsidRPr="006503C8">
        <w:rPr>
          <w:spacing w:val="-2"/>
        </w:rPr>
        <w:t>en</w:t>
      </w:r>
      <w:r>
        <w:rPr>
          <w:spacing w:val="-2"/>
        </w:rPr>
        <w:t xml:space="preserve"> </w:t>
      </w:r>
      <w:r w:rsidRPr="006503C8">
        <w:rPr>
          <w:spacing w:val="-2"/>
        </w:rPr>
        <w:t>vue.</w:t>
      </w:r>
      <w:r>
        <w:rPr>
          <w:spacing w:val="-2"/>
        </w:rPr>
        <w:t xml:space="preserve"> </w:t>
      </w:r>
      <w:r w:rsidRPr="006503C8">
        <w:rPr>
          <w:spacing w:val="-2"/>
        </w:rPr>
        <w:t>C</w:t>
      </w:r>
      <w:r w:rsidR="00CA2931">
        <w:rPr>
          <w:spacing w:val="-2"/>
        </w:rPr>
        <w:t>’</w:t>
      </w:r>
      <w:r w:rsidRPr="006503C8">
        <w:rPr>
          <w:spacing w:val="-2"/>
        </w:rPr>
        <w:t>est</w:t>
      </w:r>
      <w:r>
        <w:rPr>
          <w:spacing w:val="-2"/>
        </w:rPr>
        <w:t xml:space="preserve"> </w:t>
      </w:r>
      <w:r w:rsidRPr="006503C8">
        <w:rPr>
          <w:spacing w:val="-2"/>
        </w:rPr>
        <w:t>pourquoi,</w:t>
      </w:r>
      <w:r>
        <w:rPr>
          <w:spacing w:val="-2"/>
        </w:rPr>
        <w:t xml:space="preserve"> </w:t>
      </w:r>
      <w:r w:rsidRPr="006503C8">
        <w:rPr>
          <w:spacing w:val="-2"/>
        </w:rPr>
        <w:t>les</w:t>
      </w:r>
      <w:r>
        <w:rPr>
          <w:spacing w:val="-2"/>
        </w:rPr>
        <w:t xml:space="preserve"> </w:t>
      </w:r>
      <w:r w:rsidRPr="006503C8">
        <w:rPr>
          <w:spacing w:val="-2"/>
        </w:rPr>
        <w:t>arrêts</w:t>
      </w:r>
      <w:r>
        <w:rPr>
          <w:spacing w:val="-2"/>
        </w:rPr>
        <w:t xml:space="preserve"> </w:t>
      </w:r>
      <w:r w:rsidRPr="006503C8">
        <w:rPr>
          <w:spacing w:val="-2"/>
        </w:rPr>
        <w:t>que</w:t>
      </w:r>
      <w:r>
        <w:rPr>
          <w:spacing w:val="-2"/>
        </w:rPr>
        <w:t xml:space="preserve"> </w:t>
      </w:r>
      <w:r w:rsidRPr="006503C8">
        <w:rPr>
          <w:spacing w:val="-2"/>
        </w:rPr>
        <w:t>la</w:t>
      </w:r>
      <w:r>
        <w:rPr>
          <w:spacing w:val="-2"/>
        </w:rPr>
        <w:t xml:space="preserve"> </w:t>
      </w:r>
      <w:r w:rsidRPr="006503C8">
        <w:rPr>
          <w:spacing w:val="-2"/>
        </w:rPr>
        <w:t>Cour</w:t>
      </w:r>
      <w:r>
        <w:rPr>
          <w:spacing w:val="-2"/>
        </w:rPr>
        <w:t xml:space="preserve"> </w:t>
      </w:r>
      <w:r w:rsidRPr="006503C8">
        <w:rPr>
          <w:spacing w:val="-2"/>
        </w:rPr>
        <w:t>européenne</w:t>
      </w:r>
      <w:r>
        <w:rPr>
          <w:spacing w:val="-2"/>
        </w:rPr>
        <w:t xml:space="preserve"> </w:t>
      </w:r>
      <w:r w:rsidRPr="006503C8">
        <w:rPr>
          <w:spacing w:val="-2"/>
        </w:rPr>
        <w:t>des</w:t>
      </w:r>
      <w:r>
        <w:rPr>
          <w:spacing w:val="-2"/>
        </w:rPr>
        <w:t xml:space="preserve"> </w:t>
      </w:r>
      <w:r w:rsidRPr="006503C8">
        <w:rPr>
          <w:spacing w:val="-2"/>
        </w:rPr>
        <w:t>droits</w:t>
      </w:r>
      <w:r>
        <w:rPr>
          <w:spacing w:val="-2"/>
        </w:rPr>
        <w:t xml:space="preserve"> </w:t>
      </w:r>
      <w:r w:rsidRPr="006503C8">
        <w:rPr>
          <w:spacing w:val="-2"/>
        </w:rPr>
        <w:t>de</w:t>
      </w:r>
      <w:r>
        <w:rPr>
          <w:spacing w:val="-2"/>
        </w:rPr>
        <w:t xml:space="preserve"> </w:t>
      </w:r>
      <w:r w:rsidRPr="006503C8">
        <w:rPr>
          <w:spacing w:val="-2"/>
        </w:rPr>
        <w:t>l</w:t>
      </w:r>
      <w:r w:rsidR="00CA2931">
        <w:rPr>
          <w:spacing w:val="-2"/>
        </w:rPr>
        <w:t>’</w:t>
      </w:r>
      <w:r w:rsidRPr="006503C8">
        <w:rPr>
          <w:spacing w:val="-2"/>
        </w:rPr>
        <w:t>homme</w:t>
      </w:r>
      <w:r>
        <w:rPr>
          <w:spacing w:val="-2"/>
        </w:rPr>
        <w:t xml:space="preserve"> </w:t>
      </w:r>
      <w:r w:rsidRPr="006503C8">
        <w:rPr>
          <w:spacing w:val="-2"/>
        </w:rPr>
        <w:t>a</w:t>
      </w:r>
      <w:r>
        <w:rPr>
          <w:spacing w:val="-2"/>
        </w:rPr>
        <w:t xml:space="preserve"> </w:t>
      </w:r>
      <w:r w:rsidRPr="006503C8">
        <w:rPr>
          <w:spacing w:val="-2"/>
        </w:rPr>
        <w:t>rendus</w:t>
      </w:r>
      <w:r>
        <w:rPr>
          <w:spacing w:val="-2"/>
        </w:rPr>
        <w:t xml:space="preserve"> </w:t>
      </w:r>
      <w:r w:rsidRPr="006503C8">
        <w:rPr>
          <w:spacing w:val="-2"/>
        </w:rPr>
        <w:t>sur</w:t>
      </w:r>
      <w:r>
        <w:rPr>
          <w:spacing w:val="-2"/>
        </w:rPr>
        <w:t xml:space="preserve"> </w:t>
      </w:r>
      <w:r w:rsidRPr="006503C8">
        <w:rPr>
          <w:spacing w:val="-2"/>
        </w:rPr>
        <w:t>des</w:t>
      </w:r>
      <w:r>
        <w:rPr>
          <w:spacing w:val="-2"/>
        </w:rPr>
        <w:t xml:space="preserve"> </w:t>
      </w:r>
      <w:r w:rsidRPr="006503C8">
        <w:rPr>
          <w:spacing w:val="-2"/>
        </w:rPr>
        <w:t>questions</w:t>
      </w:r>
      <w:r>
        <w:rPr>
          <w:spacing w:val="-2"/>
        </w:rPr>
        <w:t xml:space="preserve"> </w:t>
      </w:r>
      <w:r w:rsidRPr="006503C8">
        <w:rPr>
          <w:spacing w:val="-2"/>
        </w:rPr>
        <w:t>similaires</w:t>
      </w:r>
      <w:r>
        <w:rPr>
          <w:spacing w:val="-2"/>
        </w:rPr>
        <w:t xml:space="preserve"> </w:t>
      </w:r>
      <w:r w:rsidRPr="006503C8">
        <w:rPr>
          <w:spacing w:val="-2"/>
        </w:rPr>
        <w:t>et</w:t>
      </w:r>
      <w:r>
        <w:rPr>
          <w:spacing w:val="-2"/>
        </w:rPr>
        <w:t xml:space="preserve"> </w:t>
      </w:r>
      <w:r w:rsidRPr="006503C8">
        <w:rPr>
          <w:spacing w:val="-2"/>
        </w:rPr>
        <w:t>que</w:t>
      </w:r>
      <w:r>
        <w:rPr>
          <w:spacing w:val="-2"/>
        </w:rPr>
        <w:t xml:space="preserve"> </w:t>
      </w:r>
      <w:r w:rsidRPr="006503C8">
        <w:rPr>
          <w:spacing w:val="-2"/>
        </w:rPr>
        <w:t>l</w:t>
      </w:r>
      <w:r w:rsidR="00CA2931">
        <w:rPr>
          <w:spacing w:val="-2"/>
        </w:rPr>
        <w:t>’</w:t>
      </w:r>
      <w:r w:rsidRPr="006503C8">
        <w:rPr>
          <w:spacing w:val="-2"/>
        </w:rPr>
        <w:t>auteure</w:t>
      </w:r>
      <w:r>
        <w:rPr>
          <w:spacing w:val="-2"/>
        </w:rPr>
        <w:t xml:space="preserve"> </w:t>
      </w:r>
      <w:r w:rsidRPr="006503C8">
        <w:rPr>
          <w:spacing w:val="-2"/>
        </w:rPr>
        <w:t>a</w:t>
      </w:r>
      <w:r>
        <w:rPr>
          <w:spacing w:val="-2"/>
        </w:rPr>
        <w:t xml:space="preserve"> </w:t>
      </w:r>
      <w:r w:rsidRPr="006503C8">
        <w:rPr>
          <w:spacing w:val="-2"/>
        </w:rPr>
        <w:t>invoqués</w:t>
      </w:r>
      <w:r>
        <w:rPr>
          <w:spacing w:val="-2"/>
        </w:rPr>
        <w:t xml:space="preserve"> </w:t>
      </w:r>
      <w:r w:rsidRPr="006503C8">
        <w:rPr>
          <w:spacing w:val="-2"/>
        </w:rPr>
        <w:t>pour</w:t>
      </w:r>
      <w:r>
        <w:rPr>
          <w:spacing w:val="-2"/>
        </w:rPr>
        <w:t xml:space="preserve"> </w:t>
      </w:r>
      <w:r w:rsidRPr="006503C8">
        <w:rPr>
          <w:spacing w:val="-2"/>
        </w:rPr>
        <w:t>démontrer</w:t>
      </w:r>
      <w:r>
        <w:rPr>
          <w:spacing w:val="-2"/>
        </w:rPr>
        <w:t xml:space="preserve"> </w:t>
      </w:r>
      <w:r w:rsidRPr="006503C8">
        <w:rPr>
          <w:spacing w:val="-2"/>
        </w:rPr>
        <w:t>que</w:t>
      </w:r>
      <w:r>
        <w:rPr>
          <w:spacing w:val="-2"/>
        </w:rPr>
        <w:t xml:space="preserve"> </w:t>
      </w:r>
      <w:r w:rsidRPr="006503C8">
        <w:rPr>
          <w:spacing w:val="-2"/>
        </w:rPr>
        <w:t>ses</w:t>
      </w:r>
      <w:r>
        <w:rPr>
          <w:spacing w:val="-2"/>
        </w:rPr>
        <w:t xml:space="preserve"> </w:t>
      </w:r>
      <w:r w:rsidRPr="006503C8">
        <w:rPr>
          <w:spacing w:val="-2"/>
        </w:rPr>
        <w:t>déclarations</w:t>
      </w:r>
      <w:r>
        <w:rPr>
          <w:spacing w:val="-2"/>
        </w:rPr>
        <w:t xml:space="preserve"> </w:t>
      </w:r>
      <w:r w:rsidRPr="006503C8">
        <w:rPr>
          <w:spacing w:val="-2"/>
        </w:rPr>
        <w:t>devaient</w:t>
      </w:r>
      <w:r>
        <w:rPr>
          <w:spacing w:val="-2"/>
        </w:rPr>
        <w:t xml:space="preserve"> </w:t>
      </w:r>
      <w:r w:rsidRPr="006503C8">
        <w:rPr>
          <w:spacing w:val="-2"/>
        </w:rPr>
        <w:t>bénéficier</w:t>
      </w:r>
      <w:r>
        <w:rPr>
          <w:spacing w:val="-2"/>
        </w:rPr>
        <w:t xml:space="preserve"> </w:t>
      </w:r>
      <w:r w:rsidRPr="006503C8">
        <w:rPr>
          <w:spacing w:val="-2"/>
        </w:rPr>
        <w:t>d</w:t>
      </w:r>
      <w:r w:rsidR="00CA2931">
        <w:rPr>
          <w:spacing w:val="-2"/>
        </w:rPr>
        <w:t>’</w:t>
      </w:r>
      <w:r w:rsidRPr="006503C8">
        <w:rPr>
          <w:spacing w:val="-2"/>
        </w:rPr>
        <w:t>une</w:t>
      </w:r>
      <w:r>
        <w:rPr>
          <w:spacing w:val="-2"/>
        </w:rPr>
        <w:t xml:space="preserve"> </w:t>
      </w:r>
      <w:r w:rsidRPr="006503C8">
        <w:rPr>
          <w:spacing w:val="-2"/>
        </w:rPr>
        <w:t>protection</w:t>
      </w:r>
      <w:r>
        <w:rPr>
          <w:spacing w:val="-2"/>
        </w:rPr>
        <w:t xml:space="preserve"> </w:t>
      </w:r>
      <w:r w:rsidRPr="006503C8">
        <w:rPr>
          <w:spacing w:val="-2"/>
        </w:rPr>
        <w:t>plus</w:t>
      </w:r>
      <w:r>
        <w:rPr>
          <w:spacing w:val="-2"/>
        </w:rPr>
        <w:t xml:space="preserve"> </w:t>
      </w:r>
      <w:r w:rsidRPr="006503C8">
        <w:rPr>
          <w:spacing w:val="-2"/>
        </w:rPr>
        <w:t>élevée</w:t>
      </w:r>
      <w:r>
        <w:rPr>
          <w:spacing w:val="-2"/>
        </w:rPr>
        <w:t xml:space="preserve"> </w:t>
      </w:r>
      <w:r w:rsidRPr="006503C8">
        <w:rPr>
          <w:spacing w:val="-2"/>
        </w:rPr>
        <w:t>en</w:t>
      </w:r>
      <w:r>
        <w:rPr>
          <w:spacing w:val="-2"/>
        </w:rPr>
        <w:t xml:space="preserve"> </w:t>
      </w:r>
      <w:r w:rsidRPr="006503C8">
        <w:rPr>
          <w:spacing w:val="-2"/>
        </w:rPr>
        <w:t>vertu</w:t>
      </w:r>
      <w:r>
        <w:rPr>
          <w:spacing w:val="-2"/>
        </w:rPr>
        <w:t xml:space="preserve"> </w:t>
      </w:r>
      <w:r w:rsidRPr="006503C8">
        <w:rPr>
          <w:spacing w:val="-2"/>
        </w:rPr>
        <w:t>du</w:t>
      </w:r>
      <w:r>
        <w:rPr>
          <w:spacing w:val="-2"/>
        </w:rPr>
        <w:t xml:space="preserve"> </w:t>
      </w:r>
      <w:r w:rsidRPr="006503C8">
        <w:rPr>
          <w:spacing w:val="-2"/>
        </w:rPr>
        <w:t>droit</w:t>
      </w:r>
      <w:r>
        <w:rPr>
          <w:spacing w:val="-2"/>
        </w:rPr>
        <w:t xml:space="preserve"> </w:t>
      </w:r>
      <w:r w:rsidRPr="006503C8">
        <w:rPr>
          <w:spacing w:val="-2"/>
        </w:rPr>
        <w:t>à</w:t>
      </w:r>
      <w:r>
        <w:rPr>
          <w:spacing w:val="-2"/>
        </w:rPr>
        <w:t xml:space="preserve"> </w:t>
      </w:r>
      <w:r w:rsidRPr="006503C8">
        <w:rPr>
          <w:spacing w:val="-2"/>
        </w:rPr>
        <w:t>la</w:t>
      </w:r>
      <w:r>
        <w:rPr>
          <w:spacing w:val="-2"/>
        </w:rPr>
        <w:t xml:space="preserve"> </w:t>
      </w:r>
      <w:r w:rsidRPr="006503C8">
        <w:rPr>
          <w:spacing w:val="-2"/>
        </w:rPr>
        <w:t>liberté</w:t>
      </w:r>
      <w:r>
        <w:rPr>
          <w:spacing w:val="-2"/>
        </w:rPr>
        <w:t xml:space="preserve"> </w:t>
      </w:r>
      <w:r w:rsidRPr="006503C8">
        <w:rPr>
          <w:spacing w:val="-2"/>
        </w:rPr>
        <w:t>d</w:t>
      </w:r>
      <w:r w:rsidR="00CA2931">
        <w:rPr>
          <w:spacing w:val="-2"/>
        </w:rPr>
        <w:t>’</w:t>
      </w:r>
      <w:r w:rsidRPr="006503C8">
        <w:rPr>
          <w:spacing w:val="-2"/>
        </w:rPr>
        <w:t>expression</w:t>
      </w:r>
      <w:r>
        <w:rPr>
          <w:spacing w:val="-2"/>
        </w:rPr>
        <w:t xml:space="preserve"> </w:t>
      </w:r>
      <w:r w:rsidRPr="006503C8">
        <w:rPr>
          <w:spacing w:val="-2"/>
        </w:rPr>
        <w:t>sont</w:t>
      </w:r>
      <w:r>
        <w:rPr>
          <w:spacing w:val="-2"/>
        </w:rPr>
        <w:t xml:space="preserve"> </w:t>
      </w:r>
      <w:r w:rsidRPr="006503C8">
        <w:rPr>
          <w:spacing w:val="-2"/>
        </w:rPr>
        <w:t>sans</w:t>
      </w:r>
      <w:r>
        <w:rPr>
          <w:spacing w:val="-2"/>
        </w:rPr>
        <w:t xml:space="preserve"> </w:t>
      </w:r>
      <w:r w:rsidRPr="006503C8">
        <w:rPr>
          <w:spacing w:val="-2"/>
        </w:rPr>
        <w:t>rapport</w:t>
      </w:r>
      <w:r>
        <w:rPr>
          <w:spacing w:val="-2"/>
        </w:rPr>
        <w:t xml:space="preserve"> </w:t>
      </w:r>
      <w:r w:rsidRPr="006503C8">
        <w:rPr>
          <w:spacing w:val="-2"/>
        </w:rPr>
        <w:t>avec</w:t>
      </w:r>
      <w:r>
        <w:rPr>
          <w:spacing w:val="-2"/>
        </w:rPr>
        <w:t xml:space="preserve"> </w:t>
      </w:r>
      <w:r w:rsidRPr="006503C8">
        <w:rPr>
          <w:spacing w:val="-2"/>
        </w:rPr>
        <w:t>l</w:t>
      </w:r>
      <w:r w:rsidR="00CA2931">
        <w:rPr>
          <w:spacing w:val="-2"/>
        </w:rPr>
        <w:t>’</w:t>
      </w:r>
      <w:r w:rsidRPr="006503C8">
        <w:rPr>
          <w:spacing w:val="-2"/>
        </w:rPr>
        <w:t>examen</w:t>
      </w:r>
      <w:r>
        <w:rPr>
          <w:spacing w:val="-2"/>
        </w:rPr>
        <w:t xml:space="preserve"> </w:t>
      </w:r>
      <w:r w:rsidRPr="006503C8">
        <w:rPr>
          <w:spacing w:val="-2"/>
        </w:rPr>
        <w:t>de</w:t>
      </w:r>
      <w:r>
        <w:rPr>
          <w:spacing w:val="-2"/>
        </w:rPr>
        <w:t xml:space="preserve"> </w:t>
      </w:r>
      <w:r w:rsidRPr="006503C8">
        <w:rPr>
          <w:spacing w:val="-2"/>
        </w:rPr>
        <w:t>la</w:t>
      </w:r>
      <w:r>
        <w:rPr>
          <w:spacing w:val="-2"/>
        </w:rPr>
        <w:t xml:space="preserve"> </w:t>
      </w:r>
      <w:r w:rsidRPr="006503C8">
        <w:rPr>
          <w:spacing w:val="-2"/>
        </w:rPr>
        <w:t>présente</w:t>
      </w:r>
      <w:r>
        <w:rPr>
          <w:spacing w:val="-2"/>
        </w:rPr>
        <w:t xml:space="preserve"> </w:t>
      </w:r>
      <w:r w:rsidRPr="006503C8">
        <w:rPr>
          <w:spacing w:val="-2"/>
        </w:rPr>
        <w:t>plainte.</w:t>
      </w:r>
    </w:p>
    <w:p w14:paraId="1012816A" w14:textId="77777777" w:rsidR="00765853" w:rsidRPr="006503C8" w:rsidRDefault="00765853" w:rsidP="000138E1">
      <w:pPr>
        <w:pStyle w:val="H23G"/>
      </w:pPr>
      <w:r w:rsidRPr="006503C8">
        <w:tab/>
      </w:r>
      <w:r w:rsidRPr="006503C8">
        <w:tab/>
        <w:t>Délibérations</w:t>
      </w:r>
      <w:r>
        <w:t xml:space="preserve"> </w:t>
      </w:r>
      <w:r w:rsidRPr="006503C8">
        <w:t>du</w:t>
      </w:r>
      <w:r>
        <w:t xml:space="preserve"> </w:t>
      </w:r>
      <w:r w:rsidRPr="006503C8">
        <w:t>Comité</w:t>
      </w:r>
    </w:p>
    <w:p w14:paraId="30FB7DD9" w14:textId="77777777" w:rsidR="00765853" w:rsidRPr="006503C8" w:rsidRDefault="00765853" w:rsidP="000138E1">
      <w:pPr>
        <w:pStyle w:val="H4G"/>
      </w:pPr>
      <w:r w:rsidRPr="006503C8">
        <w:tab/>
      </w:r>
      <w:r w:rsidRPr="006503C8">
        <w:tab/>
        <w:t>Examen</w:t>
      </w:r>
      <w:r>
        <w:t xml:space="preserve"> </w:t>
      </w:r>
      <w:r w:rsidRPr="006503C8">
        <w:t>de</w:t>
      </w:r>
      <w:r>
        <w:t xml:space="preserve"> </w:t>
      </w:r>
      <w:r w:rsidRPr="006503C8">
        <w:t>la</w:t>
      </w:r>
      <w:r>
        <w:t xml:space="preserve"> </w:t>
      </w:r>
      <w:r w:rsidRPr="006503C8">
        <w:t>recevabilité</w:t>
      </w:r>
    </w:p>
    <w:p w14:paraId="3B17CC78" w14:textId="77777777" w:rsidR="00765853" w:rsidRPr="006503C8" w:rsidRDefault="00765853" w:rsidP="00765853">
      <w:pPr>
        <w:pStyle w:val="SingleTxtG"/>
      </w:pPr>
      <w:r w:rsidRPr="006503C8">
        <w:t>7.1</w:t>
      </w:r>
      <w:r w:rsidRPr="006503C8">
        <w:tab/>
        <w:t>Avant</w:t>
      </w:r>
      <w:r>
        <w:t xml:space="preserve"> </w:t>
      </w:r>
      <w:r w:rsidRPr="006503C8">
        <w:t>d</w:t>
      </w:r>
      <w:r w:rsidR="00CA2931">
        <w:t>’</w:t>
      </w:r>
      <w:r w:rsidRPr="006503C8">
        <w:t>examiner</w:t>
      </w:r>
      <w:r>
        <w:t xml:space="preserve"> </w:t>
      </w:r>
      <w:r w:rsidRPr="006503C8">
        <w:t>tout</w:t>
      </w:r>
      <w:r>
        <w:t xml:space="preserve"> </w:t>
      </w:r>
      <w:r w:rsidRPr="006503C8">
        <w:t>grief</w:t>
      </w:r>
      <w:r>
        <w:t xml:space="preserve"> </w:t>
      </w:r>
      <w:r w:rsidRPr="006503C8">
        <w:t>formulé</w:t>
      </w:r>
      <w:r>
        <w:t xml:space="preserve"> </w:t>
      </w:r>
      <w:r w:rsidRPr="006503C8">
        <w:t>dans</w:t>
      </w:r>
      <w:r>
        <w:t xml:space="preserve"> </w:t>
      </w:r>
      <w:r w:rsidRPr="006503C8">
        <w:t>une</w:t>
      </w:r>
      <w:r>
        <w:t xml:space="preserve"> </w:t>
      </w:r>
      <w:r w:rsidRPr="006503C8">
        <w:t>communication,</w:t>
      </w:r>
      <w:r>
        <w:t xml:space="preserve"> </w:t>
      </w:r>
      <w:r w:rsidRPr="006503C8">
        <w:t>le</w:t>
      </w:r>
      <w:r>
        <w:t xml:space="preserve"> </w:t>
      </w:r>
      <w:r w:rsidRPr="006503C8">
        <w:t>Comité</w:t>
      </w:r>
      <w:r>
        <w:t xml:space="preserve"> </w:t>
      </w:r>
      <w:r w:rsidRPr="006503C8">
        <w:t>des</w:t>
      </w:r>
      <w:r>
        <w:t xml:space="preserve"> </w:t>
      </w:r>
      <w:r w:rsidRPr="006503C8">
        <w:t>droits</w:t>
      </w:r>
      <w:r>
        <w:t xml:space="preserve"> </w:t>
      </w:r>
      <w:r w:rsidRPr="006503C8">
        <w:t>de</w:t>
      </w:r>
      <w:r>
        <w:t xml:space="preserve"> </w:t>
      </w:r>
      <w:r w:rsidRPr="006503C8">
        <w:t>l</w:t>
      </w:r>
      <w:r w:rsidR="00CA2931">
        <w:t>’</w:t>
      </w:r>
      <w:r w:rsidRPr="006503C8">
        <w:t>homme</w:t>
      </w:r>
      <w:r>
        <w:t xml:space="preserve"> </w:t>
      </w:r>
      <w:r w:rsidRPr="006503C8">
        <w:t>doit,</w:t>
      </w:r>
      <w:r>
        <w:t xml:space="preserve"> </w:t>
      </w:r>
      <w:r w:rsidRPr="006503C8">
        <w:t>conformément</w:t>
      </w:r>
      <w:r>
        <w:t xml:space="preserve"> </w:t>
      </w:r>
      <w:r w:rsidRPr="006503C8">
        <w:t>à</w:t>
      </w:r>
      <w:r>
        <w:t xml:space="preserve"> </w:t>
      </w:r>
      <w:r w:rsidRPr="006503C8">
        <w:t>l</w:t>
      </w:r>
      <w:r w:rsidR="00CA2931">
        <w:t>’</w:t>
      </w:r>
      <w:r w:rsidRPr="006503C8">
        <w:t>article</w:t>
      </w:r>
      <w:r>
        <w:t xml:space="preserve"> </w:t>
      </w:r>
      <w:r w:rsidRPr="006503C8">
        <w:t>9</w:t>
      </w:r>
      <w:r w:rsidR="001C68FE">
        <w:t>7</w:t>
      </w:r>
      <w:r>
        <w:t xml:space="preserve"> </w:t>
      </w:r>
      <w:r w:rsidRPr="006503C8">
        <w:t>de</w:t>
      </w:r>
      <w:r>
        <w:t xml:space="preserve"> </w:t>
      </w:r>
      <w:r w:rsidRPr="006503C8">
        <w:t>son</w:t>
      </w:r>
      <w:r>
        <w:t xml:space="preserve"> </w:t>
      </w:r>
      <w:r w:rsidRPr="006503C8">
        <w:t>règlement</w:t>
      </w:r>
      <w:r>
        <w:t xml:space="preserve"> </w:t>
      </w:r>
      <w:r w:rsidRPr="006503C8">
        <w:t>intérieur,</w:t>
      </w:r>
      <w:r>
        <w:t xml:space="preserve"> </w:t>
      </w:r>
      <w:r w:rsidRPr="006503C8">
        <w:t>déterminer</w:t>
      </w:r>
      <w:r>
        <w:t xml:space="preserve"> </w:t>
      </w:r>
      <w:r w:rsidRPr="006503C8">
        <w:t>si</w:t>
      </w:r>
      <w:r>
        <w:t xml:space="preserve"> </w:t>
      </w:r>
      <w:r w:rsidRPr="006503C8">
        <w:t>la</w:t>
      </w:r>
      <w:r>
        <w:t xml:space="preserve"> </w:t>
      </w:r>
      <w:r w:rsidRPr="006503C8">
        <w:t>communication</w:t>
      </w:r>
      <w:r>
        <w:t xml:space="preserve"> </w:t>
      </w:r>
      <w:r w:rsidRPr="006503C8">
        <w:t>est</w:t>
      </w:r>
      <w:r>
        <w:t xml:space="preserve"> </w:t>
      </w:r>
      <w:r w:rsidRPr="006503C8">
        <w:t>recevable</w:t>
      </w:r>
      <w:r>
        <w:t xml:space="preserve"> </w:t>
      </w:r>
      <w:r w:rsidRPr="006503C8">
        <w:t>au</w:t>
      </w:r>
      <w:r>
        <w:t xml:space="preserve"> </w:t>
      </w:r>
      <w:r w:rsidRPr="006503C8">
        <w:t>regard</w:t>
      </w:r>
      <w:r>
        <w:t xml:space="preserve"> </w:t>
      </w:r>
      <w:r w:rsidRPr="006503C8">
        <w:t>du</w:t>
      </w:r>
      <w:r>
        <w:t xml:space="preserve"> </w:t>
      </w:r>
      <w:r w:rsidRPr="006503C8">
        <w:t>Protocole</w:t>
      </w:r>
      <w:r>
        <w:t xml:space="preserve"> </w:t>
      </w:r>
      <w:r w:rsidRPr="006503C8">
        <w:t>facultatif</w:t>
      </w:r>
      <w:r>
        <w:t xml:space="preserve"> </w:t>
      </w:r>
      <w:r w:rsidRPr="006503C8">
        <w:t>se</w:t>
      </w:r>
      <w:r>
        <w:t xml:space="preserve"> </w:t>
      </w:r>
      <w:r w:rsidRPr="006503C8">
        <w:t>rapportant</w:t>
      </w:r>
      <w:r>
        <w:t xml:space="preserve"> </w:t>
      </w:r>
      <w:r w:rsidRPr="006503C8">
        <w:t>au</w:t>
      </w:r>
      <w:r>
        <w:t xml:space="preserve"> </w:t>
      </w:r>
      <w:r w:rsidRPr="006503C8">
        <w:t>Pacte.</w:t>
      </w:r>
    </w:p>
    <w:p w14:paraId="1B0BDAE2" w14:textId="77777777" w:rsidR="00765853" w:rsidRPr="006503C8" w:rsidRDefault="00765853" w:rsidP="00765853">
      <w:pPr>
        <w:pStyle w:val="SingleTxtG"/>
      </w:pPr>
      <w:r w:rsidRPr="006503C8">
        <w:t>7.2</w:t>
      </w:r>
      <w:r w:rsidRPr="006503C8">
        <w:tab/>
        <w:t>Le</w:t>
      </w:r>
      <w:r>
        <w:t xml:space="preserve"> </w:t>
      </w:r>
      <w:r w:rsidRPr="006503C8">
        <w:t>Comité</w:t>
      </w:r>
      <w:r>
        <w:t xml:space="preserve"> </w:t>
      </w:r>
      <w:r w:rsidRPr="006503C8">
        <w:t>fait</w:t>
      </w:r>
      <w:r>
        <w:t xml:space="preserve"> </w:t>
      </w:r>
      <w:r w:rsidRPr="006503C8">
        <w:t>observer</w:t>
      </w:r>
      <w:r>
        <w:t xml:space="preserve"> </w:t>
      </w:r>
      <w:r w:rsidRPr="006503C8">
        <w:t>que</w:t>
      </w:r>
      <w:r>
        <w:t xml:space="preserve"> </w:t>
      </w:r>
      <w:r w:rsidRPr="006503C8">
        <w:t>l</w:t>
      </w:r>
      <w:r w:rsidR="00CA2931">
        <w:t>’</w:t>
      </w:r>
      <w:r w:rsidRPr="006503C8">
        <w:t>auteure</w:t>
      </w:r>
      <w:r>
        <w:t xml:space="preserve"> </w:t>
      </w:r>
      <w:r w:rsidRPr="006503C8">
        <w:t>a</w:t>
      </w:r>
      <w:r>
        <w:t xml:space="preserve"> </w:t>
      </w:r>
      <w:r w:rsidRPr="006503C8">
        <w:t>déposé</w:t>
      </w:r>
      <w:r>
        <w:t xml:space="preserve"> </w:t>
      </w:r>
      <w:r w:rsidRPr="006503C8">
        <w:t>une</w:t>
      </w:r>
      <w:r>
        <w:t xml:space="preserve"> </w:t>
      </w:r>
      <w:r w:rsidRPr="006503C8">
        <w:t>plainte</w:t>
      </w:r>
      <w:r>
        <w:t xml:space="preserve"> </w:t>
      </w:r>
      <w:r w:rsidRPr="006503C8">
        <w:t>similaire</w:t>
      </w:r>
      <w:r>
        <w:t xml:space="preserve"> </w:t>
      </w:r>
      <w:r w:rsidRPr="006503C8">
        <w:t>devant</w:t>
      </w:r>
      <w:r>
        <w:t xml:space="preserve"> </w:t>
      </w:r>
      <w:r w:rsidRPr="006503C8">
        <w:t>la</w:t>
      </w:r>
      <w:r>
        <w:t xml:space="preserve"> </w:t>
      </w:r>
      <w:r w:rsidRPr="006503C8">
        <w:t>Cour</w:t>
      </w:r>
      <w:r>
        <w:t xml:space="preserve"> </w:t>
      </w:r>
      <w:r w:rsidRPr="006503C8">
        <w:t>européenne</w:t>
      </w:r>
      <w:r>
        <w:t xml:space="preserve"> </w:t>
      </w:r>
      <w:r w:rsidRPr="006503C8">
        <w:t>des</w:t>
      </w:r>
      <w:r>
        <w:t xml:space="preserve"> </w:t>
      </w:r>
      <w:r w:rsidRPr="006503C8">
        <w:t>droits</w:t>
      </w:r>
      <w:r>
        <w:t xml:space="preserve"> </w:t>
      </w:r>
      <w:r w:rsidRPr="006503C8">
        <w:t>de</w:t>
      </w:r>
      <w:r>
        <w:t xml:space="preserve"> </w:t>
      </w:r>
      <w:r w:rsidRPr="006503C8">
        <w:t>l</w:t>
      </w:r>
      <w:r w:rsidR="00CA2931">
        <w:t>’</w:t>
      </w:r>
      <w:r w:rsidRPr="006503C8">
        <w:t>homme,</w:t>
      </w:r>
      <w:r>
        <w:t xml:space="preserve"> </w:t>
      </w:r>
      <w:r w:rsidRPr="006503C8">
        <w:t>laquelle</w:t>
      </w:r>
      <w:r>
        <w:t xml:space="preserve"> </w:t>
      </w:r>
      <w:r w:rsidRPr="006503C8">
        <w:t>l</w:t>
      </w:r>
      <w:r w:rsidR="00CA2931">
        <w:t>’</w:t>
      </w:r>
      <w:r w:rsidRPr="006503C8">
        <w:t>a</w:t>
      </w:r>
      <w:r>
        <w:t xml:space="preserve"> </w:t>
      </w:r>
      <w:r w:rsidRPr="006503C8">
        <w:t>déclarée</w:t>
      </w:r>
      <w:r>
        <w:t xml:space="preserve"> </w:t>
      </w:r>
      <w:r w:rsidRPr="006503C8">
        <w:t>irrecevable</w:t>
      </w:r>
      <w:r>
        <w:t xml:space="preserve"> </w:t>
      </w:r>
      <w:r w:rsidRPr="006503C8">
        <w:t>le</w:t>
      </w:r>
      <w:r>
        <w:t xml:space="preserve"> </w:t>
      </w:r>
      <w:r w:rsidRPr="006503C8">
        <w:t>31</w:t>
      </w:r>
      <w:r>
        <w:t> </w:t>
      </w:r>
      <w:r w:rsidRPr="006503C8">
        <w:t>octobre</w:t>
      </w:r>
      <w:r>
        <w:t xml:space="preserve"> </w:t>
      </w:r>
      <w:r w:rsidRPr="006503C8">
        <w:t>2012.</w:t>
      </w:r>
      <w:r>
        <w:t xml:space="preserve"> </w:t>
      </w:r>
      <w:r w:rsidRPr="006503C8">
        <w:t>Il</w:t>
      </w:r>
      <w:r>
        <w:t xml:space="preserve"> </w:t>
      </w:r>
      <w:r w:rsidRPr="006503C8">
        <w:t>rappelle</w:t>
      </w:r>
      <w:r>
        <w:t xml:space="preserve"> </w:t>
      </w:r>
      <w:r w:rsidRPr="006503C8">
        <w:t>que</w:t>
      </w:r>
      <w:r>
        <w:t xml:space="preserve"> </w:t>
      </w:r>
      <w:r w:rsidRPr="006503C8">
        <w:t>le</w:t>
      </w:r>
      <w:r>
        <w:t xml:space="preserve"> </w:t>
      </w:r>
      <w:r w:rsidRPr="006503C8">
        <w:t>concept</w:t>
      </w:r>
      <w:r>
        <w:t xml:space="preserve"> </w:t>
      </w:r>
      <w:r w:rsidRPr="006503C8">
        <w:t>de</w:t>
      </w:r>
      <w:r>
        <w:t xml:space="preserve"> </w:t>
      </w:r>
      <w:r w:rsidRPr="006503C8">
        <w:t>«</w:t>
      </w:r>
      <w:r>
        <w:t> </w:t>
      </w:r>
      <w:r w:rsidRPr="006503C8">
        <w:t>la</w:t>
      </w:r>
      <w:r>
        <w:t xml:space="preserve"> </w:t>
      </w:r>
      <w:r w:rsidRPr="006503C8">
        <w:t>même</w:t>
      </w:r>
      <w:r>
        <w:t xml:space="preserve"> </w:t>
      </w:r>
      <w:r w:rsidRPr="006503C8">
        <w:t>question</w:t>
      </w:r>
      <w:r>
        <w:t> </w:t>
      </w:r>
      <w:r w:rsidRPr="006503C8">
        <w:t>»</w:t>
      </w:r>
      <w:r>
        <w:t xml:space="preserve"> </w:t>
      </w:r>
      <w:r w:rsidRPr="006503C8">
        <w:t>au</w:t>
      </w:r>
      <w:r>
        <w:t xml:space="preserve"> </w:t>
      </w:r>
      <w:r w:rsidRPr="006503C8">
        <w:t>sens</w:t>
      </w:r>
      <w:r>
        <w:t xml:space="preserve"> </w:t>
      </w:r>
      <w:r w:rsidRPr="006503C8">
        <w:t>du</w:t>
      </w:r>
      <w:r>
        <w:t xml:space="preserve"> </w:t>
      </w:r>
      <w:r w:rsidRPr="006503C8">
        <w:t>paragraphe</w:t>
      </w:r>
      <w:r>
        <w:t xml:space="preserve"> </w:t>
      </w:r>
      <w:r w:rsidRPr="006503C8">
        <w:t>2</w:t>
      </w:r>
      <w:r>
        <w:t> </w:t>
      </w:r>
      <w:r w:rsidRPr="006503C8">
        <w:t>a)</w:t>
      </w:r>
      <w:r>
        <w:t xml:space="preserve"> </w:t>
      </w:r>
      <w:r w:rsidRPr="006503C8">
        <w:t>de</w:t>
      </w:r>
      <w:r>
        <w:t xml:space="preserve"> </w:t>
      </w:r>
      <w:r w:rsidRPr="006503C8">
        <w:t>l</w:t>
      </w:r>
      <w:r w:rsidR="00CA2931">
        <w:t>’</w:t>
      </w:r>
      <w:r w:rsidRPr="006503C8">
        <w:t>article</w:t>
      </w:r>
      <w:r>
        <w:t xml:space="preserve"> </w:t>
      </w:r>
      <w:r w:rsidRPr="006503C8">
        <w:t>5</w:t>
      </w:r>
      <w:r>
        <w:t xml:space="preserve"> du Protocole facultatif </w:t>
      </w:r>
      <w:r w:rsidRPr="006503C8">
        <w:t>doit</w:t>
      </w:r>
      <w:r>
        <w:t xml:space="preserve"> </w:t>
      </w:r>
      <w:r w:rsidRPr="006503C8">
        <w:t>s</w:t>
      </w:r>
      <w:r w:rsidR="00CA2931">
        <w:t>’</w:t>
      </w:r>
      <w:r w:rsidRPr="006503C8">
        <w:t>entendre</w:t>
      </w:r>
      <w:r>
        <w:t xml:space="preserve"> </w:t>
      </w:r>
      <w:r w:rsidRPr="006503C8">
        <w:t>du</w:t>
      </w:r>
      <w:r>
        <w:t xml:space="preserve"> </w:t>
      </w:r>
      <w:r w:rsidRPr="006503C8">
        <w:t>même</w:t>
      </w:r>
      <w:r>
        <w:t xml:space="preserve"> </w:t>
      </w:r>
      <w:r w:rsidRPr="006503C8">
        <w:t>grief</w:t>
      </w:r>
      <w:r>
        <w:t xml:space="preserve"> </w:t>
      </w:r>
      <w:r w:rsidRPr="006503C8">
        <w:t>concernant</w:t>
      </w:r>
      <w:r>
        <w:t xml:space="preserve"> </w:t>
      </w:r>
      <w:r w:rsidRPr="006503C8">
        <w:t>la</w:t>
      </w:r>
      <w:r>
        <w:t xml:space="preserve"> </w:t>
      </w:r>
      <w:r w:rsidRPr="006503C8">
        <w:t>même</w:t>
      </w:r>
      <w:r>
        <w:t xml:space="preserve"> </w:t>
      </w:r>
      <w:r w:rsidRPr="006503C8">
        <w:t>personne</w:t>
      </w:r>
      <w:r>
        <w:t xml:space="preserve"> </w:t>
      </w:r>
      <w:r w:rsidRPr="006503C8">
        <w:t>porté</w:t>
      </w:r>
      <w:r>
        <w:t xml:space="preserve"> </w:t>
      </w:r>
      <w:r w:rsidRPr="006503C8">
        <w:t>devant</w:t>
      </w:r>
      <w:r>
        <w:t xml:space="preserve"> </w:t>
      </w:r>
      <w:r w:rsidRPr="006503C8">
        <w:t>l</w:t>
      </w:r>
      <w:r w:rsidR="00CA2931">
        <w:t>’</w:t>
      </w:r>
      <w:r w:rsidRPr="006503C8">
        <w:t>autre</w:t>
      </w:r>
      <w:r>
        <w:t xml:space="preserve"> </w:t>
      </w:r>
      <w:r w:rsidRPr="006503C8">
        <w:t>instance</w:t>
      </w:r>
      <w:r>
        <w:t xml:space="preserve"> </w:t>
      </w:r>
      <w:r w:rsidRPr="006503C8">
        <w:t>internationale,</w:t>
      </w:r>
      <w:r>
        <w:t xml:space="preserve"> </w:t>
      </w:r>
      <w:r w:rsidRPr="006503C8">
        <w:t>et</w:t>
      </w:r>
      <w:r>
        <w:t xml:space="preserve"> </w:t>
      </w:r>
      <w:r w:rsidRPr="006503C8">
        <w:t>que</w:t>
      </w:r>
      <w:r>
        <w:t xml:space="preserve"> </w:t>
      </w:r>
      <w:r w:rsidRPr="006503C8">
        <w:t>l</w:t>
      </w:r>
      <w:r w:rsidR="00CA2931">
        <w:t>’</w:t>
      </w:r>
      <w:r w:rsidRPr="006503C8">
        <w:t>interdiction</w:t>
      </w:r>
      <w:r>
        <w:t xml:space="preserve"> </w:t>
      </w:r>
      <w:r w:rsidRPr="006503C8">
        <w:t>formulée</w:t>
      </w:r>
      <w:r>
        <w:t xml:space="preserve"> </w:t>
      </w:r>
      <w:r w:rsidRPr="006503C8">
        <w:t>dans</w:t>
      </w:r>
      <w:r>
        <w:t xml:space="preserve"> </w:t>
      </w:r>
      <w:r w:rsidRPr="006503C8">
        <w:t>ledit</w:t>
      </w:r>
      <w:r>
        <w:t xml:space="preserve"> </w:t>
      </w:r>
      <w:r w:rsidRPr="006503C8">
        <w:t>paragraphe</w:t>
      </w:r>
      <w:r>
        <w:t xml:space="preserve"> </w:t>
      </w:r>
      <w:r w:rsidRPr="006503C8">
        <w:t>porte</w:t>
      </w:r>
      <w:r>
        <w:t xml:space="preserve"> </w:t>
      </w:r>
      <w:r w:rsidRPr="006503C8">
        <w:t>sur</w:t>
      </w:r>
      <w:r>
        <w:t xml:space="preserve"> </w:t>
      </w:r>
      <w:r w:rsidRPr="006503C8">
        <w:t>l</w:t>
      </w:r>
      <w:r w:rsidR="00CA2931">
        <w:t>’</w:t>
      </w:r>
      <w:r w:rsidRPr="006503C8">
        <w:t>éventuel</w:t>
      </w:r>
      <w:r>
        <w:t xml:space="preserve"> </w:t>
      </w:r>
      <w:r w:rsidRPr="006503C8">
        <w:t>examen</w:t>
      </w:r>
      <w:r>
        <w:t xml:space="preserve"> </w:t>
      </w:r>
      <w:r w:rsidRPr="006503C8">
        <w:t>en</w:t>
      </w:r>
      <w:r>
        <w:t xml:space="preserve"> </w:t>
      </w:r>
      <w:r w:rsidRPr="006503C8">
        <w:t>cours</w:t>
      </w:r>
      <w:r>
        <w:t xml:space="preserve"> </w:t>
      </w:r>
      <w:r w:rsidRPr="006503C8">
        <w:t>de</w:t>
      </w:r>
      <w:r>
        <w:t xml:space="preserve"> </w:t>
      </w:r>
      <w:r w:rsidRPr="006503C8">
        <w:t>la</w:t>
      </w:r>
      <w:r>
        <w:t xml:space="preserve"> </w:t>
      </w:r>
      <w:r w:rsidRPr="006503C8">
        <w:t>même</w:t>
      </w:r>
      <w:r>
        <w:t xml:space="preserve"> </w:t>
      </w:r>
      <w:r w:rsidRPr="006503C8">
        <w:t>question.</w:t>
      </w:r>
      <w:r>
        <w:t xml:space="preserve"> </w:t>
      </w:r>
      <w:r w:rsidRPr="006503C8">
        <w:t>Même</w:t>
      </w:r>
      <w:r>
        <w:t xml:space="preserve"> </w:t>
      </w:r>
      <w:r w:rsidRPr="006503C8">
        <w:t>si</w:t>
      </w:r>
      <w:r>
        <w:t xml:space="preserve"> </w:t>
      </w:r>
      <w:r w:rsidRPr="006503C8">
        <w:t>la</w:t>
      </w:r>
      <w:r>
        <w:t xml:space="preserve"> </w:t>
      </w:r>
      <w:r w:rsidRPr="006503C8">
        <w:t>présente</w:t>
      </w:r>
      <w:r>
        <w:t xml:space="preserve"> </w:t>
      </w:r>
      <w:r w:rsidRPr="006503C8">
        <w:t>communication</w:t>
      </w:r>
      <w:r>
        <w:t xml:space="preserve"> </w:t>
      </w:r>
      <w:r w:rsidRPr="006503C8">
        <w:t>a</w:t>
      </w:r>
      <w:r>
        <w:t xml:space="preserve"> </w:t>
      </w:r>
      <w:r w:rsidRPr="006503C8">
        <w:t>été</w:t>
      </w:r>
      <w:r>
        <w:t xml:space="preserve"> </w:t>
      </w:r>
      <w:r w:rsidRPr="006503C8">
        <w:t>présentée</w:t>
      </w:r>
      <w:r>
        <w:t xml:space="preserve"> </w:t>
      </w:r>
      <w:r w:rsidRPr="006503C8">
        <w:t>par</w:t>
      </w:r>
      <w:r>
        <w:t xml:space="preserve"> </w:t>
      </w:r>
      <w:r w:rsidRPr="006503C8">
        <w:t>la</w:t>
      </w:r>
      <w:r>
        <w:t xml:space="preserve"> </w:t>
      </w:r>
      <w:r w:rsidRPr="006503C8">
        <w:t>même</w:t>
      </w:r>
      <w:r>
        <w:t xml:space="preserve"> </w:t>
      </w:r>
      <w:r w:rsidRPr="006503C8">
        <w:t>personne</w:t>
      </w:r>
      <w:r>
        <w:t xml:space="preserve"> </w:t>
      </w:r>
      <w:r w:rsidRPr="006503C8">
        <w:t>à</w:t>
      </w:r>
      <w:r>
        <w:t xml:space="preserve"> </w:t>
      </w:r>
      <w:r w:rsidRPr="006503C8">
        <w:t>la</w:t>
      </w:r>
      <w:r>
        <w:t xml:space="preserve"> </w:t>
      </w:r>
      <w:r w:rsidRPr="006503C8">
        <w:t>Cour</w:t>
      </w:r>
      <w:r>
        <w:t xml:space="preserve"> </w:t>
      </w:r>
      <w:r w:rsidRPr="006503C8">
        <w:t>européenne</w:t>
      </w:r>
      <w:r>
        <w:t xml:space="preserve"> </w:t>
      </w:r>
      <w:r w:rsidRPr="006503C8">
        <w:t>des</w:t>
      </w:r>
      <w:r>
        <w:t xml:space="preserve"> </w:t>
      </w:r>
      <w:r w:rsidRPr="006503C8">
        <w:t>droits</w:t>
      </w:r>
      <w:r>
        <w:t xml:space="preserve"> </w:t>
      </w:r>
      <w:r w:rsidRPr="006503C8">
        <w:t>de</w:t>
      </w:r>
      <w:r>
        <w:t xml:space="preserve"> </w:t>
      </w:r>
      <w:r w:rsidRPr="006503C8">
        <w:t>l</w:t>
      </w:r>
      <w:r w:rsidR="00CA2931">
        <w:t>’</w:t>
      </w:r>
      <w:r w:rsidRPr="006503C8">
        <w:t>homme,</w:t>
      </w:r>
      <w:r>
        <w:t xml:space="preserve"> </w:t>
      </w:r>
      <w:r w:rsidRPr="006503C8">
        <w:t>cet</w:t>
      </w:r>
      <w:r>
        <w:t xml:space="preserve"> </w:t>
      </w:r>
      <w:r w:rsidRPr="006503C8">
        <w:t>organe</w:t>
      </w:r>
      <w:r>
        <w:t xml:space="preserve"> </w:t>
      </w:r>
      <w:r w:rsidRPr="006503C8">
        <w:t>s</w:t>
      </w:r>
      <w:r w:rsidR="00CA2931">
        <w:t>’</w:t>
      </w:r>
      <w:r w:rsidRPr="006503C8">
        <w:t>est</w:t>
      </w:r>
      <w:r>
        <w:t xml:space="preserve"> </w:t>
      </w:r>
      <w:r w:rsidRPr="006503C8">
        <w:t>déjà</w:t>
      </w:r>
      <w:r>
        <w:t xml:space="preserve"> </w:t>
      </w:r>
      <w:r w:rsidRPr="006503C8">
        <w:t>prononcé.</w:t>
      </w:r>
      <w:r>
        <w:t xml:space="preserve"> </w:t>
      </w:r>
      <w:r w:rsidRPr="006503C8">
        <w:t>En</w:t>
      </w:r>
      <w:r>
        <w:t xml:space="preserve"> </w:t>
      </w:r>
      <w:r w:rsidRPr="006503C8">
        <w:t>outre,</w:t>
      </w:r>
      <w:r>
        <w:t xml:space="preserve"> </w:t>
      </w:r>
      <w:r w:rsidRPr="006503C8">
        <w:t>le</w:t>
      </w:r>
      <w:r>
        <w:t xml:space="preserve"> </w:t>
      </w:r>
      <w:r w:rsidRPr="006503C8">
        <w:t>Comité</w:t>
      </w:r>
      <w:r>
        <w:t xml:space="preserve"> </w:t>
      </w:r>
      <w:r w:rsidRPr="006503C8">
        <w:t>note</w:t>
      </w:r>
      <w:r>
        <w:t xml:space="preserve"> </w:t>
      </w:r>
      <w:r w:rsidRPr="006503C8">
        <w:t>que</w:t>
      </w:r>
      <w:r>
        <w:t xml:space="preserve"> </w:t>
      </w:r>
      <w:r w:rsidRPr="006503C8">
        <w:t>l</w:t>
      </w:r>
      <w:r w:rsidR="00CA2931">
        <w:t>’</w:t>
      </w:r>
      <w:r w:rsidRPr="006503C8">
        <w:t>État</w:t>
      </w:r>
      <w:r>
        <w:t xml:space="preserve"> </w:t>
      </w:r>
      <w:r w:rsidRPr="006503C8">
        <w:t>partie</w:t>
      </w:r>
      <w:r>
        <w:t xml:space="preserve"> </w:t>
      </w:r>
      <w:r w:rsidRPr="006503C8">
        <w:t>n</w:t>
      </w:r>
      <w:r w:rsidR="00CA2931">
        <w:t>’</w:t>
      </w:r>
      <w:r w:rsidRPr="006503C8">
        <w:t>a</w:t>
      </w:r>
      <w:r>
        <w:t xml:space="preserve"> </w:t>
      </w:r>
      <w:r w:rsidRPr="006503C8">
        <w:t>pas</w:t>
      </w:r>
      <w:r>
        <w:t xml:space="preserve"> </w:t>
      </w:r>
      <w:r w:rsidRPr="006503C8">
        <w:t>formulé</w:t>
      </w:r>
      <w:r>
        <w:t xml:space="preserve"> </w:t>
      </w:r>
      <w:r w:rsidRPr="006503C8">
        <w:t>de</w:t>
      </w:r>
      <w:r>
        <w:t xml:space="preserve"> </w:t>
      </w:r>
      <w:r w:rsidRPr="006503C8">
        <w:t>réserve</w:t>
      </w:r>
      <w:r>
        <w:t xml:space="preserve"> </w:t>
      </w:r>
      <w:r w:rsidRPr="006503C8">
        <w:t>au</w:t>
      </w:r>
      <w:r>
        <w:t xml:space="preserve"> </w:t>
      </w:r>
      <w:r w:rsidRPr="006503C8">
        <w:t>paragraphe</w:t>
      </w:r>
      <w:r>
        <w:t xml:space="preserve"> </w:t>
      </w:r>
      <w:r w:rsidRPr="006503C8">
        <w:t>2</w:t>
      </w:r>
      <w:r>
        <w:t> </w:t>
      </w:r>
      <w:r w:rsidRPr="006503C8">
        <w:t>a)</w:t>
      </w:r>
      <w:r>
        <w:t xml:space="preserve"> </w:t>
      </w:r>
      <w:r w:rsidRPr="006503C8">
        <w:t>de</w:t>
      </w:r>
      <w:r>
        <w:t xml:space="preserve"> </w:t>
      </w:r>
      <w:r w:rsidRPr="006503C8">
        <w:t>l</w:t>
      </w:r>
      <w:r w:rsidR="00CA2931">
        <w:t>’</w:t>
      </w:r>
      <w:r w:rsidRPr="006503C8">
        <w:t>article</w:t>
      </w:r>
      <w:r>
        <w:t xml:space="preserve"> </w:t>
      </w:r>
      <w:r w:rsidRPr="006503C8">
        <w:t>5,</w:t>
      </w:r>
      <w:r>
        <w:t xml:space="preserve"> </w:t>
      </w:r>
      <w:r w:rsidRPr="006503C8">
        <w:t>visant</w:t>
      </w:r>
      <w:r>
        <w:t xml:space="preserve"> </w:t>
      </w:r>
      <w:r w:rsidRPr="006503C8">
        <w:t>à</w:t>
      </w:r>
      <w:r>
        <w:t xml:space="preserve"> </w:t>
      </w:r>
      <w:r w:rsidRPr="006503C8">
        <w:t>l</w:t>
      </w:r>
      <w:r w:rsidR="00CA2931">
        <w:t>’</w:t>
      </w:r>
      <w:r w:rsidRPr="006503C8">
        <w:t>empêcher</w:t>
      </w:r>
      <w:r>
        <w:t xml:space="preserve"> </w:t>
      </w:r>
      <w:r w:rsidRPr="006503C8">
        <w:t>d</w:t>
      </w:r>
      <w:r w:rsidR="00CA2931">
        <w:t>’</w:t>
      </w:r>
      <w:r w:rsidRPr="006503C8">
        <w:t>examiner</w:t>
      </w:r>
      <w:r>
        <w:t xml:space="preserve"> </w:t>
      </w:r>
      <w:r w:rsidRPr="006503C8">
        <w:t>une</w:t>
      </w:r>
      <w:r>
        <w:t xml:space="preserve"> </w:t>
      </w:r>
      <w:r w:rsidRPr="006503C8">
        <w:t>communication</w:t>
      </w:r>
      <w:r>
        <w:t xml:space="preserve"> </w:t>
      </w:r>
      <w:r w:rsidRPr="006503C8">
        <w:t>ayant</w:t>
      </w:r>
      <w:r>
        <w:t xml:space="preserve"> </w:t>
      </w:r>
      <w:r w:rsidRPr="006503C8">
        <w:t>été</w:t>
      </w:r>
      <w:r>
        <w:t xml:space="preserve"> </w:t>
      </w:r>
      <w:r w:rsidRPr="006503C8">
        <w:t>précédemment</w:t>
      </w:r>
      <w:r>
        <w:t xml:space="preserve"> </w:t>
      </w:r>
      <w:r w:rsidRPr="006503C8">
        <w:t>examinée</w:t>
      </w:r>
      <w:r>
        <w:t xml:space="preserve"> </w:t>
      </w:r>
      <w:r w:rsidRPr="006503C8">
        <w:t>par</w:t>
      </w:r>
      <w:r>
        <w:t xml:space="preserve"> </w:t>
      </w:r>
      <w:r w:rsidRPr="006503C8">
        <w:t>une</w:t>
      </w:r>
      <w:r>
        <w:t xml:space="preserve"> </w:t>
      </w:r>
      <w:r w:rsidRPr="006503C8">
        <w:t>autre</w:t>
      </w:r>
      <w:r>
        <w:t xml:space="preserve"> </w:t>
      </w:r>
      <w:r w:rsidRPr="006503C8">
        <w:t>instance.</w:t>
      </w:r>
      <w:r>
        <w:t xml:space="preserve"> </w:t>
      </w:r>
      <w:r w:rsidRPr="006503C8">
        <w:t>Le</w:t>
      </w:r>
      <w:r>
        <w:t xml:space="preserve"> </w:t>
      </w:r>
      <w:r w:rsidRPr="006503C8">
        <w:t>Comité</w:t>
      </w:r>
      <w:r>
        <w:t xml:space="preserve"> </w:t>
      </w:r>
      <w:r w:rsidRPr="006503C8">
        <w:t>s</w:t>
      </w:r>
      <w:r w:rsidR="00CA2931">
        <w:t>’</w:t>
      </w:r>
      <w:r w:rsidRPr="006503C8">
        <w:t>est</w:t>
      </w:r>
      <w:r>
        <w:t xml:space="preserve"> </w:t>
      </w:r>
      <w:r w:rsidRPr="006503C8">
        <w:t>donc</w:t>
      </w:r>
      <w:r>
        <w:t xml:space="preserve"> </w:t>
      </w:r>
      <w:r w:rsidRPr="006503C8">
        <w:t>assuré,</w:t>
      </w:r>
      <w:r>
        <w:t xml:space="preserve"> </w:t>
      </w:r>
      <w:r w:rsidRPr="006503C8">
        <w:t>comme</w:t>
      </w:r>
      <w:r>
        <w:t xml:space="preserve"> </w:t>
      </w:r>
      <w:r w:rsidRPr="006503C8">
        <w:t>il</w:t>
      </w:r>
      <w:r>
        <w:t xml:space="preserve"> </w:t>
      </w:r>
      <w:r w:rsidRPr="006503C8">
        <w:t>est</w:t>
      </w:r>
      <w:r>
        <w:t xml:space="preserve"> </w:t>
      </w:r>
      <w:r w:rsidRPr="006503C8">
        <w:t>tenu</w:t>
      </w:r>
      <w:r>
        <w:t xml:space="preserve"> </w:t>
      </w:r>
      <w:r w:rsidRPr="006503C8">
        <w:t>de</w:t>
      </w:r>
      <w:r>
        <w:t xml:space="preserve"> </w:t>
      </w:r>
      <w:r w:rsidRPr="006503C8">
        <w:t>le</w:t>
      </w:r>
      <w:r>
        <w:t xml:space="preserve"> </w:t>
      </w:r>
      <w:r w:rsidRPr="006503C8">
        <w:t>faire</w:t>
      </w:r>
      <w:r>
        <w:t xml:space="preserve"> </w:t>
      </w:r>
      <w:r w:rsidRPr="006503C8">
        <w:t>conformément</w:t>
      </w:r>
      <w:r>
        <w:t xml:space="preserve"> </w:t>
      </w:r>
      <w:r w:rsidRPr="006503C8">
        <w:t>au</w:t>
      </w:r>
      <w:r>
        <w:t xml:space="preserve"> </w:t>
      </w:r>
      <w:r w:rsidRPr="006503C8">
        <w:t>paragraphe</w:t>
      </w:r>
      <w:r>
        <w:t xml:space="preserve"> </w:t>
      </w:r>
      <w:r w:rsidRPr="006503C8">
        <w:t>2</w:t>
      </w:r>
      <w:r>
        <w:t> </w:t>
      </w:r>
      <w:r w:rsidRPr="006503C8">
        <w:t>a)</w:t>
      </w:r>
      <w:r>
        <w:t xml:space="preserve"> </w:t>
      </w:r>
      <w:r w:rsidRPr="006503C8">
        <w:t>de</w:t>
      </w:r>
      <w:r>
        <w:t xml:space="preserve"> </w:t>
      </w:r>
      <w:r w:rsidRPr="006503C8">
        <w:t>l</w:t>
      </w:r>
      <w:r w:rsidR="00CA2931">
        <w:t>’</w:t>
      </w:r>
      <w:r w:rsidRPr="006503C8">
        <w:t>article</w:t>
      </w:r>
      <w:r>
        <w:t xml:space="preserve"> </w:t>
      </w:r>
      <w:r w:rsidRPr="006503C8">
        <w:t>5</w:t>
      </w:r>
      <w:r>
        <w:t xml:space="preserve"> </w:t>
      </w:r>
      <w:r w:rsidRPr="006503C8">
        <w:t>du</w:t>
      </w:r>
      <w:r>
        <w:t xml:space="preserve"> </w:t>
      </w:r>
      <w:r w:rsidRPr="006503C8">
        <w:t>Protocole</w:t>
      </w:r>
      <w:r>
        <w:t xml:space="preserve"> </w:t>
      </w:r>
      <w:r w:rsidRPr="006503C8">
        <w:t>facultatif,</w:t>
      </w:r>
      <w:r>
        <w:t xml:space="preserve"> </w:t>
      </w:r>
      <w:r w:rsidRPr="006503C8">
        <w:t>que</w:t>
      </w:r>
      <w:r>
        <w:t xml:space="preserve"> </w:t>
      </w:r>
      <w:r w:rsidRPr="006503C8">
        <w:t>la</w:t>
      </w:r>
      <w:r>
        <w:t xml:space="preserve"> </w:t>
      </w:r>
      <w:r w:rsidRPr="006503C8">
        <w:t>même</w:t>
      </w:r>
      <w:r>
        <w:t xml:space="preserve"> </w:t>
      </w:r>
      <w:r w:rsidRPr="006503C8">
        <w:t>question</w:t>
      </w:r>
      <w:r>
        <w:t xml:space="preserve"> </w:t>
      </w:r>
      <w:r w:rsidRPr="006503C8">
        <w:t>n</w:t>
      </w:r>
      <w:r w:rsidR="00CA2931">
        <w:t>’</w:t>
      </w:r>
      <w:r w:rsidRPr="006503C8">
        <w:t>était</w:t>
      </w:r>
      <w:r>
        <w:t xml:space="preserve"> </w:t>
      </w:r>
      <w:r w:rsidRPr="006503C8">
        <w:t>pas</w:t>
      </w:r>
      <w:r>
        <w:t xml:space="preserve"> </w:t>
      </w:r>
      <w:r w:rsidRPr="006503C8">
        <w:t>déjà</w:t>
      </w:r>
      <w:r>
        <w:t xml:space="preserve"> </w:t>
      </w:r>
      <w:r w:rsidRPr="006503C8">
        <w:t>en</w:t>
      </w:r>
      <w:r>
        <w:t xml:space="preserve"> </w:t>
      </w:r>
      <w:r w:rsidRPr="006503C8">
        <w:t>cours</w:t>
      </w:r>
      <w:r>
        <w:t xml:space="preserve"> </w:t>
      </w:r>
      <w:r w:rsidRPr="006503C8">
        <w:t>d</w:t>
      </w:r>
      <w:r w:rsidR="00CA2931">
        <w:t>’</w:t>
      </w:r>
      <w:r w:rsidRPr="006503C8">
        <w:t>examen</w:t>
      </w:r>
      <w:r>
        <w:t xml:space="preserve"> </w:t>
      </w:r>
      <w:r w:rsidRPr="006503C8">
        <w:t>devant</w:t>
      </w:r>
      <w:r>
        <w:t xml:space="preserve"> </w:t>
      </w:r>
      <w:r w:rsidRPr="006503C8">
        <w:t>une</w:t>
      </w:r>
      <w:r>
        <w:t xml:space="preserve"> </w:t>
      </w:r>
      <w:r w:rsidRPr="006503C8">
        <w:t>autre</w:t>
      </w:r>
      <w:r>
        <w:t xml:space="preserve"> </w:t>
      </w:r>
      <w:r w:rsidRPr="006503C8">
        <w:t>instance</w:t>
      </w:r>
      <w:r>
        <w:t xml:space="preserve"> </w:t>
      </w:r>
      <w:r w:rsidRPr="006503C8">
        <w:t>internationale</w:t>
      </w:r>
      <w:r>
        <w:t xml:space="preserve"> </w:t>
      </w:r>
      <w:r w:rsidRPr="006503C8">
        <w:t>d</w:t>
      </w:r>
      <w:r w:rsidR="00CA2931">
        <w:t>’</w:t>
      </w:r>
      <w:r w:rsidRPr="006503C8">
        <w:t>enquête</w:t>
      </w:r>
      <w:r>
        <w:t xml:space="preserve"> </w:t>
      </w:r>
      <w:r w:rsidRPr="006503C8">
        <w:t>ou</w:t>
      </w:r>
      <w:r>
        <w:t xml:space="preserve"> </w:t>
      </w:r>
      <w:r w:rsidRPr="006503C8">
        <w:t>de</w:t>
      </w:r>
      <w:r>
        <w:t xml:space="preserve"> </w:t>
      </w:r>
      <w:r w:rsidRPr="006503C8">
        <w:t>règlement.</w:t>
      </w:r>
    </w:p>
    <w:p w14:paraId="30D8C7ED" w14:textId="77777777" w:rsidR="00765853" w:rsidRPr="006503C8" w:rsidRDefault="00765853" w:rsidP="00765853">
      <w:pPr>
        <w:pStyle w:val="SingleTxtG"/>
      </w:pPr>
      <w:r w:rsidRPr="006503C8">
        <w:t>7.3</w:t>
      </w:r>
      <w:r w:rsidRPr="006503C8">
        <w:tab/>
        <w:t>Le</w:t>
      </w:r>
      <w:r>
        <w:t xml:space="preserve"> </w:t>
      </w:r>
      <w:r w:rsidRPr="006503C8">
        <w:t>Comité</w:t>
      </w:r>
      <w:r>
        <w:t xml:space="preserve"> </w:t>
      </w:r>
      <w:r w:rsidRPr="006503C8">
        <w:t>note</w:t>
      </w:r>
      <w:r>
        <w:t xml:space="preserve"> </w:t>
      </w:r>
      <w:r w:rsidRPr="006503C8">
        <w:t>également</w:t>
      </w:r>
      <w:r>
        <w:t xml:space="preserve"> </w:t>
      </w:r>
      <w:r w:rsidRPr="006503C8">
        <w:t>que</w:t>
      </w:r>
      <w:r>
        <w:t xml:space="preserve"> </w:t>
      </w:r>
      <w:r w:rsidRPr="006503C8">
        <w:t>les</w:t>
      </w:r>
      <w:r>
        <w:t xml:space="preserve"> </w:t>
      </w:r>
      <w:r w:rsidRPr="006503C8">
        <w:t>recours</w:t>
      </w:r>
      <w:r>
        <w:t xml:space="preserve"> </w:t>
      </w:r>
      <w:r w:rsidRPr="006503C8">
        <w:t>internes</w:t>
      </w:r>
      <w:r>
        <w:t xml:space="preserve"> </w:t>
      </w:r>
      <w:r w:rsidRPr="006503C8">
        <w:t>ont</w:t>
      </w:r>
      <w:r>
        <w:t xml:space="preserve"> </w:t>
      </w:r>
      <w:r w:rsidRPr="006503C8">
        <w:t>été</w:t>
      </w:r>
      <w:r>
        <w:t xml:space="preserve"> </w:t>
      </w:r>
      <w:r w:rsidRPr="006503C8">
        <w:t>épuisés,</w:t>
      </w:r>
      <w:r>
        <w:t xml:space="preserve"> </w:t>
      </w:r>
      <w:r w:rsidRPr="006503C8">
        <w:t>comme</w:t>
      </w:r>
      <w:r>
        <w:t xml:space="preserve"> </w:t>
      </w:r>
      <w:r w:rsidRPr="006503C8">
        <w:t>l</w:t>
      </w:r>
      <w:r w:rsidR="00CA2931">
        <w:t>’</w:t>
      </w:r>
      <w:r w:rsidRPr="006503C8">
        <w:t>exige</w:t>
      </w:r>
      <w:r>
        <w:t xml:space="preserve"> </w:t>
      </w:r>
      <w:r w:rsidRPr="006503C8">
        <w:t>le</w:t>
      </w:r>
      <w:r>
        <w:t xml:space="preserve"> </w:t>
      </w:r>
      <w:r w:rsidRPr="006503C8">
        <w:t>paragraphe</w:t>
      </w:r>
      <w:r>
        <w:t xml:space="preserve"> </w:t>
      </w:r>
      <w:r w:rsidRPr="006503C8">
        <w:t>2</w:t>
      </w:r>
      <w:r>
        <w:t> </w:t>
      </w:r>
      <w:r w:rsidRPr="006503C8">
        <w:t>b)</w:t>
      </w:r>
      <w:r>
        <w:t xml:space="preserve"> </w:t>
      </w:r>
      <w:r w:rsidRPr="006503C8">
        <w:t>de</w:t>
      </w:r>
      <w:r>
        <w:t xml:space="preserve"> </w:t>
      </w:r>
      <w:r w:rsidRPr="006503C8">
        <w:t>l</w:t>
      </w:r>
      <w:r w:rsidR="00CA2931">
        <w:t>’</w:t>
      </w:r>
      <w:r w:rsidRPr="006503C8">
        <w:t>article</w:t>
      </w:r>
      <w:r>
        <w:t xml:space="preserve"> </w:t>
      </w:r>
      <w:r w:rsidRPr="006503C8">
        <w:t>5</w:t>
      </w:r>
      <w:r>
        <w:t xml:space="preserve"> </w:t>
      </w:r>
      <w:r w:rsidRPr="006503C8">
        <w:t>du</w:t>
      </w:r>
      <w:r>
        <w:t xml:space="preserve"> </w:t>
      </w:r>
      <w:r w:rsidRPr="006503C8">
        <w:t>Protocole</w:t>
      </w:r>
      <w:r>
        <w:t xml:space="preserve"> </w:t>
      </w:r>
      <w:r w:rsidRPr="006503C8">
        <w:t>facultatif.</w:t>
      </w:r>
    </w:p>
    <w:p w14:paraId="077A8EF1" w14:textId="77777777" w:rsidR="00765853" w:rsidRPr="006503C8" w:rsidRDefault="00765853" w:rsidP="00765853">
      <w:pPr>
        <w:pStyle w:val="SingleTxtG"/>
      </w:pPr>
      <w:r w:rsidRPr="006503C8">
        <w:t>7.4</w:t>
      </w:r>
      <w:r w:rsidRPr="006503C8">
        <w:tab/>
        <w:t>Le</w:t>
      </w:r>
      <w:r>
        <w:t xml:space="preserve"> </w:t>
      </w:r>
      <w:r w:rsidRPr="006503C8">
        <w:t>Comité</w:t>
      </w:r>
      <w:r>
        <w:t xml:space="preserve"> </w:t>
      </w:r>
      <w:r w:rsidRPr="006503C8">
        <w:t>constate</w:t>
      </w:r>
      <w:r>
        <w:t xml:space="preserve"> </w:t>
      </w:r>
      <w:r w:rsidRPr="006503C8">
        <w:t>que,</w:t>
      </w:r>
      <w:r>
        <w:t xml:space="preserve"> </w:t>
      </w:r>
      <w:r w:rsidRPr="006503C8">
        <w:t>selon</w:t>
      </w:r>
      <w:r>
        <w:t xml:space="preserve"> </w:t>
      </w:r>
      <w:r w:rsidRPr="006503C8">
        <w:t>l</w:t>
      </w:r>
      <w:r w:rsidR="00CA2931">
        <w:t>’</w:t>
      </w:r>
      <w:r w:rsidRPr="006503C8">
        <w:t>État</w:t>
      </w:r>
      <w:r>
        <w:t xml:space="preserve"> </w:t>
      </w:r>
      <w:r w:rsidRPr="006503C8">
        <w:t>partie,</w:t>
      </w:r>
      <w:r>
        <w:t xml:space="preserve"> </w:t>
      </w:r>
      <w:r w:rsidRPr="006503C8">
        <w:t>la</w:t>
      </w:r>
      <w:r>
        <w:t xml:space="preserve"> </w:t>
      </w:r>
      <w:r w:rsidRPr="006503C8">
        <w:t>communication</w:t>
      </w:r>
      <w:r>
        <w:t xml:space="preserve"> </w:t>
      </w:r>
      <w:r w:rsidRPr="006503C8">
        <w:t>est</w:t>
      </w:r>
      <w:r>
        <w:t xml:space="preserve"> </w:t>
      </w:r>
      <w:r w:rsidRPr="006503C8">
        <w:t>irrecevable</w:t>
      </w:r>
      <w:r>
        <w:t xml:space="preserve"> </w:t>
      </w:r>
      <w:r w:rsidRPr="006503C8">
        <w:t>au</w:t>
      </w:r>
      <w:r>
        <w:t xml:space="preserve"> </w:t>
      </w:r>
      <w:r w:rsidRPr="006503C8">
        <w:t>motif</w:t>
      </w:r>
      <w:r>
        <w:t xml:space="preserve"> </w:t>
      </w:r>
      <w:r w:rsidRPr="006503C8">
        <w:t>qu</w:t>
      </w:r>
      <w:r w:rsidR="00CA2931">
        <w:t>’</w:t>
      </w:r>
      <w:r w:rsidRPr="006503C8">
        <w:t>elle</w:t>
      </w:r>
      <w:r>
        <w:t xml:space="preserve"> </w:t>
      </w:r>
      <w:r w:rsidRPr="006503C8">
        <w:t>constitue</w:t>
      </w:r>
      <w:r>
        <w:t xml:space="preserve"> </w:t>
      </w:r>
      <w:r w:rsidRPr="006503C8">
        <w:t>un</w:t>
      </w:r>
      <w:r>
        <w:t xml:space="preserve"> </w:t>
      </w:r>
      <w:r w:rsidRPr="006503C8">
        <w:t>abus</w:t>
      </w:r>
      <w:r>
        <w:t xml:space="preserve"> </w:t>
      </w:r>
      <w:r w:rsidRPr="006503C8">
        <w:t>du</w:t>
      </w:r>
      <w:r>
        <w:t xml:space="preserve"> </w:t>
      </w:r>
      <w:r w:rsidRPr="006503C8">
        <w:t>droit</w:t>
      </w:r>
      <w:r>
        <w:t xml:space="preserve"> </w:t>
      </w:r>
      <w:r w:rsidRPr="006503C8">
        <w:t>de</w:t>
      </w:r>
      <w:r>
        <w:t xml:space="preserve"> </w:t>
      </w:r>
      <w:r w:rsidRPr="006503C8">
        <w:t>présenter</w:t>
      </w:r>
      <w:r>
        <w:t xml:space="preserve"> </w:t>
      </w:r>
      <w:r w:rsidRPr="006503C8">
        <w:t>des</w:t>
      </w:r>
      <w:r>
        <w:t xml:space="preserve"> </w:t>
      </w:r>
      <w:r w:rsidRPr="006503C8">
        <w:t>communications</w:t>
      </w:r>
      <w:r>
        <w:t xml:space="preserve"> </w:t>
      </w:r>
      <w:r w:rsidRPr="006503C8">
        <w:t>parce</w:t>
      </w:r>
      <w:r>
        <w:t xml:space="preserve"> </w:t>
      </w:r>
      <w:r w:rsidRPr="006503C8">
        <w:t>que</w:t>
      </w:r>
      <w:r>
        <w:t xml:space="preserve"> </w:t>
      </w:r>
      <w:r w:rsidRPr="006503C8">
        <w:t>l</w:t>
      </w:r>
      <w:r w:rsidR="00CA2931">
        <w:t>’</w:t>
      </w:r>
      <w:r w:rsidRPr="006503C8">
        <w:t>auteure</w:t>
      </w:r>
      <w:r>
        <w:t xml:space="preserve"> </w:t>
      </w:r>
      <w:r w:rsidRPr="006503C8">
        <w:t>a</w:t>
      </w:r>
      <w:r>
        <w:t xml:space="preserve"> </w:t>
      </w:r>
      <w:r w:rsidRPr="006503C8">
        <w:t>volontairement</w:t>
      </w:r>
      <w:r>
        <w:t xml:space="preserve"> </w:t>
      </w:r>
      <w:r w:rsidRPr="006503C8">
        <w:t>fourni</w:t>
      </w:r>
      <w:r>
        <w:t xml:space="preserve"> </w:t>
      </w:r>
      <w:r w:rsidRPr="006503C8">
        <w:t>de</w:t>
      </w:r>
      <w:r>
        <w:t xml:space="preserve"> </w:t>
      </w:r>
      <w:r w:rsidRPr="006503C8">
        <w:t>fausses</w:t>
      </w:r>
      <w:r>
        <w:t xml:space="preserve"> </w:t>
      </w:r>
      <w:r w:rsidRPr="006503C8">
        <w:t>informations</w:t>
      </w:r>
      <w:r>
        <w:t xml:space="preserve"> </w:t>
      </w:r>
      <w:r w:rsidRPr="006503C8">
        <w:t>sur</w:t>
      </w:r>
      <w:r>
        <w:t xml:space="preserve"> </w:t>
      </w:r>
      <w:r w:rsidRPr="006503C8">
        <w:t>l</w:t>
      </w:r>
      <w:r w:rsidR="00CA2931">
        <w:t>’</w:t>
      </w:r>
      <w:r w:rsidRPr="006503C8">
        <w:t>interprétation</w:t>
      </w:r>
      <w:r>
        <w:t xml:space="preserve"> </w:t>
      </w:r>
      <w:r w:rsidRPr="006503C8">
        <w:t>de</w:t>
      </w:r>
      <w:r>
        <w:t xml:space="preserve"> </w:t>
      </w:r>
      <w:r w:rsidRPr="006503C8">
        <w:t>la</w:t>
      </w:r>
      <w:r>
        <w:t xml:space="preserve"> </w:t>
      </w:r>
      <w:r w:rsidRPr="006503C8">
        <w:t>loi</w:t>
      </w:r>
      <w:r>
        <w:t xml:space="preserve"> </w:t>
      </w:r>
      <w:r w:rsidRPr="006503C8">
        <w:t>par</w:t>
      </w:r>
      <w:r>
        <w:t xml:space="preserve"> </w:t>
      </w:r>
      <w:r w:rsidRPr="006503C8">
        <w:t>les</w:t>
      </w:r>
      <w:r>
        <w:t xml:space="preserve"> </w:t>
      </w:r>
      <w:r w:rsidRPr="006503C8">
        <w:t>juridictions</w:t>
      </w:r>
      <w:r>
        <w:t xml:space="preserve"> </w:t>
      </w:r>
      <w:r w:rsidRPr="006503C8">
        <w:t>nationales</w:t>
      </w:r>
      <w:r>
        <w:t xml:space="preserve"> </w:t>
      </w:r>
      <w:r w:rsidRPr="006503C8">
        <w:t>et</w:t>
      </w:r>
      <w:r>
        <w:t xml:space="preserve"> </w:t>
      </w:r>
      <w:r w:rsidRPr="006503C8">
        <w:t>sur</w:t>
      </w:r>
      <w:r>
        <w:t xml:space="preserve"> </w:t>
      </w:r>
      <w:r w:rsidRPr="006503C8">
        <w:t>les</w:t>
      </w:r>
      <w:r>
        <w:t xml:space="preserve"> </w:t>
      </w:r>
      <w:r w:rsidRPr="006503C8">
        <w:t>objectifs</w:t>
      </w:r>
      <w:r>
        <w:t xml:space="preserve"> </w:t>
      </w:r>
      <w:r w:rsidRPr="006503C8">
        <w:t>illégitimes</w:t>
      </w:r>
      <w:r>
        <w:t xml:space="preserve"> </w:t>
      </w:r>
      <w:r w:rsidRPr="006503C8">
        <w:t>de</w:t>
      </w:r>
      <w:r>
        <w:t xml:space="preserve"> </w:t>
      </w:r>
      <w:r w:rsidRPr="006503C8">
        <w:t>la</w:t>
      </w:r>
      <w:r>
        <w:t xml:space="preserve"> </w:t>
      </w:r>
      <w:r w:rsidRPr="006503C8">
        <w:t>loi.</w:t>
      </w:r>
      <w:r>
        <w:t xml:space="preserve"> </w:t>
      </w:r>
      <w:r w:rsidRPr="006503C8">
        <w:t>En</w:t>
      </w:r>
      <w:r>
        <w:t xml:space="preserve"> </w:t>
      </w:r>
      <w:r w:rsidRPr="006503C8">
        <w:t>outre,</w:t>
      </w:r>
      <w:r>
        <w:t xml:space="preserve"> </w:t>
      </w:r>
      <w:r w:rsidRPr="006503C8">
        <w:t>toujours</w:t>
      </w:r>
      <w:r>
        <w:t xml:space="preserve"> </w:t>
      </w:r>
      <w:r w:rsidRPr="006503C8">
        <w:t>selon</w:t>
      </w:r>
      <w:r>
        <w:t xml:space="preserve"> </w:t>
      </w:r>
      <w:r w:rsidRPr="006503C8">
        <w:t>l</w:t>
      </w:r>
      <w:r w:rsidR="00CA2931">
        <w:t>’</w:t>
      </w:r>
      <w:r w:rsidRPr="006503C8">
        <w:t>État</w:t>
      </w:r>
      <w:r>
        <w:t xml:space="preserve"> </w:t>
      </w:r>
      <w:r w:rsidRPr="006503C8">
        <w:t>partie,</w:t>
      </w:r>
      <w:r>
        <w:t xml:space="preserve"> </w:t>
      </w:r>
      <w:r w:rsidRPr="006503C8">
        <w:t>l</w:t>
      </w:r>
      <w:r w:rsidR="00CA2931">
        <w:t>’</w:t>
      </w:r>
      <w:r w:rsidRPr="006503C8">
        <w:t>auteure</w:t>
      </w:r>
      <w:r>
        <w:t xml:space="preserve"> </w:t>
      </w:r>
      <w:r w:rsidRPr="006503C8">
        <w:t>a</w:t>
      </w:r>
      <w:r>
        <w:t xml:space="preserve"> </w:t>
      </w:r>
      <w:r w:rsidRPr="006503C8">
        <w:t>invoqué</w:t>
      </w:r>
      <w:r>
        <w:t xml:space="preserve"> </w:t>
      </w:r>
      <w:r w:rsidRPr="006503C8">
        <w:t>la</w:t>
      </w:r>
      <w:r>
        <w:t xml:space="preserve"> </w:t>
      </w:r>
      <w:r w:rsidRPr="006503C8">
        <w:t>jurisprudence</w:t>
      </w:r>
      <w:r>
        <w:t xml:space="preserve"> </w:t>
      </w:r>
      <w:r w:rsidRPr="006503C8">
        <w:t>de</w:t>
      </w:r>
      <w:r>
        <w:t xml:space="preserve"> </w:t>
      </w:r>
      <w:r w:rsidRPr="006503C8">
        <w:t>la</w:t>
      </w:r>
      <w:r>
        <w:t xml:space="preserve"> </w:t>
      </w:r>
      <w:r w:rsidRPr="006503C8">
        <w:t>Cour</w:t>
      </w:r>
      <w:r>
        <w:t xml:space="preserve"> </w:t>
      </w:r>
      <w:r w:rsidRPr="006503C8">
        <w:t>européenne</w:t>
      </w:r>
      <w:r>
        <w:t xml:space="preserve"> </w:t>
      </w:r>
      <w:r w:rsidRPr="006503C8">
        <w:t>des</w:t>
      </w:r>
      <w:r>
        <w:t xml:space="preserve"> </w:t>
      </w:r>
      <w:r w:rsidRPr="006503C8">
        <w:t>droits</w:t>
      </w:r>
      <w:r>
        <w:t xml:space="preserve"> </w:t>
      </w:r>
      <w:r w:rsidRPr="006503C8">
        <w:t>de</w:t>
      </w:r>
      <w:r>
        <w:t xml:space="preserve"> </w:t>
      </w:r>
      <w:r w:rsidRPr="006503C8">
        <w:t>l</w:t>
      </w:r>
      <w:r w:rsidR="00CA2931">
        <w:t>’</w:t>
      </w:r>
      <w:r w:rsidRPr="006503C8">
        <w:t>homme</w:t>
      </w:r>
      <w:r>
        <w:t xml:space="preserve"> </w:t>
      </w:r>
      <w:r w:rsidRPr="006503C8">
        <w:t>de</w:t>
      </w:r>
      <w:r>
        <w:t xml:space="preserve"> </w:t>
      </w:r>
      <w:r w:rsidRPr="006503C8">
        <w:t>manière</w:t>
      </w:r>
      <w:r>
        <w:t xml:space="preserve"> </w:t>
      </w:r>
      <w:r w:rsidRPr="006503C8">
        <w:t>sélective.</w:t>
      </w:r>
      <w:r>
        <w:t xml:space="preserve"> </w:t>
      </w:r>
      <w:r w:rsidRPr="006503C8">
        <w:t>L</w:t>
      </w:r>
      <w:r w:rsidR="00CA2931">
        <w:t>’</w:t>
      </w:r>
      <w:r w:rsidRPr="006503C8">
        <w:t>auteure</w:t>
      </w:r>
      <w:r>
        <w:t xml:space="preserve"> </w:t>
      </w:r>
      <w:r w:rsidRPr="006503C8">
        <w:t>soutient</w:t>
      </w:r>
      <w:r>
        <w:t xml:space="preserve"> </w:t>
      </w:r>
      <w:r w:rsidRPr="006503C8">
        <w:t>quant</w:t>
      </w:r>
      <w:r>
        <w:t xml:space="preserve"> </w:t>
      </w:r>
      <w:r w:rsidRPr="006503C8">
        <w:t>à</w:t>
      </w:r>
      <w:r>
        <w:t xml:space="preserve"> </w:t>
      </w:r>
      <w:r w:rsidRPr="006503C8">
        <w:t>elle</w:t>
      </w:r>
      <w:r>
        <w:t xml:space="preserve"> </w:t>
      </w:r>
      <w:r w:rsidRPr="006503C8">
        <w:t>que</w:t>
      </w:r>
      <w:r>
        <w:t xml:space="preserve"> </w:t>
      </w:r>
      <w:r w:rsidRPr="006503C8">
        <w:t>ses</w:t>
      </w:r>
      <w:r>
        <w:t xml:space="preserve"> </w:t>
      </w:r>
      <w:r w:rsidRPr="006503C8">
        <w:t>arguments</w:t>
      </w:r>
      <w:r>
        <w:t xml:space="preserve"> </w:t>
      </w:r>
      <w:r w:rsidRPr="006503C8">
        <w:t>et</w:t>
      </w:r>
      <w:r>
        <w:t xml:space="preserve"> </w:t>
      </w:r>
      <w:r w:rsidRPr="006503C8">
        <w:t>son</w:t>
      </w:r>
      <w:r>
        <w:t xml:space="preserve"> </w:t>
      </w:r>
      <w:r w:rsidRPr="006503C8">
        <w:t>interprétation</w:t>
      </w:r>
      <w:r>
        <w:t xml:space="preserve"> </w:t>
      </w:r>
      <w:r w:rsidRPr="006503C8">
        <w:t>de</w:t>
      </w:r>
      <w:r>
        <w:t xml:space="preserve"> </w:t>
      </w:r>
      <w:r w:rsidRPr="006503C8">
        <w:t>la</w:t>
      </w:r>
      <w:r>
        <w:t xml:space="preserve"> </w:t>
      </w:r>
      <w:r w:rsidRPr="006503C8">
        <w:t>loi</w:t>
      </w:r>
      <w:r>
        <w:t xml:space="preserve"> </w:t>
      </w:r>
      <w:r w:rsidRPr="006503C8">
        <w:t>ne</w:t>
      </w:r>
      <w:r>
        <w:t xml:space="preserve"> </w:t>
      </w:r>
      <w:r w:rsidRPr="006503C8">
        <w:t>devraient</w:t>
      </w:r>
      <w:r>
        <w:t xml:space="preserve"> </w:t>
      </w:r>
      <w:r w:rsidRPr="006503C8">
        <w:t>pas</w:t>
      </w:r>
      <w:r>
        <w:t xml:space="preserve"> </w:t>
      </w:r>
      <w:r w:rsidRPr="006503C8">
        <w:t>être</w:t>
      </w:r>
      <w:r>
        <w:t xml:space="preserve"> </w:t>
      </w:r>
      <w:r w:rsidRPr="006503C8">
        <w:t>considérés</w:t>
      </w:r>
      <w:r>
        <w:t xml:space="preserve"> </w:t>
      </w:r>
      <w:r w:rsidRPr="006503C8">
        <w:t>comme</w:t>
      </w:r>
      <w:r>
        <w:t xml:space="preserve"> </w:t>
      </w:r>
      <w:r w:rsidRPr="006503C8">
        <w:t>une</w:t>
      </w:r>
      <w:r>
        <w:t xml:space="preserve"> </w:t>
      </w:r>
      <w:r w:rsidRPr="006503C8">
        <w:t>tentative</w:t>
      </w:r>
      <w:r>
        <w:t xml:space="preserve"> </w:t>
      </w:r>
      <w:r w:rsidRPr="006503C8">
        <w:t>de</w:t>
      </w:r>
      <w:r>
        <w:t xml:space="preserve"> </w:t>
      </w:r>
      <w:r w:rsidRPr="006503C8">
        <w:t>tromper</w:t>
      </w:r>
      <w:r>
        <w:t xml:space="preserve"> </w:t>
      </w:r>
      <w:r w:rsidRPr="006503C8">
        <w:t>le</w:t>
      </w:r>
      <w:r>
        <w:t xml:space="preserve"> </w:t>
      </w:r>
      <w:r w:rsidRPr="006503C8">
        <w:t>Comité</w:t>
      </w:r>
      <w:r>
        <w:t xml:space="preserve"> </w:t>
      </w:r>
      <w:r w:rsidRPr="006503C8">
        <w:t>mais</w:t>
      </w:r>
      <w:r>
        <w:t xml:space="preserve"> </w:t>
      </w:r>
      <w:r w:rsidRPr="006503C8">
        <w:t>bien</w:t>
      </w:r>
      <w:r>
        <w:t xml:space="preserve"> </w:t>
      </w:r>
      <w:r w:rsidRPr="006503C8">
        <w:t>comme</w:t>
      </w:r>
      <w:r>
        <w:t xml:space="preserve"> </w:t>
      </w:r>
      <w:r w:rsidRPr="006503C8">
        <w:t>faisant</w:t>
      </w:r>
      <w:r>
        <w:t xml:space="preserve"> </w:t>
      </w:r>
      <w:r w:rsidRPr="006503C8">
        <w:t>partie</w:t>
      </w:r>
      <w:r>
        <w:t xml:space="preserve"> </w:t>
      </w:r>
      <w:r w:rsidRPr="006503C8">
        <w:t>intégrante</w:t>
      </w:r>
      <w:r>
        <w:t xml:space="preserve"> </w:t>
      </w:r>
      <w:r w:rsidRPr="006503C8">
        <w:t>du</w:t>
      </w:r>
      <w:r>
        <w:t xml:space="preserve"> </w:t>
      </w:r>
      <w:r w:rsidRPr="006503C8">
        <w:t>processus</w:t>
      </w:r>
      <w:r>
        <w:t xml:space="preserve"> </w:t>
      </w:r>
      <w:r w:rsidRPr="006503C8">
        <w:t>de</w:t>
      </w:r>
      <w:r>
        <w:t xml:space="preserve"> </w:t>
      </w:r>
      <w:r w:rsidRPr="006503C8">
        <w:t>résolution</w:t>
      </w:r>
      <w:r>
        <w:t xml:space="preserve"> </w:t>
      </w:r>
      <w:r w:rsidRPr="006503C8">
        <w:t>d</w:t>
      </w:r>
      <w:r w:rsidR="00CA2931">
        <w:t>’</w:t>
      </w:r>
      <w:r w:rsidRPr="006503C8">
        <w:t>un</w:t>
      </w:r>
      <w:r>
        <w:t xml:space="preserve"> </w:t>
      </w:r>
      <w:r w:rsidRPr="006503C8">
        <w:t>différend</w:t>
      </w:r>
      <w:r>
        <w:t xml:space="preserve"> </w:t>
      </w:r>
      <w:r w:rsidRPr="006503C8">
        <w:t>porté</w:t>
      </w:r>
      <w:r>
        <w:t xml:space="preserve"> </w:t>
      </w:r>
      <w:r w:rsidRPr="006503C8">
        <w:t>devant</w:t>
      </w:r>
      <w:r>
        <w:t xml:space="preserve"> </w:t>
      </w:r>
      <w:r w:rsidRPr="006503C8">
        <w:t>un</w:t>
      </w:r>
      <w:r>
        <w:t xml:space="preserve"> </w:t>
      </w:r>
      <w:r w:rsidRPr="006503C8">
        <w:t>tribunal</w:t>
      </w:r>
      <w:r>
        <w:t xml:space="preserve"> </w:t>
      </w:r>
      <w:r w:rsidRPr="006503C8">
        <w:t>impartial.</w:t>
      </w:r>
      <w:r>
        <w:t xml:space="preserve"> </w:t>
      </w:r>
      <w:r w:rsidRPr="006503C8">
        <w:t>Le</w:t>
      </w:r>
      <w:r>
        <w:t xml:space="preserve"> </w:t>
      </w:r>
      <w:r w:rsidRPr="006503C8">
        <w:t>Comité</w:t>
      </w:r>
      <w:r>
        <w:t xml:space="preserve"> </w:t>
      </w:r>
      <w:r w:rsidRPr="006503C8">
        <w:t>considère</w:t>
      </w:r>
      <w:r>
        <w:t xml:space="preserve"> </w:t>
      </w:r>
      <w:r w:rsidRPr="006503C8">
        <w:t>que</w:t>
      </w:r>
      <w:r>
        <w:t xml:space="preserve"> </w:t>
      </w:r>
      <w:r w:rsidRPr="006503C8">
        <w:t>les</w:t>
      </w:r>
      <w:r>
        <w:t xml:space="preserve"> </w:t>
      </w:r>
      <w:r w:rsidRPr="006503C8">
        <w:t>informations</w:t>
      </w:r>
      <w:r>
        <w:t xml:space="preserve"> </w:t>
      </w:r>
      <w:r w:rsidRPr="006503C8">
        <w:t>données</w:t>
      </w:r>
      <w:r>
        <w:t xml:space="preserve"> </w:t>
      </w:r>
      <w:r w:rsidRPr="006503C8">
        <w:t>par</w:t>
      </w:r>
      <w:r>
        <w:t xml:space="preserve"> </w:t>
      </w:r>
      <w:r w:rsidRPr="006503C8">
        <w:t>l</w:t>
      </w:r>
      <w:r w:rsidR="00CA2931">
        <w:t>’</w:t>
      </w:r>
      <w:r w:rsidRPr="006503C8">
        <w:t>auteure</w:t>
      </w:r>
      <w:r>
        <w:t xml:space="preserve"> </w:t>
      </w:r>
      <w:r w:rsidRPr="006503C8">
        <w:t>révèlent</w:t>
      </w:r>
      <w:r>
        <w:t xml:space="preserve"> </w:t>
      </w:r>
      <w:r w:rsidRPr="006503C8">
        <w:t>une</w:t>
      </w:r>
      <w:r>
        <w:t xml:space="preserve"> </w:t>
      </w:r>
      <w:r w:rsidRPr="006503C8">
        <w:t>différence</w:t>
      </w:r>
      <w:r>
        <w:t xml:space="preserve"> </w:t>
      </w:r>
      <w:r w:rsidRPr="006503C8">
        <w:t>d</w:t>
      </w:r>
      <w:r w:rsidR="00CA2931">
        <w:t>’</w:t>
      </w:r>
      <w:r w:rsidRPr="006503C8">
        <w:t>interprétation</w:t>
      </w:r>
      <w:r>
        <w:t xml:space="preserve"> </w:t>
      </w:r>
      <w:r w:rsidRPr="006503C8">
        <w:t>relative</w:t>
      </w:r>
      <w:r>
        <w:t xml:space="preserve"> </w:t>
      </w:r>
      <w:r w:rsidRPr="006503C8">
        <w:t>au</w:t>
      </w:r>
      <w:r>
        <w:t xml:space="preserve"> </w:t>
      </w:r>
      <w:r w:rsidRPr="006503C8">
        <w:t>champ</w:t>
      </w:r>
      <w:r>
        <w:t xml:space="preserve"> </w:t>
      </w:r>
      <w:r w:rsidRPr="006503C8">
        <w:t>d</w:t>
      </w:r>
      <w:r w:rsidR="00CA2931">
        <w:t>’</w:t>
      </w:r>
      <w:r w:rsidRPr="006503C8">
        <w:t>application</w:t>
      </w:r>
      <w:r>
        <w:t xml:space="preserve"> </w:t>
      </w:r>
      <w:r w:rsidRPr="006503C8">
        <w:t>de</w:t>
      </w:r>
      <w:r>
        <w:t xml:space="preserve"> </w:t>
      </w:r>
      <w:r w:rsidRPr="006503C8">
        <w:t>la</w:t>
      </w:r>
      <w:r>
        <w:t xml:space="preserve"> </w:t>
      </w:r>
      <w:r w:rsidRPr="006503C8">
        <w:t>loi</w:t>
      </w:r>
      <w:r>
        <w:t xml:space="preserve"> </w:t>
      </w:r>
      <w:r w:rsidRPr="006503C8">
        <w:t>et</w:t>
      </w:r>
      <w:r>
        <w:t xml:space="preserve"> </w:t>
      </w:r>
      <w:r w:rsidRPr="006503C8">
        <w:t>ne</w:t>
      </w:r>
      <w:r>
        <w:t xml:space="preserve"> </w:t>
      </w:r>
      <w:r w:rsidRPr="006503C8">
        <w:t>peuvent</w:t>
      </w:r>
      <w:r>
        <w:t xml:space="preserve"> </w:t>
      </w:r>
      <w:r w:rsidRPr="006503C8">
        <w:t>être</w:t>
      </w:r>
      <w:r>
        <w:t xml:space="preserve"> </w:t>
      </w:r>
      <w:r w:rsidRPr="006503C8">
        <w:t>considérées</w:t>
      </w:r>
      <w:r>
        <w:t xml:space="preserve"> </w:t>
      </w:r>
      <w:r w:rsidRPr="006503C8">
        <w:t>comme</w:t>
      </w:r>
      <w:r>
        <w:t xml:space="preserve"> </w:t>
      </w:r>
      <w:r w:rsidRPr="006503C8">
        <w:t>un</w:t>
      </w:r>
      <w:r>
        <w:t xml:space="preserve"> </w:t>
      </w:r>
      <w:r w:rsidRPr="006503C8">
        <w:t>abus</w:t>
      </w:r>
      <w:r>
        <w:t xml:space="preserve"> </w:t>
      </w:r>
      <w:r w:rsidRPr="006503C8">
        <w:t>du</w:t>
      </w:r>
      <w:r>
        <w:t xml:space="preserve"> </w:t>
      </w:r>
      <w:r w:rsidRPr="006503C8">
        <w:t>droit</w:t>
      </w:r>
      <w:r>
        <w:t xml:space="preserve"> </w:t>
      </w:r>
      <w:r w:rsidRPr="006503C8">
        <w:t>de</w:t>
      </w:r>
      <w:r>
        <w:t xml:space="preserve"> </w:t>
      </w:r>
      <w:r w:rsidRPr="006503C8">
        <w:t>présenter</w:t>
      </w:r>
      <w:r>
        <w:t xml:space="preserve"> </w:t>
      </w:r>
      <w:r w:rsidRPr="006503C8">
        <w:t>des</w:t>
      </w:r>
      <w:r>
        <w:t xml:space="preserve"> </w:t>
      </w:r>
      <w:r w:rsidRPr="006503C8">
        <w:t>communications.</w:t>
      </w:r>
    </w:p>
    <w:p w14:paraId="03CA5DBD" w14:textId="77777777" w:rsidR="00765853" w:rsidRPr="006503C8" w:rsidRDefault="00765853" w:rsidP="00765853">
      <w:pPr>
        <w:pStyle w:val="SingleTxtG"/>
      </w:pPr>
      <w:r w:rsidRPr="006503C8">
        <w:t>7.5</w:t>
      </w:r>
      <w:r w:rsidRPr="006503C8">
        <w:tab/>
        <w:t>S</w:t>
      </w:r>
      <w:r w:rsidR="00CA2931">
        <w:t>’</w:t>
      </w:r>
      <w:r w:rsidRPr="006503C8">
        <w:t>agissant</w:t>
      </w:r>
      <w:r>
        <w:t xml:space="preserve"> </w:t>
      </w:r>
      <w:r w:rsidRPr="006503C8">
        <w:t>de</w:t>
      </w:r>
      <w:r>
        <w:t xml:space="preserve"> </w:t>
      </w:r>
      <w:r w:rsidRPr="006503C8">
        <w:t>l</w:t>
      </w:r>
      <w:r w:rsidR="00CA2931">
        <w:t>’</w:t>
      </w:r>
      <w:r w:rsidRPr="006503C8">
        <w:t>argument</w:t>
      </w:r>
      <w:r>
        <w:t xml:space="preserve"> </w:t>
      </w:r>
      <w:r w:rsidRPr="006503C8">
        <w:t>de</w:t>
      </w:r>
      <w:r>
        <w:t xml:space="preserve"> </w:t>
      </w:r>
      <w:r w:rsidRPr="006503C8">
        <w:t>l</w:t>
      </w:r>
      <w:r w:rsidR="00CA2931">
        <w:t>’</w:t>
      </w:r>
      <w:r w:rsidRPr="006503C8">
        <w:t>État</w:t>
      </w:r>
      <w:r>
        <w:t xml:space="preserve"> </w:t>
      </w:r>
      <w:r w:rsidRPr="006503C8">
        <w:t>partie,</w:t>
      </w:r>
      <w:r>
        <w:t xml:space="preserve"> </w:t>
      </w:r>
      <w:r w:rsidRPr="006503C8">
        <w:t>selon</w:t>
      </w:r>
      <w:r>
        <w:t xml:space="preserve"> </w:t>
      </w:r>
      <w:r w:rsidRPr="006503C8">
        <w:t>lequel</w:t>
      </w:r>
      <w:r>
        <w:t xml:space="preserve"> </w:t>
      </w:r>
      <w:r w:rsidRPr="006503C8">
        <w:t>l</w:t>
      </w:r>
      <w:r w:rsidR="00CA2931">
        <w:t>’</w:t>
      </w:r>
      <w:r w:rsidRPr="006503C8">
        <w:t>auteure</w:t>
      </w:r>
      <w:r>
        <w:t xml:space="preserve"> </w:t>
      </w:r>
      <w:r w:rsidRPr="006503C8">
        <w:t>n</w:t>
      </w:r>
      <w:r w:rsidR="00CA2931">
        <w:t>’</w:t>
      </w:r>
      <w:r w:rsidRPr="006503C8">
        <w:t>a</w:t>
      </w:r>
      <w:r>
        <w:t xml:space="preserve"> </w:t>
      </w:r>
      <w:r w:rsidRPr="006503C8">
        <w:t>pas</w:t>
      </w:r>
      <w:r>
        <w:t xml:space="preserve"> </w:t>
      </w:r>
      <w:r w:rsidRPr="006503C8">
        <w:t>pu</w:t>
      </w:r>
      <w:r>
        <w:t xml:space="preserve"> </w:t>
      </w:r>
      <w:r w:rsidRPr="006503C8">
        <w:t>établir</w:t>
      </w:r>
      <w:r>
        <w:t xml:space="preserve"> </w:t>
      </w:r>
      <w:r w:rsidRPr="006503C8">
        <w:t>sa</w:t>
      </w:r>
      <w:r>
        <w:t xml:space="preserve"> </w:t>
      </w:r>
      <w:r w:rsidRPr="006503C8">
        <w:t>qualité</w:t>
      </w:r>
      <w:r>
        <w:t xml:space="preserve"> </w:t>
      </w:r>
      <w:r w:rsidRPr="006503C8">
        <w:t>de</w:t>
      </w:r>
      <w:r>
        <w:t xml:space="preserve"> </w:t>
      </w:r>
      <w:r w:rsidRPr="006503C8">
        <w:t>«</w:t>
      </w:r>
      <w:r>
        <w:t> </w:t>
      </w:r>
      <w:r w:rsidRPr="006503C8">
        <w:t>victime</w:t>
      </w:r>
      <w:r>
        <w:t> </w:t>
      </w:r>
      <w:r w:rsidRPr="006503C8">
        <w:t>»</w:t>
      </w:r>
      <w:r>
        <w:t xml:space="preserve"> </w:t>
      </w:r>
      <w:r w:rsidRPr="006503C8">
        <w:t>au</w:t>
      </w:r>
      <w:r>
        <w:t xml:space="preserve"> </w:t>
      </w:r>
      <w:r w:rsidRPr="006503C8">
        <w:t>sens</w:t>
      </w:r>
      <w:r>
        <w:t xml:space="preserve"> </w:t>
      </w:r>
      <w:r w:rsidRPr="006503C8">
        <w:t>de</w:t>
      </w:r>
      <w:r>
        <w:t xml:space="preserve"> </w:t>
      </w:r>
      <w:r w:rsidRPr="006503C8">
        <w:t>l</w:t>
      </w:r>
      <w:r w:rsidR="00CA2931">
        <w:t>’</w:t>
      </w:r>
      <w:r w:rsidRPr="006503C8">
        <w:t>article</w:t>
      </w:r>
      <w:r>
        <w:t xml:space="preserve"> </w:t>
      </w:r>
      <w:r w:rsidRPr="006503C8">
        <w:t>premier</w:t>
      </w:r>
      <w:r>
        <w:t xml:space="preserve"> </w:t>
      </w:r>
      <w:r w:rsidRPr="006503C8">
        <w:t>du</w:t>
      </w:r>
      <w:r>
        <w:t xml:space="preserve"> </w:t>
      </w:r>
      <w:r w:rsidRPr="006503C8">
        <w:t>Protocole</w:t>
      </w:r>
      <w:r>
        <w:t xml:space="preserve"> </w:t>
      </w:r>
      <w:r w:rsidRPr="006503C8">
        <w:t>facultatif,</w:t>
      </w:r>
      <w:r>
        <w:t xml:space="preserve"> </w:t>
      </w:r>
      <w:r w:rsidRPr="006503C8">
        <w:t>le</w:t>
      </w:r>
      <w:r>
        <w:t xml:space="preserve"> </w:t>
      </w:r>
      <w:r w:rsidRPr="006503C8">
        <w:t>Comité</w:t>
      </w:r>
      <w:r>
        <w:t xml:space="preserve"> </w:t>
      </w:r>
      <w:r w:rsidRPr="006503C8">
        <w:t>rappelle</w:t>
      </w:r>
      <w:r>
        <w:t xml:space="preserve"> </w:t>
      </w:r>
      <w:r w:rsidRPr="006503C8">
        <w:t>qu</w:t>
      </w:r>
      <w:r w:rsidR="00CA2931">
        <w:t>’</w:t>
      </w:r>
      <w:r w:rsidRPr="006503C8">
        <w:t>une</w:t>
      </w:r>
      <w:r>
        <w:t xml:space="preserve"> </w:t>
      </w:r>
      <w:r w:rsidRPr="006503C8">
        <w:t>personne</w:t>
      </w:r>
      <w:r>
        <w:t xml:space="preserve"> </w:t>
      </w:r>
      <w:r w:rsidRPr="006503C8">
        <w:t>ne</w:t>
      </w:r>
      <w:r>
        <w:t xml:space="preserve"> </w:t>
      </w:r>
      <w:r w:rsidRPr="006503C8">
        <w:t>peut</w:t>
      </w:r>
      <w:r>
        <w:t xml:space="preserve"> </w:t>
      </w:r>
      <w:r w:rsidRPr="006503C8">
        <w:t>se</w:t>
      </w:r>
      <w:r>
        <w:t xml:space="preserve"> </w:t>
      </w:r>
      <w:r w:rsidRPr="006503C8">
        <w:t>prétendre</w:t>
      </w:r>
      <w:r>
        <w:t xml:space="preserve"> </w:t>
      </w:r>
      <w:r w:rsidRPr="006503C8">
        <w:t>victime</w:t>
      </w:r>
      <w:r>
        <w:t xml:space="preserve"> </w:t>
      </w:r>
      <w:r w:rsidRPr="006503C8">
        <w:t>au</w:t>
      </w:r>
      <w:r>
        <w:t xml:space="preserve"> </w:t>
      </w:r>
      <w:r w:rsidRPr="006503C8">
        <w:t>sens</w:t>
      </w:r>
      <w:r>
        <w:t xml:space="preserve"> </w:t>
      </w:r>
      <w:r w:rsidRPr="006503C8">
        <w:t>de</w:t>
      </w:r>
      <w:r>
        <w:t xml:space="preserve"> </w:t>
      </w:r>
      <w:r w:rsidRPr="006503C8">
        <w:t>l</w:t>
      </w:r>
      <w:r w:rsidR="00CA2931">
        <w:t>’</w:t>
      </w:r>
      <w:r w:rsidRPr="006503C8">
        <w:t>article</w:t>
      </w:r>
      <w:r>
        <w:t xml:space="preserve"> </w:t>
      </w:r>
      <w:r w:rsidRPr="006503C8">
        <w:t>premier</w:t>
      </w:r>
      <w:r>
        <w:t xml:space="preserve"> </w:t>
      </w:r>
      <w:r w:rsidRPr="006503C8">
        <w:t>du</w:t>
      </w:r>
      <w:r>
        <w:t xml:space="preserve"> </w:t>
      </w:r>
      <w:r w:rsidRPr="006503C8">
        <w:t>Protocole</w:t>
      </w:r>
      <w:r>
        <w:t xml:space="preserve"> </w:t>
      </w:r>
      <w:r w:rsidRPr="006503C8">
        <w:lastRenderedPageBreak/>
        <w:t>facultatif</w:t>
      </w:r>
      <w:r>
        <w:t xml:space="preserve"> </w:t>
      </w:r>
      <w:r w:rsidRPr="006503C8">
        <w:t>que</w:t>
      </w:r>
      <w:r>
        <w:t xml:space="preserve"> </w:t>
      </w:r>
      <w:r w:rsidRPr="006503C8">
        <w:t>si</w:t>
      </w:r>
      <w:r>
        <w:t xml:space="preserve"> </w:t>
      </w:r>
      <w:r w:rsidRPr="006503C8">
        <w:t>ses</w:t>
      </w:r>
      <w:r>
        <w:t xml:space="preserve"> </w:t>
      </w:r>
      <w:r w:rsidRPr="006503C8">
        <w:t>droits</w:t>
      </w:r>
      <w:r>
        <w:t xml:space="preserve"> </w:t>
      </w:r>
      <w:r w:rsidRPr="006503C8">
        <w:t>ont</w:t>
      </w:r>
      <w:r>
        <w:t xml:space="preserve"> </w:t>
      </w:r>
      <w:r w:rsidRPr="006503C8">
        <w:t>effectivement</w:t>
      </w:r>
      <w:r>
        <w:t xml:space="preserve"> </w:t>
      </w:r>
      <w:r w:rsidRPr="006503C8">
        <w:t>été</w:t>
      </w:r>
      <w:r>
        <w:t xml:space="preserve"> </w:t>
      </w:r>
      <w:r w:rsidRPr="006503C8">
        <w:t>bafoués,</w:t>
      </w:r>
      <w:r>
        <w:t xml:space="preserve"> </w:t>
      </w:r>
      <w:r w:rsidRPr="006503C8">
        <w:t>et</w:t>
      </w:r>
      <w:r>
        <w:t xml:space="preserve"> </w:t>
      </w:r>
      <w:r w:rsidRPr="006503C8">
        <w:t>que</w:t>
      </w:r>
      <w:r>
        <w:t xml:space="preserve"> </w:t>
      </w:r>
      <w:r w:rsidRPr="006503C8">
        <w:t>nul</w:t>
      </w:r>
      <w:r>
        <w:t xml:space="preserve"> </w:t>
      </w:r>
      <w:r w:rsidRPr="006503C8">
        <w:t>ne</w:t>
      </w:r>
      <w:r>
        <w:t xml:space="preserve"> </w:t>
      </w:r>
      <w:r w:rsidRPr="006503C8">
        <w:t>peut</w:t>
      </w:r>
      <w:r>
        <w:t xml:space="preserve"> </w:t>
      </w:r>
      <w:r w:rsidRPr="006503C8">
        <w:t>dans</w:t>
      </w:r>
      <w:r>
        <w:t xml:space="preserve"> </w:t>
      </w:r>
      <w:r w:rsidRPr="006503C8">
        <w:t>l</w:t>
      </w:r>
      <w:r w:rsidR="00CA2931">
        <w:t>’</w:t>
      </w:r>
      <w:r w:rsidRPr="006503C8">
        <w:t>abstrait</w:t>
      </w:r>
      <w:r>
        <w:t xml:space="preserve"> </w:t>
      </w:r>
      <w:r w:rsidRPr="006503C8">
        <w:t>et</w:t>
      </w:r>
      <w:r>
        <w:t xml:space="preserve"> </w:t>
      </w:r>
      <w:r w:rsidRPr="006503C8">
        <w:t>par</w:t>
      </w:r>
      <w:r>
        <w:t xml:space="preserve"> </w:t>
      </w:r>
      <w:r w:rsidRPr="006503C8">
        <w:t>voie</w:t>
      </w:r>
      <w:r>
        <w:t xml:space="preserve"> </w:t>
      </w:r>
      <w:r w:rsidRPr="006503C8">
        <w:t>d</w:t>
      </w:r>
      <w:r w:rsidR="00CA2931">
        <w:t>’</w:t>
      </w:r>
      <w:r w:rsidRPr="006503C8">
        <w:rPr>
          <w:i/>
        </w:rPr>
        <w:t>actio</w:t>
      </w:r>
      <w:r>
        <w:rPr>
          <w:i/>
        </w:rPr>
        <w:t xml:space="preserve"> </w:t>
      </w:r>
      <w:r w:rsidRPr="006503C8">
        <w:rPr>
          <w:i/>
        </w:rPr>
        <w:t>popularis</w:t>
      </w:r>
      <w:r>
        <w:rPr>
          <w:i/>
        </w:rPr>
        <w:t xml:space="preserve"> </w:t>
      </w:r>
      <w:r w:rsidRPr="006503C8">
        <w:t>contester</w:t>
      </w:r>
      <w:r>
        <w:t xml:space="preserve"> </w:t>
      </w:r>
      <w:r w:rsidRPr="006503C8">
        <w:t>une</w:t>
      </w:r>
      <w:r>
        <w:t xml:space="preserve"> </w:t>
      </w:r>
      <w:r w:rsidRPr="006503C8">
        <w:t>loi</w:t>
      </w:r>
      <w:r>
        <w:t xml:space="preserve"> </w:t>
      </w:r>
      <w:r w:rsidRPr="006503C8">
        <w:t>ou</w:t>
      </w:r>
      <w:r>
        <w:t xml:space="preserve"> </w:t>
      </w:r>
      <w:r w:rsidRPr="006503C8">
        <w:t>une</w:t>
      </w:r>
      <w:r>
        <w:t xml:space="preserve"> </w:t>
      </w:r>
      <w:r w:rsidRPr="006503C8">
        <w:t>pratique,</w:t>
      </w:r>
      <w:r>
        <w:t xml:space="preserve"> </w:t>
      </w:r>
      <w:r w:rsidRPr="006503C8">
        <w:t>d</w:t>
      </w:r>
      <w:r w:rsidR="00CA2931">
        <w:t>’</w:t>
      </w:r>
      <w:r w:rsidRPr="006503C8">
        <w:t>après</w:t>
      </w:r>
      <w:r>
        <w:t xml:space="preserve"> </w:t>
      </w:r>
      <w:r w:rsidRPr="006503C8">
        <w:t>lui</w:t>
      </w:r>
      <w:r>
        <w:t xml:space="preserve"> </w:t>
      </w:r>
      <w:r w:rsidRPr="006503C8">
        <w:t>contraire</w:t>
      </w:r>
      <w:r>
        <w:t xml:space="preserve"> </w:t>
      </w:r>
      <w:r w:rsidRPr="006503C8">
        <w:t>au</w:t>
      </w:r>
      <w:r>
        <w:t xml:space="preserve"> </w:t>
      </w:r>
      <w:r w:rsidRPr="006503C8">
        <w:t>Pacte.</w:t>
      </w:r>
      <w:r>
        <w:t xml:space="preserve"> </w:t>
      </w:r>
      <w:r w:rsidRPr="006503C8">
        <w:t>Cependant,</w:t>
      </w:r>
      <w:r>
        <w:t xml:space="preserve"> </w:t>
      </w:r>
      <w:r w:rsidRPr="006503C8">
        <w:t>le</w:t>
      </w:r>
      <w:r>
        <w:t xml:space="preserve"> </w:t>
      </w:r>
      <w:r w:rsidRPr="006503C8">
        <w:t>Comité</w:t>
      </w:r>
      <w:r>
        <w:t xml:space="preserve"> </w:t>
      </w:r>
      <w:r w:rsidRPr="006503C8">
        <w:t>est</w:t>
      </w:r>
      <w:r>
        <w:t xml:space="preserve"> </w:t>
      </w:r>
      <w:r w:rsidRPr="006503C8">
        <w:t>d</w:t>
      </w:r>
      <w:r w:rsidR="00CA2931">
        <w:t>’</w:t>
      </w:r>
      <w:r w:rsidRPr="006503C8">
        <w:t>avis</w:t>
      </w:r>
      <w:r>
        <w:t xml:space="preserve"> </w:t>
      </w:r>
      <w:r w:rsidRPr="006503C8">
        <w:t>que,</w:t>
      </w:r>
      <w:r>
        <w:t xml:space="preserve"> </w:t>
      </w:r>
      <w:r w:rsidRPr="006503C8">
        <w:t>par</w:t>
      </w:r>
      <w:r>
        <w:t xml:space="preserve"> </w:t>
      </w:r>
      <w:r w:rsidRPr="006503C8">
        <w:t>ses</w:t>
      </w:r>
      <w:r>
        <w:t xml:space="preserve"> </w:t>
      </w:r>
      <w:r w:rsidRPr="006503C8">
        <w:t>arguments</w:t>
      </w:r>
      <w:r>
        <w:t xml:space="preserve"> </w:t>
      </w:r>
      <w:r w:rsidRPr="006503C8">
        <w:t>relatifs</w:t>
      </w:r>
      <w:r>
        <w:t xml:space="preserve"> </w:t>
      </w:r>
      <w:r w:rsidRPr="006503C8">
        <w:t>au</w:t>
      </w:r>
      <w:r>
        <w:t xml:space="preserve"> </w:t>
      </w:r>
      <w:r w:rsidRPr="006503C8">
        <w:t>degré</w:t>
      </w:r>
      <w:r>
        <w:t xml:space="preserve"> </w:t>
      </w:r>
      <w:r w:rsidRPr="006503C8">
        <w:t>de</w:t>
      </w:r>
      <w:r>
        <w:t xml:space="preserve"> </w:t>
      </w:r>
      <w:r w:rsidRPr="006503C8">
        <w:t>précision</w:t>
      </w:r>
      <w:r>
        <w:t xml:space="preserve"> </w:t>
      </w:r>
      <w:r w:rsidRPr="006503C8">
        <w:t>et</w:t>
      </w:r>
      <w:r>
        <w:t xml:space="preserve"> </w:t>
      </w:r>
      <w:r w:rsidRPr="006503C8">
        <w:t>de</w:t>
      </w:r>
      <w:r>
        <w:t xml:space="preserve"> </w:t>
      </w:r>
      <w:r w:rsidRPr="006503C8">
        <w:t>prévisibilité</w:t>
      </w:r>
      <w:r>
        <w:t xml:space="preserve"> </w:t>
      </w:r>
      <w:r w:rsidRPr="006503C8">
        <w:t>de</w:t>
      </w:r>
      <w:r>
        <w:t xml:space="preserve"> </w:t>
      </w:r>
      <w:r w:rsidRPr="006503C8">
        <w:t>la</w:t>
      </w:r>
      <w:r>
        <w:t xml:space="preserve"> </w:t>
      </w:r>
      <w:r w:rsidRPr="006503C8">
        <w:t>loi,</w:t>
      </w:r>
      <w:r>
        <w:t xml:space="preserve"> </w:t>
      </w:r>
      <w:r w:rsidRPr="006503C8">
        <w:t>l</w:t>
      </w:r>
      <w:r w:rsidR="00CA2931">
        <w:t>’</w:t>
      </w:r>
      <w:r w:rsidRPr="006503C8">
        <w:t>auteure</w:t>
      </w:r>
      <w:r>
        <w:t xml:space="preserve"> </w:t>
      </w:r>
      <w:r w:rsidRPr="006503C8">
        <w:t>ne</w:t>
      </w:r>
      <w:r>
        <w:t xml:space="preserve"> </w:t>
      </w:r>
      <w:r w:rsidRPr="006503C8">
        <w:t>conteste</w:t>
      </w:r>
      <w:r>
        <w:t xml:space="preserve"> </w:t>
      </w:r>
      <w:r w:rsidRPr="006503C8">
        <w:t>pas</w:t>
      </w:r>
      <w:r>
        <w:t xml:space="preserve"> </w:t>
      </w:r>
      <w:r w:rsidRPr="006503C8">
        <w:t>la</w:t>
      </w:r>
      <w:r>
        <w:t xml:space="preserve"> </w:t>
      </w:r>
      <w:r w:rsidRPr="006503C8">
        <w:t>loi</w:t>
      </w:r>
      <w:r>
        <w:t xml:space="preserve"> </w:t>
      </w:r>
      <w:r w:rsidRPr="006503C8">
        <w:t>dans</w:t>
      </w:r>
      <w:r>
        <w:t xml:space="preserve"> </w:t>
      </w:r>
      <w:r w:rsidRPr="006503C8">
        <w:t>l</w:t>
      </w:r>
      <w:r w:rsidR="00CA2931">
        <w:t>’</w:t>
      </w:r>
      <w:r w:rsidRPr="006503C8">
        <w:t>abstrait,</w:t>
      </w:r>
      <w:r>
        <w:t xml:space="preserve"> </w:t>
      </w:r>
      <w:r w:rsidRPr="006503C8">
        <w:t>mais</w:t>
      </w:r>
      <w:r>
        <w:t xml:space="preserve"> </w:t>
      </w:r>
      <w:r w:rsidRPr="006503C8">
        <w:t>bien</w:t>
      </w:r>
      <w:r>
        <w:t xml:space="preserve"> </w:t>
      </w:r>
      <w:r w:rsidRPr="006503C8">
        <w:t>la</w:t>
      </w:r>
      <w:r>
        <w:t xml:space="preserve"> </w:t>
      </w:r>
      <w:r w:rsidRPr="006503C8">
        <w:t>façon</w:t>
      </w:r>
      <w:r>
        <w:t xml:space="preserve"> </w:t>
      </w:r>
      <w:r w:rsidRPr="006503C8">
        <w:t>dont</w:t>
      </w:r>
      <w:r>
        <w:t xml:space="preserve"> </w:t>
      </w:r>
      <w:r w:rsidRPr="006503C8">
        <w:t>celle-ci</w:t>
      </w:r>
      <w:r>
        <w:t xml:space="preserve"> </w:t>
      </w:r>
      <w:r w:rsidRPr="006503C8">
        <w:t>lui</w:t>
      </w:r>
      <w:r>
        <w:t xml:space="preserve"> </w:t>
      </w:r>
      <w:r w:rsidRPr="006503C8">
        <w:t>a</w:t>
      </w:r>
      <w:r>
        <w:t xml:space="preserve"> </w:t>
      </w:r>
      <w:r w:rsidRPr="006503C8">
        <w:t>été</w:t>
      </w:r>
      <w:r>
        <w:t xml:space="preserve"> </w:t>
      </w:r>
      <w:r w:rsidRPr="006503C8">
        <w:t>appliquée,</w:t>
      </w:r>
      <w:r>
        <w:t xml:space="preserve"> </w:t>
      </w:r>
      <w:r w:rsidRPr="006503C8">
        <w:t>en</w:t>
      </w:r>
      <w:r>
        <w:t xml:space="preserve"> </w:t>
      </w:r>
      <w:r w:rsidRPr="006503C8">
        <w:t>particulier</w:t>
      </w:r>
      <w:r>
        <w:t xml:space="preserve"> </w:t>
      </w:r>
      <w:r w:rsidRPr="006503C8">
        <w:t>en</w:t>
      </w:r>
      <w:r>
        <w:t xml:space="preserve"> </w:t>
      </w:r>
      <w:r w:rsidRPr="006503C8">
        <w:t>ce</w:t>
      </w:r>
      <w:r>
        <w:t xml:space="preserve"> </w:t>
      </w:r>
      <w:r w:rsidRPr="006503C8">
        <w:t>qui</w:t>
      </w:r>
      <w:r>
        <w:t xml:space="preserve"> </w:t>
      </w:r>
      <w:r w:rsidRPr="006503C8">
        <w:t>concerne</w:t>
      </w:r>
      <w:r>
        <w:t xml:space="preserve"> </w:t>
      </w:r>
      <w:r w:rsidRPr="006503C8">
        <w:t>la</w:t>
      </w:r>
      <w:r>
        <w:t xml:space="preserve"> </w:t>
      </w:r>
      <w:r w:rsidRPr="006503C8">
        <w:t>question</w:t>
      </w:r>
      <w:r>
        <w:t xml:space="preserve"> </w:t>
      </w:r>
      <w:r w:rsidRPr="006503C8">
        <w:t>de</w:t>
      </w:r>
      <w:r>
        <w:t xml:space="preserve"> </w:t>
      </w:r>
      <w:r w:rsidRPr="006503C8">
        <w:t>savoir</w:t>
      </w:r>
      <w:r>
        <w:t xml:space="preserve"> </w:t>
      </w:r>
      <w:r w:rsidRPr="006503C8">
        <w:t>si</w:t>
      </w:r>
      <w:r>
        <w:t xml:space="preserve"> </w:t>
      </w:r>
      <w:r w:rsidRPr="006503C8">
        <w:t>la</w:t>
      </w:r>
      <w:r>
        <w:t xml:space="preserve"> </w:t>
      </w:r>
      <w:r w:rsidRPr="006503C8">
        <w:t>restriction</w:t>
      </w:r>
      <w:r>
        <w:t xml:space="preserve"> </w:t>
      </w:r>
      <w:r w:rsidRPr="006503C8">
        <w:t>alléguée</w:t>
      </w:r>
      <w:r>
        <w:t xml:space="preserve"> </w:t>
      </w:r>
      <w:r w:rsidRPr="006503C8">
        <w:t>était</w:t>
      </w:r>
      <w:r>
        <w:t xml:space="preserve"> </w:t>
      </w:r>
      <w:r w:rsidRPr="006503C8">
        <w:t>prévue</w:t>
      </w:r>
      <w:r>
        <w:t xml:space="preserve"> </w:t>
      </w:r>
      <w:r w:rsidRPr="006503C8">
        <w:t>par</w:t>
      </w:r>
      <w:r>
        <w:t xml:space="preserve"> </w:t>
      </w:r>
      <w:r w:rsidRPr="006503C8">
        <w:t>la</w:t>
      </w:r>
      <w:r>
        <w:t xml:space="preserve"> </w:t>
      </w:r>
      <w:r w:rsidRPr="006503C8">
        <w:t>loi.</w:t>
      </w:r>
      <w:r>
        <w:t xml:space="preserve"> </w:t>
      </w:r>
      <w:r w:rsidRPr="006503C8">
        <w:t>En</w:t>
      </w:r>
      <w:r>
        <w:t xml:space="preserve"> </w:t>
      </w:r>
      <w:r w:rsidRPr="006503C8">
        <w:t>conséquence,</w:t>
      </w:r>
      <w:r>
        <w:t xml:space="preserve"> </w:t>
      </w:r>
      <w:r w:rsidRPr="006503C8">
        <w:t>le</w:t>
      </w:r>
      <w:r>
        <w:t xml:space="preserve"> </w:t>
      </w:r>
      <w:r w:rsidRPr="006503C8">
        <w:t>Comité</w:t>
      </w:r>
      <w:r>
        <w:t xml:space="preserve"> </w:t>
      </w:r>
      <w:r w:rsidRPr="006503C8">
        <w:t>conclut</w:t>
      </w:r>
      <w:r>
        <w:t xml:space="preserve"> </w:t>
      </w:r>
      <w:r w:rsidRPr="006503C8">
        <w:t>que</w:t>
      </w:r>
      <w:r>
        <w:t xml:space="preserve"> </w:t>
      </w:r>
      <w:r w:rsidRPr="006503C8">
        <w:t>l</w:t>
      </w:r>
      <w:r w:rsidR="00CA2931">
        <w:t>’</w:t>
      </w:r>
      <w:r w:rsidRPr="006503C8">
        <w:t>auteure</w:t>
      </w:r>
      <w:r>
        <w:t xml:space="preserve"> </w:t>
      </w:r>
      <w:r w:rsidRPr="006503C8">
        <w:t>a</w:t>
      </w:r>
      <w:r>
        <w:t xml:space="preserve"> </w:t>
      </w:r>
      <w:r w:rsidRPr="006503C8">
        <w:t>démontré</w:t>
      </w:r>
      <w:r>
        <w:t xml:space="preserve"> </w:t>
      </w:r>
      <w:r w:rsidRPr="006503C8">
        <w:t>qu</w:t>
      </w:r>
      <w:r w:rsidR="00CA2931">
        <w:t>’</w:t>
      </w:r>
      <w:r w:rsidRPr="006503C8">
        <w:t>elle</w:t>
      </w:r>
      <w:r>
        <w:t xml:space="preserve"> </w:t>
      </w:r>
      <w:r w:rsidRPr="006503C8">
        <w:t>avait</w:t>
      </w:r>
      <w:r>
        <w:t xml:space="preserve"> </w:t>
      </w:r>
      <w:r w:rsidRPr="006503C8">
        <w:t>suffisamment</w:t>
      </w:r>
      <w:r>
        <w:t xml:space="preserve"> </w:t>
      </w:r>
      <w:r w:rsidRPr="006503C8">
        <w:t>qualité</w:t>
      </w:r>
      <w:r>
        <w:t xml:space="preserve"> </w:t>
      </w:r>
      <w:r w:rsidRPr="006503C8">
        <w:t>pour</w:t>
      </w:r>
      <w:r>
        <w:t xml:space="preserve"> </w:t>
      </w:r>
      <w:r w:rsidRPr="006503C8">
        <w:t>agir,</w:t>
      </w:r>
      <w:r>
        <w:t xml:space="preserve"> </w:t>
      </w:r>
      <w:r w:rsidRPr="006503C8">
        <w:t>en</w:t>
      </w:r>
      <w:r>
        <w:t xml:space="preserve"> </w:t>
      </w:r>
      <w:r w:rsidRPr="006503C8">
        <w:t>ce</w:t>
      </w:r>
      <w:r>
        <w:t xml:space="preserve"> </w:t>
      </w:r>
      <w:r w:rsidRPr="006503C8">
        <w:t>sens</w:t>
      </w:r>
      <w:r>
        <w:t xml:space="preserve"> </w:t>
      </w:r>
      <w:r w:rsidRPr="006503C8">
        <w:t>qu</w:t>
      </w:r>
      <w:r w:rsidR="00CA2931">
        <w:t>’</w:t>
      </w:r>
      <w:r w:rsidRPr="006503C8">
        <w:t>elle</w:t>
      </w:r>
      <w:r>
        <w:t xml:space="preserve"> </w:t>
      </w:r>
      <w:r w:rsidRPr="006503C8">
        <w:t>a</w:t>
      </w:r>
      <w:r>
        <w:t xml:space="preserve"> </w:t>
      </w:r>
      <w:r w:rsidRPr="006503C8">
        <w:t>suffisamment</w:t>
      </w:r>
      <w:r>
        <w:t xml:space="preserve"> </w:t>
      </w:r>
      <w:r w:rsidRPr="006503C8">
        <w:t>étayé,</w:t>
      </w:r>
      <w:r>
        <w:t xml:space="preserve"> </w:t>
      </w:r>
      <w:r w:rsidRPr="006503C8">
        <w:t>aux</w:t>
      </w:r>
      <w:r>
        <w:t xml:space="preserve"> </w:t>
      </w:r>
      <w:r w:rsidRPr="006503C8">
        <w:t>fins</w:t>
      </w:r>
      <w:r>
        <w:t xml:space="preserve"> </w:t>
      </w:r>
      <w:r w:rsidRPr="006503C8">
        <w:t>de</w:t>
      </w:r>
      <w:r>
        <w:t xml:space="preserve"> </w:t>
      </w:r>
      <w:r w:rsidRPr="006503C8">
        <w:t>la</w:t>
      </w:r>
      <w:r>
        <w:t xml:space="preserve"> </w:t>
      </w:r>
      <w:r w:rsidRPr="006503C8">
        <w:t>recevabilité,</w:t>
      </w:r>
      <w:r>
        <w:t xml:space="preserve"> </w:t>
      </w:r>
      <w:r w:rsidRPr="006503C8">
        <w:t>les</w:t>
      </w:r>
      <w:r>
        <w:t xml:space="preserve"> </w:t>
      </w:r>
      <w:r w:rsidRPr="006503C8">
        <w:t>griefs</w:t>
      </w:r>
      <w:r>
        <w:t xml:space="preserve"> </w:t>
      </w:r>
      <w:r w:rsidRPr="006503C8">
        <w:t>formulés</w:t>
      </w:r>
      <w:r>
        <w:t xml:space="preserve"> </w:t>
      </w:r>
      <w:r w:rsidRPr="006503C8">
        <w:t>au</w:t>
      </w:r>
      <w:r>
        <w:t xml:space="preserve"> </w:t>
      </w:r>
      <w:r w:rsidRPr="006503C8">
        <w:t>titre</w:t>
      </w:r>
      <w:r>
        <w:t xml:space="preserve"> </w:t>
      </w:r>
      <w:r w:rsidRPr="006503C8">
        <w:t>de</w:t>
      </w:r>
      <w:r>
        <w:t xml:space="preserve"> </w:t>
      </w:r>
      <w:r w:rsidRPr="006503C8">
        <w:t>l</w:t>
      </w:r>
      <w:r w:rsidR="00CA2931">
        <w:t>’</w:t>
      </w:r>
      <w:r w:rsidRPr="006503C8">
        <w:t>article</w:t>
      </w:r>
      <w:r>
        <w:t xml:space="preserve"> </w:t>
      </w:r>
      <w:r w:rsidRPr="006503C8">
        <w:t>19</w:t>
      </w:r>
      <w:r>
        <w:t xml:space="preserve"> </w:t>
      </w:r>
      <w:r w:rsidRPr="006503C8">
        <w:t>du</w:t>
      </w:r>
      <w:r w:rsidR="00DE29B8">
        <w:t xml:space="preserve"> </w:t>
      </w:r>
      <w:r w:rsidRPr="006503C8">
        <w:t>Pacte.</w:t>
      </w:r>
    </w:p>
    <w:p w14:paraId="057AD941" w14:textId="77777777" w:rsidR="00765853" w:rsidRPr="006503C8" w:rsidRDefault="00765853" w:rsidP="00765853">
      <w:pPr>
        <w:pStyle w:val="SingleTxtG"/>
      </w:pPr>
      <w:r w:rsidRPr="006503C8">
        <w:t>7.6</w:t>
      </w:r>
      <w:r w:rsidRPr="006503C8">
        <w:tab/>
        <w:t>S</w:t>
      </w:r>
      <w:r w:rsidR="00CA2931">
        <w:t>’</w:t>
      </w:r>
      <w:r w:rsidRPr="006503C8">
        <w:t>agissant</w:t>
      </w:r>
      <w:r>
        <w:t xml:space="preserve"> </w:t>
      </w:r>
      <w:r w:rsidRPr="006503C8">
        <w:t>des</w:t>
      </w:r>
      <w:r>
        <w:t xml:space="preserve"> </w:t>
      </w:r>
      <w:r w:rsidRPr="006503C8">
        <w:t>arguments</w:t>
      </w:r>
      <w:r>
        <w:t xml:space="preserve"> </w:t>
      </w:r>
      <w:r w:rsidRPr="006503C8">
        <w:t>de</w:t>
      </w:r>
      <w:r>
        <w:t xml:space="preserve"> </w:t>
      </w:r>
      <w:r w:rsidRPr="006503C8">
        <w:t>l</w:t>
      </w:r>
      <w:r w:rsidR="00CA2931">
        <w:t>’</w:t>
      </w:r>
      <w:r w:rsidRPr="006503C8">
        <w:t>État</w:t>
      </w:r>
      <w:r>
        <w:t xml:space="preserve"> </w:t>
      </w:r>
      <w:r w:rsidRPr="006503C8">
        <w:t>partie,</w:t>
      </w:r>
      <w:r>
        <w:t xml:space="preserve"> </w:t>
      </w:r>
      <w:r w:rsidRPr="006503C8">
        <w:t>selon</w:t>
      </w:r>
      <w:r>
        <w:t xml:space="preserve"> </w:t>
      </w:r>
      <w:r w:rsidRPr="006503C8">
        <w:t>lesquels</w:t>
      </w:r>
      <w:r>
        <w:t xml:space="preserve"> </w:t>
      </w:r>
      <w:r w:rsidRPr="006503C8">
        <w:t>le</w:t>
      </w:r>
      <w:r>
        <w:t xml:space="preserve"> </w:t>
      </w:r>
      <w:r w:rsidRPr="006503C8">
        <w:t>grief</w:t>
      </w:r>
      <w:r>
        <w:t xml:space="preserve"> </w:t>
      </w:r>
      <w:r w:rsidRPr="006503C8">
        <w:t>n</w:t>
      </w:r>
      <w:r w:rsidR="00CA2931">
        <w:t>’</w:t>
      </w:r>
      <w:r w:rsidRPr="006503C8">
        <w:t>a</w:t>
      </w:r>
      <w:r>
        <w:t xml:space="preserve"> </w:t>
      </w:r>
      <w:r w:rsidRPr="006503C8">
        <w:t>pas</w:t>
      </w:r>
      <w:r>
        <w:t xml:space="preserve"> </w:t>
      </w:r>
      <w:r w:rsidRPr="006503C8">
        <w:t>été</w:t>
      </w:r>
      <w:r>
        <w:t xml:space="preserve"> </w:t>
      </w:r>
      <w:r w:rsidRPr="006503C8">
        <w:t>suffisamment</w:t>
      </w:r>
      <w:r>
        <w:t xml:space="preserve"> </w:t>
      </w:r>
      <w:r w:rsidRPr="006503C8">
        <w:t>étayé,</w:t>
      </w:r>
      <w:r>
        <w:t xml:space="preserve"> </w:t>
      </w:r>
      <w:r w:rsidRPr="006503C8">
        <w:t>le</w:t>
      </w:r>
      <w:r>
        <w:t xml:space="preserve"> </w:t>
      </w:r>
      <w:r w:rsidRPr="006503C8">
        <w:t>Comité</w:t>
      </w:r>
      <w:r>
        <w:t xml:space="preserve"> </w:t>
      </w:r>
      <w:r w:rsidRPr="006503C8">
        <w:t>est</w:t>
      </w:r>
      <w:r>
        <w:t xml:space="preserve"> </w:t>
      </w:r>
      <w:r w:rsidRPr="006503C8">
        <w:t>d</w:t>
      </w:r>
      <w:r w:rsidR="00CA2931">
        <w:t>’</w:t>
      </w:r>
      <w:r w:rsidRPr="006503C8">
        <w:t>avis</w:t>
      </w:r>
      <w:r>
        <w:t xml:space="preserve"> </w:t>
      </w:r>
      <w:r w:rsidRPr="006503C8">
        <w:t>qu</w:t>
      </w:r>
      <w:r w:rsidR="00CA2931">
        <w:t>’</w:t>
      </w:r>
      <w:r w:rsidRPr="006503C8">
        <w:t>ils</w:t>
      </w:r>
      <w:r>
        <w:t xml:space="preserve"> </w:t>
      </w:r>
      <w:r w:rsidRPr="006503C8">
        <w:t>sont</w:t>
      </w:r>
      <w:r>
        <w:t xml:space="preserve"> </w:t>
      </w:r>
      <w:r w:rsidRPr="006503C8">
        <w:t>intimement</w:t>
      </w:r>
      <w:r>
        <w:t xml:space="preserve"> </w:t>
      </w:r>
      <w:r w:rsidRPr="006503C8">
        <w:t>liés</w:t>
      </w:r>
      <w:r>
        <w:t xml:space="preserve"> </w:t>
      </w:r>
      <w:r w:rsidRPr="006503C8">
        <w:t>au</w:t>
      </w:r>
      <w:r>
        <w:t xml:space="preserve"> </w:t>
      </w:r>
      <w:r w:rsidRPr="006503C8">
        <w:t>fond</w:t>
      </w:r>
      <w:r>
        <w:t xml:space="preserve"> </w:t>
      </w:r>
      <w:r w:rsidRPr="006503C8">
        <w:t>et</w:t>
      </w:r>
      <w:r>
        <w:t xml:space="preserve"> </w:t>
      </w:r>
      <w:r w:rsidRPr="006503C8">
        <w:t>qu</w:t>
      </w:r>
      <w:r w:rsidR="00CA2931">
        <w:t>’</w:t>
      </w:r>
      <w:r w:rsidRPr="006503C8">
        <w:t>ils</w:t>
      </w:r>
      <w:r>
        <w:t xml:space="preserve"> </w:t>
      </w:r>
      <w:r w:rsidRPr="006503C8">
        <w:t>devraient</w:t>
      </w:r>
      <w:r>
        <w:t xml:space="preserve"> </w:t>
      </w:r>
      <w:r w:rsidRPr="006503C8">
        <w:t>donc</w:t>
      </w:r>
      <w:r>
        <w:t xml:space="preserve"> </w:t>
      </w:r>
      <w:r w:rsidRPr="006503C8">
        <w:t>être</w:t>
      </w:r>
      <w:r>
        <w:t xml:space="preserve"> </w:t>
      </w:r>
      <w:r w:rsidRPr="006503C8">
        <w:t>analysés</w:t>
      </w:r>
      <w:r>
        <w:t xml:space="preserve"> </w:t>
      </w:r>
      <w:r w:rsidRPr="006503C8">
        <w:t>dans</w:t>
      </w:r>
      <w:r>
        <w:t xml:space="preserve"> </w:t>
      </w:r>
      <w:r w:rsidRPr="006503C8">
        <w:t>le</w:t>
      </w:r>
      <w:r>
        <w:t xml:space="preserve"> </w:t>
      </w:r>
      <w:r w:rsidRPr="006503C8">
        <w:t>contexte</w:t>
      </w:r>
      <w:r>
        <w:t xml:space="preserve"> </w:t>
      </w:r>
      <w:r w:rsidRPr="006503C8">
        <w:t>de</w:t>
      </w:r>
      <w:r>
        <w:t xml:space="preserve"> </w:t>
      </w:r>
      <w:r w:rsidRPr="006503C8">
        <w:t>l</w:t>
      </w:r>
      <w:r w:rsidR="00CA2931">
        <w:t>’</w:t>
      </w:r>
      <w:r w:rsidRPr="006503C8">
        <w:t>examen</w:t>
      </w:r>
      <w:r>
        <w:t xml:space="preserve"> </w:t>
      </w:r>
      <w:r w:rsidRPr="006503C8">
        <w:t>au</w:t>
      </w:r>
      <w:r>
        <w:t xml:space="preserve"> </w:t>
      </w:r>
      <w:r w:rsidRPr="006503C8">
        <w:t>fond.</w:t>
      </w:r>
      <w:r>
        <w:t xml:space="preserve"> </w:t>
      </w:r>
      <w:r w:rsidRPr="006503C8">
        <w:t>Par</w:t>
      </w:r>
      <w:r>
        <w:t xml:space="preserve"> </w:t>
      </w:r>
      <w:r w:rsidRPr="006503C8">
        <w:t>conséquent,</w:t>
      </w:r>
      <w:r>
        <w:t xml:space="preserve"> </w:t>
      </w:r>
      <w:r w:rsidRPr="006503C8">
        <w:t>le</w:t>
      </w:r>
      <w:r>
        <w:t xml:space="preserve"> </w:t>
      </w:r>
      <w:r w:rsidRPr="006503C8">
        <w:t>Comité</w:t>
      </w:r>
      <w:r>
        <w:t xml:space="preserve"> </w:t>
      </w:r>
      <w:r w:rsidRPr="006503C8">
        <w:t>déclare</w:t>
      </w:r>
      <w:r>
        <w:t xml:space="preserve"> </w:t>
      </w:r>
      <w:r w:rsidRPr="006503C8">
        <w:t>la</w:t>
      </w:r>
      <w:r>
        <w:t xml:space="preserve"> </w:t>
      </w:r>
      <w:r w:rsidRPr="006503C8">
        <w:t>communication</w:t>
      </w:r>
      <w:r>
        <w:t xml:space="preserve"> </w:t>
      </w:r>
      <w:r w:rsidRPr="006503C8">
        <w:t>recevable</w:t>
      </w:r>
      <w:r>
        <w:t xml:space="preserve"> </w:t>
      </w:r>
      <w:r w:rsidRPr="006503C8">
        <w:t>et</w:t>
      </w:r>
      <w:r>
        <w:t xml:space="preserve"> </w:t>
      </w:r>
      <w:r w:rsidRPr="006503C8">
        <w:t>procède</w:t>
      </w:r>
      <w:r>
        <w:t xml:space="preserve"> </w:t>
      </w:r>
      <w:r w:rsidRPr="006503C8">
        <w:t>à</w:t>
      </w:r>
      <w:r>
        <w:t xml:space="preserve"> </w:t>
      </w:r>
      <w:r w:rsidRPr="006503C8">
        <w:t>son</w:t>
      </w:r>
      <w:r>
        <w:t xml:space="preserve"> </w:t>
      </w:r>
      <w:r w:rsidRPr="006503C8">
        <w:t>examen</w:t>
      </w:r>
      <w:r>
        <w:t xml:space="preserve"> </w:t>
      </w:r>
      <w:r w:rsidRPr="006503C8">
        <w:t>au</w:t>
      </w:r>
      <w:r>
        <w:t xml:space="preserve"> </w:t>
      </w:r>
      <w:r w:rsidRPr="006503C8">
        <w:t>fond.</w:t>
      </w:r>
    </w:p>
    <w:p w14:paraId="54ED51ED" w14:textId="77777777" w:rsidR="00765853" w:rsidRPr="006503C8" w:rsidRDefault="00765853" w:rsidP="000138E1">
      <w:pPr>
        <w:pStyle w:val="H4G"/>
      </w:pPr>
      <w:r w:rsidRPr="006503C8">
        <w:tab/>
      </w:r>
      <w:r w:rsidRPr="006503C8">
        <w:tab/>
        <w:t>Examen</w:t>
      </w:r>
      <w:r>
        <w:t xml:space="preserve"> </w:t>
      </w:r>
      <w:r w:rsidRPr="006503C8">
        <w:t>au</w:t>
      </w:r>
      <w:r>
        <w:t xml:space="preserve"> </w:t>
      </w:r>
      <w:r w:rsidRPr="006503C8">
        <w:t>fond</w:t>
      </w:r>
    </w:p>
    <w:p w14:paraId="2F6CDD98" w14:textId="77777777" w:rsidR="00765853" w:rsidRPr="006503C8" w:rsidRDefault="00765853" w:rsidP="00765853">
      <w:pPr>
        <w:pStyle w:val="SingleTxtG"/>
      </w:pPr>
      <w:r w:rsidRPr="006503C8">
        <w:t>8.1</w:t>
      </w:r>
      <w:r w:rsidRPr="006503C8">
        <w:tab/>
        <w:t>Conformément</w:t>
      </w:r>
      <w:r>
        <w:t xml:space="preserve"> </w:t>
      </w:r>
      <w:r w:rsidRPr="006503C8">
        <w:t>au</w:t>
      </w:r>
      <w:r>
        <w:t xml:space="preserve"> </w:t>
      </w:r>
      <w:r w:rsidRPr="006503C8">
        <w:t>paragraphe</w:t>
      </w:r>
      <w:r>
        <w:t xml:space="preserve"> </w:t>
      </w:r>
      <w:r w:rsidRPr="006503C8">
        <w:t>1</w:t>
      </w:r>
      <w:r>
        <w:t xml:space="preserve"> </w:t>
      </w:r>
      <w:r w:rsidRPr="006503C8">
        <w:t>de</w:t>
      </w:r>
      <w:r>
        <w:t xml:space="preserve"> </w:t>
      </w:r>
      <w:r w:rsidRPr="006503C8">
        <w:t>l</w:t>
      </w:r>
      <w:r w:rsidR="00CA2931">
        <w:t>’</w:t>
      </w:r>
      <w:r w:rsidRPr="006503C8">
        <w:t>article</w:t>
      </w:r>
      <w:r>
        <w:t xml:space="preserve"> </w:t>
      </w:r>
      <w:r w:rsidRPr="006503C8">
        <w:t>5</w:t>
      </w:r>
      <w:r>
        <w:t xml:space="preserve"> </w:t>
      </w:r>
      <w:r w:rsidRPr="006503C8">
        <w:t>du</w:t>
      </w:r>
      <w:r>
        <w:t xml:space="preserve"> </w:t>
      </w:r>
      <w:r w:rsidRPr="006503C8">
        <w:t>Protocole</w:t>
      </w:r>
      <w:r>
        <w:t xml:space="preserve"> </w:t>
      </w:r>
      <w:r w:rsidRPr="006503C8">
        <w:t>facultatif,</w:t>
      </w:r>
      <w:r>
        <w:t xml:space="preserve"> </w:t>
      </w:r>
      <w:r w:rsidRPr="006503C8">
        <w:t>le</w:t>
      </w:r>
      <w:r>
        <w:t xml:space="preserve"> </w:t>
      </w:r>
      <w:r w:rsidRPr="006503C8">
        <w:t>Comité</w:t>
      </w:r>
      <w:r>
        <w:t xml:space="preserve"> </w:t>
      </w:r>
      <w:r w:rsidRPr="006503C8">
        <w:t>des</w:t>
      </w:r>
      <w:r>
        <w:t xml:space="preserve"> </w:t>
      </w:r>
      <w:r w:rsidRPr="006503C8">
        <w:t>droits</w:t>
      </w:r>
      <w:r>
        <w:t xml:space="preserve"> </w:t>
      </w:r>
      <w:r w:rsidRPr="006503C8">
        <w:t>de</w:t>
      </w:r>
      <w:r>
        <w:t xml:space="preserve"> </w:t>
      </w:r>
      <w:r w:rsidRPr="006503C8">
        <w:t>l</w:t>
      </w:r>
      <w:r w:rsidR="00CA2931">
        <w:t>’</w:t>
      </w:r>
      <w:r w:rsidRPr="006503C8">
        <w:t>homme</w:t>
      </w:r>
      <w:r>
        <w:t xml:space="preserve"> </w:t>
      </w:r>
      <w:r w:rsidRPr="006503C8">
        <w:t>a</w:t>
      </w:r>
      <w:r>
        <w:t xml:space="preserve"> </w:t>
      </w:r>
      <w:r w:rsidRPr="006503C8">
        <w:t>examiné</w:t>
      </w:r>
      <w:r>
        <w:t xml:space="preserve"> </w:t>
      </w:r>
      <w:r w:rsidRPr="006503C8">
        <w:t>la</w:t>
      </w:r>
      <w:r>
        <w:t xml:space="preserve"> </w:t>
      </w:r>
      <w:r w:rsidRPr="006503C8">
        <w:t>présente</w:t>
      </w:r>
      <w:r>
        <w:t xml:space="preserve"> </w:t>
      </w:r>
      <w:r w:rsidRPr="006503C8">
        <w:t>communication</w:t>
      </w:r>
      <w:r>
        <w:t xml:space="preserve"> </w:t>
      </w:r>
      <w:r w:rsidRPr="006503C8">
        <w:t>en</w:t>
      </w:r>
      <w:r>
        <w:t xml:space="preserve"> </w:t>
      </w:r>
      <w:r w:rsidRPr="006503C8">
        <w:t>tenant</w:t>
      </w:r>
      <w:r>
        <w:t xml:space="preserve"> </w:t>
      </w:r>
      <w:r w:rsidRPr="006503C8">
        <w:t>compte</w:t>
      </w:r>
      <w:r>
        <w:t xml:space="preserve"> </w:t>
      </w:r>
      <w:r w:rsidRPr="006503C8">
        <w:t>de</w:t>
      </w:r>
      <w:r>
        <w:t xml:space="preserve"> </w:t>
      </w:r>
      <w:r w:rsidRPr="006503C8">
        <w:t>toutes</w:t>
      </w:r>
      <w:r>
        <w:t xml:space="preserve"> </w:t>
      </w:r>
      <w:r w:rsidRPr="006503C8">
        <w:t>les</w:t>
      </w:r>
      <w:r>
        <w:t xml:space="preserve"> </w:t>
      </w:r>
      <w:r w:rsidRPr="006503C8">
        <w:t>informations</w:t>
      </w:r>
      <w:r>
        <w:t xml:space="preserve"> </w:t>
      </w:r>
      <w:r w:rsidRPr="006503C8">
        <w:t>que</w:t>
      </w:r>
      <w:r>
        <w:t xml:space="preserve"> </w:t>
      </w:r>
      <w:r w:rsidRPr="006503C8">
        <w:t>lui</w:t>
      </w:r>
      <w:r>
        <w:t xml:space="preserve"> </w:t>
      </w:r>
      <w:r w:rsidRPr="006503C8">
        <w:t>ont</w:t>
      </w:r>
      <w:r>
        <w:t xml:space="preserve"> </w:t>
      </w:r>
      <w:r w:rsidRPr="006503C8">
        <w:t>communiquées</w:t>
      </w:r>
      <w:r>
        <w:t xml:space="preserve"> </w:t>
      </w:r>
      <w:r w:rsidRPr="006503C8">
        <w:t>les</w:t>
      </w:r>
      <w:r>
        <w:t xml:space="preserve"> </w:t>
      </w:r>
      <w:r w:rsidRPr="006503C8">
        <w:t>parties.</w:t>
      </w:r>
    </w:p>
    <w:p w14:paraId="7E7DEAA7" w14:textId="77777777" w:rsidR="00765853" w:rsidRPr="006503C8" w:rsidRDefault="00765853" w:rsidP="00765853">
      <w:pPr>
        <w:pStyle w:val="SingleTxtG"/>
      </w:pPr>
      <w:r w:rsidRPr="006503C8">
        <w:t>8.2</w:t>
      </w:r>
      <w:r w:rsidRPr="006503C8">
        <w:tab/>
        <w:t>Le</w:t>
      </w:r>
      <w:r>
        <w:t xml:space="preserve"> </w:t>
      </w:r>
      <w:r w:rsidRPr="006503C8">
        <w:t>Comité</w:t>
      </w:r>
      <w:r>
        <w:t xml:space="preserve"> </w:t>
      </w:r>
      <w:r w:rsidRPr="006503C8">
        <w:t>prend</w:t>
      </w:r>
      <w:r>
        <w:t xml:space="preserve"> </w:t>
      </w:r>
      <w:r w:rsidRPr="006503C8">
        <w:t>note</w:t>
      </w:r>
      <w:r>
        <w:t xml:space="preserve"> </w:t>
      </w:r>
      <w:r w:rsidRPr="006503C8">
        <w:t>de</w:t>
      </w:r>
      <w:r>
        <w:t xml:space="preserve"> </w:t>
      </w:r>
      <w:r w:rsidRPr="006503C8">
        <w:t>l</w:t>
      </w:r>
      <w:r w:rsidR="00CA2931">
        <w:t>’</w:t>
      </w:r>
      <w:r w:rsidRPr="006503C8">
        <w:t>allégation</w:t>
      </w:r>
      <w:r>
        <w:t xml:space="preserve"> </w:t>
      </w:r>
      <w:r w:rsidRPr="006503C8">
        <w:t>de</w:t>
      </w:r>
      <w:r>
        <w:t xml:space="preserve"> </w:t>
      </w:r>
      <w:r w:rsidRPr="006503C8">
        <w:t>l</w:t>
      </w:r>
      <w:r w:rsidR="00CA2931">
        <w:t>’</w:t>
      </w:r>
      <w:r w:rsidRPr="006503C8">
        <w:t>auteure</w:t>
      </w:r>
      <w:r>
        <w:t xml:space="preserve"> </w:t>
      </w:r>
      <w:r w:rsidRPr="006503C8">
        <w:t>selon</w:t>
      </w:r>
      <w:r>
        <w:t xml:space="preserve"> </w:t>
      </w:r>
      <w:r w:rsidRPr="006503C8">
        <w:t>laquelle</w:t>
      </w:r>
      <w:r>
        <w:t xml:space="preserve"> </w:t>
      </w:r>
      <w:r w:rsidRPr="006503C8">
        <w:t>sa</w:t>
      </w:r>
      <w:r>
        <w:t xml:space="preserve"> </w:t>
      </w:r>
      <w:r w:rsidRPr="006503C8">
        <w:t>condamnation</w:t>
      </w:r>
      <w:r>
        <w:t xml:space="preserve"> </w:t>
      </w:r>
      <w:r w:rsidRPr="006503C8">
        <w:t>pénale</w:t>
      </w:r>
      <w:r>
        <w:t xml:space="preserve"> </w:t>
      </w:r>
      <w:r w:rsidRPr="006503C8">
        <w:t>pour</w:t>
      </w:r>
      <w:r>
        <w:t xml:space="preserve"> </w:t>
      </w:r>
      <w:r w:rsidRPr="006503C8">
        <w:t>avoir</w:t>
      </w:r>
      <w:r>
        <w:t xml:space="preserve"> </w:t>
      </w:r>
      <w:r w:rsidRPr="006503C8">
        <w:t>publiquement</w:t>
      </w:r>
      <w:r>
        <w:t xml:space="preserve"> </w:t>
      </w:r>
      <w:r w:rsidRPr="006503C8">
        <w:t>critiqué</w:t>
      </w:r>
      <w:r>
        <w:t xml:space="preserve"> </w:t>
      </w:r>
      <w:r w:rsidRPr="006503C8">
        <w:t>les</w:t>
      </w:r>
      <w:r>
        <w:t xml:space="preserve"> </w:t>
      </w:r>
      <w:r w:rsidRPr="006503C8">
        <w:t>actes</w:t>
      </w:r>
      <w:r>
        <w:t xml:space="preserve"> </w:t>
      </w:r>
      <w:r w:rsidRPr="006503C8">
        <w:t>des</w:t>
      </w:r>
      <w:r>
        <w:t xml:space="preserve"> </w:t>
      </w:r>
      <w:r w:rsidRPr="006503C8">
        <w:t>procureurs</w:t>
      </w:r>
      <w:r>
        <w:t xml:space="preserve"> </w:t>
      </w:r>
      <w:r w:rsidRPr="006503C8">
        <w:t>chargés</w:t>
      </w:r>
      <w:r>
        <w:t xml:space="preserve"> </w:t>
      </w:r>
      <w:r w:rsidRPr="006503C8">
        <w:t>des</w:t>
      </w:r>
      <w:r>
        <w:t xml:space="preserve"> </w:t>
      </w:r>
      <w:r w:rsidRPr="006503C8">
        <w:t>poursuites</w:t>
      </w:r>
      <w:r>
        <w:t xml:space="preserve"> </w:t>
      </w:r>
      <w:r w:rsidRPr="006503C8">
        <w:t>pénales</w:t>
      </w:r>
      <w:r>
        <w:t xml:space="preserve"> </w:t>
      </w:r>
      <w:r w:rsidRPr="006503C8">
        <w:t>engagées</w:t>
      </w:r>
      <w:r>
        <w:t xml:space="preserve"> </w:t>
      </w:r>
      <w:r w:rsidRPr="006503C8">
        <w:t>contre</w:t>
      </w:r>
      <w:r>
        <w:t xml:space="preserve"> </w:t>
      </w:r>
      <w:r w:rsidRPr="006503C8">
        <w:t>elle</w:t>
      </w:r>
      <w:r>
        <w:t xml:space="preserve"> </w:t>
      </w:r>
      <w:r w:rsidRPr="006503C8">
        <w:t>constitue</w:t>
      </w:r>
      <w:r>
        <w:t xml:space="preserve"> </w:t>
      </w:r>
      <w:r w:rsidRPr="006503C8">
        <w:t>une</w:t>
      </w:r>
      <w:r>
        <w:t xml:space="preserve"> </w:t>
      </w:r>
      <w:r w:rsidRPr="006503C8">
        <w:t>restriction</w:t>
      </w:r>
      <w:r>
        <w:t xml:space="preserve"> </w:t>
      </w:r>
      <w:r w:rsidRPr="006503C8">
        <w:t>injustifiée</w:t>
      </w:r>
      <w:r>
        <w:t xml:space="preserve"> </w:t>
      </w:r>
      <w:r w:rsidRPr="006503C8">
        <w:t>au</w:t>
      </w:r>
      <w:r>
        <w:t xml:space="preserve"> </w:t>
      </w:r>
      <w:r w:rsidRPr="006503C8">
        <w:t>droit</w:t>
      </w:r>
      <w:r>
        <w:t xml:space="preserve"> </w:t>
      </w:r>
      <w:r w:rsidRPr="006503C8">
        <w:t>à</w:t>
      </w:r>
      <w:r>
        <w:t xml:space="preserve"> </w:t>
      </w:r>
      <w:r w:rsidRPr="006503C8">
        <w:t>la</w:t>
      </w:r>
      <w:r>
        <w:t xml:space="preserve"> </w:t>
      </w:r>
      <w:r w:rsidRPr="006503C8">
        <w:t>liberté</w:t>
      </w:r>
      <w:r>
        <w:t xml:space="preserve"> </w:t>
      </w:r>
      <w:r w:rsidRPr="006503C8">
        <w:t>d</w:t>
      </w:r>
      <w:r w:rsidR="00CA2931">
        <w:t>’</w:t>
      </w:r>
      <w:r w:rsidRPr="006503C8">
        <w:t>expression</w:t>
      </w:r>
      <w:r>
        <w:t xml:space="preserve"> </w:t>
      </w:r>
      <w:r w:rsidRPr="006503C8">
        <w:t>qu</w:t>
      </w:r>
      <w:r w:rsidR="00CA2931">
        <w:t>’</w:t>
      </w:r>
      <w:r w:rsidRPr="006503C8">
        <w:t>elle</w:t>
      </w:r>
      <w:r>
        <w:t xml:space="preserve"> </w:t>
      </w:r>
      <w:r w:rsidRPr="006503C8">
        <w:t>tient</w:t>
      </w:r>
      <w:r>
        <w:t xml:space="preserve"> </w:t>
      </w:r>
      <w:r w:rsidRPr="006503C8">
        <w:t>du</w:t>
      </w:r>
      <w:r>
        <w:t xml:space="preserve"> </w:t>
      </w:r>
      <w:r w:rsidRPr="006503C8">
        <w:t>paragraphe</w:t>
      </w:r>
      <w:r>
        <w:t xml:space="preserve"> </w:t>
      </w:r>
      <w:r w:rsidRPr="006503C8">
        <w:t>2</w:t>
      </w:r>
      <w:r>
        <w:t xml:space="preserve"> </w:t>
      </w:r>
      <w:r w:rsidRPr="006503C8">
        <w:t>de</w:t>
      </w:r>
      <w:r>
        <w:t xml:space="preserve"> </w:t>
      </w:r>
      <w:r w:rsidRPr="006503C8">
        <w:t>l</w:t>
      </w:r>
      <w:r w:rsidR="00CA2931">
        <w:t>’</w:t>
      </w:r>
      <w:r w:rsidRPr="006503C8">
        <w:t>article</w:t>
      </w:r>
      <w:r>
        <w:t xml:space="preserve"> </w:t>
      </w:r>
      <w:r w:rsidRPr="006503C8">
        <w:t>19</w:t>
      </w:r>
      <w:r>
        <w:t xml:space="preserve"> </w:t>
      </w:r>
      <w:r w:rsidRPr="006503C8">
        <w:t>du</w:t>
      </w:r>
      <w:r>
        <w:t xml:space="preserve"> </w:t>
      </w:r>
      <w:r w:rsidRPr="006503C8">
        <w:t>Pacte.</w:t>
      </w:r>
      <w:r>
        <w:t xml:space="preserve"> </w:t>
      </w:r>
      <w:r w:rsidRPr="006503C8">
        <w:t>Le</w:t>
      </w:r>
      <w:r>
        <w:t xml:space="preserve"> </w:t>
      </w:r>
      <w:r w:rsidRPr="006503C8">
        <w:t>Comité</w:t>
      </w:r>
      <w:r>
        <w:t xml:space="preserve"> </w:t>
      </w:r>
      <w:r w:rsidRPr="006503C8">
        <w:t>considère</w:t>
      </w:r>
      <w:r>
        <w:t xml:space="preserve"> </w:t>
      </w:r>
      <w:r w:rsidRPr="006503C8">
        <w:t>que</w:t>
      </w:r>
      <w:r>
        <w:t xml:space="preserve"> </w:t>
      </w:r>
      <w:r w:rsidRPr="006503C8">
        <w:t>la</w:t>
      </w:r>
      <w:r>
        <w:t xml:space="preserve"> </w:t>
      </w:r>
      <w:r w:rsidRPr="006503C8">
        <w:t>condamnation</w:t>
      </w:r>
      <w:r>
        <w:t xml:space="preserve"> d</w:t>
      </w:r>
      <w:r w:rsidRPr="006503C8">
        <w:t>e</w:t>
      </w:r>
      <w:r>
        <w:t xml:space="preserve"> </w:t>
      </w:r>
      <w:r w:rsidRPr="006503C8">
        <w:t>l</w:t>
      </w:r>
      <w:r w:rsidR="00CA2931">
        <w:t>’</w:t>
      </w:r>
      <w:r w:rsidRPr="006503C8">
        <w:t>auteure</w:t>
      </w:r>
      <w:r>
        <w:t xml:space="preserve"> </w:t>
      </w:r>
      <w:r w:rsidRPr="006503C8">
        <w:t>a</w:t>
      </w:r>
      <w:r>
        <w:t xml:space="preserve"> </w:t>
      </w:r>
      <w:r w:rsidRPr="006503C8">
        <w:t>effectivement</w:t>
      </w:r>
      <w:r>
        <w:t xml:space="preserve"> </w:t>
      </w:r>
      <w:r w:rsidRPr="006503C8">
        <w:t>constitué</w:t>
      </w:r>
      <w:r>
        <w:t xml:space="preserve"> </w:t>
      </w:r>
      <w:r w:rsidRPr="006503C8">
        <w:t>une</w:t>
      </w:r>
      <w:r>
        <w:t xml:space="preserve"> </w:t>
      </w:r>
      <w:r w:rsidRPr="006503C8">
        <w:t>restriction</w:t>
      </w:r>
      <w:r>
        <w:t xml:space="preserve"> </w:t>
      </w:r>
      <w:r w:rsidRPr="006503C8">
        <w:t>à</w:t>
      </w:r>
      <w:r>
        <w:t xml:space="preserve"> </w:t>
      </w:r>
      <w:r w:rsidRPr="006503C8">
        <w:t>son</w:t>
      </w:r>
      <w:r>
        <w:t xml:space="preserve"> </w:t>
      </w:r>
      <w:r w:rsidRPr="006503C8">
        <w:t>droit</w:t>
      </w:r>
      <w:r>
        <w:t xml:space="preserve"> </w:t>
      </w:r>
      <w:r w:rsidRPr="006503C8">
        <w:t>à</w:t>
      </w:r>
      <w:r>
        <w:t xml:space="preserve"> </w:t>
      </w:r>
      <w:r w:rsidRPr="006503C8">
        <w:t>la</w:t>
      </w:r>
      <w:r>
        <w:t xml:space="preserve"> </w:t>
      </w:r>
      <w:r w:rsidRPr="006503C8">
        <w:t>liberté</w:t>
      </w:r>
      <w:r>
        <w:t xml:space="preserve"> </w:t>
      </w:r>
      <w:r w:rsidRPr="006503C8">
        <w:t>d</w:t>
      </w:r>
      <w:r w:rsidR="00CA2931">
        <w:t>’</w:t>
      </w:r>
      <w:r w:rsidRPr="006503C8">
        <w:t>expression</w:t>
      </w:r>
      <w:r>
        <w:t xml:space="preserve"> </w:t>
      </w:r>
      <w:r w:rsidRPr="006503C8">
        <w:t>et</w:t>
      </w:r>
      <w:r>
        <w:t xml:space="preserve"> </w:t>
      </w:r>
      <w:r w:rsidRPr="006503C8">
        <w:t>il</w:t>
      </w:r>
      <w:r>
        <w:t xml:space="preserve"> </w:t>
      </w:r>
      <w:r w:rsidRPr="006503C8">
        <w:t>doit</w:t>
      </w:r>
      <w:r>
        <w:t xml:space="preserve"> </w:t>
      </w:r>
      <w:r w:rsidRPr="006503C8">
        <w:t>donc</w:t>
      </w:r>
      <w:r>
        <w:t xml:space="preserve"> </w:t>
      </w:r>
      <w:r w:rsidRPr="006503C8">
        <w:t>déterminer</w:t>
      </w:r>
      <w:r>
        <w:t xml:space="preserve"> </w:t>
      </w:r>
      <w:r w:rsidRPr="006503C8">
        <w:t>si</w:t>
      </w:r>
      <w:r>
        <w:t xml:space="preserve"> </w:t>
      </w:r>
      <w:r w:rsidRPr="006503C8">
        <w:t>la</w:t>
      </w:r>
      <w:r>
        <w:t xml:space="preserve"> </w:t>
      </w:r>
      <w:r w:rsidRPr="006503C8">
        <w:t>restriction</w:t>
      </w:r>
      <w:r>
        <w:t xml:space="preserve"> </w:t>
      </w:r>
      <w:r w:rsidRPr="006503C8">
        <w:t>imposée</w:t>
      </w:r>
      <w:r>
        <w:t xml:space="preserve"> </w:t>
      </w:r>
      <w:r w:rsidRPr="006503C8">
        <w:t>aux</w:t>
      </w:r>
      <w:r>
        <w:t xml:space="preserve"> </w:t>
      </w:r>
      <w:r w:rsidRPr="006503C8">
        <w:t>droits</w:t>
      </w:r>
      <w:r>
        <w:t xml:space="preserve"> </w:t>
      </w:r>
      <w:r w:rsidRPr="006503C8">
        <w:t>de</w:t>
      </w:r>
      <w:r>
        <w:t xml:space="preserve"> </w:t>
      </w:r>
      <w:r w:rsidRPr="006503C8">
        <w:t>l</w:t>
      </w:r>
      <w:r w:rsidR="00CA2931">
        <w:t>’</w:t>
      </w:r>
      <w:r w:rsidRPr="006503C8">
        <w:t>auteure</w:t>
      </w:r>
      <w:r>
        <w:t xml:space="preserve"> </w:t>
      </w:r>
      <w:r w:rsidRPr="006503C8">
        <w:t>en</w:t>
      </w:r>
      <w:r>
        <w:t xml:space="preserve"> </w:t>
      </w:r>
      <w:r w:rsidRPr="006503C8">
        <w:t>l</w:t>
      </w:r>
      <w:r w:rsidR="00CA2931">
        <w:t>’</w:t>
      </w:r>
      <w:r w:rsidRPr="006503C8">
        <w:t>espèce</w:t>
      </w:r>
      <w:r>
        <w:t xml:space="preserve"> </w:t>
      </w:r>
      <w:r w:rsidRPr="006503C8">
        <w:t>se</w:t>
      </w:r>
      <w:r>
        <w:t xml:space="preserve"> </w:t>
      </w:r>
      <w:r w:rsidRPr="006503C8">
        <w:t>justifie</w:t>
      </w:r>
      <w:r>
        <w:t xml:space="preserve"> </w:t>
      </w:r>
      <w:r w:rsidRPr="006503C8">
        <w:t>au</w:t>
      </w:r>
      <w:r>
        <w:t xml:space="preserve"> </w:t>
      </w:r>
      <w:r w:rsidRPr="006503C8">
        <w:t>regard</w:t>
      </w:r>
      <w:r>
        <w:t xml:space="preserve"> </w:t>
      </w:r>
      <w:r w:rsidRPr="006503C8">
        <w:t>de</w:t>
      </w:r>
      <w:r>
        <w:t xml:space="preserve"> </w:t>
      </w:r>
      <w:r w:rsidRPr="006503C8">
        <w:t>l</w:t>
      </w:r>
      <w:r w:rsidR="00CA2931">
        <w:t>’</w:t>
      </w:r>
      <w:r w:rsidRPr="006503C8">
        <w:t>un</w:t>
      </w:r>
      <w:r>
        <w:t xml:space="preserve"> </w:t>
      </w:r>
      <w:r w:rsidRPr="006503C8">
        <w:t>quelconque</w:t>
      </w:r>
      <w:r>
        <w:t xml:space="preserve"> </w:t>
      </w:r>
      <w:r w:rsidRPr="006503C8">
        <w:t>des</w:t>
      </w:r>
      <w:r>
        <w:t xml:space="preserve"> </w:t>
      </w:r>
      <w:r w:rsidRPr="006503C8">
        <w:t>critères</w:t>
      </w:r>
      <w:r>
        <w:t xml:space="preserve"> </w:t>
      </w:r>
      <w:r w:rsidRPr="006503C8">
        <w:t>énoncés</w:t>
      </w:r>
      <w:r>
        <w:t xml:space="preserve"> </w:t>
      </w:r>
      <w:r w:rsidRPr="006503C8">
        <w:t>au</w:t>
      </w:r>
      <w:r>
        <w:t xml:space="preserve"> </w:t>
      </w:r>
      <w:r w:rsidRPr="006503C8">
        <w:t>paragraphe</w:t>
      </w:r>
      <w:r>
        <w:t xml:space="preserve"> </w:t>
      </w:r>
      <w:r w:rsidRPr="006503C8">
        <w:t>3</w:t>
      </w:r>
      <w:r>
        <w:t xml:space="preserve"> </w:t>
      </w:r>
      <w:r w:rsidRPr="006503C8">
        <w:t>de</w:t>
      </w:r>
      <w:r>
        <w:t xml:space="preserve"> </w:t>
      </w:r>
      <w:r w:rsidRPr="006503C8">
        <w:t>l</w:t>
      </w:r>
      <w:r w:rsidR="00CA2931">
        <w:t>’</w:t>
      </w:r>
      <w:r w:rsidRPr="006503C8">
        <w:t>article</w:t>
      </w:r>
      <w:r>
        <w:t xml:space="preserve"> </w:t>
      </w:r>
      <w:r w:rsidRPr="006503C8">
        <w:t>19</w:t>
      </w:r>
      <w:r>
        <w:t xml:space="preserve"> </w:t>
      </w:r>
      <w:r w:rsidRPr="006503C8">
        <w:t>du</w:t>
      </w:r>
      <w:r>
        <w:t xml:space="preserve"> </w:t>
      </w:r>
      <w:r w:rsidRPr="006503C8">
        <w:t>Pacte.</w:t>
      </w:r>
    </w:p>
    <w:p w14:paraId="3FA01216" w14:textId="77777777" w:rsidR="00765853" w:rsidRPr="006503C8" w:rsidRDefault="00765853" w:rsidP="00765853">
      <w:pPr>
        <w:pStyle w:val="SingleTxtG"/>
      </w:pPr>
      <w:r w:rsidRPr="006503C8">
        <w:t>8.3</w:t>
      </w:r>
      <w:r w:rsidRPr="006503C8">
        <w:tab/>
        <w:t>Le</w:t>
      </w:r>
      <w:r>
        <w:t xml:space="preserve"> </w:t>
      </w:r>
      <w:r w:rsidRPr="006503C8">
        <w:t>Comité</w:t>
      </w:r>
      <w:r>
        <w:t xml:space="preserve"> </w:t>
      </w:r>
      <w:r w:rsidRPr="006503C8">
        <w:t>rappelle</w:t>
      </w:r>
      <w:r>
        <w:t xml:space="preserve"> </w:t>
      </w:r>
      <w:r w:rsidRPr="006503C8">
        <w:t>que</w:t>
      </w:r>
      <w:r>
        <w:t xml:space="preserve"> </w:t>
      </w:r>
      <w:r w:rsidRPr="006503C8">
        <w:t>le</w:t>
      </w:r>
      <w:r>
        <w:t xml:space="preserve"> </w:t>
      </w:r>
      <w:r w:rsidRPr="006503C8">
        <w:t>paragraphe</w:t>
      </w:r>
      <w:r>
        <w:t xml:space="preserve"> </w:t>
      </w:r>
      <w:r w:rsidRPr="006503C8">
        <w:t>3</w:t>
      </w:r>
      <w:r>
        <w:t xml:space="preserve"> </w:t>
      </w:r>
      <w:r w:rsidRPr="006503C8">
        <w:t>de</w:t>
      </w:r>
      <w:r>
        <w:t xml:space="preserve"> </w:t>
      </w:r>
      <w:r w:rsidRPr="006503C8">
        <w:t>l</w:t>
      </w:r>
      <w:r w:rsidR="00CA2931">
        <w:t>’</w:t>
      </w:r>
      <w:r w:rsidRPr="006503C8">
        <w:t>article</w:t>
      </w:r>
      <w:r>
        <w:t xml:space="preserve"> </w:t>
      </w:r>
      <w:r w:rsidRPr="006503C8">
        <w:t>19</w:t>
      </w:r>
      <w:r>
        <w:t xml:space="preserve"> </w:t>
      </w:r>
      <w:r w:rsidRPr="006503C8">
        <w:t>du</w:t>
      </w:r>
      <w:r>
        <w:t xml:space="preserve"> </w:t>
      </w:r>
      <w:r w:rsidRPr="006503C8">
        <w:t>Pacte</w:t>
      </w:r>
      <w:r>
        <w:t xml:space="preserve"> </w:t>
      </w:r>
      <w:r w:rsidRPr="006503C8">
        <w:t>autorise</w:t>
      </w:r>
      <w:r>
        <w:t xml:space="preserve"> </w:t>
      </w:r>
      <w:r w:rsidRPr="006503C8">
        <w:t>certaines</w:t>
      </w:r>
      <w:r>
        <w:t xml:space="preserve"> </w:t>
      </w:r>
      <w:r w:rsidRPr="006503C8">
        <w:t>restrictions,</w:t>
      </w:r>
      <w:r>
        <w:t xml:space="preserve"> </w:t>
      </w:r>
      <w:r w:rsidRPr="006503C8">
        <w:t>dans</w:t>
      </w:r>
      <w:r>
        <w:t xml:space="preserve"> </w:t>
      </w:r>
      <w:r w:rsidRPr="006503C8">
        <w:t>la</w:t>
      </w:r>
      <w:r>
        <w:t xml:space="preserve"> </w:t>
      </w:r>
      <w:r w:rsidRPr="006503C8">
        <w:t>mesure</w:t>
      </w:r>
      <w:r>
        <w:t xml:space="preserve"> </w:t>
      </w:r>
      <w:r w:rsidRPr="006503C8">
        <w:t>où</w:t>
      </w:r>
      <w:r>
        <w:t xml:space="preserve"> </w:t>
      </w:r>
      <w:r w:rsidRPr="006503C8">
        <w:t>celles-ci</w:t>
      </w:r>
      <w:r>
        <w:t xml:space="preserve"> </w:t>
      </w:r>
      <w:r w:rsidRPr="006503C8">
        <w:t>sont</w:t>
      </w:r>
      <w:r>
        <w:t xml:space="preserve"> </w:t>
      </w:r>
      <w:r w:rsidRPr="006503C8">
        <w:t>fixées</w:t>
      </w:r>
      <w:r>
        <w:t xml:space="preserve"> </w:t>
      </w:r>
      <w:r w:rsidRPr="006503C8">
        <w:t>par</w:t>
      </w:r>
      <w:r>
        <w:t xml:space="preserve"> </w:t>
      </w:r>
      <w:r w:rsidRPr="006503C8">
        <w:t>la</w:t>
      </w:r>
      <w:r>
        <w:t xml:space="preserve"> </w:t>
      </w:r>
      <w:r w:rsidRPr="006503C8">
        <w:t>loi</w:t>
      </w:r>
      <w:r>
        <w:t xml:space="preserve"> </w:t>
      </w:r>
      <w:r w:rsidRPr="006503C8">
        <w:t>et</w:t>
      </w:r>
      <w:r>
        <w:t xml:space="preserve"> </w:t>
      </w:r>
      <w:r w:rsidRPr="006503C8">
        <w:t>nécessaires</w:t>
      </w:r>
      <w:r>
        <w:t xml:space="preserve"> </w:t>
      </w:r>
      <w:r w:rsidRPr="006503C8">
        <w:t>au</w:t>
      </w:r>
      <w:r>
        <w:t xml:space="preserve"> </w:t>
      </w:r>
      <w:r w:rsidRPr="006503C8">
        <w:t>respect</w:t>
      </w:r>
      <w:r>
        <w:t xml:space="preserve"> </w:t>
      </w:r>
      <w:r w:rsidRPr="006503C8">
        <w:t>des</w:t>
      </w:r>
      <w:r>
        <w:t xml:space="preserve"> </w:t>
      </w:r>
      <w:r w:rsidRPr="006503C8">
        <w:t>droits</w:t>
      </w:r>
      <w:r>
        <w:t xml:space="preserve"> </w:t>
      </w:r>
      <w:r w:rsidRPr="006503C8">
        <w:t>ou</w:t>
      </w:r>
      <w:r>
        <w:t xml:space="preserve"> </w:t>
      </w:r>
      <w:r w:rsidRPr="006503C8">
        <w:t>de</w:t>
      </w:r>
      <w:r>
        <w:t xml:space="preserve"> </w:t>
      </w:r>
      <w:r w:rsidRPr="006503C8">
        <w:t>la</w:t>
      </w:r>
      <w:r>
        <w:t xml:space="preserve"> </w:t>
      </w:r>
      <w:r w:rsidRPr="006503C8">
        <w:t>réputation</w:t>
      </w:r>
      <w:r>
        <w:t xml:space="preserve"> </w:t>
      </w:r>
      <w:r w:rsidRPr="006503C8">
        <w:t>d</w:t>
      </w:r>
      <w:r w:rsidR="00CA2931">
        <w:t>’</w:t>
      </w:r>
      <w:r w:rsidRPr="006503C8">
        <w:t>autrui</w:t>
      </w:r>
      <w:r>
        <w:t xml:space="preserve"> </w:t>
      </w:r>
      <w:r w:rsidRPr="006503C8">
        <w:t>ou</w:t>
      </w:r>
      <w:r>
        <w:t xml:space="preserve"> </w:t>
      </w:r>
      <w:r w:rsidRPr="006503C8">
        <w:t>à</w:t>
      </w:r>
      <w:r>
        <w:t xml:space="preserve"> </w:t>
      </w:r>
      <w:r w:rsidRPr="006503C8">
        <w:t>la</w:t>
      </w:r>
      <w:r>
        <w:t xml:space="preserve"> </w:t>
      </w:r>
      <w:r w:rsidRPr="006503C8">
        <w:t>sauvegarde</w:t>
      </w:r>
      <w:r>
        <w:t xml:space="preserve"> </w:t>
      </w:r>
      <w:r w:rsidRPr="006503C8">
        <w:t>de</w:t>
      </w:r>
      <w:r>
        <w:t xml:space="preserve"> </w:t>
      </w:r>
      <w:r w:rsidRPr="006503C8">
        <w:t>la</w:t>
      </w:r>
      <w:r>
        <w:t xml:space="preserve"> </w:t>
      </w:r>
      <w:r w:rsidRPr="006503C8">
        <w:t>sécurité</w:t>
      </w:r>
      <w:r>
        <w:t xml:space="preserve"> </w:t>
      </w:r>
      <w:r w:rsidRPr="006503C8">
        <w:t>nationale,</w:t>
      </w:r>
      <w:r>
        <w:t xml:space="preserve"> </w:t>
      </w:r>
      <w:r w:rsidRPr="006503C8">
        <w:t>de</w:t>
      </w:r>
      <w:r>
        <w:t xml:space="preserve"> </w:t>
      </w:r>
      <w:r w:rsidRPr="006503C8">
        <w:t>l</w:t>
      </w:r>
      <w:r w:rsidR="00CA2931">
        <w:t>’</w:t>
      </w:r>
      <w:r w:rsidRPr="006503C8">
        <w:t>ordre</w:t>
      </w:r>
      <w:r>
        <w:t xml:space="preserve"> </w:t>
      </w:r>
      <w:r w:rsidRPr="006503C8">
        <w:t>public,</w:t>
      </w:r>
      <w:r>
        <w:t xml:space="preserve"> </w:t>
      </w:r>
      <w:r w:rsidRPr="006503C8">
        <w:t>de</w:t>
      </w:r>
      <w:r>
        <w:t xml:space="preserve"> </w:t>
      </w:r>
      <w:r w:rsidRPr="006503C8">
        <w:t>la</w:t>
      </w:r>
      <w:r>
        <w:t xml:space="preserve"> </w:t>
      </w:r>
      <w:r w:rsidRPr="006503C8">
        <w:t>santé</w:t>
      </w:r>
      <w:r>
        <w:t xml:space="preserve"> </w:t>
      </w:r>
      <w:r w:rsidRPr="006503C8">
        <w:t>ou</w:t>
      </w:r>
      <w:r>
        <w:t xml:space="preserve"> </w:t>
      </w:r>
      <w:r w:rsidRPr="006503C8">
        <w:t>de</w:t>
      </w:r>
      <w:r>
        <w:t xml:space="preserve"> </w:t>
      </w:r>
      <w:r w:rsidRPr="006503C8">
        <w:t>la</w:t>
      </w:r>
      <w:r>
        <w:t xml:space="preserve"> </w:t>
      </w:r>
      <w:r w:rsidRPr="006503C8">
        <w:t>moralité</w:t>
      </w:r>
      <w:r>
        <w:t xml:space="preserve"> </w:t>
      </w:r>
      <w:r w:rsidRPr="006503C8">
        <w:t>publiques.</w:t>
      </w:r>
      <w:r>
        <w:t xml:space="preserve"> </w:t>
      </w:r>
      <w:r w:rsidRPr="006503C8">
        <w:t>Le</w:t>
      </w:r>
      <w:r>
        <w:t xml:space="preserve"> </w:t>
      </w:r>
      <w:r w:rsidRPr="006503C8">
        <w:t>Comité</w:t>
      </w:r>
      <w:r>
        <w:t xml:space="preserve"> </w:t>
      </w:r>
      <w:r w:rsidRPr="006503C8">
        <w:t>renvoie</w:t>
      </w:r>
      <w:r>
        <w:t xml:space="preserve"> </w:t>
      </w:r>
      <w:r w:rsidRPr="006503C8">
        <w:t>à</w:t>
      </w:r>
      <w:r>
        <w:t xml:space="preserve"> </w:t>
      </w:r>
      <w:r w:rsidRPr="006503C8">
        <w:t>son</w:t>
      </w:r>
      <w:r>
        <w:t xml:space="preserve"> observation générale </w:t>
      </w:r>
      <w:r w:rsidRPr="006503C8">
        <w:t>n</w:t>
      </w:r>
      <w:r w:rsidRPr="006503C8">
        <w:rPr>
          <w:vertAlign w:val="superscript"/>
        </w:rPr>
        <w:t>o</w:t>
      </w:r>
      <w:r>
        <w:t> </w:t>
      </w:r>
      <w:r w:rsidRPr="006503C8">
        <w:t>34,</w:t>
      </w:r>
      <w:r>
        <w:t xml:space="preserve"> </w:t>
      </w:r>
      <w:r w:rsidRPr="006503C8">
        <w:t>dans</w:t>
      </w:r>
      <w:r>
        <w:t xml:space="preserve"> </w:t>
      </w:r>
      <w:r w:rsidRPr="006503C8">
        <w:t>laquelle</w:t>
      </w:r>
      <w:r>
        <w:t xml:space="preserve"> </w:t>
      </w:r>
      <w:r w:rsidRPr="006503C8">
        <w:t>il</w:t>
      </w:r>
      <w:r>
        <w:t xml:space="preserve"> </w:t>
      </w:r>
      <w:r w:rsidRPr="006503C8">
        <w:t>déclare</w:t>
      </w:r>
      <w:r>
        <w:t xml:space="preserve"> </w:t>
      </w:r>
      <w:r w:rsidRPr="006503C8">
        <w:t>que</w:t>
      </w:r>
      <w:r>
        <w:t xml:space="preserve"> </w:t>
      </w:r>
      <w:r w:rsidRPr="006503C8">
        <w:t>ces</w:t>
      </w:r>
      <w:r>
        <w:t xml:space="preserve"> </w:t>
      </w:r>
      <w:r w:rsidRPr="006503C8">
        <w:t>libertés</w:t>
      </w:r>
      <w:r>
        <w:t xml:space="preserve"> </w:t>
      </w:r>
      <w:r w:rsidRPr="006503C8">
        <w:t>sont</w:t>
      </w:r>
      <w:r>
        <w:t xml:space="preserve"> </w:t>
      </w:r>
      <w:r w:rsidRPr="006503C8">
        <w:t>des</w:t>
      </w:r>
      <w:r>
        <w:t xml:space="preserve"> </w:t>
      </w:r>
      <w:r w:rsidRPr="006503C8">
        <w:t>conditions</w:t>
      </w:r>
      <w:r>
        <w:t xml:space="preserve"> </w:t>
      </w:r>
      <w:r w:rsidRPr="006503C8">
        <w:t>indispensables</w:t>
      </w:r>
      <w:r>
        <w:t xml:space="preserve"> </w:t>
      </w:r>
      <w:r w:rsidRPr="006503C8">
        <w:t>au</w:t>
      </w:r>
      <w:r>
        <w:t xml:space="preserve"> </w:t>
      </w:r>
      <w:r w:rsidRPr="006503C8">
        <w:t>développement</w:t>
      </w:r>
      <w:r>
        <w:t xml:space="preserve"> </w:t>
      </w:r>
      <w:r w:rsidRPr="006503C8">
        <w:t>complet</w:t>
      </w:r>
      <w:r>
        <w:t xml:space="preserve"> </w:t>
      </w:r>
      <w:r w:rsidRPr="006503C8">
        <w:t>de</w:t>
      </w:r>
      <w:r>
        <w:t xml:space="preserve"> </w:t>
      </w:r>
      <w:r w:rsidRPr="006503C8">
        <w:t>l</w:t>
      </w:r>
      <w:r w:rsidR="00CA2931">
        <w:t>’</w:t>
      </w:r>
      <w:r w:rsidRPr="006503C8">
        <w:t>individu</w:t>
      </w:r>
      <w:r>
        <w:t xml:space="preserve"> </w:t>
      </w:r>
      <w:r w:rsidRPr="006503C8">
        <w:t>et</w:t>
      </w:r>
      <w:r>
        <w:t xml:space="preserve"> </w:t>
      </w:r>
      <w:r w:rsidRPr="006503C8">
        <w:t>qu</w:t>
      </w:r>
      <w:r w:rsidR="00CA2931">
        <w:t>’</w:t>
      </w:r>
      <w:r w:rsidRPr="006503C8">
        <w:t>elles</w:t>
      </w:r>
      <w:r>
        <w:t xml:space="preserve"> </w:t>
      </w:r>
      <w:r w:rsidRPr="006503C8">
        <w:t>sont</w:t>
      </w:r>
      <w:r>
        <w:t xml:space="preserve"> </w:t>
      </w:r>
      <w:r w:rsidRPr="006503C8">
        <w:t>essentielles</w:t>
      </w:r>
      <w:r>
        <w:t xml:space="preserve"> </w:t>
      </w:r>
      <w:r w:rsidRPr="006503C8">
        <w:t>pour</w:t>
      </w:r>
      <w:r>
        <w:t xml:space="preserve"> </w:t>
      </w:r>
      <w:r w:rsidRPr="006503C8">
        <w:t>toute</w:t>
      </w:r>
      <w:r>
        <w:t xml:space="preserve"> </w:t>
      </w:r>
      <w:r w:rsidRPr="006503C8">
        <w:t>société.</w:t>
      </w:r>
      <w:r>
        <w:t xml:space="preserve"> </w:t>
      </w:r>
      <w:r w:rsidRPr="006503C8">
        <w:t>Elles</w:t>
      </w:r>
      <w:r>
        <w:t xml:space="preserve"> </w:t>
      </w:r>
      <w:r w:rsidRPr="006503C8">
        <w:t>constituent</w:t>
      </w:r>
      <w:r>
        <w:t xml:space="preserve"> </w:t>
      </w:r>
      <w:r w:rsidRPr="006503C8">
        <w:t>le</w:t>
      </w:r>
      <w:r>
        <w:t xml:space="preserve"> </w:t>
      </w:r>
      <w:r w:rsidRPr="006503C8">
        <w:t>fondement</w:t>
      </w:r>
      <w:r>
        <w:t xml:space="preserve"> </w:t>
      </w:r>
      <w:r w:rsidRPr="006503C8">
        <w:t>de</w:t>
      </w:r>
      <w:r>
        <w:t xml:space="preserve"> </w:t>
      </w:r>
      <w:r w:rsidRPr="006503C8">
        <w:t>toute</w:t>
      </w:r>
      <w:r>
        <w:t xml:space="preserve"> </w:t>
      </w:r>
      <w:r w:rsidRPr="006503C8">
        <w:t>société</w:t>
      </w:r>
      <w:r>
        <w:t xml:space="preserve"> </w:t>
      </w:r>
      <w:r w:rsidRPr="006503C8">
        <w:t>libre</w:t>
      </w:r>
      <w:r>
        <w:t xml:space="preserve"> </w:t>
      </w:r>
      <w:r w:rsidRPr="006503C8">
        <w:t>et</w:t>
      </w:r>
      <w:r>
        <w:t xml:space="preserve"> </w:t>
      </w:r>
      <w:r w:rsidRPr="006503C8">
        <w:t>démocratique.</w:t>
      </w:r>
      <w:r>
        <w:t xml:space="preserve"> </w:t>
      </w:r>
      <w:r w:rsidRPr="006503C8">
        <w:t>Toute</w:t>
      </w:r>
      <w:r>
        <w:t xml:space="preserve"> </w:t>
      </w:r>
      <w:r w:rsidRPr="006503C8">
        <w:t>restriction</w:t>
      </w:r>
      <w:r>
        <w:t xml:space="preserve"> </w:t>
      </w:r>
      <w:r w:rsidRPr="006503C8">
        <w:t>à</w:t>
      </w:r>
      <w:r>
        <w:t xml:space="preserve"> </w:t>
      </w:r>
      <w:r w:rsidRPr="006503C8">
        <w:t>l</w:t>
      </w:r>
      <w:r w:rsidR="00CA2931">
        <w:t>’</w:t>
      </w:r>
      <w:r w:rsidRPr="006503C8">
        <w:t>exercice</w:t>
      </w:r>
      <w:r>
        <w:t xml:space="preserve"> </w:t>
      </w:r>
      <w:r w:rsidRPr="006503C8">
        <w:t>de</w:t>
      </w:r>
      <w:r>
        <w:t xml:space="preserve"> </w:t>
      </w:r>
      <w:r w:rsidRPr="006503C8">
        <w:t>ces</w:t>
      </w:r>
      <w:r>
        <w:t xml:space="preserve"> </w:t>
      </w:r>
      <w:r w:rsidRPr="006503C8">
        <w:t>libertés</w:t>
      </w:r>
      <w:r>
        <w:t xml:space="preserve"> </w:t>
      </w:r>
      <w:r w:rsidRPr="006503C8">
        <w:t>doit</w:t>
      </w:r>
      <w:r>
        <w:t xml:space="preserve"> </w:t>
      </w:r>
      <w:r w:rsidRPr="006503C8">
        <w:t>répondre</w:t>
      </w:r>
      <w:r>
        <w:t xml:space="preserve"> </w:t>
      </w:r>
      <w:r w:rsidRPr="006503C8">
        <w:t>aux</w:t>
      </w:r>
      <w:r>
        <w:t xml:space="preserve"> </w:t>
      </w:r>
      <w:r w:rsidRPr="006503C8">
        <w:t>critères</w:t>
      </w:r>
      <w:r>
        <w:t xml:space="preserve"> </w:t>
      </w:r>
      <w:r w:rsidRPr="006503C8">
        <w:t>stricts</w:t>
      </w:r>
      <w:r>
        <w:t xml:space="preserve"> </w:t>
      </w:r>
      <w:r w:rsidRPr="006503C8">
        <w:t>de</w:t>
      </w:r>
      <w:r>
        <w:t xml:space="preserve"> </w:t>
      </w:r>
      <w:r w:rsidRPr="006503C8">
        <w:t>nécessité</w:t>
      </w:r>
      <w:r>
        <w:t xml:space="preserve"> </w:t>
      </w:r>
      <w:r w:rsidRPr="006503C8">
        <w:t>et</w:t>
      </w:r>
      <w:r>
        <w:t xml:space="preserve"> </w:t>
      </w:r>
      <w:r w:rsidRPr="006503C8">
        <w:t>de</w:t>
      </w:r>
      <w:r>
        <w:t xml:space="preserve"> </w:t>
      </w:r>
      <w:r w:rsidRPr="006503C8">
        <w:t>proportionnalité.</w:t>
      </w:r>
      <w:r>
        <w:t xml:space="preserve"> </w:t>
      </w:r>
      <w:r w:rsidRPr="006503C8">
        <w:t>Les</w:t>
      </w:r>
      <w:r>
        <w:t xml:space="preserve"> </w:t>
      </w:r>
      <w:r w:rsidRPr="006503C8">
        <w:t>restrictions</w:t>
      </w:r>
      <w:r>
        <w:t xml:space="preserve"> </w:t>
      </w:r>
      <w:r w:rsidRPr="006503C8">
        <w:t>doivent</w:t>
      </w:r>
      <w:r>
        <w:t xml:space="preserve"> </w:t>
      </w:r>
      <w:r w:rsidRPr="006503C8">
        <w:t>être</w:t>
      </w:r>
      <w:r>
        <w:t xml:space="preserve"> </w:t>
      </w:r>
      <w:r w:rsidRPr="006503C8">
        <w:t>appliquées</w:t>
      </w:r>
      <w:r>
        <w:t xml:space="preserve"> </w:t>
      </w:r>
      <w:r w:rsidRPr="006503C8">
        <w:t>exclusivement</w:t>
      </w:r>
      <w:r>
        <w:t xml:space="preserve"> </w:t>
      </w:r>
      <w:r w:rsidRPr="006503C8">
        <w:t>aux</w:t>
      </w:r>
      <w:r>
        <w:t xml:space="preserve"> </w:t>
      </w:r>
      <w:r w:rsidRPr="006503C8">
        <w:t>fins</w:t>
      </w:r>
      <w:r>
        <w:t xml:space="preserve"> </w:t>
      </w:r>
      <w:r w:rsidRPr="006503C8">
        <w:t>pour</w:t>
      </w:r>
      <w:r>
        <w:t xml:space="preserve"> </w:t>
      </w:r>
      <w:r w:rsidRPr="006503C8">
        <w:t>lesquelles</w:t>
      </w:r>
      <w:r>
        <w:t xml:space="preserve"> </w:t>
      </w:r>
      <w:r w:rsidRPr="006503C8">
        <w:t>elles</w:t>
      </w:r>
      <w:r>
        <w:t xml:space="preserve"> </w:t>
      </w:r>
      <w:r w:rsidRPr="006503C8">
        <w:t>ont</w:t>
      </w:r>
      <w:r>
        <w:t xml:space="preserve"> </w:t>
      </w:r>
      <w:r w:rsidRPr="006503C8">
        <w:t>été</w:t>
      </w:r>
      <w:r>
        <w:t xml:space="preserve"> </w:t>
      </w:r>
      <w:r w:rsidRPr="006503C8">
        <w:t>prescrites</w:t>
      </w:r>
      <w:r>
        <w:t xml:space="preserve"> </w:t>
      </w:r>
      <w:r w:rsidRPr="006503C8">
        <w:t>et</w:t>
      </w:r>
      <w:r>
        <w:t xml:space="preserve"> </w:t>
      </w:r>
      <w:r w:rsidRPr="006503C8">
        <w:t>doivent</w:t>
      </w:r>
      <w:r>
        <w:t xml:space="preserve"> </w:t>
      </w:r>
      <w:r w:rsidRPr="006503C8">
        <w:t>être</w:t>
      </w:r>
      <w:r>
        <w:t xml:space="preserve"> </w:t>
      </w:r>
      <w:r w:rsidRPr="006503C8">
        <w:t>en</w:t>
      </w:r>
      <w:r>
        <w:t xml:space="preserve"> </w:t>
      </w:r>
      <w:r w:rsidRPr="006503C8">
        <w:t>rapport</w:t>
      </w:r>
      <w:r>
        <w:t xml:space="preserve"> </w:t>
      </w:r>
      <w:r w:rsidRPr="006503C8">
        <w:t>direct</w:t>
      </w:r>
      <w:r>
        <w:t xml:space="preserve"> </w:t>
      </w:r>
      <w:r w:rsidRPr="006503C8">
        <w:t>avec</w:t>
      </w:r>
      <w:r>
        <w:t xml:space="preserve"> </w:t>
      </w:r>
      <w:r w:rsidRPr="006503C8">
        <w:t>l</w:t>
      </w:r>
      <w:r w:rsidR="00CA2931">
        <w:t>’</w:t>
      </w:r>
      <w:r w:rsidRPr="006503C8">
        <w:t>objectif</w:t>
      </w:r>
      <w:r>
        <w:t xml:space="preserve"> </w:t>
      </w:r>
      <w:r w:rsidRPr="006503C8">
        <w:t>spécifique</w:t>
      </w:r>
      <w:r>
        <w:t xml:space="preserve"> </w:t>
      </w:r>
      <w:r w:rsidRPr="006503C8">
        <w:t>qui</w:t>
      </w:r>
      <w:r>
        <w:t xml:space="preserve"> </w:t>
      </w:r>
      <w:r w:rsidRPr="006503C8">
        <w:t>les</w:t>
      </w:r>
      <w:r>
        <w:t xml:space="preserve"> </w:t>
      </w:r>
      <w:r w:rsidRPr="006503C8">
        <w:t>inspire.</w:t>
      </w:r>
      <w:r>
        <w:t xml:space="preserve"> </w:t>
      </w:r>
      <w:r w:rsidRPr="006503C8">
        <w:t>Le</w:t>
      </w:r>
      <w:r>
        <w:t xml:space="preserve"> </w:t>
      </w:r>
      <w:r w:rsidRPr="006503C8">
        <w:t>Comité</w:t>
      </w:r>
      <w:r>
        <w:t xml:space="preserve"> </w:t>
      </w:r>
      <w:r w:rsidRPr="006503C8">
        <w:t>rappelle</w:t>
      </w:r>
      <w:r>
        <w:t xml:space="preserve"> </w:t>
      </w:r>
      <w:r w:rsidRPr="006503C8">
        <w:t>que</w:t>
      </w:r>
      <w:r>
        <w:t xml:space="preserve"> </w:t>
      </w:r>
      <w:r w:rsidRPr="006503C8">
        <w:t>c</w:t>
      </w:r>
      <w:r w:rsidR="00CA2931">
        <w:t>’</w:t>
      </w:r>
      <w:r w:rsidRPr="006503C8">
        <w:t>est</w:t>
      </w:r>
      <w:r>
        <w:t xml:space="preserve"> </w:t>
      </w:r>
      <w:r w:rsidRPr="006503C8">
        <w:t>à</w:t>
      </w:r>
      <w:r>
        <w:t xml:space="preserve"> </w:t>
      </w:r>
      <w:r w:rsidRPr="006503C8">
        <w:t>l</w:t>
      </w:r>
      <w:r w:rsidR="00CA2931">
        <w:t>’</w:t>
      </w:r>
      <w:r w:rsidRPr="006503C8">
        <w:t>État</w:t>
      </w:r>
      <w:r>
        <w:t xml:space="preserve"> </w:t>
      </w:r>
      <w:r w:rsidRPr="006503C8">
        <w:t>partie</w:t>
      </w:r>
      <w:r>
        <w:t xml:space="preserve"> </w:t>
      </w:r>
      <w:r w:rsidRPr="006503C8">
        <w:t>qu</w:t>
      </w:r>
      <w:r w:rsidR="00CA2931">
        <w:t>’</w:t>
      </w:r>
      <w:r w:rsidRPr="006503C8">
        <w:t>il</w:t>
      </w:r>
      <w:r>
        <w:t xml:space="preserve"> </w:t>
      </w:r>
      <w:r w:rsidRPr="006503C8">
        <w:t>incombe</w:t>
      </w:r>
      <w:r>
        <w:t xml:space="preserve"> </w:t>
      </w:r>
      <w:r w:rsidRPr="006503C8">
        <w:t>de</w:t>
      </w:r>
      <w:r>
        <w:t xml:space="preserve"> </w:t>
      </w:r>
      <w:r w:rsidRPr="006503C8">
        <w:t>démontrer</w:t>
      </w:r>
      <w:r>
        <w:t xml:space="preserve"> </w:t>
      </w:r>
      <w:r w:rsidRPr="006503C8">
        <w:t>que</w:t>
      </w:r>
      <w:r>
        <w:t xml:space="preserve"> </w:t>
      </w:r>
      <w:r w:rsidRPr="006503C8">
        <w:t>les</w:t>
      </w:r>
      <w:r>
        <w:t xml:space="preserve"> </w:t>
      </w:r>
      <w:r w:rsidRPr="006503C8">
        <w:t>restrictions</w:t>
      </w:r>
      <w:r>
        <w:t xml:space="preserve"> </w:t>
      </w:r>
      <w:r w:rsidRPr="006503C8">
        <w:t>imposées</w:t>
      </w:r>
      <w:r>
        <w:t xml:space="preserve"> </w:t>
      </w:r>
      <w:r w:rsidRPr="006503C8">
        <w:t>aux</w:t>
      </w:r>
      <w:r>
        <w:t xml:space="preserve"> </w:t>
      </w:r>
      <w:r w:rsidRPr="006503C8">
        <w:t>droits</w:t>
      </w:r>
      <w:r>
        <w:t xml:space="preserve"> </w:t>
      </w:r>
      <w:r w:rsidRPr="006503C8">
        <w:t>que</w:t>
      </w:r>
      <w:r>
        <w:t xml:space="preserve"> </w:t>
      </w:r>
      <w:r w:rsidRPr="006503C8">
        <w:t>l</w:t>
      </w:r>
      <w:r w:rsidR="00CA2931">
        <w:t>’</w:t>
      </w:r>
      <w:r w:rsidRPr="006503C8">
        <w:t>auteure</w:t>
      </w:r>
      <w:r>
        <w:t xml:space="preserve"> </w:t>
      </w:r>
      <w:r w:rsidRPr="006503C8">
        <w:t>tient</w:t>
      </w:r>
      <w:r>
        <w:t xml:space="preserve"> </w:t>
      </w:r>
      <w:r w:rsidRPr="006503C8">
        <w:t>de</w:t>
      </w:r>
      <w:r>
        <w:t xml:space="preserve"> </w:t>
      </w:r>
      <w:r w:rsidRPr="006503C8">
        <w:t>l</w:t>
      </w:r>
      <w:r w:rsidR="00CA2931">
        <w:t>’</w:t>
      </w:r>
      <w:r w:rsidRPr="006503C8">
        <w:t>article</w:t>
      </w:r>
      <w:r>
        <w:t xml:space="preserve"> </w:t>
      </w:r>
      <w:r w:rsidRPr="006503C8">
        <w:t>19</w:t>
      </w:r>
      <w:r>
        <w:t xml:space="preserve"> </w:t>
      </w:r>
      <w:r w:rsidRPr="006503C8">
        <w:t>étaient</w:t>
      </w:r>
      <w:r>
        <w:t xml:space="preserve"> </w:t>
      </w:r>
      <w:r w:rsidRPr="006503C8">
        <w:t>nécessaires</w:t>
      </w:r>
      <w:r>
        <w:t xml:space="preserve"> </w:t>
      </w:r>
      <w:r w:rsidRPr="006503C8">
        <w:t>et</w:t>
      </w:r>
      <w:r>
        <w:t xml:space="preserve"> </w:t>
      </w:r>
      <w:r w:rsidRPr="006503C8">
        <w:t>proportionnées</w:t>
      </w:r>
      <w:r w:rsidRPr="00A47548">
        <w:rPr>
          <w:rStyle w:val="Appelnotedebasdep"/>
        </w:rPr>
        <w:footnoteReference w:id="13"/>
      </w:r>
      <w:r w:rsidRPr="006503C8">
        <w:t>.</w:t>
      </w:r>
    </w:p>
    <w:p w14:paraId="7AE2B4EC" w14:textId="77777777" w:rsidR="00765853" w:rsidRPr="006503C8" w:rsidRDefault="00765853" w:rsidP="00765853">
      <w:pPr>
        <w:pStyle w:val="SingleTxtG"/>
      </w:pPr>
      <w:r w:rsidRPr="006503C8">
        <w:t>8.</w:t>
      </w:r>
      <w:r>
        <w:t>4</w:t>
      </w:r>
      <w:r w:rsidRPr="006503C8">
        <w:tab/>
        <w:t>S</w:t>
      </w:r>
      <w:r w:rsidR="00CA2931">
        <w:t>’</w:t>
      </w:r>
      <w:r w:rsidRPr="006503C8">
        <w:t>agissant</w:t>
      </w:r>
      <w:r>
        <w:t xml:space="preserve"> </w:t>
      </w:r>
      <w:r w:rsidRPr="006503C8">
        <w:t>de</w:t>
      </w:r>
      <w:r>
        <w:t xml:space="preserve"> </w:t>
      </w:r>
      <w:r w:rsidRPr="006503C8">
        <w:t>la</w:t>
      </w:r>
      <w:r>
        <w:t xml:space="preserve"> </w:t>
      </w:r>
      <w:r w:rsidRPr="006503C8">
        <w:t>question</w:t>
      </w:r>
      <w:r>
        <w:t xml:space="preserve"> </w:t>
      </w:r>
      <w:r w:rsidRPr="006503C8">
        <w:t>de</w:t>
      </w:r>
      <w:r>
        <w:t xml:space="preserve"> </w:t>
      </w:r>
      <w:r w:rsidRPr="006503C8">
        <w:t>savoir</w:t>
      </w:r>
      <w:r>
        <w:t xml:space="preserve"> </w:t>
      </w:r>
      <w:r w:rsidRPr="006503C8">
        <w:t>si</w:t>
      </w:r>
      <w:r>
        <w:t xml:space="preserve"> </w:t>
      </w:r>
      <w:r w:rsidRPr="006503C8">
        <w:t>la</w:t>
      </w:r>
      <w:r>
        <w:t xml:space="preserve"> </w:t>
      </w:r>
      <w:r w:rsidRPr="006503C8">
        <w:t>restriction</w:t>
      </w:r>
      <w:r>
        <w:t xml:space="preserve"> </w:t>
      </w:r>
      <w:r w:rsidRPr="006503C8">
        <w:t>était</w:t>
      </w:r>
      <w:r>
        <w:t xml:space="preserve"> </w:t>
      </w:r>
      <w:r w:rsidRPr="006503C8">
        <w:t>fixée</w:t>
      </w:r>
      <w:r>
        <w:t xml:space="preserve"> </w:t>
      </w:r>
      <w:r w:rsidRPr="006503C8">
        <w:t>par</w:t>
      </w:r>
      <w:r>
        <w:t xml:space="preserve"> </w:t>
      </w:r>
      <w:r w:rsidRPr="006503C8">
        <w:t>la</w:t>
      </w:r>
      <w:r>
        <w:t xml:space="preserve"> </w:t>
      </w:r>
      <w:r w:rsidRPr="006503C8">
        <w:t>loi,</w:t>
      </w:r>
      <w:r>
        <w:t xml:space="preserve"> </w:t>
      </w:r>
      <w:r w:rsidRPr="006503C8">
        <w:t>le</w:t>
      </w:r>
      <w:r>
        <w:t xml:space="preserve"> </w:t>
      </w:r>
      <w:r w:rsidRPr="006503C8">
        <w:t>Comité</w:t>
      </w:r>
      <w:r>
        <w:t xml:space="preserve"> </w:t>
      </w:r>
      <w:r w:rsidRPr="006503C8">
        <w:t>constate</w:t>
      </w:r>
      <w:r>
        <w:t xml:space="preserve"> </w:t>
      </w:r>
      <w:r w:rsidRPr="006503C8">
        <w:t>que</w:t>
      </w:r>
      <w:r>
        <w:t xml:space="preserve"> </w:t>
      </w:r>
      <w:r w:rsidRPr="006503C8">
        <w:t>les</w:t>
      </w:r>
      <w:r>
        <w:t xml:space="preserve"> </w:t>
      </w:r>
      <w:r w:rsidRPr="006503C8">
        <w:t>parties</w:t>
      </w:r>
      <w:r>
        <w:t xml:space="preserve"> </w:t>
      </w:r>
      <w:r w:rsidRPr="006503C8">
        <w:t>ne</w:t>
      </w:r>
      <w:r>
        <w:t xml:space="preserve"> </w:t>
      </w:r>
      <w:r w:rsidRPr="006503C8">
        <w:t>s</w:t>
      </w:r>
      <w:r w:rsidR="00CA2931">
        <w:t>’</w:t>
      </w:r>
      <w:r w:rsidRPr="006503C8">
        <w:t>entendent</w:t>
      </w:r>
      <w:r>
        <w:t xml:space="preserve"> </w:t>
      </w:r>
      <w:r w:rsidRPr="006503C8">
        <w:t>pas</w:t>
      </w:r>
      <w:r>
        <w:t xml:space="preserve"> </w:t>
      </w:r>
      <w:r w:rsidRPr="006503C8">
        <w:t>sur</w:t>
      </w:r>
      <w:r>
        <w:t xml:space="preserve"> </w:t>
      </w:r>
      <w:r w:rsidRPr="006503C8">
        <w:t>l</w:t>
      </w:r>
      <w:r w:rsidR="00CA2931">
        <w:t>’</w:t>
      </w:r>
      <w:r w:rsidRPr="006503C8">
        <w:t>interprétation</w:t>
      </w:r>
      <w:r>
        <w:t xml:space="preserve"> </w:t>
      </w:r>
      <w:r w:rsidRPr="006503C8">
        <w:t>de</w:t>
      </w:r>
      <w:r>
        <w:t xml:space="preserve"> </w:t>
      </w:r>
      <w:r w:rsidRPr="006503C8">
        <w:t>la</w:t>
      </w:r>
      <w:r>
        <w:t xml:space="preserve"> législation </w:t>
      </w:r>
      <w:r w:rsidRPr="006503C8">
        <w:t>nationale,</w:t>
      </w:r>
      <w:r>
        <w:t xml:space="preserve"> </w:t>
      </w:r>
      <w:r w:rsidRPr="006503C8">
        <w:t>en</w:t>
      </w:r>
      <w:r>
        <w:t xml:space="preserve"> </w:t>
      </w:r>
      <w:r w:rsidRPr="006503C8">
        <w:t>particulier</w:t>
      </w:r>
      <w:r>
        <w:t xml:space="preserve"> </w:t>
      </w:r>
      <w:r w:rsidRPr="006503C8">
        <w:t>sur</w:t>
      </w:r>
      <w:r>
        <w:t xml:space="preserve"> le point </w:t>
      </w:r>
      <w:r w:rsidRPr="006503C8">
        <w:t>de</w:t>
      </w:r>
      <w:r>
        <w:t xml:space="preserve"> </w:t>
      </w:r>
      <w:r w:rsidRPr="006503C8">
        <w:t>savoir</w:t>
      </w:r>
      <w:r>
        <w:t xml:space="preserve"> </w:t>
      </w:r>
      <w:r w:rsidRPr="006503C8">
        <w:t>si</w:t>
      </w:r>
      <w:r>
        <w:t xml:space="preserve"> les procureurs font partie des fonctionnaires auxquels s</w:t>
      </w:r>
      <w:r w:rsidR="00CA2931">
        <w:t>’</w:t>
      </w:r>
      <w:r>
        <w:t xml:space="preserve">appliquent les dispositions de </w:t>
      </w:r>
      <w:r w:rsidRPr="006503C8">
        <w:t>l</w:t>
      </w:r>
      <w:r w:rsidR="00CA2931">
        <w:t>’</w:t>
      </w:r>
      <w:r w:rsidRPr="006503C8">
        <w:t>article</w:t>
      </w:r>
      <w:r>
        <w:t xml:space="preserve"> </w:t>
      </w:r>
      <w:r w:rsidRPr="006503C8">
        <w:t>290</w:t>
      </w:r>
      <w:r>
        <w:t xml:space="preserve"> </w:t>
      </w:r>
      <w:r w:rsidRPr="006503C8">
        <w:t>du</w:t>
      </w:r>
      <w:r>
        <w:t xml:space="preserve"> </w:t>
      </w:r>
      <w:r w:rsidRPr="006503C8">
        <w:t>Code</w:t>
      </w:r>
      <w:r>
        <w:t xml:space="preserve"> </w:t>
      </w:r>
      <w:r w:rsidRPr="006503C8">
        <w:t>pénal</w:t>
      </w:r>
      <w:r>
        <w:t xml:space="preserve"> prévoyant l</w:t>
      </w:r>
      <w:r w:rsidR="00CA2931">
        <w:t>’</w:t>
      </w:r>
      <w:r>
        <w:t>infraction d</w:t>
      </w:r>
      <w:r w:rsidR="00CA2931">
        <w:t>’</w:t>
      </w:r>
      <w:r>
        <w:t>outrage à agent public</w:t>
      </w:r>
      <w:r w:rsidRPr="006503C8">
        <w:t>.</w:t>
      </w:r>
      <w:r>
        <w:t xml:space="preserve"> </w:t>
      </w:r>
      <w:r w:rsidRPr="006503C8">
        <w:t>À</w:t>
      </w:r>
      <w:r>
        <w:t xml:space="preserve"> </w:t>
      </w:r>
      <w:r w:rsidRPr="006503C8">
        <w:t>ce</w:t>
      </w:r>
      <w:r>
        <w:t xml:space="preserve"> </w:t>
      </w:r>
      <w:r w:rsidRPr="006503C8">
        <w:t>sujet,</w:t>
      </w:r>
      <w:r>
        <w:t xml:space="preserve"> il </w:t>
      </w:r>
      <w:r w:rsidRPr="006503C8">
        <w:t>note</w:t>
      </w:r>
      <w:r>
        <w:t xml:space="preserve"> </w:t>
      </w:r>
      <w:r w:rsidRPr="006503C8">
        <w:t>que,</w:t>
      </w:r>
      <w:r>
        <w:t xml:space="preserve"> </w:t>
      </w:r>
      <w:r w:rsidRPr="006503C8">
        <w:t>selon</w:t>
      </w:r>
      <w:r>
        <w:t xml:space="preserve"> </w:t>
      </w:r>
      <w:r w:rsidRPr="006503C8">
        <w:t>l</w:t>
      </w:r>
      <w:r w:rsidR="00CA2931">
        <w:t>’</w:t>
      </w:r>
      <w:r w:rsidRPr="006503C8">
        <w:t>État</w:t>
      </w:r>
      <w:r>
        <w:t xml:space="preserve"> </w:t>
      </w:r>
      <w:r w:rsidRPr="006503C8">
        <w:t>partie,</w:t>
      </w:r>
      <w:r>
        <w:t xml:space="preserve"> </w:t>
      </w:r>
      <w:r w:rsidRPr="006503C8">
        <w:t>la</w:t>
      </w:r>
      <w:r>
        <w:t xml:space="preserve"> </w:t>
      </w:r>
      <w:r w:rsidRPr="006503C8">
        <w:t>restriction</w:t>
      </w:r>
      <w:r>
        <w:t xml:space="preserve"> </w:t>
      </w:r>
      <w:r w:rsidRPr="006503C8">
        <w:t>a</w:t>
      </w:r>
      <w:r>
        <w:t xml:space="preserve"> </w:t>
      </w:r>
      <w:r w:rsidRPr="006503C8">
        <w:t>été</w:t>
      </w:r>
      <w:r>
        <w:t xml:space="preserve"> </w:t>
      </w:r>
      <w:r w:rsidRPr="006503C8">
        <w:t>imposée</w:t>
      </w:r>
      <w:r>
        <w:t xml:space="preserve"> </w:t>
      </w:r>
      <w:r w:rsidRPr="006503C8">
        <w:t>en</w:t>
      </w:r>
      <w:r>
        <w:t xml:space="preserve"> </w:t>
      </w:r>
      <w:r w:rsidRPr="006503C8">
        <w:t>application</w:t>
      </w:r>
      <w:r>
        <w:t xml:space="preserve"> </w:t>
      </w:r>
      <w:r w:rsidRPr="006503C8">
        <w:t>de</w:t>
      </w:r>
      <w:r>
        <w:t xml:space="preserve"> </w:t>
      </w:r>
      <w:r w:rsidRPr="006503C8">
        <w:t>l</w:t>
      </w:r>
      <w:r w:rsidR="00CA2931">
        <w:t>’</w:t>
      </w:r>
      <w:r w:rsidRPr="006503C8">
        <w:t>article</w:t>
      </w:r>
      <w:r>
        <w:t xml:space="preserve"> </w:t>
      </w:r>
      <w:r w:rsidRPr="006503C8">
        <w:t>290</w:t>
      </w:r>
      <w:r>
        <w:t xml:space="preserve"> </w:t>
      </w:r>
      <w:r w:rsidRPr="006503C8">
        <w:t>du</w:t>
      </w:r>
      <w:r>
        <w:t xml:space="preserve"> </w:t>
      </w:r>
      <w:r w:rsidRPr="006503C8">
        <w:t>Code</w:t>
      </w:r>
      <w:r>
        <w:t xml:space="preserve"> </w:t>
      </w:r>
      <w:r w:rsidRPr="006503C8">
        <w:t>pénal,</w:t>
      </w:r>
      <w:r>
        <w:t xml:space="preserve"> </w:t>
      </w:r>
      <w:r w:rsidRPr="006503C8">
        <w:t>qui</w:t>
      </w:r>
      <w:r>
        <w:t xml:space="preserve"> </w:t>
      </w:r>
      <w:r w:rsidRPr="006503C8">
        <w:t>était</w:t>
      </w:r>
      <w:r>
        <w:t xml:space="preserve"> </w:t>
      </w:r>
      <w:r w:rsidRPr="006503C8">
        <w:t>en</w:t>
      </w:r>
      <w:r>
        <w:t xml:space="preserve"> </w:t>
      </w:r>
      <w:r w:rsidRPr="006503C8">
        <w:t>vigueur</w:t>
      </w:r>
      <w:r>
        <w:t xml:space="preserve"> </w:t>
      </w:r>
      <w:r w:rsidRPr="006503C8">
        <w:t>à</w:t>
      </w:r>
      <w:r>
        <w:t xml:space="preserve"> </w:t>
      </w:r>
      <w:r w:rsidRPr="006503C8">
        <w:t>l</w:t>
      </w:r>
      <w:r w:rsidR="00CA2931">
        <w:t>’</w:t>
      </w:r>
      <w:r w:rsidRPr="006503C8">
        <w:t>époque</w:t>
      </w:r>
      <w:r>
        <w:t xml:space="preserve"> </w:t>
      </w:r>
      <w:r w:rsidRPr="006503C8">
        <w:t>des</w:t>
      </w:r>
      <w:r>
        <w:t xml:space="preserve"> </w:t>
      </w:r>
      <w:r w:rsidRPr="006503C8">
        <w:t>faits,</w:t>
      </w:r>
      <w:r>
        <w:t xml:space="preserve"> </w:t>
      </w:r>
      <w:r w:rsidRPr="006503C8">
        <w:t>et</w:t>
      </w:r>
      <w:r>
        <w:t xml:space="preserve"> </w:t>
      </w:r>
      <w:r w:rsidRPr="006503C8">
        <w:t>que</w:t>
      </w:r>
      <w:r>
        <w:t xml:space="preserve"> </w:t>
      </w:r>
      <w:r w:rsidRPr="006503C8">
        <w:t>cet</w:t>
      </w:r>
      <w:r>
        <w:t xml:space="preserve"> </w:t>
      </w:r>
      <w:r w:rsidRPr="006503C8">
        <w:t>article</w:t>
      </w:r>
      <w:r>
        <w:t xml:space="preserve"> </w:t>
      </w:r>
      <w:r w:rsidRPr="006503C8">
        <w:t>a</w:t>
      </w:r>
      <w:r>
        <w:t xml:space="preserve"> </w:t>
      </w:r>
      <w:r w:rsidRPr="006503C8">
        <w:t>été</w:t>
      </w:r>
      <w:r>
        <w:t xml:space="preserve"> </w:t>
      </w:r>
      <w:r w:rsidRPr="006503C8">
        <w:t>interprété</w:t>
      </w:r>
      <w:r>
        <w:t xml:space="preserve"> </w:t>
      </w:r>
      <w:r w:rsidRPr="006503C8">
        <w:t>conformément</w:t>
      </w:r>
      <w:r>
        <w:t xml:space="preserve"> </w:t>
      </w:r>
      <w:r w:rsidRPr="006503C8">
        <w:t>au</w:t>
      </w:r>
      <w:r>
        <w:t xml:space="preserve"> </w:t>
      </w:r>
      <w:r w:rsidRPr="006503C8">
        <w:t>Commentaire</w:t>
      </w:r>
      <w:r>
        <w:t xml:space="preserve"> </w:t>
      </w:r>
      <w:r w:rsidRPr="006503C8">
        <w:t>du</w:t>
      </w:r>
      <w:r>
        <w:t xml:space="preserve"> </w:t>
      </w:r>
      <w:r w:rsidRPr="006503C8">
        <w:t>Code</w:t>
      </w:r>
      <w:r>
        <w:t xml:space="preserve"> </w:t>
      </w:r>
      <w:r w:rsidRPr="006503C8">
        <w:t>pénal</w:t>
      </w:r>
      <w:r>
        <w:t xml:space="preserve"> </w:t>
      </w:r>
      <w:r w:rsidRPr="006503C8">
        <w:t>lituanien</w:t>
      </w:r>
      <w:r w:rsidRPr="00A47548">
        <w:rPr>
          <w:rStyle w:val="Appelnotedebasdep"/>
        </w:rPr>
        <w:footnoteReference w:id="14"/>
      </w:r>
      <w:r w:rsidRPr="006503C8">
        <w:t>.</w:t>
      </w:r>
      <w:r>
        <w:t xml:space="preserve"> </w:t>
      </w:r>
      <w:r w:rsidRPr="006503C8">
        <w:t>Le</w:t>
      </w:r>
      <w:r w:rsidR="00A67A7D">
        <w:t> </w:t>
      </w:r>
      <w:r w:rsidRPr="006503C8">
        <w:t>Comité</w:t>
      </w:r>
      <w:r>
        <w:t xml:space="preserve"> </w:t>
      </w:r>
      <w:r w:rsidRPr="006503C8">
        <w:t>constate</w:t>
      </w:r>
      <w:r>
        <w:t xml:space="preserve"> </w:t>
      </w:r>
      <w:r w:rsidRPr="006503C8">
        <w:t>également</w:t>
      </w:r>
      <w:r>
        <w:t xml:space="preserve"> </w:t>
      </w:r>
      <w:r w:rsidRPr="006503C8">
        <w:t>que,</w:t>
      </w:r>
      <w:r>
        <w:t xml:space="preserve"> </w:t>
      </w:r>
      <w:r w:rsidRPr="006503C8">
        <w:t>selon</w:t>
      </w:r>
      <w:r>
        <w:t xml:space="preserve"> </w:t>
      </w:r>
      <w:r w:rsidRPr="006503C8">
        <w:t>l</w:t>
      </w:r>
      <w:r w:rsidR="00CA2931">
        <w:t>’</w:t>
      </w:r>
      <w:r w:rsidRPr="006503C8">
        <w:t>État</w:t>
      </w:r>
      <w:r>
        <w:t xml:space="preserve"> </w:t>
      </w:r>
      <w:r w:rsidRPr="006503C8">
        <w:t>partie,</w:t>
      </w:r>
      <w:r>
        <w:t xml:space="preserve"> </w:t>
      </w:r>
      <w:r w:rsidRPr="006503C8">
        <w:t>la</w:t>
      </w:r>
      <w:r>
        <w:t xml:space="preserve"> </w:t>
      </w:r>
      <w:r w:rsidRPr="006503C8">
        <w:t>Cour</w:t>
      </w:r>
      <w:r>
        <w:t xml:space="preserve"> </w:t>
      </w:r>
      <w:r w:rsidRPr="006503C8">
        <w:t>suprême</w:t>
      </w:r>
      <w:r>
        <w:t xml:space="preserve"> </w:t>
      </w:r>
      <w:r w:rsidRPr="006503C8">
        <w:t>du</w:t>
      </w:r>
      <w:r>
        <w:t xml:space="preserve"> </w:t>
      </w:r>
      <w:r w:rsidRPr="006503C8">
        <w:t>pays</w:t>
      </w:r>
      <w:r>
        <w:t xml:space="preserve"> </w:t>
      </w:r>
      <w:r w:rsidRPr="006503C8">
        <w:t>a</w:t>
      </w:r>
      <w:r>
        <w:t xml:space="preserve"> </w:t>
      </w:r>
      <w:r w:rsidRPr="006503C8">
        <w:t>minutieusement</w:t>
      </w:r>
      <w:r>
        <w:t xml:space="preserve"> </w:t>
      </w:r>
      <w:r w:rsidRPr="006503C8">
        <w:t>examiné</w:t>
      </w:r>
      <w:r>
        <w:t xml:space="preserve"> </w:t>
      </w:r>
      <w:r w:rsidRPr="006503C8">
        <w:t>la</w:t>
      </w:r>
      <w:r>
        <w:t xml:space="preserve"> </w:t>
      </w:r>
      <w:r w:rsidRPr="006503C8">
        <w:t>question</w:t>
      </w:r>
      <w:r>
        <w:t xml:space="preserve"> </w:t>
      </w:r>
      <w:r w:rsidRPr="006503C8">
        <w:t>et</w:t>
      </w:r>
      <w:r>
        <w:t xml:space="preserve"> </w:t>
      </w:r>
      <w:r w:rsidRPr="006503C8">
        <w:t>a</w:t>
      </w:r>
      <w:r>
        <w:t xml:space="preserve"> </w:t>
      </w:r>
      <w:r w:rsidRPr="006503C8">
        <w:t>conclu</w:t>
      </w:r>
      <w:r>
        <w:t xml:space="preserve"> </w:t>
      </w:r>
      <w:r w:rsidRPr="006503C8">
        <w:t>que</w:t>
      </w:r>
      <w:r>
        <w:t xml:space="preserve"> </w:t>
      </w:r>
      <w:r w:rsidRPr="006503C8">
        <w:t>l</w:t>
      </w:r>
      <w:r w:rsidR="00CA2931">
        <w:t>’</w:t>
      </w:r>
      <w:r w:rsidRPr="006503C8">
        <w:t>interprétation</w:t>
      </w:r>
      <w:r>
        <w:t xml:space="preserve"> </w:t>
      </w:r>
      <w:r w:rsidRPr="006503C8">
        <w:t>de</w:t>
      </w:r>
      <w:r>
        <w:t xml:space="preserve"> </w:t>
      </w:r>
      <w:r w:rsidRPr="006503C8">
        <w:t>la</w:t>
      </w:r>
      <w:r>
        <w:t xml:space="preserve"> </w:t>
      </w:r>
      <w:r w:rsidRPr="006503C8">
        <w:t>loi</w:t>
      </w:r>
      <w:r>
        <w:t xml:space="preserve"> </w:t>
      </w:r>
      <w:r w:rsidRPr="006503C8">
        <w:t>que</w:t>
      </w:r>
      <w:r>
        <w:t xml:space="preserve"> </w:t>
      </w:r>
      <w:r w:rsidRPr="006503C8">
        <w:t>propose</w:t>
      </w:r>
      <w:r>
        <w:t xml:space="preserve"> </w:t>
      </w:r>
      <w:r w:rsidRPr="006503C8">
        <w:t>l</w:t>
      </w:r>
      <w:r w:rsidR="00CA2931">
        <w:t>’</w:t>
      </w:r>
      <w:r w:rsidRPr="006503C8">
        <w:t>auteure</w:t>
      </w:r>
      <w:r>
        <w:t xml:space="preserve"> </w:t>
      </w:r>
      <w:r w:rsidRPr="006503C8">
        <w:t>laisserait</w:t>
      </w:r>
      <w:r>
        <w:t xml:space="preserve"> </w:t>
      </w:r>
      <w:r w:rsidRPr="006503C8">
        <w:t>les</w:t>
      </w:r>
      <w:r>
        <w:t xml:space="preserve"> </w:t>
      </w:r>
      <w:r w:rsidRPr="006503C8">
        <w:t>procureurs</w:t>
      </w:r>
      <w:r>
        <w:t xml:space="preserve"> </w:t>
      </w:r>
      <w:r w:rsidRPr="006503C8">
        <w:t>sans</w:t>
      </w:r>
      <w:r>
        <w:t xml:space="preserve"> </w:t>
      </w:r>
      <w:r w:rsidRPr="006503C8">
        <w:t>protection,</w:t>
      </w:r>
      <w:r>
        <w:t xml:space="preserve"> </w:t>
      </w:r>
      <w:r w:rsidRPr="006503C8">
        <w:t>ce</w:t>
      </w:r>
      <w:r>
        <w:t xml:space="preserve"> </w:t>
      </w:r>
      <w:r w:rsidRPr="006503C8">
        <w:t>qui</w:t>
      </w:r>
      <w:r>
        <w:t xml:space="preserve"> </w:t>
      </w:r>
      <w:r w:rsidRPr="006503C8">
        <w:t>est</w:t>
      </w:r>
      <w:r>
        <w:t xml:space="preserve"> </w:t>
      </w:r>
      <w:r w:rsidRPr="006503C8">
        <w:t>contraire</w:t>
      </w:r>
      <w:r>
        <w:t xml:space="preserve"> </w:t>
      </w:r>
      <w:r w:rsidRPr="006503C8">
        <w:t>à</w:t>
      </w:r>
      <w:r>
        <w:t xml:space="preserve"> </w:t>
      </w:r>
      <w:r w:rsidRPr="006503C8">
        <w:t>la</w:t>
      </w:r>
      <w:r>
        <w:t xml:space="preserve"> </w:t>
      </w:r>
      <w:r w:rsidRPr="006503C8">
        <w:t>jurisprudence</w:t>
      </w:r>
      <w:r>
        <w:t xml:space="preserve"> </w:t>
      </w:r>
      <w:r w:rsidRPr="006503C8">
        <w:t>des</w:t>
      </w:r>
      <w:r>
        <w:t xml:space="preserve"> </w:t>
      </w:r>
      <w:r w:rsidRPr="006503C8">
        <w:t>juridictions</w:t>
      </w:r>
      <w:r>
        <w:t xml:space="preserve"> </w:t>
      </w:r>
      <w:r w:rsidRPr="006503C8">
        <w:t>nationales</w:t>
      </w:r>
      <w:r>
        <w:t xml:space="preserve"> </w:t>
      </w:r>
      <w:r w:rsidRPr="006503C8">
        <w:t>ainsi</w:t>
      </w:r>
      <w:r>
        <w:t xml:space="preserve"> </w:t>
      </w:r>
      <w:r w:rsidRPr="006503C8">
        <w:t>qu</w:t>
      </w:r>
      <w:r w:rsidR="00CA2931">
        <w:t>’</w:t>
      </w:r>
      <w:r w:rsidRPr="006503C8">
        <w:t>à</w:t>
      </w:r>
      <w:r>
        <w:t xml:space="preserve"> </w:t>
      </w:r>
      <w:r w:rsidRPr="006503C8">
        <w:t>celle</w:t>
      </w:r>
      <w:r>
        <w:t xml:space="preserve"> </w:t>
      </w:r>
      <w:r w:rsidRPr="006503C8">
        <w:t>de</w:t>
      </w:r>
      <w:r>
        <w:t xml:space="preserve"> </w:t>
      </w:r>
      <w:r w:rsidRPr="006503C8">
        <w:t>la</w:t>
      </w:r>
      <w:r>
        <w:t xml:space="preserve"> </w:t>
      </w:r>
      <w:r w:rsidRPr="006503C8">
        <w:t>Cour</w:t>
      </w:r>
      <w:r>
        <w:t xml:space="preserve"> </w:t>
      </w:r>
      <w:r w:rsidRPr="006503C8">
        <w:t>européenne</w:t>
      </w:r>
      <w:r>
        <w:t xml:space="preserve"> </w:t>
      </w:r>
      <w:r w:rsidRPr="006503C8">
        <w:t>des</w:t>
      </w:r>
      <w:r>
        <w:t xml:space="preserve"> </w:t>
      </w:r>
      <w:r w:rsidRPr="006503C8">
        <w:t>droits</w:t>
      </w:r>
      <w:r>
        <w:t xml:space="preserve"> </w:t>
      </w:r>
      <w:r w:rsidRPr="006503C8">
        <w:t>de</w:t>
      </w:r>
      <w:r>
        <w:t xml:space="preserve"> </w:t>
      </w:r>
      <w:r w:rsidRPr="006503C8">
        <w:t>l</w:t>
      </w:r>
      <w:r w:rsidR="00CA2931">
        <w:t>’</w:t>
      </w:r>
      <w:r w:rsidRPr="006503C8">
        <w:t>homme</w:t>
      </w:r>
      <w:r w:rsidRPr="00A47548">
        <w:rPr>
          <w:rStyle w:val="Appelnotedebasdep"/>
        </w:rPr>
        <w:footnoteReference w:id="15"/>
      </w:r>
      <w:r w:rsidRPr="006503C8">
        <w:t>,</w:t>
      </w:r>
      <w:r>
        <w:t xml:space="preserve"> </w:t>
      </w:r>
      <w:r w:rsidRPr="006503C8">
        <w:t>et</w:t>
      </w:r>
      <w:r>
        <w:t xml:space="preserve"> </w:t>
      </w:r>
      <w:r w:rsidRPr="006503C8">
        <w:t>irait</w:t>
      </w:r>
      <w:r>
        <w:t xml:space="preserve"> </w:t>
      </w:r>
      <w:r w:rsidRPr="006503C8">
        <w:t>à</w:t>
      </w:r>
      <w:r>
        <w:t xml:space="preserve"> </w:t>
      </w:r>
      <w:r w:rsidRPr="006503C8">
        <w:t>l</w:t>
      </w:r>
      <w:r w:rsidR="00CA2931">
        <w:t>’</w:t>
      </w:r>
      <w:r w:rsidRPr="006503C8">
        <w:t>encontre</w:t>
      </w:r>
      <w:r>
        <w:t xml:space="preserve"> </w:t>
      </w:r>
      <w:r w:rsidRPr="006503C8">
        <w:t>de</w:t>
      </w:r>
      <w:r>
        <w:t xml:space="preserve"> </w:t>
      </w:r>
      <w:r w:rsidRPr="006503C8">
        <w:t>l</w:t>
      </w:r>
      <w:r w:rsidR="00CA2931">
        <w:t>’</w:t>
      </w:r>
      <w:r w:rsidRPr="006503C8">
        <w:t>intention</w:t>
      </w:r>
      <w:r>
        <w:t xml:space="preserve"> </w:t>
      </w:r>
      <w:r w:rsidRPr="006503C8">
        <w:t>du</w:t>
      </w:r>
      <w:r>
        <w:t xml:space="preserve"> </w:t>
      </w:r>
      <w:r w:rsidRPr="006503C8">
        <w:t>législateur.</w:t>
      </w:r>
    </w:p>
    <w:p w14:paraId="6643C741" w14:textId="77777777" w:rsidR="00765853" w:rsidRPr="006503C8" w:rsidRDefault="00765853" w:rsidP="00765853">
      <w:pPr>
        <w:pStyle w:val="SingleTxtG"/>
      </w:pPr>
      <w:r w:rsidRPr="006503C8">
        <w:lastRenderedPageBreak/>
        <w:t>8.5</w:t>
      </w:r>
      <w:r w:rsidRPr="006503C8">
        <w:tab/>
      </w:r>
      <w:r w:rsidRPr="00BF4536">
        <w:t>Le Comité rappelle sa jurisprudence, dont il ressort qu</w:t>
      </w:r>
      <w:r w:rsidR="00CA2931">
        <w:t>’</w:t>
      </w:r>
      <w:r w:rsidRPr="00BF4536">
        <w:t>il convient d</w:t>
      </w:r>
      <w:r w:rsidR="00CA2931">
        <w:t>’</w:t>
      </w:r>
      <w:r w:rsidRPr="00BF4536">
        <w:t>accorder un poids important à l</w:t>
      </w:r>
      <w:r w:rsidR="00CA2931">
        <w:t>’</w:t>
      </w:r>
      <w:r w:rsidRPr="00BF4536">
        <w:t>analyse qu</w:t>
      </w:r>
      <w:r w:rsidR="00CA2931">
        <w:t>’</w:t>
      </w:r>
      <w:r w:rsidRPr="00BF4536">
        <w:t>a faite l</w:t>
      </w:r>
      <w:r w:rsidR="00CA2931">
        <w:t>’</w:t>
      </w:r>
      <w:r w:rsidRPr="00BF4536">
        <w:t>État partie de l</w:t>
      </w:r>
      <w:r w:rsidR="00CA2931">
        <w:t>’</w:t>
      </w:r>
      <w:r w:rsidRPr="00BF4536">
        <w:t>affaire et que c</w:t>
      </w:r>
      <w:r w:rsidR="00CA2931">
        <w:t>’</w:t>
      </w:r>
      <w:r w:rsidRPr="00BF4536">
        <w:t xml:space="preserve">est généralement aux </w:t>
      </w:r>
      <w:r>
        <w:t>instances</w:t>
      </w:r>
      <w:r w:rsidRPr="00BF4536">
        <w:t xml:space="preserve"> des États parties au Pacte qu</w:t>
      </w:r>
      <w:r w:rsidR="00CA2931">
        <w:t>’</w:t>
      </w:r>
      <w:r w:rsidRPr="00BF4536">
        <w:t>il appartient d</w:t>
      </w:r>
      <w:r w:rsidR="00CA2931">
        <w:t>’</w:t>
      </w:r>
      <w:r w:rsidRPr="00BF4536">
        <w:t xml:space="preserve">apprécier les faits et les éléments de preuve </w:t>
      </w:r>
      <w:r>
        <w:t>afin</w:t>
      </w:r>
      <w:r w:rsidRPr="00BF4536">
        <w:t xml:space="preserve"> de déterminer l</w:t>
      </w:r>
      <w:r w:rsidR="00CA2931">
        <w:t>’</w:t>
      </w:r>
      <w:r w:rsidRPr="00BF4536">
        <w:t>existence d</w:t>
      </w:r>
      <w:r w:rsidR="00CA2931">
        <w:t>’</w:t>
      </w:r>
      <w:r w:rsidRPr="00BF4536">
        <w:t>un risque, sauf s</w:t>
      </w:r>
      <w:r w:rsidR="00CA2931">
        <w:t>’</w:t>
      </w:r>
      <w:r w:rsidRPr="00BF4536">
        <w:t>il peut être établi que cette appréciation était manifestement arbitraire ou a représenté un déni de justice</w:t>
      </w:r>
      <w:r w:rsidRPr="00A47548">
        <w:rPr>
          <w:rStyle w:val="Appelnotedebasdep"/>
        </w:rPr>
        <w:footnoteReference w:id="16"/>
      </w:r>
      <w:r>
        <w:t>. En</w:t>
      </w:r>
      <w:r w:rsidR="00A67A7D">
        <w:t> </w:t>
      </w:r>
      <w:r>
        <w:t>l</w:t>
      </w:r>
      <w:r w:rsidR="00CA2931">
        <w:t>’</w:t>
      </w:r>
      <w:r>
        <w:t>occurrence, l</w:t>
      </w:r>
      <w:r w:rsidR="00CA2931">
        <w:t>’</w:t>
      </w:r>
      <w:r>
        <w:t>on ne saurait affirmer que l</w:t>
      </w:r>
      <w:r w:rsidR="00CA2931">
        <w:t>’</w:t>
      </w:r>
      <w:r>
        <w:t>appréciation de la Cour suprême a été arbitraire ou a représenté un déni de justice, puis</w:t>
      </w:r>
      <w:r w:rsidRPr="006503C8">
        <w:t>que</w:t>
      </w:r>
      <w:r>
        <w:t xml:space="preserve"> </w:t>
      </w:r>
      <w:r w:rsidRPr="006503C8">
        <w:t>la</w:t>
      </w:r>
      <w:r>
        <w:t xml:space="preserve"> </w:t>
      </w:r>
      <w:r w:rsidRPr="006503C8">
        <w:t>restriction</w:t>
      </w:r>
      <w:r>
        <w:t xml:space="preserve"> </w:t>
      </w:r>
      <w:r w:rsidRPr="006503C8">
        <w:t>visée</w:t>
      </w:r>
      <w:r>
        <w:t xml:space="preserve"> </w:t>
      </w:r>
      <w:r w:rsidRPr="006503C8">
        <w:t>avait</w:t>
      </w:r>
      <w:r>
        <w:t xml:space="preserve"> </w:t>
      </w:r>
      <w:r w:rsidRPr="006503C8">
        <w:t>un</w:t>
      </w:r>
      <w:r>
        <w:t xml:space="preserve"> </w:t>
      </w:r>
      <w:r w:rsidRPr="006503C8">
        <w:t>fondement</w:t>
      </w:r>
      <w:r>
        <w:t xml:space="preserve"> </w:t>
      </w:r>
      <w:r w:rsidRPr="006503C8">
        <w:t>juridique</w:t>
      </w:r>
      <w:r>
        <w:t xml:space="preserve"> </w:t>
      </w:r>
      <w:r w:rsidRPr="006503C8">
        <w:t>et</w:t>
      </w:r>
      <w:r>
        <w:t xml:space="preserve"> </w:t>
      </w:r>
      <w:r w:rsidRPr="006503C8">
        <w:t>que</w:t>
      </w:r>
      <w:r>
        <w:t xml:space="preserve"> </w:t>
      </w:r>
      <w:r w:rsidRPr="006503C8">
        <w:t>l</w:t>
      </w:r>
      <w:r w:rsidR="00CA2931">
        <w:t>’</w:t>
      </w:r>
      <w:r w:rsidRPr="006503C8">
        <w:t>application</w:t>
      </w:r>
      <w:r>
        <w:t xml:space="preserve"> </w:t>
      </w:r>
      <w:r w:rsidRPr="006503C8">
        <w:t>de</w:t>
      </w:r>
      <w:r>
        <w:t xml:space="preserve"> </w:t>
      </w:r>
      <w:r w:rsidRPr="006503C8">
        <w:t>la</w:t>
      </w:r>
      <w:r>
        <w:t xml:space="preserve"> </w:t>
      </w:r>
      <w:r w:rsidRPr="006503C8">
        <w:t>disposition</w:t>
      </w:r>
      <w:r>
        <w:t xml:space="preserve"> </w:t>
      </w:r>
      <w:r w:rsidRPr="006503C8">
        <w:t>juridique</w:t>
      </w:r>
      <w:r>
        <w:t xml:space="preserve"> </w:t>
      </w:r>
      <w:r w:rsidRPr="006503C8">
        <w:t>pertinente</w:t>
      </w:r>
      <w:r>
        <w:t xml:space="preserve"> </w:t>
      </w:r>
      <w:r w:rsidRPr="006503C8">
        <w:t>dans</w:t>
      </w:r>
      <w:r>
        <w:t xml:space="preserve"> </w:t>
      </w:r>
      <w:r w:rsidRPr="006503C8">
        <w:t>le</w:t>
      </w:r>
      <w:r>
        <w:t xml:space="preserve"> </w:t>
      </w:r>
      <w:r w:rsidRPr="006503C8">
        <w:t>cas</w:t>
      </w:r>
      <w:r>
        <w:t xml:space="preserve"> </w:t>
      </w:r>
      <w:r w:rsidRPr="006503C8">
        <w:t>de</w:t>
      </w:r>
      <w:r>
        <w:t xml:space="preserve"> </w:t>
      </w:r>
      <w:r w:rsidRPr="006503C8">
        <w:t>la</w:t>
      </w:r>
      <w:r>
        <w:t xml:space="preserve"> </w:t>
      </w:r>
      <w:r w:rsidRPr="006503C8">
        <w:t>requérante</w:t>
      </w:r>
      <w:r>
        <w:t xml:space="preserve"> </w:t>
      </w:r>
      <w:r w:rsidRPr="006503C8">
        <w:t>n</w:t>
      </w:r>
      <w:r w:rsidR="00CA2931">
        <w:t>’</w:t>
      </w:r>
      <w:r w:rsidRPr="006503C8">
        <w:t>allait</w:t>
      </w:r>
      <w:r>
        <w:t xml:space="preserve"> </w:t>
      </w:r>
      <w:r w:rsidRPr="006503C8">
        <w:t>pas</w:t>
      </w:r>
      <w:r>
        <w:t xml:space="preserve"> </w:t>
      </w:r>
      <w:r w:rsidRPr="006503C8">
        <w:t>au-delà</w:t>
      </w:r>
      <w:r>
        <w:t xml:space="preserve"> </w:t>
      </w:r>
      <w:r w:rsidRPr="006503C8">
        <w:t>de</w:t>
      </w:r>
      <w:r>
        <w:t xml:space="preserve"> </w:t>
      </w:r>
      <w:r w:rsidRPr="006503C8">
        <w:t>ce</w:t>
      </w:r>
      <w:r>
        <w:t xml:space="preserve"> </w:t>
      </w:r>
      <w:r w:rsidRPr="006503C8">
        <w:t>que</w:t>
      </w:r>
      <w:r>
        <w:t xml:space="preserve"> </w:t>
      </w:r>
      <w:r w:rsidRPr="006503C8">
        <w:t>les</w:t>
      </w:r>
      <w:r>
        <w:t xml:space="preserve"> </w:t>
      </w:r>
      <w:r w:rsidRPr="006503C8">
        <w:t>circonstances</w:t>
      </w:r>
      <w:r>
        <w:t xml:space="preserve"> </w:t>
      </w:r>
      <w:r w:rsidRPr="006503C8">
        <w:t>permettaient</w:t>
      </w:r>
      <w:r>
        <w:t xml:space="preserve"> </w:t>
      </w:r>
      <w:r w:rsidRPr="006503C8">
        <w:t>raisonnablement</w:t>
      </w:r>
      <w:r>
        <w:t xml:space="preserve"> </w:t>
      </w:r>
      <w:r w:rsidRPr="006503C8">
        <w:t>de</w:t>
      </w:r>
      <w:r>
        <w:t xml:space="preserve"> </w:t>
      </w:r>
      <w:r w:rsidRPr="006503C8">
        <w:t>prévoir.</w:t>
      </w:r>
      <w:r>
        <w:t xml:space="preserve"> </w:t>
      </w:r>
      <w:r w:rsidRPr="006503C8">
        <w:t>En</w:t>
      </w:r>
      <w:r>
        <w:t xml:space="preserve"> </w:t>
      </w:r>
      <w:r w:rsidRPr="006503C8">
        <w:t>conséquence,</w:t>
      </w:r>
      <w:r>
        <w:t xml:space="preserve"> le Comité est d</w:t>
      </w:r>
      <w:r w:rsidR="00CA2931">
        <w:t>’</w:t>
      </w:r>
      <w:r>
        <w:t xml:space="preserve">avis que </w:t>
      </w:r>
      <w:r w:rsidRPr="006503C8">
        <w:t>la</w:t>
      </w:r>
      <w:r>
        <w:t xml:space="preserve"> </w:t>
      </w:r>
      <w:r w:rsidRPr="006503C8">
        <w:t>restriction</w:t>
      </w:r>
      <w:r>
        <w:t xml:space="preserve"> </w:t>
      </w:r>
      <w:r w:rsidRPr="006503C8">
        <w:t>était</w:t>
      </w:r>
      <w:r>
        <w:t xml:space="preserve"> </w:t>
      </w:r>
      <w:r w:rsidRPr="006503C8">
        <w:t>fixée</w:t>
      </w:r>
      <w:r>
        <w:t xml:space="preserve"> </w:t>
      </w:r>
      <w:r w:rsidRPr="006503C8">
        <w:t>par</w:t>
      </w:r>
      <w:r>
        <w:t xml:space="preserve"> </w:t>
      </w:r>
      <w:r w:rsidRPr="006503C8">
        <w:t>la</w:t>
      </w:r>
      <w:r>
        <w:t xml:space="preserve"> </w:t>
      </w:r>
      <w:r w:rsidRPr="006503C8">
        <w:t>loi</w:t>
      </w:r>
      <w:r>
        <w:t xml:space="preserve"> </w:t>
      </w:r>
      <w:r w:rsidRPr="006503C8">
        <w:t>au</w:t>
      </w:r>
      <w:r>
        <w:t xml:space="preserve"> </w:t>
      </w:r>
      <w:r w:rsidRPr="006503C8">
        <w:t>sens</w:t>
      </w:r>
      <w:r>
        <w:t xml:space="preserve"> </w:t>
      </w:r>
      <w:r w:rsidRPr="006503C8">
        <w:t>du</w:t>
      </w:r>
      <w:r>
        <w:t xml:space="preserve"> </w:t>
      </w:r>
      <w:r w:rsidRPr="006503C8">
        <w:t>paragraphe</w:t>
      </w:r>
      <w:r>
        <w:t xml:space="preserve"> 3 </w:t>
      </w:r>
      <w:r w:rsidRPr="006503C8">
        <w:t>de</w:t>
      </w:r>
      <w:r>
        <w:t xml:space="preserve"> </w:t>
      </w:r>
      <w:r w:rsidRPr="006503C8">
        <w:t>l</w:t>
      </w:r>
      <w:r w:rsidR="00CA2931">
        <w:t>’</w:t>
      </w:r>
      <w:r w:rsidRPr="006503C8">
        <w:t>article</w:t>
      </w:r>
      <w:r>
        <w:t xml:space="preserve"> </w:t>
      </w:r>
      <w:r w:rsidRPr="006503C8">
        <w:t>19</w:t>
      </w:r>
      <w:r>
        <w:t xml:space="preserve"> </w:t>
      </w:r>
      <w:r w:rsidRPr="006503C8">
        <w:t>du</w:t>
      </w:r>
      <w:r>
        <w:t xml:space="preserve"> </w:t>
      </w:r>
      <w:r w:rsidRPr="006503C8">
        <w:t>Pacte.</w:t>
      </w:r>
      <w:r>
        <w:t xml:space="preserve"> </w:t>
      </w:r>
      <w:r w:rsidRPr="006503C8">
        <w:t>S</w:t>
      </w:r>
      <w:r w:rsidR="00CA2931">
        <w:t>’</w:t>
      </w:r>
      <w:r w:rsidRPr="006503C8">
        <w:t>agissant</w:t>
      </w:r>
      <w:r>
        <w:t xml:space="preserve"> </w:t>
      </w:r>
      <w:r w:rsidRPr="006503C8">
        <w:t>des</w:t>
      </w:r>
      <w:r>
        <w:t xml:space="preserve"> </w:t>
      </w:r>
      <w:r w:rsidRPr="006503C8">
        <w:t>arguments</w:t>
      </w:r>
      <w:r>
        <w:t xml:space="preserve"> </w:t>
      </w:r>
      <w:r w:rsidRPr="006503C8">
        <w:t>de</w:t>
      </w:r>
      <w:r>
        <w:t xml:space="preserve"> </w:t>
      </w:r>
      <w:r w:rsidRPr="006503C8">
        <w:t>l</w:t>
      </w:r>
      <w:r w:rsidR="00CA2931">
        <w:t>’</w:t>
      </w:r>
      <w:r w:rsidRPr="006503C8">
        <w:t>auteure</w:t>
      </w:r>
      <w:r>
        <w:t xml:space="preserve"> </w:t>
      </w:r>
      <w:r w:rsidRPr="006503C8">
        <w:t>concernant</w:t>
      </w:r>
      <w:r>
        <w:t xml:space="preserve"> </w:t>
      </w:r>
      <w:r w:rsidRPr="006503C8">
        <w:t>le</w:t>
      </w:r>
      <w:r>
        <w:t xml:space="preserve"> </w:t>
      </w:r>
      <w:r w:rsidRPr="006503C8">
        <w:t>caractère</w:t>
      </w:r>
      <w:r>
        <w:t xml:space="preserve"> </w:t>
      </w:r>
      <w:r w:rsidRPr="006503C8">
        <w:t>pénal</w:t>
      </w:r>
      <w:r>
        <w:t xml:space="preserve"> </w:t>
      </w:r>
      <w:r w:rsidRPr="006503C8">
        <w:t>de</w:t>
      </w:r>
      <w:r>
        <w:t xml:space="preserve"> </w:t>
      </w:r>
      <w:r w:rsidRPr="006503C8">
        <w:t>la</w:t>
      </w:r>
      <w:r>
        <w:t xml:space="preserve"> </w:t>
      </w:r>
      <w:r w:rsidRPr="006503C8">
        <w:t>loi</w:t>
      </w:r>
      <w:r>
        <w:t xml:space="preserve"> </w:t>
      </w:r>
      <w:r w:rsidRPr="006503C8">
        <w:t>sur</w:t>
      </w:r>
      <w:r>
        <w:t xml:space="preserve"> </w:t>
      </w:r>
      <w:r w:rsidRPr="006503C8">
        <w:t>la</w:t>
      </w:r>
      <w:r>
        <w:t xml:space="preserve"> </w:t>
      </w:r>
      <w:r w:rsidRPr="006503C8">
        <w:t>diffamation,</w:t>
      </w:r>
      <w:r>
        <w:t xml:space="preserve"> </w:t>
      </w:r>
      <w:r w:rsidRPr="006503C8">
        <w:t>selon</w:t>
      </w:r>
      <w:r>
        <w:t xml:space="preserve"> </w:t>
      </w:r>
      <w:r w:rsidRPr="006503C8">
        <w:t>lesquels</w:t>
      </w:r>
      <w:r>
        <w:t xml:space="preserve"> </w:t>
      </w:r>
      <w:r w:rsidRPr="006503C8">
        <w:t>il</w:t>
      </w:r>
      <w:r>
        <w:t xml:space="preserve"> </w:t>
      </w:r>
      <w:r w:rsidRPr="006503C8">
        <w:t>serait</w:t>
      </w:r>
      <w:r>
        <w:t xml:space="preserve"> </w:t>
      </w:r>
      <w:r w:rsidRPr="006503C8">
        <w:t>discriminatoire</w:t>
      </w:r>
      <w:r>
        <w:t xml:space="preserve"> </w:t>
      </w:r>
      <w:r w:rsidRPr="006503C8">
        <w:t>de</w:t>
      </w:r>
      <w:r>
        <w:t xml:space="preserve"> </w:t>
      </w:r>
      <w:r w:rsidRPr="006503C8">
        <w:t>protéger</w:t>
      </w:r>
      <w:r>
        <w:t xml:space="preserve"> </w:t>
      </w:r>
      <w:r w:rsidRPr="006503C8">
        <w:t>davantage</w:t>
      </w:r>
      <w:r>
        <w:t xml:space="preserve"> </w:t>
      </w:r>
      <w:r w:rsidRPr="006503C8">
        <w:t>les</w:t>
      </w:r>
      <w:r>
        <w:t xml:space="preserve"> </w:t>
      </w:r>
      <w:r w:rsidRPr="006503C8">
        <w:t>fonctionnaires</w:t>
      </w:r>
      <w:r>
        <w:t xml:space="preserve"> </w:t>
      </w:r>
      <w:r w:rsidRPr="006503C8">
        <w:t>que</w:t>
      </w:r>
      <w:r>
        <w:t xml:space="preserve"> </w:t>
      </w:r>
      <w:r w:rsidRPr="006503C8">
        <w:t>d</w:t>
      </w:r>
      <w:r w:rsidR="00CA2931">
        <w:t>’</w:t>
      </w:r>
      <w:r w:rsidRPr="006503C8">
        <w:t>autres</w:t>
      </w:r>
      <w:r>
        <w:t xml:space="preserve"> </w:t>
      </w:r>
      <w:r w:rsidRPr="006503C8">
        <w:t>personnes</w:t>
      </w:r>
      <w:r>
        <w:t xml:space="preserve"> </w:t>
      </w:r>
      <w:r w:rsidRPr="006503C8">
        <w:t>de</w:t>
      </w:r>
      <w:r>
        <w:t xml:space="preserve"> </w:t>
      </w:r>
      <w:r w:rsidRPr="006503C8">
        <w:t>la</w:t>
      </w:r>
      <w:r>
        <w:t xml:space="preserve"> </w:t>
      </w:r>
      <w:r w:rsidRPr="006503C8">
        <w:t>diffamation,</w:t>
      </w:r>
      <w:r>
        <w:t xml:space="preserve"> </w:t>
      </w:r>
      <w:r w:rsidRPr="006503C8">
        <w:t>ils</w:t>
      </w:r>
      <w:r>
        <w:t xml:space="preserve"> </w:t>
      </w:r>
      <w:r w:rsidRPr="006503C8">
        <w:t>concernent,</w:t>
      </w:r>
      <w:r>
        <w:t xml:space="preserve"> </w:t>
      </w:r>
      <w:r w:rsidRPr="006503C8">
        <w:t>au</w:t>
      </w:r>
      <w:r>
        <w:t xml:space="preserve"> </w:t>
      </w:r>
      <w:r w:rsidRPr="006503C8">
        <w:t>fond,</w:t>
      </w:r>
      <w:r>
        <w:t xml:space="preserve"> </w:t>
      </w:r>
      <w:r w:rsidRPr="006503C8">
        <w:t>la</w:t>
      </w:r>
      <w:r>
        <w:t xml:space="preserve"> </w:t>
      </w:r>
      <w:r w:rsidRPr="006503C8">
        <w:t>question</w:t>
      </w:r>
      <w:r>
        <w:t xml:space="preserve"> </w:t>
      </w:r>
      <w:r w:rsidRPr="006503C8">
        <w:t>de</w:t>
      </w:r>
      <w:r>
        <w:t xml:space="preserve"> </w:t>
      </w:r>
      <w:r w:rsidRPr="006503C8">
        <w:t>savoir</w:t>
      </w:r>
      <w:r>
        <w:t xml:space="preserve"> </w:t>
      </w:r>
      <w:r w:rsidRPr="006503C8">
        <w:t>si</w:t>
      </w:r>
      <w:r>
        <w:t xml:space="preserve"> </w:t>
      </w:r>
      <w:r w:rsidRPr="006503C8">
        <w:t>la</w:t>
      </w:r>
      <w:r>
        <w:t xml:space="preserve"> </w:t>
      </w:r>
      <w:r w:rsidRPr="006503C8">
        <w:t>restriction</w:t>
      </w:r>
      <w:r>
        <w:t xml:space="preserve"> </w:t>
      </w:r>
      <w:r w:rsidRPr="006503C8">
        <w:t>découlant</w:t>
      </w:r>
      <w:r>
        <w:t xml:space="preserve"> </w:t>
      </w:r>
      <w:r w:rsidRPr="006503C8">
        <w:t>de</w:t>
      </w:r>
      <w:r>
        <w:t xml:space="preserve"> </w:t>
      </w:r>
      <w:r w:rsidRPr="006503C8">
        <w:t>l</w:t>
      </w:r>
      <w:r w:rsidR="00CA2931">
        <w:t>’</w:t>
      </w:r>
      <w:r w:rsidRPr="006503C8">
        <w:t>application</w:t>
      </w:r>
      <w:r>
        <w:t xml:space="preserve"> </w:t>
      </w:r>
      <w:r w:rsidRPr="006503C8">
        <w:t>de</w:t>
      </w:r>
      <w:r>
        <w:t xml:space="preserve"> </w:t>
      </w:r>
      <w:r w:rsidRPr="006503C8">
        <w:t>la</w:t>
      </w:r>
      <w:r>
        <w:t xml:space="preserve"> </w:t>
      </w:r>
      <w:r w:rsidRPr="006503C8">
        <w:t>loi</w:t>
      </w:r>
      <w:r>
        <w:t xml:space="preserve"> </w:t>
      </w:r>
      <w:r w:rsidRPr="006503C8">
        <w:t>pertinente</w:t>
      </w:r>
      <w:r>
        <w:t xml:space="preserve"> </w:t>
      </w:r>
      <w:r w:rsidRPr="006503C8">
        <w:t>en</w:t>
      </w:r>
      <w:r>
        <w:t xml:space="preserve"> </w:t>
      </w:r>
      <w:r w:rsidRPr="006503C8">
        <w:t>l</w:t>
      </w:r>
      <w:r w:rsidR="00CA2931">
        <w:t>’</w:t>
      </w:r>
      <w:r>
        <w:t xml:space="preserve">espèce </w:t>
      </w:r>
      <w:r w:rsidRPr="006503C8">
        <w:t>était</w:t>
      </w:r>
      <w:r>
        <w:t xml:space="preserve"> </w:t>
      </w:r>
      <w:r w:rsidRPr="006503C8">
        <w:t>nécessaire</w:t>
      </w:r>
      <w:r>
        <w:t xml:space="preserve"> </w:t>
      </w:r>
      <w:r w:rsidRPr="006503C8">
        <w:t>et</w:t>
      </w:r>
      <w:r>
        <w:t xml:space="preserve"> </w:t>
      </w:r>
      <w:r w:rsidRPr="006503C8">
        <w:t>proportionnée.</w:t>
      </w:r>
    </w:p>
    <w:p w14:paraId="513FFCD4" w14:textId="77777777" w:rsidR="00765853" w:rsidRPr="006503C8" w:rsidRDefault="00765853" w:rsidP="00765853">
      <w:pPr>
        <w:pStyle w:val="SingleTxtG"/>
      </w:pPr>
      <w:r w:rsidRPr="006503C8">
        <w:t>8.6</w:t>
      </w:r>
      <w:r w:rsidRPr="006503C8">
        <w:tab/>
        <w:t>En</w:t>
      </w:r>
      <w:r>
        <w:t xml:space="preserve"> </w:t>
      </w:r>
      <w:r w:rsidRPr="006503C8">
        <w:t>ce</w:t>
      </w:r>
      <w:r>
        <w:t xml:space="preserve"> </w:t>
      </w:r>
      <w:r w:rsidRPr="006503C8">
        <w:t>qui</w:t>
      </w:r>
      <w:r>
        <w:t xml:space="preserve"> </w:t>
      </w:r>
      <w:r w:rsidRPr="006503C8">
        <w:t>concerne</w:t>
      </w:r>
      <w:r>
        <w:t xml:space="preserve"> </w:t>
      </w:r>
      <w:r w:rsidRPr="006503C8">
        <w:t>la</w:t>
      </w:r>
      <w:r>
        <w:t xml:space="preserve"> </w:t>
      </w:r>
      <w:r w:rsidRPr="006503C8">
        <w:t>question</w:t>
      </w:r>
      <w:r>
        <w:t xml:space="preserve"> </w:t>
      </w:r>
      <w:r w:rsidRPr="006503C8">
        <w:t>de</w:t>
      </w:r>
      <w:r>
        <w:t xml:space="preserve"> </w:t>
      </w:r>
      <w:r w:rsidRPr="006503C8">
        <w:t>savoir</w:t>
      </w:r>
      <w:r>
        <w:t xml:space="preserve"> </w:t>
      </w:r>
      <w:r w:rsidRPr="006503C8">
        <w:t>si</w:t>
      </w:r>
      <w:r>
        <w:t xml:space="preserve"> </w:t>
      </w:r>
      <w:r w:rsidRPr="006503C8">
        <w:t>la</w:t>
      </w:r>
      <w:r>
        <w:t xml:space="preserve"> </w:t>
      </w:r>
      <w:r w:rsidRPr="006503C8">
        <w:t>restriction</w:t>
      </w:r>
      <w:r>
        <w:t xml:space="preserve"> </w:t>
      </w:r>
      <w:r w:rsidRPr="006503C8">
        <w:t>imposée</w:t>
      </w:r>
      <w:r>
        <w:t xml:space="preserve"> </w:t>
      </w:r>
      <w:r w:rsidRPr="006503C8">
        <w:t>servait</w:t>
      </w:r>
      <w:r>
        <w:t xml:space="preserve"> </w:t>
      </w:r>
      <w:r w:rsidRPr="006503C8">
        <w:t>un</w:t>
      </w:r>
      <w:r>
        <w:t xml:space="preserve"> </w:t>
      </w:r>
      <w:r w:rsidRPr="006503C8">
        <w:t>objectif</w:t>
      </w:r>
      <w:r>
        <w:t xml:space="preserve"> </w:t>
      </w:r>
      <w:r w:rsidRPr="006503C8">
        <w:t>légitime,</w:t>
      </w:r>
      <w:r>
        <w:t xml:space="preserve"> </w:t>
      </w:r>
      <w:r w:rsidRPr="006503C8">
        <w:t>l</w:t>
      </w:r>
      <w:r w:rsidR="00CA2931">
        <w:t>’</w:t>
      </w:r>
      <w:r w:rsidRPr="006503C8">
        <w:t>auteure</w:t>
      </w:r>
      <w:r>
        <w:t xml:space="preserve"> </w:t>
      </w:r>
      <w:r w:rsidRPr="006503C8">
        <w:t>soutient</w:t>
      </w:r>
      <w:r>
        <w:t xml:space="preserve"> </w:t>
      </w:r>
      <w:r w:rsidRPr="006503C8">
        <w:t>que</w:t>
      </w:r>
      <w:r>
        <w:t xml:space="preserve"> </w:t>
      </w:r>
      <w:r w:rsidRPr="006503C8">
        <w:t>l</w:t>
      </w:r>
      <w:r w:rsidR="00CA2931">
        <w:t>’</w:t>
      </w:r>
      <w:r w:rsidRPr="006503C8">
        <w:t>État</w:t>
      </w:r>
      <w:r>
        <w:t xml:space="preserve"> </w:t>
      </w:r>
      <w:r w:rsidRPr="006503C8">
        <w:t>partie</w:t>
      </w:r>
      <w:r>
        <w:t xml:space="preserve"> </w:t>
      </w:r>
      <w:r w:rsidRPr="006503C8">
        <w:t>n</w:t>
      </w:r>
      <w:r w:rsidR="00CA2931">
        <w:t>’</w:t>
      </w:r>
      <w:r w:rsidRPr="006503C8">
        <w:t>a</w:t>
      </w:r>
      <w:r>
        <w:t xml:space="preserve"> </w:t>
      </w:r>
      <w:r w:rsidRPr="006503C8">
        <w:t>pas</w:t>
      </w:r>
      <w:r>
        <w:t xml:space="preserve"> </w:t>
      </w:r>
      <w:r w:rsidRPr="006503C8">
        <w:t>donné</w:t>
      </w:r>
      <w:r>
        <w:t xml:space="preserve"> </w:t>
      </w:r>
      <w:r w:rsidRPr="006503C8">
        <w:t>de</w:t>
      </w:r>
      <w:r>
        <w:t xml:space="preserve"> </w:t>
      </w:r>
      <w:r w:rsidRPr="006503C8">
        <w:t>motifs</w:t>
      </w:r>
      <w:r>
        <w:t xml:space="preserve"> </w:t>
      </w:r>
      <w:r w:rsidRPr="006503C8">
        <w:t>précis</w:t>
      </w:r>
      <w:r>
        <w:t xml:space="preserve"> </w:t>
      </w:r>
      <w:r w:rsidRPr="006503C8">
        <w:t>pour</w:t>
      </w:r>
      <w:r>
        <w:t xml:space="preserve"> </w:t>
      </w:r>
      <w:r w:rsidRPr="006503C8">
        <w:t>expliquer</w:t>
      </w:r>
      <w:r>
        <w:t xml:space="preserve"> </w:t>
      </w:r>
      <w:r w:rsidRPr="006503C8">
        <w:t>en</w:t>
      </w:r>
      <w:r>
        <w:t xml:space="preserve"> </w:t>
      </w:r>
      <w:r w:rsidRPr="006503C8">
        <w:t>quoi</w:t>
      </w:r>
      <w:r>
        <w:t xml:space="preserve"> </w:t>
      </w:r>
      <w:r w:rsidRPr="006503C8">
        <w:t>sa</w:t>
      </w:r>
      <w:r>
        <w:t xml:space="preserve"> </w:t>
      </w:r>
      <w:r w:rsidRPr="006503C8">
        <w:t>déclaration</w:t>
      </w:r>
      <w:r>
        <w:t xml:space="preserve"> </w:t>
      </w:r>
      <w:r w:rsidRPr="006503C8">
        <w:t>pouvait</w:t>
      </w:r>
      <w:r>
        <w:t xml:space="preserve"> </w:t>
      </w:r>
      <w:r w:rsidRPr="006503C8">
        <w:t>menacer</w:t>
      </w:r>
      <w:r>
        <w:t xml:space="preserve"> </w:t>
      </w:r>
      <w:r w:rsidRPr="006503C8">
        <w:t>l</w:t>
      </w:r>
      <w:r w:rsidR="00CA2931">
        <w:t>’</w:t>
      </w:r>
      <w:r w:rsidRPr="006503C8">
        <w:t>activité</w:t>
      </w:r>
      <w:r>
        <w:t xml:space="preserve"> </w:t>
      </w:r>
      <w:r w:rsidRPr="006503C8">
        <w:t>des</w:t>
      </w:r>
      <w:r>
        <w:t xml:space="preserve"> </w:t>
      </w:r>
      <w:r w:rsidRPr="006503C8">
        <w:t>procureurs</w:t>
      </w:r>
      <w:r>
        <w:t xml:space="preserve"> et relevait donc de l</w:t>
      </w:r>
      <w:r w:rsidR="00CA2931">
        <w:t>’</w:t>
      </w:r>
      <w:r>
        <w:t xml:space="preserve">un </w:t>
      </w:r>
      <w:r w:rsidRPr="006503C8">
        <w:t>des</w:t>
      </w:r>
      <w:r>
        <w:t xml:space="preserve"> </w:t>
      </w:r>
      <w:r w:rsidRPr="006503C8">
        <w:t>objectifs</w:t>
      </w:r>
      <w:r>
        <w:t xml:space="preserve"> </w:t>
      </w:r>
      <w:r w:rsidRPr="006503C8">
        <w:t>légitimes</w:t>
      </w:r>
      <w:r>
        <w:t xml:space="preserve"> </w:t>
      </w:r>
      <w:r w:rsidRPr="006503C8">
        <w:t>énoncés</w:t>
      </w:r>
      <w:r>
        <w:t xml:space="preserve"> </w:t>
      </w:r>
      <w:r w:rsidRPr="006503C8">
        <w:t>au</w:t>
      </w:r>
      <w:r>
        <w:t xml:space="preserve"> </w:t>
      </w:r>
      <w:r w:rsidRPr="006503C8">
        <w:t>paragraphe</w:t>
      </w:r>
      <w:r>
        <w:t xml:space="preserve"> </w:t>
      </w:r>
      <w:r w:rsidRPr="006503C8">
        <w:t>3</w:t>
      </w:r>
      <w:r>
        <w:t xml:space="preserve"> </w:t>
      </w:r>
      <w:r w:rsidRPr="006503C8">
        <w:t>de</w:t>
      </w:r>
      <w:r>
        <w:t xml:space="preserve"> </w:t>
      </w:r>
      <w:r w:rsidRPr="006503C8">
        <w:t>l</w:t>
      </w:r>
      <w:r w:rsidR="00CA2931">
        <w:t>’</w:t>
      </w:r>
      <w:r w:rsidRPr="006503C8">
        <w:t>article</w:t>
      </w:r>
      <w:r>
        <w:t xml:space="preserve"> </w:t>
      </w:r>
      <w:r w:rsidRPr="006503C8">
        <w:t>19</w:t>
      </w:r>
      <w:r>
        <w:t xml:space="preserve"> </w:t>
      </w:r>
      <w:r w:rsidRPr="006503C8">
        <w:t>du</w:t>
      </w:r>
      <w:r>
        <w:t xml:space="preserve"> </w:t>
      </w:r>
      <w:r w:rsidRPr="006503C8">
        <w:t>Pacte.</w:t>
      </w:r>
      <w:r>
        <w:t xml:space="preserve"> </w:t>
      </w:r>
      <w:r w:rsidRPr="006503C8">
        <w:t>Le</w:t>
      </w:r>
      <w:r>
        <w:t xml:space="preserve"> </w:t>
      </w:r>
      <w:r w:rsidRPr="006503C8">
        <w:t>Comité</w:t>
      </w:r>
      <w:r>
        <w:t xml:space="preserve"> </w:t>
      </w:r>
      <w:r w:rsidRPr="006503C8">
        <w:t>prend</w:t>
      </w:r>
      <w:r>
        <w:t xml:space="preserve"> </w:t>
      </w:r>
      <w:r w:rsidRPr="006503C8">
        <w:t>également</w:t>
      </w:r>
      <w:r>
        <w:t xml:space="preserve"> </w:t>
      </w:r>
      <w:r w:rsidRPr="006503C8">
        <w:t>note</w:t>
      </w:r>
      <w:r>
        <w:t xml:space="preserve"> </w:t>
      </w:r>
      <w:r w:rsidRPr="006503C8">
        <w:t>de</w:t>
      </w:r>
      <w:r>
        <w:t xml:space="preserve"> </w:t>
      </w:r>
      <w:r w:rsidRPr="006503C8">
        <w:t>l</w:t>
      </w:r>
      <w:r w:rsidR="00CA2931">
        <w:t>’</w:t>
      </w:r>
      <w:r w:rsidRPr="006503C8">
        <w:t>argument</w:t>
      </w:r>
      <w:r>
        <w:t xml:space="preserve"> </w:t>
      </w:r>
      <w:r w:rsidRPr="006503C8">
        <w:t>selon</w:t>
      </w:r>
      <w:r>
        <w:t xml:space="preserve"> </w:t>
      </w:r>
      <w:r w:rsidRPr="006503C8">
        <w:t>lequel</w:t>
      </w:r>
      <w:r>
        <w:t xml:space="preserve"> </w:t>
      </w:r>
      <w:r w:rsidRPr="006503C8">
        <w:t>l</w:t>
      </w:r>
      <w:r w:rsidR="00CA2931">
        <w:t>’</w:t>
      </w:r>
      <w:r w:rsidRPr="006503C8">
        <w:t>article</w:t>
      </w:r>
      <w:r>
        <w:t xml:space="preserve"> </w:t>
      </w:r>
      <w:r w:rsidRPr="006503C8">
        <w:t>290</w:t>
      </w:r>
      <w:r>
        <w:t xml:space="preserve"> </w:t>
      </w:r>
      <w:r w:rsidRPr="006503C8">
        <w:t>ne</w:t>
      </w:r>
      <w:r>
        <w:t xml:space="preserve"> </w:t>
      </w:r>
      <w:r w:rsidRPr="006503C8">
        <w:t>pouvait</w:t>
      </w:r>
      <w:r>
        <w:t xml:space="preserve"> </w:t>
      </w:r>
      <w:r w:rsidRPr="006503C8">
        <w:t>être</w:t>
      </w:r>
      <w:r>
        <w:t xml:space="preserve"> </w:t>
      </w:r>
      <w:r w:rsidRPr="006503C8">
        <w:t>destiné</w:t>
      </w:r>
      <w:r>
        <w:t xml:space="preserve"> </w:t>
      </w:r>
      <w:r w:rsidRPr="006503C8">
        <w:t>à</w:t>
      </w:r>
      <w:r>
        <w:t xml:space="preserve"> </w:t>
      </w:r>
      <w:r w:rsidRPr="006503C8">
        <w:t>protéger</w:t>
      </w:r>
      <w:r>
        <w:t xml:space="preserve"> </w:t>
      </w:r>
      <w:r w:rsidRPr="006503C8">
        <w:t>l</w:t>
      </w:r>
      <w:r w:rsidR="00CA2931">
        <w:t>’</w:t>
      </w:r>
      <w:r w:rsidRPr="006503C8">
        <w:t>honneur</w:t>
      </w:r>
      <w:r>
        <w:t xml:space="preserve"> </w:t>
      </w:r>
      <w:r w:rsidRPr="006503C8">
        <w:t>et</w:t>
      </w:r>
      <w:r>
        <w:t xml:space="preserve"> </w:t>
      </w:r>
      <w:r w:rsidRPr="006503C8">
        <w:t>la</w:t>
      </w:r>
      <w:r>
        <w:t xml:space="preserve"> </w:t>
      </w:r>
      <w:r w:rsidRPr="006503C8">
        <w:t>dignité</w:t>
      </w:r>
      <w:r>
        <w:t xml:space="preserve"> </w:t>
      </w:r>
      <w:r w:rsidRPr="006503C8">
        <w:t>d</w:t>
      </w:r>
      <w:r w:rsidR="00CA2931">
        <w:t>’</w:t>
      </w:r>
      <w:r w:rsidRPr="006503C8">
        <w:t>autres</w:t>
      </w:r>
      <w:r>
        <w:t xml:space="preserve"> </w:t>
      </w:r>
      <w:r w:rsidRPr="006503C8">
        <w:t>personnes</w:t>
      </w:r>
      <w:r>
        <w:t xml:space="preserve"> </w:t>
      </w:r>
      <w:r w:rsidRPr="006503C8">
        <w:t>puisque</w:t>
      </w:r>
      <w:r>
        <w:t xml:space="preserve"> </w:t>
      </w:r>
      <w:r w:rsidRPr="006503C8">
        <w:t>c</w:t>
      </w:r>
      <w:r w:rsidR="00CA2931">
        <w:t>’</w:t>
      </w:r>
      <w:r w:rsidRPr="006503C8">
        <w:t>est</w:t>
      </w:r>
      <w:r>
        <w:t xml:space="preserve"> </w:t>
      </w:r>
      <w:r w:rsidRPr="006503C8">
        <w:t>l</w:t>
      </w:r>
      <w:r w:rsidR="00CA2931">
        <w:t>’</w:t>
      </w:r>
      <w:r w:rsidRPr="006503C8">
        <w:t>article</w:t>
      </w:r>
      <w:r>
        <w:t xml:space="preserve"> </w:t>
      </w:r>
      <w:r w:rsidRPr="006503C8">
        <w:t>155</w:t>
      </w:r>
      <w:r>
        <w:t xml:space="preserve"> </w:t>
      </w:r>
      <w:r w:rsidRPr="006503C8">
        <w:t>du</w:t>
      </w:r>
      <w:r>
        <w:t xml:space="preserve"> </w:t>
      </w:r>
      <w:r w:rsidRPr="006503C8">
        <w:t>Code</w:t>
      </w:r>
      <w:r>
        <w:t xml:space="preserve"> </w:t>
      </w:r>
      <w:r w:rsidRPr="006503C8">
        <w:t>pénal,</w:t>
      </w:r>
      <w:r>
        <w:t xml:space="preserve"> </w:t>
      </w:r>
      <w:r w:rsidRPr="006503C8">
        <w:t>incriminant</w:t>
      </w:r>
      <w:r>
        <w:t xml:space="preserve"> </w:t>
      </w:r>
      <w:r w:rsidRPr="006503C8">
        <w:t>l</w:t>
      </w:r>
      <w:r w:rsidR="00CA2931">
        <w:t>’</w:t>
      </w:r>
      <w:r w:rsidRPr="006503C8">
        <w:t>«</w:t>
      </w:r>
      <w:r>
        <w:t> </w:t>
      </w:r>
      <w:r w:rsidRPr="006503C8">
        <w:t>insulte</w:t>
      </w:r>
      <w:r>
        <w:t> </w:t>
      </w:r>
      <w:r w:rsidRPr="006503C8">
        <w:t>»,</w:t>
      </w:r>
      <w:r>
        <w:t xml:space="preserve"> </w:t>
      </w:r>
      <w:r w:rsidRPr="006503C8">
        <w:t>qui</w:t>
      </w:r>
      <w:r>
        <w:t xml:space="preserve"> </w:t>
      </w:r>
      <w:r w:rsidRPr="006503C8">
        <w:t>avait</w:t>
      </w:r>
      <w:r>
        <w:t xml:space="preserve"> </w:t>
      </w:r>
      <w:r w:rsidRPr="006503C8">
        <w:t>cette</w:t>
      </w:r>
      <w:r>
        <w:t xml:space="preserve"> </w:t>
      </w:r>
      <w:r w:rsidRPr="006503C8">
        <w:t>finalité.</w:t>
      </w:r>
      <w:r>
        <w:t xml:space="preserve"> </w:t>
      </w:r>
      <w:r w:rsidRPr="006503C8">
        <w:t>L</w:t>
      </w:r>
      <w:r w:rsidR="00CA2931">
        <w:t>’</w:t>
      </w:r>
      <w:r w:rsidRPr="006503C8">
        <w:t>État</w:t>
      </w:r>
      <w:r>
        <w:t xml:space="preserve"> </w:t>
      </w:r>
      <w:r w:rsidRPr="006503C8">
        <w:t>partie</w:t>
      </w:r>
      <w:r>
        <w:t xml:space="preserve"> </w:t>
      </w:r>
      <w:r w:rsidRPr="006503C8">
        <w:t>réfute</w:t>
      </w:r>
      <w:r>
        <w:t xml:space="preserve"> </w:t>
      </w:r>
      <w:r w:rsidRPr="006503C8">
        <w:t>ces</w:t>
      </w:r>
      <w:r>
        <w:t xml:space="preserve"> </w:t>
      </w:r>
      <w:r w:rsidRPr="006503C8">
        <w:t>allégations.</w:t>
      </w:r>
      <w:r>
        <w:t xml:space="preserve"> </w:t>
      </w:r>
      <w:r w:rsidRPr="006503C8">
        <w:t>Il</w:t>
      </w:r>
      <w:r>
        <w:t xml:space="preserve"> </w:t>
      </w:r>
      <w:r w:rsidRPr="006503C8">
        <w:t>fait</w:t>
      </w:r>
      <w:r>
        <w:t xml:space="preserve"> </w:t>
      </w:r>
      <w:r w:rsidRPr="006503C8">
        <w:t>valoir</w:t>
      </w:r>
      <w:r>
        <w:t xml:space="preserve"> </w:t>
      </w:r>
      <w:r w:rsidRPr="006503C8">
        <w:t>que</w:t>
      </w:r>
      <w:r>
        <w:t xml:space="preserve"> </w:t>
      </w:r>
      <w:r w:rsidRPr="006503C8">
        <w:t>la</w:t>
      </w:r>
      <w:r>
        <w:t xml:space="preserve"> </w:t>
      </w:r>
      <w:r w:rsidRPr="006503C8">
        <w:t>disposition</w:t>
      </w:r>
      <w:r>
        <w:t xml:space="preserve"> </w:t>
      </w:r>
      <w:r w:rsidRPr="006503C8">
        <w:t>vise</w:t>
      </w:r>
      <w:r>
        <w:t xml:space="preserve"> </w:t>
      </w:r>
      <w:r w:rsidRPr="006503C8">
        <w:t>à</w:t>
      </w:r>
      <w:r>
        <w:t xml:space="preserve"> </w:t>
      </w:r>
      <w:r w:rsidRPr="006503C8">
        <w:t>permettre</w:t>
      </w:r>
      <w:r>
        <w:t xml:space="preserve"> </w:t>
      </w:r>
      <w:r w:rsidRPr="006503C8">
        <w:t>aux</w:t>
      </w:r>
      <w:r>
        <w:t xml:space="preserve"> </w:t>
      </w:r>
      <w:r w:rsidRPr="006503C8">
        <w:t>fonctionnaires</w:t>
      </w:r>
      <w:r>
        <w:t xml:space="preserve"> </w:t>
      </w:r>
      <w:r w:rsidRPr="006503C8">
        <w:t>de</w:t>
      </w:r>
      <w:r>
        <w:t xml:space="preserve"> </w:t>
      </w:r>
      <w:r w:rsidRPr="006503C8">
        <w:t>s</w:t>
      </w:r>
      <w:r w:rsidR="00CA2931">
        <w:t>’</w:t>
      </w:r>
      <w:r w:rsidRPr="006503C8">
        <w:t>acquitter</w:t>
      </w:r>
      <w:r>
        <w:t xml:space="preserve"> </w:t>
      </w:r>
      <w:r w:rsidRPr="006503C8">
        <w:t>de</w:t>
      </w:r>
      <w:r>
        <w:t xml:space="preserve"> </w:t>
      </w:r>
      <w:r w:rsidRPr="006503C8">
        <w:t>leurs</w:t>
      </w:r>
      <w:r>
        <w:t xml:space="preserve"> </w:t>
      </w:r>
      <w:r w:rsidRPr="006503C8">
        <w:t>fonctions,</w:t>
      </w:r>
      <w:r>
        <w:t xml:space="preserve"> </w:t>
      </w:r>
      <w:r w:rsidRPr="006503C8">
        <w:t>même</w:t>
      </w:r>
      <w:r>
        <w:t xml:space="preserve"> </w:t>
      </w:r>
      <w:r w:rsidRPr="006503C8">
        <w:t>si</w:t>
      </w:r>
      <w:r>
        <w:t xml:space="preserve"> </w:t>
      </w:r>
      <w:r w:rsidRPr="006503C8">
        <w:t>la</w:t>
      </w:r>
      <w:r>
        <w:t xml:space="preserve"> </w:t>
      </w:r>
      <w:r w:rsidRPr="006503C8">
        <w:t>protection</w:t>
      </w:r>
      <w:r>
        <w:t xml:space="preserve"> </w:t>
      </w:r>
      <w:r w:rsidRPr="006503C8">
        <w:t>de</w:t>
      </w:r>
      <w:r>
        <w:t xml:space="preserve"> </w:t>
      </w:r>
      <w:r w:rsidRPr="006503C8">
        <w:t>leur</w:t>
      </w:r>
      <w:r>
        <w:t xml:space="preserve"> </w:t>
      </w:r>
      <w:r w:rsidRPr="006503C8">
        <w:t>honneur</w:t>
      </w:r>
      <w:r>
        <w:t xml:space="preserve"> </w:t>
      </w:r>
      <w:r w:rsidRPr="006503C8">
        <w:t>et</w:t>
      </w:r>
      <w:r>
        <w:t xml:space="preserve"> </w:t>
      </w:r>
      <w:r w:rsidRPr="006503C8">
        <w:t>de</w:t>
      </w:r>
      <w:r>
        <w:t xml:space="preserve"> </w:t>
      </w:r>
      <w:r w:rsidRPr="006503C8">
        <w:t>leur</w:t>
      </w:r>
      <w:r>
        <w:t xml:space="preserve"> </w:t>
      </w:r>
      <w:r w:rsidRPr="006503C8">
        <w:t>dignité</w:t>
      </w:r>
      <w:r>
        <w:t xml:space="preserve"> </w:t>
      </w:r>
      <w:r w:rsidRPr="006503C8">
        <w:t>pouvait</w:t>
      </w:r>
      <w:r>
        <w:t xml:space="preserve"> </w:t>
      </w:r>
      <w:r w:rsidRPr="006503C8">
        <w:t>être</w:t>
      </w:r>
      <w:r>
        <w:t xml:space="preserve"> </w:t>
      </w:r>
      <w:r w:rsidRPr="006503C8">
        <w:t>un</w:t>
      </w:r>
      <w:r>
        <w:t xml:space="preserve"> </w:t>
      </w:r>
      <w:r w:rsidRPr="006503C8">
        <w:t>objectif</w:t>
      </w:r>
      <w:r>
        <w:t xml:space="preserve"> </w:t>
      </w:r>
      <w:r w:rsidRPr="006503C8">
        <w:t>secondaire</w:t>
      </w:r>
      <w:r>
        <w:t xml:space="preserve"> </w:t>
      </w:r>
      <w:r w:rsidRPr="006503C8">
        <w:t>de</w:t>
      </w:r>
      <w:r>
        <w:t xml:space="preserve"> </w:t>
      </w:r>
      <w:r w:rsidRPr="006503C8">
        <w:t>la</w:t>
      </w:r>
      <w:r>
        <w:t xml:space="preserve"> </w:t>
      </w:r>
      <w:r w:rsidRPr="006503C8">
        <w:t>restriction</w:t>
      </w:r>
      <w:r>
        <w:t xml:space="preserve"> </w:t>
      </w:r>
      <w:r w:rsidRPr="006503C8">
        <w:t>autorisée.</w:t>
      </w:r>
    </w:p>
    <w:p w14:paraId="1ED3204B" w14:textId="77777777" w:rsidR="00765853" w:rsidRDefault="00765853" w:rsidP="00765853">
      <w:pPr>
        <w:pStyle w:val="SingleTxtG"/>
      </w:pPr>
      <w:r w:rsidRPr="006503C8">
        <w:t>8.7</w:t>
      </w:r>
      <w:r w:rsidRPr="006503C8">
        <w:tab/>
        <w:t>Le</w:t>
      </w:r>
      <w:r>
        <w:t xml:space="preserve"> </w:t>
      </w:r>
      <w:r w:rsidRPr="006503C8">
        <w:t>Comité</w:t>
      </w:r>
      <w:r>
        <w:t xml:space="preserve"> </w:t>
      </w:r>
      <w:r w:rsidRPr="006503C8">
        <w:t>fait</w:t>
      </w:r>
      <w:r>
        <w:t xml:space="preserve"> </w:t>
      </w:r>
      <w:r w:rsidRPr="006503C8">
        <w:t>observer</w:t>
      </w:r>
      <w:r>
        <w:t xml:space="preserve"> </w:t>
      </w:r>
      <w:r w:rsidRPr="006503C8">
        <w:t>que,</w:t>
      </w:r>
      <w:r>
        <w:t xml:space="preserve"> </w:t>
      </w:r>
      <w:r w:rsidRPr="006503C8">
        <w:t>dans</w:t>
      </w:r>
      <w:r>
        <w:t xml:space="preserve"> </w:t>
      </w:r>
      <w:r w:rsidRPr="006503C8">
        <w:t>l</w:t>
      </w:r>
      <w:r w:rsidR="00CA2931">
        <w:t>’</w:t>
      </w:r>
      <w:r w:rsidRPr="006503C8">
        <w:t>intérêt</w:t>
      </w:r>
      <w:r>
        <w:t xml:space="preserve"> </w:t>
      </w:r>
      <w:r w:rsidRPr="006503C8">
        <w:t>d</w:t>
      </w:r>
      <w:r w:rsidR="00CA2931">
        <w:t>’</w:t>
      </w:r>
      <w:r w:rsidRPr="006503C8">
        <w:t>une</w:t>
      </w:r>
      <w:r>
        <w:t xml:space="preserve"> </w:t>
      </w:r>
      <w:r w:rsidRPr="006503C8">
        <w:t>bonne</w:t>
      </w:r>
      <w:r>
        <w:t xml:space="preserve"> </w:t>
      </w:r>
      <w:r w:rsidRPr="006503C8">
        <w:t>administration</w:t>
      </w:r>
      <w:r>
        <w:t xml:space="preserve"> </w:t>
      </w:r>
      <w:r w:rsidRPr="006503C8">
        <w:t>de</w:t>
      </w:r>
      <w:r>
        <w:t xml:space="preserve"> </w:t>
      </w:r>
      <w:r w:rsidRPr="006503C8">
        <w:t>la</w:t>
      </w:r>
      <w:r>
        <w:t xml:space="preserve"> </w:t>
      </w:r>
      <w:r w:rsidRPr="006503C8">
        <w:t>justice,</w:t>
      </w:r>
      <w:r>
        <w:t xml:space="preserve"> </w:t>
      </w:r>
      <w:r w:rsidRPr="006503C8">
        <w:t>des</w:t>
      </w:r>
      <w:r>
        <w:t xml:space="preserve"> </w:t>
      </w:r>
      <w:r w:rsidRPr="006503C8">
        <w:t>restrictions</w:t>
      </w:r>
      <w:r>
        <w:t xml:space="preserve"> </w:t>
      </w:r>
      <w:r w:rsidRPr="006503C8">
        <w:t>à</w:t>
      </w:r>
      <w:r>
        <w:t xml:space="preserve"> </w:t>
      </w:r>
      <w:r w:rsidRPr="006503C8">
        <w:t>la</w:t>
      </w:r>
      <w:r>
        <w:t xml:space="preserve"> </w:t>
      </w:r>
      <w:r w:rsidRPr="006503C8">
        <w:t>liberté</w:t>
      </w:r>
      <w:r>
        <w:t xml:space="preserve"> </w:t>
      </w:r>
      <w:r w:rsidRPr="006503C8">
        <w:t>d</w:t>
      </w:r>
      <w:r w:rsidR="00CA2931">
        <w:t>’</w:t>
      </w:r>
      <w:r w:rsidRPr="006503C8">
        <w:t>expression</w:t>
      </w:r>
      <w:r>
        <w:t xml:space="preserve"> </w:t>
      </w:r>
      <w:r w:rsidRPr="006503C8">
        <w:t>ont</w:t>
      </w:r>
      <w:r>
        <w:t xml:space="preserve"> </w:t>
      </w:r>
      <w:r w:rsidRPr="006503C8">
        <w:t>été</w:t>
      </w:r>
      <w:r>
        <w:t xml:space="preserve"> </w:t>
      </w:r>
      <w:r w:rsidRPr="006503C8">
        <w:t>reconnues</w:t>
      </w:r>
      <w:r>
        <w:t xml:space="preserve"> </w:t>
      </w:r>
      <w:r w:rsidRPr="006503C8">
        <w:t>comme</w:t>
      </w:r>
      <w:r>
        <w:t xml:space="preserve"> </w:t>
      </w:r>
      <w:r w:rsidRPr="006503C8">
        <w:t>servant</w:t>
      </w:r>
      <w:r>
        <w:t xml:space="preserve"> </w:t>
      </w:r>
      <w:r w:rsidRPr="006503C8">
        <w:t>des</w:t>
      </w:r>
      <w:r>
        <w:t xml:space="preserve"> </w:t>
      </w:r>
      <w:r w:rsidRPr="006503C8">
        <w:t>objectifs</w:t>
      </w:r>
      <w:r>
        <w:t xml:space="preserve"> </w:t>
      </w:r>
      <w:r w:rsidRPr="006503C8">
        <w:t>légitimes,</w:t>
      </w:r>
      <w:r>
        <w:t xml:space="preserve"> </w:t>
      </w:r>
      <w:r w:rsidRPr="006503C8">
        <w:t>dans</w:t>
      </w:r>
      <w:r>
        <w:t xml:space="preserve"> </w:t>
      </w:r>
      <w:r w:rsidRPr="006503C8">
        <w:t>plusieurs</w:t>
      </w:r>
      <w:r>
        <w:t xml:space="preserve"> </w:t>
      </w:r>
      <w:r w:rsidRPr="006503C8">
        <w:t>affaires</w:t>
      </w:r>
      <w:r>
        <w:t xml:space="preserve"> </w:t>
      </w:r>
      <w:r w:rsidRPr="006503C8">
        <w:t>dans</w:t>
      </w:r>
      <w:r>
        <w:t xml:space="preserve"> </w:t>
      </w:r>
      <w:r w:rsidRPr="006503C8">
        <w:t>lesquelles</w:t>
      </w:r>
      <w:r>
        <w:t xml:space="preserve"> </w:t>
      </w:r>
      <w:r w:rsidRPr="006503C8">
        <w:t>des</w:t>
      </w:r>
      <w:r>
        <w:t xml:space="preserve"> </w:t>
      </w:r>
      <w:r w:rsidRPr="006503C8">
        <w:t>condamnations</w:t>
      </w:r>
      <w:r>
        <w:t xml:space="preserve"> </w:t>
      </w:r>
      <w:r w:rsidRPr="006503C8">
        <w:t>pénales</w:t>
      </w:r>
      <w:r>
        <w:t xml:space="preserve"> </w:t>
      </w:r>
      <w:r w:rsidRPr="006503C8">
        <w:t>pour</w:t>
      </w:r>
      <w:r>
        <w:t xml:space="preserve"> </w:t>
      </w:r>
      <w:r w:rsidRPr="006503C8">
        <w:t>outrage</w:t>
      </w:r>
      <w:r>
        <w:t xml:space="preserve"> au tribunal </w:t>
      </w:r>
      <w:r w:rsidRPr="006503C8">
        <w:t>étaient</w:t>
      </w:r>
      <w:r>
        <w:t xml:space="preserve"> </w:t>
      </w:r>
      <w:r w:rsidRPr="006503C8">
        <w:t>contestées</w:t>
      </w:r>
      <w:r w:rsidRPr="00A47548">
        <w:rPr>
          <w:rStyle w:val="Appelnotedebasdep"/>
        </w:rPr>
        <w:footnoteReference w:id="17"/>
      </w:r>
      <w:r w:rsidRPr="006503C8">
        <w:t>.</w:t>
      </w:r>
      <w:r>
        <w:t xml:space="preserve"> Il </w:t>
      </w:r>
      <w:r w:rsidRPr="006503C8">
        <w:t>rappelle</w:t>
      </w:r>
      <w:r>
        <w:t xml:space="preserve"> les termes du paragraphe 47 de </w:t>
      </w:r>
      <w:r w:rsidRPr="006503C8">
        <w:t>son</w:t>
      </w:r>
      <w:r>
        <w:t xml:space="preserve"> observation générale </w:t>
      </w:r>
      <w:r w:rsidRPr="006503C8">
        <w:t>n</w:t>
      </w:r>
      <w:r w:rsidRPr="006503C8">
        <w:rPr>
          <w:vertAlign w:val="superscript"/>
        </w:rPr>
        <w:t>o</w:t>
      </w:r>
      <w:r>
        <w:t> </w:t>
      </w:r>
      <w:r w:rsidRPr="006503C8">
        <w:t>34</w:t>
      </w:r>
      <w:r>
        <w:t> :</w:t>
      </w:r>
    </w:p>
    <w:p w14:paraId="248A9778" w14:textId="77777777" w:rsidR="00765853" w:rsidRDefault="00765853" w:rsidP="000138E1">
      <w:pPr>
        <w:pStyle w:val="SingleTxtG"/>
        <w:ind w:left="1701"/>
      </w:pPr>
      <w:r w:rsidRPr="006503C8">
        <w:t>«</w:t>
      </w:r>
      <w:r>
        <w:t> </w:t>
      </w:r>
      <w:r w:rsidRPr="006503C8">
        <w:t>Les</w:t>
      </w:r>
      <w:r>
        <w:t xml:space="preserve"> </w:t>
      </w:r>
      <w:r w:rsidRPr="006503C8">
        <w:t>lois</w:t>
      </w:r>
      <w:r>
        <w:t xml:space="preserve"> </w:t>
      </w:r>
      <w:r w:rsidRPr="006503C8">
        <w:t>sur</w:t>
      </w:r>
      <w:r>
        <w:t xml:space="preserve"> </w:t>
      </w:r>
      <w:r w:rsidRPr="006503C8">
        <w:t>la</w:t>
      </w:r>
      <w:r>
        <w:t xml:space="preserve"> </w:t>
      </w:r>
      <w:r w:rsidRPr="006503C8">
        <w:t>diffamation</w:t>
      </w:r>
      <w:r>
        <w:t xml:space="preserve"> </w:t>
      </w:r>
      <w:r w:rsidRPr="006503C8">
        <w:t>doivent</w:t>
      </w:r>
      <w:r>
        <w:t xml:space="preserve"> </w:t>
      </w:r>
      <w:r w:rsidRPr="006503C8">
        <w:t>être</w:t>
      </w:r>
      <w:r>
        <w:t xml:space="preserve"> </w:t>
      </w:r>
      <w:r w:rsidRPr="006503C8">
        <w:t>conçues</w:t>
      </w:r>
      <w:r>
        <w:t xml:space="preserve"> </w:t>
      </w:r>
      <w:r w:rsidRPr="006503C8">
        <w:t>avec</w:t>
      </w:r>
      <w:r>
        <w:t xml:space="preserve"> </w:t>
      </w:r>
      <w:r w:rsidRPr="006503C8">
        <w:t>soin</w:t>
      </w:r>
      <w:r>
        <w:t xml:space="preserve"> </w:t>
      </w:r>
      <w:r w:rsidRPr="006503C8">
        <w:t>de</w:t>
      </w:r>
      <w:r>
        <w:t xml:space="preserve"> </w:t>
      </w:r>
      <w:r w:rsidRPr="006503C8">
        <w:t>façon</w:t>
      </w:r>
      <w:r>
        <w:t xml:space="preserve"> </w:t>
      </w:r>
      <w:r w:rsidRPr="006503C8">
        <w:t>à</w:t>
      </w:r>
      <w:r>
        <w:t xml:space="preserve"> </w:t>
      </w:r>
      <w:r w:rsidRPr="006503C8">
        <w:t>garantir</w:t>
      </w:r>
      <w:r>
        <w:t xml:space="preserve"> </w:t>
      </w:r>
      <w:r w:rsidRPr="006503C8">
        <w:t>qu</w:t>
      </w:r>
      <w:r w:rsidR="00CA2931">
        <w:t>’</w:t>
      </w:r>
      <w:r w:rsidRPr="006503C8">
        <w:t>elles</w:t>
      </w:r>
      <w:r>
        <w:t xml:space="preserve"> </w:t>
      </w:r>
      <w:r w:rsidRPr="006503C8">
        <w:t>répondent</w:t>
      </w:r>
      <w:r>
        <w:t xml:space="preserve"> </w:t>
      </w:r>
      <w:r w:rsidRPr="006503C8">
        <w:t>au</w:t>
      </w:r>
      <w:r>
        <w:t xml:space="preserve"> </w:t>
      </w:r>
      <w:r w:rsidRPr="006503C8">
        <w:t>critère</w:t>
      </w:r>
      <w:r>
        <w:t xml:space="preserve"> </w:t>
      </w:r>
      <w:r w:rsidRPr="006503C8">
        <w:t>de</w:t>
      </w:r>
      <w:r>
        <w:t xml:space="preserve"> </w:t>
      </w:r>
      <w:r w:rsidRPr="006503C8">
        <w:t>nécessité</w:t>
      </w:r>
      <w:r>
        <w:t xml:space="preserve"> </w:t>
      </w:r>
      <w:r w:rsidRPr="006503C8">
        <w:t>énoncé</w:t>
      </w:r>
      <w:r>
        <w:t xml:space="preserve"> </w:t>
      </w:r>
      <w:r w:rsidRPr="006503C8">
        <w:t>au</w:t>
      </w:r>
      <w:r>
        <w:t xml:space="preserve"> </w:t>
      </w:r>
      <w:r w:rsidRPr="006503C8">
        <w:t>paragraphe</w:t>
      </w:r>
      <w:r>
        <w:t xml:space="preserve"> </w:t>
      </w:r>
      <w:r w:rsidRPr="006503C8">
        <w:t>3</w:t>
      </w:r>
      <w:r>
        <w:t xml:space="preserve"> [de l</w:t>
      </w:r>
      <w:r w:rsidR="00CA2931">
        <w:t>’</w:t>
      </w:r>
      <w:r>
        <w:t xml:space="preserve">article 19] </w:t>
      </w:r>
      <w:r w:rsidRPr="006503C8">
        <w:t>et</w:t>
      </w:r>
      <w:r>
        <w:t xml:space="preserve"> </w:t>
      </w:r>
      <w:r w:rsidRPr="006503C8">
        <w:t>qu</w:t>
      </w:r>
      <w:r w:rsidR="00CA2931">
        <w:t>’</w:t>
      </w:r>
      <w:r w:rsidRPr="006503C8">
        <w:t>elles</w:t>
      </w:r>
      <w:r>
        <w:t xml:space="preserve"> </w:t>
      </w:r>
      <w:r w:rsidRPr="006503C8">
        <w:t>ne</w:t>
      </w:r>
      <w:r>
        <w:t xml:space="preserve"> </w:t>
      </w:r>
      <w:r w:rsidRPr="006503C8">
        <w:t>servent</w:t>
      </w:r>
      <w:r>
        <w:t xml:space="preserve"> </w:t>
      </w:r>
      <w:r w:rsidRPr="006503C8">
        <w:t>pas,</w:t>
      </w:r>
      <w:r>
        <w:t xml:space="preserve"> </w:t>
      </w:r>
      <w:r w:rsidRPr="006503C8">
        <w:t>dans</w:t>
      </w:r>
      <w:r>
        <w:t xml:space="preserve"> </w:t>
      </w:r>
      <w:r w:rsidRPr="006503C8">
        <w:t>la</w:t>
      </w:r>
      <w:r>
        <w:t xml:space="preserve"> </w:t>
      </w:r>
      <w:r w:rsidRPr="006503C8">
        <w:t>pratique,</w:t>
      </w:r>
      <w:r>
        <w:t xml:space="preserve"> </w:t>
      </w:r>
      <w:r w:rsidRPr="006503C8">
        <w:t>à</w:t>
      </w:r>
      <w:r>
        <w:t xml:space="preserve"> </w:t>
      </w:r>
      <w:r w:rsidRPr="006503C8">
        <w:t>étouffer</w:t>
      </w:r>
      <w:r>
        <w:t xml:space="preserve"> </w:t>
      </w:r>
      <w:r w:rsidRPr="006503C8">
        <w:t>la</w:t>
      </w:r>
      <w:r>
        <w:t xml:space="preserve"> </w:t>
      </w:r>
      <w:r w:rsidRPr="006503C8">
        <w:t>liberté</w:t>
      </w:r>
      <w:r>
        <w:t xml:space="preserve"> </w:t>
      </w:r>
      <w:r w:rsidRPr="006503C8">
        <w:t>d</w:t>
      </w:r>
      <w:r w:rsidR="00CA2931">
        <w:t>’</w:t>
      </w:r>
      <w:r w:rsidRPr="006503C8">
        <w:t>expression.</w:t>
      </w:r>
      <w:r>
        <w:t xml:space="preserve"> </w:t>
      </w:r>
      <w:r w:rsidRPr="006503C8">
        <w:t>Toutes</w:t>
      </w:r>
      <w:r>
        <w:t xml:space="preserve"> </w:t>
      </w:r>
      <w:r w:rsidRPr="006503C8">
        <w:t>ces</w:t>
      </w:r>
      <w:r>
        <w:t xml:space="preserve"> </w:t>
      </w:r>
      <w:r w:rsidRPr="006503C8">
        <w:t>lois,</w:t>
      </w:r>
      <w:r>
        <w:t xml:space="preserve"> </w:t>
      </w:r>
      <w:r w:rsidRPr="006503C8">
        <w:t>en</w:t>
      </w:r>
      <w:r>
        <w:t xml:space="preserve"> </w:t>
      </w:r>
      <w:r w:rsidRPr="006503C8">
        <w:t>particulier</w:t>
      </w:r>
      <w:r>
        <w:t xml:space="preserve"> </w:t>
      </w:r>
      <w:r w:rsidRPr="006503C8">
        <w:t>les</w:t>
      </w:r>
      <w:r>
        <w:t xml:space="preserve"> </w:t>
      </w:r>
      <w:r w:rsidRPr="006503C8">
        <w:t>lois</w:t>
      </w:r>
      <w:r>
        <w:t xml:space="preserve"> </w:t>
      </w:r>
      <w:r w:rsidRPr="006503C8">
        <w:t>pénales</w:t>
      </w:r>
      <w:r>
        <w:t xml:space="preserve"> </w:t>
      </w:r>
      <w:r w:rsidRPr="006503C8">
        <w:t>sur</w:t>
      </w:r>
      <w:r>
        <w:t xml:space="preserve"> </w:t>
      </w:r>
      <w:r w:rsidRPr="006503C8">
        <w:t>la</w:t>
      </w:r>
      <w:r>
        <w:t xml:space="preserve"> </w:t>
      </w:r>
      <w:r w:rsidRPr="006503C8">
        <w:t>diffamation,</w:t>
      </w:r>
      <w:r>
        <w:t xml:space="preserve"> </w:t>
      </w:r>
      <w:r w:rsidRPr="006503C8">
        <w:t>devraient</w:t>
      </w:r>
      <w:r>
        <w:t xml:space="preserve"> </w:t>
      </w:r>
      <w:r w:rsidRPr="006503C8">
        <w:t>prévoir</w:t>
      </w:r>
      <w:r>
        <w:t xml:space="preserve"> </w:t>
      </w:r>
      <w:r w:rsidRPr="006503C8">
        <w:t>des</w:t>
      </w:r>
      <w:r>
        <w:t xml:space="preserve"> </w:t>
      </w:r>
      <w:r w:rsidRPr="006503C8">
        <w:t>moyens</w:t>
      </w:r>
      <w:r>
        <w:t xml:space="preserve"> </w:t>
      </w:r>
      <w:r w:rsidRPr="006503C8">
        <w:t>de</w:t>
      </w:r>
      <w:r>
        <w:t xml:space="preserve"> </w:t>
      </w:r>
      <w:r w:rsidRPr="006503C8">
        <w:t>défense</w:t>
      </w:r>
      <w:r>
        <w:t xml:space="preserve"> </w:t>
      </w:r>
      <w:r w:rsidRPr="006503C8">
        <w:t>tels</w:t>
      </w:r>
      <w:r>
        <w:t xml:space="preserve"> </w:t>
      </w:r>
      <w:r w:rsidRPr="006503C8">
        <w:t>que</w:t>
      </w:r>
      <w:r>
        <w:t xml:space="preserve"> </w:t>
      </w:r>
      <w:r w:rsidRPr="006503C8">
        <w:t>l</w:t>
      </w:r>
      <w:r w:rsidR="00CA2931">
        <w:t>’</w:t>
      </w:r>
      <w:r w:rsidRPr="006503C8">
        <w:t>exception</w:t>
      </w:r>
      <w:r>
        <w:t xml:space="preserve"> </w:t>
      </w:r>
      <w:r w:rsidRPr="006503C8">
        <w:t>de</w:t>
      </w:r>
      <w:r>
        <w:t xml:space="preserve"> </w:t>
      </w:r>
      <w:r w:rsidRPr="006503C8">
        <w:t>vérité</w:t>
      </w:r>
      <w:r>
        <w:t xml:space="preserve"> </w:t>
      </w:r>
      <w:r w:rsidRPr="006503C8">
        <w:t>et</w:t>
      </w:r>
      <w:r>
        <w:t xml:space="preserve"> </w:t>
      </w:r>
      <w:r w:rsidRPr="006503C8">
        <w:t>ne</w:t>
      </w:r>
      <w:r>
        <w:t xml:space="preserve"> </w:t>
      </w:r>
      <w:r w:rsidRPr="006503C8">
        <w:t>devraient</w:t>
      </w:r>
      <w:r>
        <w:t xml:space="preserve"> </w:t>
      </w:r>
      <w:r w:rsidRPr="006503C8">
        <w:t>pas</w:t>
      </w:r>
      <w:r>
        <w:t xml:space="preserve"> </w:t>
      </w:r>
      <w:r w:rsidRPr="006503C8">
        <w:t>être</w:t>
      </w:r>
      <w:r>
        <w:t xml:space="preserve"> </w:t>
      </w:r>
      <w:r w:rsidRPr="006503C8">
        <w:t>appliquées</w:t>
      </w:r>
      <w:r>
        <w:t xml:space="preserve"> </w:t>
      </w:r>
      <w:r w:rsidRPr="006503C8">
        <w:t>dans</w:t>
      </w:r>
      <w:r>
        <w:t xml:space="preserve"> </w:t>
      </w:r>
      <w:r w:rsidRPr="006503C8">
        <w:t>le</w:t>
      </w:r>
      <w:r>
        <w:t xml:space="preserve"> </w:t>
      </w:r>
      <w:r w:rsidRPr="006503C8">
        <w:t>cas</w:t>
      </w:r>
      <w:r>
        <w:t xml:space="preserve"> </w:t>
      </w:r>
      <w:r w:rsidRPr="006503C8">
        <w:t>de</w:t>
      </w:r>
      <w:r>
        <w:t xml:space="preserve"> </w:t>
      </w:r>
      <w:r w:rsidRPr="006503C8">
        <w:t>formes</w:t>
      </w:r>
      <w:r>
        <w:t xml:space="preserve"> </w:t>
      </w:r>
      <w:r w:rsidRPr="006503C8">
        <w:t>d</w:t>
      </w:r>
      <w:r w:rsidR="00CA2931">
        <w:t>’</w:t>
      </w:r>
      <w:r w:rsidRPr="006503C8">
        <w:t>expression</w:t>
      </w:r>
      <w:r>
        <w:t xml:space="preserve"> </w:t>
      </w:r>
      <w:r w:rsidRPr="006503C8">
        <w:t>qui</w:t>
      </w:r>
      <w:r>
        <w:t xml:space="preserve"> </w:t>
      </w:r>
      <w:r w:rsidRPr="006503C8">
        <w:t>ne</w:t>
      </w:r>
      <w:r>
        <w:t xml:space="preserve"> </w:t>
      </w:r>
      <w:r w:rsidRPr="006503C8">
        <w:t>sont</w:t>
      </w:r>
      <w:r>
        <w:t xml:space="preserve"> </w:t>
      </w:r>
      <w:r w:rsidRPr="006503C8">
        <w:t>pas,</w:t>
      </w:r>
      <w:r>
        <w:t xml:space="preserve"> </w:t>
      </w:r>
      <w:r w:rsidRPr="006503C8">
        <w:t>de</w:t>
      </w:r>
      <w:r>
        <w:t xml:space="preserve"> </w:t>
      </w:r>
      <w:r w:rsidRPr="006503C8">
        <w:t>par</w:t>
      </w:r>
      <w:r>
        <w:t xml:space="preserve"> </w:t>
      </w:r>
      <w:r w:rsidRPr="006503C8">
        <w:t>leur</w:t>
      </w:r>
      <w:r>
        <w:t xml:space="preserve"> </w:t>
      </w:r>
      <w:r w:rsidRPr="006503C8">
        <w:t>nature,</w:t>
      </w:r>
      <w:r>
        <w:t xml:space="preserve"> </w:t>
      </w:r>
      <w:r w:rsidRPr="006503C8">
        <w:t>susceptibles</w:t>
      </w:r>
      <w:r>
        <w:t xml:space="preserve"> </w:t>
      </w:r>
      <w:r w:rsidRPr="006503C8">
        <w:t>d</w:t>
      </w:r>
      <w:r w:rsidR="00CA2931">
        <w:t>’</w:t>
      </w:r>
      <w:r w:rsidRPr="006503C8">
        <w:t>être</w:t>
      </w:r>
      <w:r>
        <w:t xml:space="preserve"> </w:t>
      </w:r>
      <w:r w:rsidRPr="006503C8">
        <w:t>vérifiées.</w:t>
      </w:r>
      <w:r>
        <w:t xml:space="preserve"> </w:t>
      </w:r>
      <w:r w:rsidRPr="006503C8">
        <w:t>À</w:t>
      </w:r>
      <w:r>
        <w:t xml:space="preserve"> </w:t>
      </w:r>
      <w:r w:rsidRPr="006503C8">
        <w:t>tout</w:t>
      </w:r>
      <w:r>
        <w:t xml:space="preserve"> </w:t>
      </w:r>
      <w:r w:rsidRPr="006503C8">
        <w:t>le</w:t>
      </w:r>
      <w:r>
        <w:t xml:space="preserve"> </w:t>
      </w:r>
      <w:r w:rsidRPr="006503C8">
        <w:t>moins</w:t>
      </w:r>
      <w:r>
        <w:t xml:space="preserve"> </w:t>
      </w:r>
      <w:r w:rsidRPr="006503C8">
        <w:t>dans</w:t>
      </w:r>
      <w:r>
        <w:t xml:space="preserve"> </w:t>
      </w:r>
      <w:r w:rsidRPr="006503C8">
        <w:t>le</w:t>
      </w:r>
      <w:r>
        <w:t xml:space="preserve"> </w:t>
      </w:r>
      <w:r w:rsidRPr="006503C8">
        <w:t>cas</w:t>
      </w:r>
      <w:r>
        <w:t xml:space="preserve"> </w:t>
      </w:r>
      <w:r w:rsidRPr="006503C8">
        <w:t>des</w:t>
      </w:r>
      <w:r>
        <w:t xml:space="preserve"> </w:t>
      </w:r>
      <w:r w:rsidRPr="006503C8">
        <w:t>commentaires</w:t>
      </w:r>
      <w:r>
        <w:t xml:space="preserve"> </w:t>
      </w:r>
      <w:r w:rsidRPr="006503C8">
        <w:t>au</w:t>
      </w:r>
      <w:r>
        <w:t xml:space="preserve"> </w:t>
      </w:r>
      <w:r w:rsidRPr="006503C8">
        <w:t>sujet</w:t>
      </w:r>
      <w:r>
        <w:t xml:space="preserve"> </w:t>
      </w:r>
      <w:r w:rsidRPr="006503C8">
        <w:t>de</w:t>
      </w:r>
      <w:r>
        <w:t xml:space="preserve"> </w:t>
      </w:r>
      <w:r w:rsidRPr="006503C8">
        <w:t>figures</w:t>
      </w:r>
      <w:r>
        <w:t xml:space="preserve"> </w:t>
      </w:r>
      <w:r w:rsidRPr="006503C8">
        <w:t>publiques,</w:t>
      </w:r>
      <w:r>
        <w:t xml:space="preserve"> </w:t>
      </w:r>
      <w:r w:rsidRPr="006503C8">
        <w:t>il</w:t>
      </w:r>
      <w:r>
        <w:t xml:space="preserve"> </w:t>
      </w:r>
      <w:r w:rsidRPr="006503C8">
        <w:t>faudrait</w:t>
      </w:r>
      <w:r>
        <w:t xml:space="preserve"> </w:t>
      </w:r>
      <w:r w:rsidRPr="006503C8">
        <w:t>veiller</w:t>
      </w:r>
      <w:r>
        <w:t xml:space="preserve"> </w:t>
      </w:r>
      <w:r w:rsidRPr="006503C8">
        <w:t>à</w:t>
      </w:r>
      <w:r>
        <w:t xml:space="preserve"> </w:t>
      </w:r>
      <w:r w:rsidRPr="006503C8">
        <w:t>éviter</w:t>
      </w:r>
      <w:r>
        <w:t xml:space="preserve"> </w:t>
      </w:r>
      <w:r w:rsidRPr="006503C8">
        <w:t>de</w:t>
      </w:r>
      <w:r>
        <w:t xml:space="preserve"> </w:t>
      </w:r>
      <w:r w:rsidRPr="006503C8">
        <w:t>considérer</w:t>
      </w:r>
      <w:r>
        <w:t xml:space="preserve"> </w:t>
      </w:r>
      <w:r w:rsidRPr="006503C8">
        <w:t>comme</w:t>
      </w:r>
      <w:r>
        <w:t xml:space="preserve"> </w:t>
      </w:r>
      <w:r w:rsidRPr="006503C8">
        <w:t>une</w:t>
      </w:r>
      <w:r>
        <w:t xml:space="preserve"> </w:t>
      </w:r>
      <w:r w:rsidRPr="006503C8">
        <w:t>infraction</w:t>
      </w:r>
      <w:r>
        <w:t xml:space="preserve"> </w:t>
      </w:r>
      <w:r w:rsidRPr="006503C8">
        <w:t>pénale</w:t>
      </w:r>
      <w:r>
        <w:t xml:space="preserve"> </w:t>
      </w:r>
      <w:r w:rsidRPr="006503C8">
        <w:t>ou</w:t>
      </w:r>
      <w:r>
        <w:t xml:space="preserve"> </w:t>
      </w:r>
      <w:r w:rsidRPr="006503C8">
        <w:t>de</w:t>
      </w:r>
      <w:r>
        <w:t xml:space="preserve"> </w:t>
      </w:r>
      <w:r w:rsidRPr="006503C8">
        <w:t>rendre</w:t>
      </w:r>
      <w:r>
        <w:t xml:space="preserve"> </w:t>
      </w:r>
      <w:r w:rsidRPr="006503C8">
        <w:t>d</w:t>
      </w:r>
      <w:r w:rsidR="00CA2931">
        <w:t>’</w:t>
      </w:r>
      <w:r w:rsidRPr="006503C8">
        <w:t>une</w:t>
      </w:r>
      <w:r>
        <w:t xml:space="preserve"> </w:t>
      </w:r>
      <w:r w:rsidRPr="006503C8">
        <w:t>autre</w:t>
      </w:r>
      <w:r>
        <w:t xml:space="preserve"> </w:t>
      </w:r>
      <w:r w:rsidRPr="006503C8">
        <w:t>manière</w:t>
      </w:r>
      <w:r>
        <w:t xml:space="preserve"> </w:t>
      </w:r>
      <w:r w:rsidRPr="006503C8">
        <w:t>contraires</w:t>
      </w:r>
      <w:r>
        <w:t xml:space="preserve"> </w:t>
      </w:r>
      <w:r w:rsidRPr="006503C8">
        <w:t>à</w:t>
      </w:r>
      <w:r>
        <w:t xml:space="preserve"> </w:t>
      </w:r>
      <w:r w:rsidRPr="006503C8">
        <w:t>la</w:t>
      </w:r>
      <w:r>
        <w:t xml:space="preserve"> </w:t>
      </w:r>
      <w:r w:rsidRPr="006503C8">
        <w:t>loi</w:t>
      </w:r>
      <w:r>
        <w:t xml:space="preserve"> </w:t>
      </w:r>
      <w:r w:rsidRPr="006503C8">
        <w:t>les</w:t>
      </w:r>
      <w:r>
        <w:t xml:space="preserve"> </w:t>
      </w:r>
      <w:r w:rsidRPr="006503C8">
        <w:t>déclarations</w:t>
      </w:r>
      <w:r>
        <w:t xml:space="preserve"> </w:t>
      </w:r>
      <w:r w:rsidRPr="006503C8">
        <w:t>fausses</w:t>
      </w:r>
      <w:r>
        <w:t xml:space="preserve"> </w:t>
      </w:r>
      <w:r w:rsidRPr="006503C8">
        <w:t>qui</w:t>
      </w:r>
      <w:r>
        <w:t xml:space="preserve"> </w:t>
      </w:r>
      <w:r w:rsidRPr="006503C8">
        <w:t>ont</w:t>
      </w:r>
      <w:r>
        <w:t xml:space="preserve"> </w:t>
      </w:r>
      <w:r w:rsidRPr="006503C8">
        <w:t>été</w:t>
      </w:r>
      <w:r>
        <w:t xml:space="preserve"> </w:t>
      </w:r>
      <w:r w:rsidRPr="006503C8">
        <w:t>publiées</w:t>
      </w:r>
      <w:r>
        <w:t xml:space="preserve"> </w:t>
      </w:r>
      <w:r w:rsidRPr="006503C8">
        <w:t>à</w:t>
      </w:r>
      <w:r>
        <w:t xml:space="preserve"> </w:t>
      </w:r>
      <w:r w:rsidRPr="006503C8">
        <w:t>tort,</w:t>
      </w:r>
      <w:r>
        <w:t xml:space="preserve"> </w:t>
      </w:r>
      <w:r w:rsidRPr="006503C8">
        <w:t>mais</w:t>
      </w:r>
      <w:r>
        <w:t xml:space="preserve"> </w:t>
      </w:r>
      <w:r w:rsidRPr="006503C8">
        <w:t>sans</w:t>
      </w:r>
      <w:r>
        <w:t xml:space="preserve"> </w:t>
      </w:r>
      <w:r w:rsidRPr="006503C8">
        <w:t>malveillance.</w:t>
      </w:r>
      <w:r>
        <w:t xml:space="preserve"> </w:t>
      </w:r>
      <w:r w:rsidRPr="006503C8">
        <w:t>Dans</w:t>
      </w:r>
      <w:r>
        <w:t xml:space="preserve"> </w:t>
      </w:r>
      <w:r w:rsidRPr="006503C8">
        <w:t>tous</w:t>
      </w:r>
      <w:r>
        <w:t xml:space="preserve"> </w:t>
      </w:r>
      <w:r w:rsidRPr="006503C8">
        <w:t>les</w:t>
      </w:r>
      <w:r>
        <w:t xml:space="preserve"> </w:t>
      </w:r>
      <w:r w:rsidRPr="006503C8">
        <w:t>cas,</w:t>
      </w:r>
      <w:r>
        <w:t xml:space="preserve"> </w:t>
      </w:r>
      <w:r w:rsidRPr="006503C8">
        <w:t>un</w:t>
      </w:r>
      <w:r>
        <w:t xml:space="preserve"> </w:t>
      </w:r>
      <w:r w:rsidRPr="006503C8">
        <w:t>intérêt</w:t>
      </w:r>
      <w:r>
        <w:t xml:space="preserve"> </w:t>
      </w:r>
      <w:r w:rsidRPr="006503C8">
        <w:t>public</w:t>
      </w:r>
      <w:r>
        <w:t xml:space="preserve"> </w:t>
      </w:r>
      <w:r w:rsidRPr="006503C8">
        <w:t>dans</w:t>
      </w:r>
      <w:r>
        <w:t xml:space="preserve"> </w:t>
      </w:r>
      <w:r w:rsidRPr="006503C8">
        <w:t>la</w:t>
      </w:r>
      <w:r>
        <w:t xml:space="preserve"> </w:t>
      </w:r>
      <w:r w:rsidRPr="006503C8">
        <w:t>question</w:t>
      </w:r>
      <w:r>
        <w:t xml:space="preserve"> </w:t>
      </w:r>
      <w:r w:rsidRPr="006503C8">
        <w:t>objet</w:t>
      </w:r>
      <w:r>
        <w:t xml:space="preserve"> </w:t>
      </w:r>
      <w:r w:rsidRPr="006503C8">
        <w:t>de</w:t>
      </w:r>
      <w:r>
        <w:t xml:space="preserve"> </w:t>
      </w:r>
      <w:r w:rsidRPr="006503C8">
        <w:t>la</w:t>
      </w:r>
      <w:r>
        <w:t xml:space="preserve"> </w:t>
      </w:r>
      <w:r w:rsidRPr="006503C8">
        <w:t>critique</w:t>
      </w:r>
      <w:r>
        <w:t xml:space="preserve"> </w:t>
      </w:r>
      <w:r w:rsidRPr="006503C8">
        <w:t>devrait</w:t>
      </w:r>
      <w:r>
        <w:t xml:space="preserve"> </w:t>
      </w:r>
      <w:r w:rsidRPr="006503C8">
        <w:t>être</w:t>
      </w:r>
      <w:r>
        <w:t xml:space="preserve"> </w:t>
      </w:r>
      <w:r w:rsidRPr="006503C8">
        <w:t>reconnu</w:t>
      </w:r>
      <w:r>
        <w:t xml:space="preserve"> </w:t>
      </w:r>
      <w:r w:rsidRPr="006503C8">
        <w:t>comme</w:t>
      </w:r>
      <w:r>
        <w:t xml:space="preserve"> </w:t>
      </w:r>
      <w:r w:rsidRPr="006503C8">
        <w:t>un</w:t>
      </w:r>
      <w:r>
        <w:t xml:space="preserve"> </w:t>
      </w:r>
      <w:r w:rsidRPr="006503C8">
        <w:t>argument</w:t>
      </w:r>
      <w:r>
        <w:t xml:space="preserve"> </w:t>
      </w:r>
      <w:r w:rsidRPr="006503C8">
        <w:t>en</w:t>
      </w:r>
      <w:r>
        <w:t xml:space="preserve"> </w:t>
      </w:r>
      <w:r w:rsidRPr="006503C8">
        <w:t>défense.</w:t>
      </w:r>
      <w:r>
        <w:t xml:space="preserve"> </w:t>
      </w:r>
      <w:r w:rsidRPr="006503C8">
        <w:t>Les</w:t>
      </w:r>
      <w:r>
        <w:t xml:space="preserve"> </w:t>
      </w:r>
      <w:r w:rsidRPr="006503C8">
        <w:t>États</w:t>
      </w:r>
      <w:r>
        <w:t xml:space="preserve"> </w:t>
      </w:r>
      <w:r w:rsidRPr="006503C8">
        <w:t>parties</w:t>
      </w:r>
      <w:r>
        <w:t xml:space="preserve"> </w:t>
      </w:r>
      <w:r w:rsidRPr="006503C8">
        <w:t>devraient</w:t>
      </w:r>
      <w:r>
        <w:t xml:space="preserve"> </w:t>
      </w:r>
      <w:r w:rsidRPr="006503C8">
        <w:t>veiller</w:t>
      </w:r>
      <w:r>
        <w:t xml:space="preserve"> </w:t>
      </w:r>
      <w:r w:rsidRPr="006503C8">
        <w:t>à</w:t>
      </w:r>
      <w:r>
        <w:t xml:space="preserve"> </w:t>
      </w:r>
      <w:r w:rsidRPr="006503C8">
        <w:t>éviter</w:t>
      </w:r>
      <w:r>
        <w:t xml:space="preserve"> </w:t>
      </w:r>
      <w:r w:rsidRPr="006503C8">
        <w:t>les</w:t>
      </w:r>
      <w:r>
        <w:t xml:space="preserve"> </w:t>
      </w:r>
      <w:r w:rsidRPr="006503C8">
        <w:t>mesures</w:t>
      </w:r>
      <w:r>
        <w:t xml:space="preserve"> </w:t>
      </w:r>
      <w:r w:rsidRPr="006503C8">
        <w:t>et</w:t>
      </w:r>
      <w:r>
        <w:t xml:space="preserve"> </w:t>
      </w:r>
      <w:r w:rsidRPr="006503C8">
        <w:t>les</w:t>
      </w:r>
      <w:r>
        <w:t xml:space="preserve"> </w:t>
      </w:r>
      <w:r w:rsidRPr="006503C8">
        <w:t>peines</w:t>
      </w:r>
      <w:r>
        <w:t xml:space="preserve"> </w:t>
      </w:r>
      <w:r w:rsidRPr="006503C8">
        <w:t>excessivement</w:t>
      </w:r>
      <w:r>
        <w:t xml:space="preserve"> </w:t>
      </w:r>
      <w:r w:rsidRPr="006503C8">
        <w:t>punitives.</w:t>
      </w:r>
      <w:r>
        <w:t> </w:t>
      </w:r>
      <w:r w:rsidRPr="006503C8">
        <w:t>»</w:t>
      </w:r>
      <w:r w:rsidR="00A67A7D">
        <w:t>.</w:t>
      </w:r>
    </w:p>
    <w:p w14:paraId="73E18F3D" w14:textId="77777777" w:rsidR="00765853" w:rsidRPr="006503C8" w:rsidRDefault="00765853" w:rsidP="000138E1">
      <w:pPr>
        <w:pStyle w:val="SingleTxtG"/>
      </w:pPr>
      <w:r>
        <w:t>En même temps</w:t>
      </w:r>
      <w:r w:rsidRPr="006503C8">
        <w:t>,</w:t>
      </w:r>
      <w:r>
        <w:t xml:space="preserve"> </w:t>
      </w:r>
      <w:r w:rsidRPr="006503C8">
        <w:t>le</w:t>
      </w:r>
      <w:r>
        <w:t xml:space="preserve"> </w:t>
      </w:r>
      <w:r w:rsidRPr="006503C8">
        <w:t>Comité</w:t>
      </w:r>
      <w:r>
        <w:t xml:space="preserve"> reconnaît </w:t>
      </w:r>
      <w:r w:rsidRPr="006503C8">
        <w:t>que</w:t>
      </w:r>
      <w:r>
        <w:t xml:space="preserve"> </w:t>
      </w:r>
      <w:r w:rsidRPr="006503C8">
        <w:t>les</w:t>
      </w:r>
      <w:r>
        <w:t xml:space="preserve"> </w:t>
      </w:r>
      <w:r w:rsidRPr="006503C8">
        <w:t>procureurs</w:t>
      </w:r>
      <w:r>
        <w:t xml:space="preserve"> </w:t>
      </w:r>
      <w:r w:rsidRPr="006503C8">
        <w:t>ne</w:t>
      </w:r>
      <w:r>
        <w:t xml:space="preserve"> </w:t>
      </w:r>
      <w:r w:rsidRPr="006503C8">
        <w:t>sont</w:t>
      </w:r>
      <w:r>
        <w:t xml:space="preserve"> </w:t>
      </w:r>
      <w:r w:rsidRPr="006503C8">
        <w:t>pas</w:t>
      </w:r>
      <w:r>
        <w:t xml:space="preserve"> </w:t>
      </w:r>
      <w:r w:rsidRPr="006503C8">
        <w:t>sur</w:t>
      </w:r>
      <w:r>
        <w:t xml:space="preserve"> </w:t>
      </w:r>
      <w:r w:rsidRPr="006503C8">
        <w:t>le</w:t>
      </w:r>
      <w:r>
        <w:t xml:space="preserve"> </w:t>
      </w:r>
      <w:r w:rsidRPr="006503C8">
        <w:t>même</w:t>
      </w:r>
      <w:r>
        <w:t xml:space="preserve"> </w:t>
      </w:r>
      <w:r w:rsidRPr="006503C8">
        <w:t>pied</w:t>
      </w:r>
      <w:r>
        <w:t xml:space="preserve"> </w:t>
      </w:r>
      <w:r w:rsidRPr="006503C8">
        <w:t>que</w:t>
      </w:r>
      <w:r>
        <w:t xml:space="preserve"> </w:t>
      </w:r>
      <w:r w:rsidRPr="006503C8">
        <w:t>des</w:t>
      </w:r>
      <w:r>
        <w:t xml:space="preserve"> </w:t>
      </w:r>
      <w:r w:rsidRPr="006503C8">
        <w:t>personnalités</w:t>
      </w:r>
      <w:r>
        <w:t xml:space="preserve"> </w:t>
      </w:r>
      <w:r w:rsidRPr="006503C8">
        <w:t>publiques</w:t>
      </w:r>
      <w:r>
        <w:t xml:space="preserve"> </w:t>
      </w:r>
      <w:r w:rsidRPr="006503C8">
        <w:t>et</w:t>
      </w:r>
      <w:r>
        <w:t xml:space="preserve"> </w:t>
      </w:r>
      <w:r w:rsidRPr="006503C8">
        <w:t>que</w:t>
      </w:r>
      <w:r>
        <w:t xml:space="preserve">, tout comme les auxiliaires de justice, ils ont besoin de </w:t>
      </w:r>
      <w:r w:rsidRPr="006503C8">
        <w:t>la</w:t>
      </w:r>
      <w:r>
        <w:t xml:space="preserve"> </w:t>
      </w:r>
      <w:r w:rsidRPr="006503C8">
        <w:t>confiance</w:t>
      </w:r>
      <w:r>
        <w:t xml:space="preserve"> </w:t>
      </w:r>
      <w:r w:rsidRPr="006503C8">
        <w:t>du</w:t>
      </w:r>
      <w:r>
        <w:t xml:space="preserve"> </w:t>
      </w:r>
      <w:r w:rsidRPr="006503C8">
        <w:t>public</w:t>
      </w:r>
      <w:r>
        <w:t xml:space="preserve"> </w:t>
      </w:r>
      <w:r w:rsidRPr="006503C8">
        <w:t>dans</w:t>
      </w:r>
      <w:r>
        <w:t xml:space="preserve"> </w:t>
      </w:r>
      <w:r w:rsidRPr="006503C8">
        <w:t>une</w:t>
      </w:r>
      <w:r>
        <w:t xml:space="preserve"> </w:t>
      </w:r>
      <w:r w:rsidRPr="006503C8">
        <w:t>certaine</w:t>
      </w:r>
      <w:r>
        <w:t xml:space="preserve"> </w:t>
      </w:r>
      <w:r w:rsidRPr="006503C8">
        <w:t>mesure</w:t>
      </w:r>
      <w:r>
        <w:t xml:space="preserve"> pour pouvoir </w:t>
      </w:r>
      <w:r w:rsidRPr="006503C8">
        <w:t>s</w:t>
      </w:r>
      <w:r w:rsidR="00CA2931">
        <w:t>’</w:t>
      </w:r>
      <w:r w:rsidRPr="006503C8">
        <w:t>acquitte</w:t>
      </w:r>
      <w:r>
        <w:t xml:space="preserve">r </w:t>
      </w:r>
      <w:r w:rsidRPr="006503C8">
        <w:t>efficacement</w:t>
      </w:r>
      <w:r>
        <w:t xml:space="preserve"> </w:t>
      </w:r>
      <w:r w:rsidRPr="006503C8">
        <w:t>de</w:t>
      </w:r>
      <w:r>
        <w:t xml:space="preserve"> </w:t>
      </w:r>
      <w:r w:rsidRPr="006503C8">
        <w:t>leurs</w:t>
      </w:r>
      <w:r>
        <w:t xml:space="preserve"> </w:t>
      </w:r>
      <w:r w:rsidRPr="006503C8">
        <w:t>fonctions.</w:t>
      </w:r>
      <w:r>
        <w:t xml:space="preserve"> Il tient compte de l</w:t>
      </w:r>
      <w:r w:rsidR="00CA2931">
        <w:t>’</w:t>
      </w:r>
      <w:r>
        <w:t xml:space="preserve">argument de </w:t>
      </w:r>
      <w:r w:rsidRPr="0018326A">
        <w:t>l</w:t>
      </w:r>
      <w:r w:rsidR="00CA2931">
        <w:t>’</w:t>
      </w:r>
      <w:r w:rsidRPr="0018326A">
        <w:t>État partie</w:t>
      </w:r>
      <w:r>
        <w:t xml:space="preserve"> selon lequel l</w:t>
      </w:r>
      <w:r w:rsidR="00CA2931">
        <w:t>’</w:t>
      </w:r>
      <w:r>
        <w:t>article 290 du Code pénal lituanien vise à protéger les procureurs dans l</w:t>
      </w:r>
      <w:r w:rsidR="00CA2931">
        <w:t>’</w:t>
      </w:r>
      <w:r>
        <w:t xml:space="preserve">exercice </w:t>
      </w:r>
      <w:r w:rsidRPr="00A71851">
        <w:t>de leurs</w:t>
      </w:r>
      <w:r>
        <w:t xml:space="preserve"> fonctions, ce qui concourt à maintenir la confiance du public dans l</w:t>
      </w:r>
      <w:r w:rsidR="00CA2931">
        <w:t>’</w:t>
      </w:r>
      <w:r>
        <w:t>administration de la justice en général. Compte tenu de ces considérations, le Comité est convaincu que l</w:t>
      </w:r>
      <w:r w:rsidR="00CA2931">
        <w:t>’</w:t>
      </w:r>
      <w:r>
        <w:t>on peut dire de l</w:t>
      </w:r>
      <w:r w:rsidR="00CA2931">
        <w:t>’</w:t>
      </w:r>
      <w:r>
        <w:t>article 290 qu</w:t>
      </w:r>
      <w:r w:rsidR="00CA2931">
        <w:t>’</w:t>
      </w:r>
      <w:r>
        <w:t>il sert l</w:t>
      </w:r>
      <w:r w:rsidR="00CA2931">
        <w:t>’</w:t>
      </w:r>
      <w:r>
        <w:t>objectif légitime de la sauvegarde de l</w:t>
      </w:r>
      <w:r w:rsidR="00CA2931">
        <w:t>’</w:t>
      </w:r>
      <w:r>
        <w:t>ordre public.</w:t>
      </w:r>
    </w:p>
    <w:p w14:paraId="2F40FD4A" w14:textId="77777777" w:rsidR="00765853" w:rsidRPr="006503C8" w:rsidRDefault="00765853" w:rsidP="00765853">
      <w:pPr>
        <w:pStyle w:val="SingleTxtG"/>
      </w:pPr>
      <w:r w:rsidRPr="006503C8">
        <w:t>8.8</w:t>
      </w:r>
      <w:r w:rsidRPr="006503C8">
        <w:tab/>
      </w:r>
      <w:r>
        <w:rPr>
          <w:lang w:bidi="he-IL"/>
        </w:rPr>
        <w:t>En ce qui concerne la</w:t>
      </w:r>
      <w:r>
        <w:t xml:space="preserve"> </w:t>
      </w:r>
      <w:r w:rsidRPr="006503C8">
        <w:t>proportionnalité</w:t>
      </w:r>
      <w:r>
        <w:t xml:space="preserve"> </w:t>
      </w:r>
      <w:r w:rsidRPr="006503C8">
        <w:t>de</w:t>
      </w:r>
      <w:r>
        <w:t xml:space="preserve"> </w:t>
      </w:r>
      <w:r w:rsidRPr="006503C8">
        <w:t>la</w:t>
      </w:r>
      <w:r>
        <w:t xml:space="preserve"> </w:t>
      </w:r>
      <w:r w:rsidRPr="006503C8">
        <w:t>mesure</w:t>
      </w:r>
      <w:r>
        <w:t xml:space="preserve"> </w:t>
      </w:r>
      <w:r w:rsidRPr="006503C8">
        <w:t>imposée,</w:t>
      </w:r>
      <w:r>
        <w:t xml:space="preserve"> </w:t>
      </w:r>
      <w:r w:rsidRPr="006503C8">
        <w:t>le</w:t>
      </w:r>
      <w:r>
        <w:t xml:space="preserve"> </w:t>
      </w:r>
      <w:r w:rsidRPr="006503C8">
        <w:t>Comité</w:t>
      </w:r>
      <w:r>
        <w:t xml:space="preserve"> </w:t>
      </w:r>
      <w:r w:rsidRPr="006503C8">
        <w:t>prend</w:t>
      </w:r>
      <w:r>
        <w:t xml:space="preserve"> </w:t>
      </w:r>
      <w:r w:rsidRPr="006503C8">
        <w:t>note</w:t>
      </w:r>
      <w:r>
        <w:t xml:space="preserve"> </w:t>
      </w:r>
      <w:r w:rsidRPr="006503C8">
        <w:t>du</w:t>
      </w:r>
      <w:r>
        <w:t xml:space="preserve"> </w:t>
      </w:r>
      <w:r w:rsidRPr="006503C8">
        <w:t>fait</w:t>
      </w:r>
      <w:r>
        <w:t xml:space="preserve"> </w:t>
      </w:r>
      <w:r w:rsidRPr="006503C8">
        <w:t>que</w:t>
      </w:r>
      <w:r>
        <w:t xml:space="preserve"> </w:t>
      </w:r>
      <w:r w:rsidRPr="006503C8">
        <w:t>l</w:t>
      </w:r>
      <w:r w:rsidR="00CA2931">
        <w:t>’</w:t>
      </w:r>
      <w:r w:rsidRPr="006503C8">
        <w:t>auteure</w:t>
      </w:r>
      <w:r>
        <w:t xml:space="preserve"> </w:t>
      </w:r>
      <w:r w:rsidRPr="006503C8">
        <w:t>conteste</w:t>
      </w:r>
      <w:r>
        <w:t xml:space="preserve"> </w:t>
      </w:r>
      <w:r w:rsidRPr="006503C8">
        <w:t>le</w:t>
      </w:r>
      <w:r>
        <w:t xml:space="preserve"> </w:t>
      </w:r>
      <w:r w:rsidRPr="006503C8">
        <w:t>caractère</w:t>
      </w:r>
      <w:r>
        <w:t xml:space="preserve"> </w:t>
      </w:r>
      <w:r w:rsidRPr="006503C8">
        <w:t>pénal</w:t>
      </w:r>
      <w:r>
        <w:t xml:space="preserve"> </w:t>
      </w:r>
      <w:r w:rsidRPr="006503C8">
        <w:t>de</w:t>
      </w:r>
      <w:r>
        <w:t xml:space="preserve"> </w:t>
      </w:r>
      <w:r w:rsidRPr="006503C8">
        <w:t>la</w:t>
      </w:r>
      <w:r>
        <w:t xml:space="preserve"> </w:t>
      </w:r>
      <w:r w:rsidRPr="006503C8">
        <w:t>loi</w:t>
      </w:r>
      <w:r>
        <w:t xml:space="preserve"> </w:t>
      </w:r>
      <w:r w:rsidRPr="006503C8">
        <w:t>sur</w:t>
      </w:r>
      <w:r>
        <w:t xml:space="preserve"> </w:t>
      </w:r>
      <w:r w:rsidRPr="006503C8">
        <w:t>la</w:t>
      </w:r>
      <w:r>
        <w:t xml:space="preserve"> </w:t>
      </w:r>
      <w:r w:rsidRPr="006503C8">
        <w:t>diffamation</w:t>
      </w:r>
      <w:r>
        <w:t xml:space="preserve"> parce que</w:t>
      </w:r>
      <w:r w:rsidRPr="006503C8">
        <w:t>,</w:t>
      </w:r>
      <w:r>
        <w:t xml:space="preserve"> </w:t>
      </w:r>
      <w:r w:rsidRPr="006503C8">
        <w:t>en</w:t>
      </w:r>
      <w:r>
        <w:t xml:space="preserve"> </w:t>
      </w:r>
      <w:r w:rsidRPr="006503C8">
        <w:lastRenderedPageBreak/>
        <w:t>protégeant</w:t>
      </w:r>
      <w:r>
        <w:t xml:space="preserve"> </w:t>
      </w:r>
      <w:r w:rsidRPr="006503C8">
        <w:t>davantage</w:t>
      </w:r>
      <w:r>
        <w:t xml:space="preserve"> </w:t>
      </w:r>
      <w:r w:rsidRPr="006503C8">
        <w:t>les</w:t>
      </w:r>
      <w:r>
        <w:t xml:space="preserve"> </w:t>
      </w:r>
      <w:r w:rsidRPr="006503C8">
        <w:t>fonctionnaires</w:t>
      </w:r>
      <w:r>
        <w:t xml:space="preserve"> </w:t>
      </w:r>
      <w:r w:rsidRPr="006503C8">
        <w:t>que</w:t>
      </w:r>
      <w:r>
        <w:t xml:space="preserve"> </w:t>
      </w:r>
      <w:r w:rsidRPr="006503C8">
        <w:t>d</w:t>
      </w:r>
      <w:r w:rsidR="00CA2931">
        <w:t>’</w:t>
      </w:r>
      <w:r w:rsidRPr="006503C8">
        <w:t>autres</w:t>
      </w:r>
      <w:r>
        <w:t xml:space="preserve"> </w:t>
      </w:r>
      <w:r w:rsidRPr="006503C8">
        <w:t>personnes</w:t>
      </w:r>
      <w:r>
        <w:t xml:space="preserve"> </w:t>
      </w:r>
      <w:r w:rsidRPr="006503C8">
        <w:t>de</w:t>
      </w:r>
      <w:r>
        <w:t xml:space="preserve"> </w:t>
      </w:r>
      <w:r w:rsidRPr="006503C8">
        <w:t>la</w:t>
      </w:r>
      <w:r>
        <w:t xml:space="preserve"> </w:t>
      </w:r>
      <w:r w:rsidRPr="006503C8">
        <w:t>diffamation,</w:t>
      </w:r>
      <w:r>
        <w:t xml:space="preserve"> elle </w:t>
      </w:r>
      <w:r w:rsidRPr="006503C8">
        <w:t>est</w:t>
      </w:r>
      <w:r>
        <w:t xml:space="preserve"> </w:t>
      </w:r>
      <w:r w:rsidRPr="006503C8">
        <w:t>discriminatoire.</w:t>
      </w:r>
      <w:r>
        <w:t xml:space="preserve"> </w:t>
      </w:r>
      <w:r w:rsidRPr="006503C8">
        <w:t>Il</w:t>
      </w:r>
      <w:r>
        <w:t xml:space="preserve"> </w:t>
      </w:r>
      <w:r w:rsidRPr="006503C8">
        <w:t>prend</w:t>
      </w:r>
      <w:r>
        <w:t xml:space="preserve"> </w:t>
      </w:r>
      <w:r w:rsidRPr="006503C8">
        <w:t>également</w:t>
      </w:r>
      <w:r>
        <w:t xml:space="preserve"> </w:t>
      </w:r>
      <w:r w:rsidRPr="006503C8">
        <w:t>note</w:t>
      </w:r>
      <w:r>
        <w:t xml:space="preserve"> </w:t>
      </w:r>
      <w:r w:rsidRPr="006503C8">
        <w:t>de</w:t>
      </w:r>
      <w:r>
        <w:t xml:space="preserve"> l</w:t>
      </w:r>
      <w:r w:rsidR="00CA2931">
        <w:t>’</w:t>
      </w:r>
      <w:r w:rsidRPr="006503C8">
        <w:t>argument</w:t>
      </w:r>
      <w:r>
        <w:t xml:space="preserve"> de l</w:t>
      </w:r>
      <w:r w:rsidR="00CA2931">
        <w:t>’</w:t>
      </w:r>
      <w:r>
        <w:t xml:space="preserve">auteure, qui fait valoir que </w:t>
      </w:r>
      <w:r w:rsidRPr="006503C8">
        <w:t>les</w:t>
      </w:r>
      <w:r>
        <w:t xml:space="preserve"> </w:t>
      </w:r>
      <w:r w:rsidRPr="006503C8">
        <w:t>limites</w:t>
      </w:r>
      <w:r>
        <w:t xml:space="preserve"> </w:t>
      </w:r>
      <w:r w:rsidRPr="006503C8">
        <w:t>de</w:t>
      </w:r>
      <w:r>
        <w:t xml:space="preserve"> </w:t>
      </w:r>
      <w:r w:rsidRPr="006503C8">
        <w:t>la</w:t>
      </w:r>
      <w:r>
        <w:t xml:space="preserve"> </w:t>
      </w:r>
      <w:r w:rsidRPr="006503C8">
        <w:t>critique</w:t>
      </w:r>
      <w:r>
        <w:t xml:space="preserve"> </w:t>
      </w:r>
      <w:r w:rsidRPr="006503C8">
        <w:t>admissible</w:t>
      </w:r>
      <w:r>
        <w:t xml:space="preserve"> </w:t>
      </w:r>
      <w:r w:rsidRPr="006503C8">
        <w:t>devraient</w:t>
      </w:r>
      <w:r>
        <w:t xml:space="preserve"> </w:t>
      </w:r>
      <w:r w:rsidRPr="006503C8">
        <w:t>être</w:t>
      </w:r>
      <w:r>
        <w:t xml:space="preserve"> </w:t>
      </w:r>
      <w:r w:rsidRPr="006503C8">
        <w:t>plus</w:t>
      </w:r>
      <w:r>
        <w:t xml:space="preserve"> </w:t>
      </w:r>
      <w:r w:rsidRPr="006503C8">
        <w:t>larges</w:t>
      </w:r>
      <w:r>
        <w:t xml:space="preserve"> </w:t>
      </w:r>
      <w:r w:rsidRPr="006503C8">
        <w:t>lorsque</w:t>
      </w:r>
      <w:r>
        <w:t xml:space="preserve"> </w:t>
      </w:r>
      <w:r w:rsidRPr="006503C8">
        <w:t>les</w:t>
      </w:r>
      <w:r>
        <w:t xml:space="preserve"> </w:t>
      </w:r>
      <w:r w:rsidRPr="006503C8">
        <w:t>propos</w:t>
      </w:r>
      <w:r>
        <w:t xml:space="preserve"> visés </w:t>
      </w:r>
      <w:r w:rsidRPr="006503C8">
        <w:t>portent</w:t>
      </w:r>
      <w:r>
        <w:t xml:space="preserve"> </w:t>
      </w:r>
      <w:r w:rsidRPr="006503C8">
        <w:t>sur</w:t>
      </w:r>
      <w:r>
        <w:t xml:space="preserve"> </w:t>
      </w:r>
      <w:r w:rsidRPr="006503C8">
        <w:t>les</w:t>
      </w:r>
      <w:r>
        <w:t xml:space="preserve"> </w:t>
      </w:r>
      <w:r w:rsidRPr="006503C8">
        <w:t>actes</w:t>
      </w:r>
      <w:r>
        <w:t xml:space="preserve"> </w:t>
      </w:r>
      <w:r w:rsidRPr="006503C8">
        <w:t>d</w:t>
      </w:r>
      <w:r w:rsidR="00CA2931">
        <w:t>’</w:t>
      </w:r>
      <w:r w:rsidRPr="006503C8">
        <w:t>une</w:t>
      </w:r>
      <w:r>
        <w:t xml:space="preserve"> </w:t>
      </w:r>
      <w:r w:rsidRPr="006503C8">
        <w:t>personne</w:t>
      </w:r>
      <w:r>
        <w:t xml:space="preserve"> </w:t>
      </w:r>
      <w:r w:rsidRPr="006503C8">
        <w:t>dans</w:t>
      </w:r>
      <w:r>
        <w:t xml:space="preserve"> </w:t>
      </w:r>
      <w:r w:rsidRPr="006503C8">
        <w:t>l</w:t>
      </w:r>
      <w:r w:rsidR="00CA2931">
        <w:t>’</w:t>
      </w:r>
      <w:r w:rsidRPr="006503C8">
        <w:t>exercice</w:t>
      </w:r>
      <w:r>
        <w:t xml:space="preserve"> </w:t>
      </w:r>
      <w:r w:rsidRPr="006503C8">
        <w:t>de</w:t>
      </w:r>
      <w:r>
        <w:t xml:space="preserve"> </w:t>
      </w:r>
      <w:r w:rsidRPr="006503C8">
        <w:t>sa</w:t>
      </w:r>
      <w:r>
        <w:t xml:space="preserve"> </w:t>
      </w:r>
      <w:r w:rsidRPr="006503C8">
        <w:t>fonction</w:t>
      </w:r>
      <w:r>
        <w:t xml:space="preserve"> </w:t>
      </w:r>
      <w:r w:rsidRPr="006503C8">
        <w:t>publique,</w:t>
      </w:r>
      <w:r>
        <w:t xml:space="preserve"> </w:t>
      </w:r>
      <w:r w:rsidRPr="006503C8">
        <w:t>et</w:t>
      </w:r>
      <w:r>
        <w:t xml:space="preserve"> </w:t>
      </w:r>
      <w:r w:rsidRPr="006503C8">
        <w:t>que</w:t>
      </w:r>
      <w:r>
        <w:t xml:space="preserve"> </w:t>
      </w:r>
      <w:r w:rsidRPr="006503C8">
        <w:t>le</w:t>
      </w:r>
      <w:r>
        <w:t xml:space="preserve"> </w:t>
      </w:r>
      <w:r w:rsidRPr="006503C8">
        <w:t>droit</w:t>
      </w:r>
      <w:r>
        <w:t xml:space="preserve"> </w:t>
      </w:r>
      <w:r w:rsidRPr="006503C8">
        <w:t>à</w:t>
      </w:r>
      <w:r>
        <w:t xml:space="preserve"> </w:t>
      </w:r>
      <w:r w:rsidRPr="006503C8">
        <w:t>la</w:t>
      </w:r>
      <w:r>
        <w:t xml:space="preserve"> </w:t>
      </w:r>
      <w:r w:rsidRPr="006503C8">
        <w:t>liberté</w:t>
      </w:r>
      <w:r>
        <w:t xml:space="preserve"> </w:t>
      </w:r>
      <w:r w:rsidRPr="006503C8">
        <w:t>d</w:t>
      </w:r>
      <w:r w:rsidR="00CA2931">
        <w:t>’</w:t>
      </w:r>
      <w:r w:rsidRPr="006503C8">
        <w:t>expression</w:t>
      </w:r>
      <w:r>
        <w:t xml:space="preserve"> </w:t>
      </w:r>
      <w:r w:rsidRPr="006503C8">
        <w:t>protège</w:t>
      </w:r>
      <w:r>
        <w:t xml:space="preserve"> </w:t>
      </w:r>
      <w:r w:rsidRPr="006503C8">
        <w:t>également</w:t>
      </w:r>
      <w:r>
        <w:t xml:space="preserve"> </w:t>
      </w:r>
      <w:r w:rsidRPr="006503C8">
        <w:t>des</w:t>
      </w:r>
      <w:r>
        <w:t xml:space="preserve"> </w:t>
      </w:r>
      <w:r w:rsidRPr="006503C8">
        <w:t>propos</w:t>
      </w:r>
      <w:r>
        <w:t xml:space="preserve"> </w:t>
      </w:r>
      <w:r w:rsidRPr="006503C8">
        <w:t>exagérés</w:t>
      </w:r>
      <w:r>
        <w:t xml:space="preserve"> </w:t>
      </w:r>
      <w:r w:rsidRPr="006503C8">
        <w:t>ou</w:t>
      </w:r>
      <w:r>
        <w:t xml:space="preserve"> </w:t>
      </w:r>
      <w:r w:rsidRPr="006503C8">
        <w:t>provocateurs</w:t>
      </w:r>
      <w:r>
        <w:t xml:space="preserve"> </w:t>
      </w:r>
      <w:r w:rsidRPr="006503C8">
        <w:t>dans</w:t>
      </w:r>
      <w:r>
        <w:t xml:space="preserve"> </w:t>
      </w:r>
      <w:r w:rsidRPr="006503C8">
        <w:t>une</w:t>
      </w:r>
      <w:r>
        <w:t xml:space="preserve"> </w:t>
      </w:r>
      <w:r w:rsidRPr="006503C8">
        <w:t>certaine</w:t>
      </w:r>
      <w:r>
        <w:t xml:space="preserve"> </w:t>
      </w:r>
      <w:r w:rsidRPr="006503C8">
        <w:t>mesure.</w:t>
      </w:r>
      <w:r>
        <w:t xml:space="preserve"> </w:t>
      </w:r>
      <w:r w:rsidRPr="006503C8">
        <w:t>En</w:t>
      </w:r>
      <w:r>
        <w:t xml:space="preserve"> </w:t>
      </w:r>
      <w:r w:rsidRPr="006503C8">
        <w:t>outre,</w:t>
      </w:r>
      <w:r>
        <w:t xml:space="preserve"> </w:t>
      </w:r>
      <w:r w:rsidRPr="006503C8">
        <w:t>il</w:t>
      </w:r>
      <w:r>
        <w:t xml:space="preserve"> tient aussi compte du </w:t>
      </w:r>
      <w:r w:rsidRPr="006503C8">
        <w:t>fait</w:t>
      </w:r>
      <w:r>
        <w:t xml:space="preserve"> </w:t>
      </w:r>
      <w:r w:rsidRPr="006503C8">
        <w:t>que</w:t>
      </w:r>
      <w:r>
        <w:t xml:space="preserve"> </w:t>
      </w:r>
      <w:r w:rsidRPr="006503C8">
        <w:t>l</w:t>
      </w:r>
      <w:r w:rsidR="00CA2931">
        <w:t>’</w:t>
      </w:r>
      <w:r w:rsidRPr="006503C8">
        <w:t>auteure</w:t>
      </w:r>
      <w:r>
        <w:t xml:space="preserve"> </w:t>
      </w:r>
      <w:r w:rsidRPr="006503C8">
        <w:t>a</w:t>
      </w:r>
      <w:r>
        <w:t xml:space="preserve"> déclaré </w:t>
      </w:r>
      <w:r w:rsidRPr="006503C8">
        <w:t>qu</w:t>
      </w:r>
      <w:r w:rsidR="00CA2931">
        <w:t>’</w:t>
      </w:r>
      <w:r w:rsidRPr="006503C8">
        <w:t>elle</w:t>
      </w:r>
      <w:r>
        <w:t xml:space="preserve"> </w:t>
      </w:r>
      <w:r w:rsidRPr="006503C8">
        <w:rPr>
          <w:rFonts w:eastAsia="Calibri"/>
        </w:rPr>
        <w:t>était</w:t>
      </w:r>
      <w:r>
        <w:rPr>
          <w:rFonts w:eastAsia="Calibri"/>
        </w:rPr>
        <w:t xml:space="preserve"> </w:t>
      </w:r>
      <w:r w:rsidRPr="006503C8">
        <w:rPr>
          <w:rFonts w:eastAsia="Calibri"/>
        </w:rPr>
        <w:t>dans</w:t>
      </w:r>
      <w:r>
        <w:rPr>
          <w:rFonts w:eastAsia="Calibri"/>
        </w:rPr>
        <w:t xml:space="preserve"> </w:t>
      </w:r>
      <w:r w:rsidRPr="006503C8">
        <w:rPr>
          <w:rFonts w:eastAsia="Calibri"/>
        </w:rPr>
        <w:t>une</w:t>
      </w:r>
      <w:r>
        <w:rPr>
          <w:rFonts w:eastAsia="Calibri"/>
        </w:rPr>
        <w:t xml:space="preserve"> </w:t>
      </w:r>
      <w:r w:rsidRPr="006503C8">
        <w:rPr>
          <w:rFonts w:eastAsia="Calibri"/>
        </w:rPr>
        <w:t>situation</w:t>
      </w:r>
      <w:r>
        <w:rPr>
          <w:rFonts w:eastAsia="Calibri"/>
        </w:rPr>
        <w:t xml:space="preserve"> </w:t>
      </w:r>
      <w:r w:rsidRPr="006503C8">
        <w:rPr>
          <w:rFonts w:eastAsia="Calibri"/>
        </w:rPr>
        <w:t>de</w:t>
      </w:r>
      <w:r>
        <w:rPr>
          <w:rFonts w:eastAsia="Calibri"/>
        </w:rPr>
        <w:t xml:space="preserve"> </w:t>
      </w:r>
      <w:r w:rsidRPr="006503C8">
        <w:rPr>
          <w:rFonts w:eastAsia="Calibri"/>
        </w:rPr>
        <w:t>stress</w:t>
      </w:r>
      <w:r>
        <w:rPr>
          <w:rFonts w:eastAsia="Calibri"/>
        </w:rPr>
        <w:t xml:space="preserve"> </w:t>
      </w:r>
      <w:r w:rsidRPr="006503C8">
        <w:rPr>
          <w:rFonts w:eastAsia="Calibri"/>
        </w:rPr>
        <w:t>considérable</w:t>
      </w:r>
      <w:r>
        <w:rPr>
          <w:rFonts w:eastAsia="Calibri"/>
        </w:rPr>
        <w:t xml:space="preserve"> </w:t>
      </w:r>
      <w:r w:rsidRPr="006503C8">
        <w:rPr>
          <w:rFonts w:eastAsia="Calibri"/>
        </w:rPr>
        <w:t>lorsqu</w:t>
      </w:r>
      <w:r w:rsidR="00CA2931">
        <w:rPr>
          <w:rFonts w:eastAsia="Calibri"/>
        </w:rPr>
        <w:t>’</w:t>
      </w:r>
      <w:r w:rsidRPr="006503C8">
        <w:rPr>
          <w:rFonts w:eastAsia="Calibri"/>
        </w:rPr>
        <w:t>elle</w:t>
      </w:r>
      <w:r>
        <w:rPr>
          <w:rFonts w:eastAsia="Calibri"/>
        </w:rPr>
        <w:t xml:space="preserve"> </w:t>
      </w:r>
      <w:r w:rsidRPr="006503C8">
        <w:rPr>
          <w:rFonts w:eastAsia="Calibri"/>
        </w:rPr>
        <w:t>a</w:t>
      </w:r>
      <w:r>
        <w:rPr>
          <w:rFonts w:eastAsia="Calibri"/>
        </w:rPr>
        <w:t xml:space="preserve"> </w:t>
      </w:r>
      <w:r w:rsidRPr="006503C8">
        <w:rPr>
          <w:rFonts w:eastAsia="Calibri"/>
        </w:rPr>
        <w:t>tenu</w:t>
      </w:r>
      <w:r>
        <w:rPr>
          <w:rFonts w:eastAsia="Calibri"/>
        </w:rPr>
        <w:t xml:space="preserve"> </w:t>
      </w:r>
      <w:r w:rsidRPr="006503C8">
        <w:rPr>
          <w:rFonts w:eastAsia="Calibri"/>
        </w:rPr>
        <w:t>les</w:t>
      </w:r>
      <w:r>
        <w:rPr>
          <w:rFonts w:eastAsia="Calibri"/>
        </w:rPr>
        <w:t xml:space="preserve"> </w:t>
      </w:r>
      <w:r w:rsidRPr="006503C8">
        <w:rPr>
          <w:rFonts w:eastAsia="Calibri"/>
        </w:rPr>
        <w:t>propos</w:t>
      </w:r>
      <w:r>
        <w:rPr>
          <w:rFonts w:eastAsia="Calibri"/>
        </w:rPr>
        <w:t xml:space="preserve"> </w:t>
      </w:r>
      <w:r w:rsidRPr="006503C8">
        <w:rPr>
          <w:rFonts w:eastAsia="Calibri"/>
        </w:rPr>
        <w:t>qui</w:t>
      </w:r>
      <w:r>
        <w:rPr>
          <w:rFonts w:eastAsia="Calibri"/>
        </w:rPr>
        <w:t xml:space="preserve"> </w:t>
      </w:r>
      <w:r w:rsidRPr="006503C8">
        <w:rPr>
          <w:rFonts w:eastAsia="Calibri"/>
        </w:rPr>
        <w:t>lui</w:t>
      </w:r>
      <w:r>
        <w:rPr>
          <w:rFonts w:eastAsia="Calibri"/>
        </w:rPr>
        <w:t xml:space="preserve"> </w:t>
      </w:r>
      <w:r w:rsidRPr="006503C8">
        <w:rPr>
          <w:rFonts w:eastAsia="Calibri"/>
        </w:rPr>
        <w:t>sont</w:t>
      </w:r>
      <w:r>
        <w:rPr>
          <w:rFonts w:eastAsia="Calibri"/>
        </w:rPr>
        <w:t xml:space="preserve"> </w:t>
      </w:r>
      <w:r w:rsidRPr="006503C8">
        <w:rPr>
          <w:rFonts w:eastAsia="Calibri"/>
        </w:rPr>
        <w:t>reprochés.</w:t>
      </w:r>
      <w:r>
        <w:rPr>
          <w:rFonts w:eastAsia="Calibri"/>
        </w:rPr>
        <w:t xml:space="preserve"> </w:t>
      </w:r>
      <w:r w:rsidRPr="006503C8">
        <w:rPr>
          <w:rFonts w:eastAsia="Calibri"/>
        </w:rPr>
        <w:t>Il</w:t>
      </w:r>
      <w:r>
        <w:rPr>
          <w:rFonts w:eastAsia="Calibri"/>
        </w:rPr>
        <w:t xml:space="preserve"> prend </w:t>
      </w:r>
      <w:r w:rsidRPr="006503C8">
        <w:rPr>
          <w:rFonts w:eastAsia="Calibri"/>
        </w:rPr>
        <w:t>également</w:t>
      </w:r>
      <w:r>
        <w:rPr>
          <w:rFonts w:eastAsia="Calibri"/>
        </w:rPr>
        <w:t xml:space="preserve"> note des griefs </w:t>
      </w:r>
      <w:r w:rsidRPr="006503C8">
        <w:rPr>
          <w:rFonts w:eastAsia="Calibri"/>
        </w:rPr>
        <w:t>de</w:t>
      </w:r>
      <w:r>
        <w:rPr>
          <w:rFonts w:eastAsia="Calibri"/>
        </w:rPr>
        <w:t xml:space="preserve"> </w:t>
      </w:r>
      <w:r w:rsidRPr="006503C8">
        <w:rPr>
          <w:rFonts w:eastAsia="Calibri"/>
        </w:rPr>
        <w:t>l</w:t>
      </w:r>
      <w:r w:rsidR="00CA2931">
        <w:rPr>
          <w:rFonts w:eastAsia="Calibri"/>
        </w:rPr>
        <w:t>’</w:t>
      </w:r>
      <w:r w:rsidRPr="006503C8">
        <w:rPr>
          <w:rFonts w:eastAsia="Calibri"/>
        </w:rPr>
        <w:t>auteure</w:t>
      </w:r>
      <w:r>
        <w:rPr>
          <w:rFonts w:eastAsia="Calibri"/>
        </w:rPr>
        <w:t xml:space="preserve"> concernant les </w:t>
      </w:r>
      <w:r w:rsidRPr="006503C8">
        <w:rPr>
          <w:rFonts w:eastAsia="Calibri"/>
        </w:rPr>
        <w:t>conséquences</w:t>
      </w:r>
      <w:r>
        <w:rPr>
          <w:rFonts w:eastAsia="Calibri"/>
        </w:rPr>
        <w:t xml:space="preserve"> </w:t>
      </w:r>
      <w:r w:rsidRPr="006503C8">
        <w:rPr>
          <w:rFonts w:eastAsia="Calibri"/>
        </w:rPr>
        <w:t>négatives</w:t>
      </w:r>
      <w:r>
        <w:rPr>
          <w:rFonts w:eastAsia="Calibri"/>
        </w:rPr>
        <w:t xml:space="preserve"> </w:t>
      </w:r>
      <w:r w:rsidRPr="006503C8">
        <w:rPr>
          <w:rFonts w:eastAsia="Calibri"/>
        </w:rPr>
        <w:t>de</w:t>
      </w:r>
      <w:r>
        <w:rPr>
          <w:rFonts w:eastAsia="Calibri"/>
        </w:rPr>
        <w:t xml:space="preserve"> </w:t>
      </w:r>
      <w:r w:rsidRPr="006503C8">
        <w:rPr>
          <w:rFonts w:eastAsia="Calibri"/>
        </w:rPr>
        <w:t>sa</w:t>
      </w:r>
      <w:r>
        <w:rPr>
          <w:rFonts w:eastAsia="Calibri"/>
        </w:rPr>
        <w:t xml:space="preserve"> </w:t>
      </w:r>
      <w:r w:rsidRPr="006503C8">
        <w:rPr>
          <w:rFonts w:eastAsia="Calibri"/>
        </w:rPr>
        <w:t>sanction</w:t>
      </w:r>
      <w:r>
        <w:rPr>
          <w:rFonts w:eastAsia="Calibri"/>
        </w:rPr>
        <w:t xml:space="preserve"> </w:t>
      </w:r>
      <w:r w:rsidRPr="006503C8">
        <w:rPr>
          <w:rFonts w:eastAsia="Calibri"/>
        </w:rPr>
        <w:t>pénale.</w:t>
      </w:r>
    </w:p>
    <w:p w14:paraId="6B41C989" w14:textId="77777777" w:rsidR="00765853" w:rsidRPr="006503C8" w:rsidRDefault="00765853" w:rsidP="00765853">
      <w:pPr>
        <w:pStyle w:val="SingleTxtG"/>
        <w:rPr>
          <w:lang w:bidi="he-IL"/>
        </w:rPr>
      </w:pPr>
      <w:r w:rsidRPr="006503C8">
        <w:rPr>
          <w:lang w:bidi="he-IL"/>
        </w:rPr>
        <w:t>8.9.</w:t>
      </w:r>
      <w:r w:rsidRPr="006503C8">
        <w:rPr>
          <w:lang w:bidi="he-IL"/>
        </w:rPr>
        <w:tab/>
        <w:t>Par</w:t>
      </w:r>
      <w:r>
        <w:rPr>
          <w:lang w:bidi="he-IL"/>
        </w:rPr>
        <w:t xml:space="preserve"> </w:t>
      </w:r>
      <w:r w:rsidRPr="006503C8">
        <w:rPr>
          <w:lang w:bidi="he-IL"/>
        </w:rPr>
        <w:t>ailleurs,</w:t>
      </w:r>
      <w:r>
        <w:rPr>
          <w:lang w:bidi="he-IL"/>
        </w:rPr>
        <w:t xml:space="preserve"> </w:t>
      </w:r>
      <w:r w:rsidRPr="006503C8">
        <w:rPr>
          <w:lang w:bidi="he-IL"/>
        </w:rPr>
        <w:t>le</w:t>
      </w:r>
      <w:r>
        <w:rPr>
          <w:lang w:bidi="he-IL"/>
        </w:rPr>
        <w:t xml:space="preserve"> </w:t>
      </w:r>
      <w:r w:rsidRPr="006503C8">
        <w:rPr>
          <w:lang w:bidi="he-IL"/>
        </w:rPr>
        <w:t>Comité</w:t>
      </w:r>
      <w:r>
        <w:rPr>
          <w:lang w:bidi="he-IL"/>
        </w:rPr>
        <w:t xml:space="preserve"> prend note </w:t>
      </w:r>
      <w:r w:rsidRPr="006503C8">
        <w:rPr>
          <w:lang w:bidi="he-IL"/>
        </w:rPr>
        <w:t>l</w:t>
      </w:r>
      <w:r w:rsidR="00CA2931">
        <w:rPr>
          <w:lang w:bidi="he-IL"/>
        </w:rPr>
        <w:t>’</w:t>
      </w:r>
      <w:r w:rsidRPr="006503C8">
        <w:rPr>
          <w:lang w:bidi="he-IL"/>
        </w:rPr>
        <w:t>argument</w:t>
      </w:r>
      <w:r>
        <w:rPr>
          <w:lang w:bidi="he-IL"/>
        </w:rPr>
        <w:t xml:space="preserve"> </w:t>
      </w:r>
      <w:r w:rsidRPr="006503C8">
        <w:rPr>
          <w:lang w:bidi="he-IL"/>
        </w:rPr>
        <w:t>de</w:t>
      </w:r>
      <w:r>
        <w:rPr>
          <w:lang w:bidi="he-IL"/>
        </w:rPr>
        <w:t xml:space="preserve"> </w:t>
      </w:r>
      <w:r w:rsidRPr="006503C8">
        <w:rPr>
          <w:lang w:bidi="he-IL"/>
        </w:rPr>
        <w:t>défense</w:t>
      </w:r>
      <w:r>
        <w:rPr>
          <w:lang w:bidi="he-IL"/>
        </w:rPr>
        <w:t xml:space="preserve"> </w:t>
      </w:r>
      <w:r w:rsidRPr="006503C8">
        <w:rPr>
          <w:lang w:bidi="he-IL"/>
        </w:rPr>
        <w:t>de</w:t>
      </w:r>
      <w:r>
        <w:rPr>
          <w:lang w:bidi="he-IL"/>
        </w:rPr>
        <w:t xml:space="preserve"> </w:t>
      </w:r>
      <w:r w:rsidRPr="006503C8">
        <w:rPr>
          <w:lang w:bidi="he-IL"/>
        </w:rPr>
        <w:t>l</w:t>
      </w:r>
      <w:r w:rsidR="00CA2931">
        <w:rPr>
          <w:lang w:bidi="he-IL"/>
        </w:rPr>
        <w:t>’</w:t>
      </w:r>
      <w:r w:rsidRPr="006503C8">
        <w:rPr>
          <w:lang w:bidi="he-IL"/>
        </w:rPr>
        <w:t>État</w:t>
      </w:r>
      <w:r>
        <w:rPr>
          <w:lang w:bidi="he-IL"/>
        </w:rPr>
        <w:t xml:space="preserve"> </w:t>
      </w:r>
      <w:r w:rsidRPr="006503C8">
        <w:rPr>
          <w:lang w:bidi="he-IL"/>
        </w:rPr>
        <w:t>partie</w:t>
      </w:r>
      <w:r>
        <w:rPr>
          <w:lang w:bidi="he-IL"/>
        </w:rPr>
        <w:t xml:space="preserve"> </w:t>
      </w:r>
      <w:r w:rsidRPr="006503C8">
        <w:rPr>
          <w:lang w:bidi="he-IL"/>
        </w:rPr>
        <w:t>selon</w:t>
      </w:r>
      <w:r>
        <w:rPr>
          <w:lang w:bidi="he-IL"/>
        </w:rPr>
        <w:t xml:space="preserve"> </w:t>
      </w:r>
      <w:r w:rsidRPr="006503C8">
        <w:rPr>
          <w:lang w:bidi="he-IL"/>
        </w:rPr>
        <w:t>lequel</w:t>
      </w:r>
      <w:r>
        <w:rPr>
          <w:lang w:bidi="he-IL"/>
        </w:rPr>
        <w:t xml:space="preserve"> </w:t>
      </w:r>
      <w:r w:rsidRPr="006503C8">
        <w:rPr>
          <w:lang w:bidi="he-IL"/>
        </w:rPr>
        <w:t>les</w:t>
      </w:r>
      <w:r>
        <w:rPr>
          <w:lang w:bidi="he-IL"/>
        </w:rPr>
        <w:t xml:space="preserve"> </w:t>
      </w:r>
      <w:r w:rsidRPr="006503C8">
        <w:rPr>
          <w:lang w:bidi="he-IL"/>
        </w:rPr>
        <w:t>juridictions</w:t>
      </w:r>
      <w:r>
        <w:rPr>
          <w:lang w:bidi="he-IL"/>
        </w:rPr>
        <w:t xml:space="preserve"> internes </w:t>
      </w:r>
      <w:r w:rsidRPr="006503C8">
        <w:rPr>
          <w:lang w:bidi="he-IL"/>
        </w:rPr>
        <w:t>ont</w:t>
      </w:r>
      <w:r>
        <w:rPr>
          <w:lang w:bidi="he-IL"/>
        </w:rPr>
        <w:t xml:space="preserve"> </w:t>
      </w:r>
      <w:r w:rsidRPr="006503C8">
        <w:rPr>
          <w:lang w:bidi="he-IL"/>
        </w:rPr>
        <w:t>minutieusement</w:t>
      </w:r>
      <w:r>
        <w:rPr>
          <w:lang w:bidi="he-IL"/>
        </w:rPr>
        <w:t xml:space="preserve"> </w:t>
      </w:r>
      <w:r w:rsidRPr="006503C8">
        <w:rPr>
          <w:lang w:bidi="he-IL"/>
        </w:rPr>
        <w:t>analysé</w:t>
      </w:r>
      <w:r>
        <w:rPr>
          <w:lang w:bidi="he-IL"/>
        </w:rPr>
        <w:t xml:space="preserve"> </w:t>
      </w:r>
      <w:r w:rsidRPr="006503C8">
        <w:t>les</w:t>
      </w:r>
      <w:r>
        <w:t xml:space="preserve"> </w:t>
      </w:r>
      <w:r w:rsidRPr="006503C8">
        <w:t>circonstances</w:t>
      </w:r>
      <w:r>
        <w:t xml:space="preserve"> </w:t>
      </w:r>
      <w:r w:rsidRPr="006503C8">
        <w:t>de</w:t>
      </w:r>
      <w:r>
        <w:t xml:space="preserve"> </w:t>
      </w:r>
      <w:r w:rsidRPr="006503C8">
        <w:t>l</w:t>
      </w:r>
      <w:r w:rsidR="00CA2931">
        <w:t>’</w:t>
      </w:r>
      <w:r w:rsidRPr="006503C8">
        <w:t>affaire</w:t>
      </w:r>
      <w:r>
        <w:t xml:space="preserve"> </w:t>
      </w:r>
      <w:r w:rsidRPr="006503C8">
        <w:t>et</w:t>
      </w:r>
      <w:r>
        <w:t xml:space="preserve"> </w:t>
      </w:r>
      <w:r w:rsidRPr="006503C8">
        <w:t>conclu</w:t>
      </w:r>
      <w:r>
        <w:t xml:space="preserve"> </w:t>
      </w:r>
      <w:r w:rsidRPr="006503C8">
        <w:t>que</w:t>
      </w:r>
      <w:r>
        <w:t xml:space="preserve"> </w:t>
      </w:r>
      <w:r w:rsidRPr="006503C8">
        <w:t>la</w:t>
      </w:r>
      <w:r>
        <w:t xml:space="preserve"> </w:t>
      </w:r>
      <w:r w:rsidRPr="006503C8">
        <w:t>nécessité</w:t>
      </w:r>
      <w:r>
        <w:t xml:space="preserve"> </w:t>
      </w:r>
      <w:r w:rsidRPr="006503C8">
        <w:t>de</w:t>
      </w:r>
      <w:r>
        <w:t xml:space="preserve"> </w:t>
      </w:r>
      <w:r w:rsidRPr="006503C8">
        <w:t>sauvegarder</w:t>
      </w:r>
      <w:r>
        <w:t xml:space="preserve"> </w:t>
      </w:r>
      <w:r w:rsidRPr="006503C8">
        <w:t>l</w:t>
      </w:r>
      <w:r w:rsidR="00CA2931">
        <w:t>’</w:t>
      </w:r>
      <w:r w:rsidRPr="006503C8">
        <w:t>ordre</w:t>
      </w:r>
      <w:r>
        <w:t xml:space="preserve"> </w:t>
      </w:r>
      <w:r w:rsidRPr="006503C8">
        <w:t>public,</w:t>
      </w:r>
      <w:r>
        <w:t xml:space="preserve"> en l</w:t>
      </w:r>
      <w:r w:rsidR="00CA2931">
        <w:t>’</w:t>
      </w:r>
      <w:r>
        <w:t xml:space="preserve">occurrence en préservant le rôle </w:t>
      </w:r>
      <w:r w:rsidRPr="006503C8">
        <w:t>des</w:t>
      </w:r>
      <w:r>
        <w:t xml:space="preserve"> </w:t>
      </w:r>
      <w:r w:rsidRPr="006503C8">
        <w:t>procureurs</w:t>
      </w:r>
      <w:r>
        <w:t xml:space="preserve"> au service d</w:t>
      </w:r>
      <w:r w:rsidR="00CA2931">
        <w:t>’</w:t>
      </w:r>
      <w:r w:rsidRPr="006503C8">
        <w:t>une</w:t>
      </w:r>
      <w:r>
        <w:t xml:space="preserve"> </w:t>
      </w:r>
      <w:r w:rsidRPr="006503C8">
        <w:t>bonne</w:t>
      </w:r>
      <w:r>
        <w:t xml:space="preserve"> </w:t>
      </w:r>
      <w:r w:rsidRPr="006503C8">
        <w:t>administration</w:t>
      </w:r>
      <w:r>
        <w:t xml:space="preserve"> </w:t>
      </w:r>
      <w:r w:rsidRPr="006503C8">
        <w:t>de</w:t>
      </w:r>
      <w:r>
        <w:t xml:space="preserve"> </w:t>
      </w:r>
      <w:r w:rsidRPr="006503C8">
        <w:t>la</w:t>
      </w:r>
      <w:r>
        <w:t xml:space="preserve"> </w:t>
      </w:r>
      <w:r w:rsidRPr="006503C8">
        <w:t>justice,</w:t>
      </w:r>
      <w:r>
        <w:t xml:space="preserve"> ainsi que celle </w:t>
      </w:r>
      <w:r w:rsidRPr="006503C8">
        <w:t>de</w:t>
      </w:r>
      <w:r>
        <w:t xml:space="preserve"> </w:t>
      </w:r>
      <w:r w:rsidRPr="006503C8">
        <w:t>protéger</w:t>
      </w:r>
      <w:r>
        <w:t xml:space="preserve"> </w:t>
      </w:r>
      <w:r w:rsidRPr="006503C8">
        <w:t>leurs</w:t>
      </w:r>
      <w:r>
        <w:t xml:space="preserve"> </w:t>
      </w:r>
      <w:r w:rsidRPr="006503C8">
        <w:t>droit</w:t>
      </w:r>
      <w:r>
        <w:t xml:space="preserve">s </w:t>
      </w:r>
      <w:r w:rsidRPr="006503C8">
        <w:t>et</w:t>
      </w:r>
      <w:r>
        <w:t xml:space="preserve"> </w:t>
      </w:r>
      <w:r w:rsidRPr="006503C8">
        <w:t>leur</w:t>
      </w:r>
      <w:r>
        <w:t xml:space="preserve"> </w:t>
      </w:r>
      <w:r w:rsidRPr="006503C8">
        <w:t>réputation,</w:t>
      </w:r>
      <w:r>
        <w:t xml:space="preserve"> </w:t>
      </w:r>
      <w:r w:rsidRPr="006503C8">
        <w:t>l</w:t>
      </w:r>
      <w:r w:rsidR="00CA2931">
        <w:t>’</w:t>
      </w:r>
      <w:r w:rsidRPr="006503C8">
        <w:t>emportaient</w:t>
      </w:r>
      <w:r>
        <w:t xml:space="preserve"> </w:t>
      </w:r>
      <w:r w:rsidRPr="006503C8">
        <w:t>sur</w:t>
      </w:r>
      <w:r>
        <w:t xml:space="preserve"> </w:t>
      </w:r>
      <w:r w:rsidRPr="006503C8">
        <w:t>les</w:t>
      </w:r>
      <w:r>
        <w:t xml:space="preserve"> </w:t>
      </w:r>
      <w:r w:rsidRPr="006503C8">
        <w:t>intérêts</w:t>
      </w:r>
      <w:r>
        <w:t xml:space="preserve"> </w:t>
      </w:r>
      <w:r w:rsidRPr="006503C8">
        <w:t>de</w:t>
      </w:r>
      <w:r>
        <w:t xml:space="preserve"> </w:t>
      </w:r>
      <w:r w:rsidRPr="006503C8">
        <w:t>l</w:t>
      </w:r>
      <w:r w:rsidR="00CA2931">
        <w:t>’</w:t>
      </w:r>
      <w:r w:rsidRPr="006503C8">
        <w:t>auteure</w:t>
      </w:r>
      <w:r>
        <w:t xml:space="preserve"> </w:t>
      </w:r>
      <w:r w:rsidRPr="006503C8">
        <w:t>en</w:t>
      </w:r>
      <w:r>
        <w:t xml:space="preserve"> </w:t>
      </w:r>
      <w:r w:rsidRPr="006503C8">
        <w:t>l</w:t>
      </w:r>
      <w:r w:rsidR="00CA2931">
        <w:t>’</w:t>
      </w:r>
      <w:r w:rsidRPr="006503C8">
        <w:t>espèce.</w:t>
      </w:r>
      <w:r>
        <w:t xml:space="preserve"> Il note </w:t>
      </w:r>
      <w:r w:rsidRPr="006503C8">
        <w:t>aussi</w:t>
      </w:r>
      <w:r>
        <w:t xml:space="preserve"> </w:t>
      </w:r>
      <w:r w:rsidRPr="006503C8">
        <w:t>que,</w:t>
      </w:r>
      <w:r>
        <w:t xml:space="preserve"> </w:t>
      </w:r>
      <w:r w:rsidRPr="006503C8">
        <w:t>selon</w:t>
      </w:r>
      <w:r>
        <w:t xml:space="preserve"> </w:t>
      </w:r>
      <w:r w:rsidRPr="006503C8">
        <w:t>l</w:t>
      </w:r>
      <w:r w:rsidR="00CA2931">
        <w:t>’</w:t>
      </w:r>
      <w:r w:rsidRPr="006503C8">
        <w:t>État</w:t>
      </w:r>
      <w:r>
        <w:t xml:space="preserve"> </w:t>
      </w:r>
      <w:r w:rsidRPr="006503C8">
        <w:t>partie,</w:t>
      </w:r>
      <w:r>
        <w:t xml:space="preserve"> </w:t>
      </w:r>
      <w:r w:rsidRPr="006503C8">
        <w:t>les</w:t>
      </w:r>
      <w:r>
        <w:t xml:space="preserve"> autorités </w:t>
      </w:r>
      <w:r w:rsidRPr="006503C8">
        <w:t>nationales</w:t>
      </w:r>
      <w:r>
        <w:t xml:space="preserve"> </w:t>
      </w:r>
      <w:r w:rsidRPr="006503C8">
        <w:t>ont</w:t>
      </w:r>
      <w:r>
        <w:t xml:space="preserve"> tenu </w:t>
      </w:r>
      <w:r w:rsidRPr="006503C8">
        <w:t>compte,</w:t>
      </w:r>
      <w:r>
        <w:t xml:space="preserve"> </w:t>
      </w:r>
      <w:r w:rsidRPr="006503C8">
        <w:t>dans</w:t>
      </w:r>
      <w:r>
        <w:t xml:space="preserve"> le cadre de </w:t>
      </w:r>
      <w:r w:rsidRPr="006503C8">
        <w:t>leur</w:t>
      </w:r>
      <w:r>
        <w:t xml:space="preserve"> </w:t>
      </w:r>
      <w:r w:rsidRPr="006503C8">
        <w:t>examen,</w:t>
      </w:r>
      <w:r>
        <w:t xml:space="preserve"> </w:t>
      </w:r>
      <w:r w:rsidRPr="006503C8">
        <w:t>du</w:t>
      </w:r>
      <w:r>
        <w:t xml:space="preserve"> </w:t>
      </w:r>
      <w:r w:rsidRPr="006503C8">
        <w:t>fait</w:t>
      </w:r>
      <w:r>
        <w:t xml:space="preserve"> </w:t>
      </w:r>
      <w:r w:rsidRPr="006503C8">
        <w:t>que</w:t>
      </w:r>
      <w:r>
        <w:t xml:space="preserve"> </w:t>
      </w:r>
      <w:r w:rsidRPr="006503C8">
        <w:t>les</w:t>
      </w:r>
      <w:r>
        <w:t xml:space="preserve"> </w:t>
      </w:r>
      <w:r w:rsidRPr="006503C8">
        <w:t>propos</w:t>
      </w:r>
      <w:r>
        <w:t xml:space="preserve"> </w:t>
      </w:r>
      <w:r w:rsidRPr="006503C8">
        <w:t>de</w:t>
      </w:r>
      <w:r>
        <w:t xml:space="preserve"> </w:t>
      </w:r>
      <w:r w:rsidRPr="006503C8">
        <w:t>l</w:t>
      </w:r>
      <w:r w:rsidR="00CA2931">
        <w:t>’</w:t>
      </w:r>
      <w:r w:rsidRPr="006503C8">
        <w:t>auteure</w:t>
      </w:r>
      <w:r>
        <w:t xml:space="preserve"> </w:t>
      </w:r>
      <w:r w:rsidRPr="006503C8">
        <w:t>avaient</w:t>
      </w:r>
      <w:r>
        <w:t xml:space="preserve"> </w:t>
      </w:r>
      <w:r w:rsidRPr="006503C8">
        <w:t>été</w:t>
      </w:r>
      <w:r>
        <w:t xml:space="preserve"> </w:t>
      </w:r>
      <w:r w:rsidRPr="006503C8">
        <w:t>diffusés</w:t>
      </w:r>
      <w:r>
        <w:t xml:space="preserve"> </w:t>
      </w:r>
      <w:r w:rsidRPr="006503C8">
        <w:t>à</w:t>
      </w:r>
      <w:r>
        <w:t xml:space="preserve"> </w:t>
      </w:r>
      <w:r w:rsidRPr="006503C8">
        <w:t>la</w:t>
      </w:r>
      <w:r>
        <w:t xml:space="preserve"> </w:t>
      </w:r>
      <w:r w:rsidRPr="006503C8">
        <w:t>télévision</w:t>
      </w:r>
      <w:r>
        <w:t xml:space="preserve"> </w:t>
      </w:r>
      <w:r w:rsidRPr="006503C8">
        <w:t>et</w:t>
      </w:r>
      <w:r>
        <w:t xml:space="preserve"> </w:t>
      </w:r>
      <w:r w:rsidRPr="006503C8">
        <w:t>pouvaient</w:t>
      </w:r>
      <w:r>
        <w:t xml:space="preserve"> </w:t>
      </w:r>
      <w:r w:rsidRPr="006503C8">
        <w:t>toucher</w:t>
      </w:r>
      <w:r>
        <w:t xml:space="preserve"> </w:t>
      </w:r>
      <w:r w:rsidRPr="006503C8">
        <w:t>un</w:t>
      </w:r>
      <w:r>
        <w:t xml:space="preserve"> </w:t>
      </w:r>
      <w:r w:rsidRPr="006503C8">
        <w:t>nombre</w:t>
      </w:r>
      <w:r>
        <w:t xml:space="preserve"> </w:t>
      </w:r>
      <w:r w:rsidRPr="006503C8">
        <w:t>indéterminé</w:t>
      </w:r>
      <w:r>
        <w:t xml:space="preserve"> </w:t>
      </w:r>
      <w:r w:rsidRPr="006503C8">
        <w:t>de</w:t>
      </w:r>
      <w:r>
        <w:t xml:space="preserve"> </w:t>
      </w:r>
      <w:r w:rsidRPr="006503C8">
        <w:t>personnes,</w:t>
      </w:r>
      <w:r>
        <w:t xml:space="preserve"> </w:t>
      </w:r>
      <w:r w:rsidRPr="006503C8">
        <w:t>ce</w:t>
      </w:r>
      <w:r>
        <w:t xml:space="preserve"> </w:t>
      </w:r>
      <w:r w:rsidRPr="006503C8">
        <w:t>qui</w:t>
      </w:r>
      <w:r>
        <w:t xml:space="preserve"> </w:t>
      </w:r>
      <w:r w:rsidRPr="006503C8">
        <w:t>aggravait</w:t>
      </w:r>
      <w:r>
        <w:t xml:space="preserve"> </w:t>
      </w:r>
      <w:r w:rsidRPr="006503C8">
        <w:t>le</w:t>
      </w:r>
      <w:r>
        <w:t xml:space="preserve"> </w:t>
      </w:r>
      <w:r w:rsidRPr="006503C8">
        <w:t>préjudice</w:t>
      </w:r>
      <w:r>
        <w:t xml:space="preserve"> </w:t>
      </w:r>
      <w:r w:rsidRPr="006503C8">
        <w:t>causé</w:t>
      </w:r>
      <w:r>
        <w:t xml:space="preserve"> </w:t>
      </w:r>
      <w:r w:rsidRPr="006503C8">
        <w:t>aux</w:t>
      </w:r>
      <w:r>
        <w:t xml:space="preserve"> </w:t>
      </w:r>
      <w:r w:rsidRPr="006503C8">
        <w:t>droits</w:t>
      </w:r>
      <w:r>
        <w:t xml:space="preserve"> </w:t>
      </w:r>
      <w:r w:rsidRPr="006503C8">
        <w:t>et</w:t>
      </w:r>
      <w:r>
        <w:t xml:space="preserve"> </w:t>
      </w:r>
      <w:r w:rsidRPr="006503C8">
        <w:t>aux</w:t>
      </w:r>
      <w:r>
        <w:t xml:space="preserve"> </w:t>
      </w:r>
      <w:r w:rsidRPr="006503C8">
        <w:t>valeurs</w:t>
      </w:r>
      <w:r>
        <w:t xml:space="preserve"> </w:t>
      </w:r>
      <w:r w:rsidRPr="006503C8">
        <w:t>que</w:t>
      </w:r>
      <w:r>
        <w:t xml:space="preserve"> </w:t>
      </w:r>
      <w:r w:rsidRPr="006503C8">
        <w:t>la</w:t>
      </w:r>
      <w:r>
        <w:t xml:space="preserve"> </w:t>
      </w:r>
      <w:r w:rsidRPr="006503C8">
        <w:t>législation</w:t>
      </w:r>
      <w:r>
        <w:t xml:space="preserve"> </w:t>
      </w:r>
      <w:r w:rsidRPr="006503C8">
        <w:t>contestée</w:t>
      </w:r>
      <w:r>
        <w:t xml:space="preserve"> </w:t>
      </w:r>
      <w:r w:rsidRPr="006503C8">
        <w:t>entendait</w:t>
      </w:r>
      <w:r>
        <w:t xml:space="preserve"> </w:t>
      </w:r>
      <w:r w:rsidRPr="006503C8">
        <w:t>protéger.</w:t>
      </w:r>
      <w:r>
        <w:t xml:space="preserve"> </w:t>
      </w:r>
      <w:r w:rsidRPr="006503C8">
        <w:t>Les</w:t>
      </w:r>
      <w:r>
        <w:t xml:space="preserve"> </w:t>
      </w:r>
      <w:r w:rsidRPr="006503C8">
        <w:t>autorités</w:t>
      </w:r>
      <w:r>
        <w:t xml:space="preserve"> </w:t>
      </w:r>
      <w:r w:rsidRPr="006503C8">
        <w:t>ont</w:t>
      </w:r>
      <w:r>
        <w:t xml:space="preserve"> </w:t>
      </w:r>
      <w:r w:rsidRPr="006503C8">
        <w:t>aussi</w:t>
      </w:r>
      <w:r>
        <w:t xml:space="preserve"> </w:t>
      </w:r>
      <w:r w:rsidRPr="006503C8">
        <w:t>dûment</w:t>
      </w:r>
      <w:r>
        <w:t xml:space="preserve"> </w:t>
      </w:r>
      <w:r w:rsidRPr="006503C8">
        <w:t>pris</w:t>
      </w:r>
      <w:r>
        <w:t xml:space="preserve"> </w:t>
      </w:r>
      <w:r w:rsidRPr="006503C8">
        <w:t>en</w:t>
      </w:r>
      <w:r>
        <w:t xml:space="preserve"> </w:t>
      </w:r>
      <w:r w:rsidRPr="006503C8">
        <w:t>considération</w:t>
      </w:r>
      <w:r>
        <w:t xml:space="preserve"> </w:t>
      </w:r>
      <w:r w:rsidRPr="006503C8">
        <w:t>le</w:t>
      </w:r>
      <w:r>
        <w:t xml:space="preserve"> </w:t>
      </w:r>
      <w:r w:rsidRPr="006503C8">
        <w:t>fait</w:t>
      </w:r>
      <w:r>
        <w:t xml:space="preserve"> </w:t>
      </w:r>
      <w:r w:rsidRPr="006503C8">
        <w:t>que</w:t>
      </w:r>
      <w:r>
        <w:t xml:space="preserve"> </w:t>
      </w:r>
      <w:r w:rsidRPr="006503C8">
        <w:t>l</w:t>
      </w:r>
      <w:r w:rsidR="00CA2931">
        <w:t>’</w:t>
      </w:r>
      <w:r w:rsidRPr="006503C8">
        <w:t>auteure</w:t>
      </w:r>
      <w:r>
        <w:t xml:space="preserve"> </w:t>
      </w:r>
      <w:r w:rsidRPr="006503C8">
        <w:t>n</w:t>
      </w:r>
      <w:r w:rsidR="00CA2931">
        <w:t>’</w:t>
      </w:r>
      <w:r>
        <w:t xml:space="preserve">avait pu </w:t>
      </w:r>
      <w:r w:rsidRPr="006503C8">
        <w:t>prouver</w:t>
      </w:r>
      <w:r>
        <w:t xml:space="preserve"> la véracité de </w:t>
      </w:r>
      <w:r w:rsidRPr="006503C8">
        <w:t>ses</w:t>
      </w:r>
      <w:r>
        <w:t xml:space="preserve"> </w:t>
      </w:r>
      <w:r w:rsidRPr="006503C8">
        <w:t>déclarations.</w:t>
      </w:r>
      <w:r>
        <w:t xml:space="preserve"> Le Comité note en outre que s</w:t>
      </w:r>
      <w:r w:rsidRPr="006503C8">
        <w:t>elon</w:t>
      </w:r>
      <w:r>
        <w:t xml:space="preserve"> </w:t>
      </w:r>
      <w:r w:rsidRPr="006503C8">
        <w:t>l</w:t>
      </w:r>
      <w:r w:rsidR="00CA2931">
        <w:t>’</w:t>
      </w:r>
      <w:r w:rsidRPr="006503C8">
        <w:t>État</w:t>
      </w:r>
      <w:r>
        <w:t xml:space="preserve"> </w:t>
      </w:r>
      <w:r w:rsidRPr="006503C8">
        <w:t>partie,</w:t>
      </w:r>
      <w:r>
        <w:t xml:space="preserve"> </w:t>
      </w:r>
      <w:r w:rsidRPr="006503C8">
        <w:t>l</w:t>
      </w:r>
      <w:r w:rsidR="00CA2931">
        <w:t>’</w:t>
      </w:r>
      <w:r w:rsidRPr="006503C8">
        <w:t>arrêt</w:t>
      </w:r>
      <w:r>
        <w:t xml:space="preserve"> </w:t>
      </w:r>
      <w:r w:rsidRPr="006503C8">
        <w:t>rendu</w:t>
      </w:r>
      <w:r>
        <w:t xml:space="preserve"> </w:t>
      </w:r>
      <w:r w:rsidRPr="006503C8">
        <w:t>par</w:t>
      </w:r>
      <w:r>
        <w:t xml:space="preserve"> </w:t>
      </w:r>
      <w:r w:rsidRPr="006503C8">
        <w:t>la</w:t>
      </w:r>
      <w:r>
        <w:t xml:space="preserve"> </w:t>
      </w:r>
      <w:r w:rsidRPr="006503C8">
        <w:t>Cour</w:t>
      </w:r>
      <w:r>
        <w:t xml:space="preserve"> </w:t>
      </w:r>
      <w:r w:rsidRPr="006503C8">
        <w:t>suprême</w:t>
      </w:r>
      <w:r>
        <w:t xml:space="preserve"> </w:t>
      </w:r>
      <w:r w:rsidRPr="006503C8">
        <w:t>montre</w:t>
      </w:r>
      <w:r>
        <w:t xml:space="preserve"> </w:t>
      </w:r>
      <w:r w:rsidRPr="006503C8">
        <w:t>que</w:t>
      </w:r>
      <w:r>
        <w:t xml:space="preserve"> </w:t>
      </w:r>
      <w:r w:rsidRPr="006503C8">
        <w:t>l</w:t>
      </w:r>
      <w:r w:rsidR="00CA2931">
        <w:t>’</w:t>
      </w:r>
      <w:r w:rsidRPr="006503C8">
        <w:t>auteure</w:t>
      </w:r>
      <w:r>
        <w:t xml:space="preserve"> </w:t>
      </w:r>
      <w:r w:rsidRPr="006503C8">
        <w:t>n</w:t>
      </w:r>
      <w:r w:rsidR="00CA2931">
        <w:t>’</w:t>
      </w:r>
      <w:r w:rsidRPr="006503C8">
        <w:t>a</w:t>
      </w:r>
      <w:r>
        <w:t xml:space="preserve"> </w:t>
      </w:r>
      <w:r w:rsidRPr="006503C8">
        <w:t>pas</w:t>
      </w:r>
      <w:r>
        <w:t xml:space="preserve"> </w:t>
      </w:r>
      <w:r w:rsidRPr="006503C8">
        <w:t>été</w:t>
      </w:r>
      <w:r>
        <w:t xml:space="preserve"> </w:t>
      </w:r>
      <w:r w:rsidRPr="006503C8">
        <w:t>condamnée</w:t>
      </w:r>
      <w:r>
        <w:t xml:space="preserve"> </w:t>
      </w:r>
      <w:r w:rsidRPr="006503C8">
        <w:t>pour</w:t>
      </w:r>
      <w:r>
        <w:t xml:space="preserve"> </w:t>
      </w:r>
      <w:r w:rsidRPr="006503C8">
        <w:t>avoir</w:t>
      </w:r>
      <w:r>
        <w:t xml:space="preserve"> </w:t>
      </w:r>
      <w:r w:rsidRPr="006503C8">
        <w:t>formulé</w:t>
      </w:r>
      <w:r>
        <w:t xml:space="preserve"> </w:t>
      </w:r>
      <w:r w:rsidRPr="006503C8">
        <w:t>une</w:t>
      </w:r>
      <w:r>
        <w:t xml:space="preserve"> </w:t>
      </w:r>
      <w:r w:rsidRPr="006503C8">
        <w:t>critique</w:t>
      </w:r>
      <w:r>
        <w:t xml:space="preserve"> </w:t>
      </w:r>
      <w:r w:rsidRPr="006503C8">
        <w:t>à</w:t>
      </w:r>
      <w:r>
        <w:t xml:space="preserve"> </w:t>
      </w:r>
      <w:r w:rsidRPr="006503C8">
        <w:t>l</w:t>
      </w:r>
      <w:r w:rsidR="00CA2931">
        <w:t>’</w:t>
      </w:r>
      <w:r w:rsidRPr="006503C8">
        <w:t>encontre</w:t>
      </w:r>
      <w:r>
        <w:t xml:space="preserve"> </w:t>
      </w:r>
      <w:r w:rsidRPr="006503C8">
        <w:t>des</w:t>
      </w:r>
      <w:r>
        <w:t xml:space="preserve"> </w:t>
      </w:r>
      <w:r w:rsidRPr="006503C8">
        <w:t>procureurs,</w:t>
      </w:r>
      <w:r>
        <w:t xml:space="preserve"> </w:t>
      </w:r>
      <w:r w:rsidRPr="006503C8">
        <w:t>mais</w:t>
      </w:r>
      <w:r>
        <w:t xml:space="preserve"> </w:t>
      </w:r>
      <w:r w:rsidRPr="006503C8">
        <w:t>pour</w:t>
      </w:r>
      <w:r>
        <w:t xml:space="preserve"> </w:t>
      </w:r>
      <w:r w:rsidRPr="006503C8">
        <w:t>l</w:t>
      </w:r>
      <w:r w:rsidR="00CA2931">
        <w:t>’</w:t>
      </w:r>
      <w:r w:rsidRPr="006503C8">
        <w:t>avoir</w:t>
      </w:r>
      <w:r>
        <w:t xml:space="preserve"> </w:t>
      </w:r>
      <w:r w:rsidRPr="006503C8">
        <w:t>fait</w:t>
      </w:r>
      <w:r>
        <w:t xml:space="preserve"> </w:t>
      </w:r>
      <w:r w:rsidRPr="006503C8">
        <w:t>de</w:t>
      </w:r>
      <w:r>
        <w:t xml:space="preserve"> </w:t>
      </w:r>
      <w:r w:rsidRPr="006503C8">
        <w:t>façon</w:t>
      </w:r>
      <w:r>
        <w:t xml:space="preserve"> </w:t>
      </w:r>
      <w:r w:rsidRPr="006503C8">
        <w:t>insultante.</w:t>
      </w:r>
      <w:r>
        <w:t xml:space="preserve"> </w:t>
      </w:r>
      <w:r w:rsidRPr="006503C8">
        <w:rPr>
          <w:rFonts w:eastAsia="Calibri"/>
        </w:rPr>
        <w:t>Enfin,</w:t>
      </w:r>
      <w:r>
        <w:rPr>
          <w:rFonts w:eastAsia="Calibri"/>
        </w:rPr>
        <w:t xml:space="preserve"> il note que </w:t>
      </w:r>
      <w:r w:rsidRPr="006503C8">
        <w:rPr>
          <w:rFonts w:eastAsia="Calibri"/>
        </w:rPr>
        <w:t>l</w:t>
      </w:r>
      <w:r w:rsidR="00CA2931">
        <w:rPr>
          <w:rFonts w:eastAsia="Calibri"/>
        </w:rPr>
        <w:t>’</w:t>
      </w:r>
      <w:r w:rsidRPr="006503C8">
        <w:rPr>
          <w:rFonts w:eastAsia="Calibri"/>
        </w:rPr>
        <w:t>État</w:t>
      </w:r>
      <w:r>
        <w:rPr>
          <w:rFonts w:eastAsia="Calibri"/>
        </w:rPr>
        <w:t xml:space="preserve"> </w:t>
      </w:r>
      <w:r w:rsidRPr="006503C8">
        <w:rPr>
          <w:rFonts w:eastAsia="Calibri"/>
        </w:rPr>
        <w:t>partie</w:t>
      </w:r>
      <w:r>
        <w:rPr>
          <w:rFonts w:eastAsia="Calibri"/>
        </w:rPr>
        <w:t xml:space="preserve"> fait valoir que</w:t>
      </w:r>
      <w:r w:rsidRPr="006503C8">
        <w:rPr>
          <w:rFonts w:eastAsia="Calibri"/>
        </w:rPr>
        <w:t>,</w:t>
      </w:r>
      <w:r>
        <w:rPr>
          <w:rFonts w:eastAsia="Calibri"/>
        </w:rPr>
        <w:t xml:space="preserve"> même si </w:t>
      </w:r>
      <w:r w:rsidRPr="006503C8">
        <w:rPr>
          <w:rFonts w:eastAsia="Calibri"/>
        </w:rPr>
        <w:t>la</w:t>
      </w:r>
      <w:r>
        <w:rPr>
          <w:rFonts w:eastAsia="Calibri"/>
        </w:rPr>
        <w:t xml:space="preserve"> </w:t>
      </w:r>
      <w:r w:rsidRPr="006503C8">
        <w:rPr>
          <w:rFonts w:eastAsia="Calibri"/>
        </w:rPr>
        <w:t>déclaration</w:t>
      </w:r>
      <w:r>
        <w:rPr>
          <w:rFonts w:eastAsia="Calibri"/>
        </w:rPr>
        <w:t xml:space="preserve"> </w:t>
      </w:r>
      <w:r w:rsidRPr="006503C8">
        <w:rPr>
          <w:rFonts w:eastAsia="Calibri"/>
        </w:rPr>
        <w:t>de</w:t>
      </w:r>
      <w:r>
        <w:rPr>
          <w:rFonts w:eastAsia="Calibri"/>
        </w:rPr>
        <w:t xml:space="preserve"> </w:t>
      </w:r>
      <w:r w:rsidRPr="006503C8">
        <w:rPr>
          <w:rFonts w:eastAsia="Calibri"/>
        </w:rPr>
        <w:t>l</w:t>
      </w:r>
      <w:r w:rsidR="00CA2931">
        <w:rPr>
          <w:rFonts w:eastAsia="Calibri"/>
        </w:rPr>
        <w:t>’</w:t>
      </w:r>
      <w:r w:rsidRPr="006503C8">
        <w:rPr>
          <w:rFonts w:eastAsia="Calibri"/>
        </w:rPr>
        <w:t>auteure</w:t>
      </w:r>
      <w:r>
        <w:rPr>
          <w:rFonts w:eastAsia="Calibri"/>
        </w:rPr>
        <w:t xml:space="preserve"> </w:t>
      </w:r>
      <w:r w:rsidRPr="006503C8">
        <w:rPr>
          <w:rFonts w:eastAsia="Calibri"/>
        </w:rPr>
        <w:t>engageait</w:t>
      </w:r>
      <w:r>
        <w:rPr>
          <w:rFonts w:eastAsia="Calibri"/>
        </w:rPr>
        <w:t xml:space="preserve"> </w:t>
      </w:r>
      <w:r w:rsidRPr="006503C8">
        <w:rPr>
          <w:rFonts w:eastAsia="Calibri"/>
        </w:rPr>
        <w:t>sa</w:t>
      </w:r>
      <w:r>
        <w:rPr>
          <w:rFonts w:eastAsia="Calibri"/>
        </w:rPr>
        <w:t xml:space="preserve"> </w:t>
      </w:r>
      <w:r w:rsidRPr="006503C8">
        <w:rPr>
          <w:rFonts w:eastAsia="Calibri"/>
        </w:rPr>
        <w:t>responsabilité</w:t>
      </w:r>
      <w:r>
        <w:rPr>
          <w:rFonts w:eastAsia="Calibri"/>
        </w:rPr>
        <w:t xml:space="preserve"> </w:t>
      </w:r>
      <w:r w:rsidRPr="006503C8">
        <w:rPr>
          <w:rFonts w:eastAsia="Calibri"/>
        </w:rPr>
        <w:t>pénale</w:t>
      </w:r>
      <w:r>
        <w:rPr>
          <w:rFonts w:eastAsia="Calibri"/>
        </w:rPr>
        <w:t xml:space="preserve"> </w:t>
      </w:r>
      <w:r w:rsidRPr="006503C8">
        <w:rPr>
          <w:rFonts w:eastAsia="Calibri"/>
        </w:rPr>
        <w:t>en</w:t>
      </w:r>
      <w:r>
        <w:rPr>
          <w:rFonts w:eastAsia="Calibri"/>
        </w:rPr>
        <w:t xml:space="preserve"> </w:t>
      </w:r>
      <w:r w:rsidRPr="006503C8">
        <w:rPr>
          <w:rFonts w:eastAsia="Calibri"/>
        </w:rPr>
        <w:t>application</w:t>
      </w:r>
      <w:r>
        <w:rPr>
          <w:rFonts w:eastAsia="Calibri"/>
        </w:rPr>
        <w:t xml:space="preserve"> </w:t>
      </w:r>
      <w:r w:rsidRPr="006503C8">
        <w:rPr>
          <w:rFonts w:eastAsia="Calibri"/>
        </w:rPr>
        <w:t>des</w:t>
      </w:r>
      <w:r>
        <w:rPr>
          <w:rFonts w:eastAsia="Calibri"/>
        </w:rPr>
        <w:t xml:space="preserve"> </w:t>
      </w:r>
      <w:r w:rsidRPr="006503C8">
        <w:rPr>
          <w:rFonts w:eastAsia="Calibri"/>
        </w:rPr>
        <w:t>lois</w:t>
      </w:r>
      <w:r>
        <w:rPr>
          <w:rFonts w:eastAsia="Calibri"/>
        </w:rPr>
        <w:t xml:space="preserve"> </w:t>
      </w:r>
      <w:r w:rsidRPr="006503C8">
        <w:rPr>
          <w:rFonts w:eastAsia="Calibri"/>
        </w:rPr>
        <w:t>nationales</w:t>
      </w:r>
      <w:r>
        <w:rPr>
          <w:rFonts w:eastAsia="Calibri"/>
        </w:rPr>
        <w:t xml:space="preserve"> </w:t>
      </w:r>
      <w:r w:rsidRPr="006503C8">
        <w:rPr>
          <w:rFonts w:eastAsia="Calibri"/>
        </w:rPr>
        <w:t>en</w:t>
      </w:r>
      <w:r>
        <w:rPr>
          <w:rFonts w:eastAsia="Calibri"/>
        </w:rPr>
        <w:t xml:space="preserve"> </w:t>
      </w:r>
      <w:r w:rsidRPr="006503C8">
        <w:rPr>
          <w:rFonts w:eastAsia="Calibri"/>
        </w:rPr>
        <w:t>vigueur</w:t>
      </w:r>
      <w:r>
        <w:rPr>
          <w:rFonts w:eastAsia="Calibri"/>
        </w:rPr>
        <w:t xml:space="preserve"> </w:t>
      </w:r>
      <w:r w:rsidRPr="006503C8">
        <w:rPr>
          <w:rFonts w:eastAsia="Calibri"/>
        </w:rPr>
        <w:t>au</w:t>
      </w:r>
      <w:r>
        <w:rPr>
          <w:rFonts w:eastAsia="Calibri"/>
        </w:rPr>
        <w:t xml:space="preserve"> </w:t>
      </w:r>
      <w:r w:rsidRPr="006503C8">
        <w:rPr>
          <w:rFonts w:eastAsia="Calibri"/>
        </w:rPr>
        <w:t>moment</w:t>
      </w:r>
      <w:r>
        <w:rPr>
          <w:rFonts w:eastAsia="Calibri"/>
        </w:rPr>
        <w:t xml:space="preserve"> </w:t>
      </w:r>
      <w:r w:rsidRPr="006503C8">
        <w:rPr>
          <w:rFonts w:eastAsia="Calibri"/>
        </w:rPr>
        <w:t>des</w:t>
      </w:r>
      <w:r>
        <w:rPr>
          <w:rFonts w:eastAsia="Calibri"/>
        </w:rPr>
        <w:t xml:space="preserve"> </w:t>
      </w:r>
      <w:r w:rsidRPr="006503C8">
        <w:rPr>
          <w:rFonts w:eastAsia="Calibri"/>
        </w:rPr>
        <w:t>faits,</w:t>
      </w:r>
      <w:r>
        <w:rPr>
          <w:rFonts w:eastAsia="Calibri"/>
        </w:rPr>
        <w:t xml:space="preserve"> </w:t>
      </w:r>
      <w:r w:rsidRPr="006503C8">
        <w:rPr>
          <w:rFonts w:eastAsia="Calibri"/>
        </w:rPr>
        <w:t>la</w:t>
      </w:r>
      <w:r>
        <w:rPr>
          <w:rFonts w:eastAsia="Calibri"/>
        </w:rPr>
        <w:t xml:space="preserve"> </w:t>
      </w:r>
      <w:r w:rsidRPr="006503C8">
        <w:rPr>
          <w:rFonts w:eastAsia="Calibri"/>
        </w:rPr>
        <w:t>sanction</w:t>
      </w:r>
      <w:r>
        <w:rPr>
          <w:rFonts w:eastAsia="Calibri"/>
        </w:rPr>
        <w:t xml:space="preserve"> </w:t>
      </w:r>
      <w:r w:rsidRPr="006503C8">
        <w:rPr>
          <w:rFonts w:eastAsia="Calibri"/>
        </w:rPr>
        <w:t>n</w:t>
      </w:r>
      <w:r w:rsidR="00CA2931">
        <w:rPr>
          <w:rFonts w:eastAsia="Calibri"/>
        </w:rPr>
        <w:t>’</w:t>
      </w:r>
      <w:r w:rsidRPr="006503C8">
        <w:rPr>
          <w:rFonts w:eastAsia="Calibri"/>
        </w:rPr>
        <w:t>avait</w:t>
      </w:r>
      <w:r>
        <w:rPr>
          <w:rFonts w:eastAsia="Calibri"/>
        </w:rPr>
        <w:t xml:space="preserve"> </w:t>
      </w:r>
      <w:r w:rsidRPr="006503C8">
        <w:rPr>
          <w:rFonts w:eastAsia="Calibri"/>
        </w:rPr>
        <w:t>pas</w:t>
      </w:r>
      <w:r>
        <w:rPr>
          <w:rFonts w:eastAsia="Calibri"/>
        </w:rPr>
        <w:t xml:space="preserve"> </w:t>
      </w:r>
      <w:r w:rsidRPr="006503C8">
        <w:rPr>
          <w:rFonts w:eastAsia="Calibri"/>
        </w:rPr>
        <w:t>de</w:t>
      </w:r>
      <w:r>
        <w:rPr>
          <w:rFonts w:eastAsia="Calibri"/>
        </w:rPr>
        <w:t xml:space="preserve"> </w:t>
      </w:r>
      <w:r w:rsidRPr="006503C8">
        <w:rPr>
          <w:rFonts w:eastAsia="Calibri"/>
        </w:rPr>
        <w:t>caractère</w:t>
      </w:r>
      <w:r>
        <w:rPr>
          <w:rFonts w:eastAsia="Calibri"/>
        </w:rPr>
        <w:t xml:space="preserve"> </w:t>
      </w:r>
      <w:r w:rsidRPr="006503C8">
        <w:rPr>
          <w:rFonts w:eastAsia="Calibri"/>
        </w:rPr>
        <w:t>pénal,</w:t>
      </w:r>
      <w:r>
        <w:rPr>
          <w:rFonts w:eastAsia="Calibri"/>
        </w:rPr>
        <w:t xml:space="preserve"> </w:t>
      </w:r>
      <w:r w:rsidRPr="006503C8">
        <w:rPr>
          <w:rFonts w:eastAsia="Calibri"/>
        </w:rPr>
        <w:t>l</w:t>
      </w:r>
      <w:r w:rsidR="00CA2931">
        <w:rPr>
          <w:rFonts w:eastAsia="Calibri"/>
        </w:rPr>
        <w:t>’</w:t>
      </w:r>
      <w:r w:rsidRPr="006503C8">
        <w:rPr>
          <w:rFonts w:eastAsia="Calibri"/>
        </w:rPr>
        <w:t>amende</w:t>
      </w:r>
      <w:r>
        <w:rPr>
          <w:rFonts w:eastAsia="Calibri"/>
        </w:rPr>
        <w:t xml:space="preserve"> </w:t>
      </w:r>
      <w:r w:rsidRPr="006503C8">
        <w:rPr>
          <w:rFonts w:eastAsia="Calibri"/>
        </w:rPr>
        <w:t>imposée</w:t>
      </w:r>
      <w:r>
        <w:rPr>
          <w:rFonts w:eastAsia="Calibri"/>
        </w:rPr>
        <w:t xml:space="preserve"> </w:t>
      </w:r>
      <w:r w:rsidRPr="006503C8">
        <w:rPr>
          <w:rFonts w:eastAsia="Calibri"/>
        </w:rPr>
        <w:t>était</w:t>
      </w:r>
      <w:r>
        <w:rPr>
          <w:rFonts w:eastAsia="Calibri"/>
        </w:rPr>
        <w:t xml:space="preserve"> </w:t>
      </w:r>
      <w:r w:rsidRPr="006503C8">
        <w:rPr>
          <w:rFonts w:eastAsia="Calibri"/>
        </w:rPr>
        <w:t>proche</w:t>
      </w:r>
      <w:r>
        <w:rPr>
          <w:rFonts w:eastAsia="Calibri"/>
        </w:rPr>
        <w:t xml:space="preserve"> </w:t>
      </w:r>
      <w:r w:rsidRPr="006503C8">
        <w:rPr>
          <w:rFonts w:eastAsia="Calibri"/>
        </w:rPr>
        <w:t>du</w:t>
      </w:r>
      <w:r>
        <w:rPr>
          <w:rFonts w:eastAsia="Calibri"/>
        </w:rPr>
        <w:t xml:space="preserve"> </w:t>
      </w:r>
      <w:r w:rsidRPr="006503C8">
        <w:rPr>
          <w:rFonts w:eastAsia="Calibri"/>
        </w:rPr>
        <w:t>montant</w:t>
      </w:r>
      <w:r>
        <w:rPr>
          <w:rFonts w:eastAsia="Calibri"/>
        </w:rPr>
        <w:t xml:space="preserve"> </w:t>
      </w:r>
      <w:r w:rsidRPr="006503C8">
        <w:rPr>
          <w:rFonts w:eastAsia="Calibri"/>
        </w:rPr>
        <w:t>mini</w:t>
      </w:r>
      <w:r>
        <w:rPr>
          <w:rFonts w:eastAsia="Calibri"/>
        </w:rPr>
        <w:t>m</w:t>
      </w:r>
      <w:r w:rsidRPr="006503C8">
        <w:rPr>
          <w:rFonts w:eastAsia="Calibri"/>
        </w:rPr>
        <w:t>um</w:t>
      </w:r>
      <w:r>
        <w:rPr>
          <w:rFonts w:eastAsia="Calibri"/>
        </w:rPr>
        <w:t xml:space="preserve"> </w:t>
      </w:r>
      <w:r w:rsidRPr="006503C8">
        <w:rPr>
          <w:rFonts w:eastAsia="Calibri"/>
        </w:rPr>
        <w:t>et</w:t>
      </w:r>
      <w:r>
        <w:rPr>
          <w:rFonts w:eastAsia="Calibri"/>
        </w:rPr>
        <w:t xml:space="preserve"> </w:t>
      </w:r>
      <w:r w:rsidRPr="006503C8">
        <w:rPr>
          <w:rFonts w:eastAsia="Calibri"/>
        </w:rPr>
        <w:t>l</w:t>
      </w:r>
      <w:r w:rsidR="00CA2931">
        <w:rPr>
          <w:rFonts w:eastAsia="Calibri"/>
        </w:rPr>
        <w:t>’</w:t>
      </w:r>
      <w:r w:rsidRPr="006503C8">
        <w:rPr>
          <w:rFonts w:eastAsia="Calibri"/>
        </w:rPr>
        <w:t>inscription</w:t>
      </w:r>
      <w:r>
        <w:rPr>
          <w:rFonts w:eastAsia="Calibri"/>
        </w:rPr>
        <w:t xml:space="preserve"> au </w:t>
      </w:r>
      <w:r w:rsidRPr="006503C8">
        <w:rPr>
          <w:rFonts w:eastAsia="Calibri"/>
        </w:rPr>
        <w:t>casier</w:t>
      </w:r>
      <w:r>
        <w:rPr>
          <w:rFonts w:eastAsia="Calibri"/>
        </w:rPr>
        <w:t xml:space="preserve"> </w:t>
      </w:r>
      <w:r w:rsidRPr="006503C8">
        <w:rPr>
          <w:rFonts w:eastAsia="Calibri"/>
        </w:rPr>
        <w:t>judiciaire</w:t>
      </w:r>
      <w:r>
        <w:rPr>
          <w:rFonts w:eastAsia="Calibri"/>
        </w:rPr>
        <w:t xml:space="preserve"> </w:t>
      </w:r>
      <w:r w:rsidRPr="006503C8">
        <w:rPr>
          <w:rFonts w:eastAsia="Calibri"/>
        </w:rPr>
        <w:t>serait</w:t>
      </w:r>
      <w:r>
        <w:rPr>
          <w:rFonts w:eastAsia="Calibri"/>
        </w:rPr>
        <w:t xml:space="preserve"> </w:t>
      </w:r>
      <w:r w:rsidRPr="006503C8">
        <w:rPr>
          <w:rFonts w:eastAsia="Calibri"/>
        </w:rPr>
        <w:t>supprimée</w:t>
      </w:r>
      <w:r>
        <w:rPr>
          <w:rFonts w:eastAsia="Calibri"/>
        </w:rPr>
        <w:t xml:space="preserve"> </w:t>
      </w:r>
      <w:r w:rsidRPr="006503C8">
        <w:rPr>
          <w:rFonts w:eastAsia="Calibri"/>
        </w:rPr>
        <w:t>après</w:t>
      </w:r>
      <w:r>
        <w:rPr>
          <w:rFonts w:eastAsia="Calibri"/>
        </w:rPr>
        <w:t xml:space="preserve"> </w:t>
      </w:r>
      <w:r w:rsidRPr="006503C8">
        <w:rPr>
          <w:rFonts w:eastAsia="Calibri"/>
        </w:rPr>
        <w:t>trois</w:t>
      </w:r>
      <w:r>
        <w:rPr>
          <w:rFonts w:eastAsia="Calibri"/>
        </w:rPr>
        <w:t xml:space="preserve"> </w:t>
      </w:r>
      <w:r w:rsidRPr="006503C8">
        <w:rPr>
          <w:rFonts w:eastAsia="Calibri"/>
        </w:rPr>
        <w:t>ans.</w:t>
      </w:r>
    </w:p>
    <w:p w14:paraId="55DD7BD0" w14:textId="77777777" w:rsidR="00765853" w:rsidRDefault="00765853" w:rsidP="00765853">
      <w:pPr>
        <w:pStyle w:val="SingleTxtG"/>
        <w:rPr>
          <w:rFonts w:eastAsia="Calibri"/>
        </w:rPr>
      </w:pPr>
      <w:r w:rsidRPr="006503C8">
        <w:rPr>
          <w:lang w:bidi="he-IL"/>
        </w:rPr>
        <w:t>8.10</w:t>
      </w:r>
      <w:r w:rsidRPr="006503C8">
        <w:rPr>
          <w:lang w:bidi="he-IL"/>
        </w:rPr>
        <w:tab/>
      </w:r>
      <w:r>
        <w:rPr>
          <w:lang w:bidi="he-IL"/>
        </w:rPr>
        <w:t xml:space="preserve">Pour apprécier </w:t>
      </w:r>
      <w:r w:rsidRPr="006503C8">
        <w:rPr>
          <w:lang w:bidi="he-IL"/>
        </w:rPr>
        <w:t>la</w:t>
      </w:r>
      <w:r>
        <w:rPr>
          <w:lang w:bidi="he-IL"/>
        </w:rPr>
        <w:t xml:space="preserve"> </w:t>
      </w:r>
      <w:r w:rsidRPr="006503C8">
        <w:rPr>
          <w:lang w:bidi="he-IL"/>
        </w:rPr>
        <w:t>nécessité</w:t>
      </w:r>
      <w:r>
        <w:rPr>
          <w:lang w:bidi="he-IL"/>
        </w:rPr>
        <w:t xml:space="preserve"> et </w:t>
      </w:r>
      <w:r w:rsidRPr="006503C8">
        <w:rPr>
          <w:lang w:bidi="he-IL"/>
        </w:rPr>
        <w:t>la</w:t>
      </w:r>
      <w:r>
        <w:rPr>
          <w:lang w:bidi="he-IL"/>
        </w:rPr>
        <w:t xml:space="preserve"> </w:t>
      </w:r>
      <w:r w:rsidRPr="006503C8">
        <w:rPr>
          <w:lang w:bidi="he-IL"/>
        </w:rPr>
        <w:t>proportionnalité</w:t>
      </w:r>
      <w:r>
        <w:rPr>
          <w:lang w:bidi="he-IL"/>
        </w:rPr>
        <w:t xml:space="preserve"> </w:t>
      </w:r>
      <w:r w:rsidRPr="006503C8">
        <w:rPr>
          <w:lang w:bidi="he-IL"/>
        </w:rPr>
        <w:t>de</w:t>
      </w:r>
      <w:r>
        <w:rPr>
          <w:lang w:bidi="he-IL"/>
        </w:rPr>
        <w:t xml:space="preserve"> </w:t>
      </w:r>
      <w:r w:rsidRPr="006503C8">
        <w:rPr>
          <w:lang w:bidi="he-IL"/>
        </w:rPr>
        <w:t>la</w:t>
      </w:r>
      <w:r>
        <w:rPr>
          <w:lang w:bidi="he-IL"/>
        </w:rPr>
        <w:t xml:space="preserve"> </w:t>
      </w:r>
      <w:r w:rsidRPr="006503C8">
        <w:rPr>
          <w:lang w:bidi="he-IL"/>
        </w:rPr>
        <w:t>restriction</w:t>
      </w:r>
      <w:r>
        <w:rPr>
          <w:lang w:bidi="he-IL"/>
        </w:rPr>
        <w:t xml:space="preserve"> </w:t>
      </w:r>
      <w:r w:rsidRPr="006503C8">
        <w:rPr>
          <w:lang w:bidi="he-IL"/>
        </w:rPr>
        <w:t>en</w:t>
      </w:r>
      <w:r>
        <w:rPr>
          <w:lang w:bidi="he-IL"/>
        </w:rPr>
        <w:t xml:space="preserve"> </w:t>
      </w:r>
      <w:r w:rsidRPr="006503C8">
        <w:rPr>
          <w:lang w:bidi="he-IL"/>
        </w:rPr>
        <w:t>l</w:t>
      </w:r>
      <w:r w:rsidR="00CA2931">
        <w:rPr>
          <w:lang w:bidi="he-IL"/>
        </w:rPr>
        <w:t>’</w:t>
      </w:r>
      <w:r w:rsidRPr="006503C8">
        <w:rPr>
          <w:lang w:bidi="he-IL"/>
        </w:rPr>
        <w:t>espèce,</w:t>
      </w:r>
      <w:r>
        <w:rPr>
          <w:lang w:bidi="he-IL"/>
        </w:rPr>
        <w:t xml:space="preserve"> </w:t>
      </w:r>
      <w:r>
        <w:t>le Comité a soigneusement examiné les arguments avancés par les deux parties.</w:t>
      </w:r>
      <w:r>
        <w:rPr>
          <w:lang w:bidi="he-IL"/>
        </w:rPr>
        <w:t xml:space="preserve"> Il prend en considération </w:t>
      </w:r>
      <w:r w:rsidRPr="006503C8">
        <w:rPr>
          <w:lang w:bidi="he-IL"/>
        </w:rPr>
        <w:t>le</w:t>
      </w:r>
      <w:r>
        <w:rPr>
          <w:lang w:bidi="he-IL"/>
        </w:rPr>
        <w:t xml:space="preserve"> </w:t>
      </w:r>
      <w:r w:rsidRPr="006503C8">
        <w:rPr>
          <w:lang w:bidi="he-IL"/>
        </w:rPr>
        <w:t>raisonnement</w:t>
      </w:r>
      <w:r>
        <w:rPr>
          <w:lang w:bidi="he-IL"/>
        </w:rPr>
        <w:t xml:space="preserve"> </w:t>
      </w:r>
      <w:r w:rsidRPr="006503C8">
        <w:rPr>
          <w:lang w:bidi="he-IL"/>
        </w:rPr>
        <w:t>de</w:t>
      </w:r>
      <w:r>
        <w:rPr>
          <w:lang w:bidi="he-IL"/>
        </w:rPr>
        <w:t xml:space="preserve"> </w:t>
      </w:r>
      <w:r w:rsidRPr="006503C8">
        <w:rPr>
          <w:lang w:bidi="he-IL"/>
        </w:rPr>
        <w:t>la</w:t>
      </w:r>
      <w:r>
        <w:rPr>
          <w:lang w:bidi="he-IL"/>
        </w:rPr>
        <w:t xml:space="preserve"> </w:t>
      </w:r>
      <w:r w:rsidRPr="006503C8">
        <w:rPr>
          <w:lang w:bidi="he-IL"/>
        </w:rPr>
        <w:t>Cour</w:t>
      </w:r>
      <w:r>
        <w:rPr>
          <w:lang w:bidi="he-IL"/>
        </w:rPr>
        <w:t xml:space="preserve"> </w:t>
      </w:r>
      <w:r w:rsidRPr="006503C8">
        <w:rPr>
          <w:lang w:bidi="he-IL"/>
        </w:rPr>
        <w:t>suprême</w:t>
      </w:r>
      <w:r>
        <w:rPr>
          <w:lang w:bidi="he-IL"/>
        </w:rPr>
        <w:t xml:space="preserve"> </w:t>
      </w:r>
      <w:r w:rsidRPr="006503C8">
        <w:rPr>
          <w:lang w:bidi="he-IL"/>
        </w:rPr>
        <w:t>selon</w:t>
      </w:r>
      <w:r>
        <w:rPr>
          <w:lang w:bidi="he-IL"/>
        </w:rPr>
        <w:t xml:space="preserve"> lequel </w:t>
      </w:r>
      <w:r w:rsidRPr="006503C8">
        <w:rPr>
          <w:lang w:bidi="he-IL"/>
        </w:rPr>
        <w:t>l</w:t>
      </w:r>
      <w:r w:rsidR="00CA2931">
        <w:rPr>
          <w:lang w:bidi="he-IL"/>
        </w:rPr>
        <w:t>’</w:t>
      </w:r>
      <w:r w:rsidRPr="006503C8">
        <w:rPr>
          <w:lang w:bidi="he-IL"/>
        </w:rPr>
        <w:t>auteure</w:t>
      </w:r>
      <w:r>
        <w:rPr>
          <w:lang w:bidi="he-IL"/>
        </w:rPr>
        <w:t xml:space="preserve"> </w:t>
      </w:r>
      <w:r w:rsidRPr="006503C8">
        <w:rPr>
          <w:lang w:bidi="he-IL"/>
        </w:rPr>
        <w:t>n</w:t>
      </w:r>
      <w:r w:rsidR="00CA2931">
        <w:rPr>
          <w:lang w:bidi="he-IL"/>
        </w:rPr>
        <w:t>’</w:t>
      </w:r>
      <w:r w:rsidRPr="006503C8">
        <w:rPr>
          <w:lang w:bidi="he-IL"/>
        </w:rPr>
        <w:t>a</w:t>
      </w:r>
      <w:r>
        <w:rPr>
          <w:lang w:bidi="he-IL"/>
        </w:rPr>
        <w:t xml:space="preserve"> </w:t>
      </w:r>
      <w:r w:rsidRPr="006503C8">
        <w:rPr>
          <w:lang w:bidi="he-IL"/>
        </w:rPr>
        <w:t>pas</w:t>
      </w:r>
      <w:r>
        <w:rPr>
          <w:lang w:bidi="he-IL"/>
        </w:rPr>
        <w:t xml:space="preserve"> </w:t>
      </w:r>
      <w:r w:rsidRPr="006503C8">
        <w:rPr>
          <w:lang w:bidi="he-IL"/>
        </w:rPr>
        <w:t>été</w:t>
      </w:r>
      <w:r>
        <w:rPr>
          <w:lang w:bidi="he-IL"/>
        </w:rPr>
        <w:t xml:space="preserve"> </w:t>
      </w:r>
      <w:r w:rsidRPr="006503C8">
        <w:rPr>
          <w:lang w:bidi="he-IL"/>
        </w:rPr>
        <w:t>condamnée</w:t>
      </w:r>
      <w:r>
        <w:rPr>
          <w:lang w:bidi="he-IL"/>
        </w:rPr>
        <w:t xml:space="preserve"> </w:t>
      </w:r>
      <w:r w:rsidRPr="006503C8">
        <w:rPr>
          <w:lang w:bidi="he-IL"/>
        </w:rPr>
        <w:t>pour</w:t>
      </w:r>
      <w:r>
        <w:rPr>
          <w:lang w:bidi="he-IL"/>
        </w:rPr>
        <w:t xml:space="preserve"> </w:t>
      </w:r>
      <w:r w:rsidRPr="006503C8">
        <w:rPr>
          <w:lang w:bidi="he-IL"/>
        </w:rPr>
        <w:t>avoir</w:t>
      </w:r>
      <w:r>
        <w:rPr>
          <w:lang w:bidi="he-IL"/>
        </w:rPr>
        <w:t xml:space="preserve"> </w:t>
      </w:r>
      <w:r w:rsidRPr="006503C8">
        <w:rPr>
          <w:lang w:bidi="he-IL"/>
        </w:rPr>
        <w:t>formulé</w:t>
      </w:r>
      <w:r>
        <w:rPr>
          <w:lang w:bidi="he-IL"/>
        </w:rPr>
        <w:t xml:space="preserve"> </w:t>
      </w:r>
      <w:r w:rsidRPr="006503C8">
        <w:rPr>
          <w:lang w:bidi="he-IL"/>
        </w:rPr>
        <w:t>une</w:t>
      </w:r>
      <w:r>
        <w:rPr>
          <w:lang w:bidi="he-IL"/>
        </w:rPr>
        <w:t xml:space="preserve"> </w:t>
      </w:r>
      <w:r w:rsidRPr="006503C8">
        <w:rPr>
          <w:lang w:bidi="he-IL"/>
        </w:rPr>
        <w:t>critique</w:t>
      </w:r>
      <w:r>
        <w:rPr>
          <w:lang w:bidi="he-IL"/>
        </w:rPr>
        <w:t xml:space="preserve"> </w:t>
      </w:r>
      <w:r w:rsidRPr="006503C8">
        <w:rPr>
          <w:lang w:bidi="he-IL"/>
        </w:rPr>
        <w:t>à</w:t>
      </w:r>
      <w:r>
        <w:rPr>
          <w:lang w:bidi="he-IL"/>
        </w:rPr>
        <w:t xml:space="preserve"> </w:t>
      </w:r>
      <w:r w:rsidRPr="006503C8">
        <w:rPr>
          <w:lang w:bidi="he-IL"/>
        </w:rPr>
        <w:t>l</w:t>
      </w:r>
      <w:r w:rsidR="00CA2931">
        <w:rPr>
          <w:lang w:bidi="he-IL"/>
        </w:rPr>
        <w:t>’</w:t>
      </w:r>
      <w:r w:rsidRPr="006503C8">
        <w:rPr>
          <w:lang w:bidi="he-IL"/>
        </w:rPr>
        <w:t>encontre</w:t>
      </w:r>
      <w:r>
        <w:rPr>
          <w:lang w:bidi="he-IL"/>
        </w:rPr>
        <w:t xml:space="preserve"> </w:t>
      </w:r>
      <w:r w:rsidRPr="006503C8">
        <w:rPr>
          <w:lang w:bidi="he-IL"/>
        </w:rPr>
        <w:t>des</w:t>
      </w:r>
      <w:r>
        <w:rPr>
          <w:lang w:bidi="he-IL"/>
        </w:rPr>
        <w:t xml:space="preserve"> </w:t>
      </w:r>
      <w:r w:rsidRPr="006503C8">
        <w:rPr>
          <w:lang w:bidi="he-IL"/>
        </w:rPr>
        <w:t>procureurs,</w:t>
      </w:r>
      <w:r>
        <w:rPr>
          <w:lang w:bidi="he-IL"/>
        </w:rPr>
        <w:t xml:space="preserve"> </w:t>
      </w:r>
      <w:r w:rsidRPr="006503C8">
        <w:rPr>
          <w:lang w:bidi="he-IL"/>
        </w:rPr>
        <w:t>mais</w:t>
      </w:r>
      <w:r>
        <w:rPr>
          <w:lang w:bidi="he-IL"/>
        </w:rPr>
        <w:t xml:space="preserve"> </w:t>
      </w:r>
      <w:r w:rsidRPr="006503C8">
        <w:rPr>
          <w:lang w:bidi="he-IL"/>
        </w:rPr>
        <w:t>pour</w:t>
      </w:r>
      <w:r>
        <w:rPr>
          <w:lang w:bidi="he-IL"/>
        </w:rPr>
        <w:t xml:space="preserve"> </w:t>
      </w:r>
      <w:r w:rsidRPr="006503C8">
        <w:rPr>
          <w:lang w:bidi="he-IL"/>
        </w:rPr>
        <w:t>l</w:t>
      </w:r>
      <w:r w:rsidR="00CA2931">
        <w:rPr>
          <w:lang w:bidi="he-IL"/>
        </w:rPr>
        <w:t>’</w:t>
      </w:r>
      <w:r w:rsidRPr="006503C8">
        <w:rPr>
          <w:lang w:bidi="he-IL"/>
        </w:rPr>
        <w:t>avoir</w:t>
      </w:r>
      <w:r>
        <w:rPr>
          <w:lang w:bidi="he-IL"/>
        </w:rPr>
        <w:t xml:space="preserve"> </w:t>
      </w:r>
      <w:r w:rsidRPr="006503C8">
        <w:rPr>
          <w:lang w:bidi="he-IL"/>
        </w:rPr>
        <w:t>fait</w:t>
      </w:r>
      <w:r>
        <w:rPr>
          <w:lang w:bidi="he-IL"/>
        </w:rPr>
        <w:t xml:space="preserve"> </w:t>
      </w:r>
      <w:r w:rsidRPr="006503C8">
        <w:rPr>
          <w:lang w:bidi="he-IL"/>
        </w:rPr>
        <w:t>de</w:t>
      </w:r>
      <w:r>
        <w:rPr>
          <w:lang w:bidi="he-IL"/>
        </w:rPr>
        <w:t xml:space="preserve"> </w:t>
      </w:r>
      <w:r w:rsidRPr="006503C8">
        <w:rPr>
          <w:lang w:bidi="he-IL"/>
        </w:rPr>
        <w:t>façon</w:t>
      </w:r>
      <w:r>
        <w:rPr>
          <w:lang w:bidi="he-IL"/>
        </w:rPr>
        <w:t xml:space="preserve"> </w:t>
      </w:r>
      <w:r w:rsidRPr="006503C8">
        <w:rPr>
          <w:lang w:bidi="he-IL"/>
        </w:rPr>
        <w:t>insultante.</w:t>
      </w:r>
      <w:r w:rsidRPr="00C220AD">
        <w:t xml:space="preserve"> </w:t>
      </w:r>
      <w:r>
        <w:t>Il note toutefois que certaines parties des propos de l</w:t>
      </w:r>
      <w:r w:rsidR="00CA2931">
        <w:t>’</w:t>
      </w:r>
      <w:r>
        <w:t>auteure n</w:t>
      </w:r>
      <w:r w:rsidR="00CA2931">
        <w:t>’</w:t>
      </w:r>
      <w:r>
        <w:t>ont même pas été prises en compte dans l</w:t>
      </w:r>
      <w:r w:rsidR="00CA2931">
        <w:t>’</w:t>
      </w:r>
      <w:r>
        <w:t>évaluation faite par les tribunaux nationaux parce qu</w:t>
      </w:r>
      <w:r w:rsidR="00CA2931">
        <w:t>’</w:t>
      </w:r>
      <w:r>
        <w:t>elles étaient vagues ou inoffensives, que seule une version tronquée des propos de l</w:t>
      </w:r>
      <w:r w:rsidR="00CA2931">
        <w:t>’</w:t>
      </w:r>
      <w:r>
        <w:t>auteure a été fournie et que, dans la mesure où aucun contexte n</w:t>
      </w:r>
      <w:r w:rsidR="00CA2931">
        <w:t>’</w:t>
      </w:r>
      <w:r>
        <w:t>a été donné, la déclaration entière était devenue ambiguë.</w:t>
      </w:r>
      <w:r>
        <w:rPr>
          <w:rFonts w:eastAsia="Calibri"/>
        </w:rPr>
        <w:t xml:space="preserve"> </w:t>
      </w:r>
      <w:bookmarkStart w:id="5" w:name="_Hlk13582246"/>
      <w:bookmarkStart w:id="6" w:name="_Hlk13578816"/>
      <w:r>
        <w:rPr>
          <w:rFonts w:eastAsia="Calibri"/>
        </w:rPr>
        <w:t>De plus, il</w:t>
      </w:r>
      <w:r>
        <w:t xml:space="preserve"> n</w:t>
      </w:r>
      <w:r w:rsidR="00CA2931">
        <w:t>’</w:t>
      </w:r>
      <w:r>
        <w:t>est pas convaincu qu</w:t>
      </w:r>
      <w:r w:rsidR="00CA2931">
        <w:t>’</w:t>
      </w:r>
      <w:r>
        <w:t>il ait été dûment tenu compte du fait que l</w:t>
      </w:r>
      <w:r w:rsidR="00CA2931">
        <w:t>’</w:t>
      </w:r>
      <w:r>
        <w:t>auteure s</w:t>
      </w:r>
      <w:r w:rsidR="00CA2931">
        <w:t>’</w:t>
      </w:r>
      <w:r>
        <w:t>est exprimée dans le cadre d</w:t>
      </w:r>
      <w:r w:rsidR="00CA2931">
        <w:t>’</w:t>
      </w:r>
      <w:r>
        <w:t>une procédure pénale portant sur des accusations pénales graves portées contre elle et que ses propos étaient une réaction spontanée à l</w:t>
      </w:r>
      <w:r w:rsidR="00CA2931">
        <w:t>’</w:t>
      </w:r>
      <w:r>
        <w:t>annonce qu</w:t>
      </w:r>
      <w:r w:rsidR="00CA2931">
        <w:t>’</w:t>
      </w:r>
      <w:r>
        <w:t>elle serait placée en détention provisoire.</w:t>
      </w:r>
      <w:r w:rsidRPr="006503C8">
        <w:rPr>
          <w:rFonts w:eastAsia="Calibri"/>
        </w:rPr>
        <w:t xml:space="preserve"> </w:t>
      </w:r>
      <w:bookmarkEnd w:id="5"/>
      <w:r w:rsidRPr="007D73C6">
        <w:rPr>
          <w:rFonts w:eastAsia="Calibri"/>
        </w:rPr>
        <w:t>L</w:t>
      </w:r>
      <w:r w:rsidR="00CA2931">
        <w:rPr>
          <w:rFonts w:eastAsia="Calibri"/>
        </w:rPr>
        <w:t>’</w:t>
      </w:r>
      <w:r w:rsidRPr="007D73C6">
        <w:rPr>
          <w:rFonts w:eastAsia="Calibri"/>
        </w:rPr>
        <w:t xml:space="preserve">affaire, qui a suscité un vif intérêt du public, a pu revêtir une certaine dimension politique, </w:t>
      </w:r>
      <w:r>
        <w:rPr>
          <w:rFonts w:eastAsia="Calibri"/>
        </w:rPr>
        <w:t>et de ce fait,</w:t>
      </w:r>
      <w:r w:rsidRPr="007D73C6">
        <w:rPr>
          <w:rFonts w:eastAsia="Calibri"/>
        </w:rPr>
        <w:t xml:space="preserve"> les limites de la critique acceptable comme contribuant au débat public pouvaient raisonnablement être considérées comme plus larges. </w:t>
      </w:r>
      <w:r>
        <w:t>Le Comité note également que même si l</w:t>
      </w:r>
      <w:r w:rsidR="00CA2931">
        <w:t>’</w:t>
      </w:r>
      <w:r>
        <w:t>auteure a été condamnée à payer seulement une amende et même si son casier judiciaire redeviendra vierge, elle n</w:t>
      </w:r>
      <w:r w:rsidR="00CA2931">
        <w:t>’</w:t>
      </w:r>
      <w:r>
        <w:t>en a pas moins fait l</w:t>
      </w:r>
      <w:r w:rsidR="00CA2931">
        <w:t>’</w:t>
      </w:r>
      <w:r>
        <w:t>objet de poursuites pénales pour des déclarations faites dans le cadre d</w:t>
      </w:r>
      <w:r w:rsidR="00CA2931">
        <w:t>’</w:t>
      </w:r>
      <w:r>
        <w:t>une affaire pénale la concernant. En</w:t>
      </w:r>
      <w:r w:rsidR="00E4747F">
        <w:t> </w:t>
      </w:r>
      <w:r>
        <w:t>outre, l</w:t>
      </w:r>
      <w:r w:rsidR="00CA2931">
        <w:t>’</w:t>
      </w:r>
      <w:r>
        <w:t>imposition d</w:t>
      </w:r>
      <w:r w:rsidR="00CA2931">
        <w:t>’</w:t>
      </w:r>
      <w:r>
        <w:t xml:space="preserve">une sanction peut représenter </w:t>
      </w:r>
      <w:bookmarkStart w:id="7" w:name="_Hlk44928990"/>
      <w:r>
        <w:t>une charge excessive pour l</w:t>
      </w:r>
      <w:r w:rsidR="00CA2931">
        <w:t>’</w:t>
      </w:r>
      <w:r>
        <w:t>auteure, compte tenu de son jeune âge et du fait qu</w:t>
      </w:r>
      <w:r w:rsidR="00CA2931">
        <w:t>’</w:t>
      </w:r>
      <w:r>
        <w:t>elle était sans emploi à l</w:t>
      </w:r>
      <w:r w:rsidR="00CA2931">
        <w:t>’</w:t>
      </w:r>
      <w:r>
        <w:t>époque</w:t>
      </w:r>
      <w:bookmarkEnd w:id="7"/>
      <w:r>
        <w:t>.</w:t>
      </w:r>
      <w:r w:rsidRPr="006503C8">
        <w:rPr>
          <w:rFonts w:eastAsia="Calibri"/>
        </w:rPr>
        <w:t xml:space="preserve"> </w:t>
      </w:r>
      <w:bookmarkEnd w:id="6"/>
      <w:r>
        <w:rPr>
          <w:rFonts w:eastAsia="Calibri"/>
        </w:rPr>
        <w:t xml:space="preserve">Dans le cadre de son appréciation, le Comité rappelle également </w:t>
      </w:r>
      <w:r>
        <w:t>ce qu</w:t>
      </w:r>
      <w:r w:rsidR="00CA2931">
        <w:t>’</w:t>
      </w:r>
      <w:r>
        <w:t xml:space="preserve">il a écrit au paragraphe 47 de son observation générale </w:t>
      </w:r>
      <w:r>
        <w:rPr>
          <w:rFonts w:eastAsia="MS Mincho"/>
        </w:rPr>
        <w:t>n</w:t>
      </w:r>
      <w:r>
        <w:rPr>
          <w:rFonts w:eastAsia="MS Mincho"/>
          <w:vertAlign w:val="superscript"/>
        </w:rPr>
        <w:t>o</w:t>
      </w:r>
      <w:r>
        <w:t xml:space="preserve"> 34, à savoir que : « [l]es États parties devraient </w:t>
      </w:r>
      <w:r w:rsidRPr="007301BE">
        <w:t>envisager de dépénaliser la diffamation et, dans tous les cas, l</w:t>
      </w:r>
      <w:r w:rsidR="00CA2931">
        <w:t>’</w:t>
      </w:r>
      <w:r w:rsidRPr="007301BE">
        <w:t>application de la loi pénale devrait être circonscrite aux cas les plus graves et l</w:t>
      </w:r>
      <w:r w:rsidR="00CA2931">
        <w:t>’</w:t>
      </w:r>
      <w:r w:rsidRPr="007301BE">
        <w:t>emprisonnement ne constitue jamais une peine appropriée</w:t>
      </w:r>
      <w:r>
        <w:t> ». Sur ce point, le Comité constate que l</w:t>
      </w:r>
      <w:r w:rsidR="00CA2931">
        <w:t>’</w:t>
      </w:r>
      <w:r>
        <w:t>article 290 du Code pénal lituanien a été abrogé le 1</w:t>
      </w:r>
      <w:r w:rsidRPr="00A47548">
        <w:rPr>
          <w:vertAlign w:val="superscript"/>
        </w:rPr>
        <w:t>er</w:t>
      </w:r>
      <w:r>
        <w:t> janvier 2017 et que l</w:t>
      </w:r>
      <w:r w:rsidR="00CA2931">
        <w:t>’</w:t>
      </w:r>
      <w:r>
        <w:t>article 507 du nouveau Code des violations administratives, applicable à des affaires similaires à celles de l</w:t>
      </w:r>
      <w:r w:rsidR="00CA2931">
        <w:t>’</w:t>
      </w:r>
      <w:r>
        <w:t>auteure, ne prévoit que des sanctions administratives et non plus des sanctions pénales. Compte tenu de ce qui précède, le Comité est d</w:t>
      </w:r>
      <w:r w:rsidR="00CA2931">
        <w:t>’</w:t>
      </w:r>
      <w:r>
        <w:t>avis que cette affaire particulière ne saurait être considérée comme l</w:t>
      </w:r>
      <w:r w:rsidR="00CA2931">
        <w:t>’</w:t>
      </w:r>
      <w:r>
        <w:t xml:space="preserve">un des « cas les plus graves », et conclut que </w:t>
      </w:r>
      <w:r w:rsidRPr="006503C8">
        <w:rPr>
          <w:rFonts w:eastAsia="Calibri"/>
        </w:rPr>
        <w:t>les</w:t>
      </w:r>
      <w:r>
        <w:rPr>
          <w:rFonts w:eastAsia="Calibri"/>
        </w:rPr>
        <w:t xml:space="preserve"> </w:t>
      </w:r>
      <w:r w:rsidRPr="006503C8">
        <w:rPr>
          <w:rFonts w:eastAsia="Calibri"/>
        </w:rPr>
        <w:t>restrictions</w:t>
      </w:r>
      <w:r>
        <w:rPr>
          <w:rFonts w:eastAsia="Calibri"/>
        </w:rPr>
        <w:t xml:space="preserve"> </w:t>
      </w:r>
      <w:r w:rsidRPr="006503C8">
        <w:rPr>
          <w:rFonts w:eastAsia="Calibri"/>
        </w:rPr>
        <w:t>imposées</w:t>
      </w:r>
      <w:r>
        <w:rPr>
          <w:rFonts w:eastAsia="Calibri"/>
        </w:rPr>
        <w:t xml:space="preserve"> </w:t>
      </w:r>
      <w:r w:rsidRPr="006503C8">
        <w:rPr>
          <w:rFonts w:eastAsia="Calibri"/>
        </w:rPr>
        <w:t>aux</w:t>
      </w:r>
      <w:r>
        <w:rPr>
          <w:rFonts w:eastAsia="Calibri"/>
        </w:rPr>
        <w:t xml:space="preserve"> </w:t>
      </w:r>
      <w:r w:rsidRPr="006503C8">
        <w:rPr>
          <w:rFonts w:eastAsia="Calibri"/>
        </w:rPr>
        <w:t>droits</w:t>
      </w:r>
      <w:r>
        <w:rPr>
          <w:rFonts w:eastAsia="Calibri"/>
        </w:rPr>
        <w:t xml:space="preserve"> </w:t>
      </w:r>
      <w:r w:rsidRPr="006503C8">
        <w:rPr>
          <w:rFonts w:eastAsia="Calibri"/>
        </w:rPr>
        <w:t>de</w:t>
      </w:r>
      <w:r>
        <w:rPr>
          <w:rFonts w:eastAsia="Calibri"/>
        </w:rPr>
        <w:t xml:space="preserve"> </w:t>
      </w:r>
      <w:r w:rsidRPr="006503C8">
        <w:rPr>
          <w:rFonts w:eastAsia="Calibri"/>
        </w:rPr>
        <w:t>l</w:t>
      </w:r>
      <w:r w:rsidR="00CA2931">
        <w:rPr>
          <w:rFonts w:eastAsia="Calibri"/>
        </w:rPr>
        <w:t>’</w:t>
      </w:r>
      <w:r w:rsidRPr="006503C8">
        <w:rPr>
          <w:rFonts w:eastAsia="Calibri"/>
        </w:rPr>
        <w:t>auteure</w:t>
      </w:r>
      <w:r>
        <w:rPr>
          <w:rFonts w:eastAsia="Calibri"/>
        </w:rPr>
        <w:t xml:space="preserve"> </w:t>
      </w:r>
      <w:r w:rsidRPr="006503C8">
        <w:rPr>
          <w:rFonts w:eastAsia="Calibri"/>
        </w:rPr>
        <w:t>étaient</w:t>
      </w:r>
      <w:r>
        <w:rPr>
          <w:rFonts w:eastAsia="Calibri"/>
        </w:rPr>
        <w:t xml:space="preserve"> dis</w:t>
      </w:r>
      <w:r w:rsidRPr="006503C8">
        <w:rPr>
          <w:rFonts w:eastAsia="Calibri"/>
        </w:rPr>
        <w:t>proportionnées</w:t>
      </w:r>
      <w:r>
        <w:rPr>
          <w:rFonts w:eastAsia="Calibri"/>
        </w:rPr>
        <w:t xml:space="preserve"> et ne se justifiaient donc pas </w:t>
      </w:r>
      <w:r w:rsidRPr="006503C8">
        <w:rPr>
          <w:rFonts w:eastAsia="Calibri"/>
        </w:rPr>
        <w:t>au</w:t>
      </w:r>
      <w:r>
        <w:rPr>
          <w:rFonts w:eastAsia="Calibri"/>
        </w:rPr>
        <w:t xml:space="preserve"> regard </w:t>
      </w:r>
      <w:r w:rsidRPr="006503C8">
        <w:rPr>
          <w:rFonts w:eastAsia="Calibri"/>
        </w:rPr>
        <w:t>des</w:t>
      </w:r>
      <w:r>
        <w:rPr>
          <w:rFonts w:eastAsia="Calibri"/>
        </w:rPr>
        <w:t xml:space="preserve"> </w:t>
      </w:r>
      <w:r w:rsidRPr="006503C8">
        <w:rPr>
          <w:rFonts w:eastAsia="Calibri"/>
        </w:rPr>
        <w:t>conditions</w:t>
      </w:r>
      <w:r>
        <w:rPr>
          <w:rFonts w:eastAsia="Calibri"/>
        </w:rPr>
        <w:t xml:space="preserve"> </w:t>
      </w:r>
      <w:r w:rsidRPr="006503C8">
        <w:rPr>
          <w:rFonts w:eastAsia="Calibri"/>
        </w:rPr>
        <w:t>énoncées</w:t>
      </w:r>
      <w:r>
        <w:rPr>
          <w:rFonts w:eastAsia="Calibri"/>
        </w:rPr>
        <w:t xml:space="preserve"> </w:t>
      </w:r>
      <w:r w:rsidRPr="006503C8">
        <w:rPr>
          <w:rFonts w:eastAsia="Calibri"/>
        </w:rPr>
        <w:t>au</w:t>
      </w:r>
      <w:r>
        <w:rPr>
          <w:rFonts w:eastAsia="Calibri"/>
        </w:rPr>
        <w:t xml:space="preserve"> </w:t>
      </w:r>
      <w:r w:rsidRPr="006503C8">
        <w:rPr>
          <w:rFonts w:eastAsia="Calibri"/>
        </w:rPr>
        <w:t>paragraphe</w:t>
      </w:r>
      <w:r>
        <w:rPr>
          <w:rFonts w:eastAsia="Calibri"/>
        </w:rPr>
        <w:t xml:space="preserve"> </w:t>
      </w:r>
      <w:r w:rsidRPr="006503C8">
        <w:rPr>
          <w:rFonts w:eastAsia="Calibri"/>
        </w:rPr>
        <w:t>3</w:t>
      </w:r>
      <w:r>
        <w:rPr>
          <w:rFonts w:eastAsia="Calibri"/>
        </w:rPr>
        <w:t xml:space="preserve"> </w:t>
      </w:r>
      <w:r w:rsidRPr="006503C8">
        <w:rPr>
          <w:rFonts w:eastAsia="Calibri"/>
        </w:rPr>
        <w:t>de</w:t>
      </w:r>
      <w:r>
        <w:rPr>
          <w:rFonts w:eastAsia="Calibri"/>
        </w:rPr>
        <w:t xml:space="preserve"> </w:t>
      </w:r>
      <w:r w:rsidRPr="006503C8">
        <w:rPr>
          <w:rFonts w:eastAsia="Calibri"/>
        </w:rPr>
        <w:t>l</w:t>
      </w:r>
      <w:r w:rsidR="00CA2931">
        <w:rPr>
          <w:rFonts w:eastAsia="Calibri"/>
        </w:rPr>
        <w:t>’</w:t>
      </w:r>
      <w:r w:rsidRPr="006503C8">
        <w:rPr>
          <w:rFonts w:eastAsia="Calibri"/>
        </w:rPr>
        <w:t>article</w:t>
      </w:r>
      <w:r>
        <w:rPr>
          <w:rFonts w:eastAsia="Calibri"/>
        </w:rPr>
        <w:t xml:space="preserve"> </w:t>
      </w:r>
      <w:r w:rsidRPr="006503C8">
        <w:rPr>
          <w:rFonts w:eastAsia="Calibri"/>
        </w:rPr>
        <w:t>19</w:t>
      </w:r>
      <w:r>
        <w:rPr>
          <w:rFonts w:eastAsia="Calibri"/>
        </w:rPr>
        <w:t xml:space="preserve"> </w:t>
      </w:r>
      <w:r w:rsidRPr="006503C8">
        <w:rPr>
          <w:rFonts w:eastAsia="Calibri"/>
        </w:rPr>
        <w:t>du</w:t>
      </w:r>
      <w:r>
        <w:rPr>
          <w:rFonts w:eastAsia="Calibri"/>
        </w:rPr>
        <w:t xml:space="preserve"> </w:t>
      </w:r>
      <w:r w:rsidRPr="006503C8">
        <w:rPr>
          <w:rFonts w:eastAsia="Calibri"/>
        </w:rPr>
        <w:t>Pacte.</w:t>
      </w:r>
    </w:p>
    <w:p w14:paraId="2CE3BBE5" w14:textId="77777777" w:rsidR="00765853" w:rsidRDefault="00765853" w:rsidP="00765853">
      <w:pPr>
        <w:pStyle w:val="SingleTxtG"/>
      </w:pPr>
      <w:r>
        <w:rPr>
          <w:rFonts w:eastAsia="Calibri"/>
        </w:rPr>
        <w:lastRenderedPageBreak/>
        <w:t>9.</w:t>
      </w:r>
      <w:r>
        <w:rPr>
          <w:rFonts w:eastAsia="Calibri"/>
        </w:rPr>
        <w:tab/>
      </w:r>
      <w:r>
        <w:t>Compte tenu de ce qui précède, le Comité considère que l</w:t>
      </w:r>
      <w:r w:rsidR="00CA2931">
        <w:t>’</w:t>
      </w:r>
      <w:r>
        <w:t>État partie n</w:t>
      </w:r>
      <w:r w:rsidR="00CA2931">
        <w:t>’</w:t>
      </w:r>
      <w:r>
        <w:t>a pas justifié la restriction imposée à l</w:t>
      </w:r>
      <w:r w:rsidR="00CA2931">
        <w:t>’</w:t>
      </w:r>
      <w:r>
        <w:t>auteure et conclut que les droits que tient l</w:t>
      </w:r>
      <w:r w:rsidR="00CA2931">
        <w:t>’</w:t>
      </w:r>
      <w:r>
        <w:t>auteure du paragraphe</w:t>
      </w:r>
      <w:r w:rsidR="007D6AFC">
        <w:t> </w:t>
      </w:r>
      <w:r>
        <w:t>2 de l</w:t>
      </w:r>
      <w:r w:rsidR="00CA2931">
        <w:t>’</w:t>
      </w:r>
      <w:r>
        <w:t>article 19 du Pacte ont été violés.</w:t>
      </w:r>
    </w:p>
    <w:p w14:paraId="37AC1828" w14:textId="77777777" w:rsidR="00765853" w:rsidRDefault="00765853" w:rsidP="00765853">
      <w:pPr>
        <w:pStyle w:val="SingleTxtG"/>
      </w:pPr>
      <w:r w:rsidRPr="006503C8">
        <w:t>10.</w:t>
      </w:r>
      <w:r w:rsidRPr="006503C8">
        <w:tab/>
        <w:t>Le</w:t>
      </w:r>
      <w:r>
        <w:t xml:space="preserve"> </w:t>
      </w:r>
      <w:r w:rsidRPr="006503C8">
        <w:t>Comité</w:t>
      </w:r>
      <w:r>
        <w:t xml:space="preserve"> </w:t>
      </w:r>
      <w:r w:rsidRPr="006503C8">
        <w:t>des</w:t>
      </w:r>
      <w:r>
        <w:t xml:space="preserve"> </w:t>
      </w:r>
      <w:r w:rsidRPr="006503C8">
        <w:t>droits</w:t>
      </w:r>
      <w:r>
        <w:t xml:space="preserve"> </w:t>
      </w:r>
      <w:r w:rsidRPr="006503C8">
        <w:t>de</w:t>
      </w:r>
      <w:r>
        <w:t xml:space="preserve"> </w:t>
      </w:r>
      <w:r w:rsidRPr="006503C8">
        <w:t>l</w:t>
      </w:r>
      <w:r w:rsidR="00CA2931">
        <w:t>’</w:t>
      </w:r>
      <w:r w:rsidRPr="006503C8">
        <w:t>homme,</w:t>
      </w:r>
      <w:r>
        <w:t xml:space="preserve"> </w:t>
      </w:r>
      <w:r w:rsidRPr="006503C8">
        <w:t>agissant</w:t>
      </w:r>
      <w:r>
        <w:t xml:space="preserve"> </w:t>
      </w:r>
      <w:r w:rsidRPr="006503C8">
        <w:t>en</w:t>
      </w:r>
      <w:r>
        <w:t xml:space="preserve"> </w:t>
      </w:r>
      <w:r w:rsidRPr="006503C8">
        <w:t>vertu</w:t>
      </w:r>
      <w:r>
        <w:t xml:space="preserve"> </w:t>
      </w:r>
      <w:r w:rsidRPr="006503C8">
        <w:t>du</w:t>
      </w:r>
      <w:r>
        <w:t xml:space="preserve"> </w:t>
      </w:r>
      <w:r w:rsidRPr="006503C8">
        <w:t>paragraphe</w:t>
      </w:r>
      <w:r>
        <w:t xml:space="preserve"> </w:t>
      </w:r>
      <w:r w:rsidRPr="006503C8">
        <w:t>4</w:t>
      </w:r>
      <w:r>
        <w:t xml:space="preserve"> </w:t>
      </w:r>
      <w:r w:rsidRPr="006503C8">
        <w:t>de</w:t>
      </w:r>
      <w:r>
        <w:t xml:space="preserve"> </w:t>
      </w:r>
      <w:r w:rsidRPr="006503C8">
        <w:t>l</w:t>
      </w:r>
      <w:r w:rsidR="00CA2931">
        <w:t>’</w:t>
      </w:r>
      <w:r w:rsidRPr="006503C8">
        <w:t>article</w:t>
      </w:r>
      <w:r>
        <w:t xml:space="preserve"> </w:t>
      </w:r>
      <w:r w:rsidRPr="006503C8">
        <w:t>5</w:t>
      </w:r>
      <w:r>
        <w:t xml:space="preserve"> </w:t>
      </w:r>
      <w:r w:rsidRPr="006503C8">
        <w:t>du</w:t>
      </w:r>
      <w:r>
        <w:t xml:space="preserve"> </w:t>
      </w:r>
      <w:r w:rsidRPr="006503C8">
        <w:t>Protocole</w:t>
      </w:r>
      <w:r>
        <w:t xml:space="preserve"> </w:t>
      </w:r>
      <w:r w:rsidRPr="006503C8">
        <w:t>facultatif,</w:t>
      </w:r>
      <w:r>
        <w:t xml:space="preserve"> constate </w:t>
      </w:r>
      <w:r w:rsidRPr="006503C8">
        <w:t>que</w:t>
      </w:r>
      <w:r>
        <w:t xml:space="preserve"> </w:t>
      </w:r>
      <w:r w:rsidRPr="006503C8">
        <w:t>les</w:t>
      </w:r>
      <w:r>
        <w:t xml:space="preserve"> </w:t>
      </w:r>
      <w:r w:rsidRPr="006503C8">
        <w:t>faits</w:t>
      </w:r>
      <w:r>
        <w:t xml:space="preserve"> </w:t>
      </w:r>
      <w:r w:rsidRPr="006503C8">
        <w:t>dont</w:t>
      </w:r>
      <w:r>
        <w:t xml:space="preserve"> </w:t>
      </w:r>
      <w:r w:rsidRPr="006503C8">
        <w:t>il</w:t>
      </w:r>
      <w:r>
        <w:t xml:space="preserve"> </w:t>
      </w:r>
      <w:r w:rsidRPr="006503C8">
        <w:t>est</w:t>
      </w:r>
      <w:r>
        <w:t xml:space="preserve"> </w:t>
      </w:r>
      <w:r w:rsidRPr="006503C8">
        <w:t>saisi</w:t>
      </w:r>
      <w:r>
        <w:t xml:space="preserve"> font apparaître </w:t>
      </w:r>
      <w:r w:rsidRPr="006503C8">
        <w:t>une</w:t>
      </w:r>
      <w:r>
        <w:t xml:space="preserve"> </w:t>
      </w:r>
      <w:r w:rsidRPr="006503C8">
        <w:t>violation</w:t>
      </w:r>
      <w:r>
        <w:t xml:space="preserve">, par </w:t>
      </w:r>
      <w:r w:rsidRPr="0018326A">
        <w:t>l</w:t>
      </w:r>
      <w:r w:rsidR="00CA2931">
        <w:t>’</w:t>
      </w:r>
      <w:r w:rsidRPr="0018326A">
        <w:t>État partie</w:t>
      </w:r>
      <w:r>
        <w:t xml:space="preserve">, </w:t>
      </w:r>
      <w:r w:rsidRPr="006503C8">
        <w:t>du</w:t>
      </w:r>
      <w:r>
        <w:t xml:space="preserve"> </w:t>
      </w:r>
      <w:r w:rsidRPr="006503C8">
        <w:t>paragraphe</w:t>
      </w:r>
      <w:r>
        <w:t xml:space="preserve"> </w:t>
      </w:r>
      <w:r w:rsidRPr="006503C8">
        <w:t>2</w:t>
      </w:r>
      <w:r>
        <w:t xml:space="preserve"> </w:t>
      </w:r>
      <w:r w:rsidRPr="006503C8">
        <w:t>de</w:t>
      </w:r>
      <w:r>
        <w:t xml:space="preserve"> </w:t>
      </w:r>
      <w:r w:rsidRPr="006503C8">
        <w:t>l</w:t>
      </w:r>
      <w:r w:rsidR="00CA2931">
        <w:t>’</w:t>
      </w:r>
      <w:r w:rsidRPr="006503C8">
        <w:t>article</w:t>
      </w:r>
      <w:r>
        <w:t xml:space="preserve"> </w:t>
      </w:r>
      <w:r w:rsidRPr="006503C8">
        <w:t>19</w:t>
      </w:r>
      <w:r>
        <w:t xml:space="preserve"> </w:t>
      </w:r>
      <w:r w:rsidRPr="006503C8">
        <w:t>du</w:t>
      </w:r>
      <w:r>
        <w:t xml:space="preserve"> </w:t>
      </w:r>
      <w:r w:rsidRPr="006503C8">
        <w:t>Pacte.</w:t>
      </w:r>
    </w:p>
    <w:p w14:paraId="602799CF" w14:textId="77777777" w:rsidR="00765853" w:rsidRDefault="00765853" w:rsidP="00765853">
      <w:pPr>
        <w:pStyle w:val="SingleTxtG"/>
      </w:pPr>
      <w:r>
        <w:t>11.</w:t>
      </w:r>
      <w:r>
        <w:tab/>
      </w:r>
      <w:r>
        <w:rPr>
          <w:rStyle w:val="content"/>
          <w:lang w:val="fr-FR"/>
        </w:rPr>
        <w:t>Conformément au paragraphe 3 a) de l</w:t>
      </w:r>
      <w:r w:rsidR="00CA2931">
        <w:rPr>
          <w:rStyle w:val="content"/>
          <w:lang w:val="fr-FR"/>
        </w:rPr>
        <w:t>’</w:t>
      </w:r>
      <w:r>
        <w:rPr>
          <w:rStyle w:val="content"/>
          <w:lang w:val="fr-FR"/>
        </w:rPr>
        <w:t>article 2 du Pacte, l</w:t>
      </w:r>
      <w:r w:rsidR="00CA2931">
        <w:rPr>
          <w:rStyle w:val="content"/>
          <w:lang w:val="fr-FR"/>
        </w:rPr>
        <w:t>’</w:t>
      </w:r>
      <w:r>
        <w:rPr>
          <w:rStyle w:val="content"/>
          <w:lang w:val="fr-FR"/>
        </w:rPr>
        <w:t xml:space="preserve">État partie </w:t>
      </w:r>
      <w:r w:rsidRPr="006521B0">
        <w:rPr>
          <w:rStyle w:val="content"/>
          <w:lang w:val="fr-FR"/>
        </w:rPr>
        <w:t>est tenu d</w:t>
      </w:r>
      <w:r w:rsidR="00CA2931">
        <w:rPr>
          <w:rStyle w:val="content"/>
          <w:lang w:val="fr-FR"/>
        </w:rPr>
        <w:t>’</w:t>
      </w:r>
      <w:r w:rsidRPr="006521B0">
        <w:rPr>
          <w:rStyle w:val="content"/>
          <w:lang w:val="fr-FR"/>
        </w:rPr>
        <w:t xml:space="preserve">assurer un recours utile </w:t>
      </w:r>
      <w:r>
        <w:rPr>
          <w:rStyle w:val="content"/>
          <w:lang w:val="fr-FR"/>
        </w:rPr>
        <w:t>à l</w:t>
      </w:r>
      <w:r w:rsidR="00CA2931">
        <w:rPr>
          <w:rStyle w:val="content"/>
          <w:lang w:val="fr-FR"/>
        </w:rPr>
        <w:t>’</w:t>
      </w:r>
      <w:r>
        <w:rPr>
          <w:rStyle w:val="content"/>
          <w:lang w:val="fr-FR"/>
        </w:rPr>
        <w:t>auteure. Il a l</w:t>
      </w:r>
      <w:r w:rsidR="00CA2931">
        <w:rPr>
          <w:rStyle w:val="content"/>
          <w:lang w:val="fr-FR"/>
        </w:rPr>
        <w:t>’</w:t>
      </w:r>
      <w:r>
        <w:rPr>
          <w:rStyle w:val="content"/>
          <w:lang w:val="fr-FR"/>
        </w:rPr>
        <w:t>obligation d</w:t>
      </w:r>
      <w:r w:rsidR="00CA2931">
        <w:rPr>
          <w:rStyle w:val="content"/>
          <w:lang w:val="fr-FR"/>
        </w:rPr>
        <w:t>’</w:t>
      </w:r>
      <w:r>
        <w:rPr>
          <w:rStyle w:val="content"/>
          <w:lang w:val="fr-FR"/>
        </w:rPr>
        <w:t xml:space="preserve">accorder une réparation intégrale aux individus dont les droits garantis par le Pacte ont été violés. </w:t>
      </w:r>
      <w:r>
        <w:t>En conséquence, l</w:t>
      </w:r>
      <w:r w:rsidR="00CA2931">
        <w:t>’</w:t>
      </w:r>
      <w:r>
        <w:t>État partie est tenu, entre autres, de prendre les mesures qui s</w:t>
      </w:r>
      <w:r w:rsidR="00CA2931">
        <w:t>’</w:t>
      </w:r>
      <w:r>
        <w:t>imposent pour accorder à l</w:t>
      </w:r>
      <w:r w:rsidR="00CA2931">
        <w:t>’</w:t>
      </w:r>
      <w:r>
        <w:t>auteure une indemnisation adéquate et lui rembourser tous frais de justice encourus. Il est également tenu de prendre toutes les mesures nécessaires pour que des violations analogues ne se reproduisent pas.</w:t>
      </w:r>
    </w:p>
    <w:p w14:paraId="6A448DE3" w14:textId="77777777" w:rsidR="00765853" w:rsidRDefault="00765853" w:rsidP="00765853">
      <w:pPr>
        <w:pStyle w:val="SingleTxtG"/>
      </w:pPr>
      <w:r>
        <w:t>12.</w:t>
      </w:r>
      <w:r>
        <w:tab/>
        <w:t>Étant donné qu</w:t>
      </w:r>
      <w:r w:rsidR="00CA2931">
        <w:t>’</w:t>
      </w:r>
      <w:r>
        <w:t>en adhérant au Protocole facultatif, l</w:t>
      </w:r>
      <w:r w:rsidR="00CA2931">
        <w:t>’</w:t>
      </w:r>
      <w:r>
        <w:t>État partie a reconnu que le Comité a compétence pour déterminer s</w:t>
      </w:r>
      <w:r w:rsidR="00CA2931">
        <w:t>’</w:t>
      </w:r>
      <w:r>
        <w:t>il y a violation du Pacte et que, conformément à l</w:t>
      </w:r>
      <w:r w:rsidR="00CA2931">
        <w:t>’</w:t>
      </w:r>
      <w:r>
        <w:t>article 2 du Pacte, il s</w:t>
      </w:r>
      <w:r w:rsidR="00CA2931">
        <w:t>’</w:t>
      </w:r>
      <w:r>
        <w:t>est engagé à garantir à tous les individus se trouvant sur son territoire et relevant de sa juridiction les droits reconnus dans le Pacte et à assurer un recours utile et une réparation exécutoire lorsqu</w:t>
      </w:r>
      <w:r w:rsidR="00CA2931">
        <w:t>’</w:t>
      </w:r>
      <w:r>
        <w:t>une violation a été établie, le Comité souhaite recevoir de l</w:t>
      </w:r>
      <w:r w:rsidR="00CA2931">
        <w:t>’</w:t>
      </w:r>
      <w:r>
        <w:t>État partie, dans un délai de cent quatre-vingts jours, des renseignements sur les mesures prises pour donner effet aux présentes constatations. L</w:t>
      </w:r>
      <w:r w:rsidR="00CA2931">
        <w:t>’</w:t>
      </w:r>
      <w:r>
        <w:t>État</w:t>
      </w:r>
      <w:r w:rsidR="007D6AFC">
        <w:t> </w:t>
      </w:r>
      <w:r>
        <w:t>partie est invité en outre à rendre celles-ci publiques et à les faire largement diffuser dans ses langues officielles.</w:t>
      </w:r>
    </w:p>
    <w:p w14:paraId="630428AF" w14:textId="77777777" w:rsidR="00765853" w:rsidRDefault="00765853" w:rsidP="00765853"/>
    <w:p w14:paraId="3199BF01" w14:textId="77777777" w:rsidR="00765853" w:rsidRDefault="00765853" w:rsidP="00765853">
      <w:pPr>
        <w:sectPr w:rsidR="00765853" w:rsidSect="002574C8">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pPr>
    </w:p>
    <w:p w14:paraId="724165BF" w14:textId="77777777" w:rsidR="00765853" w:rsidRPr="00380A94" w:rsidRDefault="00765853" w:rsidP="001F145D">
      <w:pPr>
        <w:pStyle w:val="HChG"/>
        <w:rPr>
          <w:lang w:val="fr-FR" w:eastAsia="zh-CN"/>
        </w:rPr>
      </w:pPr>
      <w:r w:rsidRPr="00380A94">
        <w:rPr>
          <w:lang w:val="fr-FR" w:eastAsia="zh-CN"/>
        </w:rPr>
        <w:lastRenderedPageBreak/>
        <w:t>Annexe</w:t>
      </w:r>
    </w:p>
    <w:p w14:paraId="51E94F2A" w14:textId="77777777" w:rsidR="00765853" w:rsidRPr="00380A94" w:rsidRDefault="00765853" w:rsidP="001F145D">
      <w:pPr>
        <w:pStyle w:val="HChG"/>
        <w:rPr>
          <w:lang w:val="fr-FR"/>
        </w:rPr>
      </w:pPr>
      <w:r w:rsidRPr="00380A94">
        <w:rPr>
          <w:lang w:val="fr-FR"/>
        </w:rPr>
        <w:tab/>
      </w:r>
      <w:r w:rsidRPr="00380A94">
        <w:rPr>
          <w:lang w:val="fr-FR"/>
        </w:rPr>
        <w:tab/>
        <w:t>Opinion individuelle (dissidente)</w:t>
      </w:r>
      <w:r>
        <w:rPr>
          <w:lang w:val="fr-FR"/>
        </w:rPr>
        <w:t xml:space="preserve"> </w:t>
      </w:r>
      <w:r w:rsidRPr="00380A94">
        <w:rPr>
          <w:lang w:val="fr-FR"/>
        </w:rPr>
        <w:t xml:space="preserve">de José </w:t>
      </w:r>
      <w:r>
        <w:rPr>
          <w:lang w:val="fr-FR"/>
        </w:rPr>
        <w:t xml:space="preserve">Manuel </w:t>
      </w:r>
      <w:r w:rsidRPr="00380A94">
        <w:rPr>
          <w:lang w:val="fr-FR"/>
        </w:rPr>
        <w:t>Santos Pais</w:t>
      </w:r>
      <w:r>
        <w:rPr>
          <w:lang w:val="fr-FR"/>
        </w:rPr>
        <w:t xml:space="preserve"> et Yadh Ben Achour, membres du Comité</w:t>
      </w:r>
    </w:p>
    <w:p w14:paraId="7E8EE4FB" w14:textId="77777777" w:rsidR="00765853" w:rsidRDefault="00765853" w:rsidP="00765853">
      <w:pPr>
        <w:pStyle w:val="SingleTxtG"/>
        <w:rPr>
          <w:bCs/>
          <w:iCs/>
          <w:lang w:val="fr-FR"/>
        </w:rPr>
      </w:pPr>
      <w:r w:rsidRPr="00380A94">
        <w:rPr>
          <w:lang w:val="fr-FR"/>
        </w:rPr>
        <w:t>1.</w:t>
      </w:r>
      <w:bookmarkStart w:id="8" w:name="_Hlk491278443"/>
      <w:r w:rsidRPr="00380A94">
        <w:rPr>
          <w:lang w:val="fr-FR"/>
        </w:rPr>
        <w:tab/>
      </w:r>
      <w:r>
        <w:rPr>
          <w:lang w:val="fr-FR"/>
        </w:rPr>
        <w:t xml:space="preserve">Nous </w:t>
      </w:r>
      <w:r w:rsidRPr="00380A94">
        <w:rPr>
          <w:lang w:val="fr-FR"/>
        </w:rPr>
        <w:t>regrett</w:t>
      </w:r>
      <w:r>
        <w:rPr>
          <w:lang w:val="fr-FR"/>
        </w:rPr>
        <w:t>ons</w:t>
      </w:r>
      <w:r w:rsidRPr="00380A94">
        <w:rPr>
          <w:lang w:val="fr-FR"/>
        </w:rPr>
        <w:t xml:space="preserve"> de ne pouvoir faire </w:t>
      </w:r>
      <w:r>
        <w:rPr>
          <w:lang w:val="fr-FR"/>
        </w:rPr>
        <w:t>n</w:t>
      </w:r>
      <w:r w:rsidR="00935899">
        <w:rPr>
          <w:lang w:val="fr-FR"/>
        </w:rPr>
        <w:t>o</w:t>
      </w:r>
      <w:r>
        <w:rPr>
          <w:lang w:val="fr-FR"/>
        </w:rPr>
        <w:t>tre</w:t>
      </w:r>
      <w:r w:rsidRPr="00380A94">
        <w:rPr>
          <w:lang w:val="fr-FR"/>
        </w:rPr>
        <w:t xml:space="preserve"> la conclusion </w:t>
      </w:r>
      <w:r>
        <w:rPr>
          <w:lang w:val="fr-FR"/>
        </w:rPr>
        <w:t xml:space="preserve">des autres membres </w:t>
      </w:r>
      <w:r w:rsidRPr="00380A94">
        <w:rPr>
          <w:lang w:val="fr-FR"/>
        </w:rPr>
        <w:t>du Comité</w:t>
      </w:r>
      <w:r>
        <w:rPr>
          <w:lang w:val="fr-FR"/>
        </w:rPr>
        <w:t>,</w:t>
      </w:r>
      <w:r w:rsidRPr="00380A94">
        <w:rPr>
          <w:lang w:val="fr-FR"/>
        </w:rPr>
        <w:t xml:space="preserve"> </w:t>
      </w:r>
      <w:r>
        <w:rPr>
          <w:lang w:val="fr-FR"/>
        </w:rPr>
        <w:t>qui constatent une violation des</w:t>
      </w:r>
      <w:r w:rsidRPr="00380A94">
        <w:rPr>
          <w:lang w:val="fr-FR"/>
        </w:rPr>
        <w:t xml:space="preserve"> droits que </w:t>
      </w:r>
      <w:r w:rsidRPr="00765853">
        <w:t>l</w:t>
      </w:r>
      <w:r w:rsidR="00CA2931">
        <w:t>’</w:t>
      </w:r>
      <w:r w:rsidRPr="00765853">
        <w:t>auteure</w:t>
      </w:r>
      <w:r w:rsidRPr="00380A94">
        <w:rPr>
          <w:lang w:val="fr-FR"/>
        </w:rPr>
        <w:t xml:space="preserve"> tient du paragraphe </w:t>
      </w:r>
      <w:r>
        <w:rPr>
          <w:lang w:val="fr-FR"/>
        </w:rPr>
        <w:t>2</w:t>
      </w:r>
      <w:r w:rsidRPr="00380A94">
        <w:rPr>
          <w:lang w:val="fr-FR"/>
        </w:rPr>
        <w:t xml:space="preserve"> de </w:t>
      </w:r>
      <w:bookmarkEnd w:id="8"/>
      <w:r w:rsidRPr="00380A94">
        <w:rPr>
          <w:bCs/>
          <w:iCs/>
          <w:lang w:val="fr-FR"/>
        </w:rPr>
        <w:t>l</w:t>
      </w:r>
      <w:r w:rsidR="00CA2931">
        <w:rPr>
          <w:bCs/>
          <w:iCs/>
          <w:lang w:val="fr-FR"/>
        </w:rPr>
        <w:t>’</w:t>
      </w:r>
      <w:r w:rsidRPr="00380A94">
        <w:rPr>
          <w:bCs/>
          <w:iCs/>
          <w:lang w:val="fr-FR"/>
        </w:rPr>
        <w:t>article </w:t>
      </w:r>
      <w:r>
        <w:rPr>
          <w:bCs/>
          <w:iCs/>
          <w:lang w:val="fr-FR"/>
        </w:rPr>
        <w:t>19</w:t>
      </w:r>
      <w:r w:rsidRPr="00380A94">
        <w:rPr>
          <w:bCs/>
          <w:iCs/>
          <w:lang w:val="fr-FR"/>
        </w:rPr>
        <w:t xml:space="preserve"> du Pacte.</w:t>
      </w:r>
    </w:p>
    <w:p w14:paraId="4AF37282" w14:textId="77777777" w:rsidR="00765853" w:rsidRPr="00A47548" w:rsidRDefault="00765853" w:rsidP="00765853">
      <w:pPr>
        <w:pStyle w:val="SingleTxtG"/>
        <w:rPr>
          <w:lang w:val="fr-FR"/>
        </w:rPr>
      </w:pPr>
      <w:r>
        <w:rPr>
          <w:lang w:val="fr-FR"/>
        </w:rPr>
        <w:t>2.</w:t>
      </w:r>
      <w:r>
        <w:rPr>
          <w:lang w:val="fr-FR"/>
        </w:rPr>
        <w:tab/>
        <w:t>En l</w:t>
      </w:r>
      <w:r w:rsidR="00CA2931">
        <w:rPr>
          <w:lang w:val="fr-FR"/>
        </w:rPr>
        <w:t>’</w:t>
      </w:r>
      <w:r>
        <w:rPr>
          <w:lang w:val="fr-FR"/>
        </w:rPr>
        <w:t>espèce, il est question d</w:t>
      </w:r>
      <w:r w:rsidR="00CA2931">
        <w:rPr>
          <w:lang w:val="fr-FR"/>
        </w:rPr>
        <w:t>’</w:t>
      </w:r>
      <w:r>
        <w:rPr>
          <w:lang w:val="fr-FR"/>
        </w:rPr>
        <w:t xml:space="preserve">une </w:t>
      </w:r>
      <w:r w:rsidRPr="0015327B">
        <w:rPr>
          <w:lang w:val="fr-FR"/>
        </w:rPr>
        <w:t xml:space="preserve">insulte à un </w:t>
      </w:r>
      <w:r>
        <w:rPr>
          <w:lang w:val="fr-FR"/>
        </w:rPr>
        <w:t>officier de</w:t>
      </w:r>
      <w:r w:rsidRPr="0015327B">
        <w:rPr>
          <w:lang w:val="fr-FR"/>
        </w:rPr>
        <w:t xml:space="preserve"> justice, plus précisément à un procureur. Il </w:t>
      </w:r>
      <w:r>
        <w:rPr>
          <w:lang w:val="fr-FR"/>
        </w:rPr>
        <w:t>n</w:t>
      </w:r>
      <w:r w:rsidR="00CA2931">
        <w:rPr>
          <w:lang w:val="fr-FR"/>
        </w:rPr>
        <w:t>’</w:t>
      </w:r>
      <w:r>
        <w:rPr>
          <w:lang w:val="fr-FR"/>
        </w:rPr>
        <w:t>est pas question</w:t>
      </w:r>
      <w:r w:rsidRPr="0015327B">
        <w:rPr>
          <w:lang w:val="fr-FR"/>
        </w:rPr>
        <w:t xml:space="preserve"> d</w:t>
      </w:r>
      <w:r w:rsidR="00CA2931">
        <w:rPr>
          <w:lang w:val="fr-FR"/>
        </w:rPr>
        <w:t>’</w:t>
      </w:r>
      <w:r w:rsidRPr="0015327B">
        <w:rPr>
          <w:lang w:val="fr-FR"/>
        </w:rPr>
        <w:t xml:space="preserve">une personnalité </w:t>
      </w:r>
      <w:r w:rsidRPr="00765853">
        <w:t>publique</w:t>
      </w:r>
      <w:r w:rsidRPr="0015327B">
        <w:rPr>
          <w:lang w:val="fr-FR"/>
        </w:rPr>
        <w:t xml:space="preserve"> ou politique, mais d</w:t>
      </w:r>
      <w:r w:rsidR="00CA2931">
        <w:rPr>
          <w:lang w:val="fr-FR"/>
        </w:rPr>
        <w:t>’</w:t>
      </w:r>
      <w:r w:rsidRPr="0015327B">
        <w:rPr>
          <w:lang w:val="fr-FR"/>
        </w:rPr>
        <w:t xml:space="preserve">un </w:t>
      </w:r>
      <w:r>
        <w:rPr>
          <w:lang w:val="fr-FR"/>
        </w:rPr>
        <w:t>officier de</w:t>
      </w:r>
      <w:r w:rsidRPr="0015327B">
        <w:rPr>
          <w:lang w:val="fr-FR"/>
        </w:rPr>
        <w:t xml:space="preserve"> justice intervenant dans une procédure judiciaire. Dans de nombreux pays, cette affaire serait considérée comme un outrage au tribunal ou un manque de respect envers un </w:t>
      </w:r>
      <w:r>
        <w:rPr>
          <w:lang w:val="fr-FR"/>
        </w:rPr>
        <w:t>officier de</w:t>
      </w:r>
      <w:r w:rsidRPr="0015327B">
        <w:rPr>
          <w:lang w:val="fr-FR"/>
        </w:rPr>
        <w:t xml:space="preserve"> justice dans l</w:t>
      </w:r>
      <w:r w:rsidR="00CA2931">
        <w:rPr>
          <w:lang w:val="fr-FR"/>
        </w:rPr>
        <w:t>’</w:t>
      </w:r>
      <w:r w:rsidRPr="0015327B">
        <w:rPr>
          <w:lang w:val="fr-FR"/>
        </w:rPr>
        <w:t>exercice de ses fonctions. Par conséquent, conclure à une violation du paragraphe</w:t>
      </w:r>
      <w:r>
        <w:rPr>
          <w:lang w:val="fr-FR"/>
        </w:rPr>
        <w:t> </w:t>
      </w:r>
      <w:r w:rsidRPr="0015327B">
        <w:rPr>
          <w:lang w:val="fr-FR"/>
        </w:rPr>
        <w:t>2 de l</w:t>
      </w:r>
      <w:r w:rsidR="00CA2931">
        <w:rPr>
          <w:lang w:val="fr-FR"/>
        </w:rPr>
        <w:t>’</w:t>
      </w:r>
      <w:r w:rsidRPr="0015327B">
        <w:rPr>
          <w:lang w:val="fr-FR"/>
        </w:rPr>
        <w:t>article</w:t>
      </w:r>
      <w:r>
        <w:rPr>
          <w:lang w:val="fr-FR"/>
        </w:rPr>
        <w:t> </w:t>
      </w:r>
      <w:r w:rsidRPr="0015327B">
        <w:rPr>
          <w:lang w:val="fr-FR"/>
        </w:rPr>
        <w:t xml:space="preserve">19 du Pacte dans ce cas peut malheureusement conduire à des interprétations abusives, en particulier à une époque où, dans de nombreux pays, le système judiciaire est sévèrement critiqué ou subit des ingérences indues. </w:t>
      </w:r>
      <w:r>
        <w:rPr>
          <w:color w:val="333333"/>
          <w:shd w:val="clear" w:color="auto" w:fill="FFFFFF"/>
        </w:rPr>
        <w:t>Au lieu de contribuer à préserver l</w:t>
      </w:r>
      <w:r w:rsidR="00CA2931">
        <w:rPr>
          <w:color w:val="333333"/>
          <w:shd w:val="clear" w:color="auto" w:fill="FFFFFF"/>
        </w:rPr>
        <w:t>’</w:t>
      </w:r>
      <w:r>
        <w:rPr>
          <w:color w:val="333333"/>
          <w:shd w:val="clear" w:color="auto" w:fill="FFFFFF"/>
        </w:rPr>
        <w:t>autonomie et l</w:t>
      </w:r>
      <w:r w:rsidR="00CA2931">
        <w:rPr>
          <w:color w:val="333333"/>
          <w:shd w:val="clear" w:color="auto" w:fill="FFFFFF"/>
        </w:rPr>
        <w:t>’</w:t>
      </w:r>
      <w:r>
        <w:rPr>
          <w:color w:val="333333"/>
          <w:shd w:val="clear" w:color="auto" w:fill="FFFFFF"/>
        </w:rPr>
        <w:t>indépendance d</w:t>
      </w:r>
      <w:r w:rsidR="00CA2931">
        <w:rPr>
          <w:color w:val="333333"/>
          <w:shd w:val="clear" w:color="auto" w:fill="FFFFFF"/>
        </w:rPr>
        <w:t>’</w:t>
      </w:r>
      <w:r>
        <w:rPr>
          <w:color w:val="333333"/>
          <w:shd w:val="clear" w:color="auto" w:fill="FFFFFF"/>
        </w:rPr>
        <w:t>un tribunal, c</w:t>
      </w:r>
      <w:r w:rsidR="00CA2931">
        <w:rPr>
          <w:color w:val="333333"/>
          <w:shd w:val="clear" w:color="auto" w:fill="FFFFFF"/>
        </w:rPr>
        <w:t>’</w:t>
      </w:r>
      <w:r>
        <w:rPr>
          <w:color w:val="333333"/>
          <w:shd w:val="clear" w:color="auto" w:fill="FFFFFF"/>
        </w:rPr>
        <w:t>est-à-dire à assurer le respect des juges et des procureurs et à faire respecter l</w:t>
      </w:r>
      <w:r w:rsidR="00CA2931">
        <w:rPr>
          <w:color w:val="333333"/>
          <w:shd w:val="clear" w:color="auto" w:fill="FFFFFF"/>
        </w:rPr>
        <w:t>’</w:t>
      </w:r>
      <w:r>
        <w:rPr>
          <w:color w:val="333333"/>
          <w:shd w:val="clear" w:color="auto" w:fill="FFFFFF"/>
        </w:rPr>
        <w:t>État de droit, le Comité semble, avec les présentes constatations, s</w:t>
      </w:r>
      <w:r w:rsidR="00CA2931">
        <w:rPr>
          <w:color w:val="333333"/>
          <w:shd w:val="clear" w:color="auto" w:fill="FFFFFF"/>
        </w:rPr>
        <w:t>’</w:t>
      </w:r>
      <w:r>
        <w:rPr>
          <w:color w:val="333333"/>
          <w:shd w:val="clear" w:color="auto" w:fill="FFFFFF"/>
        </w:rPr>
        <w:t xml:space="preserve">engager dans une autre </w:t>
      </w:r>
      <w:r w:rsidRPr="00A47548">
        <w:rPr>
          <w:shd w:val="clear" w:color="auto" w:fill="FFFFFF"/>
        </w:rPr>
        <w:t>direction.</w:t>
      </w:r>
    </w:p>
    <w:p w14:paraId="787CD2D8" w14:textId="77777777" w:rsidR="00765853" w:rsidRDefault="00765853" w:rsidP="00765853">
      <w:pPr>
        <w:pStyle w:val="SingleTxtG"/>
        <w:rPr>
          <w:color w:val="333333"/>
          <w:shd w:val="clear" w:color="auto" w:fill="FFFFFF"/>
        </w:rPr>
      </w:pPr>
      <w:r w:rsidRPr="00A47548">
        <w:rPr>
          <w:lang w:val="fr-FR"/>
        </w:rPr>
        <w:t>3</w:t>
      </w:r>
      <w:r>
        <w:rPr>
          <w:lang w:val="fr-FR"/>
        </w:rPr>
        <w:t>.</w:t>
      </w:r>
      <w:r>
        <w:rPr>
          <w:lang w:val="fr-FR"/>
        </w:rPr>
        <w:tab/>
      </w:r>
      <w:r>
        <w:rPr>
          <w:color w:val="333333"/>
          <w:shd w:val="clear" w:color="auto" w:fill="FFFFFF"/>
        </w:rPr>
        <w:t>Dans de nombreux systèmes judiciaires, le procureur est considéré comme un membre du pouvoir judiciaire, au même titre que les juges, agissant au nom de la société et dans l</w:t>
      </w:r>
      <w:r w:rsidR="00CA2931">
        <w:rPr>
          <w:color w:val="333333"/>
          <w:shd w:val="clear" w:color="auto" w:fill="FFFFFF"/>
        </w:rPr>
        <w:t>’</w:t>
      </w:r>
      <w:r>
        <w:rPr>
          <w:color w:val="333333"/>
          <w:shd w:val="clear" w:color="auto" w:fill="FFFFFF"/>
        </w:rPr>
        <w:t>intérêt public.</w:t>
      </w:r>
    </w:p>
    <w:p w14:paraId="67B19EB4" w14:textId="77777777" w:rsidR="00765853" w:rsidRDefault="00765853" w:rsidP="00765853">
      <w:pPr>
        <w:pStyle w:val="SingleTxtG"/>
        <w:rPr>
          <w:color w:val="333333"/>
          <w:shd w:val="clear" w:color="auto" w:fill="FFFFFF"/>
        </w:rPr>
      </w:pPr>
      <w:r>
        <w:rPr>
          <w:color w:val="333333"/>
          <w:shd w:val="clear" w:color="auto" w:fill="FFFFFF"/>
        </w:rPr>
        <w:t>4.</w:t>
      </w:r>
      <w:r>
        <w:rPr>
          <w:color w:val="333333"/>
          <w:shd w:val="clear" w:color="auto" w:fill="FFFFFF"/>
        </w:rPr>
        <w:tab/>
        <w:t>Selon l</w:t>
      </w:r>
      <w:r w:rsidR="00CA2931">
        <w:rPr>
          <w:color w:val="333333"/>
          <w:shd w:val="clear" w:color="auto" w:fill="FFFFFF"/>
        </w:rPr>
        <w:t>’</w:t>
      </w:r>
      <w:r>
        <w:rPr>
          <w:color w:val="333333"/>
          <w:shd w:val="clear" w:color="auto" w:fill="FFFFFF"/>
        </w:rPr>
        <w:t xml:space="preserve">avis </w:t>
      </w:r>
      <w:r w:rsidRPr="00F03311">
        <w:rPr>
          <w:color w:val="333333"/>
          <w:shd w:val="clear" w:color="auto" w:fill="FFFFFF"/>
        </w:rPr>
        <w:t>n</w:t>
      </w:r>
      <w:r w:rsidRPr="00F03311">
        <w:rPr>
          <w:color w:val="333333"/>
          <w:shd w:val="clear" w:color="auto" w:fill="FFFFFF"/>
          <w:vertAlign w:val="superscript"/>
        </w:rPr>
        <w:t>o</w:t>
      </w:r>
      <w:r>
        <w:rPr>
          <w:color w:val="333333"/>
          <w:shd w:val="clear" w:color="auto" w:fill="FFFFFF"/>
        </w:rPr>
        <w:t> 12 (2009) du Conseil consultatif de juges européens et l</w:t>
      </w:r>
      <w:r w:rsidR="00CA2931">
        <w:rPr>
          <w:color w:val="333333"/>
          <w:shd w:val="clear" w:color="auto" w:fill="FFFFFF"/>
        </w:rPr>
        <w:t>’</w:t>
      </w:r>
      <w:r>
        <w:rPr>
          <w:color w:val="333333"/>
          <w:shd w:val="clear" w:color="auto" w:fill="FFFFFF"/>
        </w:rPr>
        <w:t>avis </w:t>
      </w:r>
      <w:r w:rsidRPr="00F03311">
        <w:rPr>
          <w:color w:val="333333"/>
          <w:shd w:val="clear" w:color="auto" w:fill="FFFFFF"/>
        </w:rPr>
        <w:t>n</w:t>
      </w:r>
      <w:r w:rsidRPr="00F03311">
        <w:rPr>
          <w:color w:val="333333"/>
          <w:shd w:val="clear" w:color="auto" w:fill="FFFFFF"/>
          <w:vertAlign w:val="superscript"/>
        </w:rPr>
        <w:t>o</w:t>
      </w:r>
      <w:r>
        <w:rPr>
          <w:color w:val="333333"/>
          <w:shd w:val="clear" w:color="auto" w:fill="FFFFFF"/>
        </w:rPr>
        <w:t xml:space="preserve"> 4 (2009) du Conseil consultatif de procureurs européens, adoptés </w:t>
      </w:r>
      <w:r w:rsidRPr="00765853">
        <w:t>conjointement</w:t>
      </w:r>
      <w:r>
        <w:rPr>
          <w:color w:val="333333"/>
          <w:shd w:val="clear" w:color="auto" w:fill="FFFFFF"/>
        </w:rPr>
        <w:t>, (la « Déclaration de Bordeaux ») :</w:t>
      </w:r>
    </w:p>
    <w:p w14:paraId="24225182" w14:textId="77777777" w:rsidR="00765853" w:rsidRDefault="00765853" w:rsidP="001F145D">
      <w:pPr>
        <w:pStyle w:val="SingleTxtG"/>
        <w:ind w:left="1701"/>
        <w:rPr>
          <w:shd w:val="clear" w:color="auto" w:fill="FFFFFF"/>
        </w:rPr>
      </w:pPr>
      <w:r>
        <w:rPr>
          <w:shd w:val="clear" w:color="auto" w:fill="FFFFFF"/>
        </w:rPr>
        <w:t>« 3.</w:t>
      </w:r>
      <w:r>
        <w:rPr>
          <w:shd w:val="clear" w:color="auto" w:fill="FFFFFF"/>
        </w:rPr>
        <w:tab/>
      </w:r>
      <w:r w:rsidRPr="00F03311">
        <w:rPr>
          <w:shd w:val="clear" w:color="auto" w:fill="FFFFFF"/>
        </w:rPr>
        <w:t>Le rôle distinct mais complémentaire des juges et des procureurs est une garantie nécessaire pour une justice équitable, impartiale et efficace. Si les juges et les procureurs doivent être indépendants dans l</w:t>
      </w:r>
      <w:r w:rsidR="00CA2931">
        <w:rPr>
          <w:shd w:val="clear" w:color="auto" w:fill="FFFFFF"/>
        </w:rPr>
        <w:t>’</w:t>
      </w:r>
      <w:r w:rsidRPr="00F03311">
        <w:rPr>
          <w:shd w:val="clear" w:color="auto" w:fill="FFFFFF"/>
        </w:rPr>
        <w:t>exercice de leurs fonctions, ils doivent l</w:t>
      </w:r>
      <w:r w:rsidR="00CA2931">
        <w:rPr>
          <w:shd w:val="clear" w:color="auto" w:fill="FFFFFF"/>
        </w:rPr>
        <w:t>’</w:t>
      </w:r>
      <w:r w:rsidRPr="00F03311">
        <w:rPr>
          <w:shd w:val="clear" w:color="auto" w:fill="FFFFFF"/>
        </w:rPr>
        <w:t>être et apparaître ainsi également les uns vis-à-vis des autres.</w:t>
      </w:r>
    </w:p>
    <w:p w14:paraId="539DB434" w14:textId="77777777" w:rsidR="00765853" w:rsidRDefault="00765853" w:rsidP="001F145D">
      <w:pPr>
        <w:pStyle w:val="SingleTxtG"/>
        <w:ind w:left="1701"/>
        <w:rPr>
          <w:color w:val="333333"/>
          <w:shd w:val="clear" w:color="auto" w:fill="FFFFFF"/>
        </w:rPr>
      </w:pPr>
      <w:r>
        <w:rPr>
          <w:color w:val="333333"/>
          <w:shd w:val="clear" w:color="auto" w:fill="FFFFFF"/>
        </w:rPr>
        <w:t>[…]</w:t>
      </w:r>
    </w:p>
    <w:p w14:paraId="64170FC5" w14:textId="77777777" w:rsidR="00765853" w:rsidRDefault="00765853" w:rsidP="001F145D">
      <w:pPr>
        <w:pStyle w:val="SingleTxtG"/>
        <w:ind w:left="1701"/>
        <w:rPr>
          <w:color w:val="333333"/>
          <w:shd w:val="clear" w:color="auto" w:fill="FFFFFF"/>
        </w:rPr>
      </w:pPr>
      <w:r>
        <w:rPr>
          <w:color w:val="333333"/>
          <w:shd w:val="clear" w:color="auto" w:fill="FFFFFF"/>
        </w:rPr>
        <w:t>6.</w:t>
      </w:r>
      <w:r>
        <w:rPr>
          <w:color w:val="333333"/>
          <w:shd w:val="clear" w:color="auto" w:fill="FFFFFF"/>
        </w:rPr>
        <w:tab/>
      </w:r>
      <w:r w:rsidRPr="00F03311">
        <w:rPr>
          <w:color w:val="333333"/>
          <w:shd w:val="clear" w:color="auto" w:fill="FFFFFF"/>
        </w:rPr>
        <w:t>L</w:t>
      </w:r>
      <w:r w:rsidR="00CA2931">
        <w:rPr>
          <w:color w:val="333333"/>
          <w:shd w:val="clear" w:color="auto" w:fill="FFFFFF"/>
        </w:rPr>
        <w:t>’</w:t>
      </w:r>
      <w:r w:rsidRPr="00F03311">
        <w:rPr>
          <w:color w:val="333333"/>
          <w:shd w:val="clear" w:color="auto" w:fill="FFFFFF"/>
        </w:rPr>
        <w:t>application de la loi et, le cas échéant, le pouvoir d</w:t>
      </w:r>
      <w:r w:rsidR="00CA2931">
        <w:rPr>
          <w:color w:val="333333"/>
          <w:shd w:val="clear" w:color="auto" w:fill="FFFFFF"/>
        </w:rPr>
        <w:t>’</w:t>
      </w:r>
      <w:r w:rsidRPr="00F03311">
        <w:rPr>
          <w:color w:val="333333"/>
          <w:shd w:val="clear" w:color="auto" w:fill="FFFFFF"/>
        </w:rPr>
        <w:t>appréciation de l</w:t>
      </w:r>
      <w:r w:rsidR="00CA2931">
        <w:rPr>
          <w:color w:val="333333"/>
          <w:shd w:val="clear" w:color="auto" w:fill="FFFFFF"/>
        </w:rPr>
        <w:t>’</w:t>
      </w:r>
      <w:r w:rsidRPr="00F03311">
        <w:rPr>
          <w:color w:val="333333"/>
          <w:shd w:val="clear" w:color="auto" w:fill="FFFFFF"/>
        </w:rPr>
        <w:t xml:space="preserve">opportunité des poursuites par le ministère public pendant la phase </w:t>
      </w:r>
      <w:r w:rsidRPr="001F145D">
        <w:rPr>
          <w:shd w:val="clear" w:color="auto" w:fill="FFFFFF"/>
        </w:rPr>
        <w:t>préalable</w:t>
      </w:r>
      <w:r w:rsidRPr="00F03311">
        <w:rPr>
          <w:color w:val="333333"/>
          <w:shd w:val="clear" w:color="auto" w:fill="FFFFFF"/>
        </w:rPr>
        <w:t xml:space="preserve"> au procès, exigent que le statut des procureurs soit garanti par la loi, au plus haut niveau, à l</w:t>
      </w:r>
      <w:r w:rsidR="00CA2931">
        <w:rPr>
          <w:color w:val="333333"/>
          <w:shd w:val="clear" w:color="auto" w:fill="FFFFFF"/>
        </w:rPr>
        <w:t>’</w:t>
      </w:r>
      <w:r w:rsidRPr="00F03311">
        <w:rPr>
          <w:color w:val="333333"/>
          <w:shd w:val="clear" w:color="auto" w:fill="FFFFFF"/>
        </w:rPr>
        <w:t>instar de celui des juges. Les procureurs doivent être indépendants et autonomes dans leur prise de décision et doivent exercer leurs fonctions de manière équitable, objective et impartiale.</w:t>
      </w:r>
      <w:r>
        <w:rPr>
          <w:color w:val="333333"/>
          <w:shd w:val="clear" w:color="auto" w:fill="FFFFFF"/>
        </w:rPr>
        <w:t> »</w:t>
      </w:r>
      <w:r w:rsidR="000769B8">
        <w:rPr>
          <w:color w:val="333333"/>
          <w:shd w:val="clear" w:color="auto" w:fill="FFFFFF"/>
        </w:rPr>
        <w:t>.</w:t>
      </w:r>
    </w:p>
    <w:p w14:paraId="63C4F372" w14:textId="77777777" w:rsidR="00765853" w:rsidRDefault="00765853" w:rsidP="00765853">
      <w:pPr>
        <w:pStyle w:val="SingleTxtG"/>
        <w:rPr>
          <w:lang w:val="fr-FR"/>
        </w:rPr>
      </w:pPr>
      <w:r>
        <w:rPr>
          <w:lang w:val="fr-FR"/>
        </w:rPr>
        <w:t>5.</w:t>
      </w:r>
      <w:r>
        <w:rPr>
          <w:lang w:val="fr-FR"/>
        </w:rPr>
        <w:tab/>
        <w:t>Dans la note explicative qui accompagne la Déclaration de Bordeaux, il est en outre écrit :</w:t>
      </w:r>
    </w:p>
    <w:p w14:paraId="15BC586C" w14:textId="77777777" w:rsidR="00765853" w:rsidRDefault="00765853" w:rsidP="001F145D">
      <w:pPr>
        <w:pStyle w:val="SingleTxtG"/>
        <w:ind w:left="1701"/>
        <w:rPr>
          <w:lang w:val="fr-FR"/>
        </w:rPr>
      </w:pPr>
      <w:r>
        <w:rPr>
          <w:lang w:val="fr-FR"/>
        </w:rPr>
        <w:t>« 10.</w:t>
      </w:r>
      <w:r>
        <w:rPr>
          <w:lang w:val="fr-FR"/>
        </w:rPr>
        <w:tab/>
      </w:r>
      <w:r w:rsidRPr="00E55C43">
        <w:rPr>
          <w:lang w:val="fr-FR"/>
        </w:rPr>
        <w:t>L</w:t>
      </w:r>
      <w:r w:rsidR="00CA2931">
        <w:rPr>
          <w:lang w:val="fr-FR"/>
        </w:rPr>
        <w:t>’</w:t>
      </w:r>
      <w:r w:rsidRPr="00E55C43">
        <w:rPr>
          <w:lang w:val="fr-FR"/>
        </w:rPr>
        <w:t xml:space="preserve">indépendance du ministère </w:t>
      </w:r>
      <w:r w:rsidRPr="001F145D">
        <w:rPr>
          <w:shd w:val="clear" w:color="auto" w:fill="FFFFFF"/>
        </w:rPr>
        <w:t>public</w:t>
      </w:r>
      <w:r w:rsidRPr="00E55C43">
        <w:rPr>
          <w:lang w:val="fr-FR"/>
        </w:rPr>
        <w:t xml:space="preserve"> constitue un corollaire indispensable à l</w:t>
      </w:r>
      <w:r w:rsidR="00CA2931">
        <w:rPr>
          <w:lang w:val="fr-FR"/>
        </w:rPr>
        <w:t>’</w:t>
      </w:r>
      <w:r w:rsidRPr="00E55C43">
        <w:rPr>
          <w:lang w:val="fr-FR"/>
        </w:rPr>
        <w:t>indépendance du pouvoir judiciaire. Le procureur ne joue jamais aussi bien son rôle dans l</w:t>
      </w:r>
      <w:r w:rsidR="00CA2931">
        <w:rPr>
          <w:lang w:val="fr-FR"/>
        </w:rPr>
        <w:t>’</w:t>
      </w:r>
      <w:r w:rsidRPr="00E55C43">
        <w:rPr>
          <w:lang w:val="fr-FR"/>
        </w:rPr>
        <w:t>affirmation et la défense des droits de l</w:t>
      </w:r>
      <w:r w:rsidR="00CA2931">
        <w:rPr>
          <w:lang w:val="fr-FR"/>
        </w:rPr>
        <w:t>’</w:t>
      </w:r>
      <w:r w:rsidRPr="00E55C43">
        <w:rPr>
          <w:lang w:val="fr-FR"/>
        </w:rPr>
        <w:t xml:space="preserve">homme </w:t>
      </w:r>
      <w:r w:rsidR="00244BF0">
        <w:rPr>
          <w:lang w:val="fr-FR"/>
        </w:rPr>
        <w:t>−</w:t>
      </w:r>
      <w:r w:rsidRPr="00E55C43">
        <w:rPr>
          <w:lang w:val="fr-FR"/>
        </w:rPr>
        <w:t xml:space="preserve"> tant des personnes mises en causes que des victimes </w:t>
      </w:r>
      <w:r w:rsidR="00244BF0">
        <w:rPr>
          <w:lang w:val="fr-FR"/>
        </w:rPr>
        <w:t>−</w:t>
      </w:r>
      <w:r w:rsidRPr="00E55C43">
        <w:rPr>
          <w:lang w:val="fr-FR"/>
        </w:rPr>
        <w:t xml:space="preserve"> que lorsqu</w:t>
      </w:r>
      <w:r w:rsidR="00CA2931">
        <w:rPr>
          <w:lang w:val="fr-FR"/>
        </w:rPr>
        <w:t>’</w:t>
      </w:r>
      <w:r w:rsidRPr="00E55C43">
        <w:rPr>
          <w:lang w:val="fr-FR"/>
        </w:rPr>
        <w:t>il prend des décisions indépendamment des organes exécutif et législatif et que juges et procureurs exercent correctement leurs fonctions respectives. Dans les démocraties qui se fondent sur la prééminence du droit, c</w:t>
      </w:r>
      <w:r w:rsidR="00CA2931">
        <w:rPr>
          <w:lang w:val="fr-FR"/>
        </w:rPr>
        <w:t>’</w:t>
      </w:r>
      <w:r w:rsidRPr="00E55C43">
        <w:rPr>
          <w:lang w:val="fr-FR"/>
        </w:rPr>
        <w:t>est le droit qui sert de base à la politique du ministère public (Déclaration, paragraphe 3).</w:t>
      </w:r>
    </w:p>
    <w:p w14:paraId="7598F24F" w14:textId="77777777" w:rsidR="00765853" w:rsidRDefault="00765853" w:rsidP="001F145D">
      <w:pPr>
        <w:pStyle w:val="SingleTxtG"/>
        <w:ind w:left="1701"/>
        <w:rPr>
          <w:lang w:val="fr-FR"/>
        </w:rPr>
      </w:pPr>
      <w:r>
        <w:rPr>
          <w:lang w:val="fr-FR"/>
        </w:rPr>
        <w:t>[…]</w:t>
      </w:r>
    </w:p>
    <w:p w14:paraId="0794C10E" w14:textId="77777777" w:rsidR="00765853" w:rsidRDefault="00765853" w:rsidP="001F145D">
      <w:pPr>
        <w:pStyle w:val="SingleTxtG"/>
        <w:ind w:left="1701"/>
        <w:rPr>
          <w:lang w:val="fr-FR"/>
        </w:rPr>
      </w:pPr>
      <w:r>
        <w:rPr>
          <w:lang w:val="fr-FR"/>
        </w:rPr>
        <w:t>27.</w:t>
      </w:r>
      <w:r>
        <w:rPr>
          <w:lang w:val="fr-FR"/>
        </w:rPr>
        <w:tab/>
      </w:r>
      <w:r w:rsidRPr="004702AF">
        <w:rPr>
          <w:lang w:val="fr-FR"/>
        </w:rPr>
        <w:t>L</w:t>
      </w:r>
      <w:r w:rsidR="00CA2931">
        <w:rPr>
          <w:lang w:val="fr-FR"/>
        </w:rPr>
        <w:t>’</w:t>
      </w:r>
      <w:r w:rsidRPr="004702AF">
        <w:rPr>
          <w:lang w:val="fr-FR"/>
        </w:rPr>
        <w:t>indépendance du ministère public est indispensable pour lui permettre de remplir sa mission. Elle renforce le rôle de celui-ci dans l</w:t>
      </w:r>
      <w:r w:rsidR="00CA2931">
        <w:rPr>
          <w:lang w:val="fr-FR"/>
        </w:rPr>
        <w:t>’</w:t>
      </w:r>
      <w:r w:rsidRPr="004702AF">
        <w:rPr>
          <w:lang w:val="fr-FR"/>
        </w:rPr>
        <w:t>État de droit et la société et est également une garantie pour que le système judiciaire fonctionne avec impartialité et efficacité et pour que tous les bénéfices attendus de l</w:t>
      </w:r>
      <w:r w:rsidR="00CA2931">
        <w:rPr>
          <w:lang w:val="fr-FR"/>
        </w:rPr>
        <w:t>’</w:t>
      </w:r>
      <w:r w:rsidRPr="004702AF">
        <w:rPr>
          <w:lang w:val="fr-FR"/>
        </w:rPr>
        <w:t xml:space="preserve">indépendance </w:t>
      </w:r>
      <w:r w:rsidRPr="004702AF">
        <w:rPr>
          <w:lang w:val="fr-FR"/>
        </w:rPr>
        <w:lastRenderedPageBreak/>
        <w:t>des juges soient effectifs (Déclaration, paragraphes 3 et 8). À l</w:t>
      </w:r>
      <w:r w:rsidR="00CA2931">
        <w:rPr>
          <w:lang w:val="fr-FR"/>
        </w:rPr>
        <w:t>’</w:t>
      </w:r>
      <w:r w:rsidRPr="004702AF">
        <w:rPr>
          <w:lang w:val="fr-FR"/>
        </w:rPr>
        <w:t>instar de l</w:t>
      </w:r>
      <w:r w:rsidR="00CA2931">
        <w:rPr>
          <w:lang w:val="fr-FR"/>
        </w:rPr>
        <w:t>’</w:t>
      </w:r>
      <w:r w:rsidRPr="004702AF">
        <w:rPr>
          <w:lang w:val="fr-FR"/>
        </w:rPr>
        <w:t>indépendance accordée aux juges, l</w:t>
      </w:r>
      <w:r w:rsidR="00CA2931">
        <w:rPr>
          <w:lang w:val="fr-FR"/>
        </w:rPr>
        <w:t>’</w:t>
      </w:r>
      <w:r w:rsidRPr="004702AF">
        <w:rPr>
          <w:lang w:val="fr-FR"/>
        </w:rPr>
        <w:t>indépendance du ministère public n</w:t>
      </w:r>
      <w:r w:rsidR="00CA2931">
        <w:rPr>
          <w:lang w:val="fr-FR"/>
        </w:rPr>
        <w:t>’</w:t>
      </w:r>
      <w:r w:rsidRPr="004702AF">
        <w:rPr>
          <w:lang w:val="fr-FR"/>
        </w:rPr>
        <w:t>est pas une prérogative ou un privilège octroyé dans l</w:t>
      </w:r>
      <w:r w:rsidR="00CA2931">
        <w:rPr>
          <w:lang w:val="fr-FR"/>
        </w:rPr>
        <w:t>’</w:t>
      </w:r>
      <w:r w:rsidRPr="004702AF">
        <w:rPr>
          <w:lang w:val="fr-FR"/>
        </w:rPr>
        <w:t>intérêt de ses membres, mais une garantie pour une justice équitable, impartiale et efficace et protège les intérêts publics et privés des personnes concernées.</w:t>
      </w:r>
    </w:p>
    <w:p w14:paraId="70BEEF67" w14:textId="77777777" w:rsidR="00765853" w:rsidRDefault="00765853" w:rsidP="001F145D">
      <w:pPr>
        <w:pStyle w:val="SingleTxtG"/>
        <w:ind w:left="1701"/>
        <w:rPr>
          <w:lang w:val="fr-FR"/>
        </w:rPr>
      </w:pPr>
      <w:r>
        <w:rPr>
          <w:lang w:val="fr-FR"/>
        </w:rPr>
        <w:t>[…]</w:t>
      </w:r>
    </w:p>
    <w:p w14:paraId="67F340E5" w14:textId="77777777" w:rsidR="00765853" w:rsidRDefault="00765853" w:rsidP="001F145D">
      <w:pPr>
        <w:pStyle w:val="SingleTxtG"/>
        <w:ind w:left="1701"/>
        <w:rPr>
          <w:lang w:val="fr-FR"/>
        </w:rPr>
      </w:pPr>
      <w:r>
        <w:rPr>
          <w:lang w:val="fr-FR"/>
        </w:rPr>
        <w:t>34.</w:t>
      </w:r>
      <w:r>
        <w:rPr>
          <w:lang w:val="fr-FR"/>
        </w:rPr>
        <w:tab/>
        <w:t>L</w:t>
      </w:r>
      <w:r w:rsidR="00CA2931">
        <w:rPr>
          <w:lang w:val="fr-FR"/>
        </w:rPr>
        <w:t>’</w:t>
      </w:r>
      <w:r w:rsidRPr="004702AF">
        <w:rPr>
          <w:lang w:val="fr-FR"/>
        </w:rPr>
        <w:t>indépendance du juge et du ministère public est indissociable de la primauté du droit. Les juges comme les procureurs agissent dans l</w:t>
      </w:r>
      <w:r w:rsidR="00CA2931">
        <w:rPr>
          <w:lang w:val="fr-FR"/>
        </w:rPr>
        <w:t>’</w:t>
      </w:r>
      <w:r w:rsidRPr="004702AF">
        <w:rPr>
          <w:lang w:val="fr-FR"/>
        </w:rPr>
        <w:t>intérêt général, au nom de la société et des citoyens qui veulent que leurs droits et libertés soient garantis sous tous leurs aspects. Ils interviennent dans des domaines où les droits de l</w:t>
      </w:r>
      <w:r w:rsidR="00CA2931">
        <w:rPr>
          <w:lang w:val="fr-FR"/>
        </w:rPr>
        <w:t>’</w:t>
      </w:r>
      <w:r w:rsidRPr="004702AF">
        <w:rPr>
          <w:lang w:val="fr-FR"/>
        </w:rPr>
        <w:t>homme les plus sensibles (liberté individuelle, vie privée, préservation des biens, etc.) méritent la plus grande protection.</w:t>
      </w:r>
      <w:r>
        <w:rPr>
          <w:lang w:val="fr-FR"/>
        </w:rPr>
        <w:t> »</w:t>
      </w:r>
      <w:r w:rsidR="00244BF0">
        <w:rPr>
          <w:lang w:val="fr-FR"/>
        </w:rPr>
        <w:t>.</w:t>
      </w:r>
    </w:p>
    <w:p w14:paraId="7A0D8268" w14:textId="77777777" w:rsidR="00765853" w:rsidRDefault="00765853" w:rsidP="00765853">
      <w:pPr>
        <w:pStyle w:val="SingleTxtG"/>
        <w:rPr>
          <w:color w:val="333333"/>
          <w:shd w:val="clear" w:color="auto" w:fill="FFFFFF"/>
        </w:rPr>
      </w:pPr>
      <w:r>
        <w:rPr>
          <w:lang w:val="fr-FR"/>
        </w:rPr>
        <w:t>6.</w:t>
      </w:r>
      <w:r>
        <w:rPr>
          <w:lang w:val="fr-FR"/>
        </w:rPr>
        <w:tab/>
        <w:t xml:space="preserve">Aux termes de </w:t>
      </w:r>
      <w:r w:rsidRPr="00765853">
        <w:t>l</w:t>
      </w:r>
      <w:r w:rsidR="00CA2931">
        <w:t>’</w:t>
      </w:r>
      <w:r w:rsidRPr="00765853">
        <w:t>avis</w:t>
      </w:r>
      <w:r>
        <w:rPr>
          <w:lang w:val="fr-FR"/>
        </w:rPr>
        <w:t xml:space="preserve"> </w:t>
      </w:r>
      <w:r w:rsidRPr="004702AF">
        <w:rPr>
          <w:lang w:val="fr-FR"/>
        </w:rPr>
        <w:t>n</w:t>
      </w:r>
      <w:r w:rsidRPr="004702AF">
        <w:rPr>
          <w:vertAlign w:val="superscript"/>
          <w:lang w:val="fr-FR"/>
        </w:rPr>
        <w:t>o</w:t>
      </w:r>
      <w:r>
        <w:rPr>
          <w:lang w:val="fr-FR"/>
        </w:rPr>
        <w:t xml:space="preserve"> 9 (2014) du </w:t>
      </w:r>
      <w:r>
        <w:rPr>
          <w:color w:val="333333"/>
          <w:shd w:val="clear" w:color="auto" w:fill="FFFFFF"/>
        </w:rPr>
        <w:t>Conseil consultatif de procureurs européens (la « Charte de Rome ») sur les normes et principes européens concernant les procureurs :</w:t>
      </w:r>
    </w:p>
    <w:p w14:paraId="7350BB3A" w14:textId="77777777" w:rsidR="00765853" w:rsidRDefault="00765853" w:rsidP="001F145D">
      <w:pPr>
        <w:pStyle w:val="SingleTxtG"/>
        <w:ind w:left="1701"/>
        <w:rPr>
          <w:color w:val="333333"/>
          <w:shd w:val="clear" w:color="auto" w:fill="FFFFFF"/>
        </w:rPr>
      </w:pPr>
      <w:r>
        <w:rPr>
          <w:color w:val="333333"/>
          <w:shd w:val="clear" w:color="auto" w:fill="FFFFFF"/>
        </w:rPr>
        <w:t>« V</w:t>
      </w:r>
      <w:r>
        <w:rPr>
          <w:color w:val="333333"/>
          <w:shd w:val="clear" w:color="auto" w:fill="FFFFFF"/>
        </w:rPr>
        <w:tab/>
      </w:r>
      <w:r w:rsidRPr="004702AF">
        <w:rPr>
          <w:color w:val="333333"/>
          <w:shd w:val="clear" w:color="auto" w:fill="FFFFFF"/>
        </w:rPr>
        <w:t>Les procureurs devraient prendre leurs décisions de façon autonome et effectuer leurs tâches sans subir de pressions externes ni d</w:t>
      </w:r>
      <w:r w:rsidR="00CA2931">
        <w:rPr>
          <w:color w:val="333333"/>
          <w:shd w:val="clear" w:color="auto" w:fill="FFFFFF"/>
        </w:rPr>
        <w:t>’</w:t>
      </w:r>
      <w:r w:rsidRPr="004702AF">
        <w:rPr>
          <w:color w:val="333333"/>
          <w:shd w:val="clear" w:color="auto" w:fill="FFFFFF"/>
        </w:rPr>
        <w:t xml:space="preserve">ingérence, </w:t>
      </w:r>
      <w:r w:rsidRPr="001F145D">
        <w:rPr>
          <w:shd w:val="clear" w:color="auto" w:fill="FFFFFF"/>
        </w:rPr>
        <w:t>conformément</w:t>
      </w:r>
      <w:r w:rsidRPr="004702AF">
        <w:rPr>
          <w:color w:val="333333"/>
          <w:shd w:val="clear" w:color="auto" w:fill="FFFFFF"/>
        </w:rPr>
        <w:t xml:space="preserve"> aux principes de séparation des pouvoirs et de responsabilité.</w:t>
      </w:r>
      <w:r>
        <w:rPr>
          <w:color w:val="333333"/>
          <w:shd w:val="clear" w:color="auto" w:fill="FFFFFF"/>
        </w:rPr>
        <w:t> »</w:t>
      </w:r>
      <w:r w:rsidR="00244BF0">
        <w:rPr>
          <w:color w:val="333333"/>
          <w:shd w:val="clear" w:color="auto" w:fill="FFFFFF"/>
        </w:rPr>
        <w:t>.</w:t>
      </w:r>
    </w:p>
    <w:p w14:paraId="7B2B8C30" w14:textId="77777777" w:rsidR="00765853" w:rsidRPr="005B0637" w:rsidRDefault="00765853" w:rsidP="001F145D">
      <w:pPr>
        <w:pStyle w:val="SingleTxtG"/>
        <w:rPr>
          <w:lang w:val="fr-FR"/>
        </w:rPr>
      </w:pPr>
      <w:r>
        <w:rPr>
          <w:lang w:val="fr-FR"/>
        </w:rPr>
        <w:t xml:space="preserve">Et dans la note </w:t>
      </w:r>
      <w:r w:rsidRPr="001F145D">
        <w:t>explicative</w:t>
      </w:r>
      <w:r>
        <w:rPr>
          <w:lang w:val="fr-FR"/>
        </w:rPr>
        <w:t xml:space="preserve"> des principes </w:t>
      </w:r>
      <w:r w:rsidRPr="001F145D">
        <w:rPr>
          <w:shd w:val="clear" w:color="auto" w:fill="FFFFFF"/>
        </w:rPr>
        <w:t>contenus</w:t>
      </w:r>
      <w:r>
        <w:rPr>
          <w:lang w:val="fr-FR"/>
        </w:rPr>
        <w:t xml:space="preserve"> dans la Charte de Rome, il est écrit :</w:t>
      </w:r>
    </w:p>
    <w:p w14:paraId="50AE11D6" w14:textId="77777777" w:rsidR="00765853" w:rsidRPr="00A47548" w:rsidRDefault="00765853" w:rsidP="001F145D">
      <w:pPr>
        <w:pStyle w:val="SingleTxtG"/>
        <w:ind w:left="1701"/>
        <w:rPr>
          <w:shd w:val="clear" w:color="auto" w:fill="FFFFFF"/>
        </w:rPr>
      </w:pPr>
      <w:r w:rsidRPr="00A47548">
        <w:rPr>
          <w:shd w:val="clear" w:color="auto" w:fill="FFFFFF"/>
        </w:rPr>
        <w:t>« 36.</w:t>
      </w:r>
      <w:r w:rsidRPr="00A47548">
        <w:rPr>
          <w:shd w:val="clear" w:color="auto" w:fill="FFFFFF"/>
        </w:rPr>
        <w:tab/>
        <w:t>Les États doivent s</w:t>
      </w:r>
      <w:r w:rsidR="00CA2931">
        <w:rPr>
          <w:shd w:val="clear" w:color="auto" w:fill="FFFFFF"/>
        </w:rPr>
        <w:t>’</w:t>
      </w:r>
      <w:r w:rsidRPr="00A47548">
        <w:rPr>
          <w:shd w:val="clear" w:color="auto" w:fill="FFFFFF"/>
        </w:rPr>
        <w:t>assurer que les procureurs sont en mesure d</w:t>
      </w:r>
      <w:r w:rsidR="00CA2931">
        <w:rPr>
          <w:shd w:val="clear" w:color="auto" w:fill="FFFFFF"/>
        </w:rPr>
        <w:t>’</w:t>
      </w:r>
      <w:r w:rsidRPr="00A47548">
        <w:rPr>
          <w:shd w:val="clear" w:color="auto" w:fill="FFFFFF"/>
        </w:rPr>
        <w:t>exercer leurs fonctions sans entrave, intimidation, harcèlement, ingérence ou sans que leur responsabilité civile, pénale ou autre soit mise en cause de manière injustifiée</w:t>
      </w:r>
      <w:r>
        <w:rPr>
          <w:shd w:val="clear" w:color="auto" w:fill="FFFFFF"/>
        </w:rPr>
        <w:t> »</w:t>
      </w:r>
      <w:r w:rsidRPr="00A47548">
        <w:rPr>
          <w:rStyle w:val="Appelnotedebasdep"/>
        </w:rPr>
        <w:footnoteReference w:id="18"/>
      </w:r>
      <w:r w:rsidR="00244BF0">
        <w:rPr>
          <w:shd w:val="clear" w:color="auto" w:fill="FFFFFF"/>
        </w:rPr>
        <w:t>.</w:t>
      </w:r>
    </w:p>
    <w:p w14:paraId="40EF1715" w14:textId="77777777" w:rsidR="00765853" w:rsidRPr="005B0637" w:rsidRDefault="00765853" w:rsidP="00765853">
      <w:pPr>
        <w:pStyle w:val="SingleTxtG"/>
        <w:rPr>
          <w:lang w:val="fr-FR"/>
        </w:rPr>
      </w:pPr>
      <w:r>
        <w:rPr>
          <w:lang w:val="fr-FR"/>
        </w:rPr>
        <w:t>7.</w:t>
      </w:r>
      <w:r>
        <w:rPr>
          <w:lang w:val="fr-FR"/>
        </w:rPr>
        <w:tab/>
        <w:t>Dans l</w:t>
      </w:r>
      <w:r w:rsidR="00CA2931">
        <w:rPr>
          <w:lang w:val="fr-FR"/>
        </w:rPr>
        <w:t>’</w:t>
      </w:r>
      <w:r>
        <w:rPr>
          <w:lang w:val="fr-FR"/>
        </w:rPr>
        <w:t xml:space="preserve">avis </w:t>
      </w:r>
      <w:r w:rsidRPr="00174A1C">
        <w:rPr>
          <w:lang w:val="fr-FR"/>
        </w:rPr>
        <w:t>n</w:t>
      </w:r>
      <w:r w:rsidRPr="00174A1C">
        <w:rPr>
          <w:vertAlign w:val="superscript"/>
          <w:lang w:val="fr-FR"/>
        </w:rPr>
        <w:t>o</w:t>
      </w:r>
      <w:r>
        <w:rPr>
          <w:lang w:val="fr-FR"/>
        </w:rPr>
        <w:t xml:space="preserve"> 13 (2018) du </w:t>
      </w:r>
      <w:r>
        <w:rPr>
          <w:color w:val="333333"/>
          <w:shd w:val="clear" w:color="auto" w:fill="FFFFFF"/>
        </w:rPr>
        <w:t>Conseil consultatif de procureurs européens concernant l</w:t>
      </w:r>
      <w:r w:rsidR="00CA2931">
        <w:rPr>
          <w:color w:val="333333"/>
          <w:shd w:val="clear" w:color="auto" w:fill="FFFFFF"/>
        </w:rPr>
        <w:t>’</w:t>
      </w:r>
      <w:r>
        <w:rPr>
          <w:color w:val="333333"/>
          <w:shd w:val="clear" w:color="auto" w:fill="FFFFFF"/>
        </w:rPr>
        <w:t>indépendance, la responsabilité et l</w:t>
      </w:r>
      <w:r w:rsidR="00CA2931">
        <w:rPr>
          <w:color w:val="333333"/>
          <w:shd w:val="clear" w:color="auto" w:fill="FFFFFF"/>
        </w:rPr>
        <w:t>’</w:t>
      </w:r>
      <w:r>
        <w:rPr>
          <w:color w:val="333333"/>
          <w:shd w:val="clear" w:color="auto" w:fill="FFFFFF"/>
        </w:rPr>
        <w:t>éthique des procureurs, il est dit ce qui suit, au sujet de la notion d</w:t>
      </w:r>
      <w:r w:rsidR="00CA2931">
        <w:rPr>
          <w:color w:val="333333"/>
          <w:shd w:val="clear" w:color="auto" w:fill="FFFFFF"/>
        </w:rPr>
        <w:t>’</w:t>
      </w:r>
      <w:r>
        <w:rPr>
          <w:color w:val="333333"/>
          <w:shd w:val="clear" w:color="auto" w:fill="FFFFFF"/>
        </w:rPr>
        <w:t>indépendance des procureurs :</w:t>
      </w:r>
    </w:p>
    <w:p w14:paraId="2F556063" w14:textId="77777777" w:rsidR="00765853" w:rsidRPr="00A47548" w:rsidRDefault="00765853" w:rsidP="001F145D">
      <w:pPr>
        <w:pStyle w:val="SingleTxtG"/>
        <w:ind w:left="1701"/>
        <w:rPr>
          <w:shd w:val="clear" w:color="auto" w:fill="FFFFFF"/>
        </w:rPr>
      </w:pPr>
      <w:r>
        <w:rPr>
          <w:shd w:val="clear" w:color="auto" w:fill="FFFFFF"/>
        </w:rPr>
        <w:t>« 15.</w:t>
      </w:r>
      <w:r>
        <w:rPr>
          <w:shd w:val="clear" w:color="auto" w:fill="FFFFFF"/>
        </w:rPr>
        <w:tab/>
      </w:r>
      <w:r w:rsidRPr="00DC4284">
        <w:rPr>
          <w:shd w:val="clear" w:color="auto" w:fill="FFFFFF"/>
        </w:rPr>
        <w:t>On entend par «</w:t>
      </w:r>
      <w:r w:rsidR="00262816">
        <w:rPr>
          <w:shd w:val="clear" w:color="auto" w:fill="FFFFFF"/>
        </w:rPr>
        <w:t> </w:t>
      </w:r>
      <w:r w:rsidRPr="00DC4284">
        <w:rPr>
          <w:shd w:val="clear" w:color="auto" w:fill="FFFFFF"/>
        </w:rPr>
        <w:t>indépendance</w:t>
      </w:r>
      <w:r w:rsidR="00262816">
        <w:rPr>
          <w:shd w:val="clear" w:color="auto" w:fill="FFFFFF"/>
        </w:rPr>
        <w:t> </w:t>
      </w:r>
      <w:r w:rsidRPr="00DC4284">
        <w:rPr>
          <w:shd w:val="clear" w:color="auto" w:fill="FFFFFF"/>
        </w:rPr>
        <w:t>» le fait pour les procureurs d</w:t>
      </w:r>
      <w:r w:rsidR="00CA2931">
        <w:rPr>
          <w:shd w:val="clear" w:color="auto" w:fill="FFFFFF"/>
        </w:rPr>
        <w:t>’</w:t>
      </w:r>
      <w:r w:rsidRPr="00DC4284">
        <w:rPr>
          <w:shd w:val="clear" w:color="auto" w:fill="FFFFFF"/>
        </w:rPr>
        <w:t>être libres de toute ingérence illégale dans l</w:t>
      </w:r>
      <w:r w:rsidR="00CA2931">
        <w:rPr>
          <w:shd w:val="clear" w:color="auto" w:fill="FFFFFF"/>
        </w:rPr>
        <w:t>’</w:t>
      </w:r>
      <w:r w:rsidRPr="00DC4284">
        <w:rPr>
          <w:shd w:val="clear" w:color="auto" w:fill="FFFFFF"/>
        </w:rPr>
        <w:t>exercice de leur mission consistant à veiller au respect et à l</w:t>
      </w:r>
      <w:r w:rsidR="00CA2931">
        <w:rPr>
          <w:shd w:val="clear" w:color="auto" w:fill="FFFFFF"/>
        </w:rPr>
        <w:t>’</w:t>
      </w:r>
      <w:r w:rsidRPr="00DC4284">
        <w:rPr>
          <w:shd w:val="clear" w:color="auto" w:fill="FFFFFF"/>
        </w:rPr>
        <w:t>application de la loi et du principe de l</w:t>
      </w:r>
      <w:r w:rsidR="00CA2931">
        <w:rPr>
          <w:shd w:val="clear" w:color="auto" w:fill="FFFFFF"/>
        </w:rPr>
        <w:t>’</w:t>
      </w:r>
      <w:r w:rsidRPr="00DC4284">
        <w:rPr>
          <w:shd w:val="clear" w:color="auto" w:fill="FFFFFF"/>
        </w:rPr>
        <w:t>État de droit, et de ne subir dans ce cadre aucune pression politique ou autre influence illégale de quelque nature que ce soit</w:t>
      </w:r>
      <w:r>
        <w:rPr>
          <w:shd w:val="clear" w:color="auto" w:fill="FFFFFF"/>
        </w:rPr>
        <w:t>. »</w:t>
      </w:r>
      <w:r w:rsidR="00262816">
        <w:rPr>
          <w:shd w:val="clear" w:color="auto" w:fill="FFFFFF"/>
        </w:rPr>
        <w:t>.</w:t>
      </w:r>
    </w:p>
    <w:p w14:paraId="795F950C" w14:textId="77777777" w:rsidR="00765853" w:rsidRDefault="00765853" w:rsidP="00765853">
      <w:pPr>
        <w:pStyle w:val="SingleTxtG"/>
      </w:pPr>
      <w:r>
        <w:rPr>
          <w:lang w:val="fr-FR"/>
        </w:rPr>
        <w:t>8.</w:t>
      </w:r>
      <w:r>
        <w:rPr>
          <w:lang w:val="fr-FR"/>
        </w:rPr>
        <w:tab/>
        <w:t>En l</w:t>
      </w:r>
      <w:r w:rsidR="00CA2931">
        <w:rPr>
          <w:lang w:val="fr-FR"/>
        </w:rPr>
        <w:t>’</w:t>
      </w:r>
      <w:r>
        <w:rPr>
          <w:lang w:val="fr-FR"/>
        </w:rPr>
        <w:t>espèce, le Comité a considéré que la condamnation de l</w:t>
      </w:r>
      <w:r w:rsidR="00CA2931">
        <w:rPr>
          <w:lang w:val="fr-FR"/>
        </w:rPr>
        <w:t>’</w:t>
      </w:r>
      <w:r>
        <w:rPr>
          <w:lang w:val="fr-FR"/>
        </w:rPr>
        <w:t xml:space="preserve">auteure avait constitué une restriction à son droit à la liberté </w:t>
      </w:r>
      <w:r w:rsidRPr="00765853">
        <w:t>d</w:t>
      </w:r>
      <w:r w:rsidR="00CA2931">
        <w:t>’</w:t>
      </w:r>
      <w:r w:rsidRPr="00765853">
        <w:t>expression</w:t>
      </w:r>
      <w:r>
        <w:rPr>
          <w:lang w:val="fr-FR"/>
        </w:rPr>
        <w:t xml:space="preserve"> (par</w:t>
      </w:r>
      <w:r w:rsidR="00262816">
        <w:rPr>
          <w:lang w:val="fr-FR"/>
        </w:rPr>
        <w:t>.</w:t>
      </w:r>
      <w:r>
        <w:rPr>
          <w:lang w:val="fr-FR"/>
        </w:rPr>
        <w:t xml:space="preserve"> 8.2) mais a conclu que la restriction était fixée par la loi </w:t>
      </w:r>
      <w:r w:rsidRPr="006503C8">
        <w:t>au</w:t>
      </w:r>
      <w:r>
        <w:t xml:space="preserve"> </w:t>
      </w:r>
      <w:r w:rsidRPr="006503C8">
        <w:t>sens</w:t>
      </w:r>
      <w:r>
        <w:t xml:space="preserve"> </w:t>
      </w:r>
      <w:r w:rsidRPr="006503C8">
        <w:t>du</w:t>
      </w:r>
      <w:r>
        <w:t xml:space="preserve"> </w:t>
      </w:r>
      <w:r w:rsidRPr="006503C8">
        <w:t>paragraphe</w:t>
      </w:r>
      <w:r>
        <w:t xml:space="preserve"> 3 </w:t>
      </w:r>
      <w:r w:rsidRPr="006503C8">
        <w:t>de</w:t>
      </w:r>
      <w:r>
        <w:t xml:space="preserve"> </w:t>
      </w:r>
      <w:r w:rsidRPr="006503C8">
        <w:t>l</w:t>
      </w:r>
      <w:r w:rsidR="00CA2931">
        <w:t>’</w:t>
      </w:r>
      <w:r w:rsidRPr="006503C8">
        <w:t>article</w:t>
      </w:r>
      <w:r>
        <w:t> </w:t>
      </w:r>
      <w:r w:rsidRPr="006503C8">
        <w:t>19</w:t>
      </w:r>
      <w:r>
        <w:t xml:space="preserve"> </w:t>
      </w:r>
      <w:r w:rsidRPr="006503C8">
        <w:t>du</w:t>
      </w:r>
      <w:r>
        <w:t xml:space="preserve"> </w:t>
      </w:r>
      <w:r w:rsidRPr="006503C8">
        <w:t>Pacte</w:t>
      </w:r>
      <w:r>
        <w:t xml:space="preserve"> (par</w:t>
      </w:r>
      <w:r w:rsidR="00262816">
        <w:t>.</w:t>
      </w:r>
      <w:r>
        <w:t> 8.4 et 8.5)</w:t>
      </w:r>
      <w:r w:rsidRPr="006503C8">
        <w:t>.</w:t>
      </w:r>
      <w:r>
        <w:t xml:space="preserve"> Il a également admis que l</w:t>
      </w:r>
      <w:r w:rsidR="00CA2931">
        <w:t>’</w:t>
      </w:r>
      <w:r>
        <w:t>article 290 du Code pénal lituanien visait à protéger les procureurs dans l</w:t>
      </w:r>
      <w:r w:rsidR="00CA2931">
        <w:t>’</w:t>
      </w:r>
      <w:r>
        <w:t xml:space="preserve">exercice </w:t>
      </w:r>
      <w:r w:rsidRPr="00A71851">
        <w:t>de leurs</w:t>
      </w:r>
      <w:r>
        <w:t xml:space="preserve"> fonctions, ce qui concourait à maintenir la confiance du public dans l</w:t>
      </w:r>
      <w:r w:rsidR="00CA2931">
        <w:t>’</w:t>
      </w:r>
      <w:r>
        <w:t>administration de la justice en général. C</w:t>
      </w:r>
      <w:r w:rsidR="00CA2931">
        <w:t>’</w:t>
      </w:r>
      <w:r>
        <w:t>est pourquoi, l</w:t>
      </w:r>
      <w:r w:rsidR="00CA2931">
        <w:t>’</w:t>
      </w:r>
      <w:r>
        <w:t>on pouvait dire de cet article qu</w:t>
      </w:r>
      <w:r w:rsidR="00CA2931">
        <w:t>’</w:t>
      </w:r>
      <w:r>
        <w:t>il servait l</w:t>
      </w:r>
      <w:r w:rsidR="00CA2931">
        <w:t>’</w:t>
      </w:r>
      <w:r>
        <w:t>objectif légitime de la sauvegarde de l</w:t>
      </w:r>
      <w:r w:rsidR="00CA2931">
        <w:t>’</w:t>
      </w:r>
      <w:r>
        <w:t>ordre public</w:t>
      </w:r>
      <w:r w:rsidR="00262816">
        <w:t xml:space="preserve"> </w:t>
      </w:r>
      <w:r w:rsidR="00262816" w:rsidRPr="00E0400E">
        <w:t>(par.</w:t>
      </w:r>
      <w:r w:rsidR="00E0400E" w:rsidRPr="00E0400E">
        <w:t> </w:t>
      </w:r>
      <w:r w:rsidR="00262816" w:rsidRPr="00E0400E">
        <w:t>8.7)</w:t>
      </w:r>
      <w:r>
        <w:t>, laquelle inclut le respect pour les juges et les procureurs.</w:t>
      </w:r>
    </w:p>
    <w:p w14:paraId="62E5DA74" w14:textId="77777777" w:rsidR="00765853" w:rsidRDefault="00765853" w:rsidP="00765853">
      <w:pPr>
        <w:pStyle w:val="SingleTxtG"/>
        <w:rPr>
          <w:rFonts w:eastAsia="Calibri"/>
        </w:rPr>
      </w:pPr>
      <w:r>
        <w:t>9.</w:t>
      </w:r>
      <w:r>
        <w:tab/>
        <w:t xml:space="preserve">Cependant, le Comité a conclu que </w:t>
      </w:r>
      <w:r w:rsidRPr="006503C8">
        <w:rPr>
          <w:rFonts w:eastAsia="Calibri"/>
        </w:rPr>
        <w:t>les</w:t>
      </w:r>
      <w:r>
        <w:rPr>
          <w:rFonts w:eastAsia="Calibri"/>
        </w:rPr>
        <w:t xml:space="preserve"> </w:t>
      </w:r>
      <w:r w:rsidRPr="006503C8">
        <w:rPr>
          <w:rFonts w:eastAsia="Calibri"/>
        </w:rPr>
        <w:t>restrictions</w:t>
      </w:r>
      <w:r>
        <w:rPr>
          <w:rFonts w:eastAsia="Calibri"/>
        </w:rPr>
        <w:t xml:space="preserve"> </w:t>
      </w:r>
      <w:r w:rsidRPr="006503C8">
        <w:rPr>
          <w:rFonts w:eastAsia="Calibri"/>
        </w:rPr>
        <w:t>imposées</w:t>
      </w:r>
      <w:r>
        <w:rPr>
          <w:rFonts w:eastAsia="Calibri"/>
        </w:rPr>
        <w:t xml:space="preserve"> </w:t>
      </w:r>
      <w:r w:rsidRPr="006503C8">
        <w:rPr>
          <w:rFonts w:eastAsia="Calibri"/>
        </w:rPr>
        <w:t>aux</w:t>
      </w:r>
      <w:r>
        <w:rPr>
          <w:rFonts w:eastAsia="Calibri"/>
        </w:rPr>
        <w:t xml:space="preserve"> </w:t>
      </w:r>
      <w:r w:rsidRPr="006503C8">
        <w:rPr>
          <w:rFonts w:eastAsia="Calibri"/>
        </w:rPr>
        <w:t>droits</w:t>
      </w:r>
      <w:r>
        <w:rPr>
          <w:rFonts w:eastAsia="Calibri"/>
        </w:rPr>
        <w:t xml:space="preserve"> </w:t>
      </w:r>
      <w:r w:rsidRPr="006503C8">
        <w:rPr>
          <w:rFonts w:eastAsia="Calibri"/>
        </w:rPr>
        <w:t>de</w:t>
      </w:r>
      <w:r>
        <w:rPr>
          <w:rFonts w:eastAsia="Calibri"/>
        </w:rPr>
        <w:t xml:space="preserve"> </w:t>
      </w:r>
      <w:r w:rsidRPr="006503C8">
        <w:rPr>
          <w:rFonts w:eastAsia="Calibri"/>
        </w:rPr>
        <w:t>l</w:t>
      </w:r>
      <w:r w:rsidR="00CA2931">
        <w:rPr>
          <w:rFonts w:eastAsia="Calibri"/>
        </w:rPr>
        <w:t>’</w:t>
      </w:r>
      <w:r w:rsidRPr="006503C8">
        <w:rPr>
          <w:rFonts w:eastAsia="Calibri"/>
        </w:rPr>
        <w:t>auteure</w:t>
      </w:r>
      <w:r>
        <w:rPr>
          <w:rFonts w:eastAsia="Calibri"/>
        </w:rPr>
        <w:t xml:space="preserve"> </w:t>
      </w:r>
      <w:r w:rsidRPr="006503C8">
        <w:rPr>
          <w:rFonts w:eastAsia="Calibri"/>
        </w:rPr>
        <w:t>étaient</w:t>
      </w:r>
      <w:r>
        <w:rPr>
          <w:rFonts w:eastAsia="Calibri"/>
        </w:rPr>
        <w:t xml:space="preserve"> dis</w:t>
      </w:r>
      <w:r w:rsidRPr="006503C8">
        <w:rPr>
          <w:rFonts w:eastAsia="Calibri"/>
        </w:rPr>
        <w:t>proportionnées</w:t>
      </w:r>
      <w:r>
        <w:rPr>
          <w:rFonts w:eastAsia="Calibri"/>
        </w:rPr>
        <w:t xml:space="preserve"> et ne se justifiaient donc pas </w:t>
      </w:r>
      <w:r w:rsidRPr="006503C8">
        <w:rPr>
          <w:rFonts w:eastAsia="Calibri"/>
        </w:rPr>
        <w:t>au</w:t>
      </w:r>
      <w:r>
        <w:rPr>
          <w:rFonts w:eastAsia="Calibri"/>
        </w:rPr>
        <w:t xml:space="preserve"> regard </w:t>
      </w:r>
      <w:r w:rsidRPr="006503C8">
        <w:rPr>
          <w:rFonts w:eastAsia="Calibri"/>
        </w:rPr>
        <w:t>des</w:t>
      </w:r>
      <w:r>
        <w:rPr>
          <w:rFonts w:eastAsia="Calibri"/>
        </w:rPr>
        <w:t xml:space="preserve"> </w:t>
      </w:r>
      <w:r w:rsidRPr="006503C8">
        <w:rPr>
          <w:rFonts w:eastAsia="Calibri"/>
        </w:rPr>
        <w:t>conditions</w:t>
      </w:r>
      <w:r>
        <w:rPr>
          <w:rFonts w:eastAsia="Calibri"/>
        </w:rPr>
        <w:t xml:space="preserve"> </w:t>
      </w:r>
      <w:r w:rsidRPr="006503C8">
        <w:rPr>
          <w:rFonts w:eastAsia="Calibri"/>
        </w:rPr>
        <w:t>énoncées</w:t>
      </w:r>
      <w:r>
        <w:rPr>
          <w:rFonts w:eastAsia="Calibri"/>
        </w:rPr>
        <w:t xml:space="preserve"> </w:t>
      </w:r>
      <w:r w:rsidRPr="006503C8">
        <w:rPr>
          <w:rFonts w:eastAsia="Calibri"/>
        </w:rPr>
        <w:t>au</w:t>
      </w:r>
      <w:r>
        <w:rPr>
          <w:rFonts w:eastAsia="Calibri"/>
        </w:rPr>
        <w:t xml:space="preserve"> </w:t>
      </w:r>
      <w:r w:rsidRPr="006503C8">
        <w:rPr>
          <w:rFonts w:eastAsia="Calibri"/>
        </w:rPr>
        <w:t>paragraphe</w:t>
      </w:r>
      <w:r>
        <w:rPr>
          <w:rFonts w:eastAsia="Calibri"/>
        </w:rPr>
        <w:t xml:space="preserve"> </w:t>
      </w:r>
      <w:r w:rsidRPr="006503C8">
        <w:rPr>
          <w:rFonts w:eastAsia="Calibri"/>
        </w:rPr>
        <w:t>3</w:t>
      </w:r>
      <w:r>
        <w:rPr>
          <w:rFonts w:eastAsia="Calibri"/>
        </w:rPr>
        <w:t xml:space="preserve"> </w:t>
      </w:r>
      <w:r w:rsidRPr="006503C8">
        <w:rPr>
          <w:rFonts w:eastAsia="Calibri"/>
        </w:rPr>
        <w:t>de</w:t>
      </w:r>
      <w:r>
        <w:rPr>
          <w:rFonts w:eastAsia="Calibri"/>
        </w:rPr>
        <w:t xml:space="preserve"> </w:t>
      </w:r>
      <w:r w:rsidRPr="006503C8">
        <w:rPr>
          <w:rFonts w:eastAsia="Calibri"/>
        </w:rPr>
        <w:t>l</w:t>
      </w:r>
      <w:r w:rsidR="00CA2931">
        <w:rPr>
          <w:rFonts w:eastAsia="Calibri"/>
        </w:rPr>
        <w:t>’</w:t>
      </w:r>
      <w:r w:rsidRPr="006503C8">
        <w:rPr>
          <w:rFonts w:eastAsia="Calibri"/>
        </w:rPr>
        <w:t>article</w:t>
      </w:r>
      <w:r>
        <w:rPr>
          <w:rFonts w:eastAsia="Calibri"/>
        </w:rPr>
        <w:t xml:space="preserve"> </w:t>
      </w:r>
      <w:r w:rsidRPr="006503C8">
        <w:rPr>
          <w:rFonts w:eastAsia="Calibri"/>
        </w:rPr>
        <w:t>19</w:t>
      </w:r>
      <w:r>
        <w:rPr>
          <w:rFonts w:eastAsia="Calibri"/>
        </w:rPr>
        <w:t xml:space="preserve"> </w:t>
      </w:r>
      <w:r w:rsidRPr="006503C8">
        <w:rPr>
          <w:rFonts w:eastAsia="Calibri"/>
        </w:rPr>
        <w:t>du</w:t>
      </w:r>
      <w:r>
        <w:rPr>
          <w:rFonts w:eastAsia="Calibri"/>
        </w:rPr>
        <w:t xml:space="preserve"> </w:t>
      </w:r>
      <w:r w:rsidRPr="006503C8">
        <w:rPr>
          <w:rFonts w:eastAsia="Calibri"/>
        </w:rPr>
        <w:t>Pacte</w:t>
      </w:r>
      <w:r>
        <w:rPr>
          <w:rFonts w:eastAsia="Calibri"/>
        </w:rPr>
        <w:t>.</w:t>
      </w:r>
      <w:r w:rsidR="00262816">
        <w:rPr>
          <w:rFonts w:eastAsia="Calibri"/>
        </w:rPr>
        <w:t xml:space="preserve"> </w:t>
      </w:r>
      <w:r w:rsidR="00DE1A97">
        <w:rPr>
          <w:rFonts w:eastAsia="Calibri"/>
        </w:rPr>
        <w:t>Nous considérons que cette conclusion est difficile à comprendre et ne reflète pas avec exactitude les faits en l’espèce.</w:t>
      </w:r>
    </w:p>
    <w:p w14:paraId="26FA7FF7" w14:textId="77777777" w:rsidR="00765853" w:rsidRDefault="00765853" w:rsidP="001F145D">
      <w:pPr>
        <w:pStyle w:val="SingleTxtG"/>
        <w:keepNext/>
        <w:keepLines/>
      </w:pPr>
      <w:r>
        <w:rPr>
          <w:rFonts w:eastAsia="Calibri"/>
        </w:rPr>
        <w:lastRenderedPageBreak/>
        <w:t>10.</w:t>
      </w:r>
      <w:r>
        <w:rPr>
          <w:rFonts w:eastAsia="Calibri"/>
        </w:rPr>
        <w:tab/>
        <w:t>Selon le Comité (par</w:t>
      </w:r>
      <w:r w:rsidR="00B836E6">
        <w:rPr>
          <w:rFonts w:eastAsia="Calibri"/>
        </w:rPr>
        <w:t>.</w:t>
      </w:r>
      <w:r>
        <w:rPr>
          <w:rFonts w:eastAsia="Calibri"/>
        </w:rPr>
        <w:t> 8.10), la Cour suprême de Lituanie a conclu que l</w:t>
      </w:r>
      <w:r w:rsidR="00CA2931">
        <w:rPr>
          <w:rFonts w:eastAsia="Calibri"/>
        </w:rPr>
        <w:t>’</w:t>
      </w:r>
      <w:r>
        <w:rPr>
          <w:rFonts w:eastAsia="Calibri"/>
        </w:rPr>
        <w:t>auteur n</w:t>
      </w:r>
      <w:r w:rsidR="00CA2931">
        <w:rPr>
          <w:rFonts w:eastAsia="Calibri"/>
        </w:rPr>
        <w:t>’</w:t>
      </w:r>
      <w:r>
        <w:rPr>
          <w:rFonts w:eastAsia="Calibri"/>
        </w:rPr>
        <w:t xml:space="preserve">avait pas été condamnée </w:t>
      </w:r>
      <w:r w:rsidRPr="006503C8">
        <w:rPr>
          <w:lang w:bidi="he-IL"/>
        </w:rPr>
        <w:t>pour</w:t>
      </w:r>
      <w:r>
        <w:rPr>
          <w:lang w:bidi="he-IL"/>
        </w:rPr>
        <w:t xml:space="preserve"> </w:t>
      </w:r>
      <w:r w:rsidRPr="006503C8">
        <w:rPr>
          <w:lang w:bidi="he-IL"/>
        </w:rPr>
        <w:t>avoir</w:t>
      </w:r>
      <w:r>
        <w:rPr>
          <w:lang w:bidi="he-IL"/>
        </w:rPr>
        <w:t xml:space="preserve"> </w:t>
      </w:r>
      <w:r w:rsidRPr="006503C8">
        <w:rPr>
          <w:lang w:bidi="he-IL"/>
        </w:rPr>
        <w:t>formulé</w:t>
      </w:r>
      <w:r>
        <w:rPr>
          <w:lang w:bidi="he-IL"/>
        </w:rPr>
        <w:t xml:space="preserve"> </w:t>
      </w:r>
      <w:r w:rsidRPr="006503C8">
        <w:rPr>
          <w:lang w:bidi="he-IL"/>
        </w:rPr>
        <w:t>une</w:t>
      </w:r>
      <w:r>
        <w:rPr>
          <w:lang w:bidi="he-IL"/>
        </w:rPr>
        <w:t xml:space="preserve"> </w:t>
      </w:r>
      <w:r w:rsidRPr="006503C8">
        <w:rPr>
          <w:lang w:bidi="he-IL"/>
        </w:rPr>
        <w:t>critique</w:t>
      </w:r>
      <w:r>
        <w:rPr>
          <w:lang w:bidi="he-IL"/>
        </w:rPr>
        <w:t xml:space="preserve"> </w:t>
      </w:r>
      <w:r w:rsidRPr="006503C8">
        <w:rPr>
          <w:lang w:bidi="he-IL"/>
        </w:rPr>
        <w:t>à</w:t>
      </w:r>
      <w:r>
        <w:rPr>
          <w:lang w:bidi="he-IL"/>
        </w:rPr>
        <w:t xml:space="preserve"> </w:t>
      </w:r>
      <w:r w:rsidRPr="006503C8">
        <w:rPr>
          <w:lang w:bidi="he-IL"/>
        </w:rPr>
        <w:t>l</w:t>
      </w:r>
      <w:r w:rsidR="00CA2931">
        <w:rPr>
          <w:lang w:bidi="he-IL"/>
        </w:rPr>
        <w:t>’</w:t>
      </w:r>
      <w:r w:rsidRPr="006503C8">
        <w:rPr>
          <w:lang w:bidi="he-IL"/>
        </w:rPr>
        <w:t>encontre</w:t>
      </w:r>
      <w:r>
        <w:rPr>
          <w:lang w:bidi="he-IL"/>
        </w:rPr>
        <w:t xml:space="preserve"> </w:t>
      </w:r>
      <w:r w:rsidRPr="006503C8">
        <w:rPr>
          <w:lang w:bidi="he-IL"/>
        </w:rPr>
        <w:t>des</w:t>
      </w:r>
      <w:r>
        <w:rPr>
          <w:lang w:bidi="he-IL"/>
        </w:rPr>
        <w:t xml:space="preserve"> </w:t>
      </w:r>
      <w:r w:rsidRPr="006503C8">
        <w:rPr>
          <w:lang w:bidi="he-IL"/>
        </w:rPr>
        <w:t>procureurs,</w:t>
      </w:r>
      <w:r>
        <w:rPr>
          <w:lang w:bidi="he-IL"/>
        </w:rPr>
        <w:t xml:space="preserve"> </w:t>
      </w:r>
      <w:r w:rsidRPr="006503C8">
        <w:rPr>
          <w:lang w:bidi="he-IL"/>
        </w:rPr>
        <w:t>mais</w:t>
      </w:r>
      <w:r>
        <w:rPr>
          <w:lang w:bidi="he-IL"/>
        </w:rPr>
        <w:t xml:space="preserve"> </w:t>
      </w:r>
      <w:r w:rsidRPr="006503C8">
        <w:rPr>
          <w:lang w:bidi="he-IL"/>
        </w:rPr>
        <w:t>pour</w:t>
      </w:r>
      <w:r>
        <w:rPr>
          <w:lang w:bidi="he-IL"/>
        </w:rPr>
        <w:t xml:space="preserve"> </w:t>
      </w:r>
      <w:r w:rsidRPr="006503C8">
        <w:rPr>
          <w:lang w:bidi="he-IL"/>
        </w:rPr>
        <w:t>l</w:t>
      </w:r>
      <w:r w:rsidR="00CA2931">
        <w:rPr>
          <w:lang w:bidi="he-IL"/>
        </w:rPr>
        <w:t>’</w:t>
      </w:r>
      <w:r w:rsidRPr="006503C8">
        <w:rPr>
          <w:lang w:bidi="he-IL"/>
        </w:rPr>
        <w:t>avoir</w:t>
      </w:r>
      <w:r>
        <w:rPr>
          <w:lang w:bidi="he-IL"/>
        </w:rPr>
        <w:t xml:space="preserve"> </w:t>
      </w:r>
      <w:r w:rsidRPr="006503C8">
        <w:rPr>
          <w:lang w:bidi="he-IL"/>
        </w:rPr>
        <w:t>fait</w:t>
      </w:r>
      <w:r>
        <w:rPr>
          <w:lang w:bidi="he-IL"/>
        </w:rPr>
        <w:t xml:space="preserve"> </w:t>
      </w:r>
      <w:r w:rsidRPr="006503C8">
        <w:rPr>
          <w:lang w:bidi="he-IL"/>
        </w:rPr>
        <w:t>de</w:t>
      </w:r>
      <w:r>
        <w:rPr>
          <w:lang w:bidi="he-IL"/>
        </w:rPr>
        <w:t xml:space="preserve"> </w:t>
      </w:r>
      <w:r w:rsidRPr="006503C8">
        <w:rPr>
          <w:lang w:bidi="he-IL"/>
        </w:rPr>
        <w:t>façon</w:t>
      </w:r>
      <w:r>
        <w:rPr>
          <w:lang w:bidi="he-IL"/>
        </w:rPr>
        <w:t xml:space="preserve"> </w:t>
      </w:r>
      <w:r w:rsidRPr="006503C8">
        <w:rPr>
          <w:lang w:bidi="he-IL"/>
        </w:rPr>
        <w:t>insultante</w:t>
      </w:r>
      <w:r>
        <w:rPr>
          <w:lang w:bidi="he-IL"/>
        </w:rPr>
        <w:t xml:space="preserve">. </w:t>
      </w:r>
      <w:r w:rsidRPr="00A71851">
        <w:rPr>
          <w:lang w:bidi="he-IL"/>
        </w:rPr>
        <w:t xml:space="preserve">Toutefois, la manière dont le Comité présente </w:t>
      </w:r>
      <w:r w:rsidR="00111A21" w:rsidRPr="00A71851">
        <w:rPr>
          <w:lang w:bidi="he-IL"/>
        </w:rPr>
        <w:t>ce</w:t>
      </w:r>
      <w:r w:rsidRPr="00A71851">
        <w:rPr>
          <w:lang w:bidi="he-IL"/>
        </w:rPr>
        <w:t xml:space="preserve"> raisonnement n</w:t>
      </w:r>
      <w:r w:rsidR="00CA2931">
        <w:rPr>
          <w:lang w:bidi="he-IL"/>
        </w:rPr>
        <w:t>’</w:t>
      </w:r>
      <w:r w:rsidRPr="00A71851">
        <w:rPr>
          <w:lang w:bidi="he-IL"/>
        </w:rPr>
        <w:t>est pas totalement exacte</w:t>
      </w:r>
      <w:r>
        <w:rPr>
          <w:lang w:bidi="he-IL"/>
        </w:rPr>
        <w:t>. En fait, l</w:t>
      </w:r>
      <w:r w:rsidR="00CA2931">
        <w:rPr>
          <w:lang w:bidi="he-IL"/>
        </w:rPr>
        <w:t>’</w:t>
      </w:r>
      <w:r w:rsidRPr="0018326A">
        <w:rPr>
          <w:lang w:bidi="he-IL"/>
        </w:rPr>
        <w:t>État partie</w:t>
      </w:r>
      <w:r>
        <w:rPr>
          <w:lang w:bidi="he-IL"/>
        </w:rPr>
        <w:t xml:space="preserve"> affirme que les </w:t>
      </w:r>
      <w:r w:rsidRPr="006503C8">
        <w:t>juridictions</w:t>
      </w:r>
      <w:r>
        <w:t xml:space="preserve"> </w:t>
      </w:r>
      <w:r w:rsidRPr="006503C8">
        <w:t>nationales</w:t>
      </w:r>
      <w:r>
        <w:t xml:space="preserve"> </w:t>
      </w:r>
      <w:r w:rsidRPr="006503C8">
        <w:t>ont</w:t>
      </w:r>
      <w:r>
        <w:t xml:space="preserve"> </w:t>
      </w:r>
      <w:r w:rsidRPr="006503C8">
        <w:t>minutieusement</w:t>
      </w:r>
      <w:r>
        <w:t xml:space="preserve"> </w:t>
      </w:r>
      <w:r w:rsidRPr="006503C8">
        <w:t>analysé</w:t>
      </w:r>
      <w:r>
        <w:t xml:space="preserve"> </w:t>
      </w:r>
      <w:r w:rsidRPr="006503C8">
        <w:t>les</w:t>
      </w:r>
      <w:r>
        <w:t xml:space="preserve"> </w:t>
      </w:r>
      <w:r w:rsidRPr="006503C8">
        <w:t>circonstances</w:t>
      </w:r>
      <w:r>
        <w:t xml:space="preserve"> </w:t>
      </w:r>
      <w:r w:rsidRPr="006503C8">
        <w:t>de</w:t>
      </w:r>
      <w:r>
        <w:t xml:space="preserve"> </w:t>
      </w:r>
      <w:r w:rsidRPr="006503C8">
        <w:t>l</w:t>
      </w:r>
      <w:r w:rsidR="00CA2931">
        <w:t>’</w:t>
      </w:r>
      <w:r w:rsidRPr="006503C8">
        <w:t>affaire.</w:t>
      </w:r>
      <w:r>
        <w:t xml:space="preserve"> </w:t>
      </w:r>
      <w:r w:rsidRPr="006503C8">
        <w:t>Certaines</w:t>
      </w:r>
      <w:r>
        <w:t xml:space="preserve"> </w:t>
      </w:r>
      <w:r w:rsidRPr="006503C8">
        <w:t>parties</w:t>
      </w:r>
      <w:r>
        <w:t xml:space="preserve"> </w:t>
      </w:r>
      <w:r w:rsidRPr="006503C8">
        <w:t>de</w:t>
      </w:r>
      <w:r>
        <w:t xml:space="preserve"> </w:t>
      </w:r>
      <w:r w:rsidRPr="006503C8">
        <w:t>la</w:t>
      </w:r>
      <w:r>
        <w:t xml:space="preserve"> </w:t>
      </w:r>
      <w:r w:rsidRPr="006503C8">
        <w:t>déclaration</w:t>
      </w:r>
      <w:r>
        <w:t xml:space="preserve"> </w:t>
      </w:r>
      <w:r w:rsidRPr="006503C8">
        <w:t>de</w:t>
      </w:r>
      <w:r>
        <w:t xml:space="preserve"> </w:t>
      </w:r>
      <w:r w:rsidRPr="006503C8">
        <w:t>l</w:t>
      </w:r>
      <w:r w:rsidR="00CA2931">
        <w:t>’</w:t>
      </w:r>
      <w:r w:rsidRPr="006503C8">
        <w:t>auteure</w:t>
      </w:r>
      <w:r>
        <w:t xml:space="preserve"> </w:t>
      </w:r>
      <w:r w:rsidRPr="006503C8">
        <w:t>ont</w:t>
      </w:r>
      <w:r>
        <w:t xml:space="preserve"> </w:t>
      </w:r>
      <w:r w:rsidRPr="006503C8">
        <w:t>même</w:t>
      </w:r>
      <w:r>
        <w:t xml:space="preserve"> </w:t>
      </w:r>
      <w:r w:rsidRPr="006503C8">
        <w:t>été</w:t>
      </w:r>
      <w:r>
        <w:t xml:space="preserve"> </w:t>
      </w:r>
      <w:r w:rsidRPr="006503C8">
        <w:t>ignorées</w:t>
      </w:r>
      <w:r>
        <w:t xml:space="preserve"> </w:t>
      </w:r>
      <w:r w:rsidRPr="006503C8">
        <w:t>parce</w:t>
      </w:r>
      <w:r>
        <w:t xml:space="preserve"> </w:t>
      </w:r>
      <w:r w:rsidRPr="006503C8">
        <w:t>qu</w:t>
      </w:r>
      <w:r w:rsidR="00CA2931">
        <w:t>’</w:t>
      </w:r>
      <w:r w:rsidRPr="006503C8">
        <w:t>elles</w:t>
      </w:r>
      <w:r>
        <w:t xml:space="preserve"> </w:t>
      </w:r>
      <w:r w:rsidRPr="006503C8">
        <w:t>étaient</w:t>
      </w:r>
      <w:r>
        <w:t xml:space="preserve"> </w:t>
      </w:r>
      <w:r w:rsidRPr="006503C8">
        <w:t>vagues</w:t>
      </w:r>
      <w:r>
        <w:t xml:space="preserve"> </w:t>
      </w:r>
      <w:r w:rsidRPr="006503C8">
        <w:t>ou</w:t>
      </w:r>
      <w:r>
        <w:t xml:space="preserve"> </w:t>
      </w:r>
      <w:r w:rsidRPr="006503C8">
        <w:t>inoffensives</w:t>
      </w:r>
      <w:r>
        <w:t xml:space="preserve"> </w:t>
      </w:r>
      <w:r w:rsidRPr="006503C8">
        <w:t>et</w:t>
      </w:r>
      <w:r>
        <w:t xml:space="preserve"> </w:t>
      </w:r>
      <w:r w:rsidRPr="006503C8">
        <w:t>ne</w:t>
      </w:r>
      <w:r>
        <w:t xml:space="preserve"> </w:t>
      </w:r>
      <w:r w:rsidRPr="006503C8">
        <w:t>pouvaient</w:t>
      </w:r>
      <w:r>
        <w:t xml:space="preserve"> </w:t>
      </w:r>
      <w:r w:rsidRPr="006503C8">
        <w:t>donc</w:t>
      </w:r>
      <w:r>
        <w:t xml:space="preserve"> </w:t>
      </w:r>
      <w:r w:rsidRPr="006503C8">
        <w:t>constituer</w:t>
      </w:r>
      <w:r>
        <w:t xml:space="preserve"> </w:t>
      </w:r>
      <w:r w:rsidRPr="006503C8">
        <w:t>des</w:t>
      </w:r>
      <w:r>
        <w:t xml:space="preserve"> </w:t>
      </w:r>
      <w:r w:rsidRPr="006503C8">
        <w:t>éléments</w:t>
      </w:r>
      <w:r>
        <w:t xml:space="preserve"> </w:t>
      </w:r>
      <w:r w:rsidRPr="006503C8">
        <w:t>de</w:t>
      </w:r>
      <w:r>
        <w:t xml:space="preserve"> </w:t>
      </w:r>
      <w:r w:rsidRPr="006503C8">
        <w:t>l</w:t>
      </w:r>
      <w:r w:rsidR="00CA2931">
        <w:t>’</w:t>
      </w:r>
      <w:r w:rsidRPr="006503C8">
        <w:t>infraction</w:t>
      </w:r>
      <w:r>
        <w:t xml:space="preserve"> </w:t>
      </w:r>
      <w:r w:rsidRPr="006503C8">
        <w:t>visée</w:t>
      </w:r>
      <w:r>
        <w:t xml:space="preserve"> </w:t>
      </w:r>
      <w:r w:rsidRPr="006503C8">
        <w:t>à</w:t>
      </w:r>
      <w:r>
        <w:t xml:space="preserve"> </w:t>
      </w:r>
      <w:r w:rsidRPr="006503C8">
        <w:t>l</w:t>
      </w:r>
      <w:r w:rsidR="00CA2931">
        <w:t>’</w:t>
      </w:r>
      <w:r w:rsidRPr="006503C8">
        <w:t>article</w:t>
      </w:r>
      <w:r>
        <w:t> </w:t>
      </w:r>
      <w:r w:rsidRPr="006503C8">
        <w:t>290</w:t>
      </w:r>
      <w:r>
        <w:t xml:space="preserve"> </w:t>
      </w:r>
      <w:r w:rsidRPr="006503C8">
        <w:t>du</w:t>
      </w:r>
      <w:r>
        <w:t xml:space="preserve"> </w:t>
      </w:r>
      <w:r w:rsidRPr="006503C8">
        <w:t>Code</w:t>
      </w:r>
      <w:r>
        <w:t xml:space="preserve"> </w:t>
      </w:r>
      <w:r w:rsidRPr="006503C8">
        <w:t>pénal</w:t>
      </w:r>
      <w:r w:rsidR="000A5796">
        <w:t xml:space="preserve"> </w:t>
      </w:r>
      <w:r w:rsidR="000A5796" w:rsidRPr="00E0400E">
        <w:t>(par. 4.5)</w:t>
      </w:r>
      <w:r w:rsidRPr="00E0400E">
        <w:t>.</w:t>
      </w:r>
      <w:r>
        <w:t xml:space="preserve"> </w:t>
      </w:r>
      <w:r w:rsidRPr="006503C8">
        <w:t>En</w:t>
      </w:r>
      <w:r>
        <w:t xml:space="preserve"> </w:t>
      </w:r>
      <w:r w:rsidRPr="006503C8">
        <w:t>outre,</w:t>
      </w:r>
      <w:r>
        <w:t xml:space="preserve"> </w:t>
      </w:r>
      <w:r w:rsidRPr="006503C8">
        <w:t>tout</w:t>
      </w:r>
      <w:r>
        <w:t xml:space="preserve"> </w:t>
      </w:r>
      <w:r w:rsidRPr="006503C8">
        <w:t>en</w:t>
      </w:r>
      <w:r>
        <w:t xml:space="preserve"> </w:t>
      </w:r>
      <w:r w:rsidRPr="006503C8">
        <w:t>reconnaissant</w:t>
      </w:r>
      <w:r>
        <w:t xml:space="preserve"> </w:t>
      </w:r>
      <w:r w:rsidRPr="006503C8">
        <w:t>l</w:t>
      </w:r>
      <w:r w:rsidR="00CA2931">
        <w:t>’</w:t>
      </w:r>
      <w:r w:rsidRPr="006503C8">
        <w:t>importance</w:t>
      </w:r>
      <w:r>
        <w:t xml:space="preserve"> </w:t>
      </w:r>
      <w:r w:rsidRPr="006503C8">
        <w:t>des</w:t>
      </w:r>
      <w:r>
        <w:t xml:space="preserve"> </w:t>
      </w:r>
      <w:r w:rsidRPr="006503C8">
        <w:t>formes</w:t>
      </w:r>
      <w:r>
        <w:t xml:space="preserve"> </w:t>
      </w:r>
      <w:r w:rsidRPr="006503C8">
        <w:t>d</w:t>
      </w:r>
      <w:r w:rsidR="00CA2931">
        <w:t>’</w:t>
      </w:r>
      <w:r w:rsidRPr="006503C8">
        <w:t>expression</w:t>
      </w:r>
      <w:r>
        <w:t xml:space="preserve"> </w:t>
      </w:r>
      <w:r w:rsidRPr="006503C8">
        <w:t>qui</w:t>
      </w:r>
      <w:r>
        <w:t xml:space="preserve"> </w:t>
      </w:r>
      <w:r w:rsidRPr="006503C8">
        <w:t>contribuent</w:t>
      </w:r>
      <w:r>
        <w:t xml:space="preserve"> </w:t>
      </w:r>
      <w:r w:rsidRPr="006503C8">
        <w:t>au</w:t>
      </w:r>
      <w:r>
        <w:t xml:space="preserve"> </w:t>
      </w:r>
      <w:r w:rsidRPr="006503C8">
        <w:t>débat</w:t>
      </w:r>
      <w:r>
        <w:t xml:space="preserve"> </w:t>
      </w:r>
      <w:r w:rsidRPr="006503C8">
        <w:t>public</w:t>
      </w:r>
      <w:r>
        <w:t xml:space="preserve"> </w:t>
      </w:r>
      <w:r w:rsidRPr="006503C8">
        <w:t>au</w:t>
      </w:r>
      <w:r>
        <w:t xml:space="preserve"> </w:t>
      </w:r>
      <w:r w:rsidRPr="006503C8">
        <w:t>sujet</w:t>
      </w:r>
      <w:r>
        <w:t xml:space="preserve"> </w:t>
      </w:r>
      <w:r w:rsidRPr="006503C8">
        <w:t>de</w:t>
      </w:r>
      <w:r>
        <w:t xml:space="preserve"> </w:t>
      </w:r>
      <w:r w:rsidRPr="006503C8">
        <w:t>personnalités</w:t>
      </w:r>
      <w:r>
        <w:t xml:space="preserve"> </w:t>
      </w:r>
      <w:r w:rsidRPr="006503C8">
        <w:t>publiques,</w:t>
      </w:r>
      <w:r>
        <w:t xml:space="preserve"> </w:t>
      </w:r>
      <w:r w:rsidRPr="006503C8">
        <w:t>dans</w:t>
      </w:r>
      <w:r>
        <w:t xml:space="preserve"> </w:t>
      </w:r>
      <w:r w:rsidRPr="006503C8">
        <w:t>le</w:t>
      </w:r>
      <w:r>
        <w:t xml:space="preserve"> </w:t>
      </w:r>
      <w:r w:rsidRPr="006503C8">
        <w:t>domaine</w:t>
      </w:r>
      <w:r>
        <w:t xml:space="preserve"> </w:t>
      </w:r>
      <w:r w:rsidRPr="006503C8">
        <w:t>public</w:t>
      </w:r>
      <w:r>
        <w:t xml:space="preserve"> </w:t>
      </w:r>
      <w:r w:rsidRPr="006503C8">
        <w:t>et</w:t>
      </w:r>
      <w:r>
        <w:t xml:space="preserve"> </w:t>
      </w:r>
      <w:r w:rsidRPr="006503C8">
        <w:t>les</w:t>
      </w:r>
      <w:r>
        <w:t xml:space="preserve"> </w:t>
      </w:r>
      <w:r w:rsidRPr="006503C8">
        <w:t>institutions</w:t>
      </w:r>
      <w:r>
        <w:t xml:space="preserve"> </w:t>
      </w:r>
      <w:r w:rsidRPr="006503C8">
        <w:t>publiques,</w:t>
      </w:r>
      <w:r>
        <w:t xml:space="preserve"> </w:t>
      </w:r>
      <w:r w:rsidRPr="006503C8">
        <w:t>les</w:t>
      </w:r>
      <w:r>
        <w:t xml:space="preserve"> </w:t>
      </w:r>
      <w:r w:rsidRPr="006503C8">
        <w:t>juridictions</w:t>
      </w:r>
      <w:r>
        <w:t xml:space="preserve"> </w:t>
      </w:r>
      <w:r w:rsidRPr="006503C8">
        <w:t>nationales</w:t>
      </w:r>
      <w:r>
        <w:t xml:space="preserve"> </w:t>
      </w:r>
      <w:r w:rsidRPr="006503C8">
        <w:t>ont</w:t>
      </w:r>
      <w:r>
        <w:t xml:space="preserve"> </w:t>
      </w:r>
      <w:r w:rsidRPr="006503C8">
        <w:t>conclu</w:t>
      </w:r>
      <w:r>
        <w:t xml:space="preserve"> </w:t>
      </w:r>
      <w:r w:rsidRPr="006503C8">
        <w:t>que,</w:t>
      </w:r>
      <w:r>
        <w:t xml:space="preserve"> </w:t>
      </w:r>
      <w:r w:rsidRPr="006503C8">
        <w:t>d</w:t>
      </w:r>
      <w:r w:rsidR="00CA2931">
        <w:t>’</w:t>
      </w:r>
      <w:r w:rsidRPr="006503C8">
        <w:t>une</w:t>
      </w:r>
      <w:r>
        <w:t xml:space="preserve"> </w:t>
      </w:r>
      <w:r w:rsidRPr="006503C8">
        <w:t>part,</w:t>
      </w:r>
      <w:r>
        <w:t xml:space="preserve"> </w:t>
      </w:r>
      <w:r w:rsidRPr="006503C8">
        <w:t>les</w:t>
      </w:r>
      <w:r>
        <w:t xml:space="preserve"> </w:t>
      </w:r>
      <w:r w:rsidRPr="006503C8">
        <w:t>déclarations</w:t>
      </w:r>
      <w:r>
        <w:t xml:space="preserve"> </w:t>
      </w:r>
      <w:r w:rsidRPr="006503C8">
        <w:t>de</w:t>
      </w:r>
      <w:r>
        <w:t xml:space="preserve"> </w:t>
      </w:r>
      <w:r w:rsidRPr="006503C8">
        <w:t>l</w:t>
      </w:r>
      <w:r w:rsidR="00CA2931">
        <w:t>’</w:t>
      </w:r>
      <w:r w:rsidRPr="006503C8">
        <w:t>auteure</w:t>
      </w:r>
      <w:r>
        <w:t xml:space="preserve"> </w:t>
      </w:r>
      <w:r w:rsidRPr="006503C8">
        <w:t>ne</w:t>
      </w:r>
      <w:r>
        <w:t xml:space="preserve"> </w:t>
      </w:r>
      <w:r w:rsidRPr="006503C8">
        <w:t>contribuaient</w:t>
      </w:r>
      <w:r>
        <w:t xml:space="preserve"> </w:t>
      </w:r>
      <w:r w:rsidRPr="006503C8">
        <w:t>pas</w:t>
      </w:r>
      <w:r>
        <w:t xml:space="preserve"> </w:t>
      </w:r>
      <w:r w:rsidRPr="006503C8">
        <w:t>à</w:t>
      </w:r>
      <w:r>
        <w:t xml:space="preserve"> </w:t>
      </w:r>
      <w:r w:rsidRPr="006503C8">
        <w:t>un</w:t>
      </w:r>
      <w:r>
        <w:t xml:space="preserve"> </w:t>
      </w:r>
      <w:r w:rsidRPr="006503C8">
        <w:t>débat</w:t>
      </w:r>
      <w:r>
        <w:t xml:space="preserve"> </w:t>
      </w:r>
      <w:r w:rsidRPr="006503C8">
        <w:t>public</w:t>
      </w:r>
      <w:r>
        <w:t xml:space="preserve"> </w:t>
      </w:r>
      <w:r w:rsidRPr="006503C8">
        <w:t>et</w:t>
      </w:r>
      <w:r>
        <w:t xml:space="preserve"> </w:t>
      </w:r>
      <w:r w:rsidRPr="006503C8">
        <w:t>que,</w:t>
      </w:r>
      <w:r>
        <w:t xml:space="preserve"> </w:t>
      </w:r>
      <w:r w:rsidRPr="006503C8">
        <w:t>d</w:t>
      </w:r>
      <w:r w:rsidR="00CA2931">
        <w:t>’</w:t>
      </w:r>
      <w:r w:rsidRPr="006503C8">
        <w:t>autre</w:t>
      </w:r>
      <w:r>
        <w:t xml:space="preserve"> </w:t>
      </w:r>
      <w:r w:rsidRPr="006503C8">
        <w:t>part,</w:t>
      </w:r>
      <w:r>
        <w:t xml:space="preserve"> </w:t>
      </w:r>
      <w:r w:rsidRPr="006503C8">
        <w:t>les</w:t>
      </w:r>
      <w:r>
        <w:t xml:space="preserve"> </w:t>
      </w:r>
      <w:r w:rsidRPr="006503C8">
        <w:t>procureurs</w:t>
      </w:r>
      <w:r>
        <w:t xml:space="preserve"> </w:t>
      </w:r>
      <w:r w:rsidRPr="006503C8">
        <w:t>insultés</w:t>
      </w:r>
      <w:r>
        <w:t xml:space="preserve"> </w:t>
      </w:r>
      <w:r w:rsidRPr="006503C8">
        <w:t>ne</w:t>
      </w:r>
      <w:r>
        <w:t xml:space="preserve"> </w:t>
      </w:r>
      <w:r w:rsidRPr="006503C8">
        <w:t>pouvaient</w:t>
      </w:r>
      <w:r>
        <w:t xml:space="preserve"> </w:t>
      </w:r>
      <w:r w:rsidRPr="006503C8">
        <w:t>être</w:t>
      </w:r>
      <w:r>
        <w:t xml:space="preserve"> </w:t>
      </w:r>
      <w:r w:rsidRPr="006503C8">
        <w:t>considérés</w:t>
      </w:r>
      <w:r>
        <w:t xml:space="preserve"> </w:t>
      </w:r>
      <w:r w:rsidRPr="006503C8">
        <w:t>comme</w:t>
      </w:r>
      <w:r>
        <w:t xml:space="preserve"> </w:t>
      </w:r>
      <w:r w:rsidRPr="006503C8">
        <w:t>des</w:t>
      </w:r>
      <w:r>
        <w:t xml:space="preserve"> </w:t>
      </w:r>
      <w:r w:rsidRPr="006503C8">
        <w:t>personnalités</w:t>
      </w:r>
      <w:r>
        <w:t xml:space="preserve"> </w:t>
      </w:r>
      <w:r w:rsidRPr="006503C8">
        <w:t>publiques</w:t>
      </w:r>
      <w:r>
        <w:t xml:space="preserve"> </w:t>
      </w:r>
      <w:r w:rsidRPr="006503C8">
        <w:t>ou</w:t>
      </w:r>
      <w:r>
        <w:t xml:space="preserve"> </w:t>
      </w:r>
      <w:r w:rsidRPr="006503C8">
        <w:t>politiques</w:t>
      </w:r>
      <w:r>
        <w:t xml:space="preserve"> (voir aussi par</w:t>
      </w:r>
      <w:r w:rsidR="000A5796">
        <w:t>.</w:t>
      </w:r>
      <w:r>
        <w:t> 6.2)</w:t>
      </w:r>
      <w:r w:rsidRPr="006503C8">
        <w:t>.</w:t>
      </w:r>
      <w:r>
        <w:t xml:space="preserve"> </w:t>
      </w:r>
      <w:r w:rsidRPr="006503C8">
        <w:t>À</w:t>
      </w:r>
      <w:r>
        <w:t xml:space="preserve"> </w:t>
      </w:r>
      <w:r w:rsidRPr="006503C8">
        <w:t>ce</w:t>
      </w:r>
      <w:r>
        <w:t xml:space="preserve"> </w:t>
      </w:r>
      <w:r w:rsidRPr="006503C8">
        <w:t>sujet,</w:t>
      </w:r>
      <w:r>
        <w:t xml:space="preserve"> </w:t>
      </w:r>
      <w:r w:rsidRPr="006503C8">
        <w:t>la</w:t>
      </w:r>
      <w:r>
        <w:t xml:space="preserve"> </w:t>
      </w:r>
      <w:r w:rsidRPr="006503C8">
        <w:t>Cour</w:t>
      </w:r>
      <w:r>
        <w:t xml:space="preserve"> </w:t>
      </w:r>
      <w:r w:rsidRPr="006503C8">
        <w:t>suprême</w:t>
      </w:r>
      <w:r>
        <w:t xml:space="preserve"> </w:t>
      </w:r>
      <w:r w:rsidRPr="006503C8">
        <w:t>a</w:t>
      </w:r>
      <w:r>
        <w:t xml:space="preserve"> </w:t>
      </w:r>
      <w:r w:rsidRPr="006503C8">
        <w:t>fait</w:t>
      </w:r>
      <w:r>
        <w:t xml:space="preserve"> </w:t>
      </w:r>
      <w:r w:rsidRPr="006503C8">
        <w:t>remarquer</w:t>
      </w:r>
      <w:r>
        <w:t xml:space="preserve"> </w:t>
      </w:r>
      <w:r w:rsidRPr="006503C8">
        <w:t>que</w:t>
      </w:r>
      <w:r>
        <w:t xml:space="preserve"> </w:t>
      </w:r>
      <w:r w:rsidRPr="006503C8">
        <w:t>la</w:t>
      </w:r>
      <w:r>
        <w:t xml:space="preserve"> </w:t>
      </w:r>
      <w:r w:rsidRPr="006503C8">
        <w:t>critique</w:t>
      </w:r>
      <w:r>
        <w:t xml:space="preserve"> </w:t>
      </w:r>
      <w:r w:rsidRPr="006503C8">
        <w:t>publique</w:t>
      </w:r>
      <w:r>
        <w:t xml:space="preserve"> </w:t>
      </w:r>
      <w:r w:rsidRPr="006503C8">
        <w:t>pouvait</w:t>
      </w:r>
      <w:r>
        <w:t xml:space="preserve"> </w:t>
      </w:r>
      <w:r w:rsidRPr="006503C8">
        <w:t>et</w:t>
      </w:r>
      <w:r>
        <w:t xml:space="preserve"> </w:t>
      </w:r>
      <w:r w:rsidRPr="006503C8">
        <w:t>devait</w:t>
      </w:r>
      <w:r>
        <w:t xml:space="preserve"> </w:t>
      </w:r>
      <w:r w:rsidRPr="006503C8">
        <w:t>être</w:t>
      </w:r>
      <w:r>
        <w:t xml:space="preserve"> </w:t>
      </w:r>
      <w:r w:rsidRPr="006503C8">
        <w:t>exprimée</w:t>
      </w:r>
      <w:r>
        <w:t xml:space="preserve"> </w:t>
      </w:r>
      <w:r w:rsidRPr="006503C8">
        <w:t>sans</w:t>
      </w:r>
      <w:r>
        <w:t xml:space="preserve"> </w:t>
      </w:r>
      <w:r w:rsidRPr="006503C8">
        <w:t>termes</w:t>
      </w:r>
      <w:r>
        <w:t xml:space="preserve"> </w:t>
      </w:r>
      <w:r w:rsidRPr="006503C8">
        <w:t>extrêmes</w:t>
      </w:r>
      <w:r>
        <w:t xml:space="preserve"> </w:t>
      </w:r>
      <w:r w:rsidRPr="006503C8">
        <w:t>ou</w:t>
      </w:r>
      <w:r>
        <w:t xml:space="preserve"> </w:t>
      </w:r>
      <w:r w:rsidRPr="006503C8">
        <w:t>insultants</w:t>
      </w:r>
      <w:r>
        <w:t xml:space="preserve"> </w:t>
      </w:r>
      <w:r w:rsidRPr="006503C8">
        <w:t>qui</w:t>
      </w:r>
      <w:r>
        <w:t xml:space="preserve"> </w:t>
      </w:r>
      <w:r w:rsidRPr="006503C8">
        <w:t>n</w:t>
      </w:r>
      <w:r w:rsidR="00CA2931">
        <w:t>’</w:t>
      </w:r>
      <w:r w:rsidRPr="006503C8">
        <w:t>enrichissent</w:t>
      </w:r>
      <w:r>
        <w:t xml:space="preserve"> </w:t>
      </w:r>
      <w:r w:rsidRPr="006503C8">
        <w:t>pas</w:t>
      </w:r>
      <w:r>
        <w:t xml:space="preserve"> </w:t>
      </w:r>
      <w:r w:rsidRPr="006503C8">
        <w:t>le</w:t>
      </w:r>
      <w:r>
        <w:t xml:space="preserve"> </w:t>
      </w:r>
      <w:r w:rsidRPr="006503C8">
        <w:t>débat</w:t>
      </w:r>
      <w:r>
        <w:t xml:space="preserve"> </w:t>
      </w:r>
      <w:r w:rsidRPr="006503C8">
        <w:t>et</w:t>
      </w:r>
      <w:r>
        <w:t xml:space="preserve"> </w:t>
      </w:r>
      <w:r w:rsidRPr="006503C8">
        <w:t>menacent</w:t>
      </w:r>
      <w:r>
        <w:t xml:space="preserve"> </w:t>
      </w:r>
      <w:r w:rsidRPr="006503C8">
        <w:t>le</w:t>
      </w:r>
      <w:r>
        <w:t xml:space="preserve"> </w:t>
      </w:r>
      <w:r w:rsidRPr="006503C8">
        <w:t>bon</w:t>
      </w:r>
      <w:r>
        <w:t xml:space="preserve"> </w:t>
      </w:r>
      <w:r w:rsidRPr="006503C8">
        <w:t>travail</w:t>
      </w:r>
      <w:r>
        <w:t xml:space="preserve"> </w:t>
      </w:r>
      <w:r w:rsidRPr="006503C8">
        <w:t>des</w:t>
      </w:r>
      <w:r>
        <w:t xml:space="preserve"> </w:t>
      </w:r>
      <w:r w:rsidRPr="006503C8">
        <w:t>fonctionnaires,</w:t>
      </w:r>
      <w:r>
        <w:t xml:space="preserve"> </w:t>
      </w:r>
      <w:r w:rsidRPr="006503C8">
        <w:t>ainsi</w:t>
      </w:r>
      <w:r>
        <w:t xml:space="preserve"> </w:t>
      </w:r>
      <w:r w:rsidRPr="006503C8">
        <w:t>que</w:t>
      </w:r>
      <w:r>
        <w:t xml:space="preserve"> </w:t>
      </w:r>
      <w:r w:rsidRPr="006503C8">
        <w:t>leur</w:t>
      </w:r>
      <w:r>
        <w:t xml:space="preserve"> </w:t>
      </w:r>
      <w:r w:rsidRPr="006503C8">
        <w:t>honneur</w:t>
      </w:r>
      <w:r>
        <w:t xml:space="preserve"> </w:t>
      </w:r>
      <w:r w:rsidRPr="006503C8">
        <w:t>et</w:t>
      </w:r>
      <w:r>
        <w:t xml:space="preserve"> </w:t>
      </w:r>
      <w:r w:rsidRPr="006503C8">
        <w:t>leur</w:t>
      </w:r>
      <w:r>
        <w:t xml:space="preserve"> </w:t>
      </w:r>
      <w:r w:rsidRPr="006503C8">
        <w:t>dignité.</w:t>
      </w:r>
      <w:r>
        <w:t xml:space="preserve"> </w:t>
      </w:r>
      <w:r w:rsidRPr="006503C8">
        <w:t>La</w:t>
      </w:r>
      <w:r>
        <w:t xml:space="preserve"> </w:t>
      </w:r>
      <w:r w:rsidRPr="006503C8">
        <w:t>Cour</w:t>
      </w:r>
      <w:r>
        <w:t xml:space="preserve"> </w:t>
      </w:r>
      <w:r w:rsidRPr="006503C8">
        <w:t>suprême</w:t>
      </w:r>
      <w:r>
        <w:t xml:space="preserve"> </w:t>
      </w:r>
      <w:r w:rsidRPr="006503C8">
        <w:t>a</w:t>
      </w:r>
      <w:r>
        <w:t xml:space="preserve"> </w:t>
      </w:r>
      <w:r w:rsidRPr="006503C8">
        <w:t>souligné</w:t>
      </w:r>
      <w:r>
        <w:t xml:space="preserve"> </w:t>
      </w:r>
      <w:r w:rsidRPr="006503C8">
        <w:t>que</w:t>
      </w:r>
      <w:r>
        <w:t xml:space="preserve"> </w:t>
      </w:r>
      <w:r w:rsidRPr="006503C8">
        <w:t>l</w:t>
      </w:r>
      <w:r w:rsidR="00CA2931">
        <w:t>’</w:t>
      </w:r>
      <w:r w:rsidRPr="006503C8">
        <w:t>auteure</w:t>
      </w:r>
      <w:r>
        <w:t xml:space="preserve"> </w:t>
      </w:r>
      <w:r w:rsidRPr="006503C8">
        <w:t>n</w:t>
      </w:r>
      <w:r w:rsidR="00CA2931">
        <w:t>’</w:t>
      </w:r>
      <w:r w:rsidRPr="006503C8">
        <w:t>avait</w:t>
      </w:r>
      <w:r>
        <w:t xml:space="preserve"> </w:t>
      </w:r>
      <w:r w:rsidRPr="006503C8">
        <w:t>pas</w:t>
      </w:r>
      <w:r>
        <w:t xml:space="preserve"> </w:t>
      </w:r>
      <w:r w:rsidRPr="006503C8">
        <w:t>été</w:t>
      </w:r>
      <w:r>
        <w:t xml:space="preserve"> </w:t>
      </w:r>
      <w:r w:rsidRPr="006503C8">
        <w:t>condamnée</w:t>
      </w:r>
      <w:r>
        <w:t xml:space="preserve"> </w:t>
      </w:r>
      <w:r w:rsidRPr="006503C8">
        <w:t>pour</w:t>
      </w:r>
      <w:r>
        <w:t xml:space="preserve"> </w:t>
      </w:r>
      <w:r w:rsidRPr="006503C8">
        <w:t>avoir</w:t>
      </w:r>
      <w:r>
        <w:t xml:space="preserve"> </w:t>
      </w:r>
      <w:r w:rsidRPr="006503C8">
        <w:t>critiqu</w:t>
      </w:r>
      <w:r>
        <w:t xml:space="preserve">é </w:t>
      </w:r>
      <w:r w:rsidRPr="006503C8">
        <w:t>les</w:t>
      </w:r>
      <w:r>
        <w:t xml:space="preserve"> </w:t>
      </w:r>
      <w:r w:rsidRPr="006503C8">
        <w:t>procureurs,</w:t>
      </w:r>
      <w:r>
        <w:t xml:space="preserve"> </w:t>
      </w:r>
      <w:r w:rsidRPr="006503C8">
        <w:t>mais</w:t>
      </w:r>
      <w:r>
        <w:t xml:space="preserve"> </w:t>
      </w:r>
      <w:r w:rsidRPr="006503C8">
        <w:t>pour</w:t>
      </w:r>
      <w:r>
        <w:t xml:space="preserve"> </w:t>
      </w:r>
      <w:r w:rsidRPr="006503C8">
        <w:t>l</w:t>
      </w:r>
      <w:r w:rsidR="00CA2931">
        <w:t>’</w:t>
      </w:r>
      <w:r w:rsidRPr="006503C8">
        <w:t>avoir</w:t>
      </w:r>
      <w:r>
        <w:t xml:space="preserve"> </w:t>
      </w:r>
      <w:r w:rsidRPr="006503C8">
        <w:t>fait</w:t>
      </w:r>
      <w:r>
        <w:t xml:space="preserve"> </w:t>
      </w:r>
      <w:r w:rsidRPr="006503C8">
        <w:t>de</w:t>
      </w:r>
      <w:r>
        <w:t xml:space="preserve"> </w:t>
      </w:r>
      <w:r w:rsidRPr="006503C8">
        <w:t>façon</w:t>
      </w:r>
      <w:r>
        <w:t xml:space="preserve"> </w:t>
      </w:r>
      <w:r w:rsidRPr="006503C8">
        <w:t>insultante</w:t>
      </w:r>
      <w:r>
        <w:t>. Nous souscrivons à cette conclusion des juridictions nationales lituaniennes.</w:t>
      </w:r>
    </w:p>
    <w:p w14:paraId="730BE8D0" w14:textId="77777777" w:rsidR="00765853" w:rsidRDefault="00765853" w:rsidP="00765853">
      <w:pPr>
        <w:pStyle w:val="SingleTxtG"/>
      </w:pPr>
      <w:r>
        <w:t>11.</w:t>
      </w:r>
      <w:r>
        <w:tab/>
        <w:t>Le Comité a également considéré que seule une version tronquée des propos de l</w:t>
      </w:r>
      <w:r w:rsidR="00CA2931">
        <w:t>’</w:t>
      </w:r>
      <w:r>
        <w:t>auteure avait été fournie et que, dans la mesure où aucun contexte n</w:t>
      </w:r>
      <w:r w:rsidR="00CA2931">
        <w:t>’</w:t>
      </w:r>
      <w:r>
        <w:t>avait été donné, la déclaration entière était devenue ambiguë</w:t>
      </w:r>
      <w:r w:rsidR="000A5796">
        <w:t xml:space="preserve"> </w:t>
      </w:r>
      <w:r w:rsidR="000A5796" w:rsidRPr="00E0400E">
        <w:t>(par.</w:t>
      </w:r>
      <w:r w:rsidR="00E0400E" w:rsidRPr="00E0400E">
        <w:t> </w:t>
      </w:r>
      <w:r w:rsidR="000A5796" w:rsidRPr="00E0400E">
        <w:t>8.10)</w:t>
      </w:r>
      <w:r>
        <w:t>. Nous contestons cette conclusion.</w:t>
      </w:r>
    </w:p>
    <w:p w14:paraId="2AEF7BB5" w14:textId="77777777" w:rsidR="00765853" w:rsidRDefault="00765853" w:rsidP="00765853">
      <w:pPr>
        <w:pStyle w:val="SingleTxtG"/>
      </w:pPr>
      <w:r>
        <w:t>12.</w:t>
      </w:r>
      <w:r>
        <w:tab/>
        <w:t>La version « tronquée » a été fournie par l</w:t>
      </w:r>
      <w:r w:rsidR="00CA2931">
        <w:t>’</w:t>
      </w:r>
      <w:r>
        <w:t>auteure elle-même, qui donne même le contexte de sa déclaration (par</w:t>
      </w:r>
      <w:r w:rsidR="000A5796">
        <w:t>.</w:t>
      </w:r>
      <w:r>
        <w:t> 2.1) : trois procédures pénales avaient été engagées contre elle pour terrorisme, un crime grave</w:t>
      </w:r>
      <w:r w:rsidRPr="00A47548">
        <w:rPr>
          <w:rStyle w:val="Appelnotedebasdep"/>
        </w:rPr>
        <w:footnoteReference w:id="19"/>
      </w:r>
      <w:r>
        <w:t xml:space="preserve">. Le 24 mars 2011, </w:t>
      </w:r>
      <w:r w:rsidRPr="004468B8">
        <w:t>à l</w:t>
      </w:r>
      <w:r w:rsidR="00CA2931">
        <w:t>’</w:t>
      </w:r>
      <w:r w:rsidRPr="004468B8">
        <w:t>audience consacrée à l</w:t>
      </w:r>
      <w:r w:rsidR="00CA2931">
        <w:t>’</w:t>
      </w:r>
      <w:r w:rsidRPr="004468B8">
        <w:t xml:space="preserve">une de ces trois affaires, </w:t>
      </w:r>
      <w:r>
        <w:t>un</w:t>
      </w:r>
      <w:r w:rsidRPr="004468B8">
        <w:t xml:space="preserve"> procureur a demandé au tribunal d</w:t>
      </w:r>
      <w:r w:rsidR="00CA2931">
        <w:t>’</w:t>
      </w:r>
      <w:r w:rsidRPr="004468B8">
        <w:t>ordonner la détention provisoire de l</w:t>
      </w:r>
      <w:r w:rsidR="00CA2931">
        <w:t>’</w:t>
      </w:r>
      <w:r w:rsidRPr="004468B8">
        <w:t>auteure</w:t>
      </w:r>
      <w:r w:rsidRPr="00A47548">
        <w:rPr>
          <w:rStyle w:val="Appelnotedebasdep"/>
        </w:rPr>
        <w:footnoteReference w:id="20"/>
      </w:r>
      <w:r w:rsidRPr="004468B8">
        <w:t>. Pendant la pause, l</w:t>
      </w:r>
      <w:r w:rsidR="00CA2931">
        <w:t>’</w:t>
      </w:r>
      <w:r w:rsidRPr="004468B8">
        <w:t>auteure a accordé une interview au journaliste d</w:t>
      </w:r>
      <w:r w:rsidR="00CA2931">
        <w:t>’</w:t>
      </w:r>
      <w:r w:rsidRPr="004468B8">
        <w:t xml:space="preserve">une chaîne de télévision et a </w:t>
      </w:r>
      <w:r>
        <w:t>fait une déclaration dans laquelle elle suggérait que le procureur avait commis des crimes, pouvait tuer des gens et était un criminel.</w:t>
      </w:r>
    </w:p>
    <w:p w14:paraId="4069AA3E" w14:textId="77777777" w:rsidR="00765853" w:rsidRDefault="00765853" w:rsidP="00765853">
      <w:pPr>
        <w:pStyle w:val="SingleTxtG"/>
        <w:rPr>
          <w:spacing w:val="-1"/>
        </w:rPr>
      </w:pPr>
      <w:r>
        <w:t>13.</w:t>
      </w:r>
      <w:r>
        <w:tab/>
        <w:t>Les propos de l</w:t>
      </w:r>
      <w:r w:rsidR="00CA2931">
        <w:t>’</w:t>
      </w:r>
      <w:r>
        <w:t>auteure, contrairement à ce qu</w:t>
      </w:r>
      <w:r w:rsidR="00CA2931">
        <w:t>’</w:t>
      </w:r>
      <w:r>
        <w:t xml:space="preserve">a conclu le Comité, peuvent difficilement passer pour une simple réaction spontanée. Elle avait déjà été visée par trois procédures pénales pour terrorisme et, comme le dit </w:t>
      </w:r>
      <w:r w:rsidRPr="0018326A">
        <w:t>l</w:t>
      </w:r>
      <w:r w:rsidR="00CA2931">
        <w:t>’</w:t>
      </w:r>
      <w:r w:rsidRPr="0018326A">
        <w:t>État partie</w:t>
      </w:r>
      <w:r>
        <w:t xml:space="preserve"> (par</w:t>
      </w:r>
      <w:r w:rsidR="000A5796">
        <w:t>.</w:t>
      </w:r>
      <w:r>
        <w:t> 4.2 et 4.6), l</w:t>
      </w:r>
      <w:r w:rsidR="00CA2931">
        <w:t>’</w:t>
      </w:r>
      <w:r>
        <w:t xml:space="preserve">interview </w:t>
      </w:r>
      <w:r w:rsidRPr="006503C8">
        <w:t>pendant</w:t>
      </w:r>
      <w:r>
        <w:t xml:space="preserve"> </w:t>
      </w:r>
      <w:r w:rsidRPr="006503C8">
        <w:t>laquelle</w:t>
      </w:r>
      <w:r>
        <w:t xml:space="preserve"> </w:t>
      </w:r>
      <w:r w:rsidRPr="006503C8">
        <w:t>l</w:t>
      </w:r>
      <w:r w:rsidR="00CA2931">
        <w:t>’</w:t>
      </w:r>
      <w:r w:rsidRPr="006503C8">
        <w:t>auteur</w:t>
      </w:r>
      <w:r>
        <w:t xml:space="preserve">e </w:t>
      </w:r>
      <w:r w:rsidRPr="006503C8">
        <w:t>a</w:t>
      </w:r>
      <w:r>
        <w:t xml:space="preserve">vait </w:t>
      </w:r>
      <w:r w:rsidRPr="006503C8">
        <w:t>fait</w:t>
      </w:r>
      <w:r>
        <w:t xml:space="preserve"> </w:t>
      </w:r>
      <w:r w:rsidRPr="006503C8">
        <w:t>sa</w:t>
      </w:r>
      <w:r>
        <w:t xml:space="preserve"> </w:t>
      </w:r>
      <w:r w:rsidRPr="006503C8">
        <w:t>déclaration</w:t>
      </w:r>
      <w:r>
        <w:t xml:space="preserve"> a été diffusée sur </w:t>
      </w:r>
      <w:r w:rsidRPr="003120CE">
        <w:rPr>
          <w:spacing w:val="-1"/>
        </w:rPr>
        <w:t>les chaînes de télévision commerciales les plus importantes à l</w:t>
      </w:r>
      <w:r w:rsidR="00CA2931">
        <w:rPr>
          <w:spacing w:val="-1"/>
        </w:rPr>
        <w:t>’</w:t>
      </w:r>
      <w:r w:rsidRPr="003120CE">
        <w:rPr>
          <w:spacing w:val="-1"/>
        </w:rPr>
        <w:t>époque</w:t>
      </w:r>
      <w:r>
        <w:rPr>
          <w:spacing w:val="-1"/>
        </w:rPr>
        <w:t xml:space="preserve"> et a donc touché un nombre indéterminé de personnes, et ses allégations étaient fausses. D</w:t>
      </w:r>
      <w:r w:rsidRPr="00F9212B">
        <w:rPr>
          <w:spacing w:val="-1"/>
        </w:rPr>
        <w:t>es violations procédurales présumées, la gravité des chefs d</w:t>
      </w:r>
      <w:r w:rsidR="00CA2931">
        <w:rPr>
          <w:spacing w:val="-1"/>
        </w:rPr>
        <w:t>’</w:t>
      </w:r>
      <w:r w:rsidRPr="00F9212B">
        <w:rPr>
          <w:spacing w:val="-1"/>
        </w:rPr>
        <w:t>accusation, la sévérité de la sanction et la complexité de l</w:t>
      </w:r>
      <w:r w:rsidR="00CA2931">
        <w:rPr>
          <w:spacing w:val="-1"/>
        </w:rPr>
        <w:t>’</w:t>
      </w:r>
      <w:r w:rsidRPr="00F9212B">
        <w:rPr>
          <w:spacing w:val="-1"/>
        </w:rPr>
        <w:t>affaire ne peuvent justifier qu</w:t>
      </w:r>
      <w:r w:rsidR="00CA2931">
        <w:rPr>
          <w:spacing w:val="-1"/>
        </w:rPr>
        <w:t>’</w:t>
      </w:r>
      <w:r w:rsidRPr="00F9212B">
        <w:rPr>
          <w:spacing w:val="-1"/>
        </w:rPr>
        <w:t xml:space="preserve">un accusé insulte les fonctionnaires en charge de son dossier pénal. </w:t>
      </w:r>
      <w:r>
        <w:rPr>
          <w:spacing w:val="-1"/>
        </w:rPr>
        <w:t>Nonobstant ce fait</w:t>
      </w:r>
      <w:r w:rsidRPr="00F9212B">
        <w:rPr>
          <w:spacing w:val="-1"/>
        </w:rPr>
        <w:t>, les juridictions nationales ont dûment tenu compte du fait que l</w:t>
      </w:r>
      <w:r w:rsidR="00CA2931">
        <w:rPr>
          <w:spacing w:val="-1"/>
        </w:rPr>
        <w:t>’</w:t>
      </w:r>
      <w:r w:rsidRPr="00F9212B">
        <w:rPr>
          <w:spacing w:val="-1"/>
        </w:rPr>
        <w:t>auteure était dans une situation de stress considérable lorsqu</w:t>
      </w:r>
      <w:r w:rsidR="00CA2931">
        <w:rPr>
          <w:spacing w:val="-1"/>
        </w:rPr>
        <w:t>’</w:t>
      </w:r>
      <w:r w:rsidRPr="00F9212B">
        <w:rPr>
          <w:spacing w:val="-1"/>
        </w:rPr>
        <w:t>elle a tenu les propos qui lui sont reprochés</w:t>
      </w:r>
      <w:r>
        <w:rPr>
          <w:spacing w:val="-1"/>
        </w:rPr>
        <w:t>.</w:t>
      </w:r>
    </w:p>
    <w:p w14:paraId="30B4DE0C" w14:textId="77777777" w:rsidR="00765853" w:rsidRDefault="00765853" w:rsidP="00765853">
      <w:pPr>
        <w:pStyle w:val="SingleTxtG"/>
        <w:rPr>
          <w:spacing w:val="-1"/>
        </w:rPr>
      </w:pPr>
      <w:r>
        <w:rPr>
          <w:spacing w:val="-1"/>
        </w:rPr>
        <w:t>14.</w:t>
      </w:r>
      <w:r>
        <w:rPr>
          <w:spacing w:val="-1"/>
        </w:rPr>
        <w:tab/>
        <w:t>Par ailleurs, l</w:t>
      </w:r>
      <w:r w:rsidR="00CA2931">
        <w:rPr>
          <w:spacing w:val="-1"/>
        </w:rPr>
        <w:t>’</w:t>
      </w:r>
      <w:r>
        <w:rPr>
          <w:spacing w:val="-1"/>
        </w:rPr>
        <w:t>auteure n</w:t>
      </w:r>
      <w:r w:rsidR="00CA2931">
        <w:rPr>
          <w:spacing w:val="-1"/>
        </w:rPr>
        <w:t>’</w:t>
      </w:r>
      <w:r>
        <w:rPr>
          <w:spacing w:val="-1"/>
        </w:rPr>
        <w:t>en était pas à son premier délit</w:t>
      </w:r>
      <w:r w:rsidRPr="00A47548">
        <w:rPr>
          <w:rStyle w:val="Appelnotedebasdep"/>
        </w:rPr>
        <w:footnoteReference w:id="21"/>
      </w:r>
      <w:r>
        <w:rPr>
          <w:spacing w:val="-1"/>
        </w:rPr>
        <w:t>, puisqu</w:t>
      </w:r>
      <w:r w:rsidR="00CA2931">
        <w:rPr>
          <w:spacing w:val="-1"/>
        </w:rPr>
        <w:t>’</w:t>
      </w:r>
      <w:r>
        <w:rPr>
          <w:spacing w:val="-1"/>
        </w:rPr>
        <w:t xml:space="preserve">elle avait été déclarée </w:t>
      </w:r>
      <w:r w:rsidRPr="003120CE">
        <w:rPr>
          <w:spacing w:val="-1"/>
        </w:rPr>
        <w:t>coupable des infractions pénales visées aux articles</w:t>
      </w:r>
      <w:r>
        <w:rPr>
          <w:spacing w:val="-1"/>
        </w:rPr>
        <w:t> </w:t>
      </w:r>
      <w:r w:rsidRPr="003120CE">
        <w:rPr>
          <w:spacing w:val="-1"/>
        </w:rPr>
        <w:t xml:space="preserve">145 (menace </w:t>
      </w:r>
      <w:r w:rsidRPr="00765853">
        <w:t>de</w:t>
      </w:r>
      <w:r w:rsidRPr="003120CE">
        <w:rPr>
          <w:spacing w:val="-1"/>
        </w:rPr>
        <w:t xml:space="preserve"> tuer ou de porter gravement atteinte à la santé d</w:t>
      </w:r>
      <w:r w:rsidR="00CA2931">
        <w:rPr>
          <w:spacing w:val="-1"/>
        </w:rPr>
        <w:t>’</w:t>
      </w:r>
      <w:r w:rsidRPr="003120CE">
        <w:rPr>
          <w:spacing w:val="-1"/>
        </w:rPr>
        <w:t>une personne ou terroriser une personne) et 290 (insulte à l</w:t>
      </w:r>
      <w:r w:rsidR="00CA2931">
        <w:rPr>
          <w:spacing w:val="-1"/>
        </w:rPr>
        <w:t>’</w:t>
      </w:r>
      <w:r w:rsidRPr="003120CE">
        <w:rPr>
          <w:spacing w:val="-1"/>
        </w:rPr>
        <w:t>encontre d</w:t>
      </w:r>
      <w:r w:rsidR="00CA2931">
        <w:rPr>
          <w:spacing w:val="-1"/>
        </w:rPr>
        <w:t>’</w:t>
      </w:r>
      <w:r w:rsidRPr="003120CE">
        <w:rPr>
          <w:spacing w:val="-1"/>
        </w:rPr>
        <w:t>un fonctionnaire ou d</w:t>
      </w:r>
      <w:r w:rsidR="00CA2931">
        <w:rPr>
          <w:spacing w:val="-1"/>
        </w:rPr>
        <w:t>’</w:t>
      </w:r>
      <w:r w:rsidRPr="003120CE">
        <w:rPr>
          <w:spacing w:val="-1"/>
        </w:rPr>
        <w:t>une personne exerçant une fonction d</w:t>
      </w:r>
      <w:r w:rsidR="00CA2931">
        <w:rPr>
          <w:spacing w:val="-1"/>
        </w:rPr>
        <w:t>’</w:t>
      </w:r>
      <w:r w:rsidRPr="003120CE">
        <w:rPr>
          <w:spacing w:val="-1"/>
        </w:rPr>
        <w:t>administration publique) du Code pénal lituanien. Il avait été établi que l</w:t>
      </w:r>
      <w:r w:rsidR="00CA2931">
        <w:rPr>
          <w:spacing w:val="-1"/>
        </w:rPr>
        <w:t>’</w:t>
      </w:r>
      <w:r w:rsidRPr="003120CE">
        <w:rPr>
          <w:spacing w:val="-1"/>
        </w:rPr>
        <w:t xml:space="preserve">auteure avait envoyé </w:t>
      </w:r>
      <w:r>
        <w:rPr>
          <w:spacing w:val="-1"/>
        </w:rPr>
        <w:t>à un</w:t>
      </w:r>
      <w:r w:rsidRPr="003120CE">
        <w:rPr>
          <w:spacing w:val="-1"/>
        </w:rPr>
        <w:t xml:space="preserve"> procureur plusieurs SMS dans lesquels elle menaçait de porter atteinte à son intégrité physique. Le 8 mai 2013, l</w:t>
      </w:r>
      <w:r w:rsidR="00CA2931">
        <w:rPr>
          <w:spacing w:val="-1"/>
        </w:rPr>
        <w:t>’</w:t>
      </w:r>
      <w:r w:rsidRPr="003120CE">
        <w:rPr>
          <w:spacing w:val="-1"/>
        </w:rPr>
        <w:t>auteure a</w:t>
      </w:r>
      <w:r>
        <w:rPr>
          <w:spacing w:val="-1"/>
        </w:rPr>
        <w:t>vait</w:t>
      </w:r>
      <w:r w:rsidRPr="003120CE">
        <w:rPr>
          <w:spacing w:val="-1"/>
        </w:rPr>
        <w:t xml:space="preserve"> aussi été </w:t>
      </w:r>
      <w:r>
        <w:rPr>
          <w:spacing w:val="-1"/>
        </w:rPr>
        <w:t>déclarée</w:t>
      </w:r>
      <w:r w:rsidRPr="003120CE">
        <w:rPr>
          <w:spacing w:val="-1"/>
        </w:rPr>
        <w:t xml:space="preserve"> coupable d</w:t>
      </w:r>
      <w:r w:rsidR="00CA2931">
        <w:rPr>
          <w:spacing w:val="-1"/>
        </w:rPr>
        <w:t>’</w:t>
      </w:r>
      <w:r w:rsidRPr="003120CE">
        <w:rPr>
          <w:spacing w:val="-1"/>
        </w:rPr>
        <w:t>avoir fourni de fausses informations au sujet d</w:t>
      </w:r>
      <w:r w:rsidR="00CA2931">
        <w:rPr>
          <w:spacing w:val="-1"/>
        </w:rPr>
        <w:t>’</w:t>
      </w:r>
      <w:r w:rsidRPr="003120CE">
        <w:rPr>
          <w:spacing w:val="-1"/>
        </w:rPr>
        <w:t>infractions que plusieurs fonctionnaires de l</w:t>
      </w:r>
      <w:r w:rsidR="00CA2931">
        <w:rPr>
          <w:spacing w:val="-1"/>
        </w:rPr>
        <w:t>’</w:t>
      </w:r>
      <w:r w:rsidRPr="003120CE">
        <w:rPr>
          <w:spacing w:val="-1"/>
        </w:rPr>
        <w:t>État auraient commises contre elle</w:t>
      </w:r>
      <w:r>
        <w:rPr>
          <w:spacing w:val="-1"/>
        </w:rPr>
        <w:t xml:space="preserve"> (par</w:t>
      </w:r>
      <w:r w:rsidR="000A5796">
        <w:rPr>
          <w:spacing w:val="-1"/>
        </w:rPr>
        <w:t>.</w:t>
      </w:r>
      <w:r>
        <w:rPr>
          <w:spacing w:val="-1"/>
        </w:rPr>
        <w:t> 4.2). La déclaration de l</w:t>
      </w:r>
      <w:r w:rsidR="00CA2931">
        <w:rPr>
          <w:spacing w:val="-1"/>
        </w:rPr>
        <w:t>’</w:t>
      </w:r>
      <w:r>
        <w:rPr>
          <w:spacing w:val="-1"/>
        </w:rPr>
        <w:t>auteure en l</w:t>
      </w:r>
      <w:r w:rsidR="00CA2931">
        <w:rPr>
          <w:spacing w:val="-1"/>
        </w:rPr>
        <w:t>’</w:t>
      </w:r>
      <w:r>
        <w:rPr>
          <w:spacing w:val="-1"/>
        </w:rPr>
        <w:t>espèce doit être considérée comme portant atteinte à l</w:t>
      </w:r>
      <w:r w:rsidR="00CA2931">
        <w:rPr>
          <w:spacing w:val="-1"/>
        </w:rPr>
        <w:t>’</w:t>
      </w:r>
      <w:r>
        <w:rPr>
          <w:spacing w:val="-1"/>
        </w:rPr>
        <w:t>intégrité et à l</w:t>
      </w:r>
      <w:r w:rsidR="00CA2931">
        <w:rPr>
          <w:spacing w:val="-1"/>
        </w:rPr>
        <w:t>’</w:t>
      </w:r>
      <w:r>
        <w:rPr>
          <w:spacing w:val="-1"/>
        </w:rPr>
        <w:t>impartialité du procureur dans l</w:t>
      </w:r>
      <w:r w:rsidR="00CA2931">
        <w:rPr>
          <w:spacing w:val="-1"/>
        </w:rPr>
        <w:t>’</w:t>
      </w:r>
      <w:r>
        <w:rPr>
          <w:spacing w:val="-1"/>
        </w:rPr>
        <w:t xml:space="preserve">exercice de ses </w:t>
      </w:r>
      <w:r>
        <w:rPr>
          <w:spacing w:val="-1"/>
        </w:rPr>
        <w:lastRenderedPageBreak/>
        <w:t xml:space="preserve">fonctions, dans une affaire criminelle particulièrement grave et sensible, </w:t>
      </w:r>
      <w:r w:rsidRPr="00A71851">
        <w:rPr>
          <w:spacing w:val="-1"/>
        </w:rPr>
        <w:t>largement suivie par le public</w:t>
      </w:r>
      <w:r w:rsidRPr="00A47548">
        <w:rPr>
          <w:rStyle w:val="Appelnotedebasdep"/>
        </w:rPr>
        <w:footnoteReference w:id="22"/>
      </w:r>
      <w:r w:rsidRPr="00A71851">
        <w:rPr>
          <w:spacing w:val="-1"/>
        </w:rPr>
        <w:t>.</w:t>
      </w:r>
    </w:p>
    <w:p w14:paraId="25B73DD0" w14:textId="77777777" w:rsidR="00765853" w:rsidRDefault="00765853" w:rsidP="00765853">
      <w:pPr>
        <w:pStyle w:val="SingleTxtG"/>
        <w:rPr>
          <w:spacing w:val="-1"/>
        </w:rPr>
      </w:pPr>
      <w:r>
        <w:rPr>
          <w:spacing w:val="-1"/>
        </w:rPr>
        <w:t>15.</w:t>
      </w:r>
      <w:r>
        <w:rPr>
          <w:spacing w:val="-1"/>
        </w:rPr>
        <w:tab/>
        <w:t>Le Comité accorde également une grande importance au fait qu</w:t>
      </w:r>
      <w:r w:rsidR="00CA2931">
        <w:rPr>
          <w:spacing w:val="-1"/>
        </w:rPr>
        <w:t>’</w:t>
      </w:r>
      <w:r>
        <w:rPr>
          <w:spacing w:val="-1"/>
        </w:rPr>
        <w:t xml:space="preserve">une sanction pénale </w:t>
      </w:r>
      <w:r w:rsidR="00BC71B7">
        <w:rPr>
          <w:lang w:val="fr-FR"/>
        </w:rPr>
        <w:t>−</w:t>
      </w:r>
      <w:r>
        <w:rPr>
          <w:spacing w:val="-1"/>
        </w:rPr>
        <w:t xml:space="preserve"> une amende </w:t>
      </w:r>
      <w:r w:rsidR="00BC71B7">
        <w:rPr>
          <w:lang w:val="fr-FR"/>
        </w:rPr>
        <w:t>−</w:t>
      </w:r>
      <w:r>
        <w:rPr>
          <w:spacing w:val="-1"/>
        </w:rPr>
        <w:t xml:space="preserve"> a été infligée à l</w:t>
      </w:r>
      <w:r w:rsidR="00CA2931">
        <w:rPr>
          <w:spacing w:val="-1"/>
        </w:rPr>
        <w:t>’</w:t>
      </w:r>
      <w:r>
        <w:rPr>
          <w:spacing w:val="-1"/>
        </w:rPr>
        <w:t>auteure, une sanction qui représentait « </w:t>
      </w:r>
      <w:r w:rsidRPr="00361F97">
        <w:rPr>
          <w:spacing w:val="-1"/>
        </w:rPr>
        <w:t>une charge excessive pour l</w:t>
      </w:r>
      <w:r w:rsidR="00CA2931">
        <w:rPr>
          <w:spacing w:val="-1"/>
        </w:rPr>
        <w:t>’</w:t>
      </w:r>
      <w:r w:rsidRPr="00361F97">
        <w:rPr>
          <w:spacing w:val="-1"/>
        </w:rPr>
        <w:t>auteur</w:t>
      </w:r>
      <w:r>
        <w:rPr>
          <w:spacing w:val="-1"/>
        </w:rPr>
        <w:t>e</w:t>
      </w:r>
      <w:r w:rsidRPr="00361F97">
        <w:rPr>
          <w:spacing w:val="-1"/>
        </w:rPr>
        <w:t>, compte tenu de son jeune âge et du fait qu</w:t>
      </w:r>
      <w:r w:rsidR="00CA2931">
        <w:rPr>
          <w:spacing w:val="-1"/>
        </w:rPr>
        <w:t>’</w:t>
      </w:r>
      <w:r w:rsidRPr="00361F97">
        <w:rPr>
          <w:spacing w:val="-1"/>
        </w:rPr>
        <w:t>elle était sans emploi à l</w:t>
      </w:r>
      <w:r w:rsidR="00CA2931">
        <w:rPr>
          <w:spacing w:val="-1"/>
        </w:rPr>
        <w:t>’</w:t>
      </w:r>
      <w:r w:rsidRPr="00361F97">
        <w:rPr>
          <w:spacing w:val="-1"/>
        </w:rPr>
        <w:t>époque</w:t>
      </w:r>
      <w:r>
        <w:rPr>
          <w:spacing w:val="-1"/>
        </w:rPr>
        <w:t> » (par</w:t>
      </w:r>
      <w:r w:rsidR="001127C6">
        <w:rPr>
          <w:spacing w:val="-1"/>
        </w:rPr>
        <w:t>.</w:t>
      </w:r>
      <w:r>
        <w:rPr>
          <w:spacing w:val="-1"/>
        </w:rPr>
        <w:t> 8.10). Rien n</w:t>
      </w:r>
      <w:r w:rsidR="00CA2931">
        <w:rPr>
          <w:spacing w:val="-1"/>
        </w:rPr>
        <w:t>’</w:t>
      </w:r>
      <w:r>
        <w:rPr>
          <w:spacing w:val="-1"/>
        </w:rPr>
        <w:t>est pourtant dit, dans les présentes constations, au sujet du fait que l</w:t>
      </w:r>
      <w:r w:rsidR="00CA2931">
        <w:rPr>
          <w:spacing w:val="-1"/>
        </w:rPr>
        <w:t>’</w:t>
      </w:r>
      <w:r>
        <w:rPr>
          <w:spacing w:val="-1"/>
        </w:rPr>
        <w:t>auteure était sans emploi. En outre, puisque c</w:t>
      </w:r>
      <w:r w:rsidR="00CA2931">
        <w:rPr>
          <w:spacing w:val="-1"/>
        </w:rPr>
        <w:t>’</w:t>
      </w:r>
      <w:r>
        <w:rPr>
          <w:spacing w:val="-1"/>
        </w:rPr>
        <w:t>est l</w:t>
      </w:r>
      <w:r w:rsidR="00CA2931">
        <w:rPr>
          <w:spacing w:val="-1"/>
        </w:rPr>
        <w:t>’</w:t>
      </w:r>
      <w:r>
        <w:rPr>
          <w:spacing w:val="-1"/>
        </w:rPr>
        <w:t>article 290 du Code pénal lituanien qui s</w:t>
      </w:r>
      <w:r w:rsidR="00CA2931">
        <w:rPr>
          <w:spacing w:val="-1"/>
        </w:rPr>
        <w:t>’</w:t>
      </w:r>
      <w:r>
        <w:rPr>
          <w:spacing w:val="-1"/>
        </w:rPr>
        <w:t>applique en l</w:t>
      </w:r>
      <w:r w:rsidR="00CA2931">
        <w:rPr>
          <w:spacing w:val="-1"/>
        </w:rPr>
        <w:t>’</w:t>
      </w:r>
      <w:r>
        <w:rPr>
          <w:spacing w:val="-1"/>
        </w:rPr>
        <w:t>espèce, il est normal que la sanction infligée revête un caractère pénal. Cependant, l</w:t>
      </w:r>
      <w:r w:rsidR="00CA2931">
        <w:rPr>
          <w:spacing w:val="-1"/>
        </w:rPr>
        <w:t>’</w:t>
      </w:r>
      <w:r>
        <w:rPr>
          <w:spacing w:val="-1"/>
        </w:rPr>
        <w:t>amende imposée (</w:t>
      </w:r>
      <w:r w:rsidRPr="0017049B">
        <w:rPr>
          <w:spacing w:val="-1"/>
        </w:rPr>
        <w:t>1</w:t>
      </w:r>
      <w:r>
        <w:rPr>
          <w:spacing w:val="-1"/>
        </w:rPr>
        <w:t> </w:t>
      </w:r>
      <w:r w:rsidRPr="0017049B">
        <w:rPr>
          <w:spacing w:val="-1"/>
        </w:rPr>
        <w:t>300 litai</w:t>
      </w:r>
      <w:r>
        <w:rPr>
          <w:spacing w:val="-1"/>
        </w:rPr>
        <w:t xml:space="preserve">, soit </w:t>
      </w:r>
      <w:r w:rsidRPr="0017049B">
        <w:rPr>
          <w:spacing w:val="-1"/>
        </w:rPr>
        <w:t>environ 380</w:t>
      </w:r>
      <w:r>
        <w:rPr>
          <w:spacing w:val="-1"/>
        </w:rPr>
        <w:t> </w:t>
      </w:r>
      <w:r w:rsidRPr="0017049B">
        <w:rPr>
          <w:spacing w:val="-1"/>
        </w:rPr>
        <w:t>euros)</w:t>
      </w:r>
      <w:r>
        <w:rPr>
          <w:spacing w:val="-1"/>
        </w:rPr>
        <w:t xml:space="preserve"> était, selon </w:t>
      </w:r>
      <w:r w:rsidRPr="008575F8">
        <w:rPr>
          <w:spacing w:val="-1"/>
        </w:rPr>
        <w:t>l</w:t>
      </w:r>
      <w:r w:rsidR="00CA2931">
        <w:rPr>
          <w:spacing w:val="-1"/>
        </w:rPr>
        <w:t>’</w:t>
      </w:r>
      <w:r w:rsidRPr="008575F8">
        <w:rPr>
          <w:spacing w:val="-1"/>
        </w:rPr>
        <w:t>État partie</w:t>
      </w:r>
      <w:r>
        <w:rPr>
          <w:spacing w:val="-1"/>
        </w:rPr>
        <w:t xml:space="preserve">, </w:t>
      </w:r>
      <w:r w:rsidRPr="008575F8">
        <w:rPr>
          <w:spacing w:val="-1"/>
        </w:rPr>
        <w:t xml:space="preserve">la sanction la plus clémente pour </w:t>
      </w:r>
      <w:r>
        <w:rPr>
          <w:spacing w:val="-1"/>
        </w:rPr>
        <w:t>une</w:t>
      </w:r>
      <w:r w:rsidRPr="008575F8">
        <w:rPr>
          <w:spacing w:val="-1"/>
        </w:rPr>
        <w:t xml:space="preserve"> infraction pénale</w:t>
      </w:r>
      <w:r>
        <w:rPr>
          <w:spacing w:val="-1"/>
        </w:rPr>
        <w:t xml:space="preserve"> de cette nature</w:t>
      </w:r>
      <w:r w:rsidRPr="008575F8">
        <w:rPr>
          <w:spacing w:val="-1"/>
        </w:rPr>
        <w:t xml:space="preserve"> </w:t>
      </w:r>
      <w:r>
        <w:rPr>
          <w:spacing w:val="-1"/>
        </w:rPr>
        <w:t xml:space="preserve">et son montant, </w:t>
      </w:r>
      <w:r w:rsidRPr="008575F8">
        <w:rPr>
          <w:spacing w:val="-1"/>
        </w:rPr>
        <w:t>proche du minimum prévu par les dispositions juridiques applicables</w:t>
      </w:r>
      <w:r>
        <w:rPr>
          <w:spacing w:val="-1"/>
        </w:rPr>
        <w:t xml:space="preserve"> (par</w:t>
      </w:r>
      <w:r w:rsidR="001127C6">
        <w:rPr>
          <w:spacing w:val="-1"/>
        </w:rPr>
        <w:t>.</w:t>
      </w:r>
      <w:r>
        <w:rPr>
          <w:spacing w:val="-1"/>
        </w:rPr>
        <w:t> 4.6). Dans d</w:t>
      </w:r>
      <w:r w:rsidR="00CA2931">
        <w:rPr>
          <w:spacing w:val="-1"/>
        </w:rPr>
        <w:t>’</w:t>
      </w:r>
      <w:r>
        <w:rPr>
          <w:spacing w:val="-1"/>
        </w:rPr>
        <w:t>autres pays, la même sanction aurait été considérée comme une simple violation administrative. L</w:t>
      </w:r>
      <w:r w:rsidR="00CA2931">
        <w:rPr>
          <w:spacing w:val="-1"/>
        </w:rPr>
        <w:t>’</w:t>
      </w:r>
      <w:r>
        <w:rPr>
          <w:spacing w:val="-1"/>
        </w:rPr>
        <w:t>argument selon lequel une sanction pénale, telle qu</w:t>
      </w:r>
      <w:r w:rsidR="00CA2931">
        <w:rPr>
          <w:spacing w:val="-1"/>
        </w:rPr>
        <w:t>’</w:t>
      </w:r>
      <w:r>
        <w:rPr>
          <w:spacing w:val="-1"/>
        </w:rPr>
        <w:t>une amende, serait considérée comme « une charge excessive » ne pouvant être infligée si la personne visée n</w:t>
      </w:r>
      <w:r w:rsidR="00CA2931">
        <w:rPr>
          <w:spacing w:val="-1"/>
        </w:rPr>
        <w:t>’</w:t>
      </w:r>
      <w:r>
        <w:rPr>
          <w:spacing w:val="-1"/>
        </w:rPr>
        <w:t>est pas en mesure de payer, est troublant. Qu</w:t>
      </w:r>
      <w:r w:rsidR="00CA2931">
        <w:rPr>
          <w:spacing w:val="-1"/>
        </w:rPr>
        <w:t>’</w:t>
      </w:r>
      <w:r>
        <w:rPr>
          <w:spacing w:val="-1"/>
        </w:rPr>
        <w:t>en est-il de l</w:t>
      </w:r>
      <w:r w:rsidR="00CA2931">
        <w:rPr>
          <w:spacing w:val="-1"/>
        </w:rPr>
        <w:t>’</w:t>
      </w:r>
      <w:r>
        <w:rPr>
          <w:spacing w:val="-1"/>
        </w:rPr>
        <w:t>effet de dissuasion des sanctions pénales ? Cet argument est particulièrement malvenu dans la mesure où le paragraphe 6 de l</w:t>
      </w:r>
      <w:r w:rsidR="00CA2931">
        <w:rPr>
          <w:spacing w:val="-1"/>
        </w:rPr>
        <w:t>’</w:t>
      </w:r>
      <w:r>
        <w:rPr>
          <w:spacing w:val="-1"/>
        </w:rPr>
        <w:t>article 47 du Code pénal lituanien dispose qu</w:t>
      </w:r>
      <w:r w:rsidR="00CA2931">
        <w:rPr>
          <w:spacing w:val="-1"/>
        </w:rPr>
        <w:t>’</w:t>
      </w:r>
      <w:r>
        <w:rPr>
          <w:spacing w:val="-1"/>
        </w:rPr>
        <w:t>une amende peut être remplacée par des services d</w:t>
      </w:r>
      <w:r w:rsidR="00CA2931">
        <w:rPr>
          <w:spacing w:val="-1"/>
        </w:rPr>
        <w:t>’</w:t>
      </w:r>
      <w:r>
        <w:rPr>
          <w:spacing w:val="-1"/>
        </w:rPr>
        <w:t>intérêt collectif si la personne n</w:t>
      </w:r>
      <w:r w:rsidR="00CA2931">
        <w:rPr>
          <w:spacing w:val="-1"/>
        </w:rPr>
        <w:t>’</w:t>
      </w:r>
      <w:r>
        <w:rPr>
          <w:spacing w:val="-1"/>
        </w:rPr>
        <w:t>a pas les moyens de la payer. Par ailleurs, si elles ne faisaient pas respecter les dispositions applicables du Code pénal, que pourraient faire les autorités ? Le procureur visé devrait-il lui-même engager une procédure civile contre l</w:t>
      </w:r>
      <w:r w:rsidR="00CA2931">
        <w:rPr>
          <w:spacing w:val="-1"/>
        </w:rPr>
        <w:t>’</w:t>
      </w:r>
      <w:r>
        <w:rPr>
          <w:spacing w:val="-1"/>
        </w:rPr>
        <w:t>auteure ? Ce n</w:t>
      </w:r>
      <w:r w:rsidR="00CA2931">
        <w:rPr>
          <w:spacing w:val="-1"/>
        </w:rPr>
        <w:t>’</w:t>
      </w:r>
      <w:r>
        <w:rPr>
          <w:spacing w:val="-1"/>
        </w:rPr>
        <w:t>est pas notre avis.</w:t>
      </w:r>
    </w:p>
    <w:p w14:paraId="01CB2B09" w14:textId="77777777" w:rsidR="00765853" w:rsidRDefault="00765853" w:rsidP="00765853">
      <w:pPr>
        <w:pStyle w:val="SingleTxtG"/>
      </w:pPr>
      <w:r>
        <w:rPr>
          <w:spacing w:val="-1"/>
        </w:rPr>
        <w:t>16.</w:t>
      </w:r>
      <w:r>
        <w:rPr>
          <w:spacing w:val="-1"/>
        </w:rPr>
        <w:tab/>
        <w:t>Nous ne comprenons pas non plus l</w:t>
      </w:r>
      <w:r w:rsidR="00CA2931">
        <w:rPr>
          <w:spacing w:val="-1"/>
        </w:rPr>
        <w:t>’</w:t>
      </w:r>
      <w:r>
        <w:rPr>
          <w:spacing w:val="-1"/>
        </w:rPr>
        <w:t>argument fondé sur le fait que l</w:t>
      </w:r>
      <w:r w:rsidR="00CA2931">
        <w:rPr>
          <w:spacing w:val="-1"/>
        </w:rPr>
        <w:t>’</w:t>
      </w:r>
      <w:r>
        <w:rPr>
          <w:spacing w:val="-1"/>
        </w:rPr>
        <w:t>article 290 du Code pénal a par la suite été abrogé. L</w:t>
      </w:r>
      <w:r w:rsidR="00CA2931">
        <w:rPr>
          <w:spacing w:val="-1"/>
        </w:rPr>
        <w:t>’</w:t>
      </w:r>
      <w:r w:rsidRPr="003329B1">
        <w:rPr>
          <w:spacing w:val="-1"/>
        </w:rPr>
        <w:t>État partie</w:t>
      </w:r>
      <w:r>
        <w:rPr>
          <w:spacing w:val="-1"/>
        </w:rPr>
        <w:t xml:space="preserve"> a expliqué pourquoi les changements avaient été apportés (par</w:t>
      </w:r>
      <w:r w:rsidR="001127C6">
        <w:rPr>
          <w:spacing w:val="-1"/>
        </w:rPr>
        <w:t>.</w:t>
      </w:r>
      <w:r>
        <w:rPr>
          <w:spacing w:val="-1"/>
        </w:rPr>
        <w:t xml:space="preserve"> 6.1). </w:t>
      </w:r>
      <w:r>
        <w:t>L</w:t>
      </w:r>
      <w:r w:rsidRPr="006503C8">
        <w:t>e</w:t>
      </w:r>
      <w:r>
        <w:t xml:space="preserve"> </w:t>
      </w:r>
      <w:r w:rsidRPr="006503C8">
        <w:t>Code</w:t>
      </w:r>
      <w:r>
        <w:t xml:space="preserve"> </w:t>
      </w:r>
      <w:r w:rsidRPr="006503C8">
        <w:t>pénal</w:t>
      </w:r>
      <w:r>
        <w:t xml:space="preserve"> </w:t>
      </w:r>
      <w:r w:rsidRPr="006503C8">
        <w:t>et</w:t>
      </w:r>
      <w:r>
        <w:t xml:space="preserve"> </w:t>
      </w:r>
      <w:r w:rsidRPr="006503C8">
        <w:t>le</w:t>
      </w:r>
      <w:r>
        <w:t xml:space="preserve"> </w:t>
      </w:r>
      <w:r w:rsidRPr="006503C8">
        <w:t>Code</w:t>
      </w:r>
      <w:r>
        <w:t xml:space="preserve"> </w:t>
      </w:r>
      <w:r w:rsidRPr="006503C8">
        <w:t>des</w:t>
      </w:r>
      <w:r>
        <w:t xml:space="preserve"> </w:t>
      </w:r>
      <w:r w:rsidRPr="006503C8">
        <w:t>infractions</w:t>
      </w:r>
      <w:r>
        <w:t xml:space="preserve"> </w:t>
      </w:r>
      <w:r w:rsidRPr="006503C8">
        <w:t>administratives</w:t>
      </w:r>
      <w:r>
        <w:t xml:space="preserve"> </w:t>
      </w:r>
      <w:r w:rsidRPr="006503C8">
        <w:t>contenaient</w:t>
      </w:r>
      <w:r>
        <w:t xml:space="preserve"> </w:t>
      </w:r>
      <w:r w:rsidRPr="006503C8">
        <w:t>tous</w:t>
      </w:r>
      <w:r>
        <w:t xml:space="preserve"> </w:t>
      </w:r>
      <w:r w:rsidRPr="006503C8">
        <w:t>deux</w:t>
      </w:r>
      <w:r>
        <w:t xml:space="preserve"> </w:t>
      </w:r>
      <w:r w:rsidRPr="006503C8">
        <w:t>des</w:t>
      </w:r>
      <w:r>
        <w:t xml:space="preserve"> </w:t>
      </w:r>
      <w:r w:rsidRPr="006503C8">
        <w:t>dispositions</w:t>
      </w:r>
      <w:r>
        <w:t xml:space="preserve"> </w:t>
      </w:r>
      <w:r w:rsidRPr="006503C8">
        <w:t>relatives</w:t>
      </w:r>
      <w:r>
        <w:t xml:space="preserve"> </w:t>
      </w:r>
      <w:r w:rsidRPr="006503C8">
        <w:t>à</w:t>
      </w:r>
      <w:r>
        <w:t xml:space="preserve"> </w:t>
      </w:r>
      <w:r w:rsidRPr="006503C8">
        <w:t>l</w:t>
      </w:r>
      <w:r w:rsidR="00CA2931">
        <w:t>’</w:t>
      </w:r>
      <w:r w:rsidRPr="006503C8">
        <w:t>insulte</w:t>
      </w:r>
      <w:r>
        <w:t xml:space="preserve"> </w:t>
      </w:r>
      <w:r w:rsidRPr="006503C8">
        <w:t>à</w:t>
      </w:r>
      <w:r>
        <w:t xml:space="preserve"> </w:t>
      </w:r>
      <w:r w:rsidRPr="006503C8">
        <w:t>l</w:t>
      </w:r>
      <w:r w:rsidR="00CA2931">
        <w:t>’</w:t>
      </w:r>
      <w:r w:rsidRPr="006503C8">
        <w:t>encontre</w:t>
      </w:r>
      <w:r>
        <w:t xml:space="preserve"> </w:t>
      </w:r>
      <w:r w:rsidRPr="006503C8">
        <w:t>de</w:t>
      </w:r>
      <w:r>
        <w:t xml:space="preserve"> </w:t>
      </w:r>
      <w:r w:rsidRPr="006503C8">
        <w:t>personnes</w:t>
      </w:r>
      <w:r>
        <w:t xml:space="preserve"> </w:t>
      </w:r>
      <w:r w:rsidRPr="006503C8">
        <w:t>exerçant</w:t>
      </w:r>
      <w:r>
        <w:t xml:space="preserve"> </w:t>
      </w:r>
      <w:r w:rsidRPr="006503C8">
        <w:t>des</w:t>
      </w:r>
      <w:r>
        <w:t xml:space="preserve"> </w:t>
      </w:r>
      <w:r w:rsidRPr="006503C8">
        <w:t>fonctions</w:t>
      </w:r>
      <w:r>
        <w:t xml:space="preserve"> </w:t>
      </w:r>
      <w:r w:rsidRPr="006503C8">
        <w:t>publiques.</w:t>
      </w:r>
      <w:r>
        <w:t xml:space="preserve"> </w:t>
      </w:r>
      <w:r w:rsidRPr="006503C8">
        <w:t>Afin</w:t>
      </w:r>
      <w:r>
        <w:t xml:space="preserve"> </w:t>
      </w:r>
      <w:r w:rsidRPr="006503C8">
        <w:t>d</w:t>
      </w:r>
      <w:r w:rsidR="00CA2931">
        <w:t>’</w:t>
      </w:r>
      <w:r w:rsidRPr="006503C8">
        <w:t>harmoniser</w:t>
      </w:r>
      <w:r>
        <w:t xml:space="preserve"> </w:t>
      </w:r>
      <w:r w:rsidRPr="006503C8">
        <w:t>ces</w:t>
      </w:r>
      <w:r>
        <w:t xml:space="preserve"> </w:t>
      </w:r>
      <w:r w:rsidRPr="006503C8">
        <w:t>dispositions,</w:t>
      </w:r>
      <w:r>
        <w:t xml:space="preserve"> </w:t>
      </w:r>
      <w:r w:rsidRPr="006503C8">
        <w:t>et</w:t>
      </w:r>
      <w:r>
        <w:t xml:space="preserve"> </w:t>
      </w:r>
      <w:r w:rsidRPr="006503C8">
        <w:t>également</w:t>
      </w:r>
      <w:r>
        <w:t xml:space="preserve"> </w:t>
      </w:r>
      <w:r w:rsidRPr="006503C8">
        <w:t>de</w:t>
      </w:r>
      <w:r>
        <w:t xml:space="preserve"> </w:t>
      </w:r>
      <w:r w:rsidRPr="006503C8">
        <w:t>satisfaire</w:t>
      </w:r>
      <w:r>
        <w:t xml:space="preserve"> </w:t>
      </w:r>
      <w:r w:rsidRPr="006503C8">
        <w:t>aux</w:t>
      </w:r>
      <w:r>
        <w:t xml:space="preserve"> </w:t>
      </w:r>
      <w:r w:rsidRPr="006503C8">
        <w:t>conditions</w:t>
      </w:r>
      <w:r>
        <w:t xml:space="preserve"> </w:t>
      </w:r>
      <w:r w:rsidRPr="006503C8">
        <w:t>du</w:t>
      </w:r>
      <w:r>
        <w:t xml:space="preserve"> </w:t>
      </w:r>
      <w:r w:rsidRPr="006503C8">
        <w:t>principe</w:t>
      </w:r>
      <w:r>
        <w:t xml:space="preserve"> </w:t>
      </w:r>
      <w:r w:rsidRPr="006503C8">
        <w:rPr>
          <w:i/>
        </w:rPr>
        <w:t>ne</w:t>
      </w:r>
      <w:r>
        <w:rPr>
          <w:i/>
        </w:rPr>
        <w:t xml:space="preserve"> </w:t>
      </w:r>
      <w:r w:rsidRPr="006503C8">
        <w:rPr>
          <w:i/>
        </w:rPr>
        <w:t>bis</w:t>
      </w:r>
      <w:r>
        <w:rPr>
          <w:i/>
        </w:rPr>
        <w:t xml:space="preserve"> </w:t>
      </w:r>
      <w:r w:rsidRPr="006503C8">
        <w:rPr>
          <w:i/>
        </w:rPr>
        <w:t>in</w:t>
      </w:r>
      <w:r>
        <w:rPr>
          <w:i/>
        </w:rPr>
        <w:t xml:space="preserve"> </w:t>
      </w:r>
      <w:r w:rsidRPr="006503C8">
        <w:rPr>
          <w:i/>
        </w:rPr>
        <w:t>idem</w:t>
      </w:r>
      <w:r w:rsidRPr="006503C8">
        <w:t>,</w:t>
      </w:r>
      <w:r>
        <w:t xml:space="preserve"> </w:t>
      </w:r>
      <w:r w:rsidRPr="006503C8">
        <w:t>le</w:t>
      </w:r>
      <w:r>
        <w:t xml:space="preserve"> </w:t>
      </w:r>
      <w:r w:rsidRPr="006503C8">
        <w:t>législateur</w:t>
      </w:r>
      <w:r>
        <w:t xml:space="preserve"> </w:t>
      </w:r>
      <w:r w:rsidRPr="006503C8">
        <w:t>a</w:t>
      </w:r>
      <w:r>
        <w:t xml:space="preserve"> </w:t>
      </w:r>
      <w:r w:rsidRPr="006503C8">
        <w:t>décidé</w:t>
      </w:r>
      <w:r>
        <w:t xml:space="preserve"> </w:t>
      </w:r>
      <w:r w:rsidRPr="006503C8">
        <w:t>d</w:t>
      </w:r>
      <w:r w:rsidR="00CA2931">
        <w:t>’</w:t>
      </w:r>
      <w:r w:rsidRPr="006503C8">
        <w:t>abroger</w:t>
      </w:r>
      <w:r>
        <w:t xml:space="preserve"> </w:t>
      </w:r>
      <w:r w:rsidRPr="006503C8">
        <w:t>ces</w:t>
      </w:r>
      <w:r>
        <w:t xml:space="preserve"> </w:t>
      </w:r>
      <w:r w:rsidRPr="006503C8">
        <w:t>deux</w:t>
      </w:r>
      <w:r>
        <w:t xml:space="preserve"> </w:t>
      </w:r>
      <w:r w:rsidRPr="006503C8">
        <w:t>dispositions</w:t>
      </w:r>
      <w:r>
        <w:t xml:space="preserve"> </w:t>
      </w:r>
      <w:r w:rsidRPr="006503C8">
        <w:t>et</w:t>
      </w:r>
      <w:r>
        <w:t xml:space="preserve"> </w:t>
      </w:r>
      <w:r w:rsidRPr="006503C8">
        <w:t>d</w:t>
      </w:r>
      <w:r w:rsidR="00CA2931">
        <w:t>’</w:t>
      </w:r>
      <w:r w:rsidRPr="006503C8">
        <w:t>en</w:t>
      </w:r>
      <w:r>
        <w:t xml:space="preserve"> </w:t>
      </w:r>
      <w:r w:rsidRPr="006503C8">
        <w:t>introduire</w:t>
      </w:r>
      <w:r>
        <w:t xml:space="preserve"> </w:t>
      </w:r>
      <w:r w:rsidRPr="006503C8">
        <w:t>une</w:t>
      </w:r>
      <w:r>
        <w:t xml:space="preserve"> </w:t>
      </w:r>
      <w:r w:rsidRPr="006503C8">
        <w:t>seule</w:t>
      </w:r>
      <w:r>
        <w:t xml:space="preserve"> </w:t>
      </w:r>
      <w:r w:rsidRPr="006503C8">
        <w:t>et</w:t>
      </w:r>
      <w:r>
        <w:t xml:space="preserve"> </w:t>
      </w:r>
      <w:r w:rsidRPr="006503C8">
        <w:t>unique</w:t>
      </w:r>
      <w:r>
        <w:t xml:space="preserve"> à l</w:t>
      </w:r>
      <w:r w:rsidR="00CA2931">
        <w:t>’</w:t>
      </w:r>
      <w:r>
        <w:t xml:space="preserve">article 507 </w:t>
      </w:r>
      <w:r w:rsidRPr="006503C8">
        <w:t>d</w:t>
      </w:r>
      <w:r>
        <w:t xml:space="preserve">u </w:t>
      </w:r>
      <w:r w:rsidRPr="006503C8">
        <w:t>Code</w:t>
      </w:r>
      <w:r>
        <w:t xml:space="preserve"> </w:t>
      </w:r>
      <w:r w:rsidRPr="006503C8">
        <w:t>des</w:t>
      </w:r>
      <w:r>
        <w:t xml:space="preserve"> </w:t>
      </w:r>
      <w:r w:rsidRPr="006503C8">
        <w:t>violations</w:t>
      </w:r>
      <w:r>
        <w:t xml:space="preserve"> </w:t>
      </w:r>
      <w:r w:rsidRPr="006503C8">
        <w:t>administratives.</w:t>
      </w:r>
      <w:r>
        <w:t xml:space="preserve"> Il n</w:t>
      </w:r>
      <w:r w:rsidR="00CA2931">
        <w:t>’</w:t>
      </w:r>
      <w:r>
        <w:t>en reste pas moins, cependant, que l</w:t>
      </w:r>
      <w:r w:rsidR="00CA2931">
        <w:t>’</w:t>
      </w:r>
      <w:r>
        <w:t>article 290 du Code pénal était en vigueur à l</w:t>
      </w:r>
      <w:r w:rsidR="00CA2931">
        <w:t>’</w:t>
      </w:r>
      <w:r>
        <w:t>époque des faits et devait donc être appliqué par le ministère public puisque le système lituanien repose sur le principe de légalité et que toute infraction signalée doit faire l</w:t>
      </w:r>
      <w:r w:rsidR="00CA2931">
        <w:t>’</w:t>
      </w:r>
      <w:r>
        <w:t>objet d</w:t>
      </w:r>
      <w:r w:rsidR="00CA2931">
        <w:t>’</w:t>
      </w:r>
      <w:r>
        <w:t>une enquête.</w:t>
      </w:r>
    </w:p>
    <w:p w14:paraId="6A3E9CE8" w14:textId="77777777" w:rsidR="00765853" w:rsidRDefault="00765853" w:rsidP="00765853">
      <w:pPr>
        <w:pStyle w:val="SingleTxtG"/>
      </w:pPr>
      <w:r>
        <w:t>17.</w:t>
      </w:r>
      <w:r>
        <w:tab/>
        <w:t>Dès lors, nous aurions conclu en l</w:t>
      </w:r>
      <w:r w:rsidR="00CA2931">
        <w:t>’</w:t>
      </w:r>
      <w:r>
        <w:t>espèce que la communication de l</w:t>
      </w:r>
      <w:r w:rsidR="00CA2931">
        <w:t>’</w:t>
      </w:r>
      <w:r>
        <w:t>auteure était insuffisamment étayée ou, si elle était considérée recevable, que le paragraphe 2 de l</w:t>
      </w:r>
      <w:r w:rsidR="00CA2931">
        <w:t>’</w:t>
      </w:r>
      <w:r>
        <w:t>article 19 du Pacte n</w:t>
      </w:r>
      <w:r w:rsidR="00CA2931">
        <w:t>’</w:t>
      </w:r>
      <w:r>
        <w:t>avait pas été violé.</w:t>
      </w:r>
    </w:p>
    <w:p w14:paraId="7F1669AA" w14:textId="77777777" w:rsidR="00765853" w:rsidRDefault="00765853" w:rsidP="00765853">
      <w:pPr>
        <w:pStyle w:val="SingleTxtG"/>
      </w:pPr>
      <w:r>
        <w:t>18.</w:t>
      </w:r>
      <w:r>
        <w:tab/>
        <w:t>Dans ce contexte, la décision d</w:t>
      </w:r>
      <w:r w:rsidR="00CA2931">
        <w:t>’</w:t>
      </w:r>
      <w:r>
        <w:t>irrecevabilité que le Comité a rendue au courant de la même session (</w:t>
      </w:r>
      <w:r w:rsidRPr="00A47548">
        <w:rPr>
          <w:i/>
          <w:iCs/>
        </w:rPr>
        <w:t>X. c. Australie</w:t>
      </w:r>
      <w:r>
        <w:t xml:space="preserve">, </w:t>
      </w:r>
      <w:r w:rsidRPr="00FC1224">
        <w:t xml:space="preserve">communication </w:t>
      </w:r>
      <w:r w:rsidRPr="00A04DAD">
        <w:t>n</w:t>
      </w:r>
      <w:r w:rsidRPr="00A04DAD">
        <w:rPr>
          <w:vertAlign w:val="superscript"/>
        </w:rPr>
        <w:t>o</w:t>
      </w:r>
      <w:r>
        <w:t> </w:t>
      </w:r>
      <w:r w:rsidRPr="00FC1224">
        <w:t>3580/2019</w:t>
      </w:r>
      <w:r>
        <w:t>) est très éclairante. Dans cette affaire, alors que le langage incriminé était bien moins offensant que celui dont il est question en l</w:t>
      </w:r>
      <w:r w:rsidR="00CA2931">
        <w:t>’</w:t>
      </w:r>
      <w:r>
        <w:t xml:space="preserve">espèce, le Comité a conclu que </w:t>
      </w:r>
      <w:r w:rsidRPr="009B2027">
        <w:t>les informations</w:t>
      </w:r>
      <w:r>
        <w:t xml:space="preserve"> dont il était saisi indiquaient </w:t>
      </w:r>
      <w:r w:rsidRPr="00FC1224">
        <w:t>que les mesures adoptées par l</w:t>
      </w:r>
      <w:r w:rsidR="00CA2931">
        <w:t>’</w:t>
      </w:r>
      <w:r w:rsidRPr="00FC1224">
        <w:t>État partie étaient fondées en droit et visaient à protéger l</w:t>
      </w:r>
      <w:r w:rsidR="00CA2931">
        <w:t>’</w:t>
      </w:r>
      <w:r w:rsidRPr="00FC1224">
        <w:t>intégrité de la magistrature en tant qu</w:t>
      </w:r>
      <w:r w:rsidR="00CA2931">
        <w:t>’</w:t>
      </w:r>
      <w:r w:rsidRPr="00FC1224">
        <w:t>élément de l</w:t>
      </w:r>
      <w:r w:rsidR="00CA2931">
        <w:t>’</w:t>
      </w:r>
      <w:r w:rsidRPr="00FC1224">
        <w:t>ordre public, et que la sanction imposée à l</w:t>
      </w:r>
      <w:r w:rsidR="00CA2931">
        <w:t>’</w:t>
      </w:r>
      <w:r w:rsidRPr="00FC1224">
        <w:t>auteur</w:t>
      </w:r>
      <w:r w:rsidRPr="00A47548">
        <w:rPr>
          <w:rStyle w:val="Appelnotedebasdep"/>
        </w:rPr>
        <w:footnoteReference w:id="23"/>
      </w:r>
      <w:r w:rsidRPr="00FC1224">
        <w:t xml:space="preserve"> était proportionnée à la faute professionnelle dont il a</w:t>
      </w:r>
      <w:r>
        <w:t>vait</w:t>
      </w:r>
      <w:r w:rsidRPr="00FC1224">
        <w:t xml:space="preserve"> été reconnu coupable</w:t>
      </w:r>
      <w:r>
        <w:t>.</w:t>
      </w:r>
    </w:p>
    <w:p w14:paraId="19E0997E" w14:textId="77777777" w:rsidR="00CA2931" w:rsidRPr="00CA2931" w:rsidRDefault="00CA2931" w:rsidP="00CA2931">
      <w:pPr>
        <w:pStyle w:val="SingleTxtG"/>
        <w:spacing w:before="240" w:after="0"/>
        <w:jc w:val="center"/>
        <w:rPr>
          <w:u w:val="single"/>
        </w:rPr>
      </w:pPr>
      <w:r>
        <w:rPr>
          <w:u w:val="single"/>
        </w:rPr>
        <w:tab/>
      </w:r>
      <w:r>
        <w:rPr>
          <w:u w:val="single"/>
        </w:rPr>
        <w:tab/>
      </w:r>
      <w:r>
        <w:rPr>
          <w:u w:val="single"/>
        </w:rPr>
        <w:tab/>
      </w:r>
    </w:p>
    <w:sectPr w:rsidR="00CA2931" w:rsidRPr="00CA2931" w:rsidSect="002574C8">
      <w:headerReference w:type="first" r:id="rId13"/>
      <w:footerReference w:type="first" r:id="rId14"/>
      <w:footnotePr>
        <w:numRestart w:val="eachSect"/>
      </w:footnotePr>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DFF765" w14:textId="77777777" w:rsidR="006A369F" w:rsidRDefault="006A369F" w:rsidP="00F95C08">
      <w:pPr>
        <w:spacing w:line="240" w:lineRule="auto"/>
      </w:pPr>
    </w:p>
  </w:endnote>
  <w:endnote w:type="continuationSeparator" w:id="0">
    <w:p w14:paraId="3307FAB3" w14:textId="77777777" w:rsidR="006A369F" w:rsidRPr="00AC3823" w:rsidRDefault="006A369F" w:rsidP="00AC3823">
      <w:pPr>
        <w:pStyle w:val="Pieddepage"/>
      </w:pPr>
    </w:p>
  </w:endnote>
  <w:endnote w:type="continuationNotice" w:id="1">
    <w:p w14:paraId="54EF17A0" w14:textId="77777777" w:rsidR="006A369F" w:rsidRDefault="006A369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F89598" w14:textId="77777777" w:rsidR="002574C8" w:rsidRPr="002574C8" w:rsidRDefault="002574C8" w:rsidP="002574C8">
    <w:pPr>
      <w:pStyle w:val="Pieddepage"/>
      <w:tabs>
        <w:tab w:val="right" w:pos="9638"/>
      </w:tabs>
    </w:pPr>
    <w:r w:rsidRPr="002574C8">
      <w:rPr>
        <w:b/>
        <w:sz w:val="18"/>
      </w:rPr>
      <w:fldChar w:fldCharType="begin"/>
    </w:r>
    <w:r w:rsidRPr="002574C8">
      <w:rPr>
        <w:b/>
        <w:sz w:val="18"/>
      </w:rPr>
      <w:instrText xml:space="preserve"> PAGE  \* MERGEFORMAT </w:instrText>
    </w:r>
    <w:r w:rsidRPr="002574C8">
      <w:rPr>
        <w:b/>
        <w:sz w:val="18"/>
      </w:rPr>
      <w:fldChar w:fldCharType="separate"/>
    </w:r>
    <w:r w:rsidRPr="002574C8">
      <w:rPr>
        <w:b/>
        <w:noProof/>
        <w:sz w:val="18"/>
      </w:rPr>
      <w:t>2</w:t>
    </w:r>
    <w:r w:rsidRPr="002574C8">
      <w:rPr>
        <w:b/>
        <w:sz w:val="18"/>
      </w:rPr>
      <w:fldChar w:fldCharType="end"/>
    </w:r>
    <w:r>
      <w:rPr>
        <w:b/>
        <w:sz w:val="18"/>
      </w:rPr>
      <w:tab/>
    </w:r>
    <w:r>
      <w:t>GE.19-16434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F7F7EE" w14:textId="77777777" w:rsidR="002574C8" w:rsidRPr="002574C8" w:rsidRDefault="002574C8" w:rsidP="002574C8">
    <w:pPr>
      <w:pStyle w:val="Pieddepage"/>
      <w:tabs>
        <w:tab w:val="right" w:pos="9638"/>
      </w:tabs>
      <w:rPr>
        <w:b/>
        <w:sz w:val="18"/>
      </w:rPr>
    </w:pPr>
    <w:r>
      <w:t>GE.19-16434</w:t>
    </w:r>
    <w:r>
      <w:tab/>
    </w:r>
    <w:r w:rsidRPr="002574C8">
      <w:rPr>
        <w:b/>
        <w:sz w:val="18"/>
      </w:rPr>
      <w:fldChar w:fldCharType="begin"/>
    </w:r>
    <w:r w:rsidRPr="002574C8">
      <w:rPr>
        <w:b/>
        <w:sz w:val="18"/>
      </w:rPr>
      <w:instrText xml:space="preserve"> PAGE  \* MERGEFORMAT </w:instrText>
    </w:r>
    <w:r w:rsidRPr="002574C8">
      <w:rPr>
        <w:b/>
        <w:sz w:val="18"/>
      </w:rPr>
      <w:fldChar w:fldCharType="separate"/>
    </w:r>
    <w:r w:rsidRPr="002574C8">
      <w:rPr>
        <w:b/>
        <w:noProof/>
        <w:sz w:val="18"/>
      </w:rPr>
      <w:t>3</w:t>
    </w:r>
    <w:r w:rsidRPr="002574C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71B9D2" w14:textId="77777777" w:rsidR="001B379B" w:rsidRPr="002574C8" w:rsidRDefault="002574C8" w:rsidP="002574C8">
    <w:pPr>
      <w:pStyle w:val="Pieddepage"/>
      <w:spacing w:before="120"/>
      <w:rPr>
        <w:sz w:val="20"/>
      </w:rPr>
    </w:pPr>
    <w:r>
      <w:rPr>
        <w:sz w:val="20"/>
      </w:rPr>
      <w:t>GE.</w:t>
    </w:r>
    <w:r w:rsidR="001B379B">
      <w:rPr>
        <w:noProof/>
        <w:lang w:eastAsia="fr-CH"/>
      </w:rPr>
      <w:drawing>
        <wp:anchor distT="0" distB="0" distL="114300" distR="114300" simplePos="0" relativeHeight="251659264" behindDoc="0" locked="0" layoutInCell="1" allowOverlap="0" wp14:anchorId="3B34C7DD" wp14:editId="72E42B4B">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19-16434  (F)</w:t>
    </w:r>
    <w:r w:rsidR="000A78E3">
      <w:rPr>
        <w:sz w:val="20"/>
      </w:rPr>
      <w:t xml:space="preserve">    060720    070720</w:t>
    </w:r>
    <w:r>
      <w:rPr>
        <w:sz w:val="20"/>
      </w:rPr>
      <w:br/>
    </w:r>
    <w:r w:rsidRPr="002574C8">
      <w:rPr>
        <w:rFonts w:ascii="C39T30Lfz" w:hAnsi="C39T30Lfz"/>
        <w:sz w:val="56"/>
      </w:rPr>
      <w:t></w:t>
    </w:r>
    <w:r w:rsidRPr="002574C8">
      <w:rPr>
        <w:rFonts w:ascii="C39T30Lfz" w:hAnsi="C39T30Lfz"/>
        <w:sz w:val="56"/>
      </w:rPr>
      <w:t></w:t>
    </w:r>
    <w:r w:rsidRPr="002574C8">
      <w:rPr>
        <w:rFonts w:ascii="C39T30Lfz" w:hAnsi="C39T30Lfz"/>
        <w:sz w:val="56"/>
      </w:rPr>
      <w:t></w:t>
    </w:r>
    <w:r w:rsidRPr="002574C8">
      <w:rPr>
        <w:rFonts w:ascii="C39T30Lfz" w:hAnsi="C39T30Lfz"/>
        <w:sz w:val="56"/>
      </w:rPr>
      <w:t></w:t>
    </w:r>
    <w:r w:rsidRPr="002574C8">
      <w:rPr>
        <w:rFonts w:ascii="C39T30Lfz" w:hAnsi="C39T30Lfz"/>
        <w:sz w:val="56"/>
      </w:rPr>
      <w:t></w:t>
    </w:r>
    <w:r w:rsidRPr="002574C8">
      <w:rPr>
        <w:rFonts w:ascii="C39T30Lfz" w:hAnsi="C39T30Lfz"/>
        <w:sz w:val="56"/>
      </w:rPr>
      <w:t></w:t>
    </w:r>
    <w:r w:rsidRPr="002574C8">
      <w:rPr>
        <w:rFonts w:ascii="C39T30Lfz" w:hAnsi="C39T30Lfz"/>
        <w:sz w:val="56"/>
      </w:rPr>
      <w:t></w:t>
    </w:r>
    <w:r w:rsidRPr="002574C8">
      <w:rPr>
        <w:rFonts w:ascii="C39T30Lfz" w:hAnsi="C39T30Lfz"/>
        <w:sz w:val="56"/>
      </w:rPr>
      <w:t></w:t>
    </w:r>
    <w:r w:rsidRPr="002574C8">
      <w:rPr>
        <w:rFonts w:ascii="C39T30Lfz" w:hAnsi="C39T30Lfz"/>
        <w:sz w:val="56"/>
      </w:rPr>
      <w:t></w:t>
    </w:r>
    <w:r>
      <w:rPr>
        <w:noProof/>
        <w:sz w:val="20"/>
      </w:rPr>
      <w:drawing>
        <wp:anchor distT="0" distB="0" distL="114300" distR="114300" simplePos="0" relativeHeight="251677696" behindDoc="0" locked="0" layoutInCell="1" allowOverlap="1" wp14:anchorId="365DDD6C" wp14:editId="4A0457C5">
          <wp:simplePos x="0" y="0"/>
          <wp:positionH relativeFrom="margin">
            <wp:posOffset>5489575</wp:posOffset>
          </wp:positionH>
          <wp:positionV relativeFrom="margin">
            <wp:posOffset>8891905</wp:posOffset>
          </wp:positionV>
          <wp:extent cx="638175" cy="638175"/>
          <wp:effectExtent l="0" t="0" r="9525" b="9525"/>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10BA1F" w14:textId="77777777" w:rsidR="00765853" w:rsidRPr="002574C8" w:rsidRDefault="004742AF" w:rsidP="00765853">
    <w:pPr>
      <w:pStyle w:val="Pieddepage"/>
      <w:tabs>
        <w:tab w:val="right" w:pos="9639"/>
      </w:tabs>
      <w:spacing w:before="120"/>
      <w:rPr>
        <w:sz w:val="20"/>
      </w:rPr>
    </w:pPr>
    <w:r w:rsidRPr="002574C8">
      <w:rPr>
        <w:b/>
        <w:sz w:val="18"/>
      </w:rPr>
      <w:fldChar w:fldCharType="begin"/>
    </w:r>
    <w:r w:rsidRPr="002574C8">
      <w:rPr>
        <w:b/>
        <w:sz w:val="18"/>
      </w:rPr>
      <w:instrText xml:space="preserve"> PAGE  \* MERGEFORMAT </w:instrText>
    </w:r>
    <w:r w:rsidRPr="002574C8">
      <w:rPr>
        <w:b/>
        <w:sz w:val="18"/>
      </w:rPr>
      <w:fldChar w:fldCharType="separate"/>
    </w:r>
    <w:r>
      <w:rPr>
        <w:b/>
        <w:sz w:val="18"/>
      </w:rPr>
      <w:t>12</w:t>
    </w:r>
    <w:r w:rsidRPr="002574C8">
      <w:rPr>
        <w:b/>
        <w:sz w:val="18"/>
      </w:rPr>
      <w:fldChar w:fldCharType="end"/>
    </w:r>
    <w:r w:rsidR="00765853">
      <w:tab/>
    </w:r>
    <w:r>
      <w:t>GE.19-16434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264614" w14:textId="77777777" w:rsidR="006A369F" w:rsidRPr="00AC3823" w:rsidRDefault="006A369F" w:rsidP="00AC3823">
      <w:pPr>
        <w:pStyle w:val="Pieddepage"/>
        <w:tabs>
          <w:tab w:val="right" w:pos="2155"/>
        </w:tabs>
        <w:spacing w:after="80" w:line="240" w:lineRule="atLeast"/>
        <w:ind w:left="680"/>
        <w:rPr>
          <w:u w:val="single"/>
        </w:rPr>
      </w:pPr>
      <w:r>
        <w:rPr>
          <w:u w:val="single"/>
        </w:rPr>
        <w:tab/>
      </w:r>
    </w:p>
  </w:footnote>
  <w:footnote w:type="continuationSeparator" w:id="0">
    <w:p w14:paraId="37E092B3" w14:textId="77777777" w:rsidR="006A369F" w:rsidRPr="00AC3823" w:rsidRDefault="006A369F" w:rsidP="00AC3823">
      <w:pPr>
        <w:pStyle w:val="Pieddepage"/>
        <w:tabs>
          <w:tab w:val="right" w:pos="2155"/>
        </w:tabs>
        <w:spacing w:after="80" w:line="240" w:lineRule="atLeast"/>
        <w:ind w:left="680"/>
        <w:rPr>
          <w:u w:val="single"/>
        </w:rPr>
      </w:pPr>
      <w:r>
        <w:rPr>
          <w:u w:val="single"/>
        </w:rPr>
        <w:tab/>
      </w:r>
    </w:p>
  </w:footnote>
  <w:footnote w:type="continuationNotice" w:id="1">
    <w:p w14:paraId="7236F71B" w14:textId="77777777" w:rsidR="006A369F" w:rsidRPr="00AC3823" w:rsidRDefault="006A369F">
      <w:pPr>
        <w:spacing w:line="240" w:lineRule="auto"/>
        <w:rPr>
          <w:sz w:val="2"/>
          <w:szCs w:val="2"/>
        </w:rPr>
      </w:pPr>
    </w:p>
  </w:footnote>
  <w:footnote w:id="2">
    <w:p w14:paraId="23A7EABF" w14:textId="77777777" w:rsidR="00765853" w:rsidRPr="00D32EC1" w:rsidRDefault="00765853" w:rsidP="00765853">
      <w:pPr>
        <w:pStyle w:val="Notedebasdepage"/>
        <w:rPr>
          <w:szCs w:val="18"/>
          <w:lang w:val="fr-FR"/>
        </w:rPr>
      </w:pPr>
      <w:r w:rsidRPr="00A47548">
        <w:rPr>
          <w:rStyle w:val="Appelnotedebasdep"/>
          <w:sz w:val="20"/>
          <w:vertAlign w:val="baseline"/>
          <w:lang w:val="fr-FR"/>
        </w:rPr>
        <w:tab/>
        <w:t>*</w:t>
      </w:r>
      <w:r w:rsidRPr="00A47548">
        <w:rPr>
          <w:rStyle w:val="Appelnotedebasdep"/>
          <w:sz w:val="20"/>
          <w:vertAlign w:val="baseline"/>
          <w:lang w:val="fr-FR"/>
        </w:rPr>
        <w:tab/>
      </w:r>
      <w:r w:rsidRPr="00D32EC1">
        <w:rPr>
          <w:szCs w:val="18"/>
          <w:lang w:val="fr-FR"/>
        </w:rPr>
        <w:t>Adoptées par le Comité à sa 126</w:t>
      </w:r>
      <w:r w:rsidRPr="000A78E3">
        <w:rPr>
          <w:szCs w:val="18"/>
          <w:vertAlign w:val="superscript"/>
          <w:lang w:val="fr-FR"/>
        </w:rPr>
        <w:t>e</w:t>
      </w:r>
      <w:r w:rsidRPr="00D32EC1">
        <w:rPr>
          <w:szCs w:val="18"/>
          <w:lang w:val="fr-FR"/>
        </w:rPr>
        <w:t> session (1</w:t>
      </w:r>
      <w:r w:rsidR="000A78E3" w:rsidRPr="000A78E3">
        <w:rPr>
          <w:szCs w:val="18"/>
          <w:vertAlign w:val="superscript"/>
          <w:lang w:val="fr-FR"/>
        </w:rPr>
        <w:t>er</w:t>
      </w:r>
      <w:r w:rsidRPr="00D32EC1">
        <w:rPr>
          <w:szCs w:val="18"/>
          <w:lang w:val="fr-FR"/>
        </w:rPr>
        <w:t>-26 juillet 2019).</w:t>
      </w:r>
    </w:p>
  </w:footnote>
  <w:footnote w:id="3">
    <w:p w14:paraId="7BE5747B" w14:textId="77777777" w:rsidR="00765853" w:rsidRPr="00765853" w:rsidRDefault="00765853">
      <w:pPr>
        <w:pStyle w:val="Notedebasdepage"/>
      </w:pPr>
      <w:r>
        <w:rPr>
          <w:rStyle w:val="Appelnotedebasdep"/>
        </w:rPr>
        <w:tab/>
      </w:r>
      <w:r w:rsidRPr="00765853">
        <w:rPr>
          <w:rStyle w:val="Appelnotedebasdep"/>
          <w:sz w:val="20"/>
          <w:vertAlign w:val="baseline"/>
        </w:rPr>
        <w:t>**</w:t>
      </w:r>
      <w:r>
        <w:rPr>
          <w:rStyle w:val="Appelnotedebasdep"/>
          <w:sz w:val="20"/>
          <w:vertAlign w:val="baseline"/>
        </w:rPr>
        <w:tab/>
      </w:r>
      <w:r>
        <w:rPr>
          <w:lang w:val="fr-FR"/>
        </w:rPr>
        <w:t>Les membres du Comité dont le nom suit ont participé à l</w:t>
      </w:r>
      <w:r w:rsidR="00CA2931">
        <w:rPr>
          <w:lang w:val="fr-FR"/>
        </w:rPr>
        <w:t>’</w:t>
      </w:r>
      <w:r>
        <w:rPr>
          <w:lang w:val="fr-FR"/>
        </w:rPr>
        <w:t xml:space="preserve">examen de la communication : </w:t>
      </w:r>
      <w:r w:rsidRPr="00380A94">
        <w:rPr>
          <w:szCs w:val="18"/>
          <w:lang w:val="fr-FR"/>
        </w:rPr>
        <w:t xml:space="preserve">Tania María Abdo Rocholl, Yadh Ben Achour, Ilze Brands Kehris, Arif Bulkan, Ahmed Amin Fathalla, Shuichi Furuya, Christof Heyns, </w:t>
      </w:r>
      <w:r>
        <w:rPr>
          <w:szCs w:val="18"/>
          <w:lang w:val="fr-FR"/>
        </w:rPr>
        <w:t xml:space="preserve">Bamariam Koita, </w:t>
      </w:r>
      <w:r w:rsidRPr="00380A94">
        <w:rPr>
          <w:szCs w:val="18"/>
          <w:lang w:val="fr-FR"/>
        </w:rPr>
        <w:t xml:space="preserve">Duncan Laki Muhumuza, Photini Pazartzis, Hernán Quezada Cabrera, </w:t>
      </w:r>
      <w:r w:rsidRPr="00B42B8B">
        <w:rPr>
          <w:szCs w:val="18"/>
        </w:rPr>
        <w:t xml:space="preserve">Vasilka Sancin, </w:t>
      </w:r>
      <w:r w:rsidRPr="00380A94">
        <w:rPr>
          <w:szCs w:val="18"/>
          <w:lang w:val="fr-FR"/>
        </w:rPr>
        <w:t xml:space="preserve">José Manuel Santos Pais, Yuval Shany, Hélène Tigroudja, Andreas Zimmermann </w:t>
      </w:r>
      <w:r>
        <w:rPr>
          <w:szCs w:val="18"/>
          <w:lang w:val="fr-FR"/>
        </w:rPr>
        <w:t>et</w:t>
      </w:r>
      <w:r w:rsidRPr="00380A94">
        <w:rPr>
          <w:szCs w:val="18"/>
          <w:lang w:val="fr-FR"/>
        </w:rPr>
        <w:t xml:space="preserve"> Gentian Zyberi.</w:t>
      </w:r>
      <w:r>
        <w:rPr>
          <w:szCs w:val="18"/>
          <w:lang w:val="fr-FR"/>
        </w:rPr>
        <w:t xml:space="preserve"> </w:t>
      </w:r>
      <w:r>
        <w:rPr>
          <w:lang w:val="fr-FR"/>
        </w:rPr>
        <w:t xml:space="preserve">En application de </w:t>
      </w:r>
      <w:r>
        <w:t>l</w:t>
      </w:r>
      <w:r w:rsidR="00CA2931">
        <w:t>’</w:t>
      </w:r>
      <w:r>
        <w:t xml:space="preserve">article 108 du règlement intérieur du Comité, </w:t>
      </w:r>
      <w:r w:rsidRPr="00081915">
        <w:rPr>
          <w:lang w:val="fr-FR"/>
        </w:rPr>
        <w:t xml:space="preserve">Marcia </w:t>
      </w:r>
      <w:r>
        <w:rPr>
          <w:lang w:val="fr-FR"/>
        </w:rPr>
        <w:t>V. J. </w:t>
      </w:r>
      <w:r w:rsidRPr="00081915">
        <w:rPr>
          <w:lang w:val="fr-FR"/>
        </w:rPr>
        <w:t xml:space="preserve">Kran </w:t>
      </w:r>
      <w:r>
        <w:t>n</w:t>
      </w:r>
      <w:r w:rsidR="00CA2931">
        <w:t>’</w:t>
      </w:r>
      <w:r>
        <w:t>a pas pris part à l</w:t>
      </w:r>
      <w:r w:rsidR="00CA2931">
        <w:t>’</w:t>
      </w:r>
      <w:r>
        <w:t>examen de la communication</w:t>
      </w:r>
      <w:r w:rsidR="000A78E3">
        <w:t>.</w:t>
      </w:r>
    </w:p>
  </w:footnote>
  <w:footnote w:id="4">
    <w:p w14:paraId="2CB27D62" w14:textId="77777777" w:rsidR="00765853" w:rsidRPr="00765853" w:rsidRDefault="00765853" w:rsidP="00765853">
      <w:pPr>
        <w:pStyle w:val="Notedebasdepage"/>
      </w:pPr>
      <w:r>
        <w:rPr>
          <w:rStyle w:val="Appelnotedebasdep"/>
        </w:rPr>
        <w:tab/>
      </w:r>
      <w:r w:rsidRPr="00765853">
        <w:rPr>
          <w:rStyle w:val="Appelnotedebasdep"/>
          <w:sz w:val="20"/>
          <w:vertAlign w:val="baseline"/>
        </w:rPr>
        <w:t>***</w:t>
      </w:r>
      <w:r>
        <w:rPr>
          <w:rStyle w:val="Appelnotedebasdep"/>
          <w:sz w:val="20"/>
          <w:vertAlign w:val="baseline"/>
        </w:rPr>
        <w:tab/>
      </w:r>
      <w:r w:rsidRPr="00765853">
        <w:rPr>
          <w:szCs w:val="18"/>
        </w:rPr>
        <w:t>Le texte d</w:t>
      </w:r>
      <w:r w:rsidR="00CA2931">
        <w:rPr>
          <w:szCs w:val="18"/>
        </w:rPr>
        <w:t>’</w:t>
      </w:r>
      <w:r w:rsidRPr="00765853">
        <w:rPr>
          <w:szCs w:val="18"/>
        </w:rPr>
        <w:t>une opinion individuelle (dissidente) signée de José Manuel Santos Pais et Yadh Ben Achour est joint aux présentes constatations.</w:t>
      </w:r>
    </w:p>
  </w:footnote>
  <w:footnote w:id="5">
    <w:p w14:paraId="5680E541" w14:textId="77777777" w:rsidR="00765853" w:rsidRPr="005B173B" w:rsidRDefault="00C050FA" w:rsidP="00765853">
      <w:pPr>
        <w:pStyle w:val="Notedebasdepage"/>
        <w:rPr>
          <w:lang w:val="fr-FR"/>
        </w:rPr>
      </w:pPr>
      <w:r>
        <w:tab/>
      </w:r>
      <w:r w:rsidR="00765853" w:rsidRPr="00A47548">
        <w:rPr>
          <w:rStyle w:val="Appelnotedebasdep"/>
        </w:rPr>
        <w:footnoteRef/>
      </w:r>
      <w:r w:rsidR="00765853">
        <w:tab/>
      </w:r>
      <w:r w:rsidR="00765853" w:rsidRPr="00796C70">
        <w:rPr>
          <w:spacing w:val="-1"/>
        </w:rPr>
        <w:t>Le paragraphe 5 2) de l</w:t>
      </w:r>
      <w:r w:rsidR="00CA2931">
        <w:rPr>
          <w:spacing w:val="-1"/>
        </w:rPr>
        <w:t>’</w:t>
      </w:r>
      <w:r w:rsidR="00765853" w:rsidRPr="00796C70">
        <w:rPr>
          <w:spacing w:val="-1"/>
        </w:rPr>
        <w:t xml:space="preserve">article 4 de la loi </w:t>
      </w:r>
      <w:r w:rsidR="00765853">
        <w:rPr>
          <w:spacing w:val="-1"/>
        </w:rPr>
        <w:t>sur la fonction publique</w:t>
      </w:r>
      <w:r w:rsidR="00765853" w:rsidRPr="00796C70">
        <w:rPr>
          <w:spacing w:val="-1"/>
        </w:rPr>
        <w:t xml:space="preserve"> en Lituanie dispose explicitement qu</w:t>
      </w:r>
      <w:r w:rsidR="00CA2931">
        <w:rPr>
          <w:spacing w:val="-1"/>
        </w:rPr>
        <w:t>’</w:t>
      </w:r>
      <w:r w:rsidR="00765853" w:rsidRPr="00796C70">
        <w:rPr>
          <w:spacing w:val="-1"/>
        </w:rPr>
        <w:t>elle ne s</w:t>
      </w:r>
      <w:r w:rsidR="00CA2931">
        <w:rPr>
          <w:spacing w:val="-1"/>
        </w:rPr>
        <w:t>’</w:t>
      </w:r>
      <w:r w:rsidR="00765853" w:rsidRPr="00796C70">
        <w:rPr>
          <w:spacing w:val="-1"/>
        </w:rPr>
        <w:t>applique pas aux procureurs. Les activités de ces derniers sont régies par une autre loi, la loi relative au ministère public</w:t>
      </w:r>
      <w:r w:rsidR="00132710">
        <w:rPr>
          <w:spacing w:val="-1"/>
        </w:rPr>
        <w:t>.</w:t>
      </w:r>
    </w:p>
  </w:footnote>
  <w:footnote w:id="6">
    <w:p w14:paraId="29E7C17C" w14:textId="77777777" w:rsidR="00765853" w:rsidRPr="00796C70" w:rsidRDefault="00765853" w:rsidP="00765853">
      <w:pPr>
        <w:pStyle w:val="Notedebasdepage"/>
      </w:pPr>
      <w:r w:rsidRPr="00796C70">
        <w:tab/>
      </w:r>
      <w:r w:rsidRPr="00A47548">
        <w:rPr>
          <w:rStyle w:val="Appelnotedebasdep"/>
        </w:rPr>
        <w:footnoteRef/>
      </w:r>
      <w:r w:rsidRPr="00796C70">
        <w:tab/>
        <w:t>L</w:t>
      </w:r>
      <w:r w:rsidR="00CA2931">
        <w:t>’</w:t>
      </w:r>
      <w:r w:rsidRPr="00796C70">
        <w:t>objet de la disposition apparaît dans le titre du chapitre XLI du Code pénal lituanien.</w:t>
      </w:r>
    </w:p>
  </w:footnote>
  <w:footnote w:id="7">
    <w:p w14:paraId="3AF687D7" w14:textId="77777777" w:rsidR="00765853" w:rsidRPr="00796C70" w:rsidRDefault="00765853" w:rsidP="00765853">
      <w:pPr>
        <w:pStyle w:val="Notedebasdepage"/>
      </w:pPr>
      <w:r w:rsidRPr="00796C70">
        <w:tab/>
      </w:r>
      <w:r w:rsidRPr="00A47548">
        <w:rPr>
          <w:rStyle w:val="Appelnotedebasdep"/>
        </w:rPr>
        <w:footnoteRef/>
      </w:r>
      <w:r w:rsidRPr="00796C70">
        <w:tab/>
        <w:t>L</w:t>
      </w:r>
      <w:r w:rsidR="00CA2931">
        <w:t>’</w:t>
      </w:r>
      <w:r w:rsidRPr="00796C70">
        <w:t xml:space="preserve">auteure fait référence, entre autres, à </w:t>
      </w:r>
      <w:r w:rsidRPr="00796C70">
        <w:rPr>
          <w:i/>
          <w:iCs/>
        </w:rPr>
        <w:t xml:space="preserve">Bodrožić c. Serbie-et-Monténégro </w:t>
      </w:r>
      <w:r w:rsidRPr="00796C70">
        <w:rPr>
          <w:iCs/>
        </w:rPr>
        <w:t>(</w:t>
      </w:r>
      <w:r w:rsidRPr="00796C70">
        <w:t>CCPR/C/85/D/1180/2003), par. 7.2</w:t>
      </w:r>
      <w:r>
        <w:t xml:space="preserve"> et</w:t>
      </w:r>
      <w:r w:rsidRPr="00796C70">
        <w:t xml:space="preserve"> Cour européenne des droits de l</w:t>
      </w:r>
      <w:r w:rsidR="00CA2931">
        <w:t>’</w:t>
      </w:r>
      <w:r w:rsidRPr="00796C70">
        <w:t xml:space="preserve">homme, </w:t>
      </w:r>
      <w:r w:rsidRPr="00796C70">
        <w:rPr>
          <w:i/>
          <w:iCs/>
        </w:rPr>
        <w:t>Lingens c. Autriche</w:t>
      </w:r>
      <w:r w:rsidRPr="00796C70">
        <w:t xml:space="preserve"> (requête n</w:t>
      </w:r>
      <w:r w:rsidRPr="00796C70">
        <w:rPr>
          <w:vertAlign w:val="superscript"/>
        </w:rPr>
        <w:t>o</w:t>
      </w:r>
      <w:r w:rsidRPr="00796C70">
        <w:t xml:space="preserve"> 9815/82), 8 juillet 1986, par. 42 ; </w:t>
      </w:r>
      <w:r w:rsidRPr="00796C70">
        <w:rPr>
          <w:i/>
          <w:iCs/>
        </w:rPr>
        <w:t>Dyundin c. Russie</w:t>
      </w:r>
      <w:r w:rsidRPr="00796C70">
        <w:t>, (requête n</w:t>
      </w:r>
      <w:r w:rsidR="005A75C2">
        <w:rPr>
          <w:vertAlign w:val="superscript"/>
        </w:rPr>
        <w:t>o</w:t>
      </w:r>
      <w:r w:rsidR="005A75C2" w:rsidRPr="005A75C2">
        <w:t> </w:t>
      </w:r>
      <w:r w:rsidRPr="00796C70">
        <w:t xml:space="preserve">37406/03), 14 octobre 2008, par. 26 ; </w:t>
      </w:r>
      <w:r w:rsidRPr="00796C70">
        <w:rPr>
          <w:i/>
          <w:iCs/>
        </w:rPr>
        <w:t>Thoma c.</w:t>
      </w:r>
      <w:r w:rsidR="005A75C2">
        <w:rPr>
          <w:i/>
          <w:iCs/>
        </w:rPr>
        <w:t> </w:t>
      </w:r>
      <w:r w:rsidRPr="00796C70">
        <w:rPr>
          <w:i/>
          <w:iCs/>
        </w:rPr>
        <w:t>Luxembourg</w:t>
      </w:r>
      <w:r w:rsidRPr="00796C70">
        <w:t xml:space="preserve"> (requête n</w:t>
      </w:r>
      <w:r w:rsidRPr="00796C70">
        <w:rPr>
          <w:vertAlign w:val="superscript"/>
        </w:rPr>
        <w:t>o</w:t>
      </w:r>
      <w:r w:rsidRPr="00796C70">
        <w:t> 38432/97), 29 mars 2001, par. 47</w:t>
      </w:r>
      <w:r>
        <w:t xml:space="preserve"> et</w:t>
      </w:r>
      <w:r w:rsidRPr="00796C70">
        <w:t xml:space="preserve"> </w:t>
      </w:r>
      <w:r w:rsidRPr="00796C70">
        <w:rPr>
          <w:i/>
          <w:iCs/>
        </w:rPr>
        <w:t>Nikula c. Finlande</w:t>
      </w:r>
      <w:r w:rsidRPr="00796C70">
        <w:t xml:space="preserve"> (requête n</w:t>
      </w:r>
      <w:r w:rsidRPr="00796C70">
        <w:rPr>
          <w:vertAlign w:val="superscript"/>
        </w:rPr>
        <w:t>o</w:t>
      </w:r>
      <w:r w:rsidRPr="00796C70">
        <w:t> 31611/96), 21 mars 2002, par. 48.</w:t>
      </w:r>
    </w:p>
  </w:footnote>
  <w:footnote w:id="8">
    <w:p w14:paraId="1EC61C1F" w14:textId="77777777" w:rsidR="00765853" w:rsidRPr="00796C70" w:rsidRDefault="00765853" w:rsidP="00765853">
      <w:pPr>
        <w:pStyle w:val="Notedebasdepage"/>
      </w:pPr>
      <w:r w:rsidRPr="00796C70">
        <w:tab/>
      </w:r>
      <w:r w:rsidRPr="00A47548">
        <w:rPr>
          <w:rStyle w:val="Appelnotedebasdep"/>
        </w:rPr>
        <w:footnoteRef/>
      </w:r>
      <w:r w:rsidRPr="00796C70">
        <w:tab/>
        <w:t>L</w:t>
      </w:r>
      <w:r w:rsidR="00CA2931">
        <w:t>’</w:t>
      </w:r>
      <w:r w:rsidRPr="00796C70">
        <w:t>État partie a fait part de ses observations sur la recevabilité de la communication. Certains de ses arguments sont toutefois intimement liés au fond de l</w:t>
      </w:r>
      <w:r w:rsidR="00CA2931">
        <w:t>’</w:t>
      </w:r>
      <w:r w:rsidRPr="00796C70">
        <w:t>affaire.</w:t>
      </w:r>
    </w:p>
  </w:footnote>
  <w:footnote w:id="9">
    <w:p w14:paraId="3131A302" w14:textId="77777777" w:rsidR="00765853" w:rsidRPr="00796C70" w:rsidRDefault="00765853" w:rsidP="00765853">
      <w:pPr>
        <w:pStyle w:val="Notedebasdepage"/>
      </w:pPr>
      <w:r w:rsidRPr="00796C70">
        <w:tab/>
      </w:r>
      <w:r w:rsidRPr="00A47548">
        <w:rPr>
          <w:rStyle w:val="Appelnotedebasdep"/>
        </w:rPr>
        <w:footnoteRef/>
      </w:r>
      <w:r w:rsidRPr="00796C70">
        <w:tab/>
        <w:t>Par cet argument, l</w:t>
      </w:r>
      <w:r w:rsidR="00CA2931">
        <w:t>’</w:t>
      </w:r>
      <w:r w:rsidRPr="00796C70">
        <w:t>État partie conteste en particulier le grief de l</w:t>
      </w:r>
      <w:r w:rsidR="00CA2931">
        <w:t>’</w:t>
      </w:r>
      <w:r w:rsidRPr="00796C70">
        <w:t>auteure selon lequel le champ d</w:t>
      </w:r>
      <w:r w:rsidR="00CA2931">
        <w:t>’</w:t>
      </w:r>
      <w:r w:rsidRPr="00796C70">
        <w:t>application personnel de la loi n</w:t>
      </w:r>
      <w:r w:rsidR="00CA2931">
        <w:t>’</w:t>
      </w:r>
      <w:r w:rsidRPr="00796C70">
        <w:t>est pas défini de manière suffisamment précise et prévisible et a été interprété trop largement par les juridictions nationales.</w:t>
      </w:r>
    </w:p>
  </w:footnote>
  <w:footnote w:id="10">
    <w:p w14:paraId="58476415" w14:textId="77777777" w:rsidR="00765853" w:rsidRPr="00796C70" w:rsidRDefault="00765853" w:rsidP="00765853">
      <w:pPr>
        <w:pStyle w:val="Notedebasdepage"/>
      </w:pPr>
      <w:r w:rsidRPr="00796C70">
        <w:tab/>
      </w:r>
      <w:r w:rsidRPr="00A47548">
        <w:rPr>
          <w:rStyle w:val="Appelnotedebasdep"/>
        </w:rPr>
        <w:footnoteRef/>
      </w:r>
      <w:r w:rsidRPr="00796C70">
        <w:tab/>
        <w:t>Voir, par exemple, l</w:t>
      </w:r>
      <w:r w:rsidR="00CA2931">
        <w:t>’</w:t>
      </w:r>
      <w:r w:rsidRPr="00796C70">
        <w:t>article 232 du Code pénal lituanien, concernant l</w:t>
      </w:r>
      <w:r w:rsidR="00CA2931">
        <w:t>’</w:t>
      </w:r>
      <w:r w:rsidRPr="00796C70">
        <w:t>insulte à l</w:t>
      </w:r>
      <w:r w:rsidR="00CA2931">
        <w:t>’</w:t>
      </w:r>
      <w:r w:rsidRPr="00796C70">
        <w:t>égard d</w:t>
      </w:r>
      <w:r w:rsidR="00CA2931">
        <w:t>’</w:t>
      </w:r>
      <w:r w:rsidRPr="00796C70">
        <w:t>un tribunal ou d</w:t>
      </w:r>
      <w:r w:rsidR="00CA2931">
        <w:t>’</w:t>
      </w:r>
      <w:r w:rsidRPr="00796C70">
        <w:t>un juge.</w:t>
      </w:r>
    </w:p>
  </w:footnote>
  <w:footnote w:id="11">
    <w:p w14:paraId="45D76A19" w14:textId="77777777" w:rsidR="00765853" w:rsidRPr="00796C70" w:rsidRDefault="00765853" w:rsidP="00765853">
      <w:pPr>
        <w:pStyle w:val="Notedebasdepage"/>
      </w:pPr>
      <w:r w:rsidRPr="00796C70">
        <w:tab/>
      </w:r>
      <w:r w:rsidRPr="00A47548">
        <w:rPr>
          <w:rStyle w:val="Appelnotedebasdep"/>
        </w:rPr>
        <w:footnoteRef/>
      </w:r>
      <w:r w:rsidRPr="00796C70">
        <w:tab/>
      </w:r>
      <w:r>
        <w:t>Au paragraphe 54 de</w:t>
      </w:r>
      <w:r w:rsidRPr="00796C70">
        <w:t xml:space="preserve"> </w:t>
      </w:r>
      <w:r w:rsidRPr="00796C70">
        <w:rPr>
          <w:i/>
          <w:szCs w:val="18"/>
        </w:rPr>
        <w:t>Lešník c. Slovaquie</w:t>
      </w:r>
      <w:r w:rsidRPr="00796C70">
        <w:t xml:space="preserve"> (requête n</w:t>
      </w:r>
      <w:r w:rsidRPr="00796C70">
        <w:rPr>
          <w:vertAlign w:val="superscript"/>
        </w:rPr>
        <w:t>o</w:t>
      </w:r>
      <w:r w:rsidRPr="00796C70">
        <w:t> </w:t>
      </w:r>
      <w:r w:rsidRPr="00796C70">
        <w:rPr>
          <w:szCs w:val="18"/>
        </w:rPr>
        <w:t>35640/97)</w:t>
      </w:r>
      <w:r w:rsidRPr="00796C70">
        <w:t>, arrêt du 11 mars 2003, la Cour européenne des droits de l</w:t>
      </w:r>
      <w:r w:rsidR="00CA2931">
        <w:t>’</w:t>
      </w:r>
      <w:r w:rsidRPr="00796C70">
        <w:t>homme a dit ce qui suit : « Les procureurs sont des fonctionnaires dont la tâche est de contribuer à une bonne administration de la justice. À cet égard, ils font partie de l</w:t>
      </w:r>
      <w:r w:rsidR="00CA2931">
        <w:t>’</w:t>
      </w:r>
      <w:r w:rsidRPr="00796C70">
        <w:t>ordre judiciaire au sens large de ce terme. Il est de l</w:t>
      </w:r>
      <w:r w:rsidR="00CA2931">
        <w:t>’</w:t>
      </w:r>
      <w:r w:rsidRPr="00796C70">
        <w:t>intérêt général qu</w:t>
      </w:r>
      <w:r w:rsidR="00CA2931">
        <w:t>’</w:t>
      </w:r>
      <w:r w:rsidRPr="00796C70">
        <w:t>ils jouissent, à l</w:t>
      </w:r>
      <w:r w:rsidR="00CA2931">
        <w:t>’</w:t>
      </w:r>
      <w:r w:rsidRPr="00796C70">
        <w:t>instar des magistrats, de la confiance du public. Il peut donc être nécessaire que l</w:t>
      </w:r>
      <w:r w:rsidR="00CA2931">
        <w:t>’</w:t>
      </w:r>
      <w:r w:rsidRPr="00796C70">
        <w:t>État les protège d</w:t>
      </w:r>
      <w:r w:rsidR="00CA2931">
        <w:t>’</w:t>
      </w:r>
      <w:r w:rsidRPr="00796C70">
        <w:t>accusations infondées. »</w:t>
      </w:r>
      <w:r w:rsidR="00145441">
        <w:t>.</w:t>
      </w:r>
    </w:p>
  </w:footnote>
  <w:footnote w:id="12">
    <w:p w14:paraId="740E0D35" w14:textId="77777777" w:rsidR="00765853" w:rsidRPr="00796C70" w:rsidRDefault="00765853" w:rsidP="00765853">
      <w:pPr>
        <w:pStyle w:val="Notedebasdepage"/>
      </w:pPr>
      <w:r w:rsidRPr="00796C70">
        <w:tab/>
      </w:r>
      <w:r w:rsidRPr="00A47548">
        <w:rPr>
          <w:rStyle w:val="Appelnotedebasdep"/>
        </w:rPr>
        <w:footnoteRef/>
      </w:r>
      <w:r w:rsidRPr="00796C70">
        <w:tab/>
        <w:t>L</w:t>
      </w:r>
      <w:r w:rsidR="00CA2931">
        <w:t>’</w:t>
      </w:r>
      <w:r w:rsidRPr="00796C70">
        <w:t>État partie fait également remarquer que les juridictions nationales ont dûment tenu compte de l</w:t>
      </w:r>
      <w:r w:rsidR="00CA2931">
        <w:t>’</w:t>
      </w:r>
      <w:r w:rsidRPr="00796C70">
        <w:t>état de stress de l</w:t>
      </w:r>
      <w:r w:rsidR="00CA2931">
        <w:t>’</w:t>
      </w:r>
      <w:r w:rsidRPr="00796C70">
        <w:t>auteure, indépendamment du fait que la demande du procureur de placer l</w:t>
      </w:r>
      <w:r w:rsidR="00CA2931">
        <w:t>’</w:t>
      </w:r>
      <w:r w:rsidRPr="00796C70">
        <w:t>auteure en détention a finalement été rejetée par la Cour d</w:t>
      </w:r>
      <w:r w:rsidR="00CA2931">
        <w:t>’</w:t>
      </w:r>
      <w:r w:rsidRPr="00796C70">
        <w:t>appel de Lituanie, ce qui montre de surcroît que ce n</w:t>
      </w:r>
      <w:r w:rsidR="00CA2931">
        <w:t>’</w:t>
      </w:r>
      <w:r w:rsidRPr="00796C70">
        <w:t>est pas au ministère public mais bien à la Cour de décider de la nécessité d</w:t>
      </w:r>
      <w:r w:rsidR="00CA2931">
        <w:t>’</w:t>
      </w:r>
      <w:r w:rsidRPr="00796C70">
        <w:t>un placement en détention. En conséquence, la crainte de l</w:t>
      </w:r>
      <w:r w:rsidR="00CA2931">
        <w:t>’</w:t>
      </w:r>
      <w:r w:rsidRPr="00796C70">
        <w:t>auteure, qu</w:t>
      </w:r>
      <w:r w:rsidR="00CA2931">
        <w:t>’</w:t>
      </w:r>
      <w:r w:rsidRPr="00796C70">
        <w:t>elle invoque pour sa défense, n</w:t>
      </w:r>
      <w:r w:rsidR="00CA2931">
        <w:t>’</w:t>
      </w:r>
      <w:r w:rsidRPr="00796C70">
        <w:t>était pas fondée.</w:t>
      </w:r>
    </w:p>
  </w:footnote>
  <w:footnote w:id="13">
    <w:p w14:paraId="5A1D9912" w14:textId="77777777" w:rsidR="00765853" w:rsidRPr="00796C70" w:rsidRDefault="00765853" w:rsidP="00765853">
      <w:pPr>
        <w:pStyle w:val="Notedebasdepage"/>
        <w:rPr>
          <w:szCs w:val="18"/>
        </w:rPr>
      </w:pPr>
      <w:r w:rsidRPr="00796C70">
        <w:rPr>
          <w:szCs w:val="18"/>
        </w:rPr>
        <w:tab/>
      </w:r>
      <w:r w:rsidRPr="00A47548">
        <w:rPr>
          <w:rStyle w:val="Appelnotedebasdep"/>
        </w:rPr>
        <w:footnoteRef/>
      </w:r>
      <w:r w:rsidRPr="00796C70">
        <w:rPr>
          <w:szCs w:val="18"/>
        </w:rPr>
        <w:tab/>
        <w:t xml:space="preserve">Voir, par exemple, </w:t>
      </w:r>
      <w:r w:rsidRPr="00796C70">
        <w:rPr>
          <w:i/>
          <w:szCs w:val="18"/>
        </w:rPr>
        <w:t>Sudalenko et Poplavny c. Bélarus</w:t>
      </w:r>
      <w:r w:rsidRPr="00796C70">
        <w:rPr>
          <w:szCs w:val="18"/>
        </w:rPr>
        <w:t xml:space="preserve"> (CCPR/C/122/D/2190/2012), par. 8.3.</w:t>
      </w:r>
    </w:p>
  </w:footnote>
  <w:footnote w:id="14">
    <w:p w14:paraId="3C863A41" w14:textId="77777777" w:rsidR="00765853" w:rsidRPr="00796C70" w:rsidRDefault="00765853" w:rsidP="00765853">
      <w:pPr>
        <w:pStyle w:val="Notedebasdepage"/>
        <w:rPr>
          <w:szCs w:val="18"/>
        </w:rPr>
      </w:pPr>
      <w:r w:rsidRPr="00796C70">
        <w:rPr>
          <w:szCs w:val="18"/>
        </w:rPr>
        <w:tab/>
      </w:r>
      <w:r w:rsidRPr="00A47548">
        <w:rPr>
          <w:rStyle w:val="Appelnotedebasdep"/>
        </w:rPr>
        <w:footnoteRef/>
      </w:r>
      <w:r w:rsidRPr="00796C70">
        <w:rPr>
          <w:szCs w:val="18"/>
        </w:rPr>
        <w:tab/>
        <w:t>D</w:t>
      </w:r>
      <w:r w:rsidR="00CA2931">
        <w:rPr>
          <w:szCs w:val="18"/>
        </w:rPr>
        <w:t>’</w:t>
      </w:r>
      <w:r w:rsidRPr="00796C70">
        <w:rPr>
          <w:szCs w:val="18"/>
        </w:rPr>
        <w:t xml:space="preserve">après le Commentaire, la </w:t>
      </w:r>
      <w:r w:rsidRPr="00796C70">
        <w:t>disposition s</w:t>
      </w:r>
      <w:r w:rsidR="00CA2931">
        <w:t>’</w:t>
      </w:r>
      <w:r w:rsidRPr="00796C70">
        <w:t>applique à toutes les personnes qui exercent des fonctions publiques, à la seule exception de certains groupes de personnes qui bénéficient d</w:t>
      </w:r>
      <w:r w:rsidR="00CA2931">
        <w:t>’</w:t>
      </w:r>
      <w:r w:rsidRPr="00796C70">
        <w:t>une protection au titre d</w:t>
      </w:r>
      <w:r w:rsidR="00CA2931">
        <w:t>’</w:t>
      </w:r>
      <w:r w:rsidRPr="00796C70">
        <w:t>autres articles du Code pénal</w:t>
      </w:r>
      <w:r w:rsidRPr="00796C70">
        <w:rPr>
          <w:szCs w:val="18"/>
        </w:rPr>
        <w:t>.</w:t>
      </w:r>
    </w:p>
  </w:footnote>
  <w:footnote w:id="15">
    <w:p w14:paraId="0475ACFA" w14:textId="77777777" w:rsidR="00765853" w:rsidRPr="00796C70" w:rsidRDefault="00765853" w:rsidP="00765853">
      <w:pPr>
        <w:pStyle w:val="Notedebasdepage"/>
      </w:pPr>
      <w:r w:rsidRPr="00796C70">
        <w:tab/>
      </w:r>
      <w:r w:rsidRPr="00A47548">
        <w:rPr>
          <w:rStyle w:val="Appelnotedebasdep"/>
        </w:rPr>
        <w:footnoteRef/>
      </w:r>
      <w:r w:rsidRPr="00796C70">
        <w:tab/>
        <w:t>Voir Cour européenne des droits de l</w:t>
      </w:r>
      <w:r w:rsidR="00CA2931">
        <w:t>’</w:t>
      </w:r>
      <w:r w:rsidRPr="00796C70">
        <w:t>homme</w:t>
      </w:r>
      <w:r>
        <w:t>,</w:t>
      </w:r>
      <w:r w:rsidRPr="00796C70">
        <w:rPr>
          <w:i/>
          <w:szCs w:val="18"/>
        </w:rPr>
        <w:t xml:space="preserve"> Lešník c. Slovaquie</w:t>
      </w:r>
      <w:r w:rsidRPr="00796C70">
        <w:t>.</w:t>
      </w:r>
    </w:p>
  </w:footnote>
  <w:footnote w:id="16">
    <w:p w14:paraId="3179B2BC" w14:textId="77777777" w:rsidR="00765853" w:rsidRPr="00BF4536" w:rsidRDefault="00765853" w:rsidP="00765853">
      <w:pPr>
        <w:pStyle w:val="Notedebasdepage"/>
      </w:pPr>
      <w:bookmarkStart w:id="4" w:name="_Hlk44928635"/>
      <w:r>
        <w:tab/>
      </w:r>
      <w:r w:rsidRPr="00A47548">
        <w:rPr>
          <w:rStyle w:val="Appelnotedebasdep"/>
        </w:rPr>
        <w:footnoteRef/>
      </w:r>
      <w:r>
        <w:tab/>
        <w:t xml:space="preserve">Voir </w:t>
      </w:r>
      <w:r w:rsidRPr="00A47548">
        <w:rPr>
          <w:i/>
          <w:iCs/>
        </w:rPr>
        <w:t>Z. H. c. Australie</w:t>
      </w:r>
      <w:r>
        <w:t xml:space="preserve"> (</w:t>
      </w:r>
      <w:r w:rsidRPr="00A47548">
        <w:rPr>
          <w:lang w:val="fr-FR"/>
        </w:rPr>
        <w:t>CCPR/C/107/D/1957/2010</w:t>
      </w:r>
      <w:r>
        <w:t>), par. 9.3.</w:t>
      </w:r>
    </w:p>
    <w:bookmarkEnd w:id="4"/>
  </w:footnote>
  <w:footnote w:id="17">
    <w:p w14:paraId="24CAADD1" w14:textId="77777777" w:rsidR="00765853" w:rsidRPr="00796C70" w:rsidRDefault="00765853" w:rsidP="00765853">
      <w:pPr>
        <w:pStyle w:val="Notedebasdepage"/>
      </w:pPr>
      <w:r w:rsidRPr="00796C70">
        <w:tab/>
      </w:r>
      <w:r w:rsidRPr="00A47548">
        <w:rPr>
          <w:rStyle w:val="Appelnotedebasdep"/>
        </w:rPr>
        <w:footnoteRef/>
      </w:r>
      <w:r w:rsidRPr="00796C70">
        <w:tab/>
        <w:t xml:space="preserve">Voir, par exemple, </w:t>
      </w:r>
      <w:r w:rsidRPr="00796C70">
        <w:rPr>
          <w:i/>
        </w:rPr>
        <w:t>Fernando c. Sri Lanka</w:t>
      </w:r>
      <w:r w:rsidRPr="00796C70">
        <w:t xml:space="preserve"> (CCPR/C/83/D/1189/2003).</w:t>
      </w:r>
    </w:p>
  </w:footnote>
  <w:footnote w:id="18">
    <w:p w14:paraId="0E7AE466" w14:textId="77777777" w:rsidR="00765853" w:rsidRPr="00A47548" w:rsidRDefault="00C050FA" w:rsidP="00765853">
      <w:pPr>
        <w:pStyle w:val="Notedebasdepage"/>
        <w:rPr>
          <w:lang w:val="fr-FR"/>
        </w:rPr>
      </w:pPr>
      <w:r>
        <w:tab/>
      </w:r>
      <w:r w:rsidR="00765853" w:rsidRPr="00A47548">
        <w:rPr>
          <w:rStyle w:val="Appelnotedebasdep"/>
        </w:rPr>
        <w:footnoteRef/>
      </w:r>
      <w:r w:rsidR="00765853">
        <w:tab/>
        <w:t>Voir aussi, Comité d</w:t>
      </w:r>
      <w:r w:rsidR="00CA2931">
        <w:t>’</w:t>
      </w:r>
      <w:r w:rsidR="00765853">
        <w:t>experts sur le rôle du ministère public dans le système de justice pénale, « Rôle du ministère public dans le système de justice pénale », Recommandation Rec(2000)19 du Comité des Ministres du Conseil de l</w:t>
      </w:r>
      <w:r w:rsidR="00CA2931">
        <w:t>’</w:t>
      </w:r>
      <w:r w:rsidR="00765853">
        <w:t xml:space="preserve">Europe, par. 11 ; </w:t>
      </w:r>
      <w:r w:rsidR="00765853" w:rsidRPr="00D0022A">
        <w:t>Conférence des procureurs généraux d</w:t>
      </w:r>
      <w:r w:rsidR="00CA2931">
        <w:t>’</w:t>
      </w:r>
      <w:r w:rsidR="00765853" w:rsidRPr="00D0022A">
        <w:t xml:space="preserve">Europe, </w:t>
      </w:r>
      <w:r w:rsidR="00765853">
        <w:t>« </w:t>
      </w:r>
      <w:r w:rsidR="00765853" w:rsidRPr="00D0022A">
        <w:t>Lignes directrices européennes sur l</w:t>
      </w:r>
      <w:r w:rsidR="00CA2931">
        <w:t>’</w:t>
      </w:r>
      <w:r w:rsidR="00765853" w:rsidRPr="00D0022A">
        <w:t>éthique et la conduite des membres du ministère public</w:t>
      </w:r>
      <w:r w:rsidR="007104A7">
        <w:t> </w:t>
      </w:r>
      <w:r w:rsidR="00765853" w:rsidRPr="00D0022A">
        <w:t>: lignes directrices de Budapest</w:t>
      </w:r>
      <w:r w:rsidR="00765853">
        <w:t> »</w:t>
      </w:r>
      <w:r w:rsidR="00765853" w:rsidRPr="00D0022A">
        <w:t xml:space="preserve"> (2005), lignes directrices I et II</w:t>
      </w:r>
      <w:r w:rsidR="00CA2931">
        <w:t> </w:t>
      </w:r>
      <w:r w:rsidR="00765853" w:rsidRPr="00D0022A">
        <w:t>;</w:t>
      </w:r>
      <w:r w:rsidR="00765853">
        <w:t xml:space="preserve"> Nations Unies, « </w:t>
      </w:r>
      <w:r w:rsidR="00765853" w:rsidRPr="00502DDE">
        <w:t>Principes directeurs applicables au rôle des magistrats du parquet</w:t>
      </w:r>
      <w:r w:rsidR="00765853">
        <w:t> » (1990), par. 4 ;</w:t>
      </w:r>
      <w:r w:rsidR="00765853" w:rsidRPr="0021030B">
        <w:t xml:space="preserve"> Association internationale des procureurs et poursuivants, </w:t>
      </w:r>
      <w:r w:rsidR="00765853">
        <w:t>« </w:t>
      </w:r>
      <w:r w:rsidR="00765853" w:rsidRPr="0021030B">
        <w:t>Normes de responsabilité professionnelle et Déclaration des droits et des devoirs essentiels des procureurs et poursuivants</w:t>
      </w:r>
      <w:r w:rsidR="00765853">
        <w:t> »</w:t>
      </w:r>
      <w:r w:rsidR="00765853" w:rsidRPr="0021030B">
        <w:t xml:space="preserve"> (1999), par</w:t>
      </w:r>
      <w:r w:rsidR="00765853">
        <w:t>. </w:t>
      </w:r>
      <w:r w:rsidR="00765853" w:rsidRPr="0021030B">
        <w:t>6</w:t>
      </w:r>
      <w:r w:rsidR="00765853">
        <w:t> </w:t>
      </w:r>
      <w:r w:rsidR="00765853" w:rsidRPr="0021030B">
        <w:t>;</w:t>
      </w:r>
      <w:r w:rsidR="00765853">
        <w:t xml:space="preserve"> </w:t>
      </w:r>
      <w:r w:rsidR="00765853" w:rsidRPr="0021030B">
        <w:t xml:space="preserve">Office des Nations unies contre la drogue et le crime, </w:t>
      </w:r>
      <w:r w:rsidR="00765853">
        <w:t>« </w:t>
      </w:r>
      <w:r w:rsidR="00765853" w:rsidRPr="00A47548">
        <w:rPr>
          <w:i/>
          <w:iCs/>
        </w:rPr>
        <w:t>The status and role of prosecutors : a United Nations Office on Drugs and Crime and International Association of Prosecutors Guide</w:t>
      </w:r>
      <w:r w:rsidR="00765853">
        <w:t> »</w:t>
      </w:r>
      <w:r w:rsidR="00765853" w:rsidRPr="0021030B">
        <w:t>, Série de manuels sur la justice pénale (New York, 2014).</w:t>
      </w:r>
    </w:p>
  </w:footnote>
  <w:footnote w:id="19">
    <w:p w14:paraId="1B98DCBF" w14:textId="77777777" w:rsidR="00765853" w:rsidRPr="00A47548" w:rsidRDefault="00765853" w:rsidP="00765853">
      <w:pPr>
        <w:pStyle w:val="Notedebasdepage"/>
        <w:rPr>
          <w:lang w:val="fr-FR"/>
        </w:rPr>
      </w:pPr>
      <w:r>
        <w:tab/>
      </w:r>
      <w:r w:rsidRPr="00A47548">
        <w:rPr>
          <w:rStyle w:val="Appelnotedebasdep"/>
        </w:rPr>
        <w:footnoteRef/>
      </w:r>
      <w:r>
        <w:tab/>
      </w:r>
      <w:r>
        <w:rPr>
          <w:lang w:val="fr-FR"/>
        </w:rPr>
        <w:t>Elle aurait été recrutée par des citoyens russes pour commettre un attentat terroriste sur une base militaire à Moscou.</w:t>
      </w:r>
    </w:p>
  </w:footnote>
  <w:footnote w:id="20">
    <w:p w14:paraId="52594DFF" w14:textId="77777777" w:rsidR="00765853" w:rsidRPr="0015327B" w:rsidRDefault="00765853" w:rsidP="00765853">
      <w:pPr>
        <w:pStyle w:val="Notedebasdepage"/>
      </w:pPr>
      <w:r>
        <w:tab/>
      </w:r>
      <w:r w:rsidRPr="00A47548">
        <w:rPr>
          <w:rStyle w:val="Appelnotedebasdep"/>
        </w:rPr>
        <w:footnoteRef/>
      </w:r>
      <w:r>
        <w:tab/>
        <w:t>La requête du procureur de faire placer l</w:t>
      </w:r>
      <w:r w:rsidR="00CA2931">
        <w:t>’</w:t>
      </w:r>
      <w:r>
        <w:t>auteure en détention a par la suite été rejetée par la Cour d</w:t>
      </w:r>
      <w:r w:rsidR="00CA2931">
        <w:t>’</w:t>
      </w:r>
      <w:r>
        <w:t>appel de Lituanie. La crainte de l</w:t>
      </w:r>
      <w:r w:rsidR="00CA2931">
        <w:t>’</w:t>
      </w:r>
      <w:r>
        <w:t>auteure n</w:t>
      </w:r>
      <w:r w:rsidR="00CA2931">
        <w:t>’</w:t>
      </w:r>
      <w:r>
        <w:t>était donc pas justifiée (voir note 9).</w:t>
      </w:r>
    </w:p>
  </w:footnote>
  <w:footnote w:id="21">
    <w:p w14:paraId="47121BD5" w14:textId="77777777" w:rsidR="00765853" w:rsidRPr="00A47548" w:rsidRDefault="00765853" w:rsidP="00765853">
      <w:pPr>
        <w:pStyle w:val="Notedebasdepage"/>
        <w:rPr>
          <w:lang w:val="fr-FR"/>
        </w:rPr>
      </w:pPr>
      <w:r>
        <w:tab/>
      </w:r>
      <w:r w:rsidRPr="00A47548">
        <w:rPr>
          <w:rStyle w:val="Appelnotedebasdep"/>
        </w:rPr>
        <w:footnoteRef/>
      </w:r>
      <w:r>
        <w:tab/>
        <w:t>L</w:t>
      </w:r>
      <w:r w:rsidR="00CA2931">
        <w:t>’</w:t>
      </w:r>
      <w:r>
        <w:t>auteure elle-même reconnaît avoir été placée en détention à plusieurs reprises</w:t>
      </w:r>
      <w:r w:rsidR="00BC71B7">
        <w:t xml:space="preserve"> </w:t>
      </w:r>
      <w:r w:rsidR="00BC71B7" w:rsidRPr="00DE1A97">
        <w:t>(par.</w:t>
      </w:r>
      <w:r w:rsidR="00DE1A97" w:rsidRPr="00DE1A97">
        <w:t> </w:t>
      </w:r>
      <w:r w:rsidR="00BC71B7" w:rsidRPr="00DE1A97">
        <w:t>3.5)</w:t>
      </w:r>
      <w:r w:rsidRPr="00DE1A97">
        <w:t>.</w:t>
      </w:r>
    </w:p>
  </w:footnote>
  <w:footnote w:id="22">
    <w:p w14:paraId="1CC29F4F" w14:textId="77777777" w:rsidR="00765853" w:rsidRPr="00A47548" w:rsidRDefault="00765853" w:rsidP="00765853">
      <w:pPr>
        <w:pStyle w:val="Notedebasdepage"/>
        <w:rPr>
          <w:lang w:val="fr-FR"/>
        </w:rPr>
      </w:pPr>
      <w:r w:rsidRPr="00796C70">
        <w:tab/>
      </w:r>
      <w:r w:rsidRPr="00A47548">
        <w:rPr>
          <w:rStyle w:val="Appelnotedebasdep"/>
        </w:rPr>
        <w:footnoteRef/>
      </w:r>
      <w:r>
        <w:tab/>
        <w:t>En Lituanie, l</w:t>
      </w:r>
      <w:r w:rsidR="00CA2931">
        <w:t>’</w:t>
      </w:r>
      <w:r>
        <w:t>action du ministère public repose sur le principe de légalité : toute infraction pénale signalée doit faire l</w:t>
      </w:r>
      <w:r w:rsidR="00CA2931">
        <w:t>’</w:t>
      </w:r>
      <w:r>
        <w:t>objet d</w:t>
      </w:r>
      <w:r w:rsidR="00CA2931">
        <w:t>’</w:t>
      </w:r>
      <w:r>
        <w:t>une enquête, de telle sorte que le procureur devait dresser un acte d</w:t>
      </w:r>
      <w:r w:rsidR="00CA2931">
        <w:t>’</w:t>
      </w:r>
      <w:r>
        <w:t>accusation contre l</w:t>
      </w:r>
      <w:r w:rsidR="00CA2931">
        <w:t>’</w:t>
      </w:r>
      <w:r>
        <w:t>auteure au titre de l</w:t>
      </w:r>
      <w:r w:rsidR="00CA2931">
        <w:t>’</w:t>
      </w:r>
      <w:r>
        <w:t>article 290 du Code pénal lituanien.</w:t>
      </w:r>
    </w:p>
  </w:footnote>
  <w:footnote w:id="23">
    <w:p w14:paraId="716666DF" w14:textId="77777777" w:rsidR="00765853" w:rsidRPr="00A47548" w:rsidRDefault="00765853" w:rsidP="00765853">
      <w:pPr>
        <w:pStyle w:val="Notedebasdepage"/>
        <w:rPr>
          <w:lang w:val="fr-FR"/>
        </w:rPr>
      </w:pPr>
      <w:r>
        <w:tab/>
      </w:r>
      <w:r w:rsidRPr="00A47548">
        <w:rPr>
          <w:rStyle w:val="Appelnotedebasdep"/>
        </w:rPr>
        <w:footnoteRef/>
      </w:r>
      <w:r>
        <w:tab/>
        <w:t>En tant qu</w:t>
      </w:r>
      <w:r w:rsidR="00CA2931">
        <w:t>’</w:t>
      </w:r>
      <w:r>
        <w:t>avocat, l</w:t>
      </w:r>
      <w:r w:rsidR="00CA2931">
        <w:t>’</w:t>
      </w:r>
      <w:r>
        <w:t>auteur</w:t>
      </w:r>
      <w:r w:rsidRPr="009B2027">
        <w:t xml:space="preserve"> a</w:t>
      </w:r>
      <w:r>
        <w:t xml:space="preserve"> reçu un</w:t>
      </w:r>
      <w:r w:rsidRPr="009B2027">
        <w:t xml:space="preserve"> blâm</w:t>
      </w:r>
      <w:r>
        <w:t>e</w:t>
      </w:r>
      <w:r w:rsidRPr="009B2027">
        <w:t xml:space="preserve"> pour faute professionnelle et été obligé de suivre, à ses frais, un cours d</w:t>
      </w:r>
      <w:r w:rsidR="00CA2931">
        <w:t>’</w:t>
      </w:r>
      <w:r w:rsidRPr="009B2027">
        <w:t>éthique du droit sanctionné par un diplôme, en sus du remboursement des dépens.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CC7496" w14:textId="194E6FCB" w:rsidR="002574C8" w:rsidRPr="002574C8" w:rsidRDefault="00BC4CEB">
    <w:pPr>
      <w:pStyle w:val="En-tte"/>
    </w:pPr>
    <w:fldSimple w:instr=" TITLE  \* MERGEFORMAT ">
      <w:r w:rsidR="00CD615C">
        <w:t>CCPR/C/126/D/2716/2016</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5EBFE5" w14:textId="7996B2B8" w:rsidR="002574C8" w:rsidRPr="002574C8" w:rsidRDefault="00BC4CEB" w:rsidP="002574C8">
    <w:pPr>
      <w:pStyle w:val="En-tte"/>
      <w:jc w:val="right"/>
    </w:pPr>
    <w:fldSimple w:instr=" TITLE  \* MERGEFORMAT ">
      <w:r w:rsidR="00CD615C">
        <w:t>CCPR/C/126/D/2716/2016</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9BC127" w14:textId="036B5D5B" w:rsidR="00765853" w:rsidRDefault="00CD615C" w:rsidP="004742AF">
    <w:pPr>
      <w:pStyle w:val="En-tte"/>
    </w:pPr>
    <w:r>
      <w:fldChar w:fldCharType="begin"/>
    </w:r>
    <w:r>
      <w:instrText xml:space="preserve"> TITLE  \* MERGEFORMAT </w:instrText>
    </w:r>
    <w:r>
      <w:fldChar w:fldCharType="separate"/>
    </w:r>
    <w:r>
      <w:t>CCPR/C/126/D/2716/2016</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7D08229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5C8CEEB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64428C8C"/>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 w:numId="17">
    <w:abstractNumId w:val="12"/>
  </w:num>
  <w:num w:numId="18">
    <w:abstractNumId w:val="1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attachedTemplate r:id="rId1"/>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6A369F"/>
    <w:rsid w:val="000138E1"/>
    <w:rsid w:val="00017F94"/>
    <w:rsid w:val="00023842"/>
    <w:rsid w:val="000334F9"/>
    <w:rsid w:val="00064BE3"/>
    <w:rsid w:val="000769B8"/>
    <w:rsid w:val="0007796D"/>
    <w:rsid w:val="000A5796"/>
    <w:rsid w:val="000A78E3"/>
    <w:rsid w:val="000B7790"/>
    <w:rsid w:val="000C2225"/>
    <w:rsid w:val="00111A21"/>
    <w:rsid w:val="00111F2F"/>
    <w:rsid w:val="001127C6"/>
    <w:rsid w:val="00132710"/>
    <w:rsid w:val="0014365E"/>
    <w:rsid w:val="00145441"/>
    <w:rsid w:val="00176178"/>
    <w:rsid w:val="001B379B"/>
    <w:rsid w:val="001C68FE"/>
    <w:rsid w:val="001F145D"/>
    <w:rsid w:val="001F2270"/>
    <w:rsid w:val="001F525A"/>
    <w:rsid w:val="002215A4"/>
    <w:rsid w:val="00223272"/>
    <w:rsid w:val="00244BF0"/>
    <w:rsid w:val="0024779E"/>
    <w:rsid w:val="002574C8"/>
    <w:rsid w:val="00262816"/>
    <w:rsid w:val="002B7BC7"/>
    <w:rsid w:val="002E2D46"/>
    <w:rsid w:val="003150AA"/>
    <w:rsid w:val="00320C3B"/>
    <w:rsid w:val="0032225A"/>
    <w:rsid w:val="003402F1"/>
    <w:rsid w:val="00351332"/>
    <w:rsid w:val="003A6E96"/>
    <w:rsid w:val="003F49E9"/>
    <w:rsid w:val="00446FE5"/>
    <w:rsid w:val="00452396"/>
    <w:rsid w:val="004742AF"/>
    <w:rsid w:val="004B5A9E"/>
    <w:rsid w:val="004F2AEB"/>
    <w:rsid w:val="005505B7"/>
    <w:rsid w:val="00573BE5"/>
    <w:rsid w:val="00586DDF"/>
    <w:rsid w:val="00586ED3"/>
    <w:rsid w:val="00596AA9"/>
    <w:rsid w:val="005A75C2"/>
    <w:rsid w:val="005E28F8"/>
    <w:rsid w:val="006A369F"/>
    <w:rsid w:val="006F7144"/>
    <w:rsid w:val="006F71EA"/>
    <w:rsid w:val="007104A7"/>
    <w:rsid w:val="0071601D"/>
    <w:rsid w:val="00765853"/>
    <w:rsid w:val="00793E85"/>
    <w:rsid w:val="007A611C"/>
    <w:rsid w:val="007A62E6"/>
    <w:rsid w:val="007D6AFC"/>
    <w:rsid w:val="007E2032"/>
    <w:rsid w:val="007E7705"/>
    <w:rsid w:val="0080684C"/>
    <w:rsid w:val="008560DB"/>
    <w:rsid w:val="00871C75"/>
    <w:rsid w:val="008776DC"/>
    <w:rsid w:val="00935899"/>
    <w:rsid w:val="009628FC"/>
    <w:rsid w:val="009705C8"/>
    <w:rsid w:val="009B1E6C"/>
    <w:rsid w:val="009E2C6A"/>
    <w:rsid w:val="00A66212"/>
    <w:rsid w:val="00A67A7D"/>
    <w:rsid w:val="00A9151D"/>
    <w:rsid w:val="00AA6A35"/>
    <w:rsid w:val="00AC3823"/>
    <w:rsid w:val="00AE323C"/>
    <w:rsid w:val="00AF60A5"/>
    <w:rsid w:val="00B00181"/>
    <w:rsid w:val="00B765F7"/>
    <w:rsid w:val="00B836E6"/>
    <w:rsid w:val="00BA0CA9"/>
    <w:rsid w:val="00BC4CEB"/>
    <w:rsid w:val="00BC71B7"/>
    <w:rsid w:val="00C01ACF"/>
    <w:rsid w:val="00C02897"/>
    <w:rsid w:val="00C050FA"/>
    <w:rsid w:val="00CA2931"/>
    <w:rsid w:val="00CA7BC4"/>
    <w:rsid w:val="00CD615C"/>
    <w:rsid w:val="00D05667"/>
    <w:rsid w:val="00D3439C"/>
    <w:rsid w:val="00D744E5"/>
    <w:rsid w:val="00D83177"/>
    <w:rsid w:val="00DB1831"/>
    <w:rsid w:val="00DD3BFD"/>
    <w:rsid w:val="00DE1A97"/>
    <w:rsid w:val="00DE29B8"/>
    <w:rsid w:val="00DF6678"/>
    <w:rsid w:val="00E0400E"/>
    <w:rsid w:val="00E4747F"/>
    <w:rsid w:val="00E85C42"/>
    <w:rsid w:val="00EC30D5"/>
    <w:rsid w:val="00ED618D"/>
    <w:rsid w:val="00EE1BD4"/>
    <w:rsid w:val="00F12152"/>
    <w:rsid w:val="00F660DF"/>
    <w:rsid w:val="00F95C08"/>
    <w:rsid w:val="00FD57A3"/>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CD13AE7"/>
  <w15:docId w15:val="{D2297CF8-69F9-4683-B9BB-E8AC2B713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744E5"/>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D744E5"/>
    <w:pPr>
      <w:keepNext/>
      <w:keepLines/>
      <w:spacing w:after="0" w:line="240" w:lineRule="auto"/>
      <w:ind w:right="0"/>
      <w:jc w:val="left"/>
      <w:outlineLvl w:val="0"/>
    </w:pPr>
  </w:style>
  <w:style w:type="paragraph" w:styleId="Titre2">
    <w:name w:val="heading 2"/>
    <w:basedOn w:val="Normal"/>
    <w:next w:val="Normal"/>
    <w:link w:val="Titre2Car"/>
    <w:semiHidden/>
    <w:qFormat/>
    <w:rsid w:val="00A9151D"/>
    <w:pPr>
      <w:outlineLvl w:val="1"/>
    </w:pPr>
  </w:style>
  <w:style w:type="paragraph" w:styleId="Titre3">
    <w:name w:val="heading 3"/>
    <w:basedOn w:val="Normal"/>
    <w:next w:val="Normal"/>
    <w:link w:val="Titre3Car"/>
    <w:semiHidden/>
    <w:qFormat/>
    <w:rsid w:val="00793E85"/>
    <w:pPr>
      <w:outlineLvl w:val="2"/>
    </w:pPr>
  </w:style>
  <w:style w:type="paragraph" w:styleId="Titre4">
    <w:name w:val="heading 4"/>
    <w:basedOn w:val="Normal"/>
    <w:next w:val="Normal"/>
    <w:link w:val="Titre4Car"/>
    <w:semiHidden/>
    <w:qFormat/>
    <w:rsid w:val="00793E85"/>
    <w:pPr>
      <w:outlineLvl w:val="3"/>
    </w:pPr>
  </w:style>
  <w:style w:type="paragraph" w:styleId="Titre5">
    <w:name w:val="heading 5"/>
    <w:basedOn w:val="Normal"/>
    <w:next w:val="Normal"/>
    <w:link w:val="Titre5Car"/>
    <w:semiHidden/>
    <w:qFormat/>
    <w:rsid w:val="00793E85"/>
    <w:pPr>
      <w:outlineLvl w:val="4"/>
    </w:pPr>
  </w:style>
  <w:style w:type="paragraph" w:styleId="Titre6">
    <w:name w:val="heading 6"/>
    <w:basedOn w:val="Normal"/>
    <w:next w:val="Normal"/>
    <w:link w:val="Titre6Car"/>
    <w:semiHidden/>
    <w:qFormat/>
    <w:rsid w:val="00793E85"/>
    <w:pPr>
      <w:outlineLvl w:val="5"/>
    </w:pPr>
  </w:style>
  <w:style w:type="paragraph" w:styleId="Titre7">
    <w:name w:val="heading 7"/>
    <w:basedOn w:val="Normal"/>
    <w:next w:val="Normal"/>
    <w:link w:val="Titre7Car"/>
    <w:semiHidden/>
    <w:qFormat/>
    <w:rsid w:val="00793E85"/>
    <w:pPr>
      <w:outlineLvl w:val="6"/>
    </w:pPr>
  </w:style>
  <w:style w:type="paragraph" w:styleId="Titre8">
    <w:name w:val="heading 8"/>
    <w:basedOn w:val="Normal"/>
    <w:next w:val="Normal"/>
    <w:link w:val="Titre8Car"/>
    <w:semiHidden/>
    <w:qFormat/>
    <w:rsid w:val="00793E85"/>
    <w:pPr>
      <w:outlineLvl w:val="7"/>
    </w:pPr>
  </w:style>
  <w:style w:type="paragraph" w:styleId="Titre9">
    <w:name w:val="heading 9"/>
    <w:basedOn w:val="Normal"/>
    <w:next w:val="Normal"/>
    <w:link w:val="Titre9Car"/>
    <w:semiHidden/>
    <w:qFormat/>
    <w:rsid w:val="00793E85"/>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D744E5"/>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D744E5"/>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D744E5"/>
    <w:pPr>
      <w:spacing w:line="240" w:lineRule="auto"/>
    </w:pPr>
    <w:rPr>
      <w:sz w:val="16"/>
    </w:rPr>
  </w:style>
  <w:style w:type="character" w:customStyle="1" w:styleId="PieddepageCar">
    <w:name w:val="Pied de page Car"/>
    <w:aliases w:val="3_G Car"/>
    <w:basedOn w:val="Policepardfaut"/>
    <w:link w:val="Pieddepage"/>
    <w:rsid w:val="00D744E5"/>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D744E5"/>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744E5"/>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D744E5"/>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D744E5"/>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D744E5"/>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D744E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D744E5"/>
    <w:pPr>
      <w:spacing w:after="120"/>
      <w:ind w:left="1134" w:right="1134"/>
      <w:jc w:val="both"/>
    </w:pPr>
  </w:style>
  <w:style w:type="paragraph" w:customStyle="1" w:styleId="SLG">
    <w:name w:val="__S_L_G"/>
    <w:basedOn w:val="Normal"/>
    <w:next w:val="Normal"/>
    <w:rsid w:val="00D744E5"/>
    <w:pPr>
      <w:keepNext/>
      <w:keepLines/>
      <w:spacing w:before="240" w:after="240" w:line="580" w:lineRule="exact"/>
      <w:ind w:left="1134" w:right="1134"/>
    </w:pPr>
    <w:rPr>
      <w:b/>
      <w:sz w:val="56"/>
    </w:rPr>
  </w:style>
  <w:style w:type="paragraph" w:customStyle="1" w:styleId="SMG">
    <w:name w:val="__S_M_G"/>
    <w:basedOn w:val="Normal"/>
    <w:next w:val="Normal"/>
    <w:rsid w:val="00D744E5"/>
    <w:pPr>
      <w:keepNext/>
      <w:keepLines/>
      <w:spacing w:before="240" w:after="240" w:line="420" w:lineRule="exact"/>
      <w:ind w:left="1134" w:right="1134"/>
    </w:pPr>
    <w:rPr>
      <w:b/>
      <w:sz w:val="40"/>
    </w:rPr>
  </w:style>
  <w:style w:type="paragraph" w:customStyle="1" w:styleId="SSG">
    <w:name w:val="__S_S_G"/>
    <w:basedOn w:val="Normal"/>
    <w:next w:val="Normal"/>
    <w:rsid w:val="00D744E5"/>
    <w:pPr>
      <w:keepNext/>
      <w:keepLines/>
      <w:spacing w:before="240" w:after="240" w:line="300" w:lineRule="exact"/>
      <w:ind w:left="1134" w:right="1134"/>
    </w:pPr>
    <w:rPr>
      <w:b/>
      <w:sz w:val="28"/>
    </w:rPr>
  </w:style>
  <w:style w:type="paragraph" w:customStyle="1" w:styleId="XLargeG">
    <w:name w:val="__XLarge_G"/>
    <w:basedOn w:val="Normal"/>
    <w:next w:val="Normal"/>
    <w:rsid w:val="00D744E5"/>
    <w:pPr>
      <w:keepNext/>
      <w:keepLines/>
      <w:spacing w:before="240" w:after="240" w:line="420" w:lineRule="exact"/>
      <w:ind w:left="1134" w:right="1134"/>
    </w:pPr>
    <w:rPr>
      <w:b/>
      <w:sz w:val="40"/>
    </w:rPr>
  </w:style>
  <w:style w:type="paragraph" w:customStyle="1" w:styleId="Bullet1G">
    <w:name w:val="_Bullet 1_G"/>
    <w:basedOn w:val="Normal"/>
    <w:qFormat/>
    <w:rsid w:val="00D744E5"/>
    <w:pPr>
      <w:numPr>
        <w:numId w:val="17"/>
      </w:numPr>
      <w:spacing w:after="120"/>
      <w:ind w:right="1134"/>
      <w:jc w:val="both"/>
    </w:pPr>
  </w:style>
  <w:style w:type="paragraph" w:customStyle="1" w:styleId="Bullet2G">
    <w:name w:val="_Bullet 2_G"/>
    <w:basedOn w:val="Normal"/>
    <w:qFormat/>
    <w:rsid w:val="00D744E5"/>
    <w:pPr>
      <w:numPr>
        <w:numId w:val="18"/>
      </w:numPr>
      <w:spacing w:after="120"/>
      <w:ind w:right="1134"/>
      <w:jc w:val="both"/>
    </w:pPr>
  </w:style>
  <w:style w:type="paragraph" w:customStyle="1" w:styleId="ParNoG">
    <w:name w:val="_ParNo_G"/>
    <w:basedOn w:val="Normal"/>
    <w:qFormat/>
    <w:rsid w:val="00D744E5"/>
    <w:pPr>
      <w:numPr>
        <w:numId w:val="19"/>
      </w:numPr>
      <w:tabs>
        <w:tab w:val="clear" w:pos="1701"/>
      </w:tabs>
      <w:spacing w:after="120"/>
      <w:ind w:right="1134"/>
      <w:jc w:val="both"/>
    </w:pPr>
  </w:style>
  <w:style w:type="character" w:styleId="Appelnotedebasdep">
    <w:name w:val="footnote reference"/>
    <w:aliases w:val="4_G,Footnote number,ftref,Footnotes refss,Style 10,referencia nota al pie,BVI fnr,Footnote text,4_Footnote text,callout,Fago Fußnotenzeichen,16 Point,Superscript 6 Point,Footnote,Footnote symbol,f,Footnote Refernece,Ref"/>
    <w:basedOn w:val="Policepardfaut"/>
    <w:qFormat/>
    <w:rsid w:val="00D744E5"/>
    <w:rPr>
      <w:rFonts w:ascii="Times New Roman" w:hAnsi="Times New Roman"/>
      <w:sz w:val="18"/>
      <w:vertAlign w:val="superscript"/>
      <w:lang w:val="fr-CH"/>
    </w:rPr>
  </w:style>
  <w:style w:type="character" w:styleId="Appeldenotedefin">
    <w:name w:val="endnote reference"/>
    <w:aliases w:val="1_G"/>
    <w:basedOn w:val="Appelnotedebasdep"/>
    <w:qFormat/>
    <w:rsid w:val="00D744E5"/>
    <w:rPr>
      <w:rFonts w:ascii="Times New Roman" w:hAnsi="Times New Roman"/>
      <w:sz w:val="18"/>
      <w:vertAlign w:val="superscript"/>
      <w:lang w:val="fr-CH"/>
    </w:rPr>
  </w:style>
  <w:style w:type="table" w:styleId="Grilledutableau">
    <w:name w:val="Table Grid"/>
    <w:basedOn w:val="TableauNormal"/>
    <w:rsid w:val="00D744E5"/>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D744E5"/>
    <w:rPr>
      <w:color w:val="0000FF"/>
      <w:u w:val="none"/>
    </w:rPr>
  </w:style>
  <w:style w:type="character" w:styleId="Lienhypertextesuivivisit">
    <w:name w:val="FollowedHyperlink"/>
    <w:basedOn w:val="Policepardfaut"/>
    <w:unhideWhenUsed/>
    <w:rsid w:val="00D744E5"/>
    <w:rPr>
      <w:color w:val="0000FF"/>
      <w:u w:val="none"/>
    </w:rPr>
  </w:style>
  <w:style w:type="paragraph" w:styleId="Notedebasdepage">
    <w:name w:val="footnote text"/>
    <w:aliases w:val="5_G,Footnote Text Char Char Char Char Char,Footnote Text Char Char Char Char,Footnote reference,FA Fu,Footnote Text Char Char Char,Footnote Reference1, Char,Char,ft,Style 27,Char Char Char Char Char,Style 11, Char Char Char,ft Char"/>
    <w:basedOn w:val="Normal"/>
    <w:link w:val="NotedebasdepageCar"/>
    <w:qFormat/>
    <w:rsid w:val="00D744E5"/>
    <w:pPr>
      <w:tabs>
        <w:tab w:val="right" w:pos="1021"/>
      </w:tabs>
      <w:spacing w:line="220" w:lineRule="exact"/>
      <w:ind w:left="1134" w:right="1134" w:hanging="1134"/>
    </w:pPr>
    <w:rPr>
      <w:sz w:val="18"/>
    </w:rPr>
  </w:style>
  <w:style w:type="character" w:customStyle="1" w:styleId="NotedebasdepageCar">
    <w:name w:val="Note de bas de page Car"/>
    <w:aliases w:val="5_G Car,Footnote Text Char Char Char Char Char Car,Footnote Text Char Char Char Char Car,Footnote reference Car,FA Fu Car,Footnote Text Char Char Char Car,Footnote Reference1 Car, Char Car,Char Car,ft Car,Style 27 Car,ft Char Car"/>
    <w:basedOn w:val="Policepardfaut"/>
    <w:link w:val="Notedebasdepage"/>
    <w:rsid w:val="00D744E5"/>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D744E5"/>
  </w:style>
  <w:style w:type="character" w:customStyle="1" w:styleId="NotedefinCar">
    <w:name w:val="Note de fin Car"/>
    <w:aliases w:val="2_G Car"/>
    <w:basedOn w:val="Policepardfaut"/>
    <w:link w:val="Notedefin"/>
    <w:rsid w:val="00D744E5"/>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D744E5"/>
    <w:rPr>
      <w:rFonts w:ascii="Times New Roman" w:hAnsi="Times New Roman"/>
      <w:b/>
      <w:sz w:val="18"/>
      <w:lang w:val="fr-CH"/>
    </w:rPr>
  </w:style>
  <w:style w:type="character" w:customStyle="1" w:styleId="Titre1Car">
    <w:name w:val="Titre 1 Car"/>
    <w:aliases w:val="Table_G Car"/>
    <w:basedOn w:val="Policepardfaut"/>
    <w:link w:val="Titre1"/>
    <w:rsid w:val="00D744E5"/>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A9151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793E85"/>
    <w:rPr>
      <w:rFonts w:ascii="Times New Roman" w:hAnsi="Times New Roman" w:cs="Times New Roman"/>
      <w:sz w:val="20"/>
      <w:szCs w:val="20"/>
      <w:lang w:eastAsia="en-US"/>
    </w:rPr>
  </w:style>
  <w:style w:type="character" w:customStyle="1" w:styleId="Titre4Car">
    <w:name w:val="Titre 4 Car"/>
    <w:basedOn w:val="Policepardfaut"/>
    <w:link w:val="Titre4"/>
    <w:semiHidden/>
    <w:rsid w:val="00793E85"/>
    <w:rPr>
      <w:rFonts w:ascii="Times New Roman" w:hAnsi="Times New Roman" w:cs="Times New Roman"/>
      <w:sz w:val="20"/>
      <w:szCs w:val="20"/>
      <w:lang w:eastAsia="en-US"/>
    </w:rPr>
  </w:style>
  <w:style w:type="character" w:customStyle="1" w:styleId="Titre5Car">
    <w:name w:val="Titre 5 Car"/>
    <w:basedOn w:val="Policepardfaut"/>
    <w:link w:val="Titre5"/>
    <w:semiHidden/>
    <w:rsid w:val="00793E85"/>
    <w:rPr>
      <w:rFonts w:ascii="Times New Roman" w:hAnsi="Times New Roman" w:cs="Times New Roman"/>
      <w:sz w:val="20"/>
      <w:szCs w:val="20"/>
      <w:lang w:eastAsia="en-US"/>
    </w:rPr>
  </w:style>
  <w:style w:type="character" w:customStyle="1" w:styleId="Titre6Car">
    <w:name w:val="Titre 6 Car"/>
    <w:basedOn w:val="Policepardfaut"/>
    <w:link w:val="Titre6"/>
    <w:semiHidden/>
    <w:rsid w:val="00793E85"/>
    <w:rPr>
      <w:rFonts w:ascii="Times New Roman" w:hAnsi="Times New Roman" w:cs="Times New Roman"/>
      <w:sz w:val="20"/>
      <w:szCs w:val="20"/>
      <w:lang w:eastAsia="en-US"/>
    </w:rPr>
  </w:style>
  <w:style w:type="character" w:customStyle="1" w:styleId="Titre7Car">
    <w:name w:val="Titre 7 Car"/>
    <w:basedOn w:val="Policepardfaut"/>
    <w:link w:val="Titre7"/>
    <w:semiHidden/>
    <w:rsid w:val="00793E85"/>
    <w:rPr>
      <w:rFonts w:ascii="Times New Roman" w:hAnsi="Times New Roman" w:cs="Times New Roman"/>
      <w:sz w:val="20"/>
      <w:szCs w:val="20"/>
      <w:lang w:eastAsia="en-US"/>
    </w:rPr>
  </w:style>
  <w:style w:type="character" w:customStyle="1" w:styleId="Titre8Car">
    <w:name w:val="Titre 8 Car"/>
    <w:basedOn w:val="Policepardfaut"/>
    <w:link w:val="Titre8"/>
    <w:semiHidden/>
    <w:rsid w:val="00793E85"/>
    <w:rPr>
      <w:rFonts w:ascii="Times New Roman" w:hAnsi="Times New Roman" w:cs="Times New Roman"/>
      <w:sz w:val="20"/>
      <w:szCs w:val="20"/>
      <w:lang w:eastAsia="en-US"/>
    </w:rPr>
  </w:style>
  <w:style w:type="character" w:customStyle="1" w:styleId="Titre9Car">
    <w:name w:val="Titre 9 Car"/>
    <w:basedOn w:val="Policepardfaut"/>
    <w:link w:val="Titre9"/>
    <w:semiHidden/>
    <w:rsid w:val="00793E85"/>
    <w:rPr>
      <w:rFonts w:ascii="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793E85"/>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93E85"/>
    <w:rPr>
      <w:rFonts w:ascii="Tahoma" w:hAnsi="Tahoma" w:cs="Tahoma"/>
      <w:sz w:val="16"/>
      <w:szCs w:val="16"/>
      <w:lang w:eastAsia="en-US"/>
    </w:rPr>
  </w:style>
  <w:style w:type="character" w:customStyle="1" w:styleId="HChGChar">
    <w:name w:val="_ H _Ch_G Char"/>
    <w:link w:val="HChG"/>
    <w:locked/>
    <w:rsid w:val="00793E85"/>
    <w:rPr>
      <w:rFonts w:ascii="Times New Roman" w:eastAsiaTheme="minorHAnsi" w:hAnsi="Times New Roman" w:cs="Times New Roman"/>
      <w:b/>
      <w:sz w:val="28"/>
      <w:szCs w:val="20"/>
      <w:lang w:eastAsia="en-US"/>
    </w:rPr>
  </w:style>
  <w:style w:type="character" w:customStyle="1" w:styleId="H1GChar">
    <w:name w:val="_ H_1_G Char"/>
    <w:link w:val="H1G"/>
    <w:locked/>
    <w:rsid w:val="00793E85"/>
    <w:rPr>
      <w:rFonts w:ascii="Times New Roman" w:eastAsiaTheme="minorHAnsi" w:hAnsi="Times New Roman" w:cs="Times New Roman"/>
      <w:b/>
      <w:sz w:val="24"/>
      <w:szCs w:val="20"/>
      <w:lang w:eastAsia="en-US"/>
    </w:rPr>
  </w:style>
  <w:style w:type="character" w:customStyle="1" w:styleId="H23GChar">
    <w:name w:val="_ H_2/3_G Char"/>
    <w:link w:val="H23G"/>
    <w:locked/>
    <w:rsid w:val="00793E85"/>
    <w:rPr>
      <w:rFonts w:ascii="Times New Roman" w:eastAsiaTheme="minorHAnsi" w:hAnsi="Times New Roman" w:cs="Times New Roman"/>
      <w:b/>
      <w:sz w:val="20"/>
      <w:szCs w:val="20"/>
      <w:lang w:eastAsia="en-US"/>
    </w:rPr>
  </w:style>
  <w:style w:type="character" w:customStyle="1" w:styleId="SingleTxtGChar">
    <w:name w:val="_ Single Txt_G Char"/>
    <w:link w:val="SingleTxtG"/>
    <w:rsid w:val="00765853"/>
    <w:rPr>
      <w:rFonts w:ascii="Times New Roman" w:eastAsiaTheme="minorHAnsi" w:hAnsi="Times New Roman" w:cs="Times New Roman"/>
      <w:sz w:val="20"/>
      <w:szCs w:val="20"/>
      <w:lang w:eastAsia="en-US"/>
    </w:rPr>
  </w:style>
  <w:style w:type="paragraph" w:styleId="Commentaire">
    <w:name w:val="annotation text"/>
    <w:basedOn w:val="Normal"/>
    <w:link w:val="CommentaireCar"/>
    <w:uiPriority w:val="99"/>
    <w:semiHidden/>
    <w:unhideWhenUsed/>
    <w:rsid w:val="00765853"/>
    <w:pPr>
      <w:spacing w:line="240" w:lineRule="auto"/>
    </w:pPr>
  </w:style>
  <w:style w:type="character" w:customStyle="1" w:styleId="CommentaireCar">
    <w:name w:val="Commentaire Car"/>
    <w:basedOn w:val="Policepardfaut"/>
    <w:link w:val="Commentaire"/>
    <w:uiPriority w:val="99"/>
    <w:semiHidden/>
    <w:rsid w:val="00765853"/>
    <w:rPr>
      <w:rFonts w:ascii="Times New Roman" w:eastAsiaTheme="minorHAnsi" w:hAnsi="Times New Roman" w:cs="Times New Roman"/>
      <w:sz w:val="20"/>
      <w:szCs w:val="20"/>
      <w:lang w:eastAsia="en-US"/>
    </w:rPr>
  </w:style>
  <w:style w:type="paragraph" w:styleId="Objetducommentaire">
    <w:name w:val="annotation subject"/>
    <w:basedOn w:val="Normal"/>
    <w:next w:val="Normal"/>
    <w:link w:val="ObjetducommentaireCar"/>
    <w:uiPriority w:val="99"/>
    <w:semiHidden/>
    <w:unhideWhenUsed/>
    <w:rsid w:val="00765853"/>
    <w:pPr>
      <w:spacing w:line="240" w:lineRule="auto"/>
    </w:pPr>
    <w:rPr>
      <w:b/>
      <w:bCs/>
    </w:rPr>
  </w:style>
  <w:style w:type="character" w:customStyle="1" w:styleId="ObjetducommentaireCar">
    <w:name w:val="Objet du commentaire Car"/>
    <w:basedOn w:val="CommentaireCar"/>
    <w:link w:val="Objetducommentaire"/>
    <w:uiPriority w:val="99"/>
    <w:semiHidden/>
    <w:rsid w:val="00765853"/>
    <w:rPr>
      <w:rFonts w:ascii="Times New Roman" w:eastAsiaTheme="minorHAnsi" w:hAnsi="Times New Roman" w:cs="Times New Roman"/>
      <w:b/>
      <w:bCs/>
      <w:sz w:val="20"/>
      <w:szCs w:val="20"/>
      <w:lang w:eastAsia="en-US"/>
    </w:rPr>
  </w:style>
  <w:style w:type="character" w:customStyle="1" w:styleId="content">
    <w:name w:val="content"/>
    <w:basedOn w:val="Policepardfaut"/>
    <w:rsid w:val="007658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1</TotalTime>
  <Pages>15</Pages>
  <Words>8849</Words>
  <Characters>47346</Characters>
  <Application>Microsoft Office Word</Application>
  <DocSecurity>0</DocSecurity>
  <Lines>717</Lines>
  <Paragraphs>142</Paragraphs>
  <ScaleCrop>false</ScaleCrop>
  <HeadingPairs>
    <vt:vector size="2" baseType="variant">
      <vt:variant>
        <vt:lpstr>Titre</vt:lpstr>
      </vt:variant>
      <vt:variant>
        <vt:i4>1</vt:i4>
      </vt:variant>
    </vt:vector>
  </HeadingPairs>
  <TitlesOfParts>
    <vt:vector size="1" baseType="lpstr">
      <vt:lpstr>CCPR/C/126/D/2716/2016</vt:lpstr>
    </vt:vector>
  </TitlesOfParts>
  <Company>DCM</Company>
  <LinksUpToDate>false</LinksUpToDate>
  <CharactersWithSpaces>56053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CCPR/C/126/D/2716/2016</dc:title>
  <dc:subject/>
  <dc:creator>Julien OKRZESIK</dc:creator>
  <cp:keywords/>
  <cp:lastModifiedBy>Julien Okrzesik</cp:lastModifiedBy>
  <cp:revision>3</cp:revision>
  <cp:lastPrinted>2020-07-07T10:07:00Z</cp:lastPrinted>
  <dcterms:created xsi:type="dcterms:W3CDTF">2020-07-07T10:07:00Z</dcterms:created>
  <dcterms:modified xsi:type="dcterms:W3CDTF">2020-07-07T10:08:00Z</dcterms:modified>
</cp:coreProperties>
</file>