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5E158F"/>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5E158F" w:rsidP="005E158F">
            <w:pPr>
              <w:jc w:val="right"/>
            </w:pPr>
            <w:r w:rsidRPr="005E158F">
              <w:rPr>
                <w:sz w:val="40"/>
              </w:rPr>
              <w:t>CCPR</w:t>
            </w:r>
            <w:r>
              <w:t>/C/123/D/2423/2014</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5E158F" w:rsidP="002B7BC7">
            <w:pPr>
              <w:spacing w:before="240"/>
            </w:pPr>
            <w:proofErr w:type="spellStart"/>
            <w:r>
              <w:t>Distr</w:t>
            </w:r>
            <w:proofErr w:type="spellEnd"/>
            <w:r>
              <w:t>. générale</w:t>
            </w:r>
          </w:p>
          <w:p w:rsidR="005E158F" w:rsidRDefault="005E158F" w:rsidP="005E158F">
            <w:pPr>
              <w:spacing w:line="240" w:lineRule="exact"/>
            </w:pPr>
            <w:r>
              <w:t>7 septembre 2018</w:t>
            </w:r>
          </w:p>
          <w:p w:rsidR="005E158F" w:rsidRDefault="005E158F" w:rsidP="005E158F">
            <w:pPr>
              <w:spacing w:line="240" w:lineRule="exact"/>
            </w:pPr>
            <w:r>
              <w:t>Français</w:t>
            </w:r>
          </w:p>
          <w:p w:rsidR="005E158F" w:rsidRPr="00DB58B5" w:rsidRDefault="005E158F" w:rsidP="005E158F">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AA69CE">
        <w:rPr>
          <w:b/>
          <w:sz w:val="24"/>
          <w:szCs w:val="24"/>
        </w:rPr>
        <w:t>’</w:t>
      </w:r>
      <w:r w:rsidRPr="00DF3BF1">
        <w:rPr>
          <w:b/>
          <w:sz w:val="24"/>
          <w:szCs w:val="24"/>
        </w:rPr>
        <w:t>homme</w:t>
      </w:r>
    </w:p>
    <w:p w:rsidR="00E85C42" w:rsidRDefault="005E158F" w:rsidP="005E158F">
      <w:pPr>
        <w:pStyle w:val="HChG"/>
        <w:rPr>
          <w:b w:val="0"/>
          <w:sz w:val="20"/>
        </w:rPr>
      </w:pPr>
      <w:r>
        <w:rPr>
          <w:lang w:val="fr-FR"/>
        </w:rPr>
        <w:tab/>
      </w:r>
      <w:r>
        <w:rPr>
          <w:lang w:val="fr-FR"/>
        </w:rPr>
        <w:tab/>
      </w:r>
      <w:r w:rsidRPr="005D2A2E">
        <w:rPr>
          <w:lang w:val="fr-FR"/>
        </w:rPr>
        <w:t>C</w:t>
      </w:r>
      <w:r>
        <w:rPr>
          <w:lang w:val="fr-FR"/>
        </w:rPr>
        <w:t>onstatations adoptées par le Comité au titre de l</w:t>
      </w:r>
      <w:r w:rsidR="00AA69CE">
        <w:rPr>
          <w:lang w:val="fr-FR"/>
        </w:rPr>
        <w:t>’</w:t>
      </w:r>
      <w:r>
        <w:rPr>
          <w:lang w:val="fr-FR"/>
        </w:rPr>
        <w:t xml:space="preserve">article 5 (par. 4) du Protocole facultatif, concernant </w:t>
      </w:r>
      <w:r>
        <w:rPr>
          <w:lang w:val="fr-FR"/>
        </w:rPr>
        <w:br/>
        <w:t>la c</w:t>
      </w:r>
      <w:r w:rsidRPr="005D2A2E">
        <w:rPr>
          <w:lang w:val="fr-FR"/>
        </w:rPr>
        <w:t xml:space="preserve">ommunication </w:t>
      </w:r>
      <w:r w:rsidRPr="005D2A2E">
        <w:rPr>
          <w:rFonts w:eastAsia="MS Mincho"/>
          <w:lang w:val="fr-FR"/>
        </w:rPr>
        <w:t>n</w:t>
      </w:r>
      <w:r w:rsidRPr="005D2A2E">
        <w:rPr>
          <w:rFonts w:eastAsia="MS Mincho"/>
          <w:vertAlign w:val="superscript"/>
          <w:lang w:val="fr-FR"/>
        </w:rPr>
        <w:t>o</w:t>
      </w:r>
      <w:r w:rsidRPr="00DD0137">
        <w:rPr>
          <w:lang w:val="fr-FR"/>
        </w:rPr>
        <w:t> </w:t>
      </w:r>
      <w:r w:rsidRPr="007302A2">
        <w:rPr>
          <w:lang w:val="fr-FR"/>
        </w:rPr>
        <w:t>2423/2014</w:t>
      </w:r>
      <w:r w:rsidRPr="005E158F">
        <w:rPr>
          <w:b w:val="0"/>
          <w:bCs/>
          <w:sz w:val="20"/>
        </w:rPr>
        <w:footnoteReference w:customMarkFollows="1" w:id="2"/>
        <w:t>*</w:t>
      </w:r>
      <w:r w:rsidRPr="005E158F">
        <w:rPr>
          <w:b w:val="0"/>
          <w:bCs/>
          <w:position w:val="6"/>
          <w:sz w:val="20"/>
        </w:rPr>
        <w:t>,</w:t>
      </w:r>
      <w:r w:rsidRPr="005E158F" w:rsidDel="003A3AE1">
        <w:rPr>
          <w:rStyle w:val="Appelnotedebasdep"/>
          <w:b w:val="0"/>
          <w:sz w:val="20"/>
          <w:vertAlign w:val="baseline"/>
        </w:rPr>
        <w:t xml:space="preserve"> </w:t>
      </w:r>
      <w:r w:rsidRPr="005E158F">
        <w:rPr>
          <w:rStyle w:val="Appelnotedebasdep"/>
          <w:b w:val="0"/>
          <w:sz w:val="20"/>
          <w:vertAlign w:val="baseline"/>
        </w:rPr>
        <w:footnoteReference w:customMarkFollows="1" w:id="3"/>
        <w:t>**</w:t>
      </w:r>
      <w:r w:rsidRPr="005E158F">
        <w:rPr>
          <w:b w:val="0"/>
          <w:position w:val="6"/>
          <w:sz w:val="20"/>
        </w:rPr>
        <w:t>,</w:t>
      </w:r>
      <w:r>
        <w:rPr>
          <w:b w:val="0"/>
          <w:sz w:val="20"/>
        </w:rPr>
        <w:t xml:space="preserve"> </w:t>
      </w:r>
      <w:r w:rsidRPr="005E158F">
        <w:rPr>
          <w:rStyle w:val="Appelnotedebasdep"/>
          <w:b w:val="0"/>
          <w:sz w:val="20"/>
          <w:vertAlign w:val="baseline"/>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AE7D6E" w:rsidRPr="00325182" w:rsidTr="00AA69CE">
        <w:tc>
          <w:tcPr>
            <w:tcW w:w="2835" w:type="dxa"/>
          </w:tcPr>
          <w:p w:rsidR="00AE7D6E" w:rsidRPr="003D3C70" w:rsidRDefault="00AE7D6E" w:rsidP="00AA69CE">
            <w:pPr>
              <w:spacing w:after="120"/>
              <w:rPr>
                <w:i/>
                <w:lang w:val="fr-FR"/>
              </w:rPr>
            </w:pPr>
            <w:r w:rsidRPr="003D3C70">
              <w:rPr>
                <w:i/>
                <w:lang w:val="fr-FR"/>
              </w:rPr>
              <w:t>Communication présentée par</w:t>
            </w:r>
            <w:r w:rsidRPr="003D3C70">
              <w:rPr>
                <w:lang w:val="fr-FR"/>
              </w:rPr>
              <w:t> :</w:t>
            </w:r>
          </w:p>
        </w:tc>
        <w:tc>
          <w:tcPr>
            <w:tcW w:w="3969" w:type="dxa"/>
          </w:tcPr>
          <w:p w:rsidR="00AE7D6E" w:rsidRPr="003D3C70" w:rsidRDefault="00AE7D6E" w:rsidP="00AA69CE">
            <w:pPr>
              <w:spacing w:after="120"/>
              <w:rPr>
                <w:lang w:val="fr-FR"/>
              </w:rPr>
            </w:pPr>
            <w:r w:rsidRPr="005D2A2E">
              <w:rPr>
                <w:lang w:val="fr-FR"/>
              </w:rPr>
              <w:t>K.</w:t>
            </w:r>
            <w:r>
              <w:rPr>
                <w:lang w:val="fr-FR"/>
              </w:rPr>
              <w:t> </w:t>
            </w:r>
            <w:r w:rsidRPr="005D2A2E">
              <w:rPr>
                <w:lang w:val="fr-FR"/>
              </w:rPr>
              <w:t xml:space="preserve">H. (représenté par un conseil, </w:t>
            </w:r>
            <w:r w:rsidRPr="00DD0137">
              <w:rPr>
                <w:lang w:val="fr-FR"/>
              </w:rPr>
              <w:br/>
            </w:r>
            <w:r w:rsidRPr="007302A2">
              <w:rPr>
                <w:lang w:val="fr-FR"/>
              </w:rPr>
              <w:t>Niels-Erik Hansen)</w:t>
            </w:r>
          </w:p>
        </w:tc>
      </w:tr>
      <w:tr w:rsidR="00AE7D6E" w:rsidRPr="00325182" w:rsidTr="00AA69CE">
        <w:tc>
          <w:tcPr>
            <w:tcW w:w="2835" w:type="dxa"/>
          </w:tcPr>
          <w:p w:rsidR="00AE7D6E" w:rsidRPr="003D3C70" w:rsidRDefault="00AE7D6E" w:rsidP="00AA69CE">
            <w:pPr>
              <w:spacing w:after="120"/>
              <w:rPr>
                <w:i/>
                <w:lang w:val="fr-FR"/>
              </w:rPr>
            </w:pPr>
            <w:r w:rsidRPr="003D3C70">
              <w:rPr>
                <w:i/>
                <w:lang w:val="fr-FR"/>
              </w:rPr>
              <w:t>Au nom de</w:t>
            </w:r>
            <w:r w:rsidRPr="003D3C70">
              <w:rPr>
                <w:lang w:val="fr-FR"/>
              </w:rPr>
              <w:t> :</w:t>
            </w:r>
          </w:p>
        </w:tc>
        <w:tc>
          <w:tcPr>
            <w:tcW w:w="3969" w:type="dxa"/>
          </w:tcPr>
          <w:p w:rsidR="00AE7D6E" w:rsidRPr="003D3C70" w:rsidRDefault="00AE7D6E" w:rsidP="00AA69CE">
            <w:pPr>
              <w:spacing w:after="120"/>
              <w:rPr>
                <w:lang w:val="fr-FR"/>
              </w:rPr>
            </w:pPr>
            <w:r>
              <w:rPr>
                <w:lang w:val="fr-FR"/>
              </w:rPr>
              <w:t>K. H.</w:t>
            </w:r>
          </w:p>
        </w:tc>
      </w:tr>
      <w:tr w:rsidR="00AE7D6E" w:rsidRPr="00325182" w:rsidTr="00AA69CE">
        <w:tc>
          <w:tcPr>
            <w:tcW w:w="2835" w:type="dxa"/>
          </w:tcPr>
          <w:p w:rsidR="00AE7D6E" w:rsidRPr="003D3C70" w:rsidRDefault="00AE7D6E" w:rsidP="00AA69CE">
            <w:pPr>
              <w:spacing w:after="120"/>
              <w:rPr>
                <w:i/>
                <w:lang w:val="fr-FR"/>
              </w:rPr>
            </w:pPr>
            <w:r w:rsidRPr="003D3C70">
              <w:rPr>
                <w:i/>
                <w:lang w:val="fr-FR"/>
              </w:rPr>
              <w:t>État partie</w:t>
            </w:r>
            <w:r w:rsidRPr="003D3C70">
              <w:rPr>
                <w:lang w:val="fr-FR"/>
              </w:rPr>
              <w:t> :</w:t>
            </w:r>
          </w:p>
        </w:tc>
        <w:tc>
          <w:tcPr>
            <w:tcW w:w="3969" w:type="dxa"/>
          </w:tcPr>
          <w:p w:rsidR="00AE7D6E" w:rsidRPr="003D3C70" w:rsidRDefault="00AE7D6E" w:rsidP="00AA69CE">
            <w:pPr>
              <w:spacing w:after="120"/>
              <w:rPr>
                <w:lang w:val="fr-FR"/>
              </w:rPr>
            </w:pPr>
            <w:r w:rsidRPr="005D2A2E">
              <w:rPr>
                <w:lang w:val="fr-FR"/>
              </w:rPr>
              <w:t>Danemark</w:t>
            </w:r>
          </w:p>
        </w:tc>
      </w:tr>
      <w:tr w:rsidR="00AE7D6E" w:rsidRPr="00325182" w:rsidTr="00AA69CE">
        <w:tc>
          <w:tcPr>
            <w:tcW w:w="2835" w:type="dxa"/>
          </w:tcPr>
          <w:p w:rsidR="00AE7D6E" w:rsidRPr="003D3C70" w:rsidRDefault="00AE7D6E" w:rsidP="00AA69CE">
            <w:pPr>
              <w:spacing w:after="120"/>
              <w:rPr>
                <w:i/>
                <w:lang w:val="fr-FR"/>
              </w:rPr>
            </w:pPr>
            <w:r w:rsidRPr="003D3C70">
              <w:rPr>
                <w:i/>
                <w:lang w:val="fr-FR"/>
              </w:rPr>
              <w:t>Date de la communication</w:t>
            </w:r>
            <w:r w:rsidRPr="003D3C70">
              <w:rPr>
                <w:lang w:val="fr-FR"/>
              </w:rPr>
              <w:t> :</w:t>
            </w:r>
          </w:p>
        </w:tc>
        <w:tc>
          <w:tcPr>
            <w:tcW w:w="3969" w:type="dxa"/>
          </w:tcPr>
          <w:p w:rsidR="00AE7D6E" w:rsidRPr="003D3C70" w:rsidRDefault="00AE7D6E" w:rsidP="00AA69CE">
            <w:pPr>
              <w:spacing w:after="120"/>
              <w:rPr>
                <w:lang w:val="fr-FR"/>
              </w:rPr>
            </w:pPr>
            <w:r w:rsidRPr="005D2A2E">
              <w:rPr>
                <w:lang w:val="fr-FR"/>
              </w:rPr>
              <w:t xml:space="preserve">14 avril 2014 </w:t>
            </w:r>
            <w:r w:rsidRPr="003D3C70">
              <w:rPr>
                <w:lang w:val="fr-FR"/>
              </w:rPr>
              <w:t>(date de la lettre initiale)</w:t>
            </w:r>
          </w:p>
        </w:tc>
      </w:tr>
      <w:tr w:rsidR="00AE7D6E" w:rsidRPr="00325182" w:rsidTr="00AA69CE">
        <w:tc>
          <w:tcPr>
            <w:tcW w:w="2835" w:type="dxa"/>
          </w:tcPr>
          <w:p w:rsidR="00AE7D6E" w:rsidRPr="003D3C70" w:rsidRDefault="00AE7D6E" w:rsidP="00AA69CE">
            <w:pPr>
              <w:spacing w:after="120"/>
              <w:rPr>
                <w:i/>
                <w:lang w:val="fr-FR"/>
              </w:rPr>
            </w:pPr>
            <w:r w:rsidRPr="003D3C70">
              <w:rPr>
                <w:i/>
                <w:lang w:val="fr-FR"/>
              </w:rPr>
              <w:t>Références</w:t>
            </w:r>
            <w:r w:rsidRPr="003D3C70">
              <w:rPr>
                <w:lang w:val="fr-FR"/>
              </w:rPr>
              <w:t> :</w:t>
            </w:r>
          </w:p>
        </w:tc>
        <w:tc>
          <w:tcPr>
            <w:tcW w:w="3969" w:type="dxa"/>
          </w:tcPr>
          <w:p w:rsidR="00AE7D6E" w:rsidRPr="003D3C70" w:rsidRDefault="00AE7D6E" w:rsidP="00AA69CE">
            <w:pPr>
              <w:spacing w:after="120"/>
              <w:rPr>
                <w:lang w:val="fr-FR"/>
              </w:rPr>
            </w:pPr>
            <w:r w:rsidRPr="005D2A2E">
              <w:rPr>
                <w:lang w:val="fr-FR"/>
              </w:rPr>
              <w:t>Décision prise en application de l</w:t>
            </w:r>
            <w:r w:rsidR="00AA69CE">
              <w:rPr>
                <w:lang w:val="fr-FR"/>
              </w:rPr>
              <w:t>’</w:t>
            </w:r>
            <w:r w:rsidRPr="005D2A2E">
              <w:rPr>
                <w:lang w:val="fr-FR"/>
              </w:rPr>
              <w:t>article 97 du</w:t>
            </w:r>
            <w:r w:rsidR="009F5F57">
              <w:rPr>
                <w:lang w:val="fr-FR"/>
              </w:rPr>
              <w:t> </w:t>
            </w:r>
            <w:r w:rsidRPr="005D2A2E">
              <w:rPr>
                <w:lang w:val="fr-FR"/>
              </w:rPr>
              <w:t>règlement intérieur du Comité, communiquée à l</w:t>
            </w:r>
            <w:r w:rsidR="00AA69CE">
              <w:rPr>
                <w:lang w:val="fr-FR"/>
              </w:rPr>
              <w:t>’</w:t>
            </w:r>
            <w:r w:rsidRPr="005D2A2E">
              <w:rPr>
                <w:lang w:val="fr-FR"/>
              </w:rPr>
              <w:t>État partie le 11 juin 2014 (non publiée sous forme de document)</w:t>
            </w:r>
          </w:p>
        </w:tc>
      </w:tr>
      <w:tr w:rsidR="00AE7D6E" w:rsidRPr="00325182" w:rsidTr="00AA69CE">
        <w:tc>
          <w:tcPr>
            <w:tcW w:w="2835" w:type="dxa"/>
          </w:tcPr>
          <w:p w:rsidR="00AE7D6E" w:rsidRPr="003D3C70" w:rsidRDefault="00AE7D6E" w:rsidP="00AA69CE">
            <w:pPr>
              <w:spacing w:after="120"/>
              <w:rPr>
                <w:i/>
                <w:lang w:val="fr-FR"/>
              </w:rPr>
            </w:pPr>
            <w:r w:rsidRPr="003D3C70">
              <w:rPr>
                <w:i/>
                <w:lang w:val="fr-FR"/>
              </w:rPr>
              <w:t>Date des constatations</w:t>
            </w:r>
            <w:r w:rsidRPr="003D3C70">
              <w:rPr>
                <w:lang w:val="fr-FR"/>
              </w:rPr>
              <w:t> :</w:t>
            </w:r>
          </w:p>
        </w:tc>
        <w:tc>
          <w:tcPr>
            <w:tcW w:w="3969" w:type="dxa"/>
          </w:tcPr>
          <w:p w:rsidR="00AE7D6E" w:rsidRPr="003D3C70" w:rsidRDefault="00AE7D6E" w:rsidP="00AA69CE">
            <w:pPr>
              <w:spacing w:after="120"/>
              <w:rPr>
                <w:lang w:val="fr-FR"/>
              </w:rPr>
            </w:pPr>
            <w:r>
              <w:rPr>
                <w:lang w:val="fr-FR"/>
              </w:rPr>
              <w:t>16 j</w:t>
            </w:r>
            <w:r w:rsidRPr="003D3C70">
              <w:rPr>
                <w:lang w:val="fr-FR"/>
              </w:rPr>
              <w:t>uillet</w:t>
            </w:r>
            <w:r w:rsidRPr="005D2A2E">
              <w:rPr>
                <w:lang w:val="fr-FR"/>
              </w:rPr>
              <w:t xml:space="preserve"> 2018</w:t>
            </w:r>
          </w:p>
        </w:tc>
      </w:tr>
      <w:tr w:rsidR="00AE7D6E" w:rsidRPr="00325182" w:rsidTr="00AA69CE">
        <w:tc>
          <w:tcPr>
            <w:tcW w:w="2835" w:type="dxa"/>
          </w:tcPr>
          <w:p w:rsidR="00AE7D6E" w:rsidRPr="003D3C70" w:rsidRDefault="00AE7D6E" w:rsidP="00AA69CE">
            <w:pPr>
              <w:spacing w:after="120"/>
              <w:rPr>
                <w:lang w:val="fr-FR"/>
              </w:rPr>
            </w:pPr>
            <w:r w:rsidRPr="003D3C70">
              <w:rPr>
                <w:i/>
                <w:iCs/>
                <w:lang w:val="fr-FR"/>
              </w:rPr>
              <w:t>Objet</w:t>
            </w:r>
            <w:r w:rsidRPr="003D3C70">
              <w:rPr>
                <w:lang w:val="fr-FR"/>
              </w:rPr>
              <w:t> :</w:t>
            </w:r>
          </w:p>
        </w:tc>
        <w:tc>
          <w:tcPr>
            <w:tcW w:w="3969" w:type="dxa"/>
          </w:tcPr>
          <w:p w:rsidR="00AE7D6E" w:rsidRPr="003D3C70" w:rsidRDefault="00AE7D6E" w:rsidP="00AA69CE">
            <w:pPr>
              <w:spacing w:after="120"/>
              <w:rPr>
                <w:lang w:val="fr-FR"/>
              </w:rPr>
            </w:pPr>
            <w:r w:rsidRPr="005D2A2E">
              <w:rPr>
                <w:iCs/>
                <w:lang w:val="fr-FR"/>
              </w:rPr>
              <w:t>Expulsion vers l</w:t>
            </w:r>
            <w:r>
              <w:rPr>
                <w:iCs/>
                <w:lang w:val="fr-FR"/>
              </w:rPr>
              <w:t>a République islamique d</w:t>
            </w:r>
            <w:r w:rsidR="00AA69CE">
              <w:rPr>
                <w:iCs/>
                <w:lang w:val="fr-FR"/>
              </w:rPr>
              <w:t>’</w:t>
            </w:r>
            <w:r w:rsidRPr="005D2A2E">
              <w:rPr>
                <w:iCs/>
                <w:lang w:val="fr-FR"/>
              </w:rPr>
              <w:t>Iran</w:t>
            </w:r>
          </w:p>
        </w:tc>
      </w:tr>
      <w:tr w:rsidR="00AE7D6E" w:rsidRPr="00325182" w:rsidTr="00AA69CE">
        <w:tc>
          <w:tcPr>
            <w:tcW w:w="2835" w:type="dxa"/>
          </w:tcPr>
          <w:p w:rsidR="00AE7D6E" w:rsidRPr="003D3C70" w:rsidRDefault="00AE7D6E" w:rsidP="00AA69CE">
            <w:pPr>
              <w:spacing w:after="120"/>
              <w:rPr>
                <w:lang w:val="fr-FR"/>
              </w:rPr>
            </w:pPr>
            <w:r w:rsidRPr="003D3C70">
              <w:rPr>
                <w:i/>
                <w:iCs/>
                <w:lang w:val="fr-FR"/>
              </w:rPr>
              <w:t>Question(s) de procédure</w:t>
            </w:r>
            <w:r w:rsidRPr="003D3C70">
              <w:rPr>
                <w:lang w:val="fr-FR"/>
              </w:rPr>
              <w:t> :</w:t>
            </w:r>
          </w:p>
        </w:tc>
        <w:tc>
          <w:tcPr>
            <w:tcW w:w="3969" w:type="dxa"/>
          </w:tcPr>
          <w:p w:rsidR="00AE7D6E" w:rsidRPr="003D3C70" w:rsidRDefault="00AE7D6E" w:rsidP="00AA69CE">
            <w:pPr>
              <w:spacing w:after="120"/>
              <w:rPr>
                <w:lang w:val="fr-FR"/>
              </w:rPr>
            </w:pPr>
            <w:r>
              <w:rPr>
                <w:lang w:val="fr-FR"/>
              </w:rPr>
              <w:t xml:space="preserve">Fondement des </w:t>
            </w:r>
            <w:r w:rsidRPr="003D3C70">
              <w:rPr>
                <w:lang w:val="fr-FR"/>
              </w:rPr>
              <w:t>griefs</w:t>
            </w:r>
          </w:p>
        </w:tc>
      </w:tr>
      <w:tr w:rsidR="00AE7D6E" w:rsidRPr="00325182" w:rsidTr="00AA69CE">
        <w:tc>
          <w:tcPr>
            <w:tcW w:w="2835" w:type="dxa"/>
          </w:tcPr>
          <w:p w:rsidR="00AE7D6E" w:rsidRPr="003D3C70" w:rsidRDefault="00AE7D6E" w:rsidP="00AA69CE">
            <w:pPr>
              <w:spacing w:after="120"/>
              <w:rPr>
                <w:lang w:val="fr-FR"/>
              </w:rPr>
            </w:pPr>
            <w:r w:rsidRPr="003D3C70">
              <w:rPr>
                <w:i/>
                <w:iCs/>
                <w:lang w:val="fr-FR"/>
              </w:rPr>
              <w:t>Question(s) de fond</w:t>
            </w:r>
            <w:r w:rsidRPr="003D3C70">
              <w:rPr>
                <w:lang w:val="fr-FR"/>
              </w:rPr>
              <w:t> :</w:t>
            </w:r>
          </w:p>
        </w:tc>
        <w:tc>
          <w:tcPr>
            <w:tcW w:w="3969" w:type="dxa"/>
          </w:tcPr>
          <w:p w:rsidR="00AE7D6E" w:rsidRPr="003D3C70" w:rsidRDefault="00AE7D6E" w:rsidP="00AA69CE">
            <w:pPr>
              <w:spacing w:after="120"/>
              <w:rPr>
                <w:lang w:val="fr-FR"/>
              </w:rPr>
            </w:pPr>
            <w:r w:rsidRPr="005D2A2E">
              <w:rPr>
                <w:lang w:val="fr-FR"/>
              </w:rPr>
              <w:t>Risque d</w:t>
            </w:r>
            <w:r w:rsidR="00AA69CE">
              <w:rPr>
                <w:lang w:val="fr-FR"/>
              </w:rPr>
              <w:t>’</w:t>
            </w:r>
            <w:r w:rsidRPr="005D2A2E">
              <w:rPr>
                <w:lang w:val="fr-FR"/>
              </w:rPr>
              <w:t>être soumis à la torture ou à des peines ou traitements cruels, inhumains ou d</w:t>
            </w:r>
            <w:r w:rsidRPr="00325182">
              <w:rPr>
                <w:lang w:val="fr-FR"/>
              </w:rPr>
              <w:t>égradants ; non-refoulement</w:t>
            </w:r>
          </w:p>
        </w:tc>
      </w:tr>
      <w:tr w:rsidR="00AE7D6E" w:rsidRPr="00325182" w:rsidTr="00AA69CE">
        <w:tc>
          <w:tcPr>
            <w:tcW w:w="2835" w:type="dxa"/>
          </w:tcPr>
          <w:p w:rsidR="00AE7D6E" w:rsidRPr="003D3C70" w:rsidRDefault="00AE7D6E" w:rsidP="00AA69CE">
            <w:pPr>
              <w:spacing w:after="120"/>
              <w:rPr>
                <w:lang w:val="fr-FR"/>
              </w:rPr>
            </w:pPr>
            <w:r w:rsidRPr="003D3C70">
              <w:rPr>
                <w:i/>
                <w:iCs/>
                <w:lang w:val="fr-FR"/>
              </w:rPr>
              <w:t>Article(s) du Pacte</w:t>
            </w:r>
            <w:r w:rsidRPr="003D3C70">
              <w:rPr>
                <w:lang w:val="fr-FR"/>
              </w:rPr>
              <w:t> :</w:t>
            </w:r>
          </w:p>
        </w:tc>
        <w:tc>
          <w:tcPr>
            <w:tcW w:w="3969" w:type="dxa"/>
          </w:tcPr>
          <w:p w:rsidR="00AE7D6E" w:rsidRPr="003D3C70" w:rsidRDefault="00AE7D6E" w:rsidP="00AA69CE">
            <w:pPr>
              <w:spacing w:after="120"/>
              <w:rPr>
                <w:lang w:val="fr-FR"/>
              </w:rPr>
            </w:pPr>
            <w:r w:rsidRPr="005D2A2E">
              <w:rPr>
                <w:iCs/>
                <w:lang w:val="fr-FR"/>
              </w:rPr>
              <w:t>2, 6, 7, 13, 14 et 26</w:t>
            </w:r>
          </w:p>
        </w:tc>
      </w:tr>
      <w:tr w:rsidR="00AE7D6E" w:rsidRPr="00325182" w:rsidTr="00AA69CE">
        <w:tc>
          <w:tcPr>
            <w:tcW w:w="2835" w:type="dxa"/>
          </w:tcPr>
          <w:p w:rsidR="00AE7D6E" w:rsidRPr="003D3C70" w:rsidRDefault="00AE7D6E" w:rsidP="00AA69CE">
            <w:pPr>
              <w:spacing w:after="120"/>
              <w:rPr>
                <w:lang w:val="fr-FR"/>
              </w:rPr>
            </w:pPr>
            <w:r w:rsidRPr="003D3C70">
              <w:rPr>
                <w:i/>
                <w:iCs/>
                <w:lang w:val="fr-FR"/>
              </w:rPr>
              <w:t>Article(s) du Protocole facultatif</w:t>
            </w:r>
            <w:r w:rsidRPr="003D3C70">
              <w:rPr>
                <w:lang w:val="fr-FR"/>
              </w:rPr>
              <w:t> :</w:t>
            </w:r>
          </w:p>
        </w:tc>
        <w:tc>
          <w:tcPr>
            <w:tcW w:w="3969" w:type="dxa"/>
          </w:tcPr>
          <w:p w:rsidR="00AE7D6E" w:rsidRPr="003D3C70" w:rsidRDefault="00AE7D6E" w:rsidP="00AA69CE">
            <w:pPr>
              <w:spacing w:after="120"/>
              <w:rPr>
                <w:lang w:val="fr-FR"/>
              </w:rPr>
            </w:pPr>
            <w:r w:rsidRPr="005D2A2E">
              <w:rPr>
                <w:lang w:val="fr-FR"/>
              </w:rPr>
              <w:t>2</w:t>
            </w:r>
          </w:p>
        </w:tc>
      </w:tr>
    </w:tbl>
    <w:p w:rsidR="00685027" w:rsidRPr="00325182" w:rsidRDefault="00685027" w:rsidP="00685027">
      <w:pPr>
        <w:pStyle w:val="SingleTxtG"/>
        <w:spacing w:before="120"/>
        <w:rPr>
          <w:lang w:val="fr-FR"/>
        </w:rPr>
      </w:pPr>
      <w:r w:rsidRPr="00325182">
        <w:rPr>
          <w:lang w:val="fr-FR"/>
        </w:rPr>
        <w:t>1.1</w:t>
      </w:r>
      <w:r w:rsidRPr="00325182">
        <w:rPr>
          <w:lang w:val="fr-FR"/>
        </w:rPr>
        <w:tab/>
        <w:t>L</w:t>
      </w:r>
      <w:r w:rsidR="00AA69CE">
        <w:rPr>
          <w:lang w:val="fr-FR"/>
        </w:rPr>
        <w:t>’</w:t>
      </w:r>
      <w:r w:rsidRPr="00325182">
        <w:rPr>
          <w:lang w:val="fr-FR"/>
        </w:rPr>
        <w:t xml:space="preserve">auteur de la communication est K. H., </w:t>
      </w:r>
      <w:r>
        <w:rPr>
          <w:lang w:val="fr-FR"/>
        </w:rPr>
        <w:t xml:space="preserve">de nationalité iranienne, </w:t>
      </w:r>
      <w:r w:rsidRPr="00325182">
        <w:rPr>
          <w:lang w:val="fr-FR"/>
        </w:rPr>
        <w:t>né le 18 mai 1988. Ayant demandé l</w:t>
      </w:r>
      <w:r w:rsidR="00AA69CE">
        <w:rPr>
          <w:lang w:val="fr-FR"/>
        </w:rPr>
        <w:t>’</w:t>
      </w:r>
      <w:r w:rsidRPr="00325182">
        <w:rPr>
          <w:lang w:val="fr-FR"/>
        </w:rPr>
        <w:t>asile au Danemark, il est frappé d</w:t>
      </w:r>
      <w:r w:rsidR="00AA69CE">
        <w:rPr>
          <w:lang w:val="fr-FR"/>
        </w:rPr>
        <w:t>’</w:t>
      </w:r>
      <w:r w:rsidRPr="00325182">
        <w:rPr>
          <w:lang w:val="fr-FR"/>
        </w:rPr>
        <w:t>une mesure d</w:t>
      </w:r>
      <w:r w:rsidR="00AA69CE">
        <w:rPr>
          <w:lang w:val="fr-FR"/>
        </w:rPr>
        <w:t>’</w:t>
      </w:r>
      <w:r w:rsidRPr="00325182">
        <w:rPr>
          <w:lang w:val="fr-FR"/>
        </w:rPr>
        <w:t>expulsion vers l</w:t>
      </w:r>
      <w:r>
        <w:rPr>
          <w:lang w:val="fr-FR"/>
        </w:rPr>
        <w:t>a République islamique d</w:t>
      </w:r>
      <w:r w:rsidR="00AA69CE">
        <w:rPr>
          <w:lang w:val="fr-FR"/>
        </w:rPr>
        <w:t>’</w:t>
      </w:r>
      <w:r w:rsidRPr="00325182">
        <w:rPr>
          <w:lang w:val="fr-FR"/>
        </w:rPr>
        <w:t xml:space="preserve">Iran à la suite du rejet de sa demande </w:t>
      </w:r>
      <w:r>
        <w:rPr>
          <w:lang w:val="fr-FR"/>
        </w:rPr>
        <w:t xml:space="preserve">de statut de réfugié </w:t>
      </w:r>
      <w:r w:rsidRPr="00325182">
        <w:rPr>
          <w:lang w:val="fr-FR"/>
        </w:rPr>
        <w:t>par les autorités danoises. L</w:t>
      </w:r>
      <w:r w:rsidR="00AA69CE">
        <w:rPr>
          <w:lang w:val="fr-FR"/>
        </w:rPr>
        <w:t>’</w:t>
      </w:r>
      <w:r w:rsidRPr="00325182">
        <w:rPr>
          <w:lang w:val="fr-FR"/>
        </w:rPr>
        <w:t>auteur affirme qu</w:t>
      </w:r>
      <w:r w:rsidR="00AA69CE">
        <w:rPr>
          <w:lang w:val="fr-FR"/>
        </w:rPr>
        <w:t>’</w:t>
      </w:r>
      <w:r w:rsidRPr="00325182">
        <w:rPr>
          <w:lang w:val="fr-FR"/>
        </w:rPr>
        <w:t>en l</w:t>
      </w:r>
      <w:r w:rsidR="00AA69CE">
        <w:rPr>
          <w:lang w:val="fr-FR"/>
        </w:rPr>
        <w:t>’</w:t>
      </w:r>
      <w:r w:rsidRPr="00325182">
        <w:rPr>
          <w:lang w:val="fr-FR"/>
        </w:rPr>
        <w:t>expulsant de force vers l</w:t>
      </w:r>
      <w:r>
        <w:rPr>
          <w:lang w:val="fr-FR"/>
        </w:rPr>
        <w:t>a République islamique d</w:t>
      </w:r>
      <w:r w:rsidR="00AA69CE">
        <w:rPr>
          <w:lang w:val="fr-FR"/>
        </w:rPr>
        <w:t>’</w:t>
      </w:r>
      <w:r w:rsidRPr="00325182">
        <w:rPr>
          <w:lang w:val="fr-FR"/>
        </w:rPr>
        <w:t>Iran, le Danemark violerait les droits qu</w:t>
      </w:r>
      <w:r w:rsidR="00AA69CE">
        <w:rPr>
          <w:lang w:val="fr-FR"/>
        </w:rPr>
        <w:t>’</w:t>
      </w:r>
      <w:r w:rsidRPr="00325182">
        <w:rPr>
          <w:lang w:val="fr-FR"/>
        </w:rPr>
        <w:t xml:space="preserve">il tient des articles 6 et 7 du Pacte international relatif aux droits civils et politiques. Il prétend </w:t>
      </w:r>
      <w:r>
        <w:rPr>
          <w:lang w:val="fr-FR"/>
        </w:rPr>
        <w:t xml:space="preserve">également </w:t>
      </w:r>
      <w:r w:rsidRPr="00325182">
        <w:rPr>
          <w:lang w:val="fr-FR"/>
        </w:rPr>
        <w:t>que les droits qui lui sont garantis par les articles</w:t>
      </w:r>
      <w:r>
        <w:rPr>
          <w:lang w:val="fr-FR"/>
        </w:rPr>
        <w:t> </w:t>
      </w:r>
      <w:r w:rsidRPr="00325182">
        <w:rPr>
          <w:lang w:val="fr-FR"/>
        </w:rPr>
        <w:t>2, 13, 14 et 26 du Pacte ont été violés dans le cadre de l</w:t>
      </w:r>
      <w:r w:rsidR="00AA69CE">
        <w:rPr>
          <w:lang w:val="fr-FR"/>
        </w:rPr>
        <w:t>’</w:t>
      </w:r>
      <w:r w:rsidRPr="00325182">
        <w:rPr>
          <w:lang w:val="fr-FR"/>
        </w:rPr>
        <w:t>examen de sa demande d</w:t>
      </w:r>
      <w:r w:rsidR="00AA69CE">
        <w:rPr>
          <w:lang w:val="fr-FR"/>
        </w:rPr>
        <w:t>’</w:t>
      </w:r>
      <w:r w:rsidRPr="00325182">
        <w:rPr>
          <w:lang w:val="fr-FR"/>
        </w:rPr>
        <w:t xml:space="preserve">asile par les autorités danoises. Le Protocole facultatif </w:t>
      </w:r>
      <w:r>
        <w:rPr>
          <w:lang w:val="fr-FR"/>
        </w:rPr>
        <w:t xml:space="preserve">se </w:t>
      </w:r>
      <w:r>
        <w:rPr>
          <w:lang w:val="fr-FR"/>
        </w:rPr>
        <w:lastRenderedPageBreak/>
        <w:t xml:space="preserve">rapportant au Pacte </w:t>
      </w:r>
      <w:r w:rsidRPr="00325182">
        <w:rPr>
          <w:lang w:val="fr-FR"/>
        </w:rPr>
        <w:t>est entré en vigueur pour le Danemark le 23 mars 1976.</w:t>
      </w:r>
      <w:r>
        <w:rPr>
          <w:lang w:val="fr-FR"/>
        </w:rPr>
        <w:t xml:space="preserve"> L</w:t>
      </w:r>
      <w:r w:rsidR="00AA69CE">
        <w:rPr>
          <w:lang w:val="fr-FR"/>
        </w:rPr>
        <w:t>’</w:t>
      </w:r>
      <w:r>
        <w:rPr>
          <w:lang w:val="fr-FR"/>
        </w:rPr>
        <w:t>auteur est représenté par un conseil.</w:t>
      </w:r>
    </w:p>
    <w:p w:rsidR="00685027" w:rsidRPr="00325182" w:rsidRDefault="00685027" w:rsidP="00685027">
      <w:pPr>
        <w:pStyle w:val="SingleTxtG"/>
        <w:rPr>
          <w:lang w:val="fr-FR"/>
        </w:rPr>
      </w:pPr>
      <w:r w:rsidRPr="00325182">
        <w:rPr>
          <w:lang w:val="fr-FR"/>
        </w:rPr>
        <w:t>1.2</w:t>
      </w:r>
      <w:r w:rsidRPr="00325182">
        <w:rPr>
          <w:lang w:val="fr-FR"/>
        </w:rPr>
        <w:tab/>
        <w:t>Le 11 juin 2014, en application de l</w:t>
      </w:r>
      <w:r w:rsidR="00AA69CE">
        <w:rPr>
          <w:lang w:val="fr-FR"/>
        </w:rPr>
        <w:t>’</w:t>
      </w:r>
      <w:r w:rsidRPr="00325182">
        <w:rPr>
          <w:lang w:val="fr-FR"/>
        </w:rPr>
        <w:t>article</w:t>
      </w:r>
      <w:r>
        <w:rPr>
          <w:lang w:val="fr-FR"/>
        </w:rPr>
        <w:t> </w:t>
      </w:r>
      <w:r w:rsidRPr="00325182">
        <w:rPr>
          <w:lang w:val="fr-FR"/>
        </w:rPr>
        <w:t>92 du règlement intérieur du Comité, le Rapporteur spécial chargé des nouvelles communications et des mesures provisoires a demandé à l</w:t>
      </w:r>
      <w:r w:rsidR="00AA69CE">
        <w:rPr>
          <w:lang w:val="fr-FR"/>
        </w:rPr>
        <w:t>’</w:t>
      </w:r>
      <w:r w:rsidRPr="00325182">
        <w:rPr>
          <w:lang w:val="fr-FR"/>
        </w:rPr>
        <w:t>État partie de ne pas expulser l</w:t>
      </w:r>
      <w:r w:rsidR="00AA69CE">
        <w:rPr>
          <w:lang w:val="fr-FR"/>
        </w:rPr>
        <w:t>’</w:t>
      </w:r>
      <w:r w:rsidRPr="00325182">
        <w:rPr>
          <w:lang w:val="fr-FR"/>
        </w:rPr>
        <w:t>auteur vers l</w:t>
      </w:r>
      <w:r>
        <w:rPr>
          <w:lang w:val="fr-FR"/>
        </w:rPr>
        <w:t>a République islamique d</w:t>
      </w:r>
      <w:r w:rsidR="00AA69CE">
        <w:rPr>
          <w:lang w:val="fr-FR"/>
        </w:rPr>
        <w:t>’</w:t>
      </w:r>
      <w:r w:rsidRPr="00325182">
        <w:rPr>
          <w:lang w:val="fr-FR"/>
        </w:rPr>
        <w:t>Iran tant que la communication serait à l</w:t>
      </w:r>
      <w:r w:rsidR="00AA69CE">
        <w:rPr>
          <w:lang w:val="fr-FR"/>
        </w:rPr>
        <w:t>’</w:t>
      </w:r>
      <w:r w:rsidRPr="00325182">
        <w:rPr>
          <w:lang w:val="fr-FR"/>
        </w:rPr>
        <w:t>examen. Les 24 janvier et 13 septembre 2017, le Rapporteur spécial a rejeté les demandes de l</w:t>
      </w:r>
      <w:r w:rsidR="00AA69CE">
        <w:rPr>
          <w:lang w:val="fr-FR"/>
        </w:rPr>
        <w:t>’</w:t>
      </w:r>
      <w:r w:rsidRPr="00325182">
        <w:rPr>
          <w:lang w:val="fr-FR"/>
        </w:rPr>
        <w:t>État partie tendant à la levée des mesures provisoires.</w:t>
      </w:r>
    </w:p>
    <w:p w:rsidR="00685027" w:rsidRPr="00325182" w:rsidRDefault="00685027" w:rsidP="00685027">
      <w:pPr>
        <w:pStyle w:val="H23G"/>
        <w:rPr>
          <w:lang w:val="fr-FR"/>
        </w:rPr>
      </w:pPr>
      <w:r w:rsidRPr="00325182">
        <w:rPr>
          <w:lang w:val="fr-FR"/>
        </w:rPr>
        <w:tab/>
      </w:r>
      <w:r w:rsidRPr="00325182">
        <w:rPr>
          <w:lang w:val="fr-FR"/>
        </w:rPr>
        <w:tab/>
        <w:t>Rappel des faits présentés par l</w:t>
      </w:r>
      <w:r w:rsidR="00AA69CE">
        <w:rPr>
          <w:lang w:val="fr-FR"/>
        </w:rPr>
        <w:t>’</w:t>
      </w:r>
      <w:r w:rsidRPr="00325182">
        <w:rPr>
          <w:lang w:val="fr-FR"/>
        </w:rPr>
        <w:t>auteur</w:t>
      </w:r>
    </w:p>
    <w:p w:rsidR="00685027" w:rsidRPr="00325182" w:rsidRDefault="00685027" w:rsidP="00685027">
      <w:pPr>
        <w:pStyle w:val="SingleTxtG"/>
        <w:rPr>
          <w:lang w:val="fr-FR"/>
        </w:rPr>
      </w:pPr>
      <w:r w:rsidRPr="00325182">
        <w:rPr>
          <w:lang w:val="fr-FR"/>
        </w:rPr>
        <w:t>2.1</w:t>
      </w:r>
      <w:r w:rsidRPr="00325182">
        <w:rPr>
          <w:lang w:val="fr-FR"/>
        </w:rPr>
        <w:tab/>
        <w:t>De 2004 à 2007, l</w:t>
      </w:r>
      <w:r w:rsidR="00AA69CE">
        <w:rPr>
          <w:lang w:val="fr-FR"/>
        </w:rPr>
        <w:t>’</w:t>
      </w:r>
      <w:r w:rsidRPr="00325182">
        <w:rPr>
          <w:lang w:val="fr-FR"/>
        </w:rPr>
        <w:t>auteur a travaillé comme garde au sein de la milice bassidj</w:t>
      </w:r>
      <w:r>
        <w:rPr>
          <w:lang w:val="fr-FR"/>
        </w:rPr>
        <w:t>. Il </w:t>
      </w:r>
      <w:r w:rsidRPr="005D2A2E">
        <w:rPr>
          <w:lang w:val="fr-FR"/>
        </w:rPr>
        <w:t>était chargé de recueillir</w:t>
      </w:r>
      <w:r w:rsidRPr="00325182">
        <w:rPr>
          <w:lang w:val="fr-FR"/>
        </w:rPr>
        <w:t xml:space="preserve"> des renseignements </w:t>
      </w:r>
      <w:r>
        <w:rPr>
          <w:lang w:val="fr-FR"/>
        </w:rPr>
        <w:t>sur</w:t>
      </w:r>
      <w:r w:rsidRPr="00325182">
        <w:rPr>
          <w:lang w:val="fr-FR"/>
        </w:rPr>
        <w:t xml:space="preserve"> les personnes traversant des zones soumises à un contrôle spécifique. Il exécutait aussi certaines tâches administratives à la base de la milice, notamment le traitement du courrier. Entre 2007 et 2008, il a effectué un service militaire de quinze mois. En 2008, il a repris son travail pour les Bassidji, en étant cette fois affecté à des travaux administratifs dans l</w:t>
      </w:r>
      <w:r w:rsidR="00AA69CE">
        <w:rPr>
          <w:lang w:val="fr-FR"/>
        </w:rPr>
        <w:t>’</w:t>
      </w:r>
      <w:r w:rsidRPr="00325182">
        <w:rPr>
          <w:lang w:val="fr-FR"/>
        </w:rPr>
        <w:t xml:space="preserve">enceinte de la base. Après les élections présidentielles de 2009, il lui a été demandé de collecter des renseignements sur des individus </w:t>
      </w:r>
      <w:r>
        <w:rPr>
          <w:lang w:val="fr-FR"/>
        </w:rPr>
        <w:t>qui avaient</w:t>
      </w:r>
      <w:r w:rsidRPr="00325182">
        <w:rPr>
          <w:lang w:val="fr-FR"/>
        </w:rPr>
        <w:t xml:space="preserve"> participé à une manifestation. On lui a également ordonné de fabriquer de fausses informations concernant des personnes détenues à la base des Bassidji. Comme il se sentait mal à l</w:t>
      </w:r>
      <w:r w:rsidR="00AA69CE">
        <w:rPr>
          <w:lang w:val="fr-FR"/>
        </w:rPr>
        <w:t>’</w:t>
      </w:r>
      <w:r w:rsidRPr="00325182">
        <w:rPr>
          <w:lang w:val="fr-FR"/>
        </w:rPr>
        <w:t xml:space="preserve">aise de </w:t>
      </w:r>
      <w:r>
        <w:rPr>
          <w:lang w:val="fr-FR"/>
        </w:rPr>
        <w:t xml:space="preserve">collecter de tels renseignements et de </w:t>
      </w:r>
      <w:r w:rsidRPr="00325182">
        <w:rPr>
          <w:lang w:val="fr-FR"/>
        </w:rPr>
        <w:t>fabriquer de fausses informations, il s</w:t>
      </w:r>
      <w:r w:rsidR="00AA69CE">
        <w:rPr>
          <w:lang w:val="fr-FR"/>
        </w:rPr>
        <w:t>’</w:t>
      </w:r>
      <w:r w:rsidRPr="00325182">
        <w:rPr>
          <w:lang w:val="fr-FR"/>
        </w:rPr>
        <w:t>est efforcé de réduire progressivement ses activités pour le mouvement et s</w:t>
      </w:r>
      <w:r w:rsidR="00AA69CE">
        <w:rPr>
          <w:lang w:val="fr-FR"/>
        </w:rPr>
        <w:t>’</w:t>
      </w:r>
      <w:r w:rsidRPr="00325182">
        <w:rPr>
          <w:lang w:val="fr-FR"/>
        </w:rPr>
        <w:t>est contenté par la suite d</w:t>
      </w:r>
      <w:r w:rsidR="00AA69CE">
        <w:rPr>
          <w:lang w:val="fr-FR"/>
        </w:rPr>
        <w:t>’</w:t>
      </w:r>
      <w:r w:rsidRPr="00325182">
        <w:rPr>
          <w:lang w:val="fr-FR"/>
        </w:rPr>
        <w:t>exécuter de menus travaux administratifs. Au début</w:t>
      </w:r>
      <w:r w:rsidR="00841829">
        <w:rPr>
          <w:lang w:val="fr-FR"/>
        </w:rPr>
        <w:t xml:space="preserve"> </w:t>
      </w:r>
      <w:r w:rsidRPr="00325182">
        <w:rPr>
          <w:lang w:val="fr-FR"/>
        </w:rPr>
        <w:t>2012, son supérieur l</w:t>
      </w:r>
      <w:r w:rsidR="00AA69CE">
        <w:rPr>
          <w:lang w:val="fr-FR"/>
        </w:rPr>
        <w:t>’</w:t>
      </w:r>
      <w:r w:rsidRPr="00325182">
        <w:rPr>
          <w:lang w:val="fr-FR"/>
        </w:rPr>
        <w:t>a contacté</w:t>
      </w:r>
      <w:r>
        <w:rPr>
          <w:lang w:val="fr-FR"/>
        </w:rPr>
        <w:t xml:space="preserve"> et </w:t>
      </w:r>
      <w:r w:rsidRPr="00325182">
        <w:rPr>
          <w:lang w:val="fr-FR"/>
        </w:rPr>
        <w:t xml:space="preserve">lui </w:t>
      </w:r>
      <w:r>
        <w:rPr>
          <w:lang w:val="fr-FR"/>
        </w:rPr>
        <w:t xml:space="preserve">a demandé </w:t>
      </w:r>
      <w:r w:rsidRPr="00325182">
        <w:rPr>
          <w:lang w:val="fr-FR"/>
        </w:rPr>
        <w:t xml:space="preserve">de </w:t>
      </w:r>
      <w:r>
        <w:rPr>
          <w:lang w:val="fr-FR"/>
        </w:rPr>
        <w:t xml:space="preserve">revenir </w:t>
      </w:r>
      <w:r w:rsidRPr="00325182">
        <w:rPr>
          <w:lang w:val="fr-FR"/>
        </w:rPr>
        <w:t>à la base pour y accomplir des tâches administratives. L</w:t>
      </w:r>
      <w:r w:rsidR="00AA69CE">
        <w:rPr>
          <w:lang w:val="fr-FR"/>
        </w:rPr>
        <w:t>’</w:t>
      </w:r>
      <w:r w:rsidRPr="00325182">
        <w:rPr>
          <w:lang w:val="fr-FR"/>
        </w:rPr>
        <w:t xml:space="preserve">auteur a toutefois tenté de </w:t>
      </w:r>
      <w:r>
        <w:rPr>
          <w:lang w:val="fr-FR"/>
        </w:rPr>
        <w:t xml:space="preserve">se </w:t>
      </w:r>
      <w:r w:rsidRPr="00325182">
        <w:rPr>
          <w:lang w:val="fr-FR"/>
        </w:rPr>
        <w:t>soustraire à cette demande en expliquant que son emploi principal ne lui en laissait pas le temps. En juillet 2012, un membre de la milice est venu au domicile de l</w:t>
      </w:r>
      <w:r w:rsidR="00AA69CE">
        <w:rPr>
          <w:lang w:val="fr-FR"/>
        </w:rPr>
        <w:t>’</w:t>
      </w:r>
      <w:r w:rsidRPr="00325182">
        <w:rPr>
          <w:lang w:val="fr-FR"/>
        </w:rPr>
        <w:t>auteur pendant qu</w:t>
      </w:r>
      <w:r w:rsidR="00AA69CE">
        <w:rPr>
          <w:lang w:val="fr-FR"/>
        </w:rPr>
        <w:t>’</w:t>
      </w:r>
      <w:r w:rsidRPr="00325182">
        <w:rPr>
          <w:lang w:val="fr-FR"/>
        </w:rPr>
        <w:t>il était au travail et a demandé à sa femme de l</w:t>
      </w:r>
      <w:r w:rsidR="00AA69CE">
        <w:rPr>
          <w:lang w:val="fr-FR"/>
        </w:rPr>
        <w:t>’</w:t>
      </w:r>
      <w:r w:rsidRPr="00325182">
        <w:rPr>
          <w:lang w:val="fr-FR"/>
        </w:rPr>
        <w:t>informer que l</w:t>
      </w:r>
      <w:r w:rsidR="00AA69CE">
        <w:rPr>
          <w:lang w:val="fr-FR"/>
        </w:rPr>
        <w:t>’</w:t>
      </w:r>
      <w:r w:rsidRPr="00325182">
        <w:rPr>
          <w:lang w:val="fr-FR"/>
        </w:rPr>
        <w:t>on avait besoin de lui à la base. L</w:t>
      </w:r>
      <w:r w:rsidR="00AA69CE">
        <w:rPr>
          <w:lang w:val="fr-FR"/>
        </w:rPr>
        <w:t>’</w:t>
      </w:r>
      <w:r w:rsidRPr="00325182">
        <w:rPr>
          <w:lang w:val="fr-FR"/>
        </w:rPr>
        <w:t>auteur a alors décidé de quitter l</w:t>
      </w:r>
      <w:r>
        <w:rPr>
          <w:lang w:val="fr-FR"/>
        </w:rPr>
        <w:t>a République islamique d</w:t>
      </w:r>
      <w:r w:rsidR="00AA69CE">
        <w:rPr>
          <w:lang w:val="fr-FR"/>
        </w:rPr>
        <w:t>’</w:t>
      </w:r>
      <w:r w:rsidRPr="00325182">
        <w:rPr>
          <w:lang w:val="fr-FR"/>
        </w:rPr>
        <w:t>Iran pour ne pas être obligé de réintégrer la milice bassidj.</w:t>
      </w:r>
    </w:p>
    <w:p w:rsidR="00685027" w:rsidRPr="00325182" w:rsidRDefault="00685027" w:rsidP="00685027">
      <w:pPr>
        <w:pStyle w:val="SingleTxtG"/>
        <w:rPr>
          <w:lang w:val="fr-FR"/>
        </w:rPr>
      </w:pPr>
      <w:r w:rsidRPr="00325182">
        <w:rPr>
          <w:lang w:val="fr-FR"/>
        </w:rPr>
        <w:t>2.2</w:t>
      </w:r>
      <w:r w:rsidRPr="00325182">
        <w:rPr>
          <w:lang w:val="fr-FR"/>
        </w:rPr>
        <w:tab/>
        <w:t>Le 8 juillet 2012, l</w:t>
      </w:r>
      <w:r w:rsidR="00AA69CE">
        <w:rPr>
          <w:lang w:val="fr-FR"/>
        </w:rPr>
        <w:t>’</w:t>
      </w:r>
      <w:r w:rsidRPr="00325182">
        <w:rPr>
          <w:lang w:val="fr-FR"/>
        </w:rPr>
        <w:t>auteur a fui l</w:t>
      </w:r>
      <w:r>
        <w:rPr>
          <w:lang w:val="fr-FR"/>
        </w:rPr>
        <w:t>a République islamique d</w:t>
      </w:r>
      <w:r w:rsidR="00AA69CE">
        <w:rPr>
          <w:lang w:val="fr-FR"/>
        </w:rPr>
        <w:t>’</w:t>
      </w:r>
      <w:r w:rsidRPr="00325182">
        <w:rPr>
          <w:lang w:val="fr-FR"/>
        </w:rPr>
        <w:t>Iran illégalement</w:t>
      </w:r>
      <w:r>
        <w:rPr>
          <w:lang w:val="fr-FR"/>
        </w:rPr>
        <w:t xml:space="preserve"> − </w:t>
      </w:r>
      <w:r w:rsidRPr="00325182">
        <w:rPr>
          <w:lang w:val="fr-FR"/>
        </w:rPr>
        <w:t>sans</w:t>
      </w:r>
      <w:r>
        <w:rPr>
          <w:lang w:val="fr-FR"/>
        </w:rPr>
        <w:t> </w:t>
      </w:r>
      <w:r w:rsidRPr="00325182">
        <w:rPr>
          <w:lang w:val="fr-FR"/>
        </w:rPr>
        <w:t xml:space="preserve">passeport et après avoir </w:t>
      </w:r>
      <w:r>
        <w:rPr>
          <w:lang w:val="fr-FR"/>
        </w:rPr>
        <w:t xml:space="preserve">rémunéré </w:t>
      </w:r>
      <w:r w:rsidRPr="00DD0137">
        <w:rPr>
          <w:lang w:val="fr-FR"/>
        </w:rPr>
        <w:t xml:space="preserve">un agent </w:t>
      </w:r>
      <w:r>
        <w:rPr>
          <w:lang w:val="fr-FR"/>
        </w:rPr>
        <w:t xml:space="preserve">pour </w:t>
      </w:r>
      <w:r w:rsidRPr="00DD0137">
        <w:rPr>
          <w:lang w:val="fr-FR"/>
        </w:rPr>
        <w:t>qu</w:t>
      </w:r>
      <w:r w:rsidR="00AA69CE">
        <w:rPr>
          <w:lang w:val="fr-FR"/>
        </w:rPr>
        <w:t>’</w:t>
      </w:r>
      <w:r w:rsidRPr="00DD0137">
        <w:rPr>
          <w:lang w:val="fr-FR"/>
        </w:rPr>
        <w:t xml:space="preserve">il organise son départ et </w:t>
      </w:r>
      <w:r w:rsidRPr="007302A2">
        <w:rPr>
          <w:lang w:val="fr-FR"/>
        </w:rPr>
        <w:t xml:space="preserve">paie </w:t>
      </w:r>
      <w:r>
        <w:rPr>
          <w:lang w:val="fr-FR"/>
        </w:rPr>
        <w:t xml:space="preserve">les gardes frontière − </w:t>
      </w:r>
      <w:r w:rsidRPr="00325182">
        <w:rPr>
          <w:lang w:val="fr-FR"/>
        </w:rPr>
        <w:t>et s</w:t>
      </w:r>
      <w:r w:rsidR="00AA69CE">
        <w:rPr>
          <w:lang w:val="fr-FR"/>
        </w:rPr>
        <w:t>’</w:t>
      </w:r>
      <w:r w:rsidRPr="00325182">
        <w:rPr>
          <w:lang w:val="fr-FR"/>
        </w:rPr>
        <w:t>est rendu en Turquie. Le</w:t>
      </w:r>
      <w:r>
        <w:rPr>
          <w:lang w:val="fr-FR"/>
        </w:rPr>
        <w:t xml:space="preserve"> </w:t>
      </w:r>
      <w:r w:rsidRPr="00325182">
        <w:rPr>
          <w:lang w:val="fr-FR"/>
        </w:rPr>
        <w:t>1</w:t>
      </w:r>
      <w:r w:rsidRPr="00325182">
        <w:rPr>
          <w:vertAlign w:val="superscript"/>
          <w:lang w:val="fr-FR"/>
        </w:rPr>
        <w:t>er</w:t>
      </w:r>
      <w:r w:rsidRPr="00325182">
        <w:rPr>
          <w:lang w:val="fr-FR"/>
        </w:rPr>
        <w:t> septembre 2012, il a pris un vol à Istanbul à destination du Danemark</w:t>
      </w:r>
      <w:r>
        <w:rPr>
          <w:lang w:val="fr-FR"/>
        </w:rPr>
        <w:t>. I</w:t>
      </w:r>
      <w:r w:rsidRPr="00325182">
        <w:rPr>
          <w:lang w:val="fr-FR"/>
        </w:rPr>
        <w:t xml:space="preserve">l est entré </w:t>
      </w:r>
      <w:r>
        <w:rPr>
          <w:lang w:val="fr-FR"/>
        </w:rPr>
        <w:t xml:space="preserve">au Danemark </w:t>
      </w:r>
      <w:r w:rsidRPr="00325182">
        <w:rPr>
          <w:lang w:val="fr-FR"/>
        </w:rPr>
        <w:t>le 2 septembre 2012 muni d</w:t>
      </w:r>
      <w:r w:rsidR="00AA69CE">
        <w:rPr>
          <w:lang w:val="fr-FR"/>
        </w:rPr>
        <w:t>’</w:t>
      </w:r>
      <w:r w:rsidRPr="00325182">
        <w:rPr>
          <w:lang w:val="fr-FR"/>
        </w:rPr>
        <w:t>un faux passeport et d</w:t>
      </w:r>
      <w:r w:rsidR="00AA69CE">
        <w:rPr>
          <w:lang w:val="fr-FR"/>
        </w:rPr>
        <w:t>’</w:t>
      </w:r>
      <w:r w:rsidRPr="00325182">
        <w:rPr>
          <w:lang w:val="fr-FR"/>
        </w:rPr>
        <w:t>un faux visa français. Il a déposé une demande d</w:t>
      </w:r>
      <w:r w:rsidR="00AA69CE">
        <w:rPr>
          <w:lang w:val="fr-FR"/>
        </w:rPr>
        <w:t>’</w:t>
      </w:r>
      <w:r w:rsidRPr="00325182">
        <w:rPr>
          <w:lang w:val="fr-FR"/>
        </w:rPr>
        <w:t>asile le 3 septembre 2012, en invoquant sa crainte d</w:t>
      </w:r>
      <w:r w:rsidR="00AA69CE">
        <w:rPr>
          <w:lang w:val="fr-FR"/>
        </w:rPr>
        <w:t>’</w:t>
      </w:r>
      <w:r w:rsidRPr="00325182">
        <w:rPr>
          <w:lang w:val="fr-FR"/>
        </w:rPr>
        <w:t>être arrêté et torturé s</w:t>
      </w:r>
      <w:r w:rsidR="00AA69CE">
        <w:rPr>
          <w:lang w:val="fr-FR"/>
        </w:rPr>
        <w:t>’</w:t>
      </w:r>
      <w:r w:rsidRPr="00325182">
        <w:rPr>
          <w:lang w:val="fr-FR"/>
        </w:rPr>
        <w:t xml:space="preserve">il était renvoyé en </w:t>
      </w:r>
      <w:r>
        <w:rPr>
          <w:lang w:val="fr-FR"/>
        </w:rPr>
        <w:t>République islamique d</w:t>
      </w:r>
      <w:r w:rsidR="00AA69CE">
        <w:rPr>
          <w:lang w:val="fr-FR"/>
        </w:rPr>
        <w:t>’</w:t>
      </w:r>
      <w:r w:rsidRPr="00325182">
        <w:rPr>
          <w:lang w:val="fr-FR"/>
        </w:rPr>
        <w:t>Iran</w:t>
      </w:r>
      <w:r>
        <w:rPr>
          <w:lang w:val="fr-FR"/>
        </w:rPr>
        <w:t>,</w:t>
      </w:r>
      <w:r w:rsidRPr="00325182">
        <w:rPr>
          <w:lang w:val="fr-FR"/>
        </w:rPr>
        <w:t xml:space="preserve"> au motif que les Bassidji le soupçonnaient d</w:t>
      </w:r>
      <w:r w:rsidR="00AA69CE">
        <w:rPr>
          <w:lang w:val="fr-FR"/>
        </w:rPr>
        <w:t>’</w:t>
      </w:r>
      <w:r w:rsidRPr="00325182">
        <w:rPr>
          <w:lang w:val="fr-FR"/>
        </w:rPr>
        <w:t>avoir livré des renseignements confidentiels à des pays occidentaux et à des opposants politiques au régime iranien. Il a aussi déclaré qu</w:t>
      </w:r>
      <w:r w:rsidR="00AA69CE">
        <w:rPr>
          <w:lang w:val="fr-FR"/>
        </w:rPr>
        <w:t>’</w:t>
      </w:r>
      <w:r w:rsidRPr="00325182">
        <w:rPr>
          <w:lang w:val="fr-FR"/>
        </w:rPr>
        <w:t>il craignait de se voir infliger des sanctions disproportionnées du fait qu</w:t>
      </w:r>
      <w:r w:rsidR="00AA69CE">
        <w:rPr>
          <w:lang w:val="fr-FR"/>
        </w:rPr>
        <w:t>’</w:t>
      </w:r>
      <w:r w:rsidRPr="00325182">
        <w:rPr>
          <w:lang w:val="fr-FR"/>
        </w:rPr>
        <w:t>il avait quitté l</w:t>
      </w:r>
      <w:r>
        <w:rPr>
          <w:lang w:val="fr-FR"/>
        </w:rPr>
        <w:t>a République islamique d</w:t>
      </w:r>
      <w:r w:rsidR="00AA69CE">
        <w:rPr>
          <w:lang w:val="fr-FR"/>
        </w:rPr>
        <w:t>’</w:t>
      </w:r>
      <w:r w:rsidRPr="00325182">
        <w:rPr>
          <w:lang w:val="fr-FR"/>
        </w:rPr>
        <w:t>Iran.</w:t>
      </w:r>
    </w:p>
    <w:p w:rsidR="00685027" w:rsidRPr="005D2A2E" w:rsidRDefault="00685027" w:rsidP="00685027">
      <w:pPr>
        <w:pStyle w:val="SingleTxtG"/>
        <w:rPr>
          <w:lang w:val="fr-FR"/>
        </w:rPr>
      </w:pPr>
      <w:r w:rsidRPr="00325182">
        <w:rPr>
          <w:lang w:val="fr-FR"/>
        </w:rPr>
        <w:t>2.3</w:t>
      </w:r>
      <w:r w:rsidRPr="00325182">
        <w:rPr>
          <w:lang w:val="fr-FR"/>
        </w:rPr>
        <w:tab/>
      </w:r>
      <w:r w:rsidRPr="003D3C70">
        <w:rPr>
          <w:lang w:val="fr-FR"/>
        </w:rPr>
        <w:t>Le 4</w:t>
      </w:r>
      <w:r>
        <w:rPr>
          <w:lang w:val="fr-FR"/>
        </w:rPr>
        <w:t> </w:t>
      </w:r>
      <w:r w:rsidRPr="003D3C70">
        <w:rPr>
          <w:lang w:val="fr-FR"/>
        </w:rPr>
        <w:t>janvier 2013, le Service danois de l</w:t>
      </w:r>
      <w:r w:rsidR="00AA69CE">
        <w:rPr>
          <w:lang w:val="fr-FR"/>
        </w:rPr>
        <w:t>’</w:t>
      </w:r>
      <w:r w:rsidRPr="003D3C70">
        <w:rPr>
          <w:lang w:val="fr-FR"/>
        </w:rPr>
        <w:t>immigration a rejeté la demande de permis de séjour de l</w:t>
      </w:r>
      <w:r w:rsidR="00AA69CE">
        <w:rPr>
          <w:lang w:val="fr-FR"/>
        </w:rPr>
        <w:t>’</w:t>
      </w:r>
      <w:r w:rsidRPr="003D3C70">
        <w:rPr>
          <w:lang w:val="fr-FR"/>
        </w:rPr>
        <w:t>auteur.</w:t>
      </w:r>
    </w:p>
    <w:p w:rsidR="00685027" w:rsidRPr="00325182" w:rsidRDefault="00685027" w:rsidP="00685027">
      <w:pPr>
        <w:pStyle w:val="SingleTxtG"/>
        <w:rPr>
          <w:lang w:val="fr-FR"/>
        </w:rPr>
      </w:pPr>
      <w:r w:rsidRPr="00325182">
        <w:rPr>
          <w:lang w:val="fr-FR"/>
        </w:rPr>
        <w:t>2.4</w:t>
      </w:r>
      <w:r w:rsidRPr="00325182">
        <w:rPr>
          <w:lang w:val="fr-FR"/>
        </w:rPr>
        <w:tab/>
        <w:t>L</w:t>
      </w:r>
      <w:r w:rsidR="00AA69CE">
        <w:rPr>
          <w:lang w:val="fr-FR"/>
        </w:rPr>
        <w:t>’</w:t>
      </w:r>
      <w:r w:rsidRPr="00325182">
        <w:rPr>
          <w:lang w:val="fr-FR"/>
        </w:rPr>
        <w:t>auteur a dit avoir rencontré en février 2013 une femme dénommée Z. A. qui lui a parlé du message chrétien. Par son intermédiaire, il a pu participer à des réunions sur Skype à l</w:t>
      </w:r>
      <w:r w:rsidR="00AA69CE">
        <w:rPr>
          <w:lang w:val="fr-FR"/>
        </w:rPr>
        <w:t>’</w:t>
      </w:r>
      <w:r w:rsidRPr="00325182">
        <w:rPr>
          <w:lang w:val="fr-FR"/>
        </w:rPr>
        <w:t>occasion desquelles il a fait la connaissance d</w:t>
      </w:r>
      <w:r w:rsidR="00AA69CE">
        <w:rPr>
          <w:lang w:val="fr-FR"/>
        </w:rPr>
        <w:t>’</w:t>
      </w:r>
      <w:r w:rsidRPr="00325182">
        <w:rPr>
          <w:lang w:val="fr-FR"/>
        </w:rPr>
        <w:t>un pasteur et s</w:t>
      </w:r>
      <w:r w:rsidR="00AA69CE">
        <w:rPr>
          <w:lang w:val="fr-FR"/>
        </w:rPr>
        <w:t>’</w:t>
      </w:r>
      <w:r w:rsidRPr="00325182">
        <w:rPr>
          <w:lang w:val="fr-FR"/>
        </w:rPr>
        <w:t xml:space="preserve">est familiarisé avec la religion chrétienne. </w:t>
      </w:r>
      <w:r>
        <w:rPr>
          <w:lang w:val="fr-FR"/>
        </w:rPr>
        <w:t>Le 8 avril 2013, l</w:t>
      </w:r>
      <w:r w:rsidR="00AA69CE">
        <w:rPr>
          <w:lang w:val="fr-FR"/>
        </w:rPr>
        <w:t>’</w:t>
      </w:r>
      <w:r>
        <w:rPr>
          <w:lang w:val="fr-FR"/>
        </w:rPr>
        <w:t xml:space="preserve">auteur a été baptisé. </w:t>
      </w:r>
      <w:r w:rsidRPr="00325182">
        <w:rPr>
          <w:lang w:val="fr-FR"/>
        </w:rPr>
        <w:t xml:space="preserve">Il </w:t>
      </w:r>
      <w:r>
        <w:rPr>
          <w:lang w:val="fr-FR"/>
        </w:rPr>
        <w:t xml:space="preserve">a par la suite invoqué sa conversion </w:t>
      </w:r>
      <w:r w:rsidRPr="00325182">
        <w:rPr>
          <w:lang w:val="fr-FR"/>
        </w:rPr>
        <w:t xml:space="preserve">au christianisme </w:t>
      </w:r>
      <w:r>
        <w:rPr>
          <w:lang w:val="fr-FR"/>
        </w:rPr>
        <w:t>comme motif de demande d</w:t>
      </w:r>
      <w:r w:rsidR="00AA69CE">
        <w:rPr>
          <w:lang w:val="fr-FR"/>
        </w:rPr>
        <w:t>’</w:t>
      </w:r>
      <w:r>
        <w:rPr>
          <w:lang w:val="fr-FR"/>
        </w:rPr>
        <w:t>asile, dans le recours formé contre la décision du Service danois de l</w:t>
      </w:r>
      <w:r w:rsidR="00AA69CE">
        <w:rPr>
          <w:lang w:val="fr-FR"/>
        </w:rPr>
        <w:t>’</w:t>
      </w:r>
      <w:r>
        <w:rPr>
          <w:lang w:val="fr-FR"/>
        </w:rPr>
        <w:t>immigration</w:t>
      </w:r>
      <w:r w:rsidRPr="00325182">
        <w:rPr>
          <w:lang w:val="fr-FR"/>
        </w:rPr>
        <w:t>.</w:t>
      </w:r>
      <w:r>
        <w:rPr>
          <w:lang w:val="fr-FR"/>
        </w:rPr>
        <w:t xml:space="preserve"> Le 30 mai 2013, la Commission danoise de recours des réfugiés a fait droit à ce recours et renvoyé le dossier au Service de l</w:t>
      </w:r>
      <w:r w:rsidR="00AA69CE">
        <w:rPr>
          <w:lang w:val="fr-FR"/>
        </w:rPr>
        <w:t>’</w:t>
      </w:r>
      <w:r>
        <w:rPr>
          <w:lang w:val="fr-FR"/>
        </w:rPr>
        <w:t>immigration.</w:t>
      </w:r>
    </w:p>
    <w:p w:rsidR="00685027" w:rsidRPr="00325182" w:rsidRDefault="00685027" w:rsidP="00685027">
      <w:pPr>
        <w:pStyle w:val="SingleTxtG"/>
        <w:rPr>
          <w:lang w:val="fr-FR"/>
        </w:rPr>
      </w:pPr>
      <w:r>
        <w:rPr>
          <w:lang w:val="fr-FR"/>
        </w:rPr>
        <w:t>2.5</w:t>
      </w:r>
      <w:r>
        <w:rPr>
          <w:lang w:val="fr-FR"/>
        </w:rPr>
        <w:tab/>
        <w:t>Le 23 </w:t>
      </w:r>
      <w:r w:rsidRPr="00325182">
        <w:rPr>
          <w:lang w:val="fr-FR"/>
        </w:rPr>
        <w:t>décembre 2013, le Service danois de l</w:t>
      </w:r>
      <w:r w:rsidR="00AA69CE">
        <w:rPr>
          <w:lang w:val="fr-FR"/>
        </w:rPr>
        <w:t>’</w:t>
      </w:r>
      <w:r w:rsidRPr="00325182">
        <w:rPr>
          <w:lang w:val="fr-FR"/>
        </w:rPr>
        <w:t>immigration a de nouveau rejeté la demande de permis de séjour de l</w:t>
      </w:r>
      <w:r w:rsidR="00AA69CE">
        <w:rPr>
          <w:lang w:val="fr-FR"/>
        </w:rPr>
        <w:t>’</w:t>
      </w:r>
      <w:r w:rsidRPr="00325182">
        <w:rPr>
          <w:lang w:val="fr-FR"/>
        </w:rPr>
        <w:t xml:space="preserve">auteur. Un recours a été introduit contre cette décision devant la Commission </w:t>
      </w:r>
      <w:r>
        <w:rPr>
          <w:lang w:val="fr-FR"/>
        </w:rPr>
        <w:t xml:space="preserve">danoise </w:t>
      </w:r>
      <w:r w:rsidRPr="00325182">
        <w:rPr>
          <w:lang w:val="fr-FR"/>
        </w:rPr>
        <w:t>de recours des réfugiés.</w:t>
      </w:r>
    </w:p>
    <w:p w:rsidR="00685027" w:rsidRPr="00325182" w:rsidRDefault="00685027" w:rsidP="00685027">
      <w:pPr>
        <w:pStyle w:val="SingleTxtG"/>
        <w:rPr>
          <w:lang w:val="fr-FR"/>
        </w:rPr>
      </w:pPr>
      <w:r w:rsidRPr="00325182">
        <w:rPr>
          <w:lang w:val="fr-FR"/>
        </w:rPr>
        <w:t>2.6</w:t>
      </w:r>
      <w:r w:rsidRPr="00325182">
        <w:rPr>
          <w:lang w:val="fr-FR"/>
        </w:rPr>
        <w:tab/>
        <w:t xml:space="preserve">Le 27 mars 2014, la Commission </w:t>
      </w:r>
      <w:r>
        <w:rPr>
          <w:lang w:val="fr-FR"/>
        </w:rPr>
        <w:t xml:space="preserve">danoise </w:t>
      </w:r>
      <w:r w:rsidRPr="00325182">
        <w:rPr>
          <w:lang w:val="fr-FR"/>
        </w:rPr>
        <w:t>de recours des réfugiés a débouté l</w:t>
      </w:r>
      <w:r w:rsidR="00AA69CE">
        <w:rPr>
          <w:lang w:val="fr-FR"/>
        </w:rPr>
        <w:t>’</w:t>
      </w:r>
      <w:r w:rsidRPr="00325182">
        <w:rPr>
          <w:lang w:val="fr-FR"/>
        </w:rPr>
        <w:t>auteur de sa demande d</w:t>
      </w:r>
      <w:r w:rsidR="00AA69CE">
        <w:rPr>
          <w:lang w:val="fr-FR"/>
        </w:rPr>
        <w:t>’</w:t>
      </w:r>
      <w:r w:rsidRPr="00325182">
        <w:rPr>
          <w:lang w:val="fr-FR"/>
        </w:rPr>
        <w:t>asile en estimant qu</w:t>
      </w:r>
      <w:r w:rsidR="00AA69CE">
        <w:rPr>
          <w:lang w:val="fr-FR"/>
        </w:rPr>
        <w:t>’</w:t>
      </w:r>
      <w:r w:rsidRPr="00325182">
        <w:rPr>
          <w:lang w:val="fr-FR"/>
        </w:rPr>
        <w:t>il n</w:t>
      </w:r>
      <w:r w:rsidR="00AA69CE">
        <w:rPr>
          <w:lang w:val="fr-FR"/>
        </w:rPr>
        <w:t>’</w:t>
      </w:r>
      <w:r w:rsidRPr="00325182">
        <w:rPr>
          <w:lang w:val="fr-FR"/>
        </w:rPr>
        <w:t xml:space="preserve">avait pas </w:t>
      </w:r>
      <w:r>
        <w:rPr>
          <w:lang w:val="fr-FR"/>
        </w:rPr>
        <w:t xml:space="preserve">suffisamment </w:t>
      </w:r>
      <w:r w:rsidRPr="00325182">
        <w:rPr>
          <w:lang w:val="fr-FR"/>
        </w:rPr>
        <w:t>établi qu</w:t>
      </w:r>
      <w:r w:rsidR="00AA69CE">
        <w:rPr>
          <w:lang w:val="fr-FR"/>
        </w:rPr>
        <w:t>’</w:t>
      </w:r>
      <w:r w:rsidRPr="00325182">
        <w:rPr>
          <w:lang w:val="fr-FR"/>
        </w:rPr>
        <w:t>il risquait d</w:t>
      </w:r>
      <w:r w:rsidR="00AA69CE">
        <w:rPr>
          <w:lang w:val="fr-FR"/>
        </w:rPr>
        <w:t>’</w:t>
      </w:r>
      <w:r w:rsidRPr="00325182">
        <w:rPr>
          <w:lang w:val="fr-FR"/>
        </w:rPr>
        <w:t xml:space="preserve">être persécuté ou de subir des violences pour avoir refusé de continuer à travailler pour les Bassidji. </w:t>
      </w:r>
      <w:r>
        <w:rPr>
          <w:lang w:val="fr-FR"/>
        </w:rPr>
        <w:t>En ce qui concerne</w:t>
      </w:r>
      <w:r w:rsidRPr="00325182">
        <w:rPr>
          <w:lang w:val="fr-FR"/>
        </w:rPr>
        <w:t xml:space="preserve"> sa conversion au christianisme, la </w:t>
      </w:r>
      <w:r>
        <w:rPr>
          <w:lang w:val="fr-FR"/>
        </w:rPr>
        <w:t xml:space="preserve">Commission, à la </w:t>
      </w:r>
      <w:r w:rsidRPr="00325182">
        <w:rPr>
          <w:lang w:val="fr-FR"/>
        </w:rPr>
        <w:t>majorité de</w:t>
      </w:r>
      <w:r>
        <w:rPr>
          <w:lang w:val="fr-FR"/>
        </w:rPr>
        <w:t xml:space="preserve"> se</w:t>
      </w:r>
      <w:r w:rsidRPr="00325182">
        <w:rPr>
          <w:lang w:val="fr-FR"/>
        </w:rPr>
        <w:t>s membres</w:t>
      </w:r>
      <w:r>
        <w:rPr>
          <w:lang w:val="fr-FR"/>
        </w:rPr>
        <w:t>,</w:t>
      </w:r>
      <w:r w:rsidRPr="00325182">
        <w:rPr>
          <w:lang w:val="fr-FR"/>
        </w:rPr>
        <w:t xml:space="preserve"> a considéré qu</w:t>
      </w:r>
      <w:r w:rsidR="00AA69CE">
        <w:rPr>
          <w:lang w:val="fr-FR"/>
        </w:rPr>
        <w:t>’</w:t>
      </w:r>
      <w:r w:rsidRPr="00325182">
        <w:rPr>
          <w:lang w:val="fr-FR"/>
        </w:rPr>
        <w:t>il n</w:t>
      </w:r>
      <w:r w:rsidR="00AA69CE">
        <w:rPr>
          <w:lang w:val="fr-FR"/>
        </w:rPr>
        <w:t>’</w:t>
      </w:r>
      <w:r w:rsidRPr="00325182">
        <w:rPr>
          <w:lang w:val="fr-FR"/>
        </w:rPr>
        <w:t xml:space="preserve">avait pas </w:t>
      </w:r>
      <w:r>
        <w:rPr>
          <w:lang w:val="fr-FR"/>
        </w:rPr>
        <w:t xml:space="preserve">suffisamment </w:t>
      </w:r>
      <w:r w:rsidRPr="00325182">
        <w:rPr>
          <w:lang w:val="fr-FR"/>
        </w:rPr>
        <w:t>établi qu</w:t>
      </w:r>
      <w:r w:rsidR="00AA69CE">
        <w:rPr>
          <w:lang w:val="fr-FR"/>
        </w:rPr>
        <w:t>’</w:t>
      </w:r>
      <w:r w:rsidRPr="00325182">
        <w:rPr>
          <w:lang w:val="fr-FR"/>
        </w:rPr>
        <w:t>elle était sincère, malgré la production d</w:t>
      </w:r>
      <w:r w:rsidR="00AA69CE">
        <w:rPr>
          <w:lang w:val="fr-FR"/>
        </w:rPr>
        <w:t>’</w:t>
      </w:r>
      <w:r w:rsidRPr="00325182">
        <w:rPr>
          <w:lang w:val="fr-FR"/>
        </w:rPr>
        <w:t>u</w:t>
      </w:r>
      <w:r>
        <w:rPr>
          <w:lang w:val="fr-FR"/>
        </w:rPr>
        <w:t>n</w:t>
      </w:r>
      <w:r w:rsidRPr="00325182">
        <w:rPr>
          <w:lang w:val="fr-FR"/>
        </w:rPr>
        <w:t xml:space="preserve"> certificat de baptême </w:t>
      </w:r>
      <w:r>
        <w:rPr>
          <w:lang w:val="fr-FR"/>
        </w:rPr>
        <w:t>daté du 8 avril 2013,</w:t>
      </w:r>
      <w:r w:rsidRPr="00325182">
        <w:rPr>
          <w:lang w:val="fr-FR"/>
        </w:rPr>
        <w:t xml:space="preserve"> </w:t>
      </w:r>
      <w:r>
        <w:rPr>
          <w:lang w:val="fr-FR"/>
        </w:rPr>
        <w:t xml:space="preserve">sa participation active aux activités de la paroisse, </w:t>
      </w:r>
      <w:r w:rsidRPr="00325182">
        <w:rPr>
          <w:lang w:val="fr-FR"/>
        </w:rPr>
        <w:t>de</w:t>
      </w:r>
      <w:r>
        <w:rPr>
          <w:lang w:val="fr-FR"/>
        </w:rPr>
        <w:t>s</w:t>
      </w:r>
      <w:r w:rsidRPr="00325182">
        <w:rPr>
          <w:lang w:val="fr-FR"/>
        </w:rPr>
        <w:t xml:space="preserve"> déclarations émana</w:t>
      </w:r>
      <w:r>
        <w:rPr>
          <w:lang w:val="fr-FR"/>
        </w:rPr>
        <w:t>n</w:t>
      </w:r>
      <w:r w:rsidRPr="00325182">
        <w:rPr>
          <w:lang w:val="fr-FR"/>
        </w:rPr>
        <w:t>t d</w:t>
      </w:r>
      <w:r w:rsidR="00AA69CE">
        <w:rPr>
          <w:lang w:val="fr-FR"/>
        </w:rPr>
        <w:t>’</w:t>
      </w:r>
      <w:r w:rsidRPr="00325182">
        <w:rPr>
          <w:lang w:val="fr-FR"/>
        </w:rPr>
        <w:t>un pasteur et de l</w:t>
      </w:r>
      <w:r w:rsidR="00AA69CE">
        <w:rPr>
          <w:lang w:val="fr-FR"/>
        </w:rPr>
        <w:t>’</w:t>
      </w:r>
      <w:r w:rsidRPr="00325182">
        <w:rPr>
          <w:lang w:val="fr-FR"/>
        </w:rPr>
        <w:t xml:space="preserve">Église pentecôtiste et </w:t>
      </w:r>
      <w:r>
        <w:rPr>
          <w:lang w:val="fr-FR"/>
        </w:rPr>
        <w:t xml:space="preserve">les explications </w:t>
      </w:r>
      <w:r w:rsidRPr="00325182">
        <w:rPr>
          <w:lang w:val="fr-FR"/>
        </w:rPr>
        <w:t>qu</w:t>
      </w:r>
      <w:r w:rsidR="00AA69CE">
        <w:rPr>
          <w:lang w:val="fr-FR"/>
        </w:rPr>
        <w:t>’</w:t>
      </w:r>
      <w:r w:rsidRPr="00325182">
        <w:rPr>
          <w:lang w:val="fr-FR"/>
        </w:rPr>
        <w:t xml:space="preserve">il avait </w:t>
      </w:r>
      <w:r>
        <w:rPr>
          <w:lang w:val="fr-FR"/>
        </w:rPr>
        <w:t xml:space="preserve">données au sujet de sa </w:t>
      </w:r>
      <w:r w:rsidRPr="00325182">
        <w:rPr>
          <w:lang w:val="fr-FR"/>
        </w:rPr>
        <w:t>rencontr</w:t>
      </w:r>
      <w:r>
        <w:rPr>
          <w:lang w:val="fr-FR"/>
        </w:rPr>
        <w:t>e avec</w:t>
      </w:r>
      <w:r w:rsidR="00AA69CE">
        <w:rPr>
          <w:lang w:val="fr-FR"/>
        </w:rPr>
        <w:t xml:space="preserve"> </w:t>
      </w:r>
      <w:r w:rsidRPr="00325182">
        <w:rPr>
          <w:lang w:val="fr-FR"/>
        </w:rPr>
        <w:t>une personne du nom de Z. A. avec laquelle il avait eu une conversation sur la religion chrétienne en décembre</w:t>
      </w:r>
      <w:r w:rsidR="00B10E9C">
        <w:rPr>
          <w:lang w:val="fr-FR"/>
        </w:rPr>
        <w:t xml:space="preserve"> </w:t>
      </w:r>
      <w:r w:rsidRPr="00325182">
        <w:rPr>
          <w:lang w:val="fr-FR"/>
        </w:rPr>
        <w:t>2012. L</w:t>
      </w:r>
      <w:r w:rsidR="00AA69CE">
        <w:rPr>
          <w:lang w:val="fr-FR"/>
        </w:rPr>
        <w:t>’</w:t>
      </w:r>
      <w:r w:rsidRPr="00325182">
        <w:rPr>
          <w:lang w:val="fr-FR"/>
        </w:rPr>
        <w:t>auteur a également précisé que c</w:t>
      </w:r>
      <w:r w:rsidR="00AA69CE">
        <w:rPr>
          <w:lang w:val="fr-FR"/>
        </w:rPr>
        <w:t>’</w:t>
      </w:r>
      <w:r w:rsidRPr="00325182">
        <w:rPr>
          <w:lang w:val="fr-FR"/>
        </w:rPr>
        <w:t>est à la suite de cette conversation qu</w:t>
      </w:r>
      <w:r w:rsidR="00AA69CE">
        <w:rPr>
          <w:lang w:val="fr-FR"/>
        </w:rPr>
        <w:t>’</w:t>
      </w:r>
      <w:r w:rsidRPr="00325182">
        <w:rPr>
          <w:lang w:val="fr-FR"/>
        </w:rPr>
        <w:t>il avait décidé de se convertir au christianisme. Toutefois, la Commission</w:t>
      </w:r>
      <w:r>
        <w:rPr>
          <w:lang w:val="fr-FR"/>
        </w:rPr>
        <w:t>, à la majorité de ses membres,</w:t>
      </w:r>
      <w:r w:rsidRPr="00325182">
        <w:rPr>
          <w:lang w:val="fr-FR"/>
        </w:rPr>
        <w:t xml:space="preserve"> n</w:t>
      </w:r>
      <w:r w:rsidR="00AA69CE">
        <w:rPr>
          <w:lang w:val="fr-FR"/>
        </w:rPr>
        <w:t>’</w:t>
      </w:r>
      <w:r w:rsidRPr="00325182">
        <w:rPr>
          <w:lang w:val="fr-FR"/>
        </w:rPr>
        <w:t xml:space="preserve">a pas tenu compte de ses déclarations </w:t>
      </w:r>
      <w:r>
        <w:rPr>
          <w:lang w:val="fr-FR"/>
        </w:rPr>
        <w:t xml:space="preserve">et a fait valoir </w:t>
      </w:r>
      <w:r w:rsidRPr="00325182">
        <w:rPr>
          <w:lang w:val="fr-FR"/>
        </w:rPr>
        <w:t>que l</w:t>
      </w:r>
      <w:r w:rsidR="00AA69CE">
        <w:rPr>
          <w:lang w:val="fr-FR"/>
        </w:rPr>
        <w:t>’</w:t>
      </w:r>
      <w:r w:rsidRPr="00325182">
        <w:rPr>
          <w:lang w:val="fr-FR"/>
        </w:rPr>
        <w:t>intérêt de l</w:t>
      </w:r>
      <w:r w:rsidR="00AA69CE">
        <w:rPr>
          <w:lang w:val="fr-FR"/>
        </w:rPr>
        <w:t>’</w:t>
      </w:r>
      <w:r w:rsidRPr="00325182">
        <w:rPr>
          <w:lang w:val="fr-FR"/>
        </w:rPr>
        <w:t xml:space="preserve">auteur pour le christianisme </w:t>
      </w:r>
      <w:r>
        <w:rPr>
          <w:lang w:val="fr-FR"/>
        </w:rPr>
        <w:t xml:space="preserve">avait commencé </w:t>
      </w:r>
      <w:r w:rsidRPr="00325182">
        <w:rPr>
          <w:lang w:val="fr-FR"/>
        </w:rPr>
        <w:t>après le rejet de sa demande d</w:t>
      </w:r>
      <w:r w:rsidR="00AA69CE">
        <w:rPr>
          <w:lang w:val="fr-FR"/>
        </w:rPr>
        <w:t>’</w:t>
      </w:r>
      <w:r w:rsidRPr="00325182">
        <w:rPr>
          <w:lang w:val="fr-FR"/>
        </w:rPr>
        <w:t>asile par le Service danois de l</w:t>
      </w:r>
      <w:r w:rsidR="00AA69CE">
        <w:rPr>
          <w:lang w:val="fr-FR"/>
        </w:rPr>
        <w:t>’</w:t>
      </w:r>
      <w:r w:rsidRPr="00325182">
        <w:rPr>
          <w:lang w:val="fr-FR"/>
        </w:rPr>
        <w:t>immigration. La Commission de recours des réfugiés a conclu à la majorité de ses membres que la conversion de l</w:t>
      </w:r>
      <w:r w:rsidR="00AA69CE">
        <w:rPr>
          <w:lang w:val="fr-FR"/>
        </w:rPr>
        <w:t>’</w:t>
      </w:r>
      <w:r w:rsidRPr="00325182">
        <w:rPr>
          <w:lang w:val="fr-FR"/>
        </w:rPr>
        <w:t>auteur était motivée par sa volonté d</w:t>
      </w:r>
      <w:r w:rsidR="00AA69CE">
        <w:rPr>
          <w:lang w:val="fr-FR"/>
        </w:rPr>
        <w:t>’</w:t>
      </w:r>
      <w:r w:rsidRPr="00325182">
        <w:rPr>
          <w:lang w:val="fr-FR"/>
        </w:rPr>
        <w:t>obtenir l</w:t>
      </w:r>
      <w:r w:rsidR="00AA69CE">
        <w:rPr>
          <w:lang w:val="fr-FR"/>
        </w:rPr>
        <w:t>’</w:t>
      </w:r>
      <w:r w:rsidRPr="00325182">
        <w:rPr>
          <w:lang w:val="fr-FR"/>
        </w:rPr>
        <w:t>asile plutôt que par de</w:t>
      </w:r>
      <w:r>
        <w:rPr>
          <w:lang w:val="fr-FR"/>
        </w:rPr>
        <w:t>s</w:t>
      </w:r>
      <w:r w:rsidRPr="00325182">
        <w:rPr>
          <w:lang w:val="fr-FR"/>
        </w:rPr>
        <w:t xml:space="preserve"> convictions religieuses</w:t>
      </w:r>
      <w:r>
        <w:rPr>
          <w:lang w:val="fr-FR"/>
        </w:rPr>
        <w:t xml:space="preserve"> sincères</w:t>
      </w:r>
      <w:r w:rsidRPr="00325182">
        <w:rPr>
          <w:lang w:val="fr-FR"/>
        </w:rPr>
        <w:t>.</w:t>
      </w:r>
    </w:p>
    <w:p w:rsidR="00685027" w:rsidRPr="00325182" w:rsidRDefault="00685027" w:rsidP="00685027">
      <w:pPr>
        <w:pStyle w:val="H23G"/>
        <w:rPr>
          <w:lang w:val="fr-FR"/>
        </w:rPr>
      </w:pPr>
      <w:r w:rsidRPr="00325182">
        <w:rPr>
          <w:lang w:val="fr-FR"/>
        </w:rPr>
        <w:tab/>
      </w:r>
      <w:r w:rsidRPr="00325182">
        <w:rPr>
          <w:lang w:val="fr-FR"/>
        </w:rPr>
        <w:tab/>
        <w:t>Teneur de la plainte</w:t>
      </w:r>
    </w:p>
    <w:p w:rsidR="00685027" w:rsidRPr="00325182" w:rsidRDefault="00685027" w:rsidP="00685027">
      <w:pPr>
        <w:pStyle w:val="SingleTxtG"/>
        <w:rPr>
          <w:lang w:val="fr-FR"/>
        </w:rPr>
      </w:pPr>
      <w:r w:rsidRPr="00325182">
        <w:rPr>
          <w:lang w:val="fr-FR"/>
        </w:rPr>
        <w:t>3.1</w:t>
      </w:r>
      <w:r w:rsidRPr="00325182">
        <w:rPr>
          <w:lang w:val="fr-FR"/>
        </w:rPr>
        <w:tab/>
        <w:t>L</w:t>
      </w:r>
      <w:r w:rsidR="00AA69CE">
        <w:rPr>
          <w:lang w:val="fr-FR"/>
        </w:rPr>
        <w:t>’</w:t>
      </w:r>
      <w:r w:rsidRPr="00325182">
        <w:rPr>
          <w:lang w:val="fr-FR"/>
        </w:rPr>
        <w:t>auteur affirme qu</w:t>
      </w:r>
      <w:r w:rsidR="00AA69CE">
        <w:rPr>
          <w:lang w:val="fr-FR"/>
        </w:rPr>
        <w:t>’</w:t>
      </w:r>
      <w:r w:rsidRPr="00325182">
        <w:rPr>
          <w:lang w:val="fr-FR"/>
        </w:rPr>
        <w:t xml:space="preserve">en cas de renvoi en </w:t>
      </w:r>
      <w:r>
        <w:rPr>
          <w:lang w:val="fr-FR"/>
        </w:rPr>
        <w:t>République islamique d</w:t>
      </w:r>
      <w:r w:rsidR="00AA69CE">
        <w:rPr>
          <w:lang w:val="fr-FR"/>
        </w:rPr>
        <w:t>’</w:t>
      </w:r>
      <w:r w:rsidRPr="00325182">
        <w:rPr>
          <w:lang w:val="fr-FR"/>
        </w:rPr>
        <w:t>Iran il risque d</w:t>
      </w:r>
      <w:r w:rsidR="00AA69CE">
        <w:rPr>
          <w:lang w:val="fr-FR"/>
        </w:rPr>
        <w:t>’</w:t>
      </w:r>
      <w:r w:rsidRPr="00325182">
        <w:rPr>
          <w:lang w:val="fr-FR"/>
        </w:rPr>
        <w:t>être persécuté tant en raison de sa qualité d</w:t>
      </w:r>
      <w:r w:rsidR="00AA69CE">
        <w:rPr>
          <w:lang w:val="fr-FR"/>
        </w:rPr>
        <w:t>’</w:t>
      </w:r>
      <w:r w:rsidRPr="00325182">
        <w:rPr>
          <w:lang w:val="fr-FR"/>
        </w:rPr>
        <w:t>ancien membre des Bassidji ayant quitté le pays sans autorisation que de sa conversion à la religion chrétienne. Il allègue qu</w:t>
      </w:r>
      <w:r w:rsidR="00AA69CE">
        <w:rPr>
          <w:lang w:val="fr-FR"/>
        </w:rPr>
        <w:t>’</w:t>
      </w:r>
      <w:r w:rsidRPr="00325182">
        <w:rPr>
          <w:lang w:val="fr-FR"/>
        </w:rPr>
        <w:t>il pourrait être arrêté et interrogé sous la torture pour avoir quitté la milice bassidj sans autorisation et être, en outre, jugé et condamné à mort pour s</w:t>
      </w:r>
      <w:r w:rsidR="00AA69CE">
        <w:rPr>
          <w:lang w:val="fr-FR"/>
        </w:rPr>
        <w:t>’</w:t>
      </w:r>
      <w:r w:rsidRPr="00325182">
        <w:rPr>
          <w:lang w:val="fr-FR"/>
        </w:rPr>
        <w:t>être converti au christianisme en contrevenant à la charia, ce qui constituerait une violation des articles</w:t>
      </w:r>
      <w:r w:rsidR="00B10E9C">
        <w:rPr>
          <w:lang w:val="fr-FR"/>
        </w:rPr>
        <w:t> </w:t>
      </w:r>
      <w:r w:rsidRPr="00325182">
        <w:rPr>
          <w:lang w:val="fr-FR"/>
        </w:rPr>
        <w:t>6 et 7 du Pacte.</w:t>
      </w:r>
    </w:p>
    <w:p w:rsidR="00685027" w:rsidRPr="005D2A2E" w:rsidRDefault="00685027" w:rsidP="00685027">
      <w:pPr>
        <w:pStyle w:val="SingleTxtG"/>
        <w:rPr>
          <w:lang w:val="fr-FR"/>
        </w:rPr>
      </w:pPr>
      <w:r w:rsidRPr="00325182">
        <w:rPr>
          <w:lang w:val="fr-FR"/>
        </w:rPr>
        <w:t>3.2</w:t>
      </w:r>
      <w:r w:rsidRPr="00325182">
        <w:rPr>
          <w:lang w:val="fr-FR"/>
        </w:rPr>
        <w:tab/>
        <w:t>L</w:t>
      </w:r>
      <w:r w:rsidR="00AA69CE">
        <w:rPr>
          <w:lang w:val="fr-FR"/>
        </w:rPr>
        <w:t>’</w:t>
      </w:r>
      <w:r w:rsidRPr="00325182">
        <w:rPr>
          <w:lang w:val="fr-FR"/>
        </w:rPr>
        <w:t>auteur prétend également qu</w:t>
      </w:r>
      <w:r w:rsidR="00AA69CE">
        <w:rPr>
          <w:lang w:val="fr-FR"/>
        </w:rPr>
        <w:t>’</w:t>
      </w:r>
      <w:r w:rsidRPr="00325182">
        <w:rPr>
          <w:lang w:val="fr-FR"/>
        </w:rPr>
        <w:t>il y a eu violation des articles 13 et 14 lus conjointement avec les articles 2 et 26 du Pacte, au motif que seule une procédure administrative lui était ouverte et qu</w:t>
      </w:r>
      <w:r w:rsidR="00AA69CE">
        <w:rPr>
          <w:lang w:val="fr-FR"/>
        </w:rPr>
        <w:t>’</w:t>
      </w:r>
      <w:r w:rsidRPr="00325182">
        <w:rPr>
          <w:lang w:val="fr-FR"/>
        </w:rPr>
        <w:t>il n</w:t>
      </w:r>
      <w:r w:rsidR="00AA69CE">
        <w:rPr>
          <w:lang w:val="fr-FR"/>
        </w:rPr>
        <w:t>’</w:t>
      </w:r>
      <w:r w:rsidRPr="00325182">
        <w:rPr>
          <w:lang w:val="fr-FR"/>
        </w:rPr>
        <w:t>a pas eu la possibilité d</w:t>
      </w:r>
      <w:r w:rsidR="00AA69CE">
        <w:rPr>
          <w:lang w:val="fr-FR"/>
        </w:rPr>
        <w:t>’</w:t>
      </w:r>
      <w:r>
        <w:rPr>
          <w:lang w:val="fr-FR"/>
        </w:rPr>
        <w:t>accéder aux tribunaux. Il </w:t>
      </w:r>
      <w:r w:rsidRPr="00325182">
        <w:rPr>
          <w:lang w:val="fr-FR"/>
        </w:rPr>
        <w:t>renvoie à la réponse donnée par le Gouvernement danois aux observations finales du Comité pour l</w:t>
      </w:r>
      <w:r w:rsidR="00AA69CE">
        <w:rPr>
          <w:lang w:val="fr-FR"/>
        </w:rPr>
        <w:t>’</w:t>
      </w:r>
      <w:r w:rsidRPr="00325182">
        <w:rPr>
          <w:lang w:val="fr-FR"/>
        </w:rPr>
        <w:t>élimination</w:t>
      </w:r>
      <w:r>
        <w:rPr>
          <w:lang w:val="fr-FR"/>
        </w:rPr>
        <w:t xml:space="preserve"> de</w:t>
      </w:r>
      <w:r w:rsidRPr="00325182">
        <w:rPr>
          <w:lang w:val="fr-FR"/>
        </w:rPr>
        <w:t xml:space="preserve"> la discrimination raciale, dans laquelle l</w:t>
      </w:r>
      <w:r w:rsidR="00AA69CE">
        <w:rPr>
          <w:lang w:val="fr-FR"/>
        </w:rPr>
        <w:t>’</w:t>
      </w:r>
      <w:r w:rsidRPr="00325182">
        <w:rPr>
          <w:lang w:val="fr-FR"/>
        </w:rPr>
        <w:t>État partie a justifié l</w:t>
      </w:r>
      <w:r w:rsidR="00AA69CE">
        <w:rPr>
          <w:lang w:val="fr-FR"/>
        </w:rPr>
        <w:t>’</w:t>
      </w:r>
      <w:r w:rsidRPr="00325182">
        <w:rPr>
          <w:lang w:val="fr-FR"/>
        </w:rPr>
        <w:t xml:space="preserve">impossibilité de se pourvoir devant les tribunaux par le fait que </w:t>
      </w:r>
      <w:r>
        <w:rPr>
          <w:lang w:val="fr-FR"/>
        </w:rPr>
        <w:t>la</w:t>
      </w:r>
      <w:r w:rsidRPr="00325182">
        <w:rPr>
          <w:lang w:val="fr-FR"/>
        </w:rPr>
        <w:t xml:space="preserve"> Commission </w:t>
      </w:r>
      <w:r>
        <w:rPr>
          <w:lang w:val="fr-FR"/>
        </w:rPr>
        <w:t xml:space="preserve">de recours des réfugiés </w:t>
      </w:r>
      <w:r w:rsidRPr="00325182">
        <w:rPr>
          <w:lang w:val="fr-FR"/>
        </w:rPr>
        <w:t>soit un organe quasi judiciaire</w:t>
      </w:r>
      <w:r w:rsidRPr="007D575F">
        <w:rPr>
          <w:rStyle w:val="Appelnotedebasdep"/>
        </w:rPr>
        <w:footnoteReference w:id="5"/>
      </w:r>
      <w:r w:rsidRPr="005D2A2E">
        <w:rPr>
          <w:lang w:val="fr-FR"/>
        </w:rPr>
        <w:t xml:space="preserve">. </w:t>
      </w:r>
      <w:r>
        <w:rPr>
          <w:lang w:val="fr-FR"/>
        </w:rPr>
        <w:t xml:space="preserve">Il </w:t>
      </w:r>
      <w:r w:rsidRPr="005D2A2E">
        <w:rPr>
          <w:lang w:val="fr-FR"/>
        </w:rPr>
        <w:t xml:space="preserve">relève </w:t>
      </w:r>
      <w:r>
        <w:rPr>
          <w:lang w:val="fr-FR"/>
        </w:rPr>
        <w:t xml:space="preserve">aussi </w:t>
      </w:r>
      <w:r w:rsidRPr="005D2A2E">
        <w:rPr>
          <w:lang w:val="fr-FR"/>
        </w:rPr>
        <w:t>que le Comité pour l</w:t>
      </w:r>
      <w:r w:rsidR="00AA69CE">
        <w:rPr>
          <w:lang w:val="fr-FR"/>
        </w:rPr>
        <w:t>’</w:t>
      </w:r>
      <w:r w:rsidRPr="005D2A2E">
        <w:rPr>
          <w:lang w:val="fr-FR"/>
        </w:rPr>
        <w:t>élimination de la discrimination raciale a exprimé des préoccupations quant au fait que « </w:t>
      </w:r>
      <w:r w:rsidRPr="007F2C17">
        <w:rPr>
          <w:rFonts w:eastAsia="MS Mincho"/>
          <w:lang w:val="fr-FR" w:eastAsia="ja-JP"/>
        </w:rPr>
        <w:t>les décisions de l</w:t>
      </w:r>
      <w:r w:rsidR="00AA69CE">
        <w:rPr>
          <w:rFonts w:eastAsia="MS Mincho"/>
          <w:lang w:val="fr-FR" w:eastAsia="ja-JP"/>
        </w:rPr>
        <w:t>’</w:t>
      </w:r>
      <w:r w:rsidRPr="007F2C17">
        <w:rPr>
          <w:rFonts w:eastAsia="MS Mincho"/>
          <w:lang w:val="fr-FR" w:eastAsia="ja-JP"/>
        </w:rPr>
        <w:t>Office des réfugiés relatives aux demandes d</w:t>
      </w:r>
      <w:r w:rsidR="00AA69CE">
        <w:rPr>
          <w:rFonts w:eastAsia="MS Mincho"/>
          <w:lang w:val="fr-FR" w:eastAsia="ja-JP"/>
        </w:rPr>
        <w:t>’</w:t>
      </w:r>
      <w:r w:rsidRPr="007F2C17">
        <w:rPr>
          <w:rFonts w:eastAsia="MS Mincho"/>
          <w:lang w:val="fr-FR" w:eastAsia="ja-JP"/>
        </w:rPr>
        <w:t>asile sont définitives et ne peuvent être attaquées devant un tribunal »</w:t>
      </w:r>
      <w:r w:rsidRPr="00325182">
        <w:rPr>
          <w:lang w:val="fr-FR"/>
        </w:rPr>
        <w:t xml:space="preserve"> et recommandé que « </w:t>
      </w:r>
      <w:r w:rsidRPr="00325182">
        <w:rPr>
          <w:rFonts w:eastAsia="MS Mincho"/>
          <w:bCs/>
          <w:lang w:val="fr-FR" w:eastAsia="ja-JP"/>
        </w:rPr>
        <w:t>les demandeurs d</w:t>
      </w:r>
      <w:r w:rsidR="00AA69CE">
        <w:rPr>
          <w:rFonts w:eastAsia="MS Mincho"/>
          <w:bCs/>
          <w:lang w:val="fr-FR" w:eastAsia="ja-JP"/>
        </w:rPr>
        <w:t>’</w:t>
      </w:r>
      <w:r w:rsidRPr="00325182">
        <w:rPr>
          <w:rFonts w:eastAsia="MS Mincho"/>
          <w:bCs/>
          <w:lang w:val="fr-FR" w:eastAsia="ja-JP"/>
        </w:rPr>
        <w:t>asile aient le droit de faire appel des décisions de l</w:t>
      </w:r>
      <w:r w:rsidR="00AA69CE">
        <w:rPr>
          <w:rFonts w:eastAsia="MS Mincho"/>
          <w:bCs/>
          <w:lang w:val="fr-FR" w:eastAsia="ja-JP"/>
        </w:rPr>
        <w:t>’</w:t>
      </w:r>
      <w:r w:rsidRPr="00325182">
        <w:rPr>
          <w:rFonts w:eastAsia="MS Mincho"/>
          <w:bCs/>
          <w:lang w:val="fr-FR" w:eastAsia="ja-JP"/>
        </w:rPr>
        <w:t>Office des réfugiés »</w:t>
      </w:r>
      <w:r w:rsidRPr="007D575F">
        <w:rPr>
          <w:rStyle w:val="Appelnotedebasdep"/>
        </w:rPr>
        <w:footnoteReference w:id="6"/>
      </w:r>
      <w:r w:rsidRPr="005D2A2E">
        <w:rPr>
          <w:lang w:val="fr-FR"/>
        </w:rPr>
        <w:t>.</w:t>
      </w:r>
    </w:p>
    <w:p w:rsidR="00685027" w:rsidRPr="00325182" w:rsidRDefault="00685027" w:rsidP="00685027">
      <w:pPr>
        <w:pStyle w:val="SingleTxtG"/>
        <w:rPr>
          <w:lang w:val="fr-FR"/>
        </w:rPr>
      </w:pPr>
      <w:r w:rsidRPr="007F2C17">
        <w:rPr>
          <w:lang w:val="fr-FR"/>
        </w:rPr>
        <w:t>3.3</w:t>
      </w:r>
      <w:r w:rsidRPr="007F2C17">
        <w:rPr>
          <w:lang w:val="fr-FR"/>
        </w:rPr>
        <w:tab/>
        <w:t>L</w:t>
      </w:r>
      <w:r w:rsidR="00AA69CE">
        <w:rPr>
          <w:lang w:val="fr-FR"/>
        </w:rPr>
        <w:t>’</w:t>
      </w:r>
      <w:r w:rsidRPr="007F2C17">
        <w:rPr>
          <w:lang w:val="fr-FR"/>
        </w:rPr>
        <w:t xml:space="preserve">auteur réaffirme que sa conversion officielle au christianisme est intervenue en avril 2013, à savoir postérieurement à la décision du Service </w:t>
      </w:r>
      <w:r>
        <w:rPr>
          <w:lang w:val="fr-FR"/>
        </w:rPr>
        <w:t xml:space="preserve">danois </w:t>
      </w:r>
      <w:r w:rsidRPr="007F2C17">
        <w:rPr>
          <w:lang w:val="fr-FR"/>
        </w:rPr>
        <w:t>de l</w:t>
      </w:r>
      <w:r w:rsidR="00AA69CE">
        <w:rPr>
          <w:lang w:val="fr-FR"/>
        </w:rPr>
        <w:t>’</w:t>
      </w:r>
      <w:r w:rsidRPr="007F2C17">
        <w:rPr>
          <w:lang w:val="fr-FR"/>
        </w:rPr>
        <w:t>immigration, mais avant l</w:t>
      </w:r>
      <w:r w:rsidR="00AA69CE">
        <w:rPr>
          <w:lang w:val="fr-FR"/>
        </w:rPr>
        <w:t>’</w:t>
      </w:r>
      <w:r w:rsidRPr="007F2C17">
        <w:rPr>
          <w:lang w:val="fr-FR"/>
        </w:rPr>
        <w:t xml:space="preserve">audition devant la Commission </w:t>
      </w:r>
      <w:r>
        <w:rPr>
          <w:lang w:val="fr-FR"/>
        </w:rPr>
        <w:t xml:space="preserve">danoise </w:t>
      </w:r>
      <w:r w:rsidRPr="007F2C17">
        <w:rPr>
          <w:lang w:val="fr-FR"/>
        </w:rPr>
        <w:t>de recours des réfugiés. Par conséquent, seule cett</w:t>
      </w:r>
      <w:r w:rsidRPr="00325182">
        <w:rPr>
          <w:lang w:val="fr-FR"/>
        </w:rPr>
        <w:t>e dernière a pris en considération, en mars 2014, ce motif supplémentaire à l</w:t>
      </w:r>
      <w:r w:rsidR="00AA69CE">
        <w:rPr>
          <w:lang w:val="fr-FR"/>
        </w:rPr>
        <w:t>’</w:t>
      </w:r>
      <w:r w:rsidRPr="00325182">
        <w:rPr>
          <w:lang w:val="fr-FR"/>
        </w:rPr>
        <w:t>appui de sa demande d</w:t>
      </w:r>
      <w:r w:rsidR="00AA69CE">
        <w:rPr>
          <w:lang w:val="fr-FR"/>
        </w:rPr>
        <w:t>’</w:t>
      </w:r>
      <w:r w:rsidRPr="00325182">
        <w:rPr>
          <w:lang w:val="fr-FR"/>
        </w:rPr>
        <w:t>asile. En d</w:t>
      </w:r>
      <w:r w:rsidR="00AA69CE">
        <w:rPr>
          <w:lang w:val="fr-FR"/>
        </w:rPr>
        <w:t>’</w:t>
      </w:r>
      <w:r w:rsidRPr="00325182">
        <w:rPr>
          <w:lang w:val="fr-FR"/>
        </w:rPr>
        <w:t>autres termes, lorsqu</w:t>
      </w:r>
      <w:r w:rsidR="00AA69CE">
        <w:rPr>
          <w:lang w:val="fr-FR"/>
        </w:rPr>
        <w:t>’</w:t>
      </w:r>
      <w:r w:rsidRPr="00325182">
        <w:rPr>
          <w:lang w:val="fr-FR"/>
        </w:rPr>
        <w:t>elle a examiné sa conversion la Commission</w:t>
      </w:r>
      <w:r>
        <w:rPr>
          <w:lang w:val="fr-FR"/>
        </w:rPr>
        <w:t xml:space="preserve"> de recours</w:t>
      </w:r>
      <w:r w:rsidRPr="00325182">
        <w:rPr>
          <w:lang w:val="fr-FR"/>
        </w:rPr>
        <w:t xml:space="preserve"> n</w:t>
      </w:r>
      <w:r w:rsidR="00AA69CE">
        <w:rPr>
          <w:lang w:val="fr-FR"/>
        </w:rPr>
        <w:t>’</w:t>
      </w:r>
      <w:r w:rsidRPr="00325182">
        <w:rPr>
          <w:lang w:val="fr-FR"/>
        </w:rPr>
        <w:t>a pas agi en tant qu</w:t>
      </w:r>
      <w:r w:rsidR="00AA69CE">
        <w:rPr>
          <w:lang w:val="fr-FR"/>
        </w:rPr>
        <w:t>’</w:t>
      </w:r>
      <w:r w:rsidRPr="00325182">
        <w:rPr>
          <w:lang w:val="fr-FR"/>
        </w:rPr>
        <w:t>organe d</w:t>
      </w:r>
      <w:r w:rsidR="00AA69CE">
        <w:rPr>
          <w:lang w:val="fr-FR"/>
        </w:rPr>
        <w:t>’</w:t>
      </w:r>
      <w:r w:rsidRPr="00325182">
        <w:rPr>
          <w:lang w:val="fr-FR"/>
        </w:rPr>
        <w:t xml:space="preserve">appel et </w:t>
      </w:r>
      <w:r>
        <w:rPr>
          <w:lang w:val="fr-FR"/>
        </w:rPr>
        <w:t>l</w:t>
      </w:r>
      <w:r w:rsidR="00AA69CE">
        <w:rPr>
          <w:lang w:val="fr-FR"/>
        </w:rPr>
        <w:t>’</w:t>
      </w:r>
      <w:r>
        <w:rPr>
          <w:lang w:val="fr-FR"/>
        </w:rPr>
        <w:t xml:space="preserve">auteur </w:t>
      </w:r>
      <w:r w:rsidRPr="00325182">
        <w:rPr>
          <w:lang w:val="fr-FR"/>
        </w:rPr>
        <w:t>a donc été privé de la possibilité d</w:t>
      </w:r>
      <w:r w:rsidR="00AA69CE">
        <w:rPr>
          <w:lang w:val="fr-FR"/>
        </w:rPr>
        <w:t>’</w:t>
      </w:r>
      <w:r w:rsidRPr="00325182">
        <w:rPr>
          <w:lang w:val="fr-FR"/>
        </w:rPr>
        <w:t>un recours sur ce point. Dans tous les autres cas à l</w:t>
      </w:r>
      <w:r w:rsidR="00AA69CE">
        <w:rPr>
          <w:lang w:val="fr-FR"/>
        </w:rPr>
        <w:t>’</w:t>
      </w:r>
      <w:r w:rsidRPr="00325182">
        <w:rPr>
          <w:lang w:val="fr-FR"/>
        </w:rPr>
        <w:t>exception de celui des demandeurs d</w:t>
      </w:r>
      <w:r w:rsidR="00AA69CE">
        <w:rPr>
          <w:lang w:val="fr-FR"/>
        </w:rPr>
        <w:t>’</w:t>
      </w:r>
      <w:r w:rsidRPr="00325182">
        <w:rPr>
          <w:lang w:val="fr-FR"/>
        </w:rPr>
        <w:t>asile, le droit danois prévoit la possibilité de se pourvoir contre de telles décisions devant un organe supérieur ou un tribunal. En l</w:t>
      </w:r>
      <w:r w:rsidR="00AA69CE">
        <w:rPr>
          <w:lang w:val="fr-FR"/>
        </w:rPr>
        <w:t>’</w:t>
      </w:r>
      <w:r w:rsidRPr="00325182">
        <w:rPr>
          <w:lang w:val="fr-FR"/>
        </w:rPr>
        <w:t>espèce, la crainte de l</w:t>
      </w:r>
      <w:r w:rsidR="00AA69CE">
        <w:rPr>
          <w:lang w:val="fr-FR"/>
        </w:rPr>
        <w:t>’</w:t>
      </w:r>
      <w:r w:rsidRPr="00325182">
        <w:rPr>
          <w:lang w:val="fr-FR"/>
        </w:rPr>
        <w:t>auteur d</w:t>
      </w:r>
      <w:r w:rsidR="00AA69CE">
        <w:rPr>
          <w:lang w:val="fr-FR"/>
        </w:rPr>
        <w:t>’</w:t>
      </w:r>
      <w:r w:rsidRPr="00325182">
        <w:rPr>
          <w:lang w:val="fr-FR"/>
        </w:rPr>
        <w:t xml:space="preserve">être persécuté </w:t>
      </w:r>
      <w:r>
        <w:rPr>
          <w:lang w:val="fr-FR"/>
        </w:rPr>
        <w:t xml:space="preserve">en raison </w:t>
      </w:r>
      <w:r w:rsidRPr="00325182">
        <w:rPr>
          <w:lang w:val="fr-FR"/>
        </w:rPr>
        <w:t>de sa conversion de l</w:t>
      </w:r>
      <w:r w:rsidR="00AA69CE">
        <w:rPr>
          <w:lang w:val="fr-FR"/>
        </w:rPr>
        <w:t>’</w:t>
      </w:r>
      <w:r w:rsidRPr="00325182">
        <w:rPr>
          <w:lang w:val="fr-FR"/>
        </w:rPr>
        <w:t>islam au christianisme a été appréciée par une seule « instance juridique » − la Commission dite « de recours » des réfugiés.</w:t>
      </w:r>
    </w:p>
    <w:p w:rsidR="00685027" w:rsidRPr="00325182" w:rsidRDefault="00685027" w:rsidP="00685027">
      <w:pPr>
        <w:pStyle w:val="SingleTxtG"/>
        <w:rPr>
          <w:lang w:val="fr-FR"/>
        </w:rPr>
      </w:pPr>
      <w:r w:rsidRPr="00325182">
        <w:rPr>
          <w:lang w:val="fr-FR"/>
        </w:rPr>
        <w:t>3.4</w:t>
      </w:r>
      <w:r w:rsidRPr="00325182">
        <w:rPr>
          <w:lang w:val="fr-FR"/>
        </w:rPr>
        <w:tab/>
        <w:t>L</w:t>
      </w:r>
      <w:r w:rsidR="00AA69CE">
        <w:rPr>
          <w:lang w:val="fr-FR"/>
        </w:rPr>
        <w:t>’</w:t>
      </w:r>
      <w:r w:rsidRPr="00325182">
        <w:rPr>
          <w:lang w:val="fr-FR"/>
        </w:rPr>
        <w:t xml:space="preserve">auteur considère que si la Commission </w:t>
      </w:r>
      <w:r>
        <w:rPr>
          <w:lang w:val="fr-FR"/>
        </w:rPr>
        <w:t xml:space="preserve">danoise </w:t>
      </w:r>
      <w:r w:rsidRPr="00325182">
        <w:rPr>
          <w:lang w:val="fr-FR"/>
        </w:rPr>
        <w:t xml:space="preserve">de recours des réfugiés était bien une instance de recours, elle aurait dû renvoyer cette question au Service </w:t>
      </w:r>
      <w:r>
        <w:rPr>
          <w:lang w:val="fr-FR"/>
        </w:rPr>
        <w:t xml:space="preserve">danois </w:t>
      </w:r>
      <w:r w:rsidRPr="00325182">
        <w:rPr>
          <w:lang w:val="fr-FR"/>
        </w:rPr>
        <w:t>de l</w:t>
      </w:r>
      <w:r w:rsidR="00AA69CE">
        <w:rPr>
          <w:lang w:val="fr-FR"/>
        </w:rPr>
        <w:t>’</w:t>
      </w:r>
      <w:r w:rsidRPr="00325182">
        <w:rPr>
          <w:lang w:val="fr-FR"/>
        </w:rPr>
        <w:t xml:space="preserve">immigration de sorte </w:t>
      </w:r>
      <w:r>
        <w:rPr>
          <w:lang w:val="fr-FR"/>
        </w:rPr>
        <w:t xml:space="preserve">que celui-ci </w:t>
      </w:r>
      <w:r w:rsidRPr="00325182">
        <w:rPr>
          <w:lang w:val="fr-FR"/>
        </w:rPr>
        <w:t>examine son nouveau motif de demande d</w:t>
      </w:r>
      <w:r w:rsidR="00AA69CE">
        <w:rPr>
          <w:lang w:val="fr-FR"/>
        </w:rPr>
        <w:t>’</w:t>
      </w:r>
      <w:r w:rsidRPr="00325182">
        <w:rPr>
          <w:lang w:val="fr-FR"/>
        </w:rPr>
        <w:t>asile. L</w:t>
      </w:r>
      <w:r w:rsidR="00AA69CE">
        <w:rPr>
          <w:lang w:val="fr-FR"/>
        </w:rPr>
        <w:t>’</w:t>
      </w:r>
      <w:r w:rsidRPr="00325182">
        <w:rPr>
          <w:lang w:val="fr-FR"/>
        </w:rPr>
        <w:t>impossibilité de former un recours auprès des tribunaux ordinaires contre la décision de la Commission de recours des réfugiés s</w:t>
      </w:r>
      <w:r w:rsidR="00AA69CE">
        <w:rPr>
          <w:lang w:val="fr-FR"/>
        </w:rPr>
        <w:t>’</w:t>
      </w:r>
      <w:r w:rsidRPr="00325182">
        <w:rPr>
          <w:lang w:val="fr-FR"/>
        </w:rPr>
        <w:t>apparente donc à une violation des articles 2 et 26, lus conjointement avec les articles 13 et 14, du Pacte.</w:t>
      </w:r>
    </w:p>
    <w:p w:rsidR="00685027" w:rsidRPr="00325182" w:rsidRDefault="00685027" w:rsidP="00685027">
      <w:pPr>
        <w:pStyle w:val="SingleTxtG"/>
        <w:rPr>
          <w:lang w:val="fr-FR"/>
        </w:rPr>
      </w:pPr>
      <w:r w:rsidRPr="00325182">
        <w:rPr>
          <w:lang w:val="fr-FR"/>
        </w:rPr>
        <w:t>3.5</w:t>
      </w:r>
      <w:r w:rsidRPr="00325182">
        <w:rPr>
          <w:lang w:val="fr-FR"/>
        </w:rPr>
        <w:tab/>
        <w:t>Enfin, l</w:t>
      </w:r>
      <w:r w:rsidR="00AA69CE">
        <w:rPr>
          <w:lang w:val="fr-FR"/>
        </w:rPr>
        <w:t>’</w:t>
      </w:r>
      <w:r w:rsidRPr="00325182">
        <w:rPr>
          <w:lang w:val="fr-FR"/>
        </w:rPr>
        <w:t xml:space="preserve">auteur </w:t>
      </w:r>
      <w:r>
        <w:rPr>
          <w:lang w:val="fr-FR"/>
        </w:rPr>
        <w:t>affirme</w:t>
      </w:r>
      <w:r w:rsidRPr="00325182">
        <w:rPr>
          <w:lang w:val="fr-FR"/>
        </w:rPr>
        <w:t xml:space="preserve"> que le fait qu</w:t>
      </w:r>
      <w:r w:rsidR="00AA69CE">
        <w:rPr>
          <w:lang w:val="fr-FR"/>
        </w:rPr>
        <w:t>’</w:t>
      </w:r>
      <w:r>
        <w:rPr>
          <w:lang w:val="fr-FR"/>
        </w:rPr>
        <w:t>il ait manifesté de</w:t>
      </w:r>
      <w:r w:rsidRPr="00325182">
        <w:rPr>
          <w:lang w:val="fr-FR"/>
        </w:rPr>
        <w:t xml:space="preserve"> </w:t>
      </w:r>
      <w:r>
        <w:rPr>
          <w:lang w:val="fr-FR"/>
        </w:rPr>
        <w:t>l</w:t>
      </w:r>
      <w:r w:rsidR="00AA69CE">
        <w:rPr>
          <w:lang w:val="fr-FR"/>
        </w:rPr>
        <w:t>’</w:t>
      </w:r>
      <w:r w:rsidRPr="00325182">
        <w:rPr>
          <w:lang w:val="fr-FR"/>
        </w:rPr>
        <w:t>intérêt pour la religion chrétienne avant ou après la première décision du Service danois de l</w:t>
      </w:r>
      <w:r w:rsidR="00AA69CE">
        <w:rPr>
          <w:lang w:val="fr-FR"/>
        </w:rPr>
        <w:t>’</w:t>
      </w:r>
      <w:r w:rsidRPr="00325182">
        <w:rPr>
          <w:lang w:val="fr-FR"/>
        </w:rPr>
        <w:t>immigration ne saurait être utilisé comme élément d</w:t>
      </w:r>
      <w:r w:rsidR="00AA69CE">
        <w:rPr>
          <w:lang w:val="fr-FR"/>
        </w:rPr>
        <w:t>’</w:t>
      </w:r>
      <w:r w:rsidRPr="00325182">
        <w:rPr>
          <w:lang w:val="fr-FR"/>
        </w:rPr>
        <w:t>appréciation de ses convictions religieuses. Comme il se trouvait dans une situation de grande détresse personnelle, il a cherché d</w:t>
      </w:r>
      <w:r w:rsidR="00AA69CE">
        <w:rPr>
          <w:lang w:val="fr-FR"/>
        </w:rPr>
        <w:t>’</w:t>
      </w:r>
      <w:r w:rsidRPr="00325182">
        <w:rPr>
          <w:lang w:val="fr-FR"/>
        </w:rPr>
        <w:t>autres ressources, ce qui est une démarche bien connue chez de nombreux convertis</w:t>
      </w:r>
      <w:r>
        <w:rPr>
          <w:lang w:val="fr-FR"/>
        </w:rPr>
        <w:t>. Par</w:t>
      </w:r>
      <w:r w:rsidR="00D0620B">
        <w:rPr>
          <w:lang w:val="fr-FR"/>
        </w:rPr>
        <w:t> </w:t>
      </w:r>
      <w:r>
        <w:rPr>
          <w:lang w:val="fr-FR"/>
        </w:rPr>
        <w:t>conséquent, l</w:t>
      </w:r>
      <w:r w:rsidRPr="00325182">
        <w:rPr>
          <w:lang w:val="fr-FR"/>
        </w:rPr>
        <w:t>a majorité des membres de la Commission n</w:t>
      </w:r>
      <w:r w:rsidR="00AA69CE">
        <w:rPr>
          <w:lang w:val="fr-FR"/>
        </w:rPr>
        <w:t>’</w:t>
      </w:r>
      <w:r w:rsidRPr="00325182">
        <w:rPr>
          <w:lang w:val="fr-FR"/>
        </w:rPr>
        <w:t>aurait pas dû retenir cet argument contre lui. S</w:t>
      </w:r>
      <w:r w:rsidR="00AA69CE">
        <w:rPr>
          <w:lang w:val="fr-FR"/>
        </w:rPr>
        <w:t>’</w:t>
      </w:r>
      <w:r w:rsidRPr="00325182">
        <w:rPr>
          <w:lang w:val="fr-FR"/>
        </w:rPr>
        <w:t xml:space="preserve">il avait voulu feindre des convictions religieuses, il aurait </w:t>
      </w:r>
      <w:r>
        <w:rPr>
          <w:lang w:val="fr-FR"/>
        </w:rPr>
        <w:t xml:space="preserve">pu </w:t>
      </w:r>
      <w:r w:rsidRPr="00325182">
        <w:rPr>
          <w:lang w:val="fr-FR"/>
        </w:rPr>
        <w:t>déclar</w:t>
      </w:r>
      <w:r>
        <w:rPr>
          <w:lang w:val="fr-FR"/>
        </w:rPr>
        <w:t>er</w:t>
      </w:r>
      <w:r w:rsidRPr="00325182">
        <w:rPr>
          <w:lang w:val="fr-FR"/>
        </w:rPr>
        <w:t xml:space="preserve"> qu</w:t>
      </w:r>
      <w:r w:rsidR="00AA69CE">
        <w:rPr>
          <w:lang w:val="fr-FR"/>
        </w:rPr>
        <w:t>’</w:t>
      </w:r>
      <w:r w:rsidRPr="00325182">
        <w:rPr>
          <w:lang w:val="fr-FR"/>
        </w:rPr>
        <w:t>il était un chrétien converti dès son entrée au Danemark. L</w:t>
      </w:r>
      <w:r w:rsidR="00AA69CE">
        <w:rPr>
          <w:lang w:val="fr-FR"/>
        </w:rPr>
        <w:t>’</w:t>
      </w:r>
      <w:r w:rsidRPr="00325182">
        <w:rPr>
          <w:lang w:val="fr-FR"/>
        </w:rPr>
        <w:t>auteur demande donc comment quelqu</w:t>
      </w:r>
      <w:r w:rsidR="00AA69CE">
        <w:rPr>
          <w:lang w:val="fr-FR"/>
        </w:rPr>
        <w:t>’</w:t>
      </w:r>
      <w:r w:rsidRPr="00325182">
        <w:rPr>
          <w:lang w:val="fr-FR"/>
        </w:rPr>
        <w:t>un peut embrasser de nouvelles convictions religieuses personnelles sans risquer d</w:t>
      </w:r>
      <w:r w:rsidR="00AA69CE">
        <w:rPr>
          <w:lang w:val="fr-FR"/>
        </w:rPr>
        <w:t>’</w:t>
      </w:r>
      <w:r w:rsidRPr="00325182">
        <w:rPr>
          <w:lang w:val="fr-FR"/>
        </w:rPr>
        <w:t>être accusé de mensonge.</w:t>
      </w:r>
    </w:p>
    <w:p w:rsidR="00685027" w:rsidRPr="00325182" w:rsidRDefault="00685027" w:rsidP="00685027">
      <w:pPr>
        <w:pStyle w:val="H23G"/>
        <w:rPr>
          <w:lang w:val="fr-FR"/>
        </w:rPr>
      </w:pPr>
      <w:r w:rsidRPr="00325182">
        <w:rPr>
          <w:lang w:val="fr-FR"/>
        </w:rPr>
        <w:tab/>
      </w:r>
      <w:r w:rsidRPr="00325182">
        <w:rPr>
          <w:lang w:val="fr-FR"/>
        </w:rPr>
        <w:tab/>
        <w:t>Observations de l</w:t>
      </w:r>
      <w:r w:rsidR="00AA69CE">
        <w:rPr>
          <w:lang w:val="fr-FR"/>
        </w:rPr>
        <w:t>’</w:t>
      </w:r>
      <w:r w:rsidRPr="00325182">
        <w:rPr>
          <w:lang w:val="fr-FR"/>
        </w:rPr>
        <w:t>État partie sur la recevabilité et sur le fond</w:t>
      </w:r>
    </w:p>
    <w:p w:rsidR="00685027" w:rsidRPr="00325182" w:rsidRDefault="00685027" w:rsidP="00685027">
      <w:pPr>
        <w:pStyle w:val="SingleTxtG"/>
        <w:rPr>
          <w:lang w:val="fr-FR"/>
        </w:rPr>
      </w:pPr>
      <w:r w:rsidRPr="00325182">
        <w:rPr>
          <w:lang w:val="fr-FR"/>
        </w:rPr>
        <w:t>4.1</w:t>
      </w:r>
      <w:r w:rsidRPr="00325182">
        <w:rPr>
          <w:lang w:val="fr-FR"/>
        </w:rPr>
        <w:tab/>
        <w:t>Le 11 décembre 2014, l</w:t>
      </w:r>
      <w:r w:rsidR="00AA69CE">
        <w:rPr>
          <w:lang w:val="fr-FR"/>
        </w:rPr>
        <w:t>’</w:t>
      </w:r>
      <w:r w:rsidRPr="00325182">
        <w:rPr>
          <w:lang w:val="fr-FR"/>
        </w:rPr>
        <w:t>État partie a présenté au Comité ses observations sur la recevabilité et le fond de la communication. Il affirme que la communication devrait être déclarée irrecevable. Si le Comité devait néanmoins la juger recevable, l</w:t>
      </w:r>
      <w:r w:rsidR="00AA69CE">
        <w:rPr>
          <w:lang w:val="fr-FR"/>
        </w:rPr>
        <w:t>’</w:t>
      </w:r>
      <w:r w:rsidRPr="00325182">
        <w:rPr>
          <w:lang w:val="fr-FR"/>
        </w:rPr>
        <w:t>État partie soutient que le renvoi de l</w:t>
      </w:r>
      <w:r w:rsidR="00AA69CE">
        <w:rPr>
          <w:lang w:val="fr-FR"/>
        </w:rPr>
        <w:t>’</w:t>
      </w:r>
      <w:r w:rsidRPr="00325182">
        <w:rPr>
          <w:lang w:val="fr-FR"/>
        </w:rPr>
        <w:t xml:space="preserve">intéressé en </w:t>
      </w:r>
      <w:r>
        <w:rPr>
          <w:lang w:val="fr-FR"/>
        </w:rPr>
        <w:t>République islamique d</w:t>
      </w:r>
      <w:r w:rsidR="00AA69CE">
        <w:rPr>
          <w:lang w:val="fr-FR"/>
        </w:rPr>
        <w:t>’</w:t>
      </w:r>
      <w:r w:rsidRPr="00325182">
        <w:rPr>
          <w:lang w:val="fr-FR"/>
        </w:rPr>
        <w:t>Iran n</w:t>
      </w:r>
      <w:r w:rsidR="00AA69CE">
        <w:rPr>
          <w:lang w:val="fr-FR"/>
        </w:rPr>
        <w:t>’</w:t>
      </w:r>
      <w:r w:rsidRPr="00325182">
        <w:rPr>
          <w:lang w:val="fr-FR"/>
        </w:rPr>
        <w:t>entraînerait aucune violation du Pacte et que les autorités danoises n</w:t>
      </w:r>
      <w:r w:rsidR="00AA69CE">
        <w:rPr>
          <w:lang w:val="fr-FR"/>
        </w:rPr>
        <w:t>’</w:t>
      </w:r>
      <w:r w:rsidRPr="00325182">
        <w:rPr>
          <w:lang w:val="fr-FR"/>
        </w:rPr>
        <w:t>ont pas violé les articles 2, 13, 14 et 26 du Pacte lorsqu</w:t>
      </w:r>
      <w:r w:rsidR="00AA69CE">
        <w:rPr>
          <w:lang w:val="fr-FR"/>
        </w:rPr>
        <w:t>’</w:t>
      </w:r>
      <w:r w:rsidRPr="00325182">
        <w:rPr>
          <w:lang w:val="fr-FR"/>
        </w:rPr>
        <w:t>elles ont examiné sa demande d</w:t>
      </w:r>
      <w:r w:rsidR="00AA69CE">
        <w:rPr>
          <w:lang w:val="fr-FR"/>
        </w:rPr>
        <w:t>’</w:t>
      </w:r>
      <w:r w:rsidRPr="00325182">
        <w:rPr>
          <w:lang w:val="fr-FR"/>
        </w:rPr>
        <w:t>asile. En outre, le grief tiré par l</w:t>
      </w:r>
      <w:r w:rsidR="00AA69CE">
        <w:rPr>
          <w:lang w:val="fr-FR"/>
        </w:rPr>
        <w:t>’</w:t>
      </w:r>
      <w:r w:rsidRPr="00325182">
        <w:rPr>
          <w:lang w:val="fr-FR"/>
        </w:rPr>
        <w:t>auteur de l</w:t>
      </w:r>
      <w:r w:rsidR="00AA69CE">
        <w:rPr>
          <w:lang w:val="fr-FR"/>
        </w:rPr>
        <w:t>’</w:t>
      </w:r>
      <w:r w:rsidRPr="00325182">
        <w:rPr>
          <w:lang w:val="fr-FR"/>
        </w:rPr>
        <w:t xml:space="preserve">article 14 est irrecevable </w:t>
      </w:r>
      <w:r w:rsidRPr="00325182">
        <w:rPr>
          <w:i/>
          <w:iCs/>
          <w:lang w:val="fr-FR"/>
        </w:rPr>
        <w:t>ratione materiae</w:t>
      </w:r>
      <w:r w:rsidRPr="00325182">
        <w:rPr>
          <w:lang w:val="fr-FR"/>
        </w:rPr>
        <w:t>.</w:t>
      </w:r>
    </w:p>
    <w:p w:rsidR="00685027" w:rsidRPr="00325182" w:rsidRDefault="00685027" w:rsidP="00685027">
      <w:pPr>
        <w:pStyle w:val="SingleTxtG"/>
        <w:rPr>
          <w:lang w:val="fr-FR"/>
        </w:rPr>
      </w:pPr>
      <w:r w:rsidRPr="00325182">
        <w:rPr>
          <w:lang w:val="fr-FR"/>
        </w:rPr>
        <w:t>4.2</w:t>
      </w:r>
      <w:r w:rsidRPr="00325182">
        <w:rPr>
          <w:lang w:val="fr-FR"/>
        </w:rPr>
        <w:tab/>
        <w:t>L</w:t>
      </w:r>
      <w:r w:rsidR="00AA69CE">
        <w:rPr>
          <w:lang w:val="fr-FR"/>
        </w:rPr>
        <w:t>’</w:t>
      </w:r>
      <w:r w:rsidRPr="00325182">
        <w:rPr>
          <w:lang w:val="fr-FR"/>
        </w:rPr>
        <w:t xml:space="preserve">État partie décrit la structure, la composition et le fonctionnement de la Commission </w:t>
      </w:r>
      <w:r>
        <w:rPr>
          <w:lang w:val="fr-FR"/>
        </w:rPr>
        <w:t xml:space="preserve">danoise </w:t>
      </w:r>
      <w:r w:rsidRPr="00325182">
        <w:rPr>
          <w:lang w:val="fr-FR"/>
        </w:rPr>
        <w:t>de recours des réfugiés</w:t>
      </w:r>
      <w:r w:rsidRPr="007D575F">
        <w:rPr>
          <w:rStyle w:val="Appelnotedebasdep"/>
        </w:rPr>
        <w:footnoteReference w:id="7"/>
      </w:r>
      <w:r w:rsidRPr="005D2A2E">
        <w:rPr>
          <w:lang w:val="fr-FR"/>
        </w:rPr>
        <w:t xml:space="preserve"> ainsi que la législation applicable aux procédures d</w:t>
      </w:r>
      <w:r w:rsidR="00AA69CE">
        <w:rPr>
          <w:lang w:val="fr-FR"/>
        </w:rPr>
        <w:t>’</w:t>
      </w:r>
      <w:r w:rsidRPr="005D2A2E">
        <w:rPr>
          <w:lang w:val="fr-FR"/>
        </w:rPr>
        <w:t>asile</w:t>
      </w:r>
      <w:r w:rsidRPr="007D575F">
        <w:rPr>
          <w:rStyle w:val="Appelnotedebasdep"/>
        </w:rPr>
        <w:footnoteReference w:id="8"/>
      </w:r>
      <w:r w:rsidRPr="005D2A2E">
        <w:rPr>
          <w:lang w:val="fr-FR"/>
        </w:rPr>
        <w:t>. Il affirme ensuite que l</w:t>
      </w:r>
      <w:r w:rsidR="00AA69CE">
        <w:rPr>
          <w:lang w:val="fr-FR"/>
        </w:rPr>
        <w:t>’</w:t>
      </w:r>
      <w:r w:rsidRPr="005D2A2E">
        <w:rPr>
          <w:lang w:val="fr-FR"/>
        </w:rPr>
        <w:t>auteur n</w:t>
      </w:r>
      <w:r w:rsidR="00AA69CE">
        <w:rPr>
          <w:lang w:val="fr-FR"/>
        </w:rPr>
        <w:t>’</w:t>
      </w:r>
      <w:r w:rsidRPr="005D2A2E">
        <w:rPr>
          <w:lang w:val="fr-FR"/>
        </w:rPr>
        <w:t>a pas démontré que sa communication</w:t>
      </w:r>
      <w:r w:rsidRPr="007F2C17">
        <w:rPr>
          <w:lang w:val="fr-FR"/>
        </w:rPr>
        <w:t xml:space="preserve"> était à première vue recevable au titre des articles 2, 6, 7, 13 et 26 du Pacte</w:t>
      </w:r>
      <w:r>
        <w:rPr>
          <w:lang w:val="fr-FR"/>
        </w:rPr>
        <w:t>,</w:t>
      </w:r>
      <w:r w:rsidRPr="007F2C17">
        <w:rPr>
          <w:lang w:val="fr-FR"/>
        </w:rPr>
        <w:t xml:space="preserve"> faute d</w:t>
      </w:r>
      <w:r w:rsidR="00AA69CE">
        <w:rPr>
          <w:lang w:val="fr-FR"/>
        </w:rPr>
        <w:t>’</w:t>
      </w:r>
      <w:r w:rsidRPr="007F2C17">
        <w:rPr>
          <w:lang w:val="fr-FR"/>
        </w:rPr>
        <w:t>avoir fait valoir des motifs sérieux de croire qu</w:t>
      </w:r>
      <w:r w:rsidR="00AA69CE">
        <w:rPr>
          <w:lang w:val="fr-FR"/>
        </w:rPr>
        <w:t>’</w:t>
      </w:r>
      <w:r w:rsidRPr="007F2C17">
        <w:rPr>
          <w:lang w:val="fr-FR"/>
        </w:rPr>
        <w:t>il serait en danger de mort ou risquerait d</w:t>
      </w:r>
      <w:r w:rsidR="00AA69CE">
        <w:rPr>
          <w:lang w:val="fr-FR"/>
        </w:rPr>
        <w:t>’</w:t>
      </w:r>
      <w:r w:rsidRPr="007F2C17">
        <w:rPr>
          <w:lang w:val="fr-FR"/>
        </w:rPr>
        <w:t>être soumis à des traitements inhumains ou dégradants s</w:t>
      </w:r>
      <w:r w:rsidR="00AA69CE">
        <w:rPr>
          <w:lang w:val="fr-FR"/>
        </w:rPr>
        <w:t>’</w:t>
      </w:r>
      <w:r w:rsidRPr="007F2C17">
        <w:rPr>
          <w:lang w:val="fr-FR"/>
        </w:rPr>
        <w:t xml:space="preserve">il était renvoyé en </w:t>
      </w:r>
      <w:r>
        <w:rPr>
          <w:lang w:val="fr-FR"/>
        </w:rPr>
        <w:t>République islamique d</w:t>
      </w:r>
      <w:r w:rsidR="00AA69CE">
        <w:rPr>
          <w:lang w:val="fr-FR"/>
        </w:rPr>
        <w:t>’</w:t>
      </w:r>
      <w:r w:rsidRPr="007F2C17">
        <w:rPr>
          <w:lang w:val="fr-FR"/>
        </w:rPr>
        <w:t>Iran, ou faute d</w:t>
      </w:r>
      <w:r w:rsidR="00AA69CE">
        <w:rPr>
          <w:lang w:val="fr-FR"/>
        </w:rPr>
        <w:t>’</w:t>
      </w:r>
      <w:r w:rsidRPr="007F2C17">
        <w:rPr>
          <w:lang w:val="fr-FR"/>
        </w:rPr>
        <w:t>avoir démontré que les dispositions visées avaient été violées dans l</w:t>
      </w:r>
      <w:r w:rsidR="00AA69CE">
        <w:rPr>
          <w:lang w:val="fr-FR"/>
        </w:rPr>
        <w:t>’</w:t>
      </w:r>
      <w:r w:rsidRPr="007F2C17">
        <w:rPr>
          <w:lang w:val="fr-FR"/>
        </w:rPr>
        <w:t>examen de sa demande d</w:t>
      </w:r>
      <w:r w:rsidR="00AA69CE">
        <w:rPr>
          <w:lang w:val="fr-FR"/>
        </w:rPr>
        <w:t>’</w:t>
      </w:r>
      <w:r w:rsidRPr="007F2C17">
        <w:rPr>
          <w:lang w:val="fr-FR"/>
        </w:rPr>
        <w:t xml:space="preserve">asile par les autorités danoises. </w:t>
      </w:r>
      <w:r w:rsidRPr="00325182">
        <w:rPr>
          <w:lang w:val="fr-FR"/>
        </w:rPr>
        <w:t>Ces parties de la communication sont donc manifestement dénuées de fondement et devraient être déclarées irrecevables.</w:t>
      </w:r>
    </w:p>
    <w:p w:rsidR="00685027" w:rsidRPr="007F2C17" w:rsidRDefault="00685027" w:rsidP="00685027">
      <w:pPr>
        <w:pStyle w:val="SingleTxtG"/>
        <w:rPr>
          <w:lang w:val="fr-FR"/>
        </w:rPr>
      </w:pPr>
      <w:r w:rsidRPr="00325182">
        <w:rPr>
          <w:lang w:val="fr-FR"/>
        </w:rPr>
        <w:t>4.3</w:t>
      </w:r>
      <w:r w:rsidRPr="00325182">
        <w:rPr>
          <w:lang w:val="fr-FR"/>
        </w:rPr>
        <w:tab/>
        <w:t>Pour ce qui est de l</w:t>
      </w:r>
      <w:r w:rsidR="00AA69CE">
        <w:rPr>
          <w:lang w:val="fr-FR"/>
        </w:rPr>
        <w:t>’</w:t>
      </w:r>
      <w:r w:rsidRPr="00325182">
        <w:rPr>
          <w:lang w:val="fr-FR"/>
        </w:rPr>
        <w:t>article 14 du Pacte, l</w:t>
      </w:r>
      <w:r w:rsidR="00AA69CE">
        <w:rPr>
          <w:lang w:val="fr-FR"/>
        </w:rPr>
        <w:t>’</w:t>
      </w:r>
      <w:r w:rsidRPr="00325182">
        <w:rPr>
          <w:lang w:val="fr-FR"/>
        </w:rPr>
        <w:t>État partie rappelle la jurisprudence du Comité selon laquelle les procédures d</w:t>
      </w:r>
      <w:r w:rsidR="00AA69CE">
        <w:rPr>
          <w:lang w:val="fr-FR"/>
        </w:rPr>
        <w:t>’</w:t>
      </w:r>
      <w:r w:rsidRPr="00325182">
        <w:rPr>
          <w:lang w:val="fr-FR"/>
        </w:rPr>
        <w:t>expulsion des étrangers n</w:t>
      </w:r>
      <w:r w:rsidR="00AA69CE">
        <w:rPr>
          <w:lang w:val="fr-FR"/>
        </w:rPr>
        <w:t>’</w:t>
      </w:r>
      <w:r w:rsidRPr="00325182">
        <w:rPr>
          <w:lang w:val="fr-FR"/>
        </w:rPr>
        <w:t>impliquent pas de décision sur les droits et obligations de caractère civil au sens du paragraphe 1 de l</w:t>
      </w:r>
      <w:r w:rsidR="00AA69CE">
        <w:rPr>
          <w:lang w:val="fr-FR"/>
        </w:rPr>
        <w:t>’</w:t>
      </w:r>
      <w:r w:rsidRPr="00325182">
        <w:rPr>
          <w:lang w:val="fr-FR"/>
        </w:rPr>
        <w:t>article 14 mais relèvent de l</w:t>
      </w:r>
      <w:r w:rsidR="00AA69CE">
        <w:rPr>
          <w:lang w:val="fr-FR"/>
        </w:rPr>
        <w:t>’</w:t>
      </w:r>
      <w:r w:rsidRPr="00325182">
        <w:rPr>
          <w:lang w:val="fr-FR"/>
        </w:rPr>
        <w:t>article 13 du Pacte</w:t>
      </w:r>
      <w:r w:rsidRPr="007D575F">
        <w:rPr>
          <w:rStyle w:val="Appelnotedebasdep"/>
        </w:rPr>
        <w:footnoteReference w:id="9"/>
      </w:r>
      <w:r w:rsidRPr="005D2A2E">
        <w:rPr>
          <w:lang w:val="fr-FR"/>
        </w:rPr>
        <w:t xml:space="preserve">. </w:t>
      </w:r>
      <w:r w:rsidRPr="00DD0137">
        <w:rPr>
          <w:lang w:val="fr-FR"/>
        </w:rPr>
        <w:t>En conséquence,</w:t>
      </w:r>
      <w:r w:rsidRPr="00D76E38">
        <w:rPr>
          <w:lang w:val="fr-FR"/>
        </w:rPr>
        <w:t xml:space="preserve"> cette partie de la communication devrait être déclarée irrecevable </w:t>
      </w:r>
      <w:r w:rsidRPr="007302A2">
        <w:rPr>
          <w:i/>
          <w:lang w:val="fr-FR"/>
        </w:rPr>
        <w:t>ratione materiae</w:t>
      </w:r>
      <w:r w:rsidRPr="007302A2">
        <w:rPr>
          <w:lang w:val="fr-FR"/>
        </w:rPr>
        <w:t xml:space="preserve"> au regard de l</w:t>
      </w:r>
      <w:r w:rsidR="00AA69CE">
        <w:rPr>
          <w:lang w:val="fr-FR"/>
        </w:rPr>
        <w:t>’</w:t>
      </w:r>
      <w:r w:rsidRPr="007302A2">
        <w:rPr>
          <w:lang w:val="fr-FR"/>
        </w:rPr>
        <w:t>article 3 du Protocole facult</w:t>
      </w:r>
      <w:r w:rsidRPr="007F2C17">
        <w:rPr>
          <w:lang w:val="fr-FR"/>
        </w:rPr>
        <w:t>atif.</w:t>
      </w:r>
    </w:p>
    <w:p w:rsidR="00685027" w:rsidRPr="005D2A2E" w:rsidRDefault="00685027" w:rsidP="00685027">
      <w:pPr>
        <w:pStyle w:val="SingleTxtG"/>
        <w:rPr>
          <w:lang w:val="fr-FR"/>
        </w:rPr>
      </w:pPr>
      <w:r w:rsidRPr="00325182">
        <w:rPr>
          <w:lang w:val="fr-FR"/>
        </w:rPr>
        <w:t>4.4</w:t>
      </w:r>
      <w:r w:rsidRPr="00325182">
        <w:rPr>
          <w:lang w:val="fr-FR"/>
        </w:rPr>
        <w:tab/>
        <w:t>La plainte de l</w:t>
      </w:r>
      <w:r w:rsidR="00AA69CE">
        <w:rPr>
          <w:lang w:val="fr-FR"/>
        </w:rPr>
        <w:t>’</w:t>
      </w:r>
      <w:r w:rsidRPr="00325182">
        <w:rPr>
          <w:lang w:val="fr-FR"/>
        </w:rPr>
        <w:t>auteur en ce qu</w:t>
      </w:r>
      <w:r w:rsidR="00AA69CE">
        <w:rPr>
          <w:lang w:val="fr-FR"/>
        </w:rPr>
        <w:t>’</w:t>
      </w:r>
      <w:r w:rsidRPr="00325182">
        <w:rPr>
          <w:lang w:val="fr-FR"/>
        </w:rPr>
        <w:t>elle est fondée sur les articles 2, 13, 14 et 26 du Pacte est constitutive d</w:t>
      </w:r>
      <w:r w:rsidR="00AA69CE">
        <w:rPr>
          <w:lang w:val="fr-FR"/>
        </w:rPr>
        <w:t>’</w:t>
      </w:r>
      <w:r w:rsidRPr="00325182">
        <w:rPr>
          <w:lang w:val="fr-FR"/>
        </w:rPr>
        <w:t>un abus du droit de présenter une communication. L</w:t>
      </w:r>
      <w:r w:rsidR="00AA69CE">
        <w:rPr>
          <w:lang w:val="fr-FR"/>
        </w:rPr>
        <w:t>’</w:t>
      </w:r>
      <w:r w:rsidRPr="00325182">
        <w:rPr>
          <w:lang w:val="fr-FR"/>
        </w:rPr>
        <w:t>argument de l</w:t>
      </w:r>
      <w:r w:rsidR="00AA69CE">
        <w:rPr>
          <w:lang w:val="fr-FR"/>
        </w:rPr>
        <w:t>’</w:t>
      </w:r>
      <w:r w:rsidRPr="00325182">
        <w:rPr>
          <w:lang w:val="fr-FR"/>
        </w:rPr>
        <w:t>auteur selon lequel les droits qu</w:t>
      </w:r>
      <w:r w:rsidR="00AA69CE">
        <w:rPr>
          <w:lang w:val="fr-FR"/>
        </w:rPr>
        <w:t>’</w:t>
      </w:r>
      <w:r w:rsidRPr="00325182">
        <w:rPr>
          <w:lang w:val="fr-FR"/>
        </w:rPr>
        <w:t>il tient de ces articles ont été violés parce que sa conversion n</w:t>
      </w:r>
      <w:r w:rsidR="00AA69CE">
        <w:rPr>
          <w:lang w:val="fr-FR"/>
        </w:rPr>
        <w:t>’</w:t>
      </w:r>
      <w:r w:rsidRPr="00325182">
        <w:rPr>
          <w:lang w:val="fr-FR"/>
        </w:rPr>
        <w:t>a été prise en considération que dans le cadre d</w:t>
      </w:r>
      <w:r w:rsidR="00AA69CE">
        <w:rPr>
          <w:lang w:val="fr-FR"/>
        </w:rPr>
        <w:t>’</w:t>
      </w:r>
      <w:r w:rsidRPr="00325182">
        <w:rPr>
          <w:lang w:val="fr-FR"/>
        </w:rPr>
        <w:t xml:space="preserve">une seule instance, à savoir la Commission </w:t>
      </w:r>
      <w:r>
        <w:rPr>
          <w:lang w:val="fr-FR"/>
        </w:rPr>
        <w:t xml:space="preserve">danoise </w:t>
      </w:r>
      <w:r w:rsidRPr="00325182">
        <w:rPr>
          <w:lang w:val="fr-FR"/>
        </w:rPr>
        <w:t>de recours des réfugiés,</w:t>
      </w:r>
      <w:r>
        <w:rPr>
          <w:lang w:val="fr-FR"/>
        </w:rPr>
        <w:t xml:space="preserve"> </w:t>
      </w:r>
      <w:r w:rsidRPr="00325182">
        <w:rPr>
          <w:lang w:val="fr-FR"/>
        </w:rPr>
        <w:t>n</w:t>
      </w:r>
      <w:r w:rsidR="00AA69CE">
        <w:rPr>
          <w:lang w:val="fr-FR"/>
        </w:rPr>
        <w:t>’</w:t>
      </w:r>
      <w:r w:rsidRPr="00325182">
        <w:rPr>
          <w:lang w:val="fr-FR"/>
        </w:rPr>
        <w:t>est pas valable</w:t>
      </w:r>
      <w:r>
        <w:rPr>
          <w:lang w:val="fr-FR"/>
        </w:rPr>
        <w:t>. En mai 2013</w:t>
      </w:r>
      <w:r w:rsidRPr="00325182">
        <w:rPr>
          <w:lang w:val="fr-FR"/>
        </w:rPr>
        <w:t>, au vu des éléments nouveaux relatifs à la conversion de l</w:t>
      </w:r>
      <w:r w:rsidR="00AA69CE">
        <w:rPr>
          <w:lang w:val="fr-FR"/>
        </w:rPr>
        <w:t>’</w:t>
      </w:r>
      <w:r w:rsidRPr="00325182">
        <w:rPr>
          <w:lang w:val="fr-FR"/>
        </w:rPr>
        <w:t>auteur à la religion chrétienne, la Commission de recours des réfugiés a renvoyé l</w:t>
      </w:r>
      <w:r w:rsidR="00AA69CE">
        <w:rPr>
          <w:lang w:val="fr-FR"/>
        </w:rPr>
        <w:t>’</w:t>
      </w:r>
      <w:r w:rsidRPr="00325182">
        <w:rPr>
          <w:lang w:val="fr-FR"/>
        </w:rPr>
        <w:t>affaire au Service danois de l</w:t>
      </w:r>
      <w:r w:rsidR="00AA69CE">
        <w:rPr>
          <w:lang w:val="fr-FR"/>
        </w:rPr>
        <w:t>’</w:t>
      </w:r>
      <w:r w:rsidRPr="00325182">
        <w:rPr>
          <w:lang w:val="fr-FR"/>
        </w:rPr>
        <w:t>immigration pour réexamen, et celui-ci a rendu une nouvelle décision sur son dossier le 23 décembre 2013. Le motif de demande d</w:t>
      </w:r>
      <w:r w:rsidR="00AA69CE">
        <w:rPr>
          <w:lang w:val="fr-FR"/>
        </w:rPr>
        <w:t>’</w:t>
      </w:r>
      <w:r w:rsidRPr="00325182">
        <w:rPr>
          <w:lang w:val="fr-FR"/>
        </w:rPr>
        <w:t>asile fondé sur la conversion de l</w:t>
      </w:r>
      <w:r w:rsidR="00AA69CE">
        <w:rPr>
          <w:lang w:val="fr-FR"/>
        </w:rPr>
        <w:t>’</w:t>
      </w:r>
      <w:r w:rsidRPr="00325182">
        <w:rPr>
          <w:lang w:val="fr-FR"/>
        </w:rPr>
        <w:t xml:space="preserve">auteur a donc été examiné à deux reprises. </w:t>
      </w:r>
      <w:r>
        <w:rPr>
          <w:lang w:val="fr-FR"/>
        </w:rPr>
        <w:t>En outre, l</w:t>
      </w:r>
      <w:r w:rsidR="00AA69CE">
        <w:rPr>
          <w:lang w:val="fr-FR"/>
        </w:rPr>
        <w:t>’</w:t>
      </w:r>
      <w:r w:rsidRPr="00D76E38">
        <w:rPr>
          <w:lang w:val="fr-FR"/>
        </w:rPr>
        <w:t>auteur s</w:t>
      </w:r>
      <w:r w:rsidR="00AA69CE">
        <w:rPr>
          <w:lang w:val="fr-FR"/>
        </w:rPr>
        <w:t>’</w:t>
      </w:r>
      <w:r w:rsidRPr="00D76E38">
        <w:rPr>
          <w:lang w:val="fr-FR"/>
        </w:rPr>
        <w:t xml:space="preserve">est contenté </w:t>
      </w:r>
      <w:r>
        <w:rPr>
          <w:lang w:val="fr-FR"/>
        </w:rPr>
        <w:t>d</w:t>
      </w:r>
      <w:r w:rsidR="00AA69CE">
        <w:rPr>
          <w:lang w:val="fr-FR"/>
        </w:rPr>
        <w:t>’</w:t>
      </w:r>
      <w:r>
        <w:rPr>
          <w:lang w:val="fr-FR"/>
        </w:rPr>
        <w:t>annexer</w:t>
      </w:r>
      <w:r w:rsidRPr="00D76E38">
        <w:rPr>
          <w:lang w:val="fr-FR"/>
        </w:rPr>
        <w:t xml:space="preserve"> à sa communication la décision du Service de l</w:t>
      </w:r>
      <w:r w:rsidR="00AA69CE">
        <w:rPr>
          <w:lang w:val="fr-FR"/>
        </w:rPr>
        <w:t>’</w:t>
      </w:r>
      <w:r w:rsidRPr="00D76E38">
        <w:rPr>
          <w:lang w:val="fr-FR"/>
        </w:rPr>
        <w:t>immigration en date du 4 janvier 2013, omettant celle du 23 décembre 2013, alors même que son conseil dans le cadre de l</w:t>
      </w:r>
      <w:r w:rsidR="00AA69CE">
        <w:rPr>
          <w:lang w:val="fr-FR"/>
        </w:rPr>
        <w:t>’</w:t>
      </w:r>
      <w:r w:rsidRPr="00D76E38">
        <w:rPr>
          <w:lang w:val="fr-FR"/>
        </w:rPr>
        <w:t>examen de la présente communication le représenta</w:t>
      </w:r>
      <w:r w:rsidRPr="007302A2">
        <w:rPr>
          <w:lang w:val="fr-FR"/>
        </w:rPr>
        <w:t>it également devant la Commission de recours des réfugiés le 27 mars 2014. Ce conseil, de par sa qualité, avait accès à toutes les décisions adoptées par les différentes instances. De surcroît, dans le mémoire qu</w:t>
      </w:r>
      <w:r w:rsidR="00AA69CE">
        <w:rPr>
          <w:lang w:val="fr-FR"/>
        </w:rPr>
        <w:t>’</w:t>
      </w:r>
      <w:r w:rsidRPr="007302A2">
        <w:rPr>
          <w:lang w:val="fr-FR"/>
        </w:rPr>
        <w:t>il a rédigé aux fins de l</w:t>
      </w:r>
      <w:r w:rsidR="00AA69CE">
        <w:rPr>
          <w:lang w:val="fr-FR"/>
        </w:rPr>
        <w:t>’</w:t>
      </w:r>
      <w:r w:rsidRPr="007302A2">
        <w:rPr>
          <w:lang w:val="fr-FR"/>
        </w:rPr>
        <w:t>audition du 27 mars 2014 devant la Commission de recours</w:t>
      </w:r>
      <w:r w:rsidRPr="007D575F">
        <w:rPr>
          <w:rStyle w:val="Appelnotedebasdep"/>
        </w:rPr>
        <w:footnoteReference w:id="10"/>
      </w:r>
      <w:r w:rsidRPr="005D2A2E">
        <w:rPr>
          <w:lang w:val="fr-FR"/>
        </w:rPr>
        <w:t xml:space="preserve">, il mentionne la teneur des deux décisions </w:t>
      </w:r>
      <w:r>
        <w:rPr>
          <w:lang w:val="fr-FR"/>
        </w:rPr>
        <w:t xml:space="preserve">du </w:t>
      </w:r>
      <w:r w:rsidRPr="005D2A2E">
        <w:rPr>
          <w:lang w:val="fr-FR"/>
        </w:rPr>
        <w:t>Service danois de l</w:t>
      </w:r>
      <w:r w:rsidR="00AA69CE">
        <w:rPr>
          <w:lang w:val="fr-FR"/>
        </w:rPr>
        <w:t>’</w:t>
      </w:r>
      <w:r w:rsidRPr="005D2A2E">
        <w:rPr>
          <w:lang w:val="fr-FR"/>
        </w:rPr>
        <w:t>immigration.</w:t>
      </w:r>
    </w:p>
    <w:p w:rsidR="00685027" w:rsidRPr="00325182" w:rsidRDefault="00685027" w:rsidP="00685027">
      <w:pPr>
        <w:pStyle w:val="SingleTxtG"/>
        <w:rPr>
          <w:lang w:val="fr-FR"/>
        </w:rPr>
      </w:pPr>
      <w:r w:rsidRPr="007302A2">
        <w:rPr>
          <w:lang w:val="fr-FR"/>
        </w:rPr>
        <w:t>4.5</w:t>
      </w:r>
      <w:r w:rsidRPr="007302A2">
        <w:rPr>
          <w:lang w:val="fr-FR"/>
        </w:rPr>
        <w:tab/>
        <w:t xml:space="preserve">Les motifs de la décision rendue par la Commission </w:t>
      </w:r>
      <w:r>
        <w:rPr>
          <w:lang w:val="fr-FR"/>
        </w:rPr>
        <w:t xml:space="preserve">danoise </w:t>
      </w:r>
      <w:r w:rsidRPr="007302A2">
        <w:rPr>
          <w:lang w:val="fr-FR"/>
        </w:rPr>
        <w:t>de recours des réfugiés le 27 mars 2</w:t>
      </w:r>
      <w:r w:rsidRPr="00C86F88">
        <w:rPr>
          <w:lang w:val="fr-FR"/>
        </w:rPr>
        <w:t>014, qui a été notifiée à l</w:t>
      </w:r>
      <w:r w:rsidR="00AA69CE">
        <w:rPr>
          <w:lang w:val="fr-FR"/>
        </w:rPr>
        <w:t>’</w:t>
      </w:r>
      <w:r w:rsidRPr="00C86F88">
        <w:rPr>
          <w:lang w:val="fr-FR"/>
        </w:rPr>
        <w:t>auteur et à son conseil lors de l</w:t>
      </w:r>
      <w:r w:rsidR="00AA69CE">
        <w:rPr>
          <w:lang w:val="fr-FR"/>
        </w:rPr>
        <w:t>’</w:t>
      </w:r>
      <w:r w:rsidRPr="00C86F88">
        <w:rPr>
          <w:lang w:val="fr-FR"/>
        </w:rPr>
        <w:t>audition, comportent également un exposé complet des faits dans lequel figurent des informations sur la décision initialement rendue par le Service danois de l</w:t>
      </w:r>
      <w:r w:rsidR="00AA69CE">
        <w:rPr>
          <w:lang w:val="fr-FR"/>
        </w:rPr>
        <w:t>’</w:t>
      </w:r>
      <w:r w:rsidRPr="00C86F88">
        <w:rPr>
          <w:lang w:val="fr-FR"/>
        </w:rPr>
        <w:t>immigration, la mention du renvoi ultérieur de l</w:t>
      </w:r>
      <w:r w:rsidR="00AA69CE">
        <w:rPr>
          <w:lang w:val="fr-FR"/>
        </w:rPr>
        <w:t>’</w:t>
      </w:r>
      <w:r w:rsidRPr="00C86F88">
        <w:rPr>
          <w:lang w:val="fr-FR"/>
        </w:rPr>
        <w:t>affaire devant celui-ci pour réexamen, celle du nouvel entretien avec l</w:t>
      </w:r>
      <w:r w:rsidR="00AA69CE">
        <w:rPr>
          <w:lang w:val="fr-FR"/>
        </w:rPr>
        <w:t>’</w:t>
      </w:r>
      <w:r w:rsidRPr="00C86F88">
        <w:rPr>
          <w:lang w:val="fr-FR"/>
        </w:rPr>
        <w:t xml:space="preserve">intéressé, </w:t>
      </w:r>
      <w:r>
        <w:rPr>
          <w:lang w:val="fr-FR"/>
        </w:rPr>
        <w:t xml:space="preserve">et </w:t>
      </w:r>
      <w:r w:rsidRPr="00C86F88">
        <w:rPr>
          <w:lang w:val="fr-FR"/>
        </w:rPr>
        <w:t xml:space="preserve">la teneur de la nouvelle décision rendue par le Service </w:t>
      </w:r>
      <w:r>
        <w:rPr>
          <w:lang w:val="fr-FR"/>
        </w:rPr>
        <w:t>de l</w:t>
      </w:r>
      <w:r w:rsidR="00AA69CE">
        <w:rPr>
          <w:lang w:val="fr-FR"/>
        </w:rPr>
        <w:t>’</w:t>
      </w:r>
      <w:r>
        <w:rPr>
          <w:lang w:val="fr-FR"/>
        </w:rPr>
        <w:t xml:space="preserve">immigration </w:t>
      </w:r>
      <w:r w:rsidRPr="00C86F88">
        <w:rPr>
          <w:lang w:val="fr-FR"/>
        </w:rPr>
        <w:t xml:space="preserve">le 23 décembre 2013. Dès lors, </w:t>
      </w:r>
      <w:r w:rsidRPr="00325182">
        <w:rPr>
          <w:lang w:val="fr-FR"/>
        </w:rPr>
        <w:t>le grief tiré par l</w:t>
      </w:r>
      <w:r w:rsidR="00AA69CE">
        <w:rPr>
          <w:lang w:val="fr-FR"/>
        </w:rPr>
        <w:t>’</w:t>
      </w:r>
      <w:r w:rsidRPr="00325182">
        <w:rPr>
          <w:lang w:val="fr-FR"/>
        </w:rPr>
        <w:t>aute</w:t>
      </w:r>
      <w:r>
        <w:rPr>
          <w:lang w:val="fr-FR"/>
        </w:rPr>
        <w:t>ur de la violation des articles </w:t>
      </w:r>
      <w:r w:rsidRPr="00325182">
        <w:rPr>
          <w:lang w:val="fr-FR"/>
        </w:rPr>
        <w:t>2, 13, 14 et 26 du Pacte par les autorités dans le cadre de l</w:t>
      </w:r>
      <w:r w:rsidR="00AA69CE">
        <w:rPr>
          <w:lang w:val="fr-FR"/>
        </w:rPr>
        <w:t>’</w:t>
      </w:r>
      <w:r w:rsidRPr="00325182">
        <w:rPr>
          <w:lang w:val="fr-FR"/>
        </w:rPr>
        <w:t>examen de sa prétendue conversion au christianisme devrait être déclaré irrecevable, car il est fondé sur des faits erronés et constitue un abus du droit de présenter des communications au sens de l</w:t>
      </w:r>
      <w:r w:rsidR="00AA69CE">
        <w:rPr>
          <w:lang w:val="fr-FR"/>
        </w:rPr>
        <w:t>’</w:t>
      </w:r>
      <w:r w:rsidRPr="00325182">
        <w:rPr>
          <w:lang w:val="fr-FR"/>
        </w:rPr>
        <w:t>article</w:t>
      </w:r>
      <w:r>
        <w:rPr>
          <w:lang w:val="fr-FR"/>
        </w:rPr>
        <w:t> </w:t>
      </w:r>
      <w:r w:rsidRPr="00325182">
        <w:rPr>
          <w:lang w:val="fr-FR"/>
        </w:rPr>
        <w:t>96</w:t>
      </w:r>
      <w:r>
        <w:rPr>
          <w:lang w:val="fr-FR"/>
        </w:rPr>
        <w:t> </w:t>
      </w:r>
      <w:r w:rsidRPr="00325182">
        <w:rPr>
          <w:lang w:val="fr-FR"/>
        </w:rPr>
        <w:t>c) du règlement intérieur du Comité.</w:t>
      </w:r>
    </w:p>
    <w:p w:rsidR="00685027" w:rsidRPr="007302A2" w:rsidRDefault="00685027" w:rsidP="00685027">
      <w:pPr>
        <w:pStyle w:val="SingleTxtG"/>
        <w:rPr>
          <w:lang w:val="fr-FR"/>
        </w:rPr>
      </w:pPr>
      <w:r w:rsidRPr="00325182">
        <w:rPr>
          <w:lang w:val="fr-FR"/>
        </w:rPr>
        <w:t>4.6</w:t>
      </w:r>
      <w:r w:rsidRPr="00325182">
        <w:rPr>
          <w:lang w:val="fr-FR"/>
        </w:rPr>
        <w:tab/>
        <w:t>Pour ce qui est du fond de la communication, l</w:t>
      </w:r>
      <w:r w:rsidR="00AA69CE">
        <w:rPr>
          <w:lang w:val="fr-FR"/>
        </w:rPr>
        <w:t>’</w:t>
      </w:r>
      <w:r w:rsidRPr="00325182">
        <w:rPr>
          <w:lang w:val="fr-FR"/>
        </w:rPr>
        <w:t>auteur n</w:t>
      </w:r>
      <w:r w:rsidR="00AA69CE">
        <w:rPr>
          <w:lang w:val="fr-FR"/>
        </w:rPr>
        <w:t>’</w:t>
      </w:r>
      <w:r w:rsidRPr="00325182">
        <w:rPr>
          <w:lang w:val="fr-FR"/>
        </w:rPr>
        <w:t xml:space="preserve">a pas suffisamment établi que son renvoi en </w:t>
      </w:r>
      <w:r>
        <w:rPr>
          <w:lang w:val="fr-FR"/>
        </w:rPr>
        <w:t>République islamique d</w:t>
      </w:r>
      <w:r w:rsidR="00AA69CE">
        <w:rPr>
          <w:lang w:val="fr-FR"/>
        </w:rPr>
        <w:t>’</w:t>
      </w:r>
      <w:r w:rsidRPr="00325182">
        <w:rPr>
          <w:lang w:val="fr-FR"/>
        </w:rPr>
        <w:t>Iran constituerait une violation des articles 6 et 7 du Pacte, ni que les articles 2, 13 ou 26 du Pacte ont été violés dans le cadre de l</w:t>
      </w:r>
      <w:r w:rsidR="00AA69CE">
        <w:rPr>
          <w:lang w:val="fr-FR"/>
        </w:rPr>
        <w:t>’</w:t>
      </w:r>
      <w:r w:rsidRPr="00325182">
        <w:rPr>
          <w:lang w:val="fr-FR"/>
        </w:rPr>
        <w:t>examen de sa demande d</w:t>
      </w:r>
      <w:r w:rsidR="00AA69CE">
        <w:rPr>
          <w:lang w:val="fr-FR"/>
        </w:rPr>
        <w:t>’</w:t>
      </w:r>
      <w:r w:rsidRPr="00325182">
        <w:rPr>
          <w:lang w:val="fr-FR"/>
        </w:rPr>
        <w:t xml:space="preserve">asile. </w:t>
      </w:r>
      <w:r>
        <w:rPr>
          <w:lang w:val="fr-FR"/>
        </w:rPr>
        <w:t>L</w:t>
      </w:r>
      <w:r w:rsidR="00AA69CE">
        <w:rPr>
          <w:lang w:val="fr-FR"/>
        </w:rPr>
        <w:t>’</w:t>
      </w:r>
      <w:r>
        <w:rPr>
          <w:lang w:val="fr-FR"/>
        </w:rPr>
        <w:t>État partie</w:t>
      </w:r>
      <w:r w:rsidRPr="00325182">
        <w:rPr>
          <w:lang w:val="fr-FR"/>
        </w:rPr>
        <w:t xml:space="preserve"> fait d</w:t>
      </w:r>
      <w:r w:rsidR="00AA69CE">
        <w:rPr>
          <w:lang w:val="fr-FR"/>
        </w:rPr>
        <w:t>’</w:t>
      </w:r>
      <w:r w:rsidRPr="00325182">
        <w:rPr>
          <w:lang w:val="fr-FR"/>
        </w:rPr>
        <w:t>abord référence à l</w:t>
      </w:r>
      <w:r w:rsidR="00AA69CE">
        <w:rPr>
          <w:lang w:val="fr-FR"/>
        </w:rPr>
        <w:t>’</w:t>
      </w:r>
      <w:r>
        <w:rPr>
          <w:lang w:val="fr-FR"/>
        </w:rPr>
        <w:t xml:space="preserve">observation générale </w:t>
      </w:r>
      <w:r w:rsidRPr="00F865EC">
        <w:rPr>
          <w:rFonts w:eastAsia="MS Mincho"/>
          <w:lang w:val="fr-FR"/>
        </w:rPr>
        <w:t>n</w:t>
      </w:r>
      <w:r w:rsidRPr="00F865EC">
        <w:rPr>
          <w:rFonts w:eastAsia="MS Mincho"/>
          <w:vertAlign w:val="superscript"/>
          <w:lang w:val="fr-FR"/>
        </w:rPr>
        <w:t>o</w:t>
      </w:r>
      <w:r>
        <w:rPr>
          <w:lang w:val="fr-FR"/>
        </w:rPr>
        <w:t> </w:t>
      </w:r>
      <w:r w:rsidRPr="00325182">
        <w:rPr>
          <w:lang w:val="fr-FR"/>
        </w:rPr>
        <w:t xml:space="preserve">6 </w:t>
      </w:r>
      <w:r>
        <w:rPr>
          <w:lang w:val="fr-FR"/>
        </w:rPr>
        <w:t xml:space="preserve">(1982) </w:t>
      </w:r>
      <w:r w:rsidRPr="00325182">
        <w:rPr>
          <w:lang w:val="fr-FR"/>
        </w:rPr>
        <w:t>du Comité sur le droit à la vie, où sont analysés tant les éléments négatifs de l</w:t>
      </w:r>
      <w:r w:rsidR="00AA69CE">
        <w:rPr>
          <w:lang w:val="fr-FR"/>
        </w:rPr>
        <w:t>’</w:t>
      </w:r>
      <w:r w:rsidRPr="00325182">
        <w:rPr>
          <w:lang w:val="fr-FR"/>
        </w:rPr>
        <w:t>obligation consacrée par l</w:t>
      </w:r>
      <w:r w:rsidR="00AA69CE">
        <w:rPr>
          <w:lang w:val="fr-FR"/>
        </w:rPr>
        <w:t>’</w:t>
      </w:r>
      <w:r w:rsidRPr="00325182">
        <w:rPr>
          <w:lang w:val="fr-FR"/>
        </w:rPr>
        <w:t>article 6 du Pacte que ses éléments positifs – à savoir le droit d</w:t>
      </w:r>
      <w:r w:rsidR="00AA69CE">
        <w:rPr>
          <w:lang w:val="fr-FR"/>
        </w:rPr>
        <w:t>’</w:t>
      </w:r>
      <w:r w:rsidRPr="00325182">
        <w:rPr>
          <w:lang w:val="fr-FR"/>
        </w:rPr>
        <w:t>une personne de ne pas être arbitrairement ou illégalement privée de sa vie par un État ou ses agents, comme l</w:t>
      </w:r>
      <w:r w:rsidR="00AA69CE">
        <w:rPr>
          <w:lang w:val="fr-FR"/>
        </w:rPr>
        <w:t>’</w:t>
      </w:r>
      <w:r w:rsidRPr="00325182">
        <w:rPr>
          <w:lang w:val="fr-FR"/>
        </w:rPr>
        <w:t>obligation des États parties d</w:t>
      </w:r>
      <w:r w:rsidR="00AA69CE">
        <w:rPr>
          <w:lang w:val="fr-FR"/>
        </w:rPr>
        <w:t>’</w:t>
      </w:r>
      <w:r w:rsidRPr="00325182">
        <w:rPr>
          <w:lang w:val="fr-FR"/>
        </w:rPr>
        <w:t>adopter des mesures propres à protéger la vie. Selon la jurisprudence du Comité, les États parties sont soumis à l</w:t>
      </w:r>
      <w:r w:rsidR="00AA69CE">
        <w:rPr>
          <w:lang w:val="fr-FR"/>
        </w:rPr>
        <w:t>’</w:t>
      </w:r>
      <w:r w:rsidRPr="00325182">
        <w:rPr>
          <w:lang w:val="fr-FR"/>
        </w:rPr>
        <w:t>obligation ne pas extrader, déplacer, expulser quelqu</w:t>
      </w:r>
      <w:r w:rsidR="00AA69CE">
        <w:rPr>
          <w:lang w:val="fr-FR"/>
        </w:rPr>
        <w:t>’</w:t>
      </w:r>
      <w:r w:rsidRPr="00325182">
        <w:rPr>
          <w:lang w:val="fr-FR"/>
        </w:rPr>
        <w:t>un ou le transférer par d</w:t>
      </w:r>
      <w:r w:rsidR="00AA69CE">
        <w:rPr>
          <w:lang w:val="fr-FR"/>
        </w:rPr>
        <w:t>’</w:t>
      </w:r>
      <w:r w:rsidRPr="00325182">
        <w:rPr>
          <w:lang w:val="fr-FR"/>
        </w:rPr>
        <w:t>autres moyens de leur territoire lorsque cette personne courrait du fait de son expulsion un risque inévitable et prévisible de préjudice irréparable dans le pays vers lequel doit être effectué le renvoi ou dans tout pays vers lequel la personne concernée peut être renvoyée par la suite, tel le préjudice envisagé à l</w:t>
      </w:r>
      <w:r w:rsidR="00AA69CE">
        <w:rPr>
          <w:lang w:val="fr-FR"/>
        </w:rPr>
        <w:t>’</w:t>
      </w:r>
      <w:r w:rsidRPr="00325182">
        <w:rPr>
          <w:lang w:val="fr-FR"/>
        </w:rPr>
        <w:t xml:space="preserve">article 7 du Pacte. </w:t>
      </w:r>
      <w:r>
        <w:rPr>
          <w:lang w:val="fr-FR"/>
        </w:rPr>
        <w:t>L</w:t>
      </w:r>
      <w:r w:rsidRPr="00325182">
        <w:rPr>
          <w:lang w:val="fr-FR"/>
        </w:rPr>
        <w:t>e Comité a également dit que le risque en question devait être personnel et qu</w:t>
      </w:r>
      <w:r w:rsidR="00AA69CE">
        <w:rPr>
          <w:lang w:val="fr-FR"/>
        </w:rPr>
        <w:t>’</w:t>
      </w:r>
      <w:r w:rsidRPr="00325182">
        <w:rPr>
          <w:lang w:val="fr-FR"/>
        </w:rPr>
        <w:t>il fallait des motifs sérieux de conclure à l</w:t>
      </w:r>
      <w:r w:rsidR="00AA69CE">
        <w:rPr>
          <w:lang w:val="fr-FR"/>
        </w:rPr>
        <w:t>’</w:t>
      </w:r>
      <w:r w:rsidRPr="00325182">
        <w:rPr>
          <w:lang w:val="fr-FR"/>
        </w:rPr>
        <w:t>existence d</w:t>
      </w:r>
      <w:r w:rsidR="00AA69CE">
        <w:rPr>
          <w:lang w:val="fr-FR"/>
        </w:rPr>
        <w:t>’</w:t>
      </w:r>
      <w:r w:rsidRPr="00325182">
        <w:rPr>
          <w:lang w:val="fr-FR"/>
        </w:rPr>
        <w:t>un risque réel de préjudice irréparable</w:t>
      </w:r>
      <w:r w:rsidRPr="007D575F">
        <w:rPr>
          <w:rStyle w:val="Appelnotedebasdep"/>
        </w:rPr>
        <w:footnoteReference w:id="11"/>
      </w:r>
      <w:r w:rsidRPr="005D2A2E">
        <w:rPr>
          <w:lang w:val="fr-FR"/>
        </w:rPr>
        <w:t xml:space="preserve">. </w:t>
      </w:r>
      <w:r w:rsidRPr="007302A2">
        <w:rPr>
          <w:lang w:val="fr-FR"/>
        </w:rPr>
        <w:t>L</w:t>
      </w:r>
      <w:r>
        <w:rPr>
          <w:lang w:val="fr-FR"/>
        </w:rPr>
        <w:t>es </w:t>
      </w:r>
      <w:r w:rsidRPr="007302A2">
        <w:rPr>
          <w:lang w:val="fr-FR"/>
        </w:rPr>
        <w:t>obligations mises à la charge de l</w:t>
      </w:r>
      <w:r w:rsidR="00AA69CE">
        <w:rPr>
          <w:lang w:val="fr-FR"/>
        </w:rPr>
        <w:t>’</w:t>
      </w:r>
      <w:r w:rsidRPr="007302A2">
        <w:rPr>
          <w:lang w:val="fr-FR"/>
        </w:rPr>
        <w:t>État partie par les articles 6 et 7 du Pacte sont consacrées par l</w:t>
      </w:r>
      <w:r w:rsidR="00AA69CE">
        <w:rPr>
          <w:lang w:val="fr-FR"/>
        </w:rPr>
        <w:t>’</w:t>
      </w:r>
      <w:r w:rsidRPr="007302A2">
        <w:rPr>
          <w:lang w:val="fr-FR"/>
        </w:rPr>
        <w:t>article 7, alinéas</w:t>
      </w:r>
      <w:r w:rsidR="00B10E9C">
        <w:rPr>
          <w:lang w:val="fr-FR"/>
        </w:rPr>
        <w:t> </w:t>
      </w:r>
      <w:r w:rsidRPr="007302A2">
        <w:rPr>
          <w:lang w:val="fr-FR"/>
        </w:rPr>
        <w:t>1 et 2, de la loi sur les étrangers, qui dispose qu</w:t>
      </w:r>
      <w:r w:rsidR="00AA69CE">
        <w:rPr>
          <w:lang w:val="fr-FR"/>
        </w:rPr>
        <w:t>’</w:t>
      </w:r>
      <w:r w:rsidRPr="007302A2">
        <w:rPr>
          <w:lang w:val="fr-FR"/>
        </w:rPr>
        <w:t>un permis de séjour est accordé à un étranger s</w:t>
      </w:r>
      <w:r w:rsidR="00AA69CE">
        <w:rPr>
          <w:lang w:val="fr-FR"/>
        </w:rPr>
        <w:t>’</w:t>
      </w:r>
      <w:r w:rsidRPr="007302A2">
        <w:rPr>
          <w:lang w:val="fr-FR"/>
        </w:rPr>
        <w:t>il risque d</w:t>
      </w:r>
      <w:r w:rsidR="00AA69CE">
        <w:rPr>
          <w:lang w:val="fr-FR"/>
        </w:rPr>
        <w:t>’</w:t>
      </w:r>
      <w:r w:rsidRPr="007302A2">
        <w:rPr>
          <w:lang w:val="fr-FR"/>
        </w:rPr>
        <w:t>être condamné à mort ou soumis à la torture ou à des mauvais traitements en cas de renvoi dans son pays d</w:t>
      </w:r>
      <w:r w:rsidR="00AA69CE">
        <w:rPr>
          <w:lang w:val="fr-FR"/>
        </w:rPr>
        <w:t>’</w:t>
      </w:r>
      <w:r w:rsidRPr="007302A2">
        <w:rPr>
          <w:lang w:val="fr-FR"/>
        </w:rPr>
        <w:t>origine.</w:t>
      </w:r>
    </w:p>
    <w:p w:rsidR="00685027" w:rsidRPr="00C86F88" w:rsidRDefault="00685027" w:rsidP="00685027">
      <w:pPr>
        <w:pStyle w:val="SingleTxtG"/>
        <w:rPr>
          <w:lang w:val="fr-FR"/>
        </w:rPr>
      </w:pPr>
      <w:r w:rsidRPr="007302A2">
        <w:rPr>
          <w:lang w:val="fr-FR"/>
        </w:rPr>
        <w:t>4.7</w:t>
      </w:r>
      <w:r w:rsidRPr="007302A2">
        <w:rPr>
          <w:lang w:val="fr-FR"/>
        </w:rPr>
        <w:tab/>
        <w:t>L</w:t>
      </w:r>
      <w:r w:rsidR="00AA69CE">
        <w:rPr>
          <w:lang w:val="fr-FR"/>
        </w:rPr>
        <w:t>’</w:t>
      </w:r>
      <w:r w:rsidRPr="00C86F88">
        <w:rPr>
          <w:lang w:val="fr-FR"/>
        </w:rPr>
        <w:t>auteur n</w:t>
      </w:r>
      <w:r w:rsidR="00AA69CE">
        <w:rPr>
          <w:lang w:val="fr-FR"/>
        </w:rPr>
        <w:t>’</w:t>
      </w:r>
      <w:r w:rsidRPr="00C86F88">
        <w:rPr>
          <w:lang w:val="fr-FR"/>
        </w:rPr>
        <w:t>a fourni au Comité aucun élément nouveau qui n</w:t>
      </w:r>
      <w:r w:rsidR="00AA69CE">
        <w:rPr>
          <w:lang w:val="fr-FR"/>
        </w:rPr>
        <w:t>’</w:t>
      </w:r>
      <w:r w:rsidRPr="00C86F88">
        <w:rPr>
          <w:lang w:val="fr-FR"/>
        </w:rPr>
        <w:t>aurait pas déjà été examiné par la Commission</w:t>
      </w:r>
      <w:r>
        <w:rPr>
          <w:lang w:val="fr-FR"/>
        </w:rPr>
        <w:t xml:space="preserve"> danoise</w:t>
      </w:r>
      <w:r w:rsidRPr="00C86F88">
        <w:rPr>
          <w:lang w:val="fr-FR"/>
        </w:rPr>
        <w:t xml:space="preserve"> de recours des réfugiés. </w:t>
      </w:r>
      <w:r w:rsidRPr="005C45D9">
        <w:rPr>
          <w:lang w:val="fr-FR"/>
        </w:rPr>
        <w:t>D</w:t>
      </w:r>
      <w:r w:rsidRPr="00325182">
        <w:rPr>
          <w:lang w:val="fr-FR"/>
        </w:rPr>
        <w:t>ans sa décision du 27 mars 2014, la Commission a estimé que l</w:t>
      </w:r>
      <w:r w:rsidR="00AA69CE">
        <w:rPr>
          <w:lang w:val="fr-FR"/>
        </w:rPr>
        <w:t>’</w:t>
      </w:r>
      <w:r w:rsidRPr="00325182">
        <w:rPr>
          <w:lang w:val="fr-FR"/>
        </w:rPr>
        <w:t>intéressé n</w:t>
      </w:r>
      <w:r w:rsidR="00AA69CE">
        <w:rPr>
          <w:lang w:val="fr-FR"/>
        </w:rPr>
        <w:t>’</w:t>
      </w:r>
      <w:r w:rsidRPr="00325182">
        <w:rPr>
          <w:lang w:val="fr-FR"/>
        </w:rPr>
        <w:t>avait pas</w:t>
      </w:r>
      <w:r>
        <w:rPr>
          <w:lang w:val="fr-FR"/>
        </w:rPr>
        <w:t xml:space="preserve"> suffisamment</w:t>
      </w:r>
      <w:r w:rsidRPr="007302A2">
        <w:rPr>
          <w:lang w:val="fr-FR"/>
        </w:rPr>
        <w:t xml:space="preserve"> établi qu</w:t>
      </w:r>
      <w:r w:rsidR="00AA69CE">
        <w:rPr>
          <w:lang w:val="fr-FR"/>
        </w:rPr>
        <w:t>’</w:t>
      </w:r>
      <w:r w:rsidRPr="007302A2">
        <w:rPr>
          <w:lang w:val="fr-FR"/>
        </w:rPr>
        <w:t>il avait fait, avant son départ d</w:t>
      </w:r>
      <w:r>
        <w:rPr>
          <w:lang w:val="fr-FR"/>
        </w:rPr>
        <w:t>e République islamique d</w:t>
      </w:r>
      <w:r w:rsidR="00AA69CE">
        <w:rPr>
          <w:lang w:val="fr-FR"/>
        </w:rPr>
        <w:t>’</w:t>
      </w:r>
      <w:r w:rsidRPr="007302A2">
        <w:rPr>
          <w:lang w:val="fr-FR"/>
        </w:rPr>
        <w:t>Iran, l</w:t>
      </w:r>
      <w:r w:rsidR="00AA69CE">
        <w:rPr>
          <w:lang w:val="fr-FR"/>
        </w:rPr>
        <w:t>’</w:t>
      </w:r>
      <w:r w:rsidRPr="007302A2">
        <w:rPr>
          <w:lang w:val="fr-FR"/>
        </w:rPr>
        <w:t>objet de persécutions parce qu</w:t>
      </w:r>
      <w:r w:rsidR="00AA69CE">
        <w:rPr>
          <w:lang w:val="fr-FR"/>
        </w:rPr>
        <w:t>’</w:t>
      </w:r>
      <w:r w:rsidRPr="007302A2">
        <w:rPr>
          <w:lang w:val="fr-FR"/>
        </w:rPr>
        <w:t>il ne voulait plus travailler pour la milice bassidj. À cet égard, la Commission a souligné que les déclarations de l</w:t>
      </w:r>
      <w:r w:rsidR="00AA69CE">
        <w:rPr>
          <w:lang w:val="fr-FR"/>
        </w:rPr>
        <w:t>’</w:t>
      </w:r>
      <w:r w:rsidRPr="007302A2">
        <w:rPr>
          <w:lang w:val="fr-FR"/>
        </w:rPr>
        <w:t>auteur au sujet du conflit qui l</w:t>
      </w:r>
      <w:r w:rsidR="00AA69CE">
        <w:rPr>
          <w:lang w:val="fr-FR"/>
        </w:rPr>
        <w:t>’</w:t>
      </w:r>
      <w:r w:rsidRPr="007302A2">
        <w:rPr>
          <w:lang w:val="fr-FR"/>
        </w:rPr>
        <w:t>aurait opposé aux Bassidji avant son départ d</w:t>
      </w:r>
      <w:r>
        <w:rPr>
          <w:lang w:val="fr-FR"/>
        </w:rPr>
        <w:t>e République islamique d</w:t>
      </w:r>
      <w:r w:rsidR="00AA69CE">
        <w:rPr>
          <w:lang w:val="fr-FR"/>
        </w:rPr>
        <w:t>’</w:t>
      </w:r>
      <w:r w:rsidRPr="007302A2">
        <w:rPr>
          <w:lang w:val="fr-FR"/>
        </w:rPr>
        <w:t>Iran devaient être écartées faute de crédibilité</w:t>
      </w:r>
      <w:r w:rsidRPr="007D575F">
        <w:rPr>
          <w:rStyle w:val="Appelnotedebasdep"/>
        </w:rPr>
        <w:footnoteReference w:id="12"/>
      </w:r>
      <w:r w:rsidRPr="005D2A2E">
        <w:rPr>
          <w:lang w:val="fr-FR"/>
        </w:rPr>
        <w:t>. L</w:t>
      </w:r>
      <w:r w:rsidR="00AA69CE">
        <w:rPr>
          <w:lang w:val="fr-FR"/>
        </w:rPr>
        <w:t>’’</w:t>
      </w:r>
      <w:r w:rsidRPr="00DD0137">
        <w:rPr>
          <w:lang w:val="fr-FR"/>
        </w:rPr>
        <w:t>auteur n</w:t>
      </w:r>
      <w:r w:rsidR="00AA69CE">
        <w:rPr>
          <w:lang w:val="fr-FR"/>
        </w:rPr>
        <w:t>’</w:t>
      </w:r>
      <w:r w:rsidRPr="00DD0137">
        <w:rPr>
          <w:lang w:val="fr-FR"/>
        </w:rPr>
        <w:t xml:space="preserve">a </w:t>
      </w:r>
      <w:r w:rsidRPr="00325182">
        <w:rPr>
          <w:lang w:val="fr-FR"/>
        </w:rPr>
        <w:t>donc pas suffisamment démontré qu</w:t>
      </w:r>
      <w:r w:rsidR="00AA69CE">
        <w:rPr>
          <w:lang w:val="fr-FR"/>
        </w:rPr>
        <w:t>’</w:t>
      </w:r>
      <w:r w:rsidRPr="00325182">
        <w:rPr>
          <w:lang w:val="fr-FR"/>
        </w:rPr>
        <w:t>il courait le risque d</w:t>
      </w:r>
      <w:r w:rsidR="00AA69CE">
        <w:rPr>
          <w:lang w:val="fr-FR"/>
        </w:rPr>
        <w:t>’</w:t>
      </w:r>
      <w:r w:rsidRPr="00325182">
        <w:rPr>
          <w:lang w:val="fr-FR"/>
        </w:rPr>
        <w:t>être persécuté avant son départ d</w:t>
      </w:r>
      <w:r>
        <w:rPr>
          <w:lang w:val="fr-FR"/>
        </w:rPr>
        <w:t>e République islamique d</w:t>
      </w:r>
      <w:r w:rsidR="00AA69CE">
        <w:rPr>
          <w:lang w:val="fr-FR"/>
        </w:rPr>
        <w:t>’</w:t>
      </w:r>
      <w:r w:rsidRPr="00325182">
        <w:rPr>
          <w:lang w:val="fr-FR"/>
        </w:rPr>
        <w:t>Iran en raison d</w:t>
      </w:r>
      <w:r w:rsidR="00AA69CE">
        <w:rPr>
          <w:lang w:val="fr-FR"/>
        </w:rPr>
        <w:t>’</w:t>
      </w:r>
      <w:r w:rsidRPr="00325182">
        <w:rPr>
          <w:lang w:val="fr-FR"/>
        </w:rPr>
        <w:t xml:space="preserve">un conflit avec les Bassidji. </w:t>
      </w:r>
      <w:r>
        <w:rPr>
          <w:lang w:val="fr-FR"/>
        </w:rPr>
        <w:t>D</w:t>
      </w:r>
      <w:r w:rsidRPr="00C86F88">
        <w:rPr>
          <w:lang w:val="fr-FR"/>
        </w:rPr>
        <w:t>ès lors</w:t>
      </w:r>
      <w:r>
        <w:rPr>
          <w:lang w:val="fr-FR"/>
        </w:rPr>
        <w:t xml:space="preserve">, </w:t>
      </w:r>
      <w:r w:rsidRPr="00C86F88">
        <w:rPr>
          <w:lang w:val="fr-FR"/>
        </w:rPr>
        <w:t xml:space="preserve">en cas de renvoi en </w:t>
      </w:r>
      <w:r>
        <w:rPr>
          <w:lang w:val="fr-FR"/>
        </w:rPr>
        <w:t>République islamique d</w:t>
      </w:r>
      <w:r w:rsidR="00AA69CE">
        <w:rPr>
          <w:lang w:val="fr-FR"/>
        </w:rPr>
        <w:t>’</w:t>
      </w:r>
      <w:r w:rsidRPr="00C86F88">
        <w:rPr>
          <w:lang w:val="fr-FR"/>
        </w:rPr>
        <w:t>Iran l</w:t>
      </w:r>
      <w:r w:rsidR="00AA69CE">
        <w:rPr>
          <w:lang w:val="fr-FR"/>
        </w:rPr>
        <w:t>’</w:t>
      </w:r>
      <w:r w:rsidRPr="00C86F88">
        <w:rPr>
          <w:lang w:val="fr-FR"/>
        </w:rPr>
        <w:t>intéressé ne serait pas exposé au risque d</w:t>
      </w:r>
      <w:r w:rsidR="00AA69CE">
        <w:rPr>
          <w:lang w:val="fr-FR"/>
        </w:rPr>
        <w:t>’</w:t>
      </w:r>
      <w:r w:rsidRPr="00C86F88">
        <w:rPr>
          <w:lang w:val="fr-FR"/>
        </w:rPr>
        <w:t>être soumis à des actes relevant du champ d</w:t>
      </w:r>
      <w:r w:rsidR="00AA69CE">
        <w:rPr>
          <w:lang w:val="fr-FR"/>
        </w:rPr>
        <w:t>’</w:t>
      </w:r>
      <w:r w:rsidRPr="00C86F88">
        <w:rPr>
          <w:lang w:val="fr-FR"/>
        </w:rPr>
        <w:t>application des articles 6 et 7 du Pacte.</w:t>
      </w:r>
    </w:p>
    <w:p w:rsidR="00685027" w:rsidRPr="00325182" w:rsidRDefault="00685027" w:rsidP="00685027">
      <w:pPr>
        <w:pStyle w:val="SingleTxtG"/>
        <w:rPr>
          <w:lang w:val="fr-FR"/>
        </w:rPr>
      </w:pPr>
      <w:r w:rsidRPr="00325182">
        <w:rPr>
          <w:lang w:val="fr-FR"/>
        </w:rPr>
        <w:t>4.8</w:t>
      </w:r>
      <w:r w:rsidRPr="00325182">
        <w:rPr>
          <w:lang w:val="fr-FR"/>
        </w:rPr>
        <w:tab/>
        <w:t>En ce qui concerne la prétendue conversion de l</w:t>
      </w:r>
      <w:r w:rsidR="00AA69CE">
        <w:rPr>
          <w:lang w:val="fr-FR"/>
        </w:rPr>
        <w:t>’</w:t>
      </w:r>
      <w:r w:rsidRPr="00325182">
        <w:rPr>
          <w:lang w:val="fr-FR"/>
        </w:rPr>
        <w:t xml:space="preserve">auteur au christianisme, la Commission </w:t>
      </w:r>
      <w:r>
        <w:rPr>
          <w:lang w:val="fr-FR"/>
        </w:rPr>
        <w:t xml:space="preserve">danoise de recours des réfugiés </w:t>
      </w:r>
      <w:r w:rsidRPr="00325182">
        <w:rPr>
          <w:lang w:val="fr-FR"/>
        </w:rPr>
        <w:t>a procédé à une évaluation spécifique et individuelle des affirmations de l</w:t>
      </w:r>
      <w:r w:rsidR="00AA69CE">
        <w:rPr>
          <w:lang w:val="fr-FR"/>
        </w:rPr>
        <w:t>’</w:t>
      </w:r>
      <w:r w:rsidRPr="00325182">
        <w:rPr>
          <w:lang w:val="fr-FR"/>
        </w:rPr>
        <w:t>auteur sur ce point, ainsi que des déclarations faites par celui-ci lors de l</w:t>
      </w:r>
      <w:r w:rsidR="00AA69CE">
        <w:rPr>
          <w:lang w:val="fr-FR"/>
        </w:rPr>
        <w:t>’</w:t>
      </w:r>
      <w:r w:rsidRPr="00325182">
        <w:rPr>
          <w:lang w:val="fr-FR"/>
        </w:rPr>
        <w:t>audition et des pièces écrites du dossier, notamment les rapports établis à l</w:t>
      </w:r>
      <w:r w:rsidR="00AA69CE">
        <w:rPr>
          <w:lang w:val="fr-FR"/>
        </w:rPr>
        <w:t>’</w:t>
      </w:r>
      <w:r w:rsidRPr="00325182">
        <w:rPr>
          <w:lang w:val="fr-FR"/>
        </w:rPr>
        <w:t>issue des entretiens menés par le Service danois de l</w:t>
      </w:r>
      <w:r w:rsidR="00AA69CE">
        <w:rPr>
          <w:lang w:val="fr-FR"/>
        </w:rPr>
        <w:t>’</w:t>
      </w:r>
      <w:r w:rsidRPr="00325182">
        <w:rPr>
          <w:lang w:val="fr-FR"/>
        </w:rPr>
        <w:t>immigration, et elle a conclu qu</w:t>
      </w:r>
      <w:r w:rsidR="00AA69CE">
        <w:rPr>
          <w:lang w:val="fr-FR"/>
        </w:rPr>
        <w:t>’</w:t>
      </w:r>
      <w:r w:rsidRPr="00325182">
        <w:rPr>
          <w:lang w:val="fr-FR"/>
        </w:rPr>
        <w:t>il n</w:t>
      </w:r>
      <w:r w:rsidR="00AA69CE">
        <w:rPr>
          <w:lang w:val="fr-FR"/>
        </w:rPr>
        <w:t>’</w:t>
      </w:r>
      <w:r w:rsidRPr="00325182">
        <w:rPr>
          <w:lang w:val="fr-FR"/>
        </w:rPr>
        <w:t>y avait pas lieu de délivrer à l</w:t>
      </w:r>
      <w:r w:rsidR="00AA69CE">
        <w:rPr>
          <w:lang w:val="fr-FR"/>
        </w:rPr>
        <w:t>’</w:t>
      </w:r>
      <w:r w:rsidRPr="00325182">
        <w:rPr>
          <w:lang w:val="fr-FR"/>
        </w:rPr>
        <w:t>auteur un permis de séjour au titre de l</w:t>
      </w:r>
      <w:r w:rsidR="00AA69CE">
        <w:rPr>
          <w:lang w:val="fr-FR"/>
        </w:rPr>
        <w:t>’</w:t>
      </w:r>
      <w:r w:rsidRPr="00325182">
        <w:rPr>
          <w:lang w:val="fr-FR"/>
        </w:rPr>
        <w:t>article 7 de la loi sur les étrangers. Il ressort de la décision de la Commission du 27 mars 2014 que ses membres ont estimé à la majorité que l</w:t>
      </w:r>
      <w:r w:rsidR="00AA69CE">
        <w:rPr>
          <w:lang w:val="fr-FR"/>
        </w:rPr>
        <w:t>’</w:t>
      </w:r>
      <w:r w:rsidRPr="00325182">
        <w:rPr>
          <w:lang w:val="fr-FR"/>
        </w:rPr>
        <w:t>auteur n</w:t>
      </w:r>
      <w:r w:rsidR="00AA69CE">
        <w:rPr>
          <w:lang w:val="fr-FR"/>
        </w:rPr>
        <w:t>’</w:t>
      </w:r>
      <w:r w:rsidRPr="00325182">
        <w:rPr>
          <w:lang w:val="fr-FR"/>
        </w:rPr>
        <w:t xml:space="preserve">avait pas suffisamment établi que sa conversion au christianisme était sincère, malgré la production </w:t>
      </w:r>
      <w:r>
        <w:rPr>
          <w:lang w:val="fr-FR"/>
        </w:rPr>
        <w:t>du</w:t>
      </w:r>
      <w:r w:rsidRPr="00325182">
        <w:rPr>
          <w:lang w:val="fr-FR"/>
        </w:rPr>
        <w:t xml:space="preserve"> certificat de baptême </w:t>
      </w:r>
      <w:r>
        <w:rPr>
          <w:lang w:val="fr-FR"/>
        </w:rPr>
        <w:t>daté du 8</w:t>
      </w:r>
      <w:r w:rsidR="00B10E9C">
        <w:rPr>
          <w:lang w:val="fr-FR"/>
        </w:rPr>
        <w:t> </w:t>
      </w:r>
      <w:r>
        <w:rPr>
          <w:lang w:val="fr-FR"/>
        </w:rPr>
        <w:t xml:space="preserve">avril 2013 </w:t>
      </w:r>
      <w:r w:rsidRPr="00325182">
        <w:rPr>
          <w:lang w:val="fr-FR"/>
        </w:rPr>
        <w:t>et de déclarations émanant d</w:t>
      </w:r>
      <w:r w:rsidR="00AA69CE">
        <w:rPr>
          <w:lang w:val="fr-FR"/>
        </w:rPr>
        <w:t>’</w:t>
      </w:r>
      <w:r w:rsidRPr="00325182">
        <w:rPr>
          <w:lang w:val="fr-FR"/>
        </w:rPr>
        <w:t>un pasteur et de l</w:t>
      </w:r>
      <w:r w:rsidR="00AA69CE">
        <w:rPr>
          <w:lang w:val="fr-FR"/>
        </w:rPr>
        <w:t>’</w:t>
      </w:r>
      <w:r w:rsidRPr="00325182">
        <w:rPr>
          <w:lang w:val="fr-FR"/>
        </w:rPr>
        <w:t>Église pentecôtiste, et en dépit de sa connaissance de la foi chrétienne.</w:t>
      </w:r>
    </w:p>
    <w:p w:rsidR="00685027" w:rsidRPr="00325182" w:rsidRDefault="00685027" w:rsidP="00685027">
      <w:pPr>
        <w:pStyle w:val="SingleTxtG"/>
        <w:rPr>
          <w:lang w:val="fr-FR"/>
        </w:rPr>
      </w:pPr>
      <w:r w:rsidRPr="00325182">
        <w:rPr>
          <w:lang w:val="fr-FR"/>
        </w:rPr>
        <w:t>4.9</w:t>
      </w:r>
      <w:r w:rsidRPr="00325182">
        <w:rPr>
          <w:lang w:val="fr-FR"/>
        </w:rPr>
        <w:tab/>
        <w:t>Pour déterminer si les activités de l</w:t>
      </w:r>
      <w:r w:rsidR="00AA69CE">
        <w:rPr>
          <w:lang w:val="fr-FR"/>
        </w:rPr>
        <w:t>’</w:t>
      </w:r>
      <w:r w:rsidRPr="00325182">
        <w:rPr>
          <w:lang w:val="fr-FR"/>
        </w:rPr>
        <w:t>auteur au cours de son séjour au Danemark peuvent être considérées comme motivées par des convictions chrétiennes sincères, il convient notamment de se fonder sur l</w:t>
      </w:r>
      <w:r w:rsidR="00AA69CE">
        <w:rPr>
          <w:lang w:val="fr-FR"/>
        </w:rPr>
        <w:t>’</w:t>
      </w:r>
      <w:r w:rsidRPr="00325182">
        <w:rPr>
          <w:lang w:val="fr-FR"/>
        </w:rPr>
        <w:t>évaluation des déclarations qu</w:t>
      </w:r>
      <w:r w:rsidR="00AA69CE">
        <w:rPr>
          <w:lang w:val="fr-FR"/>
        </w:rPr>
        <w:t>’</w:t>
      </w:r>
      <w:r w:rsidRPr="00325182">
        <w:rPr>
          <w:lang w:val="fr-FR"/>
        </w:rPr>
        <w:t>il a faites au sujet de ses convictions religieuses, au regard des autres circonstances invoquées à l</w:t>
      </w:r>
      <w:r w:rsidR="00AA69CE">
        <w:rPr>
          <w:lang w:val="fr-FR"/>
        </w:rPr>
        <w:t>’</w:t>
      </w:r>
      <w:r w:rsidRPr="00325182">
        <w:rPr>
          <w:lang w:val="fr-FR"/>
        </w:rPr>
        <w:t>appui de sa demande. Cette démarche est conforme aux prescriptions</w:t>
      </w:r>
      <w:r>
        <w:rPr>
          <w:lang w:val="fr-FR"/>
        </w:rPr>
        <w:t xml:space="preserve"> </w:t>
      </w:r>
      <w:r w:rsidRPr="00325182">
        <w:rPr>
          <w:lang w:val="fr-FR"/>
        </w:rPr>
        <w:t xml:space="preserve">figurant tant au paragraphe 96 du </w:t>
      </w:r>
      <w:r w:rsidRPr="00325182">
        <w:rPr>
          <w:i/>
          <w:lang w:val="fr-FR"/>
        </w:rPr>
        <w:t xml:space="preserve">Guide </w:t>
      </w:r>
      <w:r>
        <w:rPr>
          <w:i/>
          <w:lang w:val="fr-FR"/>
        </w:rPr>
        <w:t>d</w:t>
      </w:r>
      <w:r w:rsidRPr="00325182">
        <w:rPr>
          <w:i/>
          <w:lang w:val="fr-FR"/>
        </w:rPr>
        <w:t>es procédures et critères à appliquer pour déterminer le statut des réfugiés au regard de la Convention de 1951 et du Protocole de 1967 relatifs au statut des réfugiés</w:t>
      </w:r>
      <w:r w:rsidRPr="007D575F">
        <w:rPr>
          <w:rStyle w:val="Appelnotedebasdep"/>
        </w:rPr>
        <w:footnoteReference w:id="13"/>
      </w:r>
      <w:r>
        <w:rPr>
          <w:lang w:val="fr-FR"/>
        </w:rPr>
        <w:t xml:space="preserve"> et </w:t>
      </w:r>
      <w:r w:rsidRPr="005D2A2E">
        <w:rPr>
          <w:lang w:val="fr-FR"/>
        </w:rPr>
        <w:t xml:space="preserve">au paragraphe 34 des </w:t>
      </w:r>
      <w:r w:rsidRPr="00325182">
        <w:rPr>
          <w:i/>
          <w:lang w:val="fr-FR"/>
        </w:rPr>
        <w:t>Principes directeurs sur la protection internationale : Demandes d</w:t>
      </w:r>
      <w:r w:rsidR="00AA69CE">
        <w:rPr>
          <w:i/>
          <w:lang w:val="fr-FR"/>
        </w:rPr>
        <w:t>’</w:t>
      </w:r>
      <w:r w:rsidRPr="00325182">
        <w:rPr>
          <w:i/>
          <w:lang w:val="fr-FR"/>
        </w:rPr>
        <w:t>asile fondées sur la religion au sens de l</w:t>
      </w:r>
      <w:r w:rsidR="00AA69CE">
        <w:rPr>
          <w:i/>
          <w:lang w:val="fr-FR"/>
        </w:rPr>
        <w:t>’</w:t>
      </w:r>
      <w:r w:rsidRPr="00325182">
        <w:rPr>
          <w:i/>
          <w:lang w:val="fr-FR"/>
        </w:rPr>
        <w:t>article 1A</w:t>
      </w:r>
      <w:r w:rsidR="003A4B03">
        <w:rPr>
          <w:i/>
          <w:lang w:val="fr-FR"/>
        </w:rPr>
        <w:t>(</w:t>
      </w:r>
      <w:r w:rsidRPr="00325182">
        <w:rPr>
          <w:i/>
          <w:lang w:val="fr-FR"/>
        </w:rPr>
        <w:t>2</w:t>
      </w:r>
      <w:r w:rsidR="003A4B03">
        <w:rPr>
          <w:i/>
          <w:lang w:val="fr-FR"/>
        </w:rPr>
        <w:t>)</w:t>
      </w:r>
      <w:r w:rsidRPr="00325182">
        <w:rPr>
          <w:i/>
          <w:lang w:val="fr-FR"/>
        </w:rPr>
        <w:t xml:space="preserve"> de la Convention de 1951 et/ou du Protocole de 1967 relatif au statut des réfugiés</w:t>
      </w:r>
      <w:r w:rsidRPr="00325182">
        <w:rPr>
          <w:lang w:val="fr-FR"/>
        </w:rPr>
        <w:t>, lequel dit, en autres choses, que « lorsque des personnes se convertissent après leur départ de leur pays d</w:t>
      </w:r>
      <w:r w:rsidR="00AA69CE">
        <w:rPr>
          <w:lang w:val="fr-FR"/>
        </w:rPr>
        <w:t>’</w:t>
      </w:r>
      <w:r w:rsidRPr="00325182">
        <w:rPr>
          <w:lang w:val="fr-FR"/>
        </w:rPr>
        <w:t>origine, cela peut avoir l</w:t>
      </w:r>
      <w:r w:rsidR="00AA69CE">
        <w:rPr>
          <w:lang w:val="fr-FR"/>
        </w:rPr>
        <w:t>’</w:t>
      </w:r>
      <w:r w:rsidRPr="00325182">
        <w:rPr>
          <w:lang w:val="fr-FR"/>
        </w:rPr>
        <w:t>effet de créer une demande “sur place”. Dans de telles situations, des préoccupations particulières en termes de crédibilité ont tendance à émerger et un examen rigoureux et approfondi des circonstances et de la sincérité de la conversion sera nécessaire ».</w:t>
      </w:r>
    </w:p>
    <w:p w:rsidR="00685027" w:rsidRPr="00325182" w:rsidRDefault="00685027" w:rsidP="00685027">
      <w:pPr>
        <w:pStyle w:val="SingleTxtG"/>
        <w:rPr>
          <w:lang w:val="fr-FR"/>
        </w:rPr>
      </w:pPr>
      <w:r w:rsidRPr="00325182">
        <w:rPr>
          <w:lang w:val="fr-FR"/>
        </w:rPr>
        <w:t>4.10</w:t>
      </w:r>
      <w:r w:rsidRPr="00325182">
        <w:rPr>
          <w:lang w:val="fr-FR"/>
        </w:rPr>
        <w:tab/>
      </w:r>
      <w:r>
        <w:rPr>
          <w:lang w:val="fr-FR"/>
        </w:rPr>
        <w:t>Ayant</w:t>
      </w:r>
      <w:r w:rsidRPr="00325182">
        <w:rPr>
          <w:lang w:val="fr-FR"/>
        </w:rPr>
        <w:t xml:space="preserve"> </w:t>
      </w:r>
      <w:r>
        <w:rPr>
          <w:lang w:val="fr-FR"/>
        </w:rPr>
        <w:t>expliqué</w:t>
      </w:r>
      <w:r w:rsidRPr="00325182">
        <w:rPr>
          <w:lang w:val="fr-FR"/>
        </w:rPr>
        <w:t xml:space="preserve"> les éléments qui sont pris en considération par la Commission </w:t>
      </w:r>
      <w:r>
        <w:rPr>
          <w:lang w:val="fr-FR"/>
        </w:rPr>
        <w:t xml:space="preserve">danoise </w:t>
      </w:r>
      <w:r w:rsidRPr="00325182">
        <w:rPr>
          <w:lang w:val="fr-FR"/>
        </w:rPr>
        <w:t>de recours des réfugiés pour évaluer la sincérité d</w:t>
      </w:r>
      <w:r w:rsidR="00AA69CE">
        <w:rPr>
          <w:lang w:val="fr-FR"/>
        </w:rPr>
        <w:t>’</w:t>
      </w:r>
      <w:r w:rsidRPr="00325182">
        <w:rPr>
          <w:lang w:val="fr-FR"/>
        </w:rPr>
        <w:t>une conversion</w:t>
      </w:r>
      <w:r w:rsidRPr="007D575F">
        <w:rPr>
          <w:rStyle w:val="Appelnotedebasdep"/>
        </w:rPr>
        <w:footnoteReference w:id="14"/>
      </w:r>
      <w:r w:rsidRPr="005D2A2E">
        <w:rPr>
          <w:lang w:val="fr-FR"/>
        </w:rPr>
        <w:t>, l</w:t>
      </w:r>
      <w:r w:rsidR="00AA69CE">
        <w:rPr>
          <w:lang w:val="fr-FR"/>
        </w:rPr>
        <w:t>’</w:t>
      </w:r>
      <w:r w:rsidRPr="005D2A2E">
        <w:rPr>
          <w:lang w:val="fr-FR"/>
        </w:rPr>
        <w:t>État partie indique qu</w:t>
      </w:r>
      <w:r w:rsidR="00AA69CE">
        <w:rPr>
          <w:lang w:val="fr-FR"/>
        </w:rPr>
        <w:t>’</w:t>
      </w:r>
      <w:r w:rsidRPr="005D2A2E">
        <w:rPr>
          <w:lang w:val="fr-FR"/>
        </w:rPr>
        <w:t>en l</w:t>
      </w:r>
      <w:r w:rsidR="00AA69CE">
        <w:rPr>
          <w:lang w:val="fr-FR"/>
        </w:rPr>
        <w:t>’</w:t>
      </w:r>
      <w:r w:rsidRPr="005D2A2E">
        <w:rPr>
          <w:lang w:val="fr-FR"/>
        </w:rPr>
        <w:t>espèce la Commission a estimé que les éléments de fait avancés par l</w:t>
      </w:r>
      <w:r w:rsidR="00AA69CE">
        <w:rPr>
          <w:lang w:val="fr-FR"/>
        </w:rPr>
        <w:t>’</w:t>
      </w:r>
      <w:r w:rsidRPr="005D2A2E">
        <w:rPr>
          <w:lang w:val="fr-FR"/>
        </w:rPr>
        <w:t xml:space="preserve">auteur ne témoignaient pas de convictions sincères et profondes. Il ressort </w:t>
      </w:r>
      <w:r>
        <w:rPr>
          <w:lang w:val="fr-FR"/>
        </w:rPr>
        <w:t xml:space="preserve">de la </w:t>
      </w:r>
      <w:r w:rsidRPr="005D2A2E">
        <w:rPr>
          <w:lang w:val="fr-FR"/>
        </w:rPr>
        <w:t xml:space="preserve">décision </w:t>
      </w:r>
      <w:r>
        <w:rPr>
          <w:lang w:val="fr-FR"/>
        </w:rPr>
        <w:t xml:space="preserve">de la Commission datée </w:t>
      </w:r>
      <w:r w:rsidRPr="005D2A2E">
        <w:rPr>
          <w:lang w:val="fr-FR"/>
        </w:rPr>
        <w:t>du 27 mars 2014 que la majorité de ses membres a accordé une importance déterminante au fait que les déclarations de l</w:t>
      </w:r>
      <w:r w:rsidR="00AA69CE">
        <w:rPr>
          <w:lang w:val="fr-FR"/>
        </w:rPr>
        <w:t>’</w:t>
      </w:r>
      <w:r w:rsidRPr="005D2A2E">
        <w:rPr>
          <w:lang w:val="fr-FR"/>
        </w:rPr>
        <w:t xml:space="preserve">auteur concernant le </w:t>
      </w:r>
      <w:r w:rsidRPr="00325182">
        <w:rPr>
          <w:lang w:val="fr-FR"/>
        </w:rPr>
        <w:t>motif initial de sa demande d</w:t>
      </w:r>
      <w:r w:rsidR="00AA69CE">
        <w:rPr>
          <w:lang w:val="fr-FR"/>
        </w:rPr>
        <w:t>’</w:t>
      </w:r>
      <w:r w:rsidRPr="00325182">
        <w:rPr>
          <w:lang w:val="fr-FR"/>
        </w:rPr>
        <w:t>asile étaient incohérentes et que celles sur sa conversion se contredisaient sur des points essentiels. Tel était notamment le cas concernant la réaction de sa famille à sa conversion, la date de sa première rencontre avec Z. A., également demandeuse d</w:t>
      </w:r>
      <w:r w:rsidR="00AA69CE">
        <w:rPr>
          <w:lang w:val="fr-FR"/>
        </w:rPr>
        <w:t>’</w:t>
      </w:r>
      <w:r w:rsidRPr="00325182">
        <w:rPr>
          <w:lang w:val="fr-FR"/>
        </w:rPr>
        <w:t xml:space="preserve">asile qui </w:t>
      </w:r>
      <w:r>
        <w:rPr>
          <w:lang w:val="fr-FR"/>
        </w:rPr>
        <w:t xml:space="preserve">selon la déclaration </w:t>
      </w:r>
      <w:r w:rsidRPr="00325182">
        <w:rPr>
          <w:lang w:val="fr-FR"/>
        </w:rPr>
        <w:t>de l</w:t>
      </w:r>
      <w:r w:rsidR="00AA69CE">
        <w:rPr>
          <w:lang w:val="fr-FR"/>
        </w:rPr>
        <w:t>’</w:t>
      </w:r>
      <w:r w:rsidRPr="00325182">
        <w:rPr>
          <w:lang w:val="fr-FR"/>
        </w:rPr>
        <w:t>auteur l</w:t>
      </w:r>
      <w:r w:rsidR="00AA69CE">
        <w:rPr>
          <w:lang w:val="fr-FR"/>
        </w:rPr>
        <w:t>’</w:t>
      </w:r>
      <w:r w:rsidRPr="00325182">
        <w:rPr>
          <w:lang w:val="fr-FR"/>
        </w:rPr>
        <w:t>aurait initié au christianisme, et la question de savoir à quel moment l</w:t>
      </w:r>
      <w:r w:rsidR="00AA69CE">
        <w:rPr>
          <w:lang w:val="fr-FR"/>
        </w:rPr>
        <w:t>’</w:t>
      </w:r>
      <w:r w:rsidRPr="00325182">
        <w:rPr>
          <w:lang w:val="fr-FR"/>
        </w:rPr>
        <w:t>auteur s</w:t>
      </w:r>
      <w:r w:rsidR="00AA69CE">
        <w:rPr>
          <w:lang w:val="fr-FR"/>
        </w:rPr>
        <w:t>’</w:t>
      </w:r>
      <w:r w:rsidRPr="00325182">
        <w:rPr>
          <w:lang w:val="fr-FR"/>
        </w:rPr>
        <w:t>est lui-même considéré comme converti. Compte tenu de ces circonstances, la majorité des membres de la Commission a estimé que l</w:t>
      </w:r>
      <w:r w:rsidR="00AA69CE">
        <w:rPr>
          <w:lang w:val="fr-FR"/>
        </w:rPr>
        <w:t>’</w:t>
      </w:r>
      <w:r w:rsidRPr="00325182">
        <w:rPr>
          <w:lang w:val="fr-FR"/>
        </w:rPr>
        <w:t>auteur n</w:t>
      </w:r>
      <w:r w:rsidR="00AA69CE">
        <w:rPr>
          <w:lang w:val="fr-FR"/>
        </w:rPr>
        <w:t>’</w:t>
      </w:r>
      <w:r w:rsidRPr="00325182">
        <w:rPr>
          <w:lang w:val="fr-FR"/>
        </w:rPr>
        <w:t>avait témoigné aucun intérêt pour la foi chrétienne jusqu</w:t>
      </w:r>
      <w:r w:rsidR="00AA69CE">
        <w:rPr>
          <w:lang w:val="fr-FR"/>
        </w:rPr>
        <w:t>’</w:t>
      </w:r>
      <w:r w:rsidRPr="00325182">
        <w:rPr>
          <w:lang w:val="fr-FR"/>
        </w:rPr>
        <w:t>au rejet de sa demande d</w:t>
      </w:r>
      <w:r w:rsidR="00AA69CE">
        <w:rPr>
          <w:lang w:val="fr-FR"/>
        </w:rPr>
        <w:t>’</w:t>
      </w:r>
      <w:r w:rsidRPr="00325182">
        <w:rPr>
          <w:lang w:val="fr-FR"/>
        </w:rPr>
        <w:t>asile par le Service danois de l</w:t>
      </w:r>
      <w:r w:rsidR="00AA69CE">
        <w:rPr>
          <w:lang w:val="fr-FR"/>
        </w:rPr>
        <w:t>’</w:t>
      </w:r>
      <w:r w:rsidRPr="00325182">
        <w:rPr>
          <w:lang w:val="fr-FR"/>
        </w:rPr>
        <w:t>immigration et que sa conversion n</w:t>
      </w:r>
      <w:r w:rsidR="00AA69CE">
        <w:rPr>
          <w:lang w:val="fr-FR"/>
        </w:rPr>
        <w:t>’</w:t>
      </w:r>
      <w:r w:rsidRPr="00325182">
        <w:rPr>
          <w:lang w:val="fr-FR"/>
        </w:rPr>
        <w:t>était donc pas l</w:t>
      </w:r>
      <w:r w:rsidR="00AA69CE">
        <w:rPr>
          <w:lang w:val="fr-FR"/>
        </w:rPr>
        <w:t>’</w:t>
      </w:r>
      <w:r w:rsidRPr="00325182">
        <w:rPr>
          <w:lang w:val="fr-FR"/>
        </w:rPr>
        <w:t>aboutissement d</w:t>
      </w:r>
      <w:r w:rsidR="00AA69CE">
        <w:rPr>
          <w:lang w:val="fr-FR"/>
        </w:rPr>
        <w:t>’</w:t>
      </w:r>
      <w:r w:rsidRPr="00325182">
        <w:rPr>
          <w:lang w:val="fr-FR"/>
        </w:rPr>
        <w:t>une démarche intérieure spontanée.</w:t>
      </w:r>
    </w:p>
    <w:p w:rsidR="00685027" w:rsidRPr="00325182" w:rsidRDefault="00685027" w:rsidP="00685027">
      <w:pPr>
        <w:pStyle w:val="SingleTxtG"/>
        <w:rPr>
          <w:lang w:val="fr-FR"/>
        </w:rPr>
      </w:pPr>
      <w:r w:rsidRPr="00325182">
        <w:rPr>
          <w:lang w:val="fr-FR"/>
        </w:rPr>
        <w:t>4.11</w:t>
      </w:r>
      <w:r w:rsidRPr="00325182">
        <w:rPr>
          <w:lang w:val="fr-FR"/>
        </w:rPr>
        <w:tab/>
        <w:t>L</w:t>
      </w:r>
      <w:r w:rsidR="00AA69CE">
        <w:rPr>
          <w:lang w:val="fr-FR"/>
        </w:rPr>
        <w:t>’</w:t>
      </w:r>
      <w:r w:rsidRPr="00325182">
        <w:rPr>
          <w:lang w:val="fr-FR"/>
        </w:rPr>
        <w:t>État partie accorde une importance particulière au moment où a eu lieu la première conversation de l</w:t>
      </w:r>
      <w:r w:rsidR="00AA69CE">
        <w:rPr>
          <w:lang w:val="fr-FR"/>
        </w:rPr>
        <w:t>’</w:t>
      </w:r>
      <w:r w:rsidRPr="00325182">
        <w:rPr>
          <w:lang w:val="fr-FR"/>
        </w:rPr>
        <w:t>auteur avec Z. A., car l</w:t>
      </w:r>
      <w:r w:rsidR="00AA69CE">
        <w:rPr>
          <w:lang w:val="fr-FR"/>
        </w:rPr>
        <w:t>’</w:t>
      </w:r>
      <w:r w:rsidRPr="00325182">
        <w:rPr>
          <w:lang w:val="fr-FR"/>
        </w:rPr>
        <w:t>intéressé a déclaré à plusieurs reprises que cette conversation l</w:t>
      </w:r>
      <w:r w:rsidR="00AA69CE">
        <w:rPr>
          <w:lang w:val="fr-FR"/>
        </w:rPr>
        <w:t>’</w:t>
      </w:r>
      <w:r w:rsidRPr="00325182">
        <w:rPr>
          <w:lang w:val="fr-FR"/>
        </w:rPr>
        <w:t>avait profondément marqué et que c</w:t>
      </w:r>
      <w:r w:rsidR="00AA69CE">
        <w:rPr>
          <w:lang w:val="fr-FR"/>
        </w:rPr>
        <w:t>’</w:t>
      </w:r>
      <w:r w:rsidRPr="00325182">
        <w:rPr>
          <w:lang w:val="fr-FR"/>
        </w:rPr>
        <w:t>est à partir de ce jour que, alors qu</w:t>
      </w:r>
      <w:r w:rsidR="00AA69CE">
        <w:rPr>
          <w:lang w:val="fr-FR"/>
        </w:rPr>
        <w:t>’</w:t>
      </w:r>
      <w:r w:rsidRPr="00325182">
        <w:rPr>
          <w:lang w:val="fr-FR"/>
        </w:rPr>
        <w:t>il était jusque-là musulman pratiquant, il avait commencé à se considérer comme chrétien. Donc, si l</w:t>
      </w:r>
      <w:r w:rsidR="00AA69CE">
        <w:rPr>
          <w:lang w:val="fr-FR"/>
        </w:rPr>
        <w:t>’</w:t>
      </w:r>
      <w:r w:rsidRPr="00325182">
        <w:rPr>
          <w:lang w:val="fr-FR"/>
        </w:rPr>
        <w:t>on en croît l</w:t>
      </w:r>
      <w:r w:rsidR="00AA69CE">
        <w:rPr>
          <w:lang w:val="fr-FR"/>
        </w:rPr>
        <w:t>’</w:t>
      </w:r>
      <w:r w:rsidRPr="00325182">
        <w:rPr>
          <w:lang w:val="fr-FR"/>
        </w:rPr>
        <w:t xml:space="preserve">auteur, cette conversation aurait eu une </w:t>
      </w:r>
      <w:r>
        <w:rPr>
          <w:lang w:val="fr-FR"/>
        </w:rPr>
        <w:t xml:space="preserve">grande </w:t>
      </w:r>
      <w:r w:rsidRPr="00325182">
        <w:rPr>
          <w:lang w:val="fr-FR"/>
        </w:rPr>
        <w:t>importance, or les déclarations qu</w:t>
      </w:r>
      <w:r w:rsidR="00AA69CE">
        <w:rPr>
          <w:lang w:val="fr-FR"/>
        </w:rPr>
        <w:t>’</w:t>
      </w:r>
      <w:r w:rsidRPr="00325182">
        <w:rPr>
          <w:lang w:val="fr-FR"/>
        </w:rPr>
        <w:t>il a faites aux autorités danoises de l</w:t>
      </w:r>
      <w:r w:rsidR="00AA69CE">
        <w:rPr>
          <w:lang w:val="fr-FR"/>
        </w:rPr>
        <w:t>’</w:t>
      </w:r>
      <w:r w:rsidRPr="00325182">
        <w:rPr>
          <w:lang w:val="fr-FR"/>
        </w:rPr>
        <w:t>immigration au sujet de sa date sont contradictoires.</w:t>
      </w:r>
    </w:p>
    <w:p w:rsidR="00685027" w:rsidRPr="00325182" w:rsidRDefault="00685027" w:rsidP="00685027">
      <w:pPr>
        <w:pStyle w:val="SingleTxtG"/>
        <w:rPr>
          <w:lang w:val="fr-FR"/>
        </w:rPr>
      </w:pPr>
      <w:r w:rsidRPr="00325182">
        <w:rPr>
          <w:lang w:val="fr-FR"/>
        </w:rPr>
        <w:t>4.12</w:t>
      </w:r>
      <w:r w:rsidRPr="00325182">
        <w:rPr>
          <w:lang w:val="fr-FR"/>
        </w:rPr>
        <w:tab/>
        <w:t>En</w:t>
      </w:r>
      <w:r>
        <w:rPr>
          <w:lang w:val="fr-FR"/>
        </w:rPr>
        <w:t xml:space="preserve"> </w:t>
      </w:r>
      <w:r w:rsidRPr="00325182">
        <w:rPr>
          <w:lang w:val="fr-FR"/>
        </w:rPr>
        <w:t>particulier, lorsqu</w:t>
      </w:r>
      <w:r w:rsidR="00AA69CE">
        <w:rPr>
          <w:lang w:val="fr-FR"/>
        </w:rPr>
        <w:t>’</w:t>
      </w:r>
      <w:r w:rsidRPr="00325182">
        <w:rPr>
          <w:lang w:val="fr-FR"/>
        </w:rPr>
        <w:t>il a été interrogé le 19 novembre 2013 par le personnel du Service</w:t>
      </w:r>
      <w:r>
        <w:rPr>
          <w:lang w:val="fr-FR"/>
        </w:rPr>
        <w:t xml:space="preserve"> danois</w:t>
      </w:r>
      <w:r w:rsidRPr="00325182">
        <w:rPr>
          <w:lang w:val="fr-FR"/>
        </w:rPr>
        <w:t xml:space="preserve"> de l</w:t>
      </w:r>
      <w:r w:rsidR="00AA69CE">
        <w:rPr>
          <w:lang w:val="fr-FR"/>
        </w:rPr>
        <w:t>’</w:t>
      </w:r>
      <w:r w:rsidRPr="00325182">
        <w:rPr>
          <w:lang w:val="fr-FR"/>
        </w:rPr>
        <w:t>immigration au sujet du nouveau motif de sa demande, à savoir sa conversion, l</w:t>
      </w:r>
      <w:r w:rsidR="00AA69CE">
        <w:rPr>
          <w:lang w:val="fr-FR"/>
        </w:rPr>
        <w:t>’</w:t>
      </w:r>
      <w:r w:rsidRPr="00325182">
        <w:rPr>
          <w:lang w:val="fr-FR"/>
        </w:rPr>
        <w:t>auteur a notamment déclaré que la conversation avec Z. A. avait eu lieu en février 2013 et qu</w:t>
      </w:r>
      <w:r w:rsidR="00AA69CE">
        <w:rPr>
          <w:lang w:val="fr-FR"/>
        </w:rPr>
        <w:t>’</w:t>
      </w:r>
      <w:r w:rsidRPr="00325182">
        <w:rPr>
          <w:lang w:val="fr-FR"/>
        </w:rPr>
        <w:t xml:space="preserve">il avait rencontré cette personne </w:t>
      </w:r>
      <w:r w:rsidRPr="00325182">
        <w:rPr>
          <w:i/>
          <w:lang w:val="fr-FR"/>
        </w:rPr>
        <w:t>après</w:t>
      </w:r>
      <w:r w:rsidRPr="00325182">
        <w:rPr>
          <w:lang w:val="fr-FR"/>
        </w:rPr>
        <w:t xml:space="preserve"> avoir reçu la réponse négative du Service de l</w:t>
      </w:r>
      <w:r w:rsidR="00AA69CE">
        <w:rPr>
          <w:lang w:val="fr-FR"/>
        </w:rPr>
        <w:t>’</w:t>
      </w:r>
      <w:r w:rsidRPr="00325182">
        <w:rPr>
          <w:lang w:val="fr-FR"/>
        </w:rPr>
        <w:t>immigration, même s</w:t>
      </w:r>
      <w:r w:rsidR="00AA69CE">
        <w:rPr>
          <w:lang w:val="fr-FR"/>
        </w:rPr>
        <w:t>’</w:t>
      </w:r>
      <w:r w:rsidRPr="00325182">
        <w:rPr>
          <w:lang w:val="fr-FR"/>
        </w:rPr>
        <w:t>il ne se souvenait pas exactement combien de temps après. Lors de la relecture du compte rendu de l</w:t>
      </w:r>
      <w:r w:rsidR="00AA69CE">
        <w:rPr>
          <w:lang w:val="fr-FR"/>
        </w:rPr>
        <w:t>’</w:t>
      </w:r>
      <w:r w:rsidRPr="00325182">
        <w:rPr>
          <w:lang w:val="fr-FR"/>
        </w:rPr>
        <w:t>entretien, l</w:t>
      </w:r>
      <w:r w:rsidR="00AA69CE">
        <w:rPr>
          <w:lang w:val="fr-FR"/>
        </w:rPr>
        <w:t>’</w:t>
      </w:r>
      <w:r w:rsidRPr="00325182">
        <w:rPr>
          <w:lang w:val="fr-FR"/>
        </w:rPr>
        <w:t>auteur a de nouveau dit qu</w:t>
      </w:r>
      <w:r w:rsidR="00AA69CE">
        <w:rPr>
          <w:lang w:val="fr-FR"/>
        </w:rPr>
        <w:t>’</w:t>
      </w:r>
      <w:r w:rsidRPr="00325182">
        <w:rPr>
          <w:lang w:val="fr-FR"/>
        </w:rPr>
        <w:t>il avait embrassé la religion chrétienne en février 2013, à la suite de sa conversation avec Z. A. La question lui ayant été posée, il a confirmé que sa conversation avec Z. A. avait eu lieu après qu</w:t>
      </w:r>
      <w:r w:rsidR="00AA69CE">
        <w:rPr>
          <w:lang w:val="fr-FR"/>
        </w:rPr>
        <w:t>’</w:t>
      </w:r>
      <w:r w:rsidRPr="00325182">
        <w:rPr>
          <w:lang w:val="fr-FR"/>
        </w:rPr>
        <w:t>il ait reçu la décision de refus du Service de l</w:t>
      </w:r>
      <w:r w:rsidR="00AA69CE">
        <w:rPr>
          <w:lang w:val="fr-FR"/>
        </w:rPr>
        <w:t>’</w:t>
      </w:r>
      <w:r w:rsidRPr="00325182">
        <w:rPr>
          <w:lang w:val="fr-FR"/>
        </w:rPr>
        <w:t>immigration. Or, lors de l</w:t>
      </w:r>
      <w:r w:rsidR="00AA69CE">
        <w:rPr>
          <w:lang w:val="fr-FR"/>
        </w:rPr>
        <w:t>’</w:t>
      </w:r>
      <w:r w:rsidRPr="00325182">
        <w:rPr>
          <w:lang w:val="fr-FR"/>
        </w:rPr>
        <w:t xml:space="preserve">audition devant la Commission </w:t>
      </w:r>
      <w:r>
        <w:rPr>
          <w:lang w:val="fr-FR"/>
        </w:rPr>
        <w:t xml:space="preserve">danoise </w:t>
      </w:r>
      <w:r w:rsidRPr="00325182">
        <w:rPr>
          <w:lang w:val="fr-FR"/>
        </w:rPr>
        <w:t>de recours des réfugiés tenue le 27 mars 2014, l</w:t>
      </w:r>
      <w:r w:rsidR="00AA69CE">
        <w:rPr>
          <w:lang w:val="fr-FR"/>
        </w:rPr>
        <w:t>’</w:t>
      </w:r>
      <w:r w:rsidRPr="00325182">
        <w:rPr>
          <w:lang w:val="fr-FR"/>
        </w:rPr>
        <w:t>intéressé a affirmé qu</w:t>
      </w:r>
      <w:r w:rsidR="00AA69CE">
        <w:rPr>
          <w:lang w:val="fr-FR"/>
        </w:rPr>
        <w:t>’</w:t>
      </w:r>
      <w:r w:rsidRPr="00325182">
        <w:rPr>
          <w:lang w:val="fr-FR"/>
        </w:rPr>
        <w:t xml:space="preserve">il avait rencontré Z. A. en décembre 2012 </w:t>
      </w:r>
      <w:r>
        <w:rPr>
          <w:lang w:val="fr-FR"/>
        </w:rPr>
        <w:t>− </w:t>
      </w:r>
      <w:r w:rsidRPr="00325182">
        <w:rPr>
          <w:lang w:val="fr-FR"/>
        </w:rPr>
        <w:t xml:space="preserve">à savoir, </w:t>
      </w:r>
      <w:r w:rsidRPr="00325182">
        <w:rPr>
          <w:i/>
          <w:iCs/>
          <w:lang w:val="fr-FR"/>
        </w:rPr>
        <w:t xml:space="preserve">avant </w:t>
      </w:r>
      <w:r w:rsidRPr="00325182">
        <w:rPr>
          <w:lang w:val="fr-FR"/>
        </w:rPr>
        <w:t>la première décision de refus du Service de l</w:t>
      </w:r>
      <w:r w:rsidR="00AA69CE">
        <w:rPr>
          <w:lang w:val="fr-FR"/>
        </w:rPr>
        <w:t>’</w:t>
      </w:r>
      <w:r w:rsidRPr="00325182">
        <w:rPr>
          <w:lang w:val="fr-FR"/>
        </w:rPr>
        <w:t>immig</w:t>
      </w:r>
      <w:r>
        <w:rPr>
          <w:lang w:val="fr-FR"/>
        </w:rPr>
        <w:t>ration, datée du 4 janvier 2013 </w:t>
      </w:r>
      <w:r w:rsidRPr="00325182">
        <w:rPr>
          <w:lang w:val="fr-FR"/>
        </w:rPr>
        <w:t>− et il a déclaré que c</w:t>
      </w:r>
      <w:r w:rsidR="00AA69CE">
        <w:rPr>
          <w:lang w:val="fr-FR"/>
        </w:rPr>
        <w:t>’</w:t>
      </w:r>
      <w:r w:rsidRPr="00325182">
        <w:rPr>
          <w:lang w:val="fr-FR"/>
        </w:rPr>
        <w:t>est également ce qu</w:t>
      </w:r>
      <w:r w:rsidR="00AA69CE">
        <w:rPr>
          <w:lang w:val="fr-FR"/>
        </w:rPr>
        <w:t>’</w:t>
      </w:r>
      <w:r w:rsidRPr="00325182">
        <w:rPr>
          <w:lang w:val="fr-FR"/>
        </w:rPr>
        <w:t>il avait dit lors de l</w:t>
      </w:r>
      <w:r w:rsidR="00AA69CE">
        <w:rPr>
          <w:lang w:val="fr-FR"/>
        </w:rPr>
        <w:t>’</w:t>
      </w:r>
      <w:r w:rsidRPr="00325182">
        <w:rPr>
          <w:lang w:val="fr-FR"/>
        </w:rPr>
        <w:t>entretien du 19 novembre 2013 au Service de l</w:t>
      </w:r>
      <w:r w:rsidR="00AA69CE">
        <w:rPr>
          <w:lang w:val="fr-FR"/>
        </w:rPr>
        <w:t>’</w:t>
      </w:r>
      <w:r w:rsidRPr="00325182">
        <w:rPr>
          <w:lang w:val="fr-FR"/>
        </w:rPr>
        <w:t>immigration. Eu égard à l</w:t>
      </w:r>
      <w:r w:rsidR="00AA69CE">
        <w:rPr>
          <w:lang w:val="fr-FR"/>
        </w:rPr>
        <w:t>’</w:t>
      </w:r>
      <w:r w:rsidRPr="00325182">
        <w:rPr>
          <w:lang w:val="fr-FR"/>
        </w:rPr>
        <w:t>importance que l</w:t>
      </w:r>
      <w:r w:rsidR="00AA69CE">
        <w:rPr>
          <w:lang w:val="fr-FR"/>
        </w:rPr>
        <w:t>’</w:t>
      </w:r>
      <w:r w:rsidRPr="00325182">
        <w:rPr>
          <w:lang w:val="fr-FR"/>
        </w:rPr>
        <w:t>auteur accorde selon ses propres dires à sa première conversation avec Z. A., et compte tenu de son niveau d</w:t>
      </w:r>
      <w:r w:rsidR="00AA69CE">
        <w:rPr>
          <w:lang w:val="fr-FR"/>
        </w:rPr>
        <w:t>’</w:t>
      </w:r>
      <w:r w:rsidRPr="00325182">
        <w:rPr>
          <w:lang w:val="fr-FR"/>
        </w:rPr>
        <w:t>instruction et de son histoire personnelle, l</w:t>
      </w:r>
      <w:r w:rsidR="00AA69CE">
        <w:rPr>
          <w:lang w:val="fr-FR"/>
        </w:rPr>
        <w:t>’</w:t>
      </w:r>
      <w:r w:rsidRPr="00325182">
        <w:rPr>
          <w:lang w:val="fr-FR"/>
        </w:rPr>
        <w:t>État partie estime que l</w:t>
      </w:r>
      <w:r w:rsidR="00AA69CE">
        <w:rPr>
          <w:lang w:val="fr-FR"/>
        </w:rPr>
        <w:t>’</w:t>
      </w:r>
      <w:r w:rsidRPr="00325182">
        <w:rPr>
          <w:lang w:val="fr-FR"/>
        </w:rPr>
        <w:t>on pourrait s</w:t>
      </w:r>
      <w:r w:rsidR="00AA69CE">
        <w:rPr>
          <w:lang w:val="fr-FR"/>
        </w:rPr>
        <w:t>’</w:t>
      </w:r>
      <w:r w:rsidRPr="00325182">
        <w:rPr>
          <w:lang w:val="fr-FR"/>
        </w:rPr>
        <w:t>attendre à ce qu</w:t>
      </w:r>
      <w:r w:rsidR="00AA69CE">
        <w:rPr>
          <w:lang w:val="fr-FR"/>
        </w:rPr>
        <w:t>’</w:t>
      </w:r>
      <w:r w:rsidRPr="00325182">
        <w:rPr>
          <w:lang w:val="fr-FR"/>
        </w:rPr>
        <w:t>il ait un souvenir plus net de la date exacte de cette conversation. Cela vaut d</w:t>
      </w:r>
      <w:r w:rsidR="00AA69CE">
        <w:rPr>
          <w:lang w:val="fr-FR"/>
        </w:rPr>
        <w:t>’</w:t>
      </w:r>
      <w:r w:rsidRPr="00325182">
        <w:rPr>
          <w:lang w:val="fr-FR"/>
        </w:rPr>
        <w:t>autant plus que l</w:t>
      </w:r>
      <w:r w:rsidR="00AA69CE">
        <w:rPr>
          <w:lang w:val="fr-FR"/>
        </w:rPr>
        <w:t>’</w:t>
      </w:r>
      <w:r w:rsidRPr="00325182">
        <w:rPr>
          <w:lang w:val="fr-FR"/>
        </w:rPr>
        <w:t>auteur a déclaré à maintes reprises que cette conversation était à l</w:t>
      </w:r>
      <w:r w:rsidR="00AA69CE">
        <w:rPr>
          <w:lang w:val="fr-FR"/>
        </w:rPr>
        <w:t>’</w:t>
      </w:r>
      <w:r w:rsidRPr="00325182">
        <w:rPr>
          <w:lang w:val="fr-FR"/>
        </w:rPr>
        <w:t xml:space="preserve">origine de toute sa démarche de conversion au christianisme. </w:t>
      </w:r>
      <w:r>
        <w:rPr>
          <w:lang w:val="fr-FR"/>
        </w:rPr>
        <w:t>L</w:t>
      </w:r>
      <w:r w:rsidR="00AA69CE">
        <w:rPr>
          <w:lang w:val="fr-FR"/>
        </w:rPr>
        <w:t>’</w:t>
      </w:r>
      <w:r w:rsidRPr="00325182">
        <w:rPr>
          <w:lang w:val="fr-FR"/>
        </w:rPr>
        <w:t xml:space="preserve">État partie estime </w:t>
      </w:r>
      <w:r>
        <w:rPr>
          <w:lang w:val="fr-FR"/>
        </w:rPr>
        <w:t xml:space="preserve">également </w:t>
      </w:r>
      <w:r w:rsidRPr="00325182">
        <w:rPr>
          <w:lang w:val="fr-FR"/>
        </w:rPr>
        <w:t>que la décision de refuser l</w:t>
      </w:r>
      <w:r w:rsidR="00AA69CE">
        <w:rPr>
          <w:lang w:val="fr-FR"/>
        </w:rPr>
        <w:t>’</w:t>
      </w:r>
      <w:r w:rsidRPr="00325182">
        <w:rPr>
          <w:lang w:val="fr-FR"/>
        </w:rPr>
        <w:t>asile à l</w:t>
      </w:r>
      <w:r w:rsidR="00AA69CE">
        <w:rPr>
          <w:lang w:val="fr-FR"/>
        </w:rPr>
        <w:t>’</w:t>
      </w:r>
      <w:r w:rsidRPr="00325182">
        <w:rPr>
          <w:lang w:val="fr-FR"/>
        </w:rPr>
        <w:t>auteur prononcée par le Service danois de l</w:t>
      </w:r>
      <w:r w:rsidR="00AA69CE">
        <w:rPr>
          <w:lang w:val="fr-FR"/>
        </w:rPr>
        <w:t>’</w:t>
      </w:r>
      <w:r w:rsidRPr="00325182">
        <w:rPr>
          <w:lang w:val="fr-FR"/>
        </w:rPr>
        <w:t>immigration le 4 janvier 2013 est un événement d</w:t>
      </w:r>
      <w:r w:rsidR="00AA69CE">
        <w:rPr>
          <w:lang w:val="fr-FR"/>
        </w:rPr>
        <w:t>’</w:t>
      </w:r>
      <w:r w:rsidRPr="00325182">
        <w:rPr>
          <w:lang w:val="fr-FR"/>
        </w:rPr>
        <w:t>une importance telle que l</w:t>
      </w:r>
      <w:r w:rsidR="00AA69CE">
        <w:rPr>
          <w:lang w:val="fr-FR"/>
        </w:rPr>
        <w:t>’</w:t>
      </w:r>
      <w:r w:rsidRPr="00325182">
        <w:rPr>
          <w:lang w:val="fr-FR"/>
        </w:rPr>
        <w:t>on pourrait s</w:t>
      </w:r>
      <w:r w:rsidR="00AA69CE">
        <w:rPr>
          <w:lang w:val="fr-FR"/>
        </w:rPr>
        <w:t>’</w:t>
      </w:r>
      <w:r w:rsidRPr="00325182">
        <w:rPr>
          <w:lang w:val="fr-FR"/>
        </w:rPr>
        <w:t>attendre à ce que l</w:t>
      </w:r>
      <w:r w:rsidR="00AA69CE">
        <w:rPr>
          <w:lang w:val="fr-FR"/>
        </w:rPr>
        <w:t>’</w:t>
      </w:r>
      <w:r w:rsidRPr="00325182">
        <w:rPr>
          <w:lang w:val="fr-FR"/>
        </w:rPr>
        <w:t>auteur soit capable de se souvenir de l</w:t>
      </w:r>
      <w:r w:rsidR="00AA69CE">
        <w:rPr>
          <w:lang w:val="fr-FR"/>
        </w:rPr>
        <w:t>’</w:t>
      </w:r>
      <w:r w:rsidRPr="00325182">
        <w:rPr>
          <w:lang w:val="fr-FR"/>
        </w:rPr>
        <w:t>ordre chronologique des deux événements.</w:t>
      </w:r>
    </w:p>
    <w:p w:rsidR="00685027" w:rsidRPr="00325182" w:rsidRDefault="00685027" w:rsidP="00685027">
      <w:pPr>
        <w:pStyle w:val="SingleTxtG"/>
        <w:rPr>
          <w:lang w:val="fr-FR"/>
        </w:rPr>
      </w:pPr>
      <w:r w:rsidRPr="00325182">
        <w:rPr>
          <w:lang w:val="fr-FR"/>
        </w:rPr>
        <w:t>4.13</w:t>
      </w:r>
      <w:r w:rsidRPr="00325182">
        <w:rPr>
          <w:lang w:val="fr-FR"/>
        </w:rPr>
        <w:tab/>
        <w:t>L</w:t>
      </w:r>
      <w:r w:rsidR="00AA69CE">
        <w:rPr>
          <w:lang w:val="fr-FR"/>
        </w:rPr>
        <w:t>’</w:t>
      </w:r>
      <w:r w:rsidRPr="00325182">
        <w:rPr>
          <w:lang w:val="fr-FR"/>
        </w:rPr>
        <w:t>État partie appelle également l</w:t>
      </w:r>
      <w:r w:rsidR="00AA69CE">
        <w:rPr>
          <w:lang w:val="fr-FR"/>
        </w:rPr>
        <w:t>’</w:t>
      </w:r>
      <w:r w:rsidRPr="00325182">
        <w:rPr>
          <w:lang w:val="fr-FR"/>
        </w:rPr>
        <w:t>attention sur le fait que, l</w:t>
      </w:r>
      <w:r w:rsidR="00AA69CE">
        <w:rPr>
          <w:lang w:val="fr-FR"/>
        </w:rPr>
        <w:t>’</w:t>
      </w:r>
      <w:r w:rsidRPr="00325182">
        <w:rPr>
          <w:lang w:val="fr-FR"/>
        </w:rPr>
        <w:t>auteur ayant déclaré lors de l</w:t>
      </w:r>
      <w:r w:rsidR="00AA69CE">
        <w:rPr>
          <w:lang w:val="fr-FR"/>
        </w:rPr>
        <w:t>’</w:t>
      </w:r>
      <w:r w:rsidRPr="00325182">
        <w:rPr>
          <w:lang w:val="fr-FR"/>
        </w:rPr>
        <w:t>audition de la Commission</w:t>
      </w:r>
      <w:r>
        <w:rPr>
          <w:lang w:val="fr-FR"/>
        </w:rPr>
        <w:t xml:space="preserve"> danoise de recours des réfugiés</w:t>
      </w:r>
      <w:r w:rsidRPr="00325182">
        <w:rPr>
          <w:lang w:val="fr-FR"/>
        </w:rPr>
        <w:t xml:space="preserve"> tenue le 27 mars 2014 qu</w:t>
      </w:r>
      <w:r w:rsidR="00AA69CE">
        <w:rPr>
          <w:lang w:val="fr-FR"/>
        </w:rPr>
        <w:t>’</w:t>
      </w:r>
      <w:r w:rsidRPr="00325182">
        <w:rPr>
          <w:lang w:val="fr-FR"/>
        </w:rPr>
        <w:t>il avait rencontré Z. A. en décembre 2012, il lui a été demandé pourquoi il n</w:t>
      </w:r>
      <w:r w:rsidR="00AA69CE">
        <w:rPr>
          <w:lang w:val="fr-FR"/>
        </w:rPr>
        <w:t>’</w:t>
      </w:r>
      <w:r w:rsidRPr="00325182">
        <w:rPr>
          <w:lang w:val="fr-FR"/>
        </w:rPr>
        <w:t>avait pas mentionné cette personne au cours de l</w:t>
      </w:r>
      <w:r w:rsidR="00AA69CE">
        <w:rPr>
          <w:lang w:val="fr-FR"/>
        </w:rPr>
        <w:t>’</w:t>
      </w:r>
      <w:r w:rsidRPr="00325182">
        <w:rPr>
          <w:lang w:val="fr-FR"/>
        </w:rPr>
        <w:t xml:space="preserve">entretien au Service </w:t>
      </w:r>
      <w:r>
        <w:rPr>
          <w:lang w:val="fr-FR"/>
        </w:rPr>
        <w:t xml:space="preserve">danois </w:t>
      </w:r>
      <w:r w:rsidRPr="00325182">
        <w:rPr>
          <w:lang w:val="fr-FR"/>
        </w:rPr>
        <w:t>de l</w:t>
      </w:r>
      <w:r w:rsidR="00AA69CE">
        <w:rPr>
          <w:lang w:val="fr-FR"/>
        </w:rPr>
        <w:t>’</w:t>
      </w:r>
      <w:r w:rsidRPr="00325182">
        <w:rPr>
          <w:lang w:val="fr-FR"/>
        </w:rPr>
        <w:t>immigration du 3 janvier 2013, et il a répondu qu</w:t>
      </w:r>
      <w:r w:rsidR="00AA69CE">
        <w:rPr>
          <w:lang w:val="fr-FR"/>
        </w:rPr>
        <w:t>’</w:t>
      </w:r>
      <w:r w:rsidRPr="00325182">
        <w:rPr>
          <w:lang w:val="fr-FR"/>
        </w:rPr>
        <w:t>il en était à ce moment-là à la lecture de la Bible. En tout état de cause, lors de l</w:t>
      </w:r>
      <w:r w:rsidR="00AA69CE">
        <w:rPr>
          <w:lang w:val="fr-FR"/>
        </w:rPr>
        <w:t>’</w:t>
      </w:r>
      <w:r w:rsidRPr="00325182">
        <w:rPr>
          <w:lang w:val="fr-FR"/>
        </w:rPr>
        <w:t>entretien préliminaire mené par le Service de l</w:t>
      </w:r>
      <w:r w:rsidR="00AA69CE">
        <w:rPr>
          <w:lang w:val="fr-FR"/>
        </w:rPr>
        <w:t>’</w:t>
      </w:r>
      <w:r w:rsidRPr="00325182">
        <w:rPr>
          <w:lang w:val="fr-FR"/>
        </w:rPr>
        <w:t>immigration le 3 janvier 2013, l</w:t>
      </w:r>
      <w:r w:rsidR="00AA69CE">
        <w:rPr>
          <w:lang w:val="fr-FR"/>
        </w:rPr>
        <w:t>’</w:t>
      </w:r>
      <w:r w:rsidRPr="00325182">
        <w:rPr>
          <w:lang w:val="fr-FR"/>
        </w:rPr>
        <w:t>auteur n</w:t>
      </w:r>
      <w:r w:rsidR="00AA69CE">
        <w:rPr>
          <w:lang w:val="fr-FR"/>
        </w:rPr>
        <w:t>’</w:t>
      </w:r>
      <w:r w:rsidRPr="00325182">
        <w:rPr>
          <w:lang w:val="fr-FR"/>
        </w:rPr>
        <w:t>a ni mentionné Z. A., ni fait état d</w:t>
      </w:r>
      <w:r w:rsidR="00AA69CE">
        <w:rPr>
          <w:lang w:val="fr-FR"/>
        </w:rPr>
        <w:t>’</w:t>
      </w:r>
      <w:r w:rsidRPr="00325182">
        <w:rPr>
          <w:lang w:val="fr-FR"/>
        </w:rPr>
        <w:t>un intérêt quelconque pour la religion chrétienne. Il a, au contraire, déclaré qu</w:t>
      </w:r>
      <w:r w:rsidR="00AA69CE">
        <w:rPr>
          <w:lang w:val="fr-FR"/>
        </w:rPr>
        <w:t>’</w:t>
      </w:r>
      <w:r w:rsidRPr="00325182">
        <w:rPr>
          <w:lang w:val="fr-FR"/>
        </w:rPr>
        <w:t>il était musulman. L</w:t>
      </w:r>
      <w:r w:rsidR="00AA69CE">
        <w:rPr>
          <w:lang w:val="fr-FR"/>
        </w:rPr>
        <w:t>’</w:t>
      </w:r>
      <w:r w:rsidRPr="00325182">
        <w:rPr>
          <w:lang w:val="fr-FR"/>
        </w:rPr>
        <w:t>État partie juge que ce comportement est en contradiction avec les propos qu</w:t>
      </w:r>
      <w:r w:rsidR="00AA69CE">
        <w:rPr>
          <w:lang w:val="fr-FR"/>
        </w:rPr>
        <w:t>’</w:t>
      </w:r>
      <w:r w:rsidRPr="00325182">
        <w:rPr>
          <w:lang w:val="fr-FR"/>
        </w:rPr>
        <w:t>il a tenus devant le Service de l</w:t>
      </w:r>
      <w:r w:rsidR="00AA69CE">
        <w:rPr>
          <w:lang w:val="fr-FR"/>
        </w:rPr>
        <w:t>’</w:t>
      </w:r>
      <w:r w:rsidRPr="00325182">
        <w:rPr>
          <w:lang w:val="fr-FR"/>
        </w:rPr>
        <w:t>immigration le 19 novembre 2013 selon lesquels sa conversation avec Z. A. l</w:t>
      </w:r>
      <w:r w:rsidR="00AA69CE">
        <w:rPr>
          <w:lang w:val="fr-FR"/>
        </w:rPr>
        <w:t>’</w:t>
      </w:r>
      <w:r w:rsidRPr="00325182">
        <w:rPr>
          <w:lang w:val="fr-FR"/>
        </w:rPr>
        <w:t>avait marqué si profondément qu</w:t>
      </w:r>
      <w:r w:rsidR="00AA69CE">
        <w:rPr>
          <w:lang w:val="fr-FR"/>
        </w:rPr>
        <w:t>’</w:t>
      </w:r>
      <w:r w:rsidRPr="00325182">
        <w:rPr>
          <w:lang w:val="fr-FR"/>
        </w:rPr>
        <w:t>il a</w:t>
      </w:r>
      <w:r>
        <w:rPr>
          <w:lang w:val="fr-FR"/>
        </w:rPr>
        <w:t>vait</w:t>
      </w:r>
      <w:r w:rsidRPr="00325182">
        <w:rPr>
          <w:lang w:val="fr-FR"/>
        </w:rPr>
        <w:t xml:space="preserve"> eu immédiatement après le sentiment d</w:t>
      </w:r>
      <w:r w:rsidR="00AA69CE">
        <w:rPr>
          <w:lang w:val="fr-FR"/>
        </w:rPr>
        <w:t>’</w:t>
      </w:r>
      <w:r w:rsidRPr="00325182">
        <w:rPr>
          <w:lang w:val="fr-FR"/>
        </w:rPr>
        <w:t>être chrétien. En outre, le fait que, juste avant l</w:t>
      </w:r>
      <w:r w:rsidR="00AA69CE">
        <w:rPr>
          <w:lang w:val="fr-FR"/>
        </w:rPr>
        <w:t>’</w:t>
      </w:r>
      <w:r w:rsidRPr="00325182">
        <w:rPr>
          <w:lang w:val="fr-FR"/>
        </w:rPr>
        <w:t>audition devant la Commission de recours des réfugiés et avant l</w:t>
      </w:r>
      <w:r w:rsidR="00AA69CE">
        <w:rPr>
          <w:lang w:val="fr-FR"/>
        </w:rPr>
        <w:t>’</w:t>
      </w:r>
      <w:r w:rsidRPr="00325182">
        <w:rPr>
          <w:lang w:val="fr-FR"/>
        </w:rPr>
        <w:t xml:space="preserve">entretien qui devait </w:t>
      </w:r>
      <w:r>
        <w:rPr>
          <w:lang w:val="fr-FR"/>
        </w:rPr>
        <w:t>avoir lieu avec</w:t>
      </w:r>
      <w:r w:rsidRPr="00325182">
        <w:rPr>
          <w:lang w:val="fr-FR"/>
        </w:rPr>
        <w:t xml:space="preserve"> le Service de l</w:t>
      </w:r>
      <w:r w:rsidR="00AA69CE">
        <w:rPr>
          <w:lang w:val="fr-FR"/>
        </w:rPr>
        <w:t>’</w:t>
      </w:r>
      <w:r w:rsidRPr="00325182">
        <w:rPr>
          <w:lang w:val="fr-FR"/>
        </w:rPr>
        <w:t>immigration, l</w:t>
      </w:r>
      <w:r w:rsidR="00AA69CE">
        <w:rPr>
          <w:lang w:val="fr-FR"/>
        </w:rPr>
        <w:t>’</w:t>
      </w:r>
      <w:r w:rsidRPr="00325182">
        <w:rPr>
          <w:lang w:val="fr-FR"/>
        </w:rPr>
        <w:t>auteur ait demandé des lettres aux pasteurs pour les produire à l</w:t>
      </w:r>
      <w:r w:rsidR="00AA69CE">
        <w:rPr>
          <w:lang w:val="fr-FR"/>
        </w:rPr>
        <w:t>’</w:t>
      </w:r>
      <w:r w:rsidRPr="00325182">
        <w:rPr>
          <w:lang w:val="fr-FR"/>
        </w:rPr>
        <w:t>appui de sa demande d</w:t>
      </w:r>
      <w:r w:rsidR="00AA69CE">
        <w:rPr>
          <w:lang w:val="fr-FR"/>
        </w:rPr>
        <w:t>’</w:t>
      </w:r>
      <w:r w:rsidRPr="00325182">
        <w:rPr>
          <w:lang w:val="fr-FR"/>
        </w:rPr>
        <w:t>asile corrobore l</w:t>
      </w:r>
      <w:r w:rsidR="00AA69CE">
        <w:rPr>
          <w:lang w:val="fr-FR"/>
        </w:rPr>
        <w:t>’</w:t>
      </w:r>
      <w:r w:rsidRPr="00325182">
        <w:rPr>
          <w:lang w:val="fr-FR"/>
        </w:rPr>
        <w:t>idée qu</w:t>
      </w:r>
      <w:r w:rsidR="00AA69CE">
        <w:rPr>
          <w:lang w:val="fr-FR"/>
        </w:rPr>
        <w:t>’</w:t>
      </w:r>
      <w:r w:rsidRPr="00325182">
        <w:rPr>
          <w:lang w:val="fr-FR"/>
        </w:rPr>
        <w:t>il avait bien conscience de l</w:t>
      </w:r>
      <w:r w:rsidR="00AA69CE">
        <w:rPr>
          <w:lang w:val="fr-FR"/>
        </w:rPr>
        <w:t>’</w:t>
      </w:r>
      <w:r w:rsidRPr="00325182">
        <w:rPr>
          <w:lang w:val="fr-FR"/>
        </w:rPr>
        <w:t>importance que cette information était susceptible d</w:t>
      </w:r>
      <w:r w:rsidR="00AA69CE">
        <w:rPr>
          <w:lang w:val="fr-FR"/>
        </w:rPr>
        <w:t>’</w:t>
      </w:r>
      <w:r w:rsidRPr="00325182">
        <w:rPr>
          <w:lang w:val="fr-FR"/>
        </w:rPr>
        <w:t>avoir pour sa demande d</w:t>
      </w:r>
      <w:r w:rsidR="00AA69CE">
        <w:rPr>
          <w:lang w:val="fr-FR"/>
        </w:rPr>
        <w:t>’</w:t>
      </w:r>
      <w:r w:rsidRPr="00325182">
        <w:rPr>
          <w:lang w:val="fr-FR"/>
        </w:rPr>
        <w:t>asile et que sa conversion n</w:t>
      </w:r>
      <w:r w:rsidR="00AA69CE">
        <w:rPr>
          <w:lang w:val="fr-FR"/>
        </w:rPr>
        <w:t>’</w:t>
      </w:r>
      <w:r w:rsidRPr="00325182">
        <w:rPr>
          <w:lang w:val="fr-FR"/>
        </w:rPr>
        <w:t>est donc pas l</w:t>
      </w:r>
      <w:r w:rsidR="00AA69CE">
        <w:rPr>
          <w:lang w:val="fr-FR"/>
        </w:rPr>
        <w:t>’</w:t>
      </w:r>
      <w:r w:rsidRPr="00325182">
        <w:rPr>
          <w:lang w:val="fr-FR"/>
        </w:rPr>
        <w:t>expression de convictions réelles et profondes.</w:t>
      </w:r>
    </w:p>
    <w:p w:rsidR="00685027" w:rsidRPr="005D2A2E" w:rsidRDefault="00685027" w:rsidP="00685027">
      <w:pPr>
        <w:pStyle w:val="SingleTxtG"/>
        <w:rPr>
          <w:lang w:val="fr-FR"/>
        </w:rPr>
      </w:pPr>
      <w:r w:rsidRPr="00325182">
        <w:rPr>
          <w:lang w:val="fr-FR"/>
        </w:rPr>
        <w:t>4.14</w:t>
      </w:r>
      <w:r w:rsidRPr="00325182">
        <w:rPr>
          <w:lang w:val="fr-FR"/>
        </w:rPr>
        <w:tab/>
        <w:t>En conséquence, l</w:t>
      </w:r>
      <w:r w:rsidR="00AA69CE">
        <w:rPr>
          <w:lang w:val="fr-FR"/>
        </w:rPr>
        <w:t>’</w:t>
      </w:r>
      <w:r w:rsidRPr="00325182">
        <w:rPr>
          <w:lang w:val="fr-FR"/>
        </w:rPr>
        <w:t xml:space="preserve">État partie estime comme la Commission </w:t>
      </w:r>
      <w:r>
        <w:rPr>
          <w:lang w:val="fr-FR"/>
        </w:rPr>
        <w:t xml:space="preserve">danoise de recours des réfugiés </w:t>
      </w:r>
      <w:r w:rsidRPr="00325182">
        <w:rPr>
          <w:lang w:val="fr-FR"/>
        </w:rPr>
        <w:t>que la conversion de l</w:t>
      </w:r>
      <w:r w:rsidR="00AA69CE">
        <w:rPr>
          <w:lang w:val="fr-FR"/>
        </w:rPr>
        <w:t>’</w:t>
      </w:r>
      <w:r w:rsidRPr="00325182">
        <w:rPr>
          <w:lang w:val="fr-FR"/>
        </w:rPr>
        <w:t>auteur au christianisme n</w:t>
      </w:r>
      <w:r w:rsidR="00AA69CE">
        <w:rPr>
          <w:lang w:val="fr-FR"/>
        </w:rPr>
        <w:t>’</w:t>
      </w:r>
      <w:r w:rsidRPr="00325182">
        <w:rPr>
          <w:lang w:val="fr-FR"/>
        </w:rPr>
        <w:t>est pas sincère et ne représente pas l</w:t>
      </w:r>
      <w:r w:rsidR="00AA69CE">
        <w:rPr>
          <w:lang w:val="fr-FR"/>
        </w:rPr>
        <w:t>’</w:t>
      </w:r>
      <w:r w:rsidRPr="00325182">
        <w:rPr>
          <w:lang w:val="fr-FR"/>
        </w:rPr>
        <w:t>aboutissement d</w:t>
      </w:r>
      <w:r w:rsidR="00AA69CE">
        <w:rPr>
          <w:lang w:val="fr-FR"/>
        </w:rPr>
        <w:t>’</w:t>
      </w:r>
      <w:r w:rsidRPr="00325182">
        <w:rPr>
          <w:lang w:val="fr-FR"/>
        </w:rPr>
        <w:t>une démarche intérieure spontanée. L</w:t>
      </w:r>
      <w:r w:rsidR="00AA69CE">
        <w:rPr>
          <w:lang w:val="fr-FR"/>
        </w:rPr>
        <w:t>’</w:t>
      </w:r>
      <w:r w:rsidRPr="00325182">
        <w:rPr>
          <w:lang w:val="fr-FR"/>
        </w:rPr>
        <w:t>État partie cite la jurisprudence de la Cour européenne des droits de l</w:t>
      </w:r>
      <w:r w:rsidR="00AA69CE">
        <w:rPr>
          <w:lang w:val="fr-FR"/>
        </w:rPr>
        <w:t>’</w:t>
      </w:r>
      <w:r w:rsidRPr="00325182">
        <w:rPr>
          <w:lang w:val="fr-FR"/>
        </w:rPr>
        <w:t>homme</w:t>
      </w:r>
      <w:r>
        <w:rPr>
          <w:lang w:val="fr-FR"/>
        </w:rPr>
        <w:t>,</w:t>
      </w:r>
      <w:r w:rsidRPr="00325182">
        <w:rPr>
          <w:lang w:val="fr-FR"/>
        </w:rPr>
        <w:t xml:space="preserve"> qui considère que les autorités nationales sont les mieux placées pour évaluer non seulement les faits, mais plus particulièrement la crédibilité des témoins car ce sont elles qui ont eu l</w:t>
      </w:r>
      <w:r w:rsidR="00AA69CE">
        <w:rPr>
          <w:lang w:val="fr-FR"/>
        </w:rPr>
        <w:t>’</w:t>
      </w:r>
      <w:r w:rsidRPr="00325182">
        <w:rPr>
          <w:lang w:val="fr-FR"/>
        </w:rPr>
        <w:t>occasion de voir l</w:t>
      </w:r>
      <w:r w:rsidR="00AA69CE">
        <w:rPr>
          <w:lang w:val="fr-FR"/>
        </w:rPr>
        <w:t>’</w:t>
      </w:r>
      <w:r w:rsidRPr="00325182">
        <w:rPr>
          <w:lang w:val="fr-FR"/>
        </w:rPr>
        <w:t>intéressé, de l</w:t>
      </w:r>
      <w:r w:rsidR="00AA69CE">
        <w:rPr>
          <w:lang w:val="fr-FR"/>
        </w:rPr>
        <w:t>’</w:t>
      </w:r>
      <w:r w:rsidRPr="00325182">
        <w:rPr>
          <w:lang w:val="fr-FR"/>
        </w:rPr>
        <w:t>entendre et d</w:t>
      </w:r>
      <w:r w:rsidR="00AA69CE">
        <w:rPr>
          <w:lang w:val="fr-FR"/>
        </w:rPr>
        <w:t>’</w:t>
      </w:r>
      <w:r w:rsidRPr="00325182">
        <w:rPr>
          <w:lang w:val="fr-FR"/>
        </w:rPr>
        <w:t>apprécier son comportement</w:t>
      </w:r>
      <w:r w:rsidRPr="007D575F">
        <w:rPr>
          <w:rStyle w:val="Appelnotedebasdep"/>
        </w:rPr>
        <w:footnoteReference w:id="15"/>
      </w:r>
      <w:r w:rsidRPr="005D2A2E">
        <w:rPr>
          <w:lang w:val="fr-FR"/>
        </w:rPr>
        <w:t xml:space="preserve">. </w:t>
      </w:r>
      <w:r>
        <w:rPr>
          <w:lang w:val="fr-FR"/>
        </w:rPr>
        <w:t>L</w:t>
      </w:r>
      <w:r w:rsidR="00AA69CE">
        <w:rPr>
          <w:lang w:val="fr-FR"/>
        </w:rPr>
        <w:t>’</w:t>
      </w:r>
      <w:r>
        <w:rPr>
          <w:lang w:val="fr-FR"/>
        </w:rPr>
        <w:t>État partie</w:t>
      </w:r>
      <w:r w:rsidRPr="005D2A2E">
        <w:rPr>
          <w:lang w:val="fr-FR"/>
        </w:rPr>
        <w:t xml:space="preserve"> renvoie également sur ce point à une affaire dans laquelle le Danemark était précisément en cause et où la Cour a relevé que dans le cadre de la </w:t>
      </w:r>
      <w:r w:rsidRPr="00325182">
        <w:rPr>
          <w:lang w:val="fr-FR"/>
        </w:rPr>
        <w:t>procédure devant le Service danois de l</w:t>
      </w:r>
      <w:r w:rsidR="00AA69CE">
        <w:rPr>
          <w:lang w:val="fr-FR"/>
        </w:rPr>
        <w:t>’</w:t>
      </w:r>
      <w:r w:rsidRPr="00325182">
        <w:rPr>
          <w:lang w:val="fr-FR"/>
        </w:rPr>
        <w:t>immigration et la Commission de recours des réfugiés le demandeur d</w:t>
      </w:r>
      <w:r w:rsidR="00AA69CE">
        <w:rPr>
          <w:lang w:val="fr-FR"/>
        </w:rPr>
        <w:t>’</w:t>
      </w:r>
      <w:r w:rsidRPr="00325182">
        <w:rPr>
          <w:lang w:val="fr-FR"/>
        </w:rPr>
        <w:t>asile avait été représenté par un conseil et qu</w:t>
      </w:r>
      <w:r w:rsidR="00AA69CE">
        <w:rPr>
          <w:lang w:val="fr-FR"/>
        </w:rPr>
        <w:t>’</w:t>
      </w:r>
      <w:r w:rsidRPr="00325182">
        <w:rPr>
          <w:lang w:val="fr-FR"/>
        </w:rPr>
        <w:t>il avait pu présenter des observations écrites et des documents. Ses arguments avaient été dûment pris en considération et il fallait considérer que l</w:t>
      </w:r>
      <w:r w:rsidR="00AA69CE">
        <w:rPr>
          <w:lang w:val="fr-FR"/>
        </w:rPr>
        <w:t>’</w:t>
      </w:r>
      <w:r w:rsidRPr="00325182">
        <w:rPr>
          <w:lang w:val="fr-FR"/>
        </w:rPr>
        <w:t>analyse des autorités à cet égard s</w:t>
      </w:r>
      <w:r w:rsidR="00AA69CE">
        <w:rPr>
          <w:lang w:val="fr-FR"/>
        </w:rPr>
        <w:t>’</w:t>
      </w:r>
      <w:r w:rsidRPr="00325182">
        <w:rPr>
          <w:lang w:val="fr-FR"/>
        </w:rPr>
        <w:t>était appuyée de manière appropriée et suffisante sur des documents nationaux et issus d</w:t>
      </w:r>
      <w:r w:rsidR="00AA69CE">
        <w:rPr>
          <w:lang w:val="fr-FR"/>
        </w:rPr>
        <w:t>’</w:t>
      </w:r>
      <w:r w:rsidRPr="00325182">
        <w:rPr>
          <w:lang w:val="fr-FR"/>
        </w:rPr>
        <w:t>autres sources fiables et objectives</w:t>
      </w:r>
      <w:r w:rsidRPr="007D575F">
        <w:rPr>
          <w:rStyle w:val="Appelnotedebasdep"/>
        </w:rPr>
        <w:footnoteReference w:id="16"/>
      </w:r>
      <w:r w:rsidRPr="005D2A2E">
        <w:rPr>
          <w:lang w:val="fr-FR"/>
        </w:rPr>
        <w:t>. L</w:t>
      </w:r>
      <w:r w:rsidR="00AA69CE">
        <w:rPr>
          <w:lang w:val="fr-FR"/>
        </w:rPr>
        <w:t>’</w:t>
      </w:r>
      <w:r w:rsidRPr="005D2A2E">
        <w:rPr>
          <w:lang w:val="fr-FR"/>
        </w:rPr>
        <w:t>État partie fait, en outre, référence a</w:t>
      </w:r>
      <w:r w:rsidRPr="00325182">
        <w:rPr>
          <w:lang w:val="fr-FR"/>
        </w:rPr>
        <w:t xml:space="preserve">ux conclusions formulées par le Comité dans une communication </w:t>
      </w:r>
      <w:r>
        <w:rPr>
          <w:lang w:val="fr-FR"/>
        </w:rPr>
        <w:t xml:space="preserve">concernant le Danemark, dans lesquelles le Comité a </w:t>
      </w:r>
      <w:r w:rsidRPr="00325182">
        <w:rPr>
          <w:lang w:val="fr-FR"/>
        </w:rPr>
        <w:t>dit que « la demande de statut de réfugié présentée par les auteurs a été soigneusement évaluée par les autorités de l</w:t>
      </w:r>
      <w:r w:rsidR="00AA69CE">
        <w:rPr>
          <w:lang w:val="fr-FR"/>
        </w:rPr>
        <w:t>’</w:t>
      </w:r>
      <w:r w:rsidRPr="00325182">
        <w:rPr>
          <w:lang w:val="fr-FR"/>
        </w:rPr>
        <w:t>État partie, qui ont conclu que les déclarations des auteurs concernant le motif de la demande et le compte rendu des événements qui étaient à l</w:t>
      </w:r>
      <w:r w:rsidR="00AA69CE">
        <w:rPr>
          <w:lang w:val="fr-FR"/>
        </w:rPr>
        <w:t>’</w:t>
      </w:r>
      <w:r w:rsidRPr="00325182">
        <w:rPr>
          <w:lang w:val="fr-FR"/>
        </w:rPr>
        <w:t>origine de leur crainte d</w:t>
      </w:r>
      <w:r w:rsidR="00AA69CE">
        <w:rPr>
          <w:lang w:val="fr-FR"/>
        </w:rPr>
        <w:t>’</w:t>
      </w:r>
      <w:r w:rsidRPr="00325182">
        <w:rPr>
          <w:lang w:val="fr-FR"/>
        </w:rPr>
        <w:t>être torturés ou tués n</w:t>
      </w:r>
      <w:r w:rsidR="00AA69CE">
        <w:rPr>
          <w:lang w:val="fr-FR"/>
        </w:rPr>
        <w:t>’</w:t>
      </w:r>
      <w:r w:rsidRPr="00325182">
        <w:rPr>
          <w:lang w:val="fr-FR"/>
        </w:rPr>
        <w:t>étaient pas crédibles » et constaté en outre « que les auteurs n</w:t>
      </w:r>
      <w:r w:rsidR="00AA69CE">
        <w:rPr>
          <w:lang w:val="fr-FR"/>
        </w:rPr>
        <w:t>’</w:t>
      </w:r>
      <w:r w:rsidRPr="00325182">
        <w:rPr>
          <w:lang w:val="fr-FR"/>
        </w:rPr>
        <w:t>[avaie]nt pas mis en évidence une irrégularité quelconque dans le processus de prise de décision, ni un facteur de risque qui n</w:t>
      </w:r>
      <w:r w:rsidR="00AA69CE">
        <w:rPr>
          <w:lang w:val="fr-FR"/>
        </w:rPr>
        <w:t>’</w:t>
      </w:r>
      <w:r w:rsidRPr="00325182">
        <w:rPr>
          <w:lang w:val="fr-FR"/>
        </w:rPr>
        <w:t>aurait pas été suffisamment pris en compte par les autorités de l</w:t>
      </w:r>
      <w:r w:rsidR="00AA69CE">
        <w:rPr>
          <w:lang w:val="fr-FR"/>
        </w:rPr>
        <w:t>’</w:t>
      </w:r>
      <w:r w:rsidRPr="00325182">
        <w:rPr>
          <w:lang w:val="fr-FR"/>
        </w:rPr>
        <w:t>État partie »</w:t>
      </w:r>
      <w:r w:rsidRPr="007D575F">
        <w:rPr>
          <w:rStyle w:val="Appelnotedebasdep"/>
        </w:rPr>
        <w:footnoteReference w:id="17"/>
      </w:r>
      <w:r w:rsidRPr="005D2A2E">
        <w:rPr>
          <w:lang w:val="fr-FR"/>
        </w:rPr>
        <w:t>.</w:t>
      </w:r>
    </w:p>
    <w:p w:rsidR="00685027" w:rsidRPr="00325182" w:rsidRDefault="00685027" w:rsidP="00685027">
      <w:pPr>
        <w:pStyle w:val="SingleTxtG"/>
        <w:rPr>
          <w:lang w:val="fr-FR"/>
        </w:rPr>
      </w:pPr>
      <w:r w:rsidRPr="00325182">
        <w:rPr>
          <w:lang w:val="fr-FR"/>
        </w:rPr>
        <w:t>4.15</w:t>
      </w:r>
      <w:r w:rsidRPr="00325182">
        <w:rPr>
          <w:lang w:val="fr-FR"/>
        </w:rPr>
        <w:tab/>
        <w:t>L</w:t>
      </w:r>
      <w:r w:rsidR="00AA69CE">
        <w:rPr>
          <w:lang w:val="fr-FR"/>
        </w:rPr>
        <w:t>’</w:t>
      </w:r>
      <w:r w:rsidRPr="00325182">
        <w:rPr>
          <w:lang w:val="fr-FR"/>
        </w:rPr>
        <w:t>État partie appelle aussi l</w:t>
      </w:r>
      <w:r w:rsidR="00AA69CE">
        <w:rPr>
          <w:lang w:val="fr-FR"/>
        </w:rPr>
        <w:t>’</w:t>
      </w:r>
      <w:r w:rsidRPr="00325182">
        <w:rPr>
          <w:lang w:val="fr-FR"/>
        </w:rPr>
        <w:t>attention du Comité sur le fait qu</w:t>
      </w:r>
      <w:r w:rsidR="00AA69CE">
        <w:rPr>
          <w:lang w:val="fr-FR"/>
        </w:rPr>
        <w:t>’</w:t>
      </w:r>
      <w:r w:rsidRPr="00325182">
        <w:rPr>
          <w:lang w:val="fr-FR"/>
        </w:rPr>
        <w:t>au Danemark la question de l</w:t>
      </w:r>
      <w:r w:rsidR="00AA69CE">
        <w:rPr>
          <w:lang w:val="fr-FR"/>
        </w:rPr>
        <w:t>’</w:t>
      </w:r>
      <w:r w:rsidRPr="00325182">
        <w:rPr>
          <w:lang w:val="fr-FR"/>
        </w:rPr>
        <w:t>importance d</w:t>
      </w:r>
      <w:r w:rsidR="00AA69CE">
        <w:rPr>
          <w:lang w:val="fr-FR"/>
        </w:rPr>
        <w:t>’</w:t>
      </w:r>
      <w:r w:rsidRPr="00325182">
        <w:rPr>
          <w:lang w:val="fr-FR"/>
        </w:rPr>
        <w:t>une conversion, notamment de l</w:t>
      </w:r>
      <w:r w:rsidR="00AA69CE">
        <w:rPr>
          <w:lang w:val="fr-FR"/>
        </w:rPr>
        <w:t>’</w:t>
      </w:r>
      <w:r w:rsidRPr="00325182">
        <w:rPr>
          <w:lang w:val="fr-FR"/>
        </w:rPr>
        <w:t>islam au christianisme, pour l</w:t>
      </w:r>
      <w:r w:rsidR="00AA69CE">
        <w:rPr>
          <w:lang w:val="fr-FR"/>
        </w:rPr>
        <w:t>’</w:t>
      </w:r>
      <w:r w:rsidRPr="00325182">
        <w:rPr>
          <w:lang w:val="fr-FR"/>
        </w:rPr>
        <w:t>issue d</w:t>
      </w:r>
      <w:r w:rsidR="00AA69CE">
        <w:rPr>
          <w:lang w:val="fr-FR"/>
        </w:rPr>
        <w:t>’</w:t>
      </w:r>
      <w:r w:rsidRPr="00325182">
        <w:rPr>
          <w:lang w:val="fr-FR"/>
        </w:rPr>
        <w:t>une procédure d</w:t>
      </w:r>
      <w:r w:rsidR="00AA69CE">
        <w:rPr>
          <w:lang w:val="fr-FR"/>
        </w:rPr>
        <w:t>’</w:t>
      </w:r>
      <w:r w:rsidRPr="00325182">
        <w:rPr>
          <w:lang w:val="fr-FR"/>
        </w:rPr>
        <w:t>asile a donné lieu à un débat au sein du grand public et plus particulièrement parmi les demandeurs d</w:t>
      </w:r>
      <w:r w:rsidR="00AA69CE">
        <w:rPr>
          <w:lang w:val="fr-FR"/>
        </w:rPr>
        <w:t>’</w:t>
      </w:r>
      <w:r w:rsidRPr="00325182">
        <w:rPr>
          <w:lang w:val="fr-FR"/>
        </w:rPr>
        <w:t>asile. Il est donc de notoriété publique chez les demandeurs d</w:t>
      </w:r>
      <w:r w:rsidR="00AA69CE">
        <w:rPr>
          <w:lang w:val="fr-FR"/>
        </w:rPr>
        <w:t>’</w:t>
      </w:r>
      <w:r w:rsidRPr="00325182">
        <w:rPr>
          <w:lang w:val="fr-FR"/>
        </w:rPr>
        <w:t>asile, et les autres parties intéressées œuvrant dans ce domaine, que des renseignements faisant état d</w:t>
      </w:r>
      <w:r w:rsidR="00AA69CE">
        <w:rPr>
          <w:lang w:val="fr-FR"/>
        </w:rPr>
        <w:t>’</w:t>
      </w:r>
      <w:r w:rsidRPr="00325182">
        <w:rPr>
          <w:lang w:val="fr-FR"/>
        </w:rPr>
        <w:t>une conversion représentent un motif de demande d</w:t>
      </w:r>
      <w:r w:rsidR="00AA69CE">
        <w:rPr>
          <w:lang w:val="fr-FR"/>
        </w:rPr>
        <w:t>’</w:t>
      </w:r>
      <w:r w:rsidRPr="00325182">
        <w:rPr>
          <w:lang w:val="fr-FR"/>
        </w:rPr>
        <w:t>asile. Toutefois la question doit être appréciée au cas par cas, et l</w:t>
      </w:r>
      <w:r w:rsidR="00AA69CE">
        <w:rPr>
          <w:lang w:val="fr-FR"/>
        </w:rPr>
        <w:t>’</w:t>
      </w:r>
      <w:r w:rsidRPr="00325182">
        <w:rPr>
          <w:lang w:val="fr-FR"/>
        </w:rPr>
        <w:t>État partie affirme qu</w:t>
      </w:r>
      <w:r w:rsidR="00AA69CE">
        <w:rPr>
          <w:lang w:val="fr-FR"/>
        </w:rPr>
        <w:t>’</w:t>
      </w:r>
      <w:r w:rsidRPr="00325182">
        <w:rPr>
          <w:lang w:val="fr-FR"/>
        </w:rPr>
        <w:t>en l</w:t>
      </w:r>
      <w:r w:rsidR="00AA69CE">
        <w:rPr>
          <w:lang w:val="fr-FR"/>
        </w:rPr>
        <w:t>’</w:t>
      </w:r>
      <w:r w:rsidRPr="00325182">
        <w:rPr>
          <w:lang w:val="fr-FR"/>
        </w:rPr>
        <w:t>espèce le renvoi de l</w:t>
      </w:r>
      <w:r w:rsidR="00AA69CE">
        <w:rPr>
          <w:lang w:val="fr-FR"/>
        </w:rPr>
        <w:t>’</w:t>
      </w:r>
      <w:r w:rsidRPr="00325182">
        <w:rPr>
          <w:lang w:val="fr-FR"/>
        </w:rPr>
        <w:t xml:space="preserve">auteur en </w:t>
      </w:r>
      <w:r>
        <w:rPr>
          <w:lang w:val="fr-FR"/>
        </w:rPr>
        <w:t>République islamique d</w:t>
      </w:r>
      <w:r w:rsidR="00AA69CE">
        <w:rPr>
          <w:lang w:val="fr-FR"/>
        </w:rPr>
        <w:t>’</w:t>
      </w:r>
      <w:r w:rsidRPr="00325182">
        <w:rPr>
          <w:lang w:val="fr-FR"/>
        </w:rPr>
        <w:t>Iran ne constituerait pas une violation des articles 6 ou 7 du Pacte.</w:t>
      </w:r>
    </w:p>
    <w:p w:rsidR="00685027" w:rsidRPr="00325182" w:rsidRDefault="00685027" w:rsidP="00685027">
      <w:pPr>
        <w:pStyle w:val="SingleTxtG"/>
        <w:rPr>
          <w:lang w:val="fr-FR"/>
        </w:rPr>
      </w:pPr>
      <w:r w:rsidRPr="00325182">
        <w:rPr>
          <w:lang w:val="fr-FR"/>
        </w:rPr>
        <w:t>4.16</w:t>
      </w:r>
      <w:r w:rsidRPr="00325182">
        <w:rPr>
          <w:lang w:val="fr-FR"/>
        </w:rPr>
        <w:tab/>
        <w:t>En ce qui concerne l</w:t>
      </w:r>
      <w:r w:rsidR="00AA69CE">
        <w:rPr>
          <w:lang w:val="fr-FR"/>
        </w:rPr>
        <w:t>’</w:t>
      </w:r>
      <w:r w:rsidRPr="00325182">
        <w:rPr>
          <w:lang w:val="fr-FR"/>
        </w:rPr>
        <w:t>allégation de l</w:t>
      </w:r>
      <w:r w:rsidR="00AA69CE">
        <w:rPr>
          <w:lang w:val="fr-FR"/>
        </w:rPr>
        <w:t>’</w:t>
      </w:r>
      <w:r w:rsidRPr="00325182">
        <w:rPr>
          <w:lang w:val="fr-FR"/>
        </w:rPr>
        <w:t>auteur selon laquelle l</w:t>
      </w:r>
      <w:r w:rsidR="00AA69CE">
        <w:rPr>
          <w:lang w:val="fr-FR"/>
        </w:rPr>
        <w:t>’</w:t>
      </w:r>
      <w:r w:rsidRPr="00325182">
        <w:rPr>
          <w:lang w:val="fr-FR"/>
        </w:rPr>
        <w:t xml:space="preserve">impossibilité de faire appel des décisions prononcées par la Commission </w:t>
      </w:r>
      <w:r>
        <w:rPr>
          <w:lang w:val="fr-FR"/>
        </w:rPr>
        <w:t xml:space="preserve">danoise </w:t>
      </w:r>
      <w:r w:rsidRPr="00325182">
        <w:rPr>
          <w:lang w:val="fr-FR"/>
        </w:rPr>
        <w:t>de recours des réfugiés constituerait une violation des articles 2, 13 et 26 du Pacte, l</w:t>
      </w:r>
      <w:r w:rsidR="00AA69CE">
        <w:rPr>
          <w:lang w:val="fr-FR"/>
        </w:rPr>
        <w:t>’</w:t>
      </w:r>
      <w:r w:rsidRPr="00325182">
        <w:rPr>
          <w:lang w:val="fr-FR"/>
        </w:rPr>
        <w:t>État partie fait observer que l</w:t>
      </w:r>
      <w:r w:rsidR="00AA69CE">
        <w:rPr>
          <w:lang w:val="fr-FR"/>
        </w:rPr>
        <w:t>’</w:t>
      </w:r>
      <w:r w:rsidRPr="00325182">
        <w:rPr>
          <w:lang w:val="fr-FR"/>
        </w:rPr>
        <w:t>article 13 ne garantit pas le droit d</w:t>
      </w:r>
      <w:r w:rsidR="00AA69CE">
        <w:rPr>
          <w:lang w:val="fr-FR"/>
        </w:rPr>
        <w:t>’</w:t>
      </w:r>
      <w:r w:rsidRPr="00325182">
        <w:rPr>
          <w:lang w:val="fr-FR"/>
        </w:rPr>
        <w:t>être entendu par un tribunal. Ainsi, dans l</w:t>
      </w:r>
      <w:r w:rsidR="00AA69CE">
        <w:rPr>
          <w:lang w:val="fr-FR"/>
        </w:rPr>
        <w:t>’</w:t>
      </w:r>
      <w:r w:rsidRPr="00325182">
        <w:rPr>
          <w:lang w:val="fr-FR"/>
        </w:rPr>
        <w:t xml:space="preserve">affaire </w:t>
      </w:r>
      <w:r w:rsidRPr="00325182">
        <w:rPr>
          <w:i/>
          <w:iCs/>
          <w:lang w:val="fr-FR"/>
        </w:rPr>
        <w:t xml:space="preserve">Maroufidou </w:t>
      </w:r>
      <w:r w:rsidRPr="00B2796A">
        <w:rPr>
          <w:i/>
          <w:iCs/>
          <w:lang w:val="fr-FR"/>
        </w:rPr>
        <w:t>c</w:t>
      </w:r>
      <w:r w:rsidRPr="00C34A75">
        <w:rPr>
          <w:i/>
          <w:iCs/>
          <w:lang w:val="fr-FR"/>
        </w:rPr>
        <w:t>.</w:t>
      </w:r>
      <w:r w:rsidRPr="00325182">
        <w:rPr>
          <w:i/>
          <w:iCs/>
          <w:lang w:val="fr-FR"/>
        </w:rPr>
        <w:t> Suède</w:t>
      </w:r>
      <w:r w:rsidRPr="00325182">
        <w:rPr>
          <w:lang w:val="fr-FR"/>
        </w:rPr>
        <w:t>, le Comité n</w:t>
      </w:r>
      <w:r w:rsidR="00AA69CE">
        <w:rPr>
          <w:lang w:val="fr-FR"/>
        </w:rPr>
        <w:t>’</w:t>
      </w:r>
      <w:r w:rsidRPr="00325182">
        <w:rPr>
          <w:lang w:val="fr-FR"/>
        </w:rPr>
        <w:t>a pas contesté qu</w:t>
      </w:r>
      <w:r w:rsidR="00AA69CE">
        <w:rPr>
          <w:lang w:val="fr-FR"/>
        </w:rPr>
        <w:t>’</w:t>
      </w:r>
      <w:r w:rsidRPr="00325182">
        <w:rPr>
          <w:lang w:val="fr-FR"/>
        </w:rPr>
        <w:t>un simple « recours » administratif contre l</w:t>
      </w:r>
      <w:r w:rsidR="00AA69CE">
        <w:rPr>
          <w:lang w:val="fr-FR"/>
        </w:rPr>
        <w:t>’</w:t>
      </w:r>
      <w:r w:rsidRPr="00325182">
        <w:rPr>
          <w:lang w:val="fr-FR"/>
        </w:rPr>
        <w:t>ordonnance d</w:t>
      </w:r>
      <w:r w:rsidR="00AA69CE">
        <w:rPr>
          <w:lang w:val="fr-FR"/>
        </w:rPr>
        <w:t>’</w:t>
      </w:r>
      <w:r w:rsidRPr="00325182">
        <w:rPr>
          <w:lang w:val="fr-FR"/>
        </w:rPr>
        <w:t>expulsion en cause fut compatible avec l</w:t>
      </w:r>
      <w:r w:rsidR="00AA69CE">
        <w:rPr>
          <w:lang w:val="fr-FR"/>
        </w:rPr>
        <w:t>’</w:t>
      </w:r>
      <w:r w:rsidRPr="00325182">
        <w:rPr>
          <w:lang w:val="fr-FR"/>
        </w:rPr>
        <w:t>article 13 du Pacte</w:t>
      </w:r>
      <w:r w:rsidRPr="007D575F">
        <w:rPr>
          <w:rStyle w:val="Appelnotedebasdep"/>
        </w:rPr>
        <w:footnoteReference w:id="18"/>
      </w:r>
      <w:r w:rsidRPr="005D2A2E">
        <w:rPr>
          <w:lang w:val="fr-FR"/>
        </w:rPr>
        <w:t>. Dans l</w:t>
      </w:r>
      <w:r w:rsidR="00AA69CE">
        <w:rPr>
          <w:lang w:val="fr-FR"/>
        </w:rPr>
        <w:t>’</w:t>
      </w:r>
      <w:r w:rsidRPr="005D2A2E">
        <w:rPr>
          <w:lang w:val="fr-FR"/>
        </w:rPr>
        <w:t xml:space="preserve">affaire </w:t>
      </w:r>
      <w:r w:rsidRPr="005D2A2E">
        <w:rPr>
          <w:i/>
          <w:lang w:val="fr-FR"/>
        </w:rPr>
        <w:t xml:space="preserve">M. X et </w:t>
      </w:r>
      <w:r w:rsidRPr="00DD0137">
        <w:rPr>
          <w:i/>
          <w:lang w:val="fr-FR"/>
        </w:rPr>
        <w:t>M</w:t>
      </w:r>
      <w:r w:rsidRPr="007302A2">
        <w:rPr>
          <w:i/>
          <w:vertAlign w:val="superscript"/>
          <w:lang w:val="fr-FR"/>
        </w:rPr>
        <w:t>me</w:t>
      </w:r>
      <w:r w:rsidRPr="007302A2">
        <w:rPr>
          <w:i/>
          <w:lang w:val="fr-FR"/>
        </w:rPr>
        <w:t xml:space="preserve"> X </w:t>
      </w:r>
      <w:r w:rsidRPr="00B2796A">
        <w:rPr>
          <w:i/>
          <w:lang w:val="fr-FR"/>
        </w:rPr>
        <w:t>c</w:t>
      </w:r>
      <w:r w:rsidRPr="00C34A75">
        <w:rPr>
          <w:i/>
          <w:lang w:val="fr-FR"/>
        </w:rPr>
        <w:t>.</w:t>
      </w:r>
      <w:r w:rsidRPr="007302A2">
        <w:rPr>
          <w:i/>
          <w:lang w:val="fr-FR"/>
        </w:rPr>
        <w:t xml:space="preserve"> Danemark</w:t>
      </w:r>
      <w:r w:rsidRPr="007302A2">
        <w:rPr>
          <w:lang w:val="fr-FR"/>
        </w:rPr>
        <w:t>, il a déclaré que l</w:t>
      </w:r>
      <w:r w:rsidR="00AA69CE">
        <w:rPr>
          <w:lang w:val="fr-FR"/>
        </w:rPr>
        <w:t>’</w:t>
      </w:r>
      <w:r w:rsidRPr="007302A2">
        <w:rPr>
          <w:lang w:val="fr-FR"/>
        </w:rPr>
        <w:t>article 13 ne garantissait pas le droit au recours</w:t>
      </w:r>
      <w:r w:rsidRPr="007D575F">
        <w:rPr>
          <w:rStyle w:val="Appelnotedebasdep"/>
        </w:rPr>
        <w:footnoteReference w:id="19"/>
      </w:r>
      <w:r w:rsidRPr="005D2A2E">
        <w:rPr>
          <w:lang w:val="fr-FR"/>
        </w:rPr>
        <w:t>. L</w:t>
      </w:r>
      <w:r w:rsidR="00AA69CE">
        <w:rPr>
          <w:lang w:val="fr-FR"/>
        </w:rPr>
        <w:t>’</w:t>
      </w:r>
      <w:r w:rsidRPr="005D2A2E">
        <w:rPr>
          <w:lang w:val="fr-FR"/>
        </w:rPr>
        <w:t xml:space="preserve">État partie rappelle </w:t>
      </w:r>
      <w:r>
        <w:rPr>
          <w:lang w:val="fr-FR"/>
        </w:rPr>
        <w:t>également</w:t>
      </w:r>
      <w:r w:rsidRPr="005D2A2E">
        <w:rPr>
          <w:lang w:val="fr-FR"/>
        </w:rPr>
        <w:t xml:space="preserve"> que la demande d</w:t>
      </w:r>
      <w:r w:rsidR="00AA69CE">
        <w:rPr>
          <w:lang w:val="fr-FR"/>
        </w:rPr>
        <w:t>’</w:t>
      </w:r>
      <w:r w:rsidRPr="005D2A2E">
        <w:rPr>
          <w:lang w:val="fr-FR"/>
        </w:rPr>
        <w:t>asile de l</w:t>
      </w:r>
      <w:r w:rsidR="00AA69CE">
        <w:rPr>
          <w:lang w:val="fr-FR"/>
        </w:rPr>
        <w:t>’</w:t>
      </w:r>
      <w:r w:rsidRPr="005D2A2E">
        <w:rPr>
          <w:lang w:val="fr-FR"/>
        </w:rPr>
        <w:t xml:space="preserve">auteur a été examinée par deux instances </w:t>
      </w:r>
      <w:r w:rsidR="00783039">
        <w:rPr>
          <w:lang w:val="fr-FR"/>
        </w:rPr>
        <w:t>−</w:t>
      </w:r>
      <w:r w:rsidRPr="00325182">
        <w:rPr>
          <w:lang w:val="fr-FR"/>
        </w:rPr>
        <w:t xml:space="preserve"> le Service danois de l</w:t>
      </w:r>
      <w:r w:rsidR="00AA69CE">
        <w:rPr>
          <w:lang w:val="fr-FR"/>
        </w:rPr>
        <w:t>’</w:t>
      </w:r>
      <w:r w:rsidRPr="00325182">
        <w:rPr>
          <w:lang w:val="fr-FR"/>
        </w:rPr>
        <w:t xml:space="preserve">immigration et la Commission </w:t>
      </w:r>
      <w:r>
        <w:rPr>
          <w:lang w:val="fr-FR"/>
        </w:rPr>
        <w:t xml:space="preserve">danoise </w:t>
      </w:r>
      <w:r w:rsidRPr="00325182">
        <w:rPr>
          <w:lang w:val="fr-FR"/>
        </w:rPr>
        <w:t>de recours des réfugiés.</w:t>
      </w:r>
    </w:p>
    <w:p w:rsidR="00685027" w:rsidRPr="00325182" w:rsidRDefault="00685027" w:rsidP="00685027">
      <w:pPr>
        <w:pStyle w:val="SingleTxtG"/>
        <w:rPr>
          <w:lang w:val="fr-FR"/>
        </w:rPr>
      </w:pPr>
      <w:r w:rsidRPr="00325182">
        <w:rPr>
          <w:lang w:val="fr-FR"/>
        </w:rPr>
        <w:t>4.17</w:t>
      </w:r>
      <w:r w:rsidRPr="00325182">
        <w:rPr>
          <w:lang w:val="fr-FR"/>
        </w:rPr>
        <w:tab/>
        <w:t>Enfin, en ce qui concerne les articles 2 et 26 du Pacte, l</w:t>
      </w:r>
      <w:r w:rsidR="00AA69CE">
        <w:rPr>
          <w:lang w:val="fr-FR"/>
        </w:rPr>
        <w:t>’</w:t>
      </w:r>
      <w:r w:rsidRPr="00325182">
        <w:rPr>
          <w:lang w:val="fr-FR"/>
        </w:rPr>
        <w:t>État partie fait observer que de manière générale l</w:t>
      </w:r>
      <w:r w:rsidR="00AA69CE">
        <w:rPr>
          <w:lang w:val="fr-FR"/>
        </w:rPr>
        <w:t>’</w:t>
      </w:r>
      <w:r w:rsidRPr="00325182">
        <w:rPr>
          <w:lang w:val="fr-FR"/>
        </w:rPr>
        <w:t>auteur n</w:t>
      </w:r>
      <w:r w:rsidR="00AA69CE">
        <w:rPr>
          <w:lang w:val="fr-FR"/>
        </w:rPr>
        <w:t>’</w:t>
      </w:r>
      <w:r w:rsidRPr="00325182">
        <w:rPr>
          <w:lang w:val="fr-FR"/>
        </w:rPr>
        <w:t>a pas été traité différemment de n</w:t>
      </w:r>
      <w:r w:rsidR="00AA69CE">
        <w:rPr>
          <w:lang w:val="fr-FR"/>
        </w:rPr>
        <w:t>’</w:t>
      </w:r>
      <w:r w:rsidRPr="00325182">
        <w:rPr>
          <w:lang w:val="fr-FR"/>
        </w:rPr>
        <w:t>importe quel autre demandeur d</w:t>
      </w:r>
      <w:r w:rsidR="00AA69CE">
        <w:rPr>
          <w:lang w:val="fr-FR"/>
        </w:rPr>
        <w:t>’</w:t>
      </w:r>
      <w:r w:rsidRPr="00325182">
        <w:rPr>
          <w:lang w:val="fr-FR"/>
        </w:rPr>
        <w:t>asile au motif de sa race, de sa couleur, de son sexe, de sa langue, de sa religion, de ses opinions politiques ou d</w:t>
      </w:r>
      <w:r w:rsidR="00AA69CE">
        <w:rPr>
          <w:lang w:val="fr-FR"/>
        </w:rPr>
        <w:t>’</w:t>
      </w:r>
      <w:r w:rsidRPr="00325182">
        <w:rPr>
          <w:lang w:val="fr-FR"/>
        </w:rPr>
        <w:t>autres convictions, de son origine nationale ou sociale, de sa fortune, de sa naissance ou de toute autre situation. Il affirme donc que, dans ces conditions, les articles 13 et 26 du Pacte, lus seuls ou conjointement avec l</w:t>
      </w:r>
      <w:r w:rsidR="00AA69CE">
        <w:rPr>
          <w:lang w:val="fr-FR"/>
        </w:rPr>
        <w:t>’</w:t>
      </w:r>
      <w:r w:rsidRPr="00325182">
        <w:rPr>
          <w:lang w:val="fr-FR"/>
        </w:rPr>
        <w:t>article 2, n</w:t>
      </w:r>
      <w:r w:rsidR="00AA69CE">
        <w:rPr>
          <w:lang w:val="fr-FR"/>
        </w:rPr>
        <w:t>’</w:t>
      </w:r>
      <w:r w:rsidRPr="00325182">
        <w:rPr>
          <w:lang w:val="fr-FR"/>
        </w:rPr>
        <w:t>ont pas été violés dans le cadre du traitement de la demande d</w:t>
      </w:r>
      <w:r w:rsidR="00AA69CE">
        <w:rPr>
          <w:lang w:val="fr-FR"/>
        </w:rPr>
        <w:t>’</w:t>
      </w:r>
      <w:r w:rsidRPr="00325182">
        <w:rPr>
          <w:lang w:val="fr-FR"/>
        </w:rPr>
        <w:t>asile de l</w:t>
      </w:r>
      <w:r w:rsidR="00AA69CE">
        <w:rPr>
          <w:lang w:val="fr-FR"/>
        </w:rPr>
        <w:t>’</w:t>
      </w:r>
      <w:r w:rsidRPr="00325182">
        <w:rPr>
          <w:lang w:val="fr-FR"/>
        </w:rPr>
        <w:t>intéressé par les autorités danoises.</w:t>
      </w:r>
    </w:p>
    <w:p w:rsidR="00685027" w:rsidRPr="00325182" w:rsidRDefault="00685027" w:rsidP="00685027">
      <w:pPr>
        <w:pStyle w:val="H23G"/>
        <w:rPr>
          <w:lang w:val="fr-FR"/>
        </w:rPr>
      </w:pPr>
      <w:r w:rsidRPr="00325182">
        <w:rPr>
          <w:lang w:val="fr-FR"/>
        </w:rPr>
        <w:tab/>
      </w:r>
      <w:r w:rsidRPr="00325182">
        <w:rPr>
          <w:lang w:val="fr-FR"/>
        </w:rPr>
        <w:tab/>
        <w:t>Commentaires de l</w:t>
      </w:r>
      <w:r w:rsidR="00AA69CE">
        <w:rPr>
          <w:lang w:val="fr-FR"/>
        </w:rPr>
        <w:t>’</w:t>
      </w:r>
      <w:r w:rsidRPr="00325182">
        <w:rPr>
          <w:lang w:val="fr-FR"/>
        </w:rPr>
        <w:t>auteur sur les observations de l</w:t>
      </w:r>
      <w:r w:rsidR="00AA69CE">
        <w:rPr>
          <w:lang w:val="fr-FR"/>
        </w:rPr>
        <w:t>’</w:t>
      </w:r>
      <w:r w:rsidRPr="00325182">
        <w:rPr>
          <w:lang w:val="fr-FR"/>
        </w:rPr>
        <w:t xml:space="preserve">État partie </w:t>
      </w:r>
      <w:r w:rsidRPr="00325182">
        <w:rPr>
          <w:lang w:val="fr-FR"/>
        </w:rPr>
        <w:br/>
        <w:t>concernant la recevabilité et le fond</w:t>
      </w:r>
    </w:p>
    <w:p w:rsidR="00685027" w:rsidRPr="00325182" w:rsidRDefault="00685027" w:rsidP="00685027">
      <w:pPr>
        <w:pStyle w:val="SingleTxtG"/>
        <w:rPr>
          <w:lang w:val="fr-FR"/>
        </w:rPr>
      </w:pPr>
      <w:r w:rsidRPr="00325182">
        <w:rPr>
          <w:lang w:val="fr-FR"/>
        </w:rPr>
        <w:t>5.1</w:t>
      </w:r>
      <w:r w:rsidRPr="00325182">
        <w:rPr>
          <w:lang w:val="fr-FR"/>
        </w:rPr>
        <w:tab/>
        <w:t>Dans les commentaires sur les observations de l</w:t>
      </w:r>
      <w:r w:rsidR="00AA69CE">
        <w:rPr>
          <w:lang w:val="fr-FR"/>
        </w:rPr>
        <w:t>’</w:t>
      </w:r>
      <w:r w:rsidRPr="00325182">
        <w:rPr>
          <w:lang w:val="fr-FR"/>
        </w:rPr>
        <w:t>État partie qu</w:t>
      </w:r>
      <w:r w:rsidR="00AA69CE">
        <w:rPr>
          <w:lang w:val="fr-FR"/>
        </w:rPr>
        <w:t>’</w:t>
      </w:r>
      <w:r w:rsidRPr="00325182">
        <w:rPr>
          <w:lang w:val="fr-FR"/>
        </w:rPr>
        <w:t>il a présentés le 18 novembre 2016, l</w:t>
      </w:r>
      <w:r w:rsidR="00AA69CE">
        <w:rPr>
          <w:lang w:val="fr-FR"/>
        </w:rPr>
        <w:t>’</w:t>
      </w:r>
      <w:r w:rsidRPr="00325182">
        <w:rPr>
          <w:lang w:val="fr-FR"/>
        </w:rPr>
        <w:t xml:space="preserve">auteur maintient que son renvoi en </w:t>
      </w:r>
      <w:r>
        <w:rPr>
          <w:lang w:val="fr-FR"/>
        </w:rPr>
        <w:t>République islamique d</w:t>
      </w:r>
      <w:r w:rsidR="00AA69CE">
        <w:rPr>
          <w:lang w:val="fr-FR"/>
        </w:rPr>
        <w:t>’</w:t>
      </w:r>
      <w:r w:rsidRPr="00325182">
        <w:rPr>
          <w:lang w:val="fr-FR"/>
        </w:rPr>
        <w:t>Iran constituerait une violation des articles 6 et 7 du Pacte. Il soutient que ses allégations sont dûment étayées et affirme qu</w:t>
      </w:r>
      <w:r w:rsidR="00AA69CE">
        <w:rPr>
          <w:lang w:val="fr-FR"/>
        </w:rPr>
        <w:t>’</w:t>
      </w:r>
      <w:r w:rsidRPr="00325182">
        <w:rPr>
          <w:lang w:val="fr-FR"/>
        </w:rPr>
        <w:t>il a fui l</w:t>
      </w:r>
      <w:r>
        <w:rPr>
          <w:lang w:val="fr-FR"/>
        </w:rPr>
        <w:t>a</w:t>
      </w:r>
      <w:r w:rsidRPr="006F0EBA">
        <w:rPr>
          <w:lang w:val="fr-FR"/>
        </w:rPr>
        <w:t xml:space="preserve"> </w:t>
      </w:r>
      <w:r>
        <w:rPr>
          <w:lang w:val="fr-FR"/>
        </w:rPr>
        <w:t>République islamique d</w:t>
      </w:r>
      <w:r w:rsidR="00AA69CE">
        <w:rPr>
          <w:lang w:val="fr-FR"/>
        </w:rPr>
        <w:t>’</w:t>
      </w:r>
      <w:r w:rsidRPr="00325182">
        <w:rPr>
          <w:lang w:val="fr-FR"/>
        </w:rPr>
        <w:t>Iran en raison de son opposition au Gouvernement −</w:t>
      </w:r>
      <w:r w:rsidR="00783039">
        <w:rPr>
          <w:lang w:val="fr-FR"/>
        </w:rPr>
        <w:t> </w:t>
      </w:r>
      <w:r w:rsidRPr="00325182">
        <w:rPr>
          <w:lang w:val="fr-FR"/>
        </w:rPr>
        <w:t>il a refusé de travailler pour les Bassidji</w:t>
      </w:r>
      <w:r w:rsidR="00783039">
        <w:rPr>
          <w:lang w:val="fr-FR"/>
        </w:rPr>
        <w:t> −</w:t>
      </w:r>
      <w:r w:rsidRPr="00325182">
        <w:rPr>
          <w:lang w:val="fr-FR"/>
        </w:rPr>
        <w:t xml:space="preserve"> et qu</w:t>
      </w:r>
      <w:r w:rsidR="00AA69CE">
        <w:rPr>
          <w:lang w:val="fr-FR"/>
        </w:rPr>
        <w:t>’</w:t>
      </w:r>
      <w:r w:rsidRPr="00325182">
        <w:rPr>
          <w:lang w:val="fr-FR"/>
        </w:rPr>
        <w:t xml:space="preserve">il craint </w:t>
      </w:r>
      <w:r>
        <w:rPr>
          <w:lang w:val="fr-FR"/>
        </w:rPr>
        <w:t>également</w:t>
      </w:r>
      <w:r w:rsidRPr="00325182">
        <w:rPr>
          <w:lang w:val="fr-FR"/>
        </w:rPr>
        <w:t xml:space="preserve"> d</w:t>
      </w:r>
      <w:r w:rsidR="00AA69CE">
        <w:rPr>
          <w:lang w:val="fr-FR"/>
        </w:rPr>
        <w:t>’</w:t>
      </w:r>
      <w:r w:rsidRPr="00325182">
        <w:rPr>
          <w:lang w:val="fr-FR"/>
        </w:rPr>
        <w:t>être persécuté s</w:t>
      </w:r>
      <w:r w:rsidR="00AA69CE">
        <w:rPr>
          <w:lang w:val="fr-FR"/>
        </w:rPr>
        <w:t>’</w:t>
      </w:r>
      <w:r w:rsidRPr="00325182">
        <w:rPr>
          <w:lang w:val="fr-FR"/>
        </w:rPr>
        <w:t>il y retournait car, au Danemark, il s</w:t>
      </w:r>
      <w:r w:rsidR="00AA69CE">
        <w:rPr>
          <w:lang w:val="fr-FR"/>
        </w:rPr>
        <w:t>’</w:t>
      </w:r>
      <w:r w:rsidRPr="00325182">
        <w:rPr>
          <w:lang w:val="fr-FR"/>
        </w:rPr>
        <w:t>est converti au christianisme. Depuis qu</w:t>
      </w:r>
      <w:r w:rsidR="00AA69CE">
        <w:rPr>
          <w:lang w:val="fr-FR"/>
        </w:rPr>
        <w:t>’</w:t>
      </w:r>
      <w:r w:rsidRPr="00325182">
        <w:rPr>
          <w:lang w:val="fr-FR"/>
        </w:rPr>
        <w:t>il a quitté l</w:t>
      </w:r>
      <w:r>
        <w:rPr>
          <w:lang w:val="fr-FR"/>
        </w:rPr>
        <w:t>a</w:t>
      </w:r>
      <w:r w:rsidRPr="006F0EBA">
        <w:rPr>
          <w:lang w:val="fr-FR"/>
        </w:rPr>
        <w:t xml:space="preserve"> </w:t>
      </w:r>
      <w:r>
        <w:rPr>
          <w:lang w:val="fr-FR"/>
        </w:rPr>
        <w:t>République islamique d</w:t>
      </w:r>
      <w:r w:rsidR="00AA69CE">
        <w:rPr>
          <w:lang w:val="fr-FR"/>
        </w:rPr>
        <w:t>’</w:t>
      </w:r>
      <w:r w:rsidRPr="00325182">
        <w:rPr>
          <w:lang w:val="fr-FR"/>
        </w:rPr>
        <w:t>Iran, l</w:t>
      </w:r>
      <w:r w:rsidR="00AA69CE">
        <w:rPr>
          <w:lang w:val="fr-FR"/>
        </w:rPr>
        <w:t>’</w:t>
      </w:r>
      <w:r w:rsidRPr="00325182">
        <w:rPr>
          <w:lang w:val="fr-FR"/>
        </w:rPr>
        <w:t>intensité des persécutions dirigées contre les personnes qui s</w:t>
      </w:r>
      <w:r w:rsidR="00AA69CE">
        <w:rPr>
          <w:lang w:val="fr-FR"/>
        </w:rPr>
        <w:t>’</w:t>
      </w:r>
      <w:r w:rsidRPr="00325182">
        <w:rPr>
          <w:lang w:val="fr-FR"/>
        </w:rPr>
        <w:t>opposent au Gouvernement ou qui violent la charia n</w:t>
      </w:r>
      <w:r w:rsidR="00AA69CE">
        <w:rPr>
          <w:lang w:val="fr-FR"/>
        </w:rPr>
        <w:t>’</w:t>
      </w:r>
      <w:r w:rsidRPr="00325182">
        <w:rPr>
          <w:lang w:val="fr-FR"/>
        </w:rPr>
        <w:t>a pas changé. L</w:t>
      </w:r>
      <w:r w:rsidR="00AA69CE">
        <w:rPr>
          <w:lang w:val="fr-FR"/>
        </w:rPr>
        <w:t>’</w:t>
      </w:r>
      <w:r w:rsidRPr="00325182">
        <w:rPr>
          <w:lang w:val="fr-FR"/>
        </w:rPr>
        <w:t xml:space="preserve">auteur rappelle par ailleurs que la décision de la Commission </w:t>
      </w:r>
      <w:r>
        <w:rPr>
          <w:lang w:val="fr-FR"/>
        </w:rPr>
        <w:t xml:space="preserve">danoise </w:t>
      </w:r>
      <w:r w:rsidRPr="00325182">
        <w:rPr>
          <w:lang w:val="fr-FR"/>
        </w:rPr>
        <w:t>de recours des réfugiés n</w:t>
      </w:r>
      <w:r w:rsidR="00AA69CE">
        <w:rPr>
          <w:lang w:val="fr-FR"/>
        </w:rPr>
        <w:t>’</w:t>
      </w:r>
      <w:r w:rsidRPr="00325182">
        <w:rPr>
          <w:lang w:val="fr-FR"/>
        </w:rPr>
        <w:t>a pas été prise à l</w:t>
      </w:r>
      <w:r w:rsidR="00AA69CE">
        <w:rPr>
          <w:lang w:val="fr-FR"/>
        </w:rPr>
        <w:t>’</w:t>
      </w:r>
      <w:r w:rsidRPr="00325182">
        <w:rPr>
          <w:lang w:val="fr-FR"/>
        </w:rPr>
        <w:t>unanimité et que sa plainte ne peut donc pas être considérée comme manifestement infondée. Certains membres de la Commission ont reconnu que sa vie était menacée, ce qui démontre clairement la recevabilité à première vue de sa communication au titre des articles 6 et 7 du Pacte.</w:t>
      </w:r>
    </w:p>
    <w:p w:rsidR="00685027" w:rsidRPr="00325182" w:rsidRDefault="00685027" w:rsidP="00685027">
      <w:pPr>
        <w:pStyle w:val="SingleTxtG"/>
        <w:rPr>
          <w:lang w:val="fr-FR"/>
        </w:rPr>
      </w:pPr>
      <w:r w:rsidRPr="00325182">
        <w:rPr>
          <w:lang w:val="fr-FR"/>
        </w:rPr>
        <w:t>5.2</w:t>
      </w:r>
      <w:r w:rsidRPr="00325182">
        <w:rPr>
          <w:lang w:val="fr-FR"/>
        </w:rPr>
        <w:tab/>
        <w:t>L</w:t>
      </w:r>
      <w:r w:rsidR="00AA69CE">
        <w:rPr>
          <w:lang w:val="fr-FR"/>
        </w:rPr>
        <w:t>’</w:t>
      </w:r>
      <w:r w:rsidRPr="00325182">
        <w:rPr>
          <w:lang w:val="fr-FR"/>
        </w:rPr>
        <w:t>auteur considère également que la communication devrait être déclarée recevable au titre de l</w:t>
      </w:r>
      <w:r w:rsidR="00AA69CE">
        <w:rPr>
          <w:lang w:val="fr-FR"/>
        </w:rPr>
        <w:t>’</w:t>
      </w:r>
      <w:r w:rsidRPr="00325182">
        <w:rPr>
          <w:lang w:val="fr-FR"/>
        </w:rPr>
        <w:t>article 13 du Pacte car dans le cadre d</w:t>
      </w:r>
      <w:r w:rsidR="00AA69CE">
        <w:rPr>
          <w:lang w:val="fr-FR"/>
        </w:rPr>
        <w:t>’</w:t>
      </w:r>
      <w:r w:rsidRPr="00325182">
        <w:rPr>
          <w:lang w:val="fr-FR"/>
        </w:rPr>
        <w:t>un procès équitable chacun devrait avoir le droit de former un recours sur des questions touchant à la vie et à la mort. De plus, eu égard au fait qu</w:t>
      </w:r>
      <w:r w:rsidR="00AA69CE">
        <w:rPr>
          <w:lang w:val="fr-FR"/>
        </w:rPr>
        <w:t>’</w:t>
      </w:r>
      <w:r w:rsidRPr="00325182">
        <w:rPr>
          <w:lang w:val="fr-FR"/>
        </w:rPr>
        <w:t>en vertu du droit danois toutes les autres décisions prises par une commission quelconque sont susceptibles de recours devant les tribunaux internes, l</w:t>
      </w:r>
      <w:r w:rsidR="00AA69CE">
        <w:rPr>
          <w:lang w:val="fr-FR"/>
        </w:rPr>
        <w:t>’</w:t>
      </w:r>
      <w:r w:rsidRPr="00325182">
        <w:rPr>
          <w:lang w:val="fr-FR"/>
        </w:rPr>
        <w:t>auteur est victime de discrimination au sens de l</w:t>
      </w:r>
      <w:r w:rsidR="00AA69CE">
        <w:rPr>
          <w:lang w:val="fr-FR"/>
        </w:rPr>
        <w:t>’</w:t>
      </w:r>
      <w:r w:rsidRPr="00325182">
        <w:rPr>
          <w:lang w:val="fr-FR"/>
        </w:rPr>
        <w:t>article 26 du Pacte. Il fait valoir qu</w:t>
      </w:r>
      <w:r w:rsidR="00AA69CE">
        <w:rPr>
          <w:lang w:val="fr-FR"/>
        </w:rPr>
        <w:t>’</w:t>
      </w:r>
      <w:r w:rsidRPr="00325182">
        <w:rPr>
          <w:lang w:val="fr-FR"/>
        </w:rPr>
        <w:t>il existe en effet en vertu du droit danois de nombreuses commissions quasi judiciaires qui prononcent des décisions à caractère juridique, mais que toutes les décisions de ces commissions sont susceptibles de recours devant les tribunaux conformément à l</w:t>
      </w:r>
      <w:r w:rsidR="00AA69CE">
        <w:rPr>
          <w:lang w:val="fr-FR"/>
        </w:rPr>
        <w:t>’</w:t>
      </w:r>
      <w:r w:rsidRPr="00325182">
        <w:rPr>
          <w:lang w:val="fr-FR"/>
        </w:rPr>
        <w:t>article 63 de la Constitution danoise. L</w:t>
      </w:r>
      <w:r w:rsidR="00AA69CE">
        <w:rPr>
          <w:lang w:val="fr-FR"/>
        </w:rPr>
        <w:t>’</w:t>
      </w:r>
      <w:r w:rsidRPr="00325182">
        <w:rPr>
          <w:lang w:val="fr-FR"/>
        </w:rPr>
        <w:t>État partie n</w:t>
      </w:r>
      <w:r w:rsidR="00AA69CE">
        <w:rPr>
          <w:lang w:val="fr-FR"/>
        </w:rPr>
        <w:t>’</w:t>
      </w:r>
      <w:r w:rsidRPr="00325182">
        <w:rPr>
          <w:lang w:val="fr-FR"/>
        </w:rPr>
        <w:t xml:space="preserve">a pas été en mesure de citer </w:t>
      </w:r>
      <w:r>
        <w:rPr>
          <w:lang w:val="fr-FR"/>
        </w:rPr>
        <w:t>un</w:t>
      </w:r>
      <w:r w:rsidRPr="00325182">
        <w:rPr>
          <w:lang w:val="fr-FR"/>
        </w:rPr>
        <w:t xml:space="preserve"> autre organisme ou une autre commission régie par des dispositions similaires à celles figurant à l</w:t>
      </w:r>
      <w:r w:rsidR="00AA69CE">
        <w:rPr>
          <w:lang w:val="fr-FR"/>
        </w:rPr>
        <w:t>’</w:t>
      </w:r>
      <w:r w:rsidRPr="00325182">
        <w:rPr>
          <w:lang w:val="fr-FR"/>
        </w:rPr>
        <w:t>alinéa 8 de l</w:t>
      </w:r>
      <w:r w:rsidR="00AA69CE">
        <w:rPr>
          <w:lang w:val="fr-FR"/>
        </w:rPr>
        <w:t>’</w:t>
      </w:r>
      <w:r w:rsidRPr="00325182">
        <w:rPr>
          <w:lang w:val="fr-FR"/>
        </w:rPr>
        <w:t>article 56 de la loi sur les étrangers. Le grief que l</w:t>
      </w:r>
      <w:r w:rsidR="00AA69CE">
        <w:rPr>
          <w:lang w:val="fr-FR"/>
        </w:rPr>
        <w:t>’</w:t>
      </w:r>
      <w:r w:rsidRPr="00325182">
        <w:rPr>
          <w:lang w:val="fr-FR"/>
        </w:rPr>
        <w:t>auteur tire de l</w:t>
      </w:r>
      <w:r w:rsidR="00AA69CE">
        <w:rPr>
          <w:lang w:val="fr-FR"/>
        </w:rPr>
        <w:t>’</w:t>
      </w:r>
      <w:r w:rsidRPr="00325182">
        <w:rPr>
          <w:lang w:val="fr-FR"/>
        </w:rPr>
        <w:t>article 26 du Pacte devrait donc également être déclaré recevable.</w:t>
      </w:r>
    </w:p>
    <w:p w:rsidR="00685027" w:rsidRPr="00325182" w:rsidRDefault="00685027" w:rsidP="00685027">
      <w:pPr>
        <w:pStyle w:val="SingleTxtG"/>
        <w:rPr>
          <w:lang w:val="fr-FR"/>
        </w:rPr>
      </w:pPr>
      <w:r w:rsidRPr="00325182">
        <w:rPr>
          <w:lang w:val="fr-FR"/>
        </w:rPr>
        <w:t>5.3</w:t>
      </w:r>
      <w:r w:rsidRPr="00325182">
        <w:rPr>
          <w:lang w:val="fr-FR"/>
        </w:rPr>
        <w:tab/>
        <w:t>Pour ce qui est de l</w:t>
      </w:r>
      <w:r w:rsidR="00AA69CE">
        <w:rPr>
          <w:lang w:val="fr-FR"/>
        </w:rPr>
        <w:t>’</w:t>
      </w:r>
      <w:r w:rsidRPr="00325182">
        <w:rPr>
          <w:lang w:val="fr-FR"/>
        </w:rPr>
        <w:t>argument de l</w:t>
      </w:r>
      <w:r w:rsidR="00AA69CE">
        <w:rPr>
          <w:lang w:val="fr-FR"/>
        </w:rPr>
        <w:t>’</w:t>
      </w:r>
      <w:r w:rsidRPr="00325182">
        <w:rPr>
          <w:lang w:val="fr-FR"/>
        </w:rPr>
        <w:t>État partie selon lequel les</w:t>
      </w:r>
      <w:r>
        <w:rPr>
          <w:lang w:val="fr-FR"/>
        </w:rPr>
        <w:t xml:space="preserve"> griefs fondés sur les articles </w:t>
      </w:r>
      <w:r w:rsidRPr="00325182">
        <w:rPr>
          <w:lang w:val="fr-FR"/>
        </w:rPr>
        <w:t>2, 13, 14 et 26 du Pacte devraient être déclarés irrecevables en ce qu</w:t>
      </w:r>
      <w:r w:rsidR="00AA69CE">
        <w:rPr>
          <w:lang w:val="fr-FR"/>
        </w:rPr>
        <w:t>’</w:t>
      </w:r>
      <w:r w:rsidRPr="00325182">
        <w:rPr>
          <w:lang w:val="fr-FR"/>
        </w:rPr>
        <w:t>ils constituent un abus du droit de présenter une communication, l</w:t>
      </w:r>
      <w:r w:rsidR="00AA69CE">
        <w:rPr>
          <w:lang w:val="fr-FR"/>
        </w:rPr>
        <w:t>’</w:t>
      </w:r>
      <w:r w:rsidRPr="00325182">
        <w:rPr>
          <w:lang w:val="fr-FR"/>
        </w:rPr>
        <w:t>auteur convient que le Service danois de l</w:t>
      </w:r>
      <w:r w:rsidR="00AA69CE">
        <w:rPr>
          <w:lang w:val="fr-FR"/>
        </w:rPr>
        <w:t>’</w:t>
      </w:r>
      <w:r w:rsidRPr="00325182">
        <w:rPr>
          <w:lang w:val="fr-FR"/>
        </w:rPr>
        <w:t>immigration a pris en considération la question de sa conversion. Il reconnaît ainsi qu</w:t>
      </w:r>
      <w:r w:rsidR="00AA69CE">
        <w:rPr>
          <w:lang w:val="fr-FR"/>
        </w:rPr>
        <w:t>’</w:t>
      </w:r>
      <w:r w:rsidRPr="00325182">
        <w:rPr>
          <w:lang w:val="fr-FR"/>
        </w:rPr>
        <w:t xml:space="preserve">il a prétendu à tort dans sa lettre initiale que la Commission </w:t>
      </w:r>
      <w:r>
        <w:rPr>
          <w:lang w:val="fr-FR"/>
        </w:rPr>
        <w:t xml:space="preserve">danoise </w:t>
      </w:r>
      <w:r w:rsidRPr="00325182">
        <w:rPr>
          <w:lang w:val="fr-FR"/>
        </w:rPr>
        <w:t>de recours des réfugiés n</w:t>
      </w:r>
      <w:r w:rsidR="00AA69CE">
        <w:rPr>
          <w:lang w:val="fr-FR"/>
        </w:rPr>
        <w:t>’</w:t>
      </w:r>
      <w:r w:rsidRPr="00325182">
        <w:rPr>
          <w:lang w:val="fr-FR"/>
        </w:rPr>
        <w:t>avait pas permis que son dossier soit transmis au Service de l</w:t>
      </w:r>
      <w:r w:rsidR="00AA69CE">
        <w:rPr>
          <w:lang w:val="fr-FR"/>
        </w:rPr>
        <w:t>’</w:t>
      </w:r>
      <w:r w:rsidRPr="00325182">
        <w:rPr>
          <w:lang w:val="fr-FR"/>
        </w:rPr>
        <w:t>immigration, en tant que première instance d</w:t>
      </w:r>
      <w:r w:rsidR="00AA69CE">
        <w:rPr>
          <w:lang w:val="fr-FR"/>
        </w:rPr>
        <w:t>’</w:t>
      </w:r>
      <w:r w:rsidRPr="00325182">
        <w:rPr>
          <w:lang w:val="fr-FR"/>
        </w:rPr>
        <w:t>examen, et admet qu</w:t>
      </w:r>
      <w:r w:rsidR="00AA69CE">
        <w:rPr>
          <w:lang w:val="fr-FR"/>
        </w:rPr>
        <w:t>’</w:t>
      </w:r>
      <w:r w:rsidRPr="00325182">
        <w:rPr>
          <w:lang w:val="fr-FR"/>
        </w:rPr>
        <w:t>en ce qui concerne le renvoi de son dossier à ce service il n</w:t>
      </w:r>
      <w:r w:rsidR="00AA69CE">
        <w:rPr>
          <w:lang w:val="fr-FR"/>
        </w:rPr>
        <w:t>’</w:t>
      </w:r>
      <w:r w:rsidRPr="00325182">
        <w:rPr>
          <w:lang w:val="fr-FR"/>
        </w:rPr>
        <w:t xml:space="preserve">y a pas eu de violation du Pacte. </w:t>
      </w:r>
      <w:r>
        <w:rPr>
          <w:lang w:val="fr-FR"/>
        </w:rPr>
        <w:t>Il</w:t>
      </w:r>
      <w:r w:rsidRPr="00325182">
        <w:rPr>
          <w:lang w:val="fr-FR"/>
        </w:rPr>
        <w:t xml:space="preserve"> soutient toutefois que les griefs qu</w:t>
      </w:r>
      <w:r w:rsidR="00AA69CE">
        <w:rPr>
          <w:lang w:val="fr-FR"/>
        </w:rPr>
        <w:t>’</w:t>
      </w:r>
      <w:r w:rsidRPr="00325182">
        <w:rPr>
          <w:lang w:val="fr-FR"/>
        </w:rPr>
        <w:t xml:space="preserve">il tire de ces articles devraient être considérés comme recevables au motif que les décisions de la Commission </w:t>
      </w:r>
      <w:r>
        <w:rPr>
          <w:lang w:val="fr-FR"/>
        </w:rPr>
        <w:t xml:space="preserve">de recours des réfugiés </w:t>
      </w:r>
      <w:r w:rsidRPr="00325182">
        <w:rPr>
          <w:lang w:val="fr-FR"/>
        </w:rPr>
        <w:t>sont insusceptibles de recours devant les juridictions internes. Il fait valoir que l</w:t>
      </w:r>
      <w:r w:rsidR="00AA69CE">
        <w:rPr>
          <w:lang w:val="fr-FR"/>
        </w:rPr>
        <w:t>’</w:t>
      </w:r>
      <w:r w:rsidRPr="00325182">
        <w:rPr>
          <w:lang w:val="fr-FR"/>
        </w:rPr>
        <w:t>État partie n</w:t>
      </w:r>
      <w:r w:rsidR="00AA69CE">
        <w:rPr>
          <w:lang w:val="fr-FR"/>
        </w:rPr>
        <w:t>’</w:t>
      </w:r>
      <w:r w:rsidRPr="00325182">
        <w:rPr>
          <w:lang w:val="fr-FR"/>
        </w:rPr>
        <w:t>a pas contesté ce point.</w:t>
      </w:r>
    </w:p>
    <w:p w:rsidR="00685027" w:rsidRPr="00325182" w:rsidRDefault="00685027" w:rsidP="00685027">
      <w:pPr>
        <w:pStyle w:val="SingleTxtG"/>
        <w:rPr>
          <w:lang w:val="fr-FR"/>
        </w:rPr>
      </w:pPr>
      <w:r w:rsidRPr="00325182">
        <w:rPr>
          <w:lang w:val="fr-FR"/>
        </w:rPr>
        <w:t>5.4</w:t>
      </w:r>
      <w:r w:rsidRPr="00325182">
        <w:rPr>
          <w:lang w:val="fr-FR"/>
        </w:rPr>
        <w:tab/>
        <w:t>Quant au fond, l</w:t>
      </w:r>
      <w:r w:rsidR="00AA69CE">
        <w:rPr>
          <w:lang w:val="fr-FR"/>
        </w:rPr>
        <w:t>’</w:t>
      </w:r>
      <w:r w:rsidRPr="00325182">
        <w:rPr>
          <w:lang w:val="fr-FR"/>
        </w:rPr>
        <w:t>auteur conteste la position de l</w:t>
      </w:r>
      <w:r w:rsidR="00AA69CE">
        <w:rPr>
          <w:lang w:val="fr-FR"/>
        </w:rPr>
        <w:t>’</w:t>
      </w:r>
      <w:r w:rsidRPr="00325182">
        <w:rPr>
          <w:lang w:val="fr-FR"/>
        </w:rPr>
        <w:t>État partie consistant à fonder l</w:t>
      </w:r>
      <w:r w:rsidR="00AA69CE">
        <w:rPr>
          <w:lang w:val="fr-FR"/>
        </w:rPr>
        <w:t>’</w:t>
      </w:r>
      <w:r w:rsidRPr="00325182">
        <w:rPr>
          <w:lang w:val="fr-FR"/>
        </w:rPr>
        <w:t>appréciation de sa demande d</w:t>
      </w:r>
      <w:r w:rsidR="00AA69CE">
        <w:rPr>
          <w:lang w:val="fr-FR"/>
        </w:rPr>
        <w:t>’</w:t>
      </w:r>
      <w:r w:rsidRPr="00325182">
        <w:rPr>
          <w:lang w:val="fr-FR"/>
        </w:rPr>
        <w:t xml:space="preserve">asile sur des considérations de « crédibilité » en accordant une importance secondaire à la réalité de la situation en </w:t>
      </w:r>
      <w:r>
        <w:rPr>
          <w:lang w:val="fr-FR"/>
        </w:rPr>
        <w:t>République islamique d</w:t>
      </w:r>
      <w:r w:rsidR="00AA69CE">
        <w:rPr>
          <w:lang w:val="fr-FR"/>
        </w:rPr>
        <w:t>’</w:t>
      </w:r>
      <w:r w:rsidRPr="00325182">
        <w:rPr>
          <w:lang w:val="fr-FR"/>
        </w:rPr>
        <w:t>Iran. Il est avéré que les autorités iraniennes n</w:t>
      </w:r>
      <w:r w:rsidR="00AA69CE">
        <w:rPr>
          <w:lang w:val="fr-FR"/>
        </w:rPr>
        <w:t>’</w:t>
      </w:r>
      <w:r w:rsidRPr="00325182">
        <w:rPr>
          <w:lang w:val="fr-FR"/>
        </w:rPr>
        <w:t>ont jamais délivré de passeport à l</w:t>
      </w:r>
      <w:r w:rsidR="00AA69CE">
        <w:rPr>
          <w:lang w:val="fr-FR"/>
        </w:rPr>
        <w:t>’</w:t>
      </w:r>
      <w:r w:rsidRPr="00325182">
        <w:rPr>
          <w:lang w:val="fr-FR"/>
        </w:rPr>
        <w:t>auteur et que celui-ci a fui l</w:t>
      </w:r>
      <w:r>
        <w:rPr>
          <w:lang w:val="fr-FR"/>
        </w:rPr>
        <w:t>a</w:t>
      </w:r>
      <w:r w:rsidRPr="006F0EBA">
        <w:rPr>
          <w:lang w:val="fr-FR"/>
        </w:rPr>
        <w:t xml:space="preserve"> </w:t>
      </w:r>
      <w:r>
        <w:rPr>
          <w:lang w:val="fr-FR"/>
        </w:rPr>
        <w:t>République islamique d</w:t>
      </w:r>
      <w:r w:rsidR="00AA69CE">
        <w:rPr>
          <w:lang w:val="fr-FR"/>
        </w:rPr>
        <w:t>’</w:t>
      </w:r>
      <w:r w:rsidRPr="00325182">
        <w:rPr>
          <w:lang w:val="fr-FR"/>
        </w:rPr>
        <w:t>Iran illégalement. Il est également avéré qu</w:t>
      </w:r>
      <w:r w:rsidR="00AA69CE">
        <w:rPr>
          <w:lang w:val="fr-FR"/>
        </w:rPr>
        <w:t>’</w:t>
      </w:r>
      <w:r w:rsidRPr="00325182">
        <w:rPr>
          <w:lang w:val="fr-FR"/>
        </w:rPr>
        <w:t>il a été baptisé au Danemark et qu</w:t>
      </w:r>
      <w:r w:rsidR="00AA69CE">
        <w:rPr>
          <w:lang w:val="fr-FR"/>
        </w:rPr>
        <w:t>’</w:t>
      </w:r>
      <w:r w:rsidRPr="00325182">
        <w:rPr>
          <w:lang w:val="fr-FR"/>
        </w:rPr>
        <w:t>il a montré qu</w:t>
      </w:r>
      <w:r w:rsidR="00AA69CE">
        <w:rPr>
          <w:lang w:val="fr-FR"/>
        </w:rPr>
        <w:t>’</w:t>
      </w:r>
      <w:r w:rsidRPr="00325182">
        <w:rPr>
          <w:lang w:val="fr-FR"/>
        </w:rPr>
        <w:t>il connaissait particulièrement bien la religion chrétienne. Ces points n</w:t>
      </w:r>
      <w:r w:rsidR="00AA69CE">
        <w:rPr>
          <w:lang w:val="fr-FR"/>
        </w:rPr>
        <w:t>’</w:t>
      </w:r>
      <w:r w:rsidRPr="00325182">
        <w:rPr>
          <w:lang w:val="fr-FR"/>
        </w:rPr>
        <w:t>ont pas été contestés par les autorités danoises. En conséquence, à son arrivée en</w:t>
      </w:r>
      <w:r w:rsidRPr="006F0EBA">
        <w:rPr>
          <w:lang w:val="fr-FR"/>
        </w:rPr>
        <w:t xml:space="preserve"> </w:t>
      </w:r>
      <w:r>
        <w:rPr>
          <w:lang w:val="fr-FR"/>
        </w:rPr>
        <w:t>République islamique d</w:t>
      </w:r>
      <w:r w:rsidR="00AA69CE">
        <w:rPr>
          <w:lang w:val="fr-FR"/>
        </w:rPr>
        <w:t>’</w:t>
      </w:r>
      <w:r w:rsidRPr="00325182">
        <w:rPr>
          <w:lang w:val="fr-FR"/>
        </w:rPr>
        <w:t>Iran il serait soumis à un interrogatoire et puni pour avoir quitté le pays illégalement. L</w:t>
      </w:r>
      <w:r w:rsidR="00AA69CE">
        <w:rPr>
          <w:lang w:val="fr-FR"/>
        </w:rPr>
        <w:t>’</w:t>
      </w:r>
      <w:r w:rsidRPr="00325182">
        <w:rPr>
          <w:lang w:val="fr-FR"/>
        </w:rPr>
        <w:t>auteur affirme qu</w:t>
      </w:r>
      <w:r w:rsidR="00AA69CE">
        <w:rPr>
          <w:lang w:val="fr-FR"/>
        </w:rPr>
        <w:t>’</w:t>
      </w:r>
      <w:r w:rsidRPr="00325182">
        <w:rPr>
          <w:lang w:val="fr-FR"/>
        </w:rPr>
        <w:t>il existe à l</w:t>
      </w:r>
      <w:r w:rsidR="00AA69CE">
        <w:rPr>
          <w:lang w:val="fr-FR"/>
        </w:rPr>
        <w:t>’</w:t>
      </w:r>
      <w:r w:rsidRPr="00325182">
        <w:rPr>
          <w:lang w:val="fr-FR"/>
        </w:rPr>
        <w:t>aéroport même un tribunal spécial chargé de prononcer des condamnations contre les citoyens iraniens qui ont fui l</w:t>
      </w:r>
      <w:r>
        <w:rPr>
          <w:lang w:val="fr-FR"/>
        </w:rPr>
        <w:t>a</w:t>
      </w:r>
      <w:r w:rsidRPr="006F0EBA">
        <w:rPr>
          <w:lang w:val="fr-FR"/>
        </w:rPr>
        <w:t xml:space="preserve"> </w:t>
      </w:r>
      <w:r>
        <w:rPr>
          <w:lang w:val="fr-FR"/>
        </w:rPr>
        <w:t>République islamique d</w:t>
      </w:r>
      <w:r w:rsidR="00AA69CE">
        <w:rPr>
          <w:lang w:val="fr-FR"/>
        </w:rPr>
        <w:t>’</w:t>
      </w:r>
      <w:r w:rsidRPr="00325182">
        <w:rPr>
          <w:lang w:val="fr-FR"/>
        </w:rPr>
        <w:t>Iran illégalement. Eu égard à cette situation, son appartenance passée aux Bassidji sera découverte et il sera également interrogé sur son séjour dans un pays occidental</w:t>
      </w:r>
      <w:r>
        <w:rPr>
          <w:lang w:val="fr-FR"/>
        </w:rPr>
        <w:t xml:space="preserve"> et </w:t>
      </w:r>
      <w:r w:rsidRPr="00325182">
        <w:rPr>
          <w:lang w:val="fr-FR"/>
        </w:rPr>
        <w:t>sa conversion au christianisme.</w:t>
      </w:r>
    </w:p>
    <w:p w:rsidR="00685027" w:rsidRPr="005D2A2E" w:rsidRDefault="00685027" w:rsidP="00685027">
      <w:pPr>
        <w:pStyle w:val="SingleTxtG"/>
        <w:rPr>
          <w:lang w:val="fr-FR"/>
        </w:rPr>
      </w:pPr>
      <w:r w:rsidRPr="00325182">
        <w:rPr>
          <w:lang w:val="fr-FR"/>
        </w:rPr>
        <w:t>5.5</w:t>
      </w:r>
      <w:r w:rsidRPr="00325182">
        <w:rPr>
          <w:lang w:val="fr-FR"/>
        </w:rPr>
        <w:tab/>
        <w:t>L</w:t>
      </w:r>
      <w:r w:rsidR="00AA69CE">
        <w:rPr>
          <w:lang w:val="fr-FR"/>
        </w:rPr>
        <w:t>’</w:t>
      </w:r>
      <w:r w:rsidRPr="00325182">
        <w:rPr>
          <w:lang w:val="fr-FR"/>
        </w:rPr>
        <w:t>auteur affirme qu</w:t>
      </w:r>
      <w:r w:rsidR="00AA69CE">
        <w:rPr>
          <w:lang w:val="fr-FR"/>
        </w:rPr>
        <w:t>’</w:t>
      </w:r>
      <w:r w:rsidRPr="00325182">
        <w:rPr>
          <w:lang w:val="fr-FR"/>
        </w:rPr>
        <w:t xml:space="preserve">une minorité de membres de la Commission </w:t>
      </w:r>
      <w:r>
        <w:rPr>
          <w:lang w:val="fr-FR"/>
        </w:rPr>
        <w:t xml:space="preserve">danoise de recours des réfugiés </w:t>
      </w:r>
      <w:r w:rsidRPr="00325182">
        <w:rPr>
          <w:lang w:val="fr-FR"/>
        </w:rPr>
        <w:t>voulait lui accorder la protection, tandis que la majorité d</w:t>
      </w:r>
      <w:r w:rsidR="00AA69CE">
        <w:rPr>
          <w:lang w:val="fr-FR"/>
        </w:rPr>
        <w:t>’</w:t>
      </w:r>
      <w:r w:rsidRPr="00325182">
        <w:rPr>
          <w:lang w:val="fr-FR"/>
        </w:rPr>
        <w:t>entre eux a utilisé le rejet du premier motif de sa demande d</w:t>
      </w:r>
      <w:r w:rsidR="00AA69CE">
        <w:rPr>
          <w:lang w:val="fr-FR"/>
        </w:rPr>
        <w:t>’</w:t>
      </w:r>
      <w:r w:rsidRPr="00325182">
        <w:rPr>
          <w:lang w:val="fr-FR"/>
        </w:rPr>
        <w:t>asile pour absence de crédibilité pour rejeter également son nouveau motif de demande d</w:t>
      </w:r>
      <w:r w:rsidR="00AA69CE">
        <w:rPr>
          <w:lang w:val="fr-FR"/>
        </w:rPr>
        <w:t>’</w:t>
      </w:r>
      <w:r w:rsidRPr="00325182">
        <w:rPr>
          <w:lang w:val="fr-FR"/>
        </w:rPr>
        <w:t>asile, soulevé « sur place », pour absence de crédibilité. Il estime donc que la majorité des membres de la Commission a écarté le second motif de sa demande d</w:t>
      </w:r>
      <w:r w:rsidR="00AA69CE">
        <w:rPr>
          <w:lang w:val="fr-FR"/>
        </w:rPr>
        <w:t>’</w:t>
      </w:r>
      <w:r w:rsidRPr="00325182">
        <w:rPr>
          <w:lang w:val="fr-FR"/>
        </w:rPr>
        <w:t>asile parce qu</w:t>
      </w:r>
      <w:r w:rsidR="00AA69CE">
        <w:rPr>
          <w:lang w:val="fr-FR"/>
        </w:rPr>
        <w:t>’</w:t>
      </w:r>
      <w:r w:rsidRPr="00325182">
        <w:rPr>
          <w:lang w:val="fr-FR"/>
        </w:rPr>
        <w:t>elle n</w:t>
      </w:r>
      <w:r w:rsidR="00AA69CE">
        <w:rPr>
          <w:lang w:val="fr-FR"/>
        </w:rPr>
        <w:t>’</w:t>
      </w:r>
      <w:r w:rsidRPr="00325182">
        <w:rPr>
          <w:lang w:val="fr-FR"/>
        </w:rPr>
        <w:t>accordait aucun crédit au premier. Il affirme que cette démarche contraste fortement avec celle adoptée dans un certain nombre d</w:t>
      </w:r>
      <w:r w:rsidR="00AA69CE">
        <w:rPr>
          <w:lang w:val="fr-FR"/>
        </w:rPr>
        <w:t>’</w:t>
      </w:r>
      <w:r w:rsidRPr="00325182">
        <w:rPr>
          <w:lang w:val="fr-FR"/>
        </w:rPr>
        <w:t xml:space="preserve">autres affaires dont </w:t>
      </w:r>
      <w:r>
        <w:rPr>
          <w:lang w:val="fr-FR"/>
        </w:rPr>
        <w:t>le Comité</w:t>
      </w:r>
      <w:r w:rsidRPr="00325182">
        <w:rPr>
          <w:lang w:val="fr-FR"/>
        </w:rPr>
        <w:t xml:space="preserve"> a eu à connaître et où l</w:t>
      </w:r>
      <w:r w:rsidR="00AA69CE">
        <w:rPr>
          <w:lang w:val="fr-FR"/>
        </w:rPr>
        <w:t>’</w:t>
      </w:r>
      <w:r w:rsidRPr="00325182">
        <w:rPr>
          <w:lang w:val="fr-FR"/>
        </w:rPr>
        <w:t>État partie avait décidé de rouvrir le dossier sur la base d</w:t>
      </w:r>
      <w:r w:rsidR="00AA69CE">
        <w:rPr>
          <w:lang w:val="fr-FR"/>
        </w:rPr>
        <w:t>’</w:t>
      </w:r>
      <w:r w:rsidRPr="00325182">
        <w:rPr>
          <w:lang w:val="fr-FR"/>
        </w:rPr>
        <w:t>un nouveau motif d</w:t>
      </w:r>
      <w:r w:rsidR="00AA69CE">
        <w:rPr>
          <w:lang w:val="fr-FR"/>
        </w:rPr>
        <w:t>’</w:t>
      </w:r>
      <w:r w:rsidRPr="00325182">
        <w:rPr>
          <w:lang w:val="fr-FR"/>
        </w:rPr>
        <w:t>asile soulevé « sur place » et accordé l</w:t>
      </w:r>
      <w:r w:rsidR="00AA69CE">
        <w:rPr>
          <w:lang w:val="fr-FR"/>
        </w:rPr>
        <w:t>’</w:t>
      </w:r>
      <w:r w:rsidRPr="00325182">
        <w:rPr>
          <w:lang w:val="fr-FR"/>
        </w:rPr>
        <w:t>asile aux intéressés sans utiliser l</w:t>
      </w:r>
      <w:r w:rsidR="00AA69CE">
        <w:rPr>
          <w:lang w:val="fr-FR"/>
        </w:rPr>
        <w:t>’</w:t>
      </w:r>
      <w:r w:rsidRPr="00325182">
        <w:rPr>
          <w:lang w:val="fr-FR"/>
        </w:rPr>
        <w:t>argument de leur crédibilité générale pour le leur refuser</w:t>
      </w:r>
      <w:r w:rsidRPr="007D575F">
        <w:rPr>
          <w:rStyle w:val="Appelnotedebasdep"/>
        </w:rPr>
        <w:footnoteReference w:id="20"/>
      </w:r>
      <w:r w:rsidRPr="005D2A2E">
        <w:rPr>
          <w:lang w:val="fr-FR"/>
        </w:rPr>
        <w:t>.</w:t>
      </w:r>
    </w:p>
    <w:p w:rsidR="00685027" w:rsidRPr="00325182" w:rsidRDefault="00685027" w:rsidP="00685027">
      <w:pPr>
        <w:pStyle w:val="SingleTxtG"/>
        <w:rPr>
          <w:lang w:val="fr-FR"/>
        </w:rPr>
      </w:pPr>
      <w:r w:rsidRPr="005C45D9">
        <w:rPr>
          <w:lang w:val="fr-FR"/>
        </w:rPr>
        <w:t>5.6</w:t>
      </w:r>
      <w:r w:rsidRPr="005C45D9">
        <w:rPr>
          <w:lang w:val="fr-FR"/>
        </w:rPr>
        <w:tab/>
        <w:t>L</w:t>
      </w:r>
      <w:r w:rsidR="00AA69CE">
        <w:rPr>
          <w:lang w:val="fr-FR"/>
        </w:rPr>
        <w:t>’</w:t>
      </w:r>
      <w:r w:rsidRPr="005C45D9">
        <w:rPr>
          <w:lang w:val="fr-FR"/>
        </w:rPr>
        <w:t>auteur considère donc que la décision rendue par la Commission</w:t>
      </w:r>
      <w:r>
        <w:rPr>
          <w:lang w:val="fr-FR"/>
        </w:rPr>
        <w:t xml:space="preserve"> danoise de recours des réfugiés</w:t>
      </w:r>
      <w:r w:rsidRPr="005C45D9">
        <w:rPr>
          <w:lang w:val="fr-FR"/>
        </w:rPr>
        <w:t xml:space="preserve"> le 27 mars 2014 a un </w:t>
      </w:r>
      <w:r w:rsidRPr="00325182">
        <w:rPr>
          <w:lang w:val="fr-FR"/>
        </w:rPr>
        <w:t>caractère manifestement déraisonnable et arbitraire.</w:t>
      </w:r>
    </w:p>
    <w:p w:rsidR="00685027" w:rsidRPr="00325182" w:rsidRDefault="00685027" w:rsidP="00685027">
      <w:pPr>
        <w:pStyle w:val="H23G"/>
        <w:rPr>
          <w:lang w:val="fr-FR"/>
        </w:rPr>
      </w:pPr>
      <w:r w:rsidRPr="00325182">
        <w:rPr>
          <w:lang w:val="fr-FR"/>
        </w:rPr>
        <w:tab/>
      </w:r>
      <w:r w:rsidRPr="00325182">
        <w:rPr>
          <w:lang w:val="fr-FR"/>
        </w:rPr>
        <w:tab/>
        <w:t>Observations complémentaires de l</w:t>
      </w:r>
      <w:r w:rsidR="00AA69CE">
        <w:rPr>
          <w:lang w:val="fr-FR"/>
        </w:rPr>
        <w:t>’</w:t>
      </w:r>
      <w:r w:rsidRPr="00325182">
        <w:rPr>
          <w:lang w:val="fr-FR"/>
        </w:rPr>
        <w:t>État partie</w:t>
      </w:r>
    </w:p>
    <w:p w:rsidR="00685027" w:rsidRPr="00325182" w:rsidRDefault="00685027" w:rsidP="00685027">
      <w:pPr>
        <w:pStyle w:val="SingleTxtG"/>
        <w:rPr>
          <w:lang w:val="fr-FR"/>
        </w:rPr>
      </w:pPr>
      <w:r w:rsidRPr="00325182">
        <w:rPr>
          <w:lang w:val="fr-FR"/>
        </w:rPr>
        <w:t>6.1</w:t>
      </w:r>
      <w:r w:rsidRPr="00325182">
        <w:rPr>
          <w:lang w:val="fr-FR"/>
        </w:rPr>
        <w:tab/>
        <w:t>Le 11 avril 2017, l</w:t>
      </w:r>
      <w:r w:rsidR="00AA69CE">
        <w:rPr>
          <w:lang w:val="fr-FR"/>
        </w:rPr>
        <w:t>’</w:t>
      </w:r>
      <w:r w:rsidRPr="00325182">
        <w:rPr>
          <w:lang w:val="fr-FR"/>
        </w:rPr>
        <w:t>État partie a présenté des observations complémentaires au Comité, renvoyant de façon générale à celles du 11</w:t>
      </w:r>
      <w:r>
        <w:rPr>
          <w:lang w:val="fr-FR"/>
        </w:rPr>
        <w:t> </w:t>
      </w:r>
      <w:r w:rsidRPr="00325182">
        <w:rPr>
          <w:lang w:val="fr-FR"/>
        </w:rPr>
        <w:t>décembre 2014. Il a réaffirmé que l</w:t>
      </w:r>
      <w:r w:rsidR="00AA69CE">
        <w:rPr>
          <w:lang w:val="fr-FR"/>
        </w:rPr>
        <w:t>’</w:t>
      </w:r>
      <w:r w:rsidRPr="00325182">
        <w:rPr>
          <w:lang w:val="fr-FR"/>
        </w:rPr>
        <w:t>auteur n</w:t>
      </w:r>
      <w:r w:rsidR="00AA69CE">
        <w:rPr>
          <w:lang w:val="fr-FR"/>
        </w:rPr>
        <w:t>’</w:t>
      </w:r>
      <w:r w:rsidRPr="00325182">
        <w:rPr>
          <w:lang w:val="fr-FR"/>
        </w:rPr>
        <w:t xml:space="preserve">avait pas établi à première vue le bien fondé de ses griefs aux fins de la recevabilité et que la communication devrait être déclarée irrecevable pour les raisons déjà exposées. Plus particulièrement, </w:t>
      </w:r>
      <w:r>
        <w:rPr>
          <w:lang w:val="fr-FR"/>
        </w:rPr>
        <w:t>l</w:t>
      </w:r>
      <w:r w:rsidR="00AA69CE">
        <w:rPr>
          <w:lang w:val="fr-FR"/>
        </w:rPr>
        <w:t>’</w:t>
      </w:r>
      <w:r>
        <w:rPr>
          <w:lang w:val="fr-FR"/>
        </w:rPr>
        <w:t>État partie</w:t>
      </w:r>
      <w:r w:rsidRPr="00325182">
        <w:rPr>
          <w:lang w:val="fr-FR"/>
        </w:rPr>
        <w:t xml:space="preserve"> interprète les commentaires de l</w:t>
      </w:r>
      <w:r w:rsidR="00AA69CE">
        <w:rPr>
          <w:lang w:val="fr-FR"/>
        </w:rPr>
        <w:t>’</w:t>
      </w:r>
      <w:r w:rsidRPr="00325182">
        <w:rPr>
          <w:lang w:val="fr-FR"/>
        </w:rPr>
        <w:t>auteur comme signifiant que celui-ci a abandonné le grief qu</w:t>
      </w:r>
      <w:r w:rsidR="00AA69CE">
        <w:rPr>
          <w:lang w:val="fr-FR"/>
        </w:rPr>
        <w:t>’</w:t>
      </w:r>
      <w:r w:rsidRPr="00325182">
        <w:rPr>
          <w:lang w:val="fr-FR"/>
        </w:rPr>
        <w:t>il tirait de l</w:t>
      </w:r>
      <w:r w:rsidR="00AA69CE">
        <w:rPr>
          <w:lang w:val="fr-FR"/>
        </w:rPr>
        <w:t>’</w:t>
      </w:r>
      <w:r w:rsidRPr="00325182">
        <w:rPr>
          <w:lang w:val="fr-FR"/>
        </w:rPr>
        <w:t xml:space="preserve">article 14 et que la partie de sa communication portant sur les articles 2, 13 et 26 vise exclusivement le fait que la décision de la Commission </w:t>
      </w:r>
      <w:r>
        <w:rPr>
          <w:lang w:val="fr-FR"/>
        </w:rPr>
        <w:t xml:space="preserve">danoise </w:t>
      </w:r>
      <w:r w:rsidRPr="00325182">
        <w:rPr>
          <w:lang w:val="fr-FR"/>
        </w:rPr>
        <w:t>de recours des réfugiés soit insusceptible de recours devant les tribunaux. Il maintient toutefois que l</w:t>
      </w:r>
      <w:r w:rsidR="00AA69CE">
        <w:rPr>
          <w:lang w:val="fr-FR"/>
        </w:rPr>
        <w:t>’</w:t>
      </w:r>
      <w:r w:rsidRPr="00325182">
        <w:rPr>
          <w:lang w:val="fr-FR"/>
        </w:rPr>
        <w:t>auteur n</w:t>
      </w:r>
      <w:r w:rsidR="00AA69CE">
        <w:rPr>
          <w:lang w:val="fr-FR"/>
        </w:rPr>
        <w:t>’</w:t>
      </w:r>
      <w:r w:rsidRPr="00325182">
        <w:rPr>
          <w:lang w:val="fr-FR"/>
        </w:rPr>
        <w:t>a pas démontré la recevabilité à première vue de ces griefs.</w:t>
      </w:r>
    </w:p>
    <w:p w:rsidR="00685027" w:rsidRPr="005D2A2E" w:rsidRDefault="00685027" w:rsidP="00685027">
      <w:pPr>
        <w:pStyle w:val="SingleTxtG"/>
        <w:rPr>
          <w:lang w:val="fr-FR"/>
        </w:rPr>
      </w:pPr>
      <w:r w:rsidRPr="00325182">
        <w:rPr>
          <w:lang w:val="fr-FR"/>
        </w:rPr>
        <w:t>6.2</w:t>
      </w:r>
      <w:r w:rsidRPr="00325182">
        <w:rPr>
          <w:lang w:val="fr-FR"/>
        </w:rPr>
        <w:tab/>
        <w:t>Pour ce qui est des allégations de l</w:t>
      </w:r>
      <w:r w:rsidR="00AA69CE">
        <w:rPr>
          <w:lang w:val="fr-FR"/>
        </w:rPr>
        <w:t>’</w:t>
      </w:r>
      <w:r w:rsidRPr="00325182">
        <w:rPr>
          <w:lang w:val="fr-FR"/>
        </w:rPr>
        <w:t>auteur selon lesquelles il serait, en cas de renvoi, persécuté par les autorités iraniennes en raison de son appartenance passée aux Bassidji, l</w:t>
      </w:r>
      <w:r w:rsidR="00AA69CE">
        <w:rPr>
          <w:lang w:val="fr-FR"/>
        </w:rPr>
        <w:t>’</w:t>
      </w:r>
      <w:r w:rsidRPr="00325182">
        <w:rPr>
          <w:lang w:val="fr-FR"/>
        </w:rPr>
        <w:t>État partie rappelle que dans sa décision du 27 mars 2014 la Commission</w:t>
      </w:r>
      <w:r>
        <w:rPr>
          <w:lang w:val="fr-FR"/>
        </w:rPr>
        <w:t xml:space="preserve"> danoise</w:t>
      </w:r>
      <w:r w:rsidRPr="00325182">
        <w:rPr>
          <w:lang w:val="fr-FR"/>
        </w:rPr>
        <w:t xml:space="preserve"> de recours des réfugiés n</w:t>
      </w:r>
      <w:r w:rsidR="00AA69CE">
        <w:rPr>
          <w:lang w:val="fr-FR"/>
        </w:rPr>
        <w:t>’</w:t>
      </w:r>
      <w:r w:rsidRPr="00325182">
        <w:rPr>
          <w:lang w:val="fr-FR"/>
        </w:rPr>
        <w:t>a pas admis la véracité des dires de l</w:t>
      </w:r>
      <w:r w:rsidR="00AA69CE">
        <w:rPr>
          <w:lang w:val="fr-FR"/>
        </w:rPr>
        <w:t>’</w:t>
      </w:r>
      <w:r w:rsidRPr="00325182">
        <w:rPr>
          <w:lang w:val="fr-FR"/>
        </w:rPr>
        <w:t>auteur au sujet des persécutions qu</w:t>
      </w:r>
      <w:r w:rsidR="00AA69CE">
        <w:rPr>
          <w:lang w:val="fr-FR"/>
        </w:rPr>
        <w:t>’</w:t>
      </w:r>
      <w:r w:rsidRPr="00325182">
        <w:rPr>
          <w:lang w:val="fr-FR"/>
        </w:rPr>
        <w:t>il aurait subies à l</w:t>
      </w:r>
      <w:r w:rsidR="00AA69CE">
        <w:rPr>
          <w:lang w:val="fr-FR"/>
        </w:rPr>
        <w:t>’</w:t>
      </w:r>
      <w:r w:rsidRPr="00325182">
        <w:rPr>
          <w:lang w:val="fr-FR"/>
        </w:rPr>
        <w:t xml:space="preserve">époque où il a quitté </w:t>
      </w:r>
      <w:r>
        <w:rPr>
          <w:lang w:val="fr-FR"/>
        </w:rPr>
        <w:t>la République islamique d</w:t>
      </w:r>
      <w:r w:rsidR="00AA69CE">
        <w:rPr>
          <w:lang w:val="fr-FR"/>
        </w:rPr>
        <w:t>’</w:t>
      </w:r>
      <w:r>
        <w:rPr>
          <w:lang w:val="fr-FR"/>
        </w:rPr>
        <w:t>Iran</w:t>
      </w:r>
      <w:r w:rsidRPr="00325182">
        <w:rPr>
          <w:lang w:val="fr-FR"/>
        </w:rPr>
        <w:t>. Elle a écarté, à raison de leur absence de crédibilité, des éléments essentiels des explications qu</w:t>
      </w:r>
      <w:r w:rsidR="00AA69CE">
        <w:rPr>
          <w:lang w:val="fr-FR"/>
        </w:rPr>
        <w:t>’</w:t>
      </w:r>
      <w:r w:rsidRPr="00325182">
        <w:rPr>
          <w:lang w:val="fr-FR"/>
        </w:rPr>
        <w:t>il a données sur la situation de conflit dans laquelle il se serait trouvé avant son départ, notamment les déclarations selon lesquelles il aurait appartenu aux Bassidji et travaillé pour eux. L</w:t>
      </w:r>
      <w:r>
        <w:rPr>
          <w:lang w:val="fr-FR"/>
        </w:rPr>
        <w:t>e fait</w:t>
      </w:r>
      <w:r w:rsidRPr="00CF08F0">
        <w:rPr>
          <w:lang w:val="fr-FR"/>
        </w:rPr>
        <w:t xml:space="preserve"> que l</w:t>
      </w:r>
      <w:r w:rsidR="00AA69CE">
        <w:rPr>
          <w:lang w:val="fr-FR"/>
        </w:rPr>
        <w:t>’</w:t>
      </w:r>
      <w:r w:rsidRPr="00CF08F0">
        <w:rPr>
          <w:lang w:val="fr-FR"/>
        </w:rPr>
        <w:t xml:space="preserve">auteur pourrait avoir quitté illégalement </w:t>
      </w:r>
      <w:r>
        <w:rPr>
          <w:lang w:val="fr-FR"/>
        </w:rPr>
        <w:t>la République islamique d</w:t>
      </w:r>
      <w:r w:rsidR="00AA69CE">
        <w:rPr>
          <w:lang w:val="fr-FR"/>
        </w:rPr>
        <w:t>’</w:t>
      </w:r>
      <w:r>
        <w:rPr>
          <w:lang w:val="fr-FR"/>
        </w:rPr>
        <w:t>Iran</w:t>
      </w:r>
      <w:r w:rsidRPr="00CF08F0">
        <w:rPr>
          <w:lang w:val="fr-FR"/>
        </w:rPr>
        <w:t xml:space="preserve"> ne saurait justifier</w:t>
      </w:r>
      <w:r>
        <w:rPr>
          <w:lang w:val="fr-FR"/>
        </w:rPr>
        <w:t xml:space="preserve"> à lui seul</w:t>
      </w:r>
      <w:r w:rsidRPr="00CF08F0">
        <w:rPr>
          <w:lang w:val="fr-FR"/>
        </w:rPr>
        <w:t xml:space="preserve"> de considérer qu</w:t>
      </w:r>
      <w:r w:rsidR="00AA69CE">
        <w:rPr>
          <w:lang w:val="fr-FR"/>
        </w:rPr>
        <w:t>’</w:t>
      </w:r>
      <w:r w:rsidRPr="00CF08F0">
        <w:rPr>
          <w:lang w:val="fr-FR"/>
        </w:rPr>
        <w:t>il serait</w:t>
      </w:r>
      <w:r w:rsidRPr="005C45D9">
        <w:rPr>
          <w:lang w:val="fr-FR"/>
        </w:rPr>
        <w:t xml:space="preserve"> exposé à des persécutions ou des violences en cas de renvoi. À cet égard, </w:t>
      </w:r>
      <w:r w:rsidRPr="00325182">
        <w:rPr>
          <w:lang w:val="fr-FR"/>
        </w:rPr>
        <w:t>des documents de référence montrent qu</w:t>
      </w:r>
      <w:r w:rsidR="00AA69CE">
        <w:rPr>
          <w:lang w:val="fr-FR"/>
        </w:rPr>
        <w:t>’</w:t>
      </w:r>
      <w:r w:rsidRPr="00325182">
        <w:rPr>
          <w:lang w:val="fr-FR"/>
        </w:rPr>
        <w:t>un Iranien cherchant à retourner dans son pays sans posséder de passeport recevra un laissez-passer de l</w:t>
      </w:r>
      <w:r w:rsidR="00AA69CE">
        <w:rPr>
          <w:lang w:val="fr-FR"/>
        </w:rPr>
        <w:t>’</w:t>
      </w:r>
      <w:r w:rsidRPr="00325182">
        <w:rPr>
          <w:lang w:val="fr-FR"/>
        </w:rPr>
        <w:t xml:space="preserve">ambassade </w:t>
      </w:r>
      <w:r>
        <w:rPr>
          <w:lang w:val="fr-FR"/>
        </w:rPr>
        <w:t>iranienne</w:t>
      </w:r>
      <w:r w:rsidRPr="00325182">
        <w:rPr>
          <w:lang w:val="fr-FR"/>
        </w:rPr>
        <w:t xml:space="preserve"> et que </w:t>
      </w:r>
      <w:r>
        <w:rPr>
          <w:lang w:val="fr-FR"/>
        </w:rPr>
        <w:t>− </w:t>
      </w:r>
      <w:r w:rsidRPr="00325182">
        <w:rPr>
          <w:lang w:val="fr-FR"/>
        </w:rPr>
        <w:t>s</w:t>
      </w:r>
      <w:r w:rsidR="00AA69CE">
        <w:rPr>
          <w:lang w:val="fr-FR"/>
        </w:rPr>
        <w:t>’</w:t>
      </w:r>
      <w:r w:rsidRPr="00325182">
        <w:rPr>
          <w:lang w:val="fr-FR"/>
        </w:rPr>
        <w:t>il n</w:t>
      </w:r>
      <w:r w:rsidR="00AA69CE">
        <w:rPr>
          <w:lang w:val="fr-FR"/>
        </w:rPr>
        <w:t>’</w:t>
      </w:r>
      <w:r w:rsidRPr="00325182">
        <w:rPr>
          <w:lang w:val="fr-FR"/>
        </w:rPr>
        <w:t xml:space="preserve">a jamais été inquiété par les </w:t>
      </w:r>
      <w:r>
        <w:rPr>
          <w:lang w:val="fr-FR"/>
        </w:rPr>
        <w:t>autorités iraniennes auparavant −</w:t>
      </w:r>
      <w:r w:rsidRPr="00325182">
        <w:rPr>
          <w:lang w:val="fr-FR"/>
        </w:rPr>
        <w:t xml:space="preserve"> il ne courra aucun risque réel de persécution à son retour du fait de son départ illégal d</w:t>
      </w:r>
      <w:r>
        <w:rPr>
          <w:lang w:val="fr-FR"/>
        </w:rPr>
        <w:t>e République islamique d</w:t>
      </w:r>
      <w:r w:rsidR="00AA69CE">
        <w:rPr>
          <w:lang w:val="fr-FR"/>
        </w:rPr>
        <w:t>’</w:t>
      </w:r>
      <w:r w:rsidRPr="00325182">
        <w:rPr>
          <w:lang w:val="fr-FR"/>
        </w:rPr>
        <w:t>Iran et/ou de sa situation de demandeur d</w:t>
      </w:r>
      <w:r w:rsidR="00AA69CE">
        <w:rPr>
          <w:lang w:val="fr-FR"/>
        </w:rPr>
        <w:t>’</w:t>
      </w:r>
      <w:r w:rsidRPr="00325182">
        <w:rPr>
          <w:lang w:val="fr-FR"/>
        </w:rPr>
        <w:t>asile débouté</w:t>
      </w:r>
      <w:r w:rsidRPr="007D575F">
        <w:rPr>
          <w:rStyle w:val="Appelnotedebasdep"/>
        </w:rPr>
        <w:footnoteReference w:id="21"/>
      </w:r>
      <w:r w:rsidRPr="005D2A2E">
        <w:rPr>
          <w:lang w:val="fr-FR"/>
        </w:rPr>
        <w:t xml:space="preserve">. </w:t>
      </w:r>
      <w:r w:rsidRPr="00DD0137">
        <w:rPr>
          <w:lang w:val="fr-FR"/>
        </w:rPr>
        <w:t>C</w:t>
      </w:r>
      <w:r w:rsidRPr="007302A2">
        <w:rPr>
          <w:lang w:val="fr-FR"/>
        </w:rPr>
        <w:t>es documents de référence montrent aussi que</w:t>
      </w:r>
      <w:r w:rsidRPr="00325182">
        <w:rPr>
          <w:lang w:val="fr-FR"/>
        </w:rPr>
        <w:t xml:space="preserve"> le fait pour un Iranien de demander l</w:t>
      </w:r>
      <w:r w:rsidR="00AA69CE">
        <w:rPr>
          <w:lang w:val="fr-FR"/>
        </w:rPr>
        <w:t>’</w:t>
      </w:r>
      <w:r w:rsidRPr="00325182">
        <w:rPr>
          <w:lang w:val="fr-FR"/>
        </w:rPr>
        <w:t xml:space="preserve">asile dans un autre pays ne constitue par une infraction pénale </w:t>
      </w:r>
      <w:r>
        <w:rPr>
          <w:lang w:val="fr-FR"/>
        </w:rPr>
        <w:t>en République islamique d</w:t>
      </w:r>
      <w:r w:rsidR="00AA69CE">
        <w:rPr>
          <w:lang w:val="fr-FR"/>
        </w:rPr>
        <w:t>’</w:t>
      </w:r>
      <w:r>
        <w:rPr>
          <w:lang w:val="fr-FR"/>
        </w:rPr>
        <w:t>Iran</w:t>
      </w:r>
      <w:r w:rsidRPr="00325182">
        <w:rPr>
          <w:lang w:val="fr-FR"/>
        </w:rPr>
        <w:t xml:space="preserve"> et une personne ayant quitté </w:t>
      </w:r>
      <w:r>
        <w:rPr>
          <w:lang w:val="fr-FR"/>
        </w:rPr>
        <w:t>la République islamique d</w:t>
      </w:r>
      <w:r w:rsidR="00AA69CE">
        <w:rPr>
          <w:lang w:val="fr-FR"/>
        </w:rPr>
        <w:t>’</w:t>
      </w:r>
      <w:r>
        <w:rPr>
          <w:lang w:val="fr-FR"/>
        </w:rPr>
        <w:t>Iran</w:t>
      </w:r>
      <w:r w:rsidRPr="00325182">
        <w:rPr>
          <w:lang w:val="fr-FR"/>
        </w:rPr>
        <w:t xml:space="preserve"> illégalement qui n</w:t>
      </w:r>
      <w:r w:rsidR="00AA69CE">
        <w:rPr>
          <w:lang w:val="fr-FR"/>
        </w:rPr>
        <w:t>’</w:t>
      </w:r>
      <w:r w:rsidRPr="00325182">
        <w:rPr>
          <w:lang w:val="fr-FR"/>
        </w:rPr>
        <w:t>est pas inscrite sur la liste des personnes non autorisées à quitter le pays ne sera pas inquiétée par les autorités à son retour − même s</w:t>
      </w:r>
      <w:r w:rsidR="00AA69CE">
        <w:rPr>
          <w:lang w:val="fr-FR"/>
        </w:rPr>
        <w:t>’</w:t>
      </w:r>
      <w:r w:rsidRPr="00325182">
        <w:rPr>
          <w:lang w:val="fr-FR"/>
        </w:rPr>
        <w:t>il se peut qu</w:t>
      </w:r>
      <w:r w:rsidR="00AA69CE">
        <w:rPr>
          <w:lang w:val="fr-FR"/>
        </w:rPr>
        <w:t>’</w:t>
      </w:r>
      <w:r w:rsidRPr="00325182">
        <w:rPr>
          <w:lang w:val="fr-FR"/>
        </w:rPr>
        <w:t xml:space="preserve">elle soit condamnée à une amende. Une personne qui a commis une infraction et qui a quitté </w:t>
      </w:r>
      <w:r>
        <w:rPr>
          <w:lang w:val="fr-FR"/>
        </w:rPr>
        <w:t>la République islamique d</w:t>
      </w:r>
      <w:r w:rsidR="00AA69CE">
        <w:rPr>
          <w:lang w:val="fr-FR"/>
        </w:rPr>
        <w:t>’</w:t>
      </w:r>
      <w:r>
        <w:rPr>
          <w:lang w:val="fr-FR"/>
        </w:rPr>
        <w:t>Iran</w:t>
      </w:r>
      <w:r w:rsidRPr="00325182">
        <w:rPr>
          <w:lang w:val="fr-FR"/>
        </w:rPr>
        <w:t xml:space="preserve"> illégalement sera uniquement poursuivie à raison de l</w:t>
      </w:r>
      <w:r w:rsidR="00AA69CE">
        <w:rPr>
          <w:lang w:val="fr-FR"/>
        </w:rPr>
        <w:t>’</w:t>
      </w:r>
      <w:r w:rsidRPr="00325182">
        <w:rPr>
          <w:lang w:val="fr-FR"/>
        </w:rPr>
        <w:t>infraction commise antérieurement à son départ et non du caractère illégal de celui-ci</w:t>
      </w:r>
      <w:r w:rsidRPr="007D575F">
        <w:rPr>
          <w:rStyle w:val="Appelnotedebasdep"/>
        </w:rPr>
        <w:footnoteReference w:id="22"/>
      </w:r>
      <w:r w:rsidRPr="005D2A2E">
        <w:rPr>
          <w:lang w:val="fr-FR"/>
        </w:rPr>
        <w:t>.</w:t>
      </w:r>
    </w:p>
    <w:p w:rsidR="00685027" w:rsidRPr="00325182" w:rsidRDefault="00685027" w:rsidP="00685027">
      <w:pPr>
        <w:pStyle w:val="SingleTxtG"/>
        <w:rPr>
          <w:lang w:val="fr-FR"/>
        </w:rPr>
      </w:pPr>
      <w:r w:rsidRPr="005C45D9">
        <w:rPr>
          <w:lang w:val="fr-FR"/>
        </w:rPr>
        <w:t>6.3</w:t>
      </w:r>
      <w:r w:rsidRPr="005C45D9">
        <w:rPr>
          <w:lang w:val="fr-FR"/>
        </w:rPr>
        <w:tab/>
      </w:r>
      <w:r w:rsidRPr="00325182">
        <w:rPr>
          <w:lang w:val="fr-FR"/>
        </w:rPr>
        <w:t>Si aux fins d</w:t>
      </w:r>
      <w:r w:rsidR="00AA69CE">
        <w:rPr>
          <w:lang w:val="fr-FR"/>
        </w:rPr>
        <w:t>’</w:t>
      </w:r>
      <w:r w:rsidRPr="00325182">
        <w:rPr>
          <w:lang w:val="fr-FR"/>
        </w:rPr>
        <w:t>apprécier les preuves à l</w:t>
      </w:r>
      <w:r w:rsidR="00AA69CE">
        <w:rPr>
          <w:lang w:val="fr-FR"/>
        </w:rPr>
        <w:t>’</w:t>
      </w:r>
      <w:r w:rsidRPr="00325182">
        <w:rPr>
          <w:lang w:val="fr-FR"/>
        </w:rPr>
        <w:t>appui de la demande de l</w:t>
      </w:r>
      <w:r w:rsidR="00AA69CE">
        <w:rPr>
          <w:lang w:val="fr-FR"/>
        </w:rPr>
        <w:t>’</w:t>
      </w:r>
      <w:r w:rsidRPr="00325182">
        <w:rPr>
          <w:lang w:val="fr-FR"/>
        </w:rPr>
        <w:t xml:space="preserve">intéressé, la Commission </w:t>
      </w:r>
      <w:r>
        <w:rPr>
          <w:lang w:val="fr-FR"/>
        </w:rPr>
        <w:t xml:space="preserve">danoise </w:t>
      </w:r>
      <w:r w:rsidRPr="00325182">
        <w:rPr>
          <w:lang w:val="fr-FR"/>
        </w:rPr>
        <w:t>de recours des réfugiés a pris en considération la crédibilité générale de celui-ci, elle a aussi tenu compte des circonstances de sa conversion supposée. Par conséquent, le raisonnement avancé par la majorité des membres de la Commission pour justifier le rejet de la demande d</w:t>
      </w:r>
      <w:r w:rsidR="00AA69CE">
        <w:rPr>
          <w:lang w:val="fr-FR"/>
        </w:rPr>
        <w:t>’</w:t>
      </w:r>
      <w:r w:rsidRPr="00325182">
        <w:rPr>
          <w:lang w:val="fr-FR"/>
        </w:rPr>
        <w:t>asile de l</w:t>
      </w:r>
      <w:r w:rsidR="00AA69CE">
        <w:rPr>
          <w:lang w:val="fr-FR"/>
        </w:rPr>
        <w:t>’</w:t>
      </w:r>
      <w:r w:rsidRPr="00325182">
        <w:rPr>
          <w:lang w:val="fr-FR"/>
        </w:rPr>
        <w:t>auteur ne s</w:t>
      </w:r>
      <w:r w:rsidR="00AA69CE">
        <w:rPr>
          <w:lang w:val="fr-FR"/>
        </w:rPr>
        <w:t>’</w:t>
      </w:r>
      <w:r w:rsidRPr="00325182">
        <w:rPr>
          <w:lang w:val="fr-FR"/>
        </w:rPr>
        <w:t>appuie pas exclusivement sur le fait que la Commission a écarté les motifs initiaux de la demande en raison de leur absence de crédibilité.</w:t>
      </w:r>
    </w:p>
    <w:p w:rsidR="00685027" w:rsidRPr="004E42AA" w:rsidRDefault="00685027" w:rsidP="00685027">
      <w:pPr>
        <w:pStyle w:val="SingleTxtG"/>
        <w:rPr>
          <w:lang w:val="fr-FR"/>
        </w:rPr>
      </w:pPr>
      <w:r w:rsidRPr="00325182">
        <w:rPr>
          <w:lang w:val="fr-FR"/>
        </w:rPr>
        <w:t>6.4</w:t>
      </w:r>
      <w:r w:rsidRPr="00325182">
        <w:rPr>
          <w:lang w:val="fr-FR"/>
        </w:rPr>
        <w:tab/>
        <w:t>Le fait qu</w:t>
      </w:r>
      <w:r w:rsidR="00AA69CE">
        <w:rPr>
          <w:lang w:val="fr-FR"/>
        </w:rPr>
        <w:t>’</w:t>
      </w:r>
      <w:r w:rsidRPr="00325182">
        <w:rPr>
          <w:lang w:val="fr-FR"/>
        </w:rPr>
        <w:t>un demandeur d</w:t>
      </w:r>
      <w:r w:rsidR="00AA69CE">
        <w:rPr>
          <w:lang w:val="fr-FR"/>
        </w:rPr>
        <w:t>’</w:t>
      </w:r>
      <w:r w:rsidRPr="00325182">
        <w:rPr>
          <w:lang w:val="fr-FR"/>
        </w:rPr>
        <w:t>asile ait été baptisé et qu</w:t>
      </w:r>
      <w:r w:rsidR="00AA69CE">
        <w:rPr>
          <w:lang w:val="fr-FR"/>
        </w:rPr>
        <w:t>’</w:t>
      </w:r>
      <w:r w:rsidRPr="00325182">
        <w:rPr>
          <w:lang w:val="fr-FR"/>
        </w:rPr>
        <w:t>il ait pris part à différentes activités religieuses ne suffit pas à lui seul à établir la probabilité de ce que sa conversion soit réelle. L</w:t>
      </w:r>
      <w:r>
        <w:rPr>
          <w:lang w:val="fr-FR"/>
        </w:rPr>
        <w:t>a majorité d</w:t>
      </w:r>
      <w:r w:rsidRPr="00CF08F0">
        <w:rPr>
          <w:lang w:val="fr-FR"/>
        </w:rPr>
        <w:t>es membres de la Commission</w:t>
      </w:r>
      <w:r>
        <w:rPr>
          <w:lang w:val="fr-FR"/>
        </w:rPr>
        <w:t xml:space="preserve"> danoise</w:t>
      </w:r>
      <w:r w:rsidRPr="00CF08F0">
        <w:rPr>
          <w:lang w:val="fr-FR"/>
        </w:rPr>
        <w:t xml:space="preserve"> de recours des réfugiés </w:t>
      </w:r>
      <w:r>
        <w:rPr>
          <w:lang w:val="fr-FR"/>
        </w:rPr>
        <w:t xml:space="preserve">ont </w:t>
      </w:r>
      <w:r w:rsidRPr="00CF08F0">
        <w:rPr>
          <w:lang w:val="fr-FR"/>
        </w:rPr>
        <w:t>estimé que l</w:t>
      </w:r>
      <w:r w:rsidR="00AA69CE">
        <w:rPr>
          <w:lang w:val="fr-FR"/>
        </w:rPr>
        <w:t>’</w:t>
      </w:r>
      <w:r w:rsidRPr="00CF08F0">
        <w:rPr>
          <w:lang w:val="fr-FR"/>
        </w:rPr>
        <w:t>auteur n</w:t>
      </w:r>
      <w:r w:rsidR="00AA69CE">
        <w:rPr>
          <w:lang w:val="fr-FR"/>
        </w:rPr>
        <w:t>’</w:t>
      </w:r>
      <w:r w:rsidRPr="00CF08F0">
        <w:rPr>
          <w:lang w:val="fr-FR"/>
        </w:rPr>
        <w:t xml:space="preserve">avait pas suffisamment établi que sa conversion au christianisme était </w:t>
      </w:r>
      <w:r>
        <w:rPr>
          <w:lang w:val="fr-FR"/>
        </w:rPr>
        <w:t>réelle</w:t>
      </w:r>
      <w:r w:rsidRPr="00CF08F0">
        <w:rPr>
          <w:lang w:val="fr-FR"/>
        </w:rPr>
        <w:t>, malgré la production d</w:t>
      </w:r>
      <w:r w:rsidR="00AA69CE">
        <w:rPr>
          <w:lang w:val="fr-FR"/>
        </w:rPr>
        <w:t>’</w:t>
      </w:r>
      <w:r w:rsidRPr="00CF08F0">
        <w:rPr>
          <w:lang w:val="fr-FR"/>
        </w:rPr>
        <w:t>un certificat de baptême et de déclarations émanant d</w:t>
      </w:r>
      <w:r w:rsidR="00AA69CE">
        <w:rPr>
          <w:lang w:val="fr-FR"/>
        </w:rPr>
        <w:t>’</w:t>
      </w:r>
      <w:r w:rsidRPr="00CF08F0">
        <w:rPr>
          <w:lang w:val="fr-FR"/>
        </w:rPr>
        <w:t>un pasteur et en dépit de sa connaissance de la foi chrétienne. Dans leur appréciation de la crédibilité générale de l</w:t>
      </w:r>
      <w:r w:rsidR="00AA69CE">
        <w:rPr>
          <w:lang w:val="fr-FR"/>
        </w:rPr>
        <w:t>’</w:t>
      </w:r>
      <w:r w:rsidRPr="00CF08F0">
        <w:rPr>
          <w:lang w:val="fr-FR"/>
        </w:rPr>
        <w:t xml:space="preserve">auteur, la majorité des membres de la Commission </w:t>
      </w:r>
      <w:r>
        <w:rPr>
          <w:lang w:val="fr-FR"/>
        </w:rPr>
        <w:t>ont</w:t>
      </w:r>
      <w:r w:rsidRPr="00CF08F0">
        <w:rPr>
          <w:lang w:val="fr-FR"/>
        </w:rPr>
        <w:t xml:space="preserve"> accordé une importance déterminante au fait que les déclarations de l</w:t>
      </w:r>
      <w:r w:rsidR="00AA69CE">
        <w:rPr>
          <w:lang w:val="fr-FR"/>
        </w:rPr>
        <w:t>’</w:t>
      </w:r>
      <w:r w:rsidRPr="00CF08F0">
        <w:rPr>
          <w:lang w:val="fr-FR"/>
        </w:rPr>
        <w:t>auteur concernant les tâches qu</w:t>
      </w:r>
      <w:r w:rsidR="00AA69CE">
        <w:rPr>
          <w:lang w:val="fr-FR"/>
        </w:rPr>
        <w:t>’</w:t>
      </w:r>
      <w:r w:rsidRPr="00CF08F0">
        <w:rPr>
          <w:lang w:val="fr-FR"/>
        </w:rPr>
        <w:t xml:space="preserve">il effectuait pour les Bassidji et concernant sa conversion </w:t>
      </w:r>
      <w:r>
        <w:rPr>
          <w:lang w:val="fr-FR"/>
        </w:rPr>
        <w:t>n</w:t>
      </w:r>
      <w:r w:rsidR="00AA69CE">
        <w:rPr>
          <w:lang w:val="fr-FR"/>
        </w:rPr>
        <w:t>’</w:t>
      </w:r>
      <w:r>
        <w:rPr>
          <w:lang w:val="fr-FR"/>
        </w:rPr>
        <w:t>étaient pas</w:t>
      </w:r>
      <w:r w:rsidRPr="00CF08F0">
        <w:rPr>
          <w:lang w:val="fr-FR"/>
        </w:rPr>
        <w:t xml:space="preserve"> cohérentes. Ils ont en particulier </w:t>
      </w:r>
      <w:r>
        <w:rPr>
          <w:lang w:val="fr-FR"/>
        </w:rPr>
        <w:t>noté</w:t>
      </w:r>
      <w:r w:rsidRPr="00CF08F0">
        <w:rPr>
          <w:lang w:val="fr-FR"/>
        </w:rPr>
        <w:t xml:space="preserve"> que ces déclarations </w:t>
      </w:r>
      <w:r>
        <w:rPr>
          <w:lang w:val="fr-FR"/>
        </w:rPr>
        <w:t>présentaient des incohérences</w:t>
      </w:r>
      <w:r w:rsidRPr="00CF08F0">
        <w:rPr>
          <w:lang w:val="fr-FR"/>
        </w:rPr>
        <w:t xml:space="preserve"> sur des aspects fondamentaux, comme la réaction de sa famille à sa conversion, la date de sa première rencontre avec Z. A. et la question de savoir à quel moment l</w:t>
      </w:r>
      <w:r w:rsidR="00AA69CE">
        <w:rPr>
          <w:lang w:val="fr-FR"/>
        </w:rPr>
        <w:t>’</w:t>
      </w:r>
      <w:r w:rsidRPr="00CF08F0">
        <w:rPr>
          <w:lang w:val="fr-FR"/>
        </w:rPr>
        <w:t>auteur s</w:t>
      </w:r>
      <w:r w:rsidR="00AA69CE">
        <w:rPr>
          <w:lang w:val="fr-FR"/>
        </w:rPr>
        <w:t>’</w:t>
      </w:r>
      <w:r w:rsidRPr="00CF08F0">
        <w:rPr>
          <w:lang w:val="fr-FR"/>
        </w:rPr>
        <w:t>était lui-même considéré comme converti</w:t>
      </w:r>
      <w:r w:rsidRPr="003D3C70">
        <w:rPr>
          <w:lang w:val="fr-FR"/>
        </w:rPr>
        <w:t xml:space="preserve">. Compte tenu de ces circonstances, la Commission avait </w:t>
      </w:r>
      <w:r w:rsidRPr="005D2A2E">
        <w:rPr>
          <w:lang w:val="fr-FR"/>
        </w:rPr>
        <w:t>estimé que l</w:t>
      </w:r>
      <w:r w:rsidR="00AA69CE">
        <w:rPr>
          <w:lang w:val="fr-FR"/>
        </w:rPr>
        <w:t>’</w:t>
      </w:r>
      <w:r w:rsidRPr="005D2A2E">
        <w:rPr>
          <w:lang w:val="fr-FR"/>
        </w:rPr>
        <w:t>auteur n</w:t>
      </w:r>
      <w:r w:rsidR="00AA69CE">
        <w:rPr>
          <w:lang w:val="fr-FR"/>
        </w:rPr>
        <w:t>’</w:t>
      </w:r>
      <w:r w:rsidRPr="00CF08F0">
        <w:rPr>
          <w:lang w:val="fr-FR"/>
        </w:rPr>
        <w:t>avait témoigné aucun intérêt pour la foi chrétienne jusqu</w:t>
      </w:r>
      <w:r w:rsidR="00AA69CE">
        <w:rPr>
          <w:lang w:val="fr-FR"/>
        </w:rPr>
        <w:t>’</w:t>
      </w:r>
      <w:r w:rsidRPr="00CF08F0">
        <w:rPr>
          <w:lang w:val="fr-FR"/>
        </w:rPr>
        <w:t>au rejet de sa demande d</w:t>
      </w:r>
      <w:r w:rsidR="00AA69CE">
        <w:rPr>
          <w:lang w:val="fr-FR"/>
        </w:rPr>
        <w:t>’</w:t>
      </w:r>
      <w:r w:rsidRPr="00CF08F0">
        <w:rPr>
          <w:lang w:val="fr-FR"/>
        </w:rPr>
        <w:t>asile</w:t>
      </w:r>
      <w:r>
        <w:rPr>
          <w:lang w:val="fr-FR"/>
        </w:rPr>
        <w:t>,</w:t>
      </w:r>
      <w:r w:rsidRPr="00CF08F0">
        <w:rPr>
          <w:lang w:val="fr-FR"/>
        </w:rPr>
        <w:t xml:space="preserve"> et </w:t>
      </w:r>
      <w:r>
        <w:rPr>
          <w:lang w:val="fr-FR"/>
        </w:rPr>
        <w:t xml:space="preserve">la majorité des membres de la Commission a donc estimé </w:t>
      </w:r>
      <w:r w:rsidRPr="00CF08F0">
        <w:rPr>
          <w:lang w:val="fr-FR"/>
        </w:rPr>
        <w:t>que sa conversion n</w:t>
      </w:r>
      <w:r w:rsidR="00AA69CE">
        <w:rPr>
          <w:lang w:val="fr-FR"/>
        </w:rPr>
        <w:t>’</w:t>
      </w:r>
      <w:r w:rsidRPr="00CF08F0">
        <w:rPr>
          <w:lang w:val="fr-FR"/>
        </w:rPr>
        <w:t>était pas l</w:t>
      </w:r>
      <w:r w:rsidR="00AA69CE">
        <w:rPr>
          <w:lang w:val="fr-FR"/>
        </w:rPr>
        <w:t>’</w:t>
      </w:r>
      <w:r w:rsidRPr="00CF08F0">
        <w:rPr>
          <w:lang w:val="fr-FR"/>
        </w:rPr>
        <w:t>aboutissement d</w:t>
      </w:r>
      <w:r w:rsidR="00AA69CE">
        <w:rPr>
          <w:lang w:val="fr-FR"/>
        </w:rPr>
        <w:t>’</w:t>
      </w:r>
      <w:r w:rsidRPr="00CF08F0">
        <w:rPr>
          <w:lang w:val="fr-FR"/>
        </w:rPr>
        <w:t>une démarche intérieure spontanée.</w:t>
      </w:r>
    </w:p>
    <w:p w:rsidR="00685027" w:rsidRPr="00325182" w:rsidRDefault="00685027" w:rsidP="00685027">
      <w:pPr>
        <w:pStyle w:val="SingleTxtG"/>
        <w:rPr>
          <w:lang w:val="fr-FR"/>
        </w:rPr>
      </w:pPr>
      <w:r w:rsidRPr="005C45D9">
        <w:rPr>
          <w:lang w:val="fr-FR"/>
        </w:rPr>
        <w:t>6.5</w:t>
      </w:r>
      <w:r w:rsidRPr="005C45D9">
        <w:rPr>
          <w:lang w:val="fr-FR"/>
        </w:rPr>
        <w:tab/>
        <w:t>L</w:t>
      </w:r>
      <w:r w:rsidRPr="00325182">
        <w:rPr>
          <w:lang w:val="fr-FR"/>
        </w:rPr>
        <w:t xml:space="preserve">a Commission </w:t>
      </w:r>
      <w:r>
        <w:rPr>
          <w:lang w:val="fr-FR"/>
        </w:rPr>
        <w:t xml:space="preserve">danoise </w:t>
      </w:r>
      <w:r w:rsidRPr="00325182">
        <w:rPr>
          <w:lang w:val="fr-FR"/>
        </w:rPr>
        <w:t>de recours des réfugiés a rouvert d</w:t>
      </w:r>
      <w:r w:rsidR="00AA69CE">
        <w:rPr>
          <w:lang w:val="fr-FR"/>
        </w:rPr>
        <w:t>’</w:t>
      </w:r>
      <w:r w:rsidRPr="00325182">
        <w:rPr>
          <w:lang w:val="fr-FR"/>
        </w:rPr>
        <w:t>autres dossiers lorsque des informations nouvelles importantes avaient été mises en lumière après l</w:t>
      </w:r>
      <w:r w:rsidR="00AA69CE">
        <w:rPr>
          <w:lang w:val="fr-FR"/>
        </w:rPr>
        <w:t>’</w:t>
      </w:r>
      <w:r w:rsidRPr="00325182">
        <w:rPr>
          <w:lang w:val="fr-FR"/>
        </w:rPr>
        <w:t>audience initiale de la Commission. La communication présentée au Comité par l</w:t>
      </w:r>
      <w:r w:rsidR="00AA69CE">
        <w:rPr>
          <w:lang w:val="fr-FR"/>
        </w:rPr>
        <w:t>’</w:t>
      </w:r>
      <w:r w:rsidRPr="00325182">
        <w:rPr>
          <w:lang w:val="fr-FR"/>
        </w:rPr>
        <w:t>auteur n</w:t>
      </w:r>
      <w:r w:rsidR="00AA69CE">
        <w:rPr>
          <w:lang w:val="fr-FR"/>
        </w:rPr>
        <w:t>’</w:t>
      </w:r>
      <w:r w:rsidRPr="00325182">
        <w:rPr>
          <w:lang w:val="fr-FR"/>
        </w:rPr>
        <w:t>a pas révélé d</w:t>
      </w:r>
      <w:r w:rsidR="00AA69CE">
        <w:rPr>
          <w:lang w:val="fr-FR"/>
        </w:rPr>
        <w:t>’</w:t>
      </w:r>
      <w:r w:rsidRPr="00325182">
        <w:rPr>
          <w:lang w:val="fr-FR"/>
        </w:rPr>
        <w:t>information nouvelle importante. L</w:t>
      </w:r>
      <w:r w:rsidR="00AA69CE">
        <w:rPr>
          <w:lang w:val="fr-FR"/>
        </w:rPr>
        <w:t>’</w:t>
      </w:r>
      <w:r w:rsidRPr="00325182">
        <w:rPr>
          <w:lang w:val="fr-FR"/>
        </w:rPr>
        <w:t>auteur n</w:t>
      </w:r>
      <w:r w:rsidR="00AA69CE">
        <w:rPr>
          <w:lang w:val="fr-FR"/>
        </w:rPr>
        <w:t>’</w:t>
      </w:r>
      <w:r w:rsidRPr="00325182">
        <w:rPr>
          <w:lang w:val="fr-FR"/>
        </w:rPr>
        <w:t>a pas non plus mis en évidence de points communs entre les affaires qu</w:t>
      </w:r>
      <w:r w:rsidR="00AA69CE">
        <w:rPr>
          <w:lang w:val="fr-FR"/>
        </w:rPr>
        <w:t>’</w:t>
      </w:r>
      <w:r w:rsidRPr="00325182">
        <w:rPr>
          <w:lang w:val="fr-FR"/>
        </w:rPr>
        <w:t>il a citées −</w:t>
      </w:r>
      <w:r>
        <w:rPr>
          <w:lang w:val="fr-FR"/>
        </w:rPr>
        <w:t> </w:t>
      </w:r>
      <w:r w:rsidRPr="00325182">
        <w:rPr>
          <w:lang w:val="fr-FR"/>
        </w:rPr>
        <w:t>qui pour certaines sont impossi</w:t>
      </w:r>
      <w:r>
        <w:rPr>
          <w:lang w:val="fr-FR"/>
        </w:rPr>
        <w:t>bles à identifier </w:t>
      </w:r>
      <w:r w:rsidRPr="00325182">
        <w:rPr>
          <w:lang w:val="fr-FR"/>
        </w:rPr>
        <w:t>− et son propre dossier, ni fait ressortir d</w:t>
      </w:r>
      <w:r w:rsidR="00AA69CE">
        <w:rPr>
          <w:lang w:val="fr-FR"/>
        </w:rPr>
        <w:t>’</w:t>
      </w:r>
      <w:r w:rsidRPr="00325182">
        <w:rPr>
          <w:lang w:val="fr-FR"/>
        </w:rPr>
        <w:t>erreurs ou d</w:t>
      </w:r>
      <w:r w:rsidR="00AA69CE">
        <w:rPr>
          <w:lang w:val="fr-FR"/>
        </w:rPr>
        <w:t>’</w:t>
      </w:r>
      <w:r w:rsidRPr="00325182">
        <w:rPr>
          <w:lang w:val="fr-FR"/>
        </w:rPr>
        <w:t>omissions dans l</w:t>
      </w:r>
      <w:r w:rsidR="00AA69CE">
        <w:rPr>
          <w:lang w:val="fr-FR"/>
        </w:rPr>
        <w:t>’</w:t>
      </w:r>
      <w:r w:rsidRPr="00325182">
        <w:rPr>
          <w:lang w:val="fr-FR"/>
        </w:rPr>
        <w:t>examen de son dossier ou dans l</w:t>
      </w:r>
      <w:r w:rsidR="00AA69CE">
        <w:rPr>
          <w:lang w:val="fr-FR"/>
        </w:rPr>
        <w:t>’</w:t>
      </w:r>
      <w:r w:rsidRPr="00325182">
        <w:rPr>
          <w:lang w:val="fr-FR"/>
        </w:rPr>
        <w:t>appréciation des preuves par la Commission de recours des réfugiés.</w:t>
      </w:r>
    </w:p>
    <w:p w:rsidR="00685027" w:rsidRPr="00604317" w:rsidRDefault="00685027" w:rsidP="00685027">
      <w:pPr>
        <w:pStyle w:val="SingleTxtG"/>
        <w:rPr>
          <w:lang w:val="fr-FR"/>
        </w:rPr>
      </w:pPr>
      <w:r w:rsidRPr="00325182">
        <w:rPr>
          <w:lang w:val="fr-FR"/>
        </w:rPr>
        <w:t>6.6</w:t>
      </w:r>
      <w:r w:rsidRPr="00325182">
        <w:rPr>
          <w:lang w:val="fr-FR"/>
        </w:rPr>
        <w:tab/>
        <w:t xml:space="preserve">Pour rendre sa décision, la Commission </w:t>
      </w:r>
      <w:r>
        <w:rPr>
          <w:lang w:val="fr-FR"/>
        </w:rPr>
        <w:t xml:space="preserve">danoise </w:t>
      </w:r>
      <w:r w:rsidRPr="00325182">
        <w:rPr>
          <w:lang w:val="fr-FR"/>
        </w:rPr>
        <w:t xml:space="preserve">de recours des réfugiés a pris en considération toutes les informations pertinentes. </w:t>
      </w:r>
      <w:r>
        <w:rPr>
          <w:lang w:val="fr-FR"/>
        </w:rPr>
        <w:t>L</w:t>
      </w:r>
      <w:r w:rsidR="00AA69CE">
        <w:rPr>
          <w:lang w:val="fr-FR"/>
        </w:rPr>
        <w:t>’</w:t>
      </w:r>
      <w:r>
        <w:rPr>
          <w:lang w:val="fr-FR"/>
        </w:rPr>
        <w:t>État partie</w:t>
      </w:r>
      <w:r w:rsidRPr="00604317">
        <w:rPr>
          <w:lang w:val="fr-FR"/>
        </w:rPr>
        <w:t xml:space="preserve"> rappelle la jurisprudence constante du Comité</w:t>
      </w:r>
      <w:r w:rsidRPr="007D575F">
        <w:rPr>
          <w:rStyle w:val="Appelnotedebasdep"/>
        </w:rPr>
        <w:footnoteReference w:id="23"/>
      </w:r>
      <w:r w:rsidRPr="005D2A2E">
        <w:rPr>
          <w:lang w:val="fr-FR"/>
        </w:rPr>
        <w:t>, dont il ressort qu</w:t>
      </w:r>
      <w:r w:rsidR="00AA69CE">
        <w:rPr>
          <w:lang w:val="fr-FR"/>
        </w:rPr>
        <w:t>’</w:t>
      </w:r>
      <w:r w:rsidRPr="005D2A2E">
        <w:rPr>
          <w:lang w:val="fr-FR"/>
        </w:rPr>
        <w:t>il convient d</w:t>
      </w:r>
      <w:r w:rsidR="00AA69CE">
        <w:rPr>
          <w:lang w:val="fr-FR"/>
        </w:rPr>
        <w:t>’</w:t>
      </w:r>
      <w:r w:rsidRPr="005D2A2E">
        <w:rPr>
          <w:lang w:val="fr-FR"/>
        </w:rPr>
        <w:t xml:space="preserve">accorder un poids </w:t>
      </w:r>
      <w:r>
        <w:rPr>
          <w:lang w:val="fr-FR"/>
        </w:rPr>
        <w:t xml:space="preserve">considérable </w:t>
      </w:r>
      <w:r w:rsidRPr="005D2A2E">
        <w:rPr>
          <w:lang w:val="fr-FR"/>
        </w:rPr>
        <w:t>à l</w:t>
      </w:r>
      <w:r w:rsidR="00AA69CE">
        <w:rPr>
          <w:lang w:val="fr-FR"/>
        </w:rPr>
        <w:t>’</w:t>
      </w:r>
      <w:r w:rsidRPr="005D2A2E">
        <w:rPr>
          <w:lang w:val="fr-FR"/>
        </w:rPr>
        <w:t>appréciati</w:t>
      </w:r>
      <w:r w:rsidRPr="00604317">
        <w:rPr>
          <w:lang w:val="fr-FR"/>
        </w:rPr>
        <w:t>on faite par l</w:t>
      </w:r>
      <w:r w:rsidR="00AA69CE">
        <w:rPr>
          <w:lang w:val="fr-FR"/>
        </w:rPr>
        <w:t>’</w:t>
      </w:r>
      <w:r w:rsidRPr="00604317">
        <w:rPr>
          <w:lang w:val="fr-FR"/>
        </w:rPr>
        <w:t>État partie et que, d</w:t>
      </w:r>
      <w:r w:rsidR="00AA69CE">
        <w:rPr>
          <w:lang w:val="fr-FR"/>
        </w:rPr>
        <w:t>’</w:t>
      </w:r>
      <w:r w:rsidRPr="00604317">
        <w:rPr>
          <w:lang w:val="fr-FR"/>
        </w:rPr>
        <w:t>une manière générale, il revient à l</w:t>
      </w:r>
      <w:r w:rsidR="00AA69CE">
        <w:rPr>
          <w:lang w:val="fr-FR"/>
        </w:rPr>
        <w:t>’</w:t>
      </w:r>
      <w:r w:rsidRPr="00604317">
        <w:rPr>
          <w:lang w:val="fr-FR"/>
        </w:rPr>
        <w:t>État partie d</w:t>
      </w:r>
      <w:r w:rsidR="00AA69CE">
        <w:rPr>
          <w:lang w:val="fr-FR"/>
        </w:rPr>
        <w:t>’</w:t>
      </w:r>
      <w:r w:rsidRPr="00604317">
        <w:rPr>
          <w:lang w:val="fr-FR"/>
        </w:rPr>
        <w:t>examiner et d</w:t>
      </w:r>
      <w:r w:rsidR="00AA69CE">
        <w:rPr>
          <w:lang w:val="fr-FR"/>
        </w:rPr>
        <w:t>’</w:t>
      </w:r>
      <w:r w:rsidRPr="00604317">
        <w:rPr>
          <w:lang w:val="fr-FR"/>
        </w:rPr>
        <w:t>évaluer les faits et les éléments de preuve, sauf s</w:t>
      </w:r>
      <w:r w:rsidR="00AA69CE">
        <w:rPr>
          <w:lang w:val="fr-FR"/>
        </w:rPr>
        <w:t>’</w:t>
      </w:r>
      <w:r w:rsidRPr="00604317">
        <w:rPr>
          <w:lang w:val="fr-FR"/>
        </w:rPr>
        <w:t>il peut être établi que cette appréciation a été manifestement arbitraire ou a représenté un déni de j</w:t>
      </w:r>
      <w:r>
        <w:rPr>
          <w:lang w:val="fr-FR"/>
        </w:rPr>
        <w:t>ustice. En </w:t>
      </w:r>
      <w:r w:rsidRPr="005C45D9">
        <w:rPr>
          <w:lang w:val="fr-FR"/>
        </w:rPr>
        <w:t>l</w:t>
      </w:r>
      <w:r w:rsidR="00AA69CE">
        <w:rPr>
          <w:lang w:val="fr-FR"/>
        </w:rPr>
        <w:t>’</w:t>
      </w:r>
      <w:r w:rsidRPr="005C45D9">
        <w:rPr>
          <w:lang w:val="fr-FR"/>
        </w:rPr>
        <w:t>espèce, l</w:t>
      </w:r>
      <w:r w:rsidR="00AA69CE">
        <w:rPr>
          <w:lang w:val="fr-FR"/>
        </w:rPr>
        <w:t>’</w:t>
      </w:r>
      <w:r w:rsidRPr="005C45D9">
        <w:rPr>
          <w:lang w:val="fr-FR"/>
        </w:rPr>
        <w:t>auteur se contente de contester l</w:t>
      </w:r>
      <w:r w:rsidR="00AA69CE">
        <w:rPr>
          <w:lang w:val="fr-FR"/>
        </w:rPr>
        <w:t>’</w:t>
      </w:r>
      <w:r w:rsidRPr="005C45D9">
        <w:rPr>
          <w:lang w:val="fr-FR"/>
        </w:rPr>
        <w:t>appréciation effectuée par la Commission de recours des réfugiés et les conclusions auxquelles elle est parvenue, sans établir qu</w:t>
      </w:r>
      <w:r w:rsidR="00AA69CE">
        <w:rPr>
          <w:lang w:val="fr-FR"/>
        </w:rPr>
        <w:t>’</w:t>
      </w:r>
      <w:r w:rsidRPr="005C45D9">
        <w:rPr>
          <w:lang w:val="fr-FR"/>
        </w:rPr>
        <w:t>elles sont arbitraires ou manifestement entachées d</w:t>
      </w:r>
      <w:r w:rsidR="00AA69CE">
        <w:rPr>
          <w:lang w:val="fr-FR"/>
        </w:rPr>
        <w:t>’</w:t>
      </w:r>
      <w:r w:rsidRPr="005C45D9">
        <w:rPr>
          <w:lang w:val="fr-FR"/>
        </w:rPr>
        <w:t>erreur ou constit</w:t>
      </w:r>
      <w:r w:rsidRPr="00325182">
        <w:rPr>
          <w:lang w:val="fr-FR"/>
        </w:rPr>
        <w:t>uent un déni de justice. L</w:t>
      </w:r>
      <w:r w:rsidR="00AA69CE">
        <w:rPr>
          <w:lang w:val="fr-FR"/>
        </w:rPr>
        <w:t>’</w:t>
      </w:r>
      <w:r w:rsidRPr="00325182">
        <w:rPr>
          <w:lang w:val="fr-FR"/>
        </w:rPr>
        <w:t>auteur n</w:t>
      </w:r>
      <w:r w:rsidR="00AA69CE">
        <w:rPr>
          <w:lang w:val="fr-FR"/>
        </w:rPr>
        <w:t>’</w:t>
      </w:r>
      <w:r w:rsidRPr="00325182">
        <w:rPr>
          <w:lang w:val="fr-FR"/>
        </w:rPr>
        <w:t>a pas non plus relevé d</w:t>
      </w:r>
      <w:r w:rsidR="00AA69CE">
        <w:rPr>
          <w:lang w:val="fr-FR"/>
        </w:rPr>
        <w:t>’</w:t>
      </w:r>
      <w:r w:rsidRPr="00325182">
        <w:rPr>
          <w:lang w:val="fr-FR"/>
        </w:rPr>
        <w:t>irrégularité dans le processus de prise de décision, ni aucun facteur de risque dont la Commission n</w:t>
      </w:r>
      <w:r w:rsidR="00AA69CE">
        <w:rPr>
          <w:lang w:val="fr-FR"/>
        </w:rPr>
        <w:t>’</w:t>
      </w:r>
      <w:r w:rsidRPr="00325182">
        <w:rPr>
          <w:lang w:val="fr-FR"/>
        </w:rPr>
        <w:t>aurait pas tenu dûment compte. L</w:t>
      </w:r>
      <w:r w:rsidR="00AA69CE">
        <w:rPr>
          <w:lang w:val="fr-FR"/>
        </w:rPr>
        <w:t>’</w:t>
      </w:r>
      <w:r w:rsidRPr="00325182">
        <w:rPr>
          <w:lang w:val="fr-FR"/>
        </w:rPr>
        <w:t>auteur a mis presque deux ans à répondre à ses observations, sans apporter aucun élément d</w:t>
      </w:r>
      <w:r w:rsidR="00AA69CE">
        <w:rPr>
          <w:lang w:val="fr-FR"/>
        </w:rPr>
        <w:t>’</w:t>
      </w:r>
      <w:r w:rsidRPr="00325182">
        <w:rPr>
          <w:lang w:val="fr-FR"/>
        </w:rPr>
        <w:t xml:space="preserve">information nouveau. </w:t>
      </w:r>
      <w:r>
        <w:rPr>
          <w:lang w:val="fr-FR"/>
        </w:rPr>
        <w:t>L</w:t>
      </w:r>
      <w:r w:rsidR="00AA69CE">
        <w:rPr>
          <w:lang w:val="fr-FR"/>
        </w:rPr>
        <w:t>’</w:t>
      </w:r>
      <w:r>
        <w:rPr>
          <w:lang w:val="fr-FR"/>
        </w:rPr>
        <w:t>État partie</w:t>
      </w:r>
      <w:r w:rsidRPr="00604317">
        <w:rPr>
          <w:lang w:val="fr-FR"/>
        </w:rPr>
        <w:t xml:space="preserve"> affirme dès lors que le renvoi de l</w:t>
      </w:r>
      <w:r w:rsidR="00AA69CE">
        <w:rPr>
          <w:lang w:val="fr-FR"/>
        </w:rPr>
        <w:t>’</w:t>
      </w:r>
      <w:r w:rsidRPr="00604317">
        <w:rPr>
          <w:lang w:val="fr-FR"/>
        </w:rPr>
        <w:t xml:space="preserve">auteur </w:t>
      </w:r>
      <w:r>
        <w:rPr>
          <w:lang w:val="fr-FR"/>
        </w:rPr>
        <w:t>en République islamique d</w:t>
      </w:r>
      <w:r w:rsidR="00AA69CE">
        <w:rPr>
          <w:lang w:val="fr-FR"/>
        </w:rPr>
        <w:t>’</w:t>
      </w:r>
      <w:r>
        <w:rPr>
          <w:lang w:val="fr-FR"/>
        </w:rPr>
        <w:t>Iran</w:t>
      </w:r>
      <w:r w:rsidRPr="00604317">
        <w:rPr>
          <w:lang w:val="fr-FR"/>
        </w:rPr>
        <w:t xml:space="preserve"> ne constituerait pas une violation des articles</w:t>
      </w:r>
      <w:r>
        <w:rPr>
          <w:lang w:val="fr-FR"/>
        </w:rPr>
        <w:t> </w:t>
      </w:r>
      <w:r w:rsidRPr="00604317">
        <w:rPr>
          <w:lang w:val="fr-FR"/>
        </w:rPr>
        <w:t>6 ou 7 du Pacte.</w:t>
      </w:r>
    </w:p>
    <w:p w:rsidR="00685027" w:rsidRPr="00325182" w:rsidRDefault="00685027" w:rsidP="00685027">
      <w:pPr>
        <w:pStyle w:val="H23G"/>
        <w:rPr>
          <w:i/>
          <w:lang w:val="fr-FR"/>
        </w:rPr>
      </w:pPr>
      <w:r w:rsidRPr="005C45D9">
        <w:rPr>
          <w:lang w:val="fr-FR"/>
        </w:rPr>
        <w:tab/>
      </w:r>
      <w:r w:rsidRPr="005C45D9">
        <w:rPr>
          <w:lang w:val="fr-FR"/>
        </w:rPr>
        <w:tab/>
        <w:t>Délibérations du Comité</w:t>
      </w:r>
    </w:p>
    <w:p w:rsidR="00685027" w:rsidRPr="00325182" w:rsidRDefault="00685027" w:rsidP="00685027">
      <w:pPr>
        <w:pStyle w:val="H4G"/>
        <w:rPr>
          <w:lang w:val="fr-FR"/>
        </w:rPr>
      </w:pPr>
      <w:r w:rsidRPr="00325182">
        <w:rPr>
          <w:lang w:val="fr-FR"/>
        </w:rPr>
        <w:tab/>
      </w:r>
      <w:r w:rsidRPr="00325182">
        <w:rPr>
          <w:lang w:val="fr-FR"/>
        </w:rPr>
        <w:tab/>
        <w:t>Examen de la recevabilité</w:t>
      </w:r>
    </w:p>
    <w:p w:rsidR="00685027" w:rsidRPr="00325182" w:rsidRDefault="00685027" w:rsidP="00685027">
      <w:pPr>
        <w:pStyle w:val="SingleTxtG"/>
        <w:rPr>
          <w:lang w:val="fr-FR"/>
        </w:rPr>
      </w:pPr>
      <w:r w:rsidRPr="00325182">
        <w:rPr>
          <w:lang w:val="fr-FR"/>
        </w:rPr>
        <w:t>7.1</w:t>
      </w:r>
      <w:r w:rsidRPr="00325182">
        <w:rPr>
          <w:lang w:val="fr-FR"/>
        </w:rPr>
        <w:tab/>
      </w:r>
      <w:r w:rsidRPr="00325182">
        <w:rPr>
          <w:lang w:val="fr-FR" w:eastAsia="en-GB"/>
        </w:rPr>
        <w:t>Avant d</w:t>
      </w:r>
      <w:r w:rsidR="00AA69CE">
        <w:rPr>
          <w:lang w:val="fr-FR" w:eastAsia="en-GB"/>
        </w:rPr>
        <w:t>’</w:t>
      </w:r>
      <w:r w:rsidRPr="00325182">
        <w:rPr>
          <w:lang w:val="fr-FR" w:eastAsia="en-GB"/>
        </w:rPr>
        <w:t>examiner tout grief formulé dans une communication, le Comité des droits de l</w:t>
      </w:r>
      <w:r w:rsidR="00AA69CE">
        <w:rPr>
          <w:lang w:val="fr-FR" w:eastAsia="en-GB"/>
        </w:rPr>
        <w:t>’</w:t>
      </w:r>
      <w:r w:rsidRPr="00325182">
        <w:rPr>
          <w:lang w:val="fr-FR" w:eastAsia="en-GB"/>
        </w:rPr>
        <w:t>homme doit, conformément à l</w:t>
      </w:r>
      <w:r w:rsidR="00AA69CE">
        <w:rPr>
          <w:lang w:val="fr-FR" w:eastAsia="en-GB"/>
        </w:rPr>
        <w:t>’</w:t>
      </w:r>
      <w:r w:rsidRPr="00325182">
        <w:rPr>
          <w:lang w:val="fr-FR" w:eastAsia="en-GB"/>
        </w:rPr>
        <w:t>article 93 de son règlement intérieur, déterminer si la communication est recevable au regard du Protocole facultatif se rapportant au Pacte</w:t>
      </w:r>
      <w:r w:rsidRPr="00325182">
        <w:rPr>
          <w:lang w:val="fr-FR"/>
        </w:rPr>
        <w:t>.</w:t>
      </w:r>
    </w:p>
    <w:p w:rsidR="00685027" w:rsidRPr="00325182" w:rsidRDefault="00685027" w:rsidP="00685027">
      <w:pPr>
        <w:pStyle w:val="SingleTxtG"/>
        <w:rPr>
          <w:lang w:val="fr-FR"/>
        </w:rPr>
      </w:pPr>
      <w:r w:rsidRPr="00325182">
        <w:rPr>
          <w:lang w:val="fr-FR"/>
        </w:rPr>
        <w:t>7.2</w:t>
      </w:r>
      <w:r w:rsidRPr="00325182">
        <w:rPr>
          <w:lang w:val="fr-FR"/>
        </w:rPr>
        <w:tab/>
      </w:r>
      <w:r w:rsidRPr="00325182">
        <w:rPr>
          <w:spacing w:val="-2"/>
          <w:lang w:val="fr-FR" w:eastAsia="en-GB"/>
        </w:rPr>
        <w:t>Le Comité s</w:t>
      </w:r>
      <w:r w:rsidR="00AA69CE">
        <w:rPr>
          <w:spacing w:val="-2"/>
          <w:lang w:val="fr-FR" w:eastAsia="en-GB"/>
        </w:rPr>
        <w:t>’</w:t>
      </w:r>
      <w:r w:rsidRPr="00325182">
        <w:rPr>
          <w:spacing w:val="-2"/>
          <w:lang w:val="fr-FR" w:eastAsia="en-GB"/>
        </w:rPr>
        <w:t>est assuré, comme il est tenu de le f</w:t>
      </w:r>
      <w:r>
        <w:rPr>
          <w:spacing w:val="-2"/>
          <w:lang w:val="fr-FR" w:eastAsia="en-GB"/>
        </w:rPr>
        <w:t>aire conformément au paragraphe </w:t>
      </w:r>
      <w:r w:rsidRPr="00325182">
        <w:rPr>
          <w:spacing w:val="-2"/>
          <w:lang w:val="fr-FR" w:eastAsia="en-GB"/>
        </w:rPr>
        <w:t xml:space="preserve">2 a) </w:t>
      </w:r>
      <w:r w:rsidRPr="00325182">
        <w:rPr>
          <w:lang w:val="fr-FR" w:eastAsia="en-GB"/>
        </w:rPr>
        <w:t>de l</w:t>
      </w:r>
      <w:r w:rsidR="00AA69CE">
        <w:rPr>
          <w:lang w:val="fr-FR" w:eastAsia="en-GB"/>
        </w:rPr>
        <w:t>’</w:t>
      </w:r>
      <w:r w:rsidRPr="00325182">
        <w:rPr>
          <w:lang w:val="fr-FR" w:eastAsia="en-GB"/>
        </w:rPr>
        <w:t>article 5 du Protocole facultatif, que la même question n</w:t>
      </w:r>
      <w:r w:rsidR="00AA69CE">
        <w:rPr>
          <w:lang w:val="fr-FR" w:eastAsia="en-GB"/>
        </w:rPr>
        <w:t>’</w:t>
      </w:r>
      <w:r w:rsidRPr="00325182">
        <w:rPr>
          <w:lang w:val="fr-FR" w:eastAsia="en-GB"/>
        </w:rPr>
        <w:t>était pas déjà en cours d</w:t>
      </w:r>
      <w:r w:rsidR="00AA69CE">
        <w:rPr>
          <w:lang w:val="fr-FR" w:eastAsia="en-GB"/>
        </w:rPr>
        <w:t>’</w:t>
      </w:r>
      <w:r w:rsidRPr="00325182">
        <w:rPr>
          <w:lang w:val="fr-FR" w:eastAsia="en-GB"/>
        </w:rPr>
        <w:t>examen devant une autre instance internationale d</w:t>
      </w:r>
      <w:r w:rsidR="00AA69CE">
        <w:rPr>
          <w:lang w:val="fr-FR" w:eastAsia="en-GB"/>
        </w:rPr>
        <w:t>’</w:t>
      </w:r>
      <w:r w:rsidRPr="00325182">
        <w:rPr>
          <w:lang w:val="fr-FR" w:eastAsia="en-GB"/>
        </w:rPr>
        <w:t>enquête ou de règlement</w:t>
      </w:r>
      <w:r w:rsidRPr="00325182">
        <w:rPr>
          <w:lang w:val="fr-FR"/>
        </w:rPr>
        <w:t>.</w:t>
      </w:r>
    </w:p>
    <w:p w:rsidR="00685027" w:rsidRPr="00325182" w:rsidRDefault="00685027" w:rsidP="00685027">
      <w:pPr>
        <w:pStyle w:val="SingleTxtG"/>
        <w:rPr>
          <w:lang w:val="fr-FR"/>
        </w:rPr>
      </w:pPr>
      <w:r w:rsidRPr="00325182">
        <w:rPr>
          <w:lang w:val="fr-FR"/>
        </w:rPr>
        <w:t>7.3</w:t>
      </w:r>
      <w:r w:rsidRPr="00325182">
        <w:rPr>
          <w:lang w:val="fr-FR"/>
        </w:rPr>
        <w:tab/>
        <w:t>Le Comité rappelle sa jurisprudence dont il ressort que l</w:t>
      </w:r>
      <w:r w:rsidR="00AA69CE">
        <w:rPr>
          <w:lang w:val="fr-FR"/>
        </w:rPr>
        <w:t>’</w:t>
      </w:r>
      <w:r w:rsidRPr="00325182">
        <w:rPr>
          <w:lang w:val="fr-FR"/>
        </w:rPr>
        <w:t>auteur d</w:t>
      </w:r>
      <w:r w:rsidR="00AA69CE">
        <w:rPr>
          <w:lang w:val="fr-FR"/>
        </w:rPr>
        <w:t>’</w:t>
      </w:r>
      <w:r w:rsidRPr="00325182">
        <w:rPr>
          <w:lang w:val="fr-FR"/>
        </w:rPr>
        <w:t>une communication doit exercer tous les recours internes pour satisfaire à l</w:t>
      </w:r>
      <w:r w:rsidR="00AA69CE">
        <w:rPr>
          <w:lang w:val="fr-FR"/>
        </w:rPr>
        <w:t>’</w:t>
      </w:r>
      <w:r w:rsidRPr="00325182">
        <w:rPr>
          <w:lang w:val="fr-FR"/>
        </w:rPr>
        <w:t>o</w:t>
      </w:r>
      <w:r>
        <w:rPr>
          <w:lang w:val="fr-FR"/>
        </w:rPr>
        <w:t>bligation énoncée au paragraphe </w:t>
      </w:r>
      <w:r w:rsidRPr="00325182">
        <w:rPr>
          <w:lang w:val="fr-FR"/>
        </w:rPr>
        <w:t>2</w:t>
      </w:r>
      <w:r>
        <w:rPr>
          <w:lang w:val="fr-FR"/>
        </w:rPr>
        <w:t> </w:t>
      </w:r>
      <w:r w:rsidRPr="00325182">
        <w:rPr>
          <w:lang w:val="fr-FR"/>
        </w:rPr>
        <w:t xml:space="preserve">b) </w:t>
      </w:r>
      <w:r w:rsidRPr="00325182">
        <w:rPr>
          <w:lang w:val="fr-FR" w:eastAsia="en-GB"/>
        </w:rPr>
        <w:t>de l</w:t>
      </w:r>
      <w:r w:rsidR="00AA69CE">
        <w:rPr>
          <w:lang w:val="fr-FR" w:eastAsia="en-GB"/>
        </w:rPr>
        <w:t>’</w:t>
      </w:r>
      <w:r>
        <w:rPr>
          <w:lang w:val="fr-FR" w:eastAsia="en-GB"/>
        </w:rPr>
        <w:t>article </w:t>
      </w:r>
      <w:r w:rsidRPr="00325182">
        <w:rPr>
          <w:lang w:val="fr-FR" w:eastAsia="en-GB"/>
        </w:rPr>
        <w:t>5 du Protocole facultatif, pour autant que ces recours semblent être utiles dans son cas particulier et lui soient ouverts de facto</w:t>
      </w:r>
      <w:r w:rsidRPr="00325182">
        <w:rPr>
          <w:lang w:val="fr-FR"/>
        </w:rPr>
        <w:t>. Le Comité note que l</w:t>
      </w:r>
      <w:r w:rsidR="00AA69CE">
        <w:rPr>
          <w:lang w:val="fr-FR"/>
        </w:rPr>
        <w:t>’</w:t>
      </w:r>
      <w:r w:rsidRPr="00325182">
        <w:rPr>
          <w:lang w:val="fr-FR"/>
        </w:rPr>
        <w:t>auteur s</w:t>
      </w:r>
      <w:r w:rsidR="00AA69CE">
        <w:rPr>
          <w:lang w:val="fr-FR"/>
        </w:rPr>
        <w:t>’</w:t>
      </w:r>
      <w:r w:rsidRPr="00325182">
        <w:rPr>
          <w:lang w:val="fr-FR"/>
        </w:rPr>
        <w:t>est pourvu sans succès contre la décision de rejet de sa demande d</w:t>
      </w:r>
      <w:r w:rsidR="00AA69CE">
        <w:rPr>
          <w:lang w:val="fr-FR"/>
        </w:rPr>
        <w:t>’</w:t>
      </w:r>
      <w:r w:rsidRPr="00325182">
        <w:rPr>
          <w:lang w:val="fr-FR"/>
        </w:rPr>
        <w:t>asile auprès de la Commission de recours des réfugiés et que l</w:t>
      </w:r>
      <w:r w:rsidR="00AA69CE">
        <w:rPr>
          <w:lang w:val="fr-FR"/>
        </w:rPr>
        <w:t>’</w:t>
      </w:r>
      <w:r w:rsidRPr="00325182">
        <w:rPr>
          <w:lang w:val="fr-FR"/>
        </w:rPr>
        <w:t>État partie ne conteste pas qu</w:t>
      </w:r>
      <w:r w:rsidR="00AA69CE">
        <w:rPr>
          <w:lang w:val="fr-FR"/>
        </w:rPr>
        <w:t>’</w:t>
      </w:r>
      <w:r w:rsidRPr="00325182">
        <w:rPr>
          <w:lang w:val="fr-FR"/>
        </w:rPr>
        <w:t>il ait épuisé les recours internes. Par conséquent, le Comité estime qu</w:t>
      </w:r>
      <w:r w:rsidR="00AA69CE">
        <w:rPr>
          <w:lang w:val="fr-FR"/>
        </w:rPr>
        <w:t>’</w:t>
      </w:r>
      <w:r w:rsidRPr="00325182">
        <w:rPr>
          <w:lang w:val="fr-FR"/>
        </w:rPr>
        <w:t>il n</w:t>
      </w:r>
      <w:r w:rsidR="00AA69CE">
        <w:rPr>
          <w:lang w:val="fr-FR"/>
        </w:rPr>
        <w:t>’</w:t>
      </w:r>
      <w:r w:rsidRPr="00325182">
        <w:rPr>
          <w:lang w:val="fr-FR"/>
        </w:rPr>
        <w:t>est pas empêché d</w:t>
      </w:r>
      <w:r w:rsidR="00AA69CE">
        <w:rPr>
          <w:lang w:val="fr-FR"/>
        </w:rPr>
        <w:t>’</w:t>
      </w:r>
      <w:r w:rsidRPr="00325182">
        <w:rPr>
          <w:lang w:val="fr-FR"/>
        </w:rPr>
        <w:t>examiner la communication par les dispositions du paragraphe</w:t>
      </w:r>
      <w:r>
        <w:rPr>
          <w:lang w:val="fr-FR"/>
        </w:rPr>
        <w:t> </w:t>
      </w:r>
      <w:r w:rsidRPr="00325182">
        <w:rPr>
          <w:lang w:val="fr-FR"/>
        </w:rPr>
        <w:t>2</w:t>
      </w:r>
      <w:r>
        <w:rPr>
          <w:lang w:val="fr-FR"/>
        </w:rPr>
        <w:t> </w:t>
      </w:r>
      <w:r w:rsidRPr="00325182">
        <w:rPr>
          <w:lang w:val="fr-FR"/>
        </w:rPr>
        <w:t>b) de l</w:t>
      </w:r>
      <w:r w:rsidR="00AA69CE">
        <w:rPr>
          <w:lang w:val="fr-FR"/>
        </w:rPr>
        <w:t>’</w:t>
      </w:r>
      <w:r w:rsidRPr="00325182">
        <w:rPr>
          <w:lang w:val="fr-FR"/>
        </w:rPr>
        <w:t>article 5 du Protocole facultatif.</w:t>
      </w:r>
    </w:p>
    <w:p w:rsidR="00685027" w:rsidRPr="00325182" w:rsidRDefault="00685027" w:rsidP="00685027">
      <w:pPr>
        <w:pStyle w:val="SingleTxtG"/>
        <w:rPr>
          <w:lang w:val="fr-FR"/>
        </w:rPr>
      </w:pPr>
      <w:r w:rsidRPr="00325182">
        <w:rPr>
          <w:lang w:val="fr-FR"/>
        </w:rPr>
        <w:t>7.4</w:t>
      </w:r>
      <w:r w:rsidRPr="00325182">
        <w:rPr>
          <w:lang w:val="fr-FR"/>
        </w:rPr>
        <w:tab/>
      </w:r>
      <w:r w:rsidRPr="00325182">
        <w:rPr>
          <w:rFonts w:eastAsia="SimSun"/>
          <w:lang w:val="fr-FR" w:eastAsia="ko-KR"/>
        </w:rPr>
        <w:t>En ce qui concerne le grief de l</w:t>
      </w:r>
      <w:r w:rsidR="00AA69CE">
        <w:rPr>
          <w:rFonts w:eastAsia="SimSun"/>
          <w:lang w:val="fr-FR" w:eastAsia="ko-KR"/>
        </w:rPr>
        <w:t>’</w:t>
      </w:r>
      <w:r w:rsidRPr="00325182">
        <w:rPr>
          <w:rFonts w:eastAsia="SimSun"/>
          <w:lang w:val="fr-FR" w:eastAsia="ko-KR"/>
        </w:rPr>
        <w:t>auteur selon lequel le motif de demande d</w:t>
      </w:r>
      <w:r w:rsidR="00AA69CE">
        <w:rPr>
          <w:rFonts w:eastAsia="SimSun"/>
          <w:lang w:val="fr-FR" w:eastAsia="ko-KR"/>
        </w:rPr>
        <w:t>’</w:t>
      </w:r>
      <w:r w:rsidRPr="00325182">
        <w:rPr>
          <w:rFonts w:eastAsia="SimSun"/>
          <w:lang w:val="fr-FR" w:eastAsia="ko-KR"/>
        </w:rPr>
        <w:t>asile qu</w:t>
      </w:r>
      <w:r w:rsidR="00AA69CE">
        <w:rPr>
          <w:rFonts w:eastAsia="SimSun"/>
          <w:lang w:val="fr-FR" w:eastAsia="ko-KR"/>
        </w:rPr>
        <w:t>’</w:t>
      </w:r>
      <w:r w:rsidRPr="00325182">
        <w:rPr>
          <w:rFonts w:eastAsia="SimSun"/>
          <w:lang w:val="fr-FR" w:eastAsia="ko-KR"/>
        </w:rPr>
        <w:t>il fonde sur sa conversion à la religion chrétienne aurait été examiné par une seule instance et qu</w:t>
      </w:r>
      <w:r w:rsidR="00AA69CE">
        <w:rPr>
          <w:rFonts w:eastAsia="SimSun"/>
          <w:lang w:val="fr-FR" w:eastAsia="ko-KR"/>
        </w:rPr>
        <w:t>’</w:t>
      </w:r>
      <w:r w:rsidRPr="00325182">
        <w:rPr>
          <w:rFonts w:eastAsia="SimSun"/>
          <w:lang w:val="fr-FR" w:eastAsia="ko-KR"/>
        </w:rPr>
        <w:t>il n</w:t>
      </w:r>
      <w:r w:rsidR="00AA69CE">
        <w:rPr>
          <w:rFonts w:eastAsia="SimSun"/>
          <w:lang w:val="fr-FR" w:eastAsia="ko-KR"/>
        </w:rPr>
        <w:t>’</w:t>
      </w:r>
      <w:r w:rsidRPr="00325182">
        <w:rPr>
          <w:rFonts w:eastAsia="SimSun"/>
          <w:lang w:val="fr-FR" w:eastAsia="ko-KR"/>
        </w:rPr>
        <w:t>aurait donc pas bénéficié d</w:t>
      </w:r>
      <w:r w:rsidR="00AA69CE">
        <w:rPr>
          <w:rFonts w:eastAsia="SimSun"/>
          <w:lang w:val="fr-FR" w:eastAsia="ko-KR"/>
        </w:rPr>
        <w:t>’</w:t>
      </w:r>
      <w:r w:rsidRPr="00325182">
        <w:rPr>
          <w:rFonts w:eastAsia="SimSun"/>
          <w:lang w:val="fr-FR" w:eastAsia="ko-KR"/>
        </w:rPr>
        <w:t>un recours, le Comité note que l</w:t>
      </w:r>
      <w:r w:rsidR="00AA69CE">
        <w:rPr>
          <w:rFonts w:eastAsia="SimSun"/>
          <w:lang w:val="fr-FR" w:eastAsia="ko-KR"/>
        </w:rPr>
        <w:t>’</w:t>
      </w:r>
      <w:r w:rsidRPr="00325182">
        <w:rPr>
          <w:rFonts w:eastAsia="SimSun"/>
          <w:lang w:val="fr-FR" w:eastAsia="ko-KR"/>
        </w:rPr>
        <w:t>État partie a fait valoir l</w:t>
      </w:r>
      <w:r w:rsidR="00AA69CE">
        <w:rPr>
          <w:rFonts w:eastAsia="SimSun"/>
          <w:lang w:val="fr-FR" w:eastAsia="ko-KR"/>
        </w:rPr>
        <w:t>’</w:t>
      </w:r>
      <w:r w:rsidRPr="00325182">
        <w:rPr>
          <w:rFonts w:eastAsia="SimSun"/>
          <w:lang w:val="fr-FR" w:eastAsia="ko-KR"/>
        </w:rPr>
        <w:t>inexactitude des éléments de fait sur lesquels est basée cette partie de la communication et que l</w:t>
      </w:r>
      <w:r w:rsidR="00AA69CE">
        <w:rPr>
          <w:rFonts w:eastAsia="SimSun"/>
          <w:lang w:val="fr-FR" w:eastAsia="ko-KR"/>
        </w:rPr>
        <w:t>’</w:t>
      </w:r>
      <w:r w:rsidRPr="00325182">
        <w:rPr>
          <w:rFonts w:eastAsia="SimSun"/>
          <w:lang w:val="fr-FR" w:eastAsia="ko-KR"/>
        </w:rPr>
        <w:t>auteur a reconnu cette inexactitude. Le Comité note également que l</w:t>
      </w:r>
      <w:r w:rsidR="00AA69CE">
        <w:rPr>
          <w:rFonts w:eastAsia="SimSun"/>
          <w:lang w:val="fr-FR" w:eastAsia="ko-KR"/>
        </w:rPr>
        <w:t>’</w:t>
      </w:r>
      <w:r w:rsidRPr="00325182">
        <w:rPr>
          <w:rFonts w:eastAsia="SimSun"/>
          <w:lang w:val="fr-FR" w:eastAsia="ko-KR"/>
        </w:rPr>
        <w:t>auteur a retiré cette partie de sa plainte et l</w:t>
      </w:r>
      <w:r w:rsidR="00AA69CE">
        <w:rPr>
          <w:rFonts w:eastAsia="SimSun"/>
          <w:lang w:val="fr-FR" w:eastAsia="ko-KR"/>
        </w:rPr>
        <w:t>’</w:t>
      </w:r>
      <w:r w:rsidRPr="00325182">
        <w:rPr>
          <w:rFonts w:eastAsia="SimSun"/>
          <w:lang w:val="fr-FR" w:eastAsia="ko-KR"/>
        </w:rPr>
        <w:t>a présentée sous une autre forme, à savoir celle d</w:t>
      </w:r>
      <w:r w:rsidR="00AA69CE">
        <w:rPr>
          <w:rFonts w:eastAsia="SimSun"/>
          <w:lang w:val="fr-FR" w:eastAsia="ko-KR"/>
        </w:rPr>
        <w:t>’</w:t>
      </w:r>
      <w:r w:rsidRPr="00325182">
        <w:rPr>
          <w:rFonts w:eastAsia="SimSun"/>
          <w:lang w:val="fr-FR" w:eastAsia="ko-KR"/>
        </w:rPr>
        <w:t>un grief visant l</w:t>
      </w:r>
      <w:r w:rsidR="00AA69CE">
        <w:rPr>
          <w:rFonts w:eastAsia="SimSun"/>
          <w:lang w:val="fr-FR" w:eastAsia="ko-KR"/>
        </w:rPr>
        <w:t>’</w:t>
      </w:r>
      <w:r w:rsidRPr="00325182">
        <w:rPr>
          <w:rFonts w:eastAsia="SimSun"/>
          <w:lang w:val="fr-FR" w:eastAsia="ko-KR"/>
        </w:rPr>
        <w:t>impossibilité de se pourvoir contre les décisions de la Commission devant les tribunaux internes (</w:t>
      </w:r>
      <w:r>
        <w:rPr>
          <w:rFonts w:eastAsia="SimSun"/>
          <w:lang w:val="fr-FR" w:eastAsia="ko-KR"/>
        </w:rPr>
        <w:t xml:space="preserve">voir </w:t>
      </w:r>
      <w:r w:rsidRPr="00325182">
        <w:rPr>
          <w:rFonts w:eastAsia="SimSun"/>
          <w:lang w:val="fr-FR" w:eastAsia="ko-KR"/>
        </w:rPr>
        <w:t>par. 5.3</w:t>
      </w:r>
      <w:r>
        <w:rPr>
          <w:rFonts w:eastAsia="SimSun"/>
          <w:lang w:val="fr-FR" w:eastAsia="ko-KR"/>
        </w:rPr>
        <w:t xml:space="preserve"> ci-dessus</w:t>
      </w:r>
      <w:r w:rsidRPr="00325182">
        <w:rPr>
          <w:rFonts w:eastAsia="SimSun"/>
          <w:lang w:val="fr-FR" w:eastAsia="ko-KR"/>
        </w:rPr>
        <w:t>).</w:t>
      </w:r>
    </w:p>
    <w:p w:rsidR="00685027" w:rsidRPr="005C45D9" w:rsidRDefault="00685027" w:rsidP="00685027">
      <w:pPr>
        <w:pStyle w:val="SingleTxtG"/>
        <w:rPr>
          <w:rFonts w:eastAsia="SimSun"/>
          <w:lang w:val="fr-FR" w:eastAsia="ko-KR"/>
        </w:rPr>
      </w:pPr>
      <w:r w:rsidRPr="00325182">
        <w:rPr>
          <w:lang w:val="fr-FR"/>
        </w:rPr>
        <w:t>7.5</w:t>
      </w:r>
      <w:r w:rsidRPr="00325182">
        <w:rPr>
          <w:lang w:val="fr-FR"/>
        </w:rPr>
        <w:tab/>
      </w:r>
      <w:r w:rsidRPr="00325182">
        <w:rPr>
          <w:rFonts w:eastAsia="SimSun"/>
          <w:lang w:val="fr-FR" w:eastAsia="ko-KR"/>
        </w:rPr>
        <w:t>À cet égard, le Comité prend note de l</w:t>
      </w:r>
      <w:r w:rsidR="00AA69CE">
        <w:rPr>
          <w:rFonts w:eastAsia="SimSun"/>
          <w:lang w:val="fr-FR" w:eastAsia="ko-KR"/>
        </w:rPr>
        <w:t>’</w:t>
      </w:r>
      <w:r w:rsidRPr="00325182">
        <w:rPr>
          <w:rFonts w:eastAsia="SimSun"/>
          <w:lang w:val="fr-FR" w:eastAsia="ko-KR"/>
        </w:rPr>
        <w:t>argument de l</w:t>
      </w:r>
      <w:r w:rsidR="00AA69CE">
        <w:rPr>
          <w:rFonts w:eastAsia="SimSun"/>
          <w:lang w:val="fr-FR" w:eastAsia="ko-KR"/>
        </w:rPr>
        <w:t>’</w:t>
      </w:r>
      <w:r w:rsidRPr="00325182">
        <w:rPr>
          <w:rFonts w:eastAsia="SimSun"/>
          <w:lang w:val="fr-FR" w:eastAsia="ko-KR"/>
        </w:rPr>
        <w:t>auteur selon lequel</w:t>
      </w:r>
      <w:r>
        <w:rPr>
          <w:rFonts w:eastAsia="SimSun"/>
          <w:lang w:val="fr-FR" w:eastAsia="ko-KR"/>
        </w:rPr>
        <w:t xml:space="preserve"> il a fait l</w:t>
      </w:r>
      <w:r w:rsidR="00AA69CE">
        <w:rPr>
          <w:rFonts w:eastAsia="SimSun"/>
          <w:lang w:val="fr-FR" w:eastAsia="ko-KR"/>
        </w:rPr>
        <w:t>’</w:t>
      </w:r>
      <w:r>
        <w:rPr>
          <w:rFonts w:eastAsia="SimSun"/>
          <w:lang w:val="fr-FR" w:eastAsia="ko-KR"/>
        </w:rPr>
        <w:t>objet de discrimination en tant que demandeur d</w:t>
      </w:r>
      <w:r w:rsidR="00AA69CE">
        <w:rPr>
          <w:rFonts w:eastAsia="SimSun"/>
          <w:lang w:val="fr-FR" w:eastAsia="ko-KR"/>
        </w:rPr>
        <w:t>’</w:t>
      </w:r>
      <w:r>
        <w:rPr>
          <w:rFonts w:eastAsia="SimSun"/>
          <w:lang w:val="fr-FR" w:eastAsia="ko-KR"/>
        </w:rPr>
        <w:t>asile car</w:t>
      </w:r>
      <w:r w:rsidRPr="00325182">
        <w:rPr>
          <w:rFonts w:eastAsia="SimSun"/>
          <w:lang w:val="fr-FR" w:eastAsia="ko-KR"/>
        </w:rPr>
        <w:t xml:space="preserve"> les décisions de la Commission </w:t>
      </w:r>
      <w:r>
        <w:rPr>
          <w:rFonts w:eastAsia="SimSun"/>
          <w:lang w:val="fr-FR" w:eastAsia="ko-KR"/>
        </w:rPr>
        <w:t xml:space="preserve">danoise </w:t>
      </w:r>
      <w:r w:rsidRPr="00325182">
        <w:rPr>
          <w:rFonts w:eastAsia="SimSun"/>
          <w:lang w:val="fr-FR" w:eastAsia="ko-KR"/>
        </w:rPr>
        <w:t xml:space="preserve">de recours des réfugiés sont les seules </w:t>
      </w:r>
      <w:r>
        <w:rPr>
          <w:rFonts w:eastAsia="SimSun"/>
          <w:lang w:val="fr-FR" w:eastAsia="ko-KR"/>
        </w:rPr>
        <w:t xml:space="preserve">décisions </w:t>
      </w:r>
      <w:r w:rsidRPr="00325182">
        <w:rPr>
          <w:rFonts w:eastAsia="SimSun"/>
          <w:lang w:val="fr-FR" w:eastAsia="ko-KR"/>
        </w:rPr>
        <w:t>qui deviennent définitives sans pouvoir faire l</w:t>
      </w:r>
      <w:r w:rsidR="00AA69CE">
        <w:rPr>
          <w:rFonts w:eastAsia="SimSun"/>
          <w:lang w:val="fr-FR" w:eastAsia="ko-KR"/>
        </w:rPr>
        <w:t>’</w:t>
      </w:r>
      <w:r w:rsidRPr="00325182">
        <w:rPr>
          <w:rFonts w:eastAsia="SimSun"/>
          <w:lang w:val="fr-FR" w:eastAsia="ko-KR"/>
        </w:rPr>
        <w:t>objet d</w:t>
      </w:r>
      <w:r w:rsidR="00AA69CE">
        <w:rPr>
          <w:rFonts w:eastAsia="SimSun"/>
          <w:lang w:val="fr-FR" w:eastAsia="ko-KR"/>
        </w:rPr>
        <w:t>’</w:t>
      </w:r>
      <w:r w:rsidRPr="00325182">
        <w:rPr>
          <w:rFonts w:eastAsia="SimSun"/>
          <w:lang w:val="fr-FR" w:eastAsia="ko-KR"/>
        </w:rPr>
        <w:t xml:space="preserve">un recours devant les tribunaux </w:t>
      </w:r>
      <w:r>
        <w:rPr>
          <w:rFonts w:eastAsia="SimSun"/>
          <w:lang w:val="fr-FR" w:eastAsia="ko-KR"/>
        </w:rPr>
        <w:t>et</w:t>
      </w:r>
      <w:r w:rsidR="00AA69CE">
        <w:rPr>
          <w:rFonts w:eastAsia="SimSun"/>
          <w:lang w:val="fr-FR" w:eastAsia="ko-KR"/>
        </w:rPr>
        <w:t xml:space="preserve"> </w:t>
      </w:r>
      <w:r w:rsidRPr="00325182">
        <w:rPr>
          <w:rFonts w:eastAsia="SimSun"/>
          <w:lang w:val="fr-FR" w:eastAsia="ko-KR"/>
        </w:rPr>
        <w:t>l</w:t>
      </w:r>
      <w:r w:rsidR="00AA69CE">
        <w:rPr>
          <w:rFonts w:eastAsia="SimSun"/>
          <w:lang w:val="fr-FR" w:eastAsia="ko-KR"/>
        </w:rPr>
        <w:t>’</w:t>
      </w:r>
      <w:r w:rsidRPr="00325182">
        <w:rPr>
          <w:rFonts w:eastAsia="SimSun"/>
          <w:lang w:val="fr-FR" w:eastAsia="ko-KR"/>
        </w:rPr>
        <w:t xml:space="preserve">État partie </w:t>
      </w:r>
      <w:r>
        <w:rPr>
          <w:rFonts w:eastAsia="SimSun"/>
          <w:lang w:val="fr-FR" w:eastAsia="ko-KR"/>
        </w:rPr>
        <w:t>a donc violé l</w:t>
      </w:r>
      <w:r w:rsidRPr="00325182">
        <w:rPr>
          <w:rFonts w:eastAsia="SimSun"/>
          <w:lang w:val="fr-FR" w:eastAsia="ko-KR"/>
        </w:rPr>
        <w:t xml:space="preserve">es articles 2, 13, 14 et 26 du Pacte. Sur ce point, le Comité renvoie à sa jurisprudence selon laquelle </w:t>
      </w:r>
      <w:r w:rsidRPr="00325182">
        <w:rPr>
          <w:lang w:val="fr-FR"/>
        </w:rPr>
        <w:t>les procédures d</w:t>
      </w:r>
      <w:r w:rsidR="00AA69CE">
        <w:rPr>
          <w:lang w:val="fr-FR"/>
        </w:rPr>
        <w:t>’</w:t>
      </w:r>
      <w:r w:rsidRPr="00325182">
        <w:rPr>
          <w:lang w:val="fr-FR"/>
        </w:rPr>
        <w:t>expulsion d</w:t>
      </w:r>
      <w:r w:rsidR="00AA69CE">
        <w:rPr>
          <w:lang w:val="fr-FR"/>
        </w:rPr>
        <w:t>’</w:t>
      </w:r>
      <w:r w:rsidRPr="00325182">
        <w:rPr>
          <w:lang w:val="fr-FR"/>
        </w:rPr>
        <w:t>étrangers n</w:t>
      </w:r>
      <w:r w:rsidR="00AA69CE">
        <w:rPr>
          <w:lang w:val="fr-FR"/>
        </w:rPr>
        <w:t>’</w:t>
      </w:r>
      <w:r w:rsidRPr="00325182">
        <w:rPr>
          <w:lang w:val="fr-FR"/>
        </w:rPr>
        <w:t>impliquent pas de décision sur les « droits et obligations de caractère civil » au sens de l</w:t>
      </w:r>
      <w:r w:rsidR="00AA69CE">
        <w:rPr>
          <w:lang w:val="fr-FR"/>
        </w:rPr>
        <w:t>’</w:t>
      </w:r>
      <w:r w:rsidRPr="00325182">
        <w:rPr>
          <w:lang w:val="fr-FR"/>
        </w:rPr>
        <w:t>article </w:t>
      </w:r>
      <w:r w:rsidRPr="00325182">
        <w:rPr>
          <w:rFonts w:eastAsia="SimSun"/>
          <w:lang w:val="fr-FR" w:eastAsia="ko-KR"/>
        </w:rPr>
        <w:t>14 du Pacte, mais relèvent de son article 13</w:t>
      </w:r>
      <w:r w:rsidRPr="007D575F">
        <w:rPr>
          <w:rStyle w:val="Appelnotedebasdep"/>
        </w:rPr>
        <w:footnoteReference w:id="24"/>
      </w:r>
      <w:r w:rsidRPr="005D2A2E">
        <w:rPr>
          <w:rFonts w:eastAsia="SimSun"/>
          <w:lang w:val="fr-FR" w:eastAsia="ko-KR"/>
        </w:rPr>
        <w:t>. Celui-ci offre une partie de la protection garantie par l</w:t>
      </w:r>
      <w:r w:rsidR="00AA69CE">
        <w:rPr>
          <w:rFonts w:eastAsia="SimSun"/>
          <w:lang w:val="fr-FR" w:eastAsia="ko-KR"/>
        </w:rPr>
        <w:t>’</w:t>
      </w:r>
      <w:r w:rsidRPr="005D2A2E">
        <w:rPr>
          <w:rFonts w:eastAsia="SimSun"/>
          <w:lang w:val="fr-FR" w:eastAsia="ko-KR"/>
        </w:rPr>
        <w:t>article</w:t>
      </w:r>
      <w:r w:rsidRPr="00DD0137">
        <w:rPr>
          <w:lang w:val="fr-FR" w:eastAsia="ko-KR"/>
        </w:rPr>
        <w:t> 14,</w:t>
      </w:r>
      <w:r w:rsidRPr="007302A2">
        <w:rPr>
          <w:rFonts w:eastAsia="SimSun"/>
          <w:lang w:val="fr-FR" w:eastAsia="ko-KR"/>
        </w:rPr>
        <w:t xml:space="preserve"> </w:t>
      </w:r>
      <w:r>
        <w:rPr>
          <w:lang w:val="fr-FR" w:eastAsia="ko-KR"/>
        </w:rPr>
        <w:t>mais ne protège pas à lui seul</w:t>
      </w:r>
      <w:r w:rsidRPr="007302A2">
        <w:rPr>
          <w:lang w:val="fr-FR" w:eastAsia="ko-KR"/>
        </w:rPr>
        <w:t xml:space="preserve"> le droit au recours</w:t>
      </w:r>
      <w:r w:rsidRPr="007D575F">
        <w:rPr>
          <w:rStyle w:val="Appelnotedebasdep"/>
        </w:rPr>
        <w:footnoteReference w:id="25"/>
      </w:r>
      <w:r w:rsidRPr="005D2A2E">
        <w:rPr>
          <w:lang w:val="fr-FR"/>
        </w:rPr>
        <w:t>.</w:t>
      </w:r>
      <w:r w:rsidRPr="005D2A2E">
        <w:rPr>
          <w:lang w:val="fr-FR" w:eastAsia="ko-KR"/>
        </w:rPr>
        <w:t xml:space="preserve"> </w:t>
      </w:r>
      <w:r>
        <w:rPr>
          <w:rFonts w:eastAsia="SimSun"/>
          <w:lang w:val="fr-FR" w:eastAsia="ko-KR"/>
        </w:rPr>
        <w:t xml:space="preserve">Le Comité </w:t>
      </w:r>
      <w:r w:rsidRPr="007F2C17">
        <w:rPr>
          <w:rFonts w:eastAsia="SimSun"/>
          <w:lang w:val="fr-FR" w:eastAsia="ko-KR"/>
        </w:rPr>
        <w:t xml:space="preserve">estime que </w:t>
      </w:r>
      <w:r>
        <w:rPr>
          <w:rFonts w:eastAsia="SimSun"/>
          <w:lang w:val="fr-FR" w:eastAsia="ko-KR"/>
        </w:rPr>
        <w:t>l</w:t>
      </w:r>
      <w:r w:rsidRPr="007F2C17">
        <w:rPr>
          <w:rFonts w:eastAsia="SimSun"/>
          <w:lang w:val="fr-FR" w:eastAsia="ko-KR"/>
        </w:rPr>
        <w:t xml:space="preserve">es griefs </w:t>
      </w:r>
      <w:r>
        <w:rPr>
          <w:rFonts w:eastAsia="SimSun"/>
          <w:lang w:val="fr-FR" w:eastAsia="ko-KR"/>
        </w:rPr>
        <w:t>de discrimination qu</w:t>
      </w:r>
      <w:r w:rsidR="00AA69CE">
        <w:rPr>
          <w:rFonts w:eastAsia="SimSun"/>
          <w:lang w:val="fr-FR" w:eastAsia="ko-KR"/>
        </w:rPr>
        <w:t>’</w:t>
      </w:r>
      <w:r>
        <w:rPr>
          <w:rFonts w:eastAsia="SimSun"/>
          <w:lang w:val="fr-FR" w:eastAsia="ko-KR"/>
        </w:rPr>
        <w:t>a soulevés l</w:t>
      </w:r>
      <w:r w:rsidR="00AA69CE">
        <w:rPr>
          <w:rFonts w:eastAsia="SimSun"/>
          <w:lang w:val="fr-FR" w:eastAsia="ko-KR"/>
        </w:rPr>
        <w:t>’</w:t>
      </w:r>
      <w:r>
        <w:rPr>
          <w:rFonts w:eastAsia="SimSun"/>
          <w:lang w:val="fr-FR" w:eastAsia="ko-KR"/>
        </w:rPr>
        <w:t xml:space="preserve">auteur </w:t>
      </w:r>
      <w:r w:rsidRPr="005C45D9">
        <w:rPr>
          <w:rFonts w:eastAsia="SimSun"/>
          <w:lang w:val="fr-FR" w:eastAsia="ko-KR"/>
        </w:rPr>
        <w:t>sont insuffisamment étayés aux fins de la recevabilité</w:t>
      </w:r>
      <w:r>
        <w:rPr>
          <w:rFonts w:eastAsia="SimSun"/>
          <w:lang w:val="fr-FR" w:eastAsia="ko-KR"/>
        </w:rPr>
        <w:t xml:space="preserve">, et il les déclare irrecevables </w:t>
      </w:r>
      <w:r w:rsidRPr="005C45D9">
        <w:rPr>
          <w:rFonts w:eastAsia="SimSun"/>
          <w:lang w:val="fr-FR" w:eastAsia="ko-KR"/>
        </w:rPr>
        <w:t>au regard de l</w:t>
      </w:r>
      <w:r w:rsidR="00AA69CE">
        <w:rPr>
          <w:rFonts w:eastAsia="SimSun"/>
          <w:lang w:val="fr-FR" w:eastAsia="ko-KR"/>
        </w:rPr>
        <w:t>’</w:t>
      </w:r>
      <w:r w:rsidRPr="005C45D9">
        <w:rPr>
          <w:rFonts w:eastAsia="SimSun"/>
          <w:lang w:val="fr-FR" w:eastAsia="ko-KR"/>
        </w:rPr>
        <w:t>article 2 du Protocole facultatif.</w:t>
      </w:r>
    </w:p>
    <w:p w:rsidR="00685027" w:rsidRPr="00325182" w:rsidRDefault="00685027" w:rsidP="00685027">
      <w:pPr>
        <w:pStyle w:val="SingleTxtG"/>
        <w:rPr>
          <w:lang w:val="fr-FR"/>
        </w:rPr>
      </w:pPr>
      <w:r w:rsidRPr="00325182">
        <w:rPr>
          <w:rFonts w:eastAsia="SimSun"/>
          <w:lang w:val="fr-FR" w:eastAsia="ko-KR"/>
        </w:rPr>
        <w:t>7.6</w:t>
      </w:r>
      <w:r w:rsidRPr="00325182">
        <w:rPr>
          <w:rFonts w:eastAsia="SimSun"/>
          <w:lang w:val="fr-FR" w:eastAsia="ko-KR"/>
        </w:rPr>
        <w:tab/>
      </w:r>
      <w:r>
        <w:rPr>
          <w:rFonts w:eastAsia="SimSun"/>
          <w:lang w:val="fr-FR" w:eastAsia="ko-KR"/>
        </w:rPr>
        <w:t>Enfin, l</w:t>
      </w:r>
      <w:r w:rsidRPr="00325182">
        <w:rPr>
          <w:rFonts w:eastAsia="SimSun"/>
          <w:lang w:val="fr-FR" w:eastAsia="ko-KR"/>
        </w:rPr>
        <w:t>e Comité note que l</w:t>
      </w:r>
      <w:r w:rsidR="00AA69CE">
        <w:rPr>
          <w:rFonts w:eastAsia="SimSun"/>
          <w:lang w:val="fr-FR" w:eastAsia="ko-KR"/>
        </w:rPr>
        <w:t>’</w:t>
      </w:r>
      <w:r w:rsidRPr="00325182">
        <w:rPr>
          <w:rFonts w:eastAsia="SimSun"/>
          <w:lang w:val="fr-FR" w:eastAsia="ko-KR"/>
        </w:rPr>
        <w:t>État partie conteste la recevabilité de la communication au motif que les griefs tirés des articles</w:t>
      </w:r>
      <w:r>
        <w:rPr>
          <w:rFonts w:eastAsia="SimSun"/>
          <w:lang w:val="fr-FR" w:eastAsia="ko-KR"/>
        </w:rPr>
        <w:t> </w:t>
      </w:r>
      <w:r w:rsidRPr="00325182">
        <w:rPr>
          <w:rFonts w:eastAsia="SimSun"/>
          <w:lang w:val="fr-FR" w:eastAsia="ko-KR"/>
        </w:rPr>
        <w:t>6 et 7 du Pacte sont insuffisamment étayés</w:t>
      </w:r>
      <w:r w:rsidRPr="00325182">
        <w:rPr>
          <w:lang w:val="fr-FR"/>
        </w:rPr>
        <w:t>. Il considère cependant qu</w:t>
      </w:r>
      <w:r w:rsidR="00AA69CE">
        <w:rPr>
          <w:lang w:val="fr-FR"/>
        </w:rPr>
        <w:t>’</w:t>
      </w:r>
      <w:r w:rsidRPr="00325182">
        <w:rPr>
          <w:lang w:val="fr-FR"/>
        </w:rPr>
        <w:t>aux fins de la recevabilité l</w:t>
      </w:r>
      <w:r w:rsidR="00AA69CE">
        <w:rPr>
          <w:lang w:val="fr-FR"/>
        </w:rPr>
        <w:t>’</w:t>
      </w:r>
      <w:r w:rsidRPr="00325182">
        <w:rPr>
          <w:lang w:val="fr-FR"/>
        </w:rPr>
        <w:t xml:space="preserve">auteur a suffisamment expliqué les raisons pour lesquelles il craint que son renvoi forcé </w:t>
      </w:r>
      <w:r>
        <w:rPr>
          <w:lang w:val="fr-FR"/>
        </w:rPr>
        <w:t>en République islamique d</w:t>
      </w:r>
      <w:r w:rsidR="00AA69CE">
        <w:rPr>
          <w:lang w:val="fr-FR"/>
        </w:rPr>
        <w:t>’</w:t>
      </w:r>
      <w:r>
        <w:rPr>
          <w:lang w:val="fr-FR"/>
        </w:rPr>
        <w:t>Iran</w:t>
      </w:r>
      <w:r w:rsidRPr="00325182">
        <w:rPr>
          <w:lang w:val="fr-FR"/>
        </w:rPr>
        <w:t xml:space="preserve"> ne l</w:t>
      </w:r>
      <w:r w:rsidR="00AA69CE">
        <w:rPr>
          <w:lang w:val="fr-FR"/>
        </w:rPr>
        <w:t>’</w:t>
      </w:r>
      <w:r w:rsidRPr="00325182">
        <w:rPr>
          <w:lang w:val="fr-FR"/>
        </w:rPr>
        <w:t>expose à un risque de traitement contraire aux articles 6 et 7 du Pacte. Le Comité déclare dès lors la communication recevable en ce qu</w:t>
      </w:r>
      <w:r w:rsidR="00AA69CE">
        <w:rPr>
          <w:lang w:val="fr-FR"/>
        </w:rPr>
        <w:t>’</w:t>
      </w:r>
      <w:r w:rsidRPr="00325182">
        <w:rPr>
          <w:lang w:val="fr-FR"/>
        </w:rPr>
        <w:t>elle soulève des questions au regard des articles 6 et 7 et il procède à son examen au fond.</w:t>
      </w:r>
    </w:p>
    <w:p w:rsidR="00685027" w:rsidRPr="00325182" w:rsidRDefault="00685027" w:rsidP="00685027">
      <w:pPr>
        <w:pStyle w:val="H4G"/>
        <w:rPr>
          <w:lang w:val="fr-FR"/>
        </w:rPr>
      </w:pPr>
      <w:r>
        <w:rPr>
          <w:lang w:val="fr-FR"/>
        </w:rPr>
        <w:tab/>
      </w:r>
      <w:r>
        <w:rPr>
          <w:lang w:val="fr-FR"/>
        </w:rPr>
        <w:tab/>
      </w:r>
      <w:r w:rsidRPr="00325182">
        <w:rPr>
          <w:lang w:val="fr-FR"/>
        </w:rPr>
        <w:t>Examen au fond</w:t>
      </w:r>
    </w:p>
    <w:p w:rsidR="00685027" w:rsidRPr="00325182" w:rsidRDefault="00685027" w:rsidP="00685027">
      <w:pPr>
        <w:pStyle w:val="SingleTxtG"/>
        <w:rPr>
          <w:lang w:val="fr-FR"/>
        </w:rPr>
      </w:pPr>
      <w:r w:rsidRPr="00325182">
        <w:rPr>
          <w:lang w:val="fr-FR"/>
        </w:rPr>
        <w:t>8.1</w:t>
      </w:r>
      <w:r w:rsidRPr="00325182">
        <w:rPr>
          <w:lang w:val="fr-FR"/>
        </w:rPr>
        <w:tab/>
      </w:r>
      <w:r w:rsidRPr="00325182">
        <w:rPr>
          <w:lang w:val="fr-FR" w:eastAsia="en-GB"/>
        </w:rPr>
        <w:t>Conformément au paragraphe 1 de l</w:t>
      </w:r>
      <w:r w:rsidR="00AA69CE">
        <w:rPr>
          <w:lang w:val="fr-FR" w:eastAsia="en-GB"/>
        </w:rPr>
        <w:t>’</w:t>
      </w:r>
      <w:r w:rsidRPr="00325182">
        <w:rPr>
          <w:lang w:val="fr-FR" w:eastAsia="en-GB"/>
        </w:rPr>
        <w:t>article 5 du Protocole facultatif, le Comité des droits de l</w:t>
      </w:r>
      <w:r w:rsidR="00AA69CE">
        <w:rPr>
          <w:lang w:val="fr-FR" w:eastAsia="en-GB"/>
        </w:rPr>
        <w:t>’</w:t>
      </w:r>
      <w:r w:rsidRPr="00325182">
        <w:rPr>
          <w:lang w:val="fr-FR" w:eastAsia="en-GB"/>
        </w:rPr>
        <w:t>homme a examiné la présente communication en tenant compte de toutes les informations que lui ont communiquées les parties</w:t>
      </w:r>
      <w:r w:rsidRPr="00325182">
        <w:rPr>
          <w:lang w:val="fr-FR"/>
        </w:rPr>
        <w:t>.</w:t>
      </w:r>
    </w:p>
    <w:p w:rsidR="00685027" w:rsidRPr="00325182" w:rsidRDefault="00685027" w:rsidP="00685027">
      <w:pPr>
        <w:pStyle w:val="SingleTxtG"/>
        <w:rPr>
          <w:lang w:val="fr-FR"/>
        </w:rPr>
      </w:pPr>
      <w:r w:rsidRPr="00325182">
        <w:rPr>
          <w:lang w:val="fr-FR"/>
        </w:rPr>
        <w:t>8.2</w:t>
      </w:r>
      <w:r w:rsidRPr="00325182">
        <w:rPr>
          <w:lang w:val="fr-FR"/>
        </w:rPr>
        <w:tab/>
        <w:t>Le Comité prend note de l</w:t>
      </w:r>
      <w:r w:rsidR="00AA69CE">
        <w:rPr>
          <w:lang w:val="fr-FR"/>
        </w:rPr>
        <w:t>’</w:t>
      </w:r>
      <w:r w:rsidRPr="00325182">
        <w:rPr>
          <w:lang w:val="fr-FR"/>
        </w:rPr>
        <w:t>affirmation de l</w:t>
      </w:r>
      <w:r w:rsidR="00AA69CE">
        <w:rPr>
          <w:lang w:val="fr-FR"/>
        </w:rPr>
        <w:t>’</w:t>
      </w:r>
      <w:r w:rsidRPr="00325182">
        <w:rPr>
          <w:lang w:val="fr-FR"/>
        </w:rPr>
        <w:t>auteur qui prétend qu</w:t>
      </w:r>
      <w:r w:rsidR="00AA69CE">
        <w:rPr>
          <w:lang w:val="fr-FR"/>
        </w:rPr>
        <w:t>’</w:t>
      </w:r>
      <w:r w:rsidRPr="00325182">
        <w:rPr>
          <w:lang w:val="fr-FR"/>
        </w:rPr>
        <w:t xml:space="preserve">en cas de renvoi </w:t>
      </w:r>
      <w:r>
        <w:rPr>
          <w:lang w:val="fr-FR"/>
        </w:rPr>
        <w:t>en République islamique d</w:t>
      </w:r>
      <w:r w:rsidR="00AA69CE">
        <w:rPr>
          <w:lang w:val="fr-FR"/>
        </w:rPr>
        <w:t>’</w:t>
      </w:r>
      <w:r>
        <w:rPr>
          <w:lang w:val="fr-FR"/>
        </w:rPr>
        <w:t>Iran</w:t>
      </w:r>
      <w:r w:rsidRPr="00325182">
        <w:rPr>
          <w:lang w:val="fr-FR"/>
        </w:rPr>
        <w:t>, il serait exposé au risque de subir un préjudice irréparable en violation des articles 6 et 7 du Pacte. Il prend note de l</w:t>
      </w:r>
      <w:r w:rsidR="00AA69CE">
        <w:rPr>
          <w:lang w:val="fr-FR"/>
        </w:rPr>
        <w:t>’</w:t>
      </w:r>
      <w:r w:rsidRPr="00325182">
        <w:rPr>
          <w:lang w:val="fr-FR"/>
        </w:rPr>
        <w:t>argument selon lequel l</w:t>
      </w:r>
      <w:r w:rsidR="00AA69CE">
        <w:rPr>
          <w:lang w:val="fr-FR"/>
        </w:rPr>
        <w:t>’</w:t>
      </w:r>
      <w:r w:rsidRPr="00325182">
        <w:rPr>
          <w:lang w:val="fr-FR"/>
        </w:rPr>
        <w:t>auteur serait persécuté par les autorités iraniennes parce qu</w:t>
      </w:r>
      <w:r w:rsidR="00AA69CE">
        <w:rPr>
          <w:lang w:val="fr-FR"/>
        </w:rPr>
        <w:t>’</w:t>
      </w:r>
      <w:r w:rsidRPr="00325182">
        <w:rPr>
          <w:lang w:val="fr-FR"/>
        </w:rPr>
        <w:t xml:space="preserve">il a refusé de continuer à travailler pour les Bassidji </w:t>
      </w:r>
      <w:r>
        <w:rPr>
          <w:lang w:val="fr-FR"/>
        </w:rPr>
        <w:t>− milice iranienne −</w:t>
      </w:r>
      <w:r w:rsidRPr="00325182">
        <w:rPr>
          <w:lang w:val="fr-FR"/>
        </w:rPr>
        <w:t xml:space="preserve"> et qu</w:t>
      </w:r>
      <w:r w:rsidR="00AA69CE">
        <w:rPr>
          <w:lang w:val="fr-FR"/>
        </w:rPr>
        <w:t>’</w:t>
      </w:r>
      <w:r w:rsidRPr="00325182">
        <w:rPr>
          <w:lang w:val="fr-FR"/>
        </w:rPr>
        <w:t xml:space="preserve">il a fui illégalement </w:t>
      </w:r>
      <w:r>
        <w:rPr>
          <w:lang w:val="fr-FR"/>
        </w:rPr>
        <w:t>la République islamique d</w:t>
      </w:r>
      <w:r w:rsidR="00AA69CE">
        <w:rPr>
          <w:lang w:val="fr-FR"/>
        </w:rPr>
        <w:t>’</w:t>
      </w:r>
      <w:r>
        <w:rPr>
          <w:lang w:val="fr-FR"/>
        </w:rPr>
        <w:t>Iran</w:t>
      </w:r>
      <w:r w:rsidRPr="00325182">
        <w:rPr>
          <w:lang w:val="fr-FR"/>
        </w:rPr>
        <w:t xml:space="preserve">. </w:t>
      </w:r>
      <w:r>
        <w:rPr>
          <w:lang w:val="fr-FR"/>
        </w:rPr>
        <w:t>L</w:t>
      </w:r>
      <w:r w:rsidRPr="00325182">
        <w:rPr>
          <w:lang w:val="fr-FR"/>
        </w:rPr>
        <w:t>e Comité note également les renseignements fournis par l</w:t>
      </w:r>
      <w:r w:rsidR="00AA69CE">
        <w:rPr>
          <w:lang w:val="fr-FR"/>
        </w:rPr>
        <w:t>’</w:t>
      </w:r>
      <w:r w:rsidRPr="00325182">
        <w:rPr>
          <w:lang w:val="fr-FR"/>
        </w:rPr>
        <w:t>État partie au sujet du traitement réservé</w:t>
      </w:r>
      <w:r>
        <w:rPr>
          <w:lang w:val="fr-FR"/>
        </w:rPr>
        <w:t xml:space="preserve">, à leur retour, </w:t>
      </w:r>
      <w:r w:rsidRPr="00325182">
        <w:rPr>
          <w:lang w:val="fr-FR"/>
        </w:rPr>
        <w:t xml:space="preserve">aux personnes </w:t>
      </w:r>
      <w:r>
        <w:rPr>
          <w:lang w:val="fr-FR"/>
        </w:rPr>
        <w:t xml:space="preserve">qui ont fui </w:t>
      </w:r>
      <w:r w:rsidRPr="00325182">
        <w:rPr>
          <w:lang w:val="fr-FR"/>
        </w:rPr>
        <w:t xml:space="preserve">illégalement </w:t>
      </w:r>
      <w:r>
        <w:rPr>
          <w:lang w:val="fr-FR"/>
        </w:rPr>
        <w:t>la République islamique d</w:t>
      </w:r>
      <w:r w:rsidR="00AA69CE">
        <w:rPr>
          <w:lang w:val="fr-FR"/>
        </w:rPr>
        <w:t>’</w:t>
      </w:r>
      <w:r>
        <w:rPr>
          <w:lang w:val="fr-FR"/>
        </w:rPr>
        <w:t>Iran</w:t>
      </w:r>
      <w:r w:rsidRPr="00325182">
        <w:rPr>
          <w:lang w:val="fr-FR"/>
        </w:rPr>
        <w:t>. Selon les informations concernant la sortie illégale d</w:t>
      </w:r>
      <w:r>
        <w:rPr>
          <w:lang w:val="fr-FR"/>
        </w:rPr>
        <w:t>e République islamique d</w:t>
      </w:r>
      <w:r w:rsidR="00AA69CE">
        <w:rPr>
          <w:lang w:val="fr-FR"/>
        </w:rPr>
        <w:t>’</w:t>
      </w:r>
      <w:r w:rsidRPr="00325182">
        <w:rPr>
          <w:lang w:val="fr-FR"/>
        </w:rPr>
        <w:t>Iran publiées par le Ministère de l</w:t>
      </w:r>
      <w:r w:rsidR="00AA69CE">
        <w:rPr>
          <w:lang w:val="fr-FR"/>
        </w:rPr>
        <w:t>’</w:t>
      </w:r>
      <w:r w:rsidRPr="00325182">
        <w:rPr>
          <w:lang w:val="fr-FR"/>
        </w:rPr>
        <w:t xml:space="preserve">intérieur du </w:t>
      </w:r>
      <w:r>
        <w:rPr>
          <w:lang w:val="fr-FR"/>
        </w:rPr>
        <w:t>Royaume-Uni de Grande-Bretagne et d</w:t>
      </w:r>
      <w:r w:rsidR="00AA69CE">
        <w:rPr>
          <w:lang w:val="fr-FR"/>
        </w:rPr>
        <w:t>’</w:t>
      </w:r>
      <w:r>
        <w:rPr>
          <w:lang w:val="fr-FR"/>
        </w:rPr>
        <w:t>Irlande du Nord</w:t>
      </w:r>
      <w:r w:rsidRPr="00325182">
        <w:rPr>
          <w:lang w:val="fr-FR"/>
        </w:rPr>
        <w:t xml:space="preserve"> en juillet 2016, un Iranien cherchant à retourner dans son pays sans passeport ne sera pas exposé à un risque réel de persécution du fait de son départ illégal et/ou de son statut de demandeur d</w:t>
      </w:r>
      <w:r w:rsidR="00AA69CE">
        <w:rPr>
          <w:lang w:val="fr-FR"/>
        </w:rPr>
        <w:t>’</w:t>
      </w:r>
      <w:r w:rsidRPr="00325182">
        <w:rPr>
          <w:lang w:val="fr-FR"/>
        </w:rPr>
        <w:t>asile débouté, à moins qu</w:t>
      </w:r>
      <w:r w:rsidR="00AA69CE">
        <w:rPr>
          <w:lang w:val="fr-FR"/>
        </w:rPr>
        <w:t>’</w:t>
      </w:r>
      <w:r w:rsidRPr="00325182">
        <w:rPr>
          <w:lang w:val="fr-FR"/>
        </w:rPr>
        <w:t>il n</w:t>
      </w:r>
      <w:r w:rsidR="00AA69CE">
        <w:rPr>
          <w:lang w:val="fr-FR"/>
        </w:rPr>
        <w:t>’</w:t>
      </w:r>
      <w:r w:rsidRPr="00325182">
        <w:rPr>
          <w:lang w:val="fr-FR"/>
        </w:rPr>
        <w:t>ait été inquiété par les autorités iraniennes auparavant</w:t>
      </w:r>
      <w:r w:rsidRPr="007D575F">
        <w:rPr>
          <w:rStyle w:val="Appelnotedebasdep"/>
        </w:rPr>
        <w:footnoteReference w:id="26"/>
      </w:r>
      <w:r w:rsidRPr="005D2A2E">
        <w:rPr>
          <w:lang w:val="fr-FR"/>
        </w:rPr>
        <w:t>. L</w:t>
      </w:r>
      <w:r w:rsidR="00AA69CE">
        <w:rPr>
          <w:lang w:val="fr-FR"/>
        </w:rPr>
        <w:t>’</w:t>
      </w:r>
      <w:r w:rsidRPr="005D2A2E">
        <w:rPr>
          <w:lang w:val="fr-FR"/>
        </w:rPr>
        <w:t>État partie indique également que les demandeurs d</w:t>
      </w:r>
      <w:r w:rsidR="00AA69CE">
        <w:rPr>
          <w:lang w:val="fr-FR"/>
        </w:rPr>
        <w:t>’</w:t>
      </w:r>
      <w:r w:rsidRPr="005D2A2E">
        <w:rPr>
          <w:lang w:val="fr-FR"/>
        </w:rPr>
        <w:t>asile déboutés ne sont pas poursuivis, car le fait pour un Iranien de de</w:t>
      </w:r>
      <w:r w:rsidRPr="00DD0137">
        <w:rPr>
          <w:lang w:val="fr-FR"/>
        </w:rPr>
        <w:t>mander l</w:t>
      </w:r>
      <w:r w:rsidR="00AA69CE">
        <w:rPr>
          <w:lang w:val="fr-FR"/>
        </w:rPr>
        <w:t>’</w:t>
      </w:r>
      <w:r w:rsidRPr="00DD0137">
        <w:rPr>
          <w:lang w:val="fr-FR"/>
        </w:rPr>
        <w:t xml:space="preserve">asile dans un autre pays ne constitue pas une infraction </w:t>
      </w:r>
      <w:r>
        <w:rPr>
          <w:lang w:val="fr-FR"/>
        </w:rPr>
        <w:t>en République islamique d</w:t>
      </w:r>
      <w:r w:rsidR="00AA69CE">
        <w:rPr>
          <w:lang w:val="fr-FR"/>
        </w:rPr>
        <w:t>’</w:t>
      </w:r>
      <w:r>
        <w:rPr>
          <w:lang w:val="fr-FR"/>
        </w:rPr>
        <w:t>Iran</w:t>
      </w:r>
      <w:r w:rsidRPr="007D575F">
        <w:rPr>
          <w:rStyle w:val="Appelnotedebasdep"/>
        </w:rPr>
        <w:footnoteReference w:id="27"/>
      </w:r>
      <w:r w:rsidRPr="005D2A2E">
        <w:rPr>
          <w:lang w:val="fr-FR"/>
        </w:rPr>
        <w:t xml:space="preserve">. </w:t>
      </w:r>
      <w:r>
        <w:rPr>
          <w:lang w:val="fr-FR"/>
        </w:rPr>
        <w:t>L</w:t>
      </w:r>
      <w:r w:rsidRPr="005D2A2E">
        <w:rPr>
          <w:lang w:val="fr-FR"/>
        </w:rPr>
        <w:t xml:space="preserve">e Comité prend note </w:t>
      </w:r>
      <w:r>
        <w:rPr>
          <w:lang w:val="fr-FR"/>
        </w:rPr>
        <w:t xml:space="preserve">également </w:t>
      </w:r>
      <w:r w:rsidRPr="005D2A2E">
        <w:rPr>
          <w:lang w:val="fr-FR"/>
        </w:rPr>
        <w:t>des déclarations de l</w:t>
      </w:r>
      <w:r w:rsidR="00AA69CE">
        <w:rPr>
          <w:lang w:val="fr-FR"/>
        </w:rPr>
        <w:t>’</w:t>
      </w:r>
      <w:r w:rsidRPr="005D2A2E">
        <w:rPr>
          <w:lang w:val="fr-FR"/>
        </w:rPr>
        <w:t>auteur au sujet de sa conversion de l</w:t>
      </w:r>
      <w:r w:rsidR="00AA69CE">
        <w:rPr>
          <w:lang w:val="fr-FR"/>
        </w:rPr>
        <w:t>’</w:t>
      </w:r>
      <w:r w:rsidRPr="005D2A2E">
        <w:rPr>
          <w:lang w:val="fr-FR"/>
        </w:rPr>
        <w:t>islam au christianisme</w:t>
      </w:r>
      <w:r>
        <w:rPr>
          <w:lang w:val="fr-FR"/>
        </w:rPr>
        <w:t>, notamment de son baptême et de sa participation active aux activités de la paroisse,</w:t>
      </w:r>
      <w:r w:rsidRPr="005D2A2E">
        <w:rPr>
          <w:lang w:val="fr-FR"/>
        </w:rPr>
        <w:t xml:space="preserve"> et du risque de persécutions de la part de sa famille et des autor</w:t>
      </w:r>
      <w:r w:rsidRPr="00325182">
        <w:rPr>
          <w:lang w:val="fr-FR"/>
        </w:rPr>
        <w:t>ités auquel il prétend être exposé en cas de renvoi.</w:t>
      </w:r>
    </w:p>
    <w:p w:rsidR="00685027" w:rsidRPr="005D2A2E" w:rsidRDefault="00685027" w:rsidP="00685027">
      <w:pPr>
        <w:pStyle w:val="SingleTxtG"/>
        <w:rPr>
          <w:lang w:val="fr-FR"/>
        </w:rPr>
      </w:pPr>
      <w:r w:rsidRPr="00325182">
        <w:rPr>
          <w:lang w:val="fr-FR"/>
        </w:rPr>
        <w:t>8.3</w:t>
      </w:r>
      <w:r w:rsidRPr="00325182">
        <w:rPr>
          <w:lang w:val="fr-FR"/>
        </w:rPr>
        <w:tab/>
        <w:t xml:space="preserve">Le Comité fait référence à son observation générale </w:t>
      </w:r>
      <w:r w:rsidRPr="00325182">
        <w:rPr>
          <w:rFonts w:eastAsia="MS Mincho"/>
          <w:lang w:val="fr-FR"/>
        </w:rPr>
        <w:t>n</w:t>
      </w:r>
      <w:r w:rsidRPr="00325182">
        <w:rPr>
          <w:rFonts w:eastAsia="MS Mincho"/>
          <w:vertAlign w:val="superscript"/>
          <w:lang w:val="fr-FR"/>
        </w:rPr>
        <w:t>o</w:t>
      </w:r>
      <w:r w:rsidRPr="00325182">
        <w:rPr>
          <w:lang w:val="fr-FR"/>
        </w:rPr>
        <w:t> 31 (2004) sur la nature de l</w:t>
      </w:r>
      <w:r w:rsidR="00AA69CE">
        <w:rPr>
          <w:lang w:val="fr-FR"/>
        </w:rPr>
        <w:t>’</w:t>
      </w:r>
      <w:r w:rsidRPr="00325182">
        <w:rPr>
          <w:lang w:val="fr-FR"/>
        </w:rPr>
        <w:t>obligation juridique générale imposée aux États parties au Pacte, dans laquelle il rappelle que les États ont l</w:t>
      </w:r>
      <w:r w:rsidR="00AA69CE">
        <w:rPr>
          <w:lang w:val="fr-FR"/>
        </w:rPr>
        <w:t>’</w:t>
      </w:r>
      <w:r w:rsidRPr="00325182">
        <w:rPr>
          <w:lang w:val="fr-FR"/>
        </w:rPr>
        <w:t>obligation de ne pas extrader, déplacer ou expulser une personne ou la transférer par d</w:t>
      </w:r>
      <w:r w:rsidR="00AA69CE">
        <w:rPr>
          <w:lang w:val="fr-FR"/>
        </w:rPr>
        <w:t>’</w:t>
      </w:r>
      <w:r w:rsidRPr="00325182">
        <w:rPr>
          <w:lang w:val="fr-FR"/>
        </w:rPr>
        <w:t>autres moyens de leur territoire s</w:t>
      </w:r>
      <w:r w:rsidR="00AA69CE">
        <w:rPr>
          <w:lang w:val="fr-FR"/>
        </w:rPr>
        <w:t>’</w:t>
      </w:r>
      <w:r w:rsidRPr="00325182">
        <w:rPr>
          <w:lang w:val="fr-FR"/>
        </w:rPr>
        <w:t>il existe des motifs sérieux de croire qu</w:t>
      </w:r>
      <w:r w:rsidR="00AA69CE">
        <w:rPr>
          <w:lang w:val="fr-FR"/>
        </w:rPr>
        <w:t>’</w:t>
      </w:r>
      <w:r w:rsidRPr="00325182">
        <w:rPr>
          <w:lang w:val="fr-FR"/>
        </w:rPr>
        <w:t>il y a un risque réel de préjudice irréparable tel que celui envisagé aux articles 6 et 7 du Pacte (par. 12). Le Comité a établi en outre que ce risque doit être personnel</w:t>
      </w:r>
      <w:r w:rsidRPr="007D575F">
        <w:rPr>
          <w:rStyle w:val="Appelnotedebasdep"/>
        </w:rPr>
        <w:footnoteReference w:id="28"/>
      </w:r>
      <w:r w:rsidRPr="005D2A2E">
        <w:rPr>
          <w:lang w:val="fr-FR"/>
        </w:rPr>
        <w:t xml:space="preserve"> et qu</w:t>
      </w:r>
      <w:r w:rsidR="00AA69CE">
        <w:rPr>
          <w:lang w:val="fr-FR"/>
        </w:rPr>
        <w:t>’</w:t>
      </w:r>
      <w:r w:rsidRPr="005D2A2E">
        <w:rPr>
          <w:lang w:val="fr-FR"/>
        </w:rPr>
        <w:t>il faut des motifs sérieux de conclure à l</w:t>
      </w:r>
      <w:r w:rsidR="00AA69CE">
        <w:rPr>
          <w:lang w:val="fr-FR"/>
        </w:rPr>
        <w:t>’</w:t>
      </w:r>
      <w:r w:rsidRPr="005D2A2E">
        <w:rPr>
          <w:lang w:val="fr-FR"/>
        </w:rPr>
        <w:t>existence d</w:t>
      </w:r>
      <w:r w:rsidR="00AA69CE">
        <w:rPr>
          <w:lang w:val="fr-FR"/>
        </w:rPr>
        <w:t>’</w:t>
      </w:r>
      <w:r w:rsidRPr="005D2A2E">
        <w:rPr>
          <w:lang w:val="fr-FR"/>
        </w:rPr>
        <w:t>un risque réel de dommage irréparable</w:t>
      </w:r>
      <w:r w:rsidRPr="007D575F">
        <w:rPr>
          <w:rStyle w:val="Appelnotedebasdep"/>
        </w:rPr>
        <w:footnoteReference w:id="29"/>
      </w:r>
      <w:r w:rsidRPr="005D2A2E">
        <w:rPr>
          <w:lang w:val="fr-FR"/>
        </w:rPr>
        <w:t>. Tous les faits et circonstances pertinents doivent donc être pris en considé</w:t>
      </w:r>
      <w:r w:rsidRPr="00325182">
        <w:rPr>
          <w:lang w:val="fr-FR"/>
        </w:rPr>
        <w:t>ration, notamment la situation générale des droits de l</w:t>
      </w:r>
      <w:r w:rsidR="00AA69CE">
        <w:rPr>
          <w:lang w:val="fr-FR"/>
        </w:rPr>
        <w:t>’</w:t>
      </w:r>
      <w:r w:rsidRPr="00325182">
        <w:rPr>
          <w:lang w:val="fr-FR"/>
        </w:rPr>
        <w:t>homme dans le pays d</w:t>
      </w:r>
      <w:r w:rsidR="00AA69CE">
        <w:rPr>
          <w:lang w:val="fr-FR"/>
        </w:rPr>
        <w:t>’</w:t>
      </w:r>
      <w:r w:rsidRPr="00325182">
        <w:rPr>
          <w:lang w:val="fr-FR"/>
        </w:rPr>
        <w:t>origine de l</w:t>
      </w:r>
      <w:r w:rsidR="00AA69CE">
        <w:rPr>
          <w:lang w:val="fr-FR"/>
        </w:rPr>
        <w:t>’</w:t>
      </w:r>
      <w:r w:rsidRPr="00325182">
        <w:rPr>
          <w:lang w:val="fr-FR"/>
        </w:rPr>
        <w:t>auteur</w:t>
      </w:r>
      <w:r w:rsidRPr="007D575F">
        <w:rPr>
          <w:rStyle w:val="Appelnotedebasdep"/>
        </w:rPr>
        <w:footnoteReference w:id="30"/>
      </w:r>
      <w:r w:rsidRPr="005D2A2E">
        <w:rPr>
          <w:lang w:val="fr-FR"/>
        </w:rPr>
        <w:t>. Le Comité rappelle que c</w:t>
      </w:r>
      <w:r w:rsidR="00AA69CE">
        <w:rPr>
          <w:lang w:val="fr-FR"/>
        </w:rPr>
        <w:t>’</w:t>
      </w:r>
      <w:r w:rsidRPr="005D2A2E">
        <w:rPr>
          <w:lang w:val="fr-FR"/>
        </w:rPr>
        <w:t>est généralement aux organes de l</w:t>
      </w:r>
      <w:r w:rsidR="00AA69CE">
        <w:rPr>
          <w:lang w:val="fr-FR"/>
        </w:rPr>
        <w:t>’</w:t>
      </w:r>
      <w:r w:rsidRPr="005D2A2E">
        <w:rPr>
          <w:lang w:val="fr-FR"/>
        </w:rPr>
        <w:t>État partie qu</w:t>
      </w:r>
      <w:r w:rsidR="00AA69CE">
        <w:rPr>
          <w:lang w:val="fr-FR"/>
        </w:rPr>
        <w:t>’</w:t>
      </w:r>
      <w:r w:rsidRPr="005D2A2E">
        <w:rPr>
          <w:lang w:val="fr-FR"/>
        </w:rPr>
        <w:t>il appartient d</w:t>
      </w:r>
      <w:r w:rsidR="00AA69CE">
        <w:rPr>
          <w:lang w:val="fr-FR"/>
        </w:rPr>
        <w:t>’</w:t>
      </w:r>
      <w:r w:rsidRPr="005D2A2E">
        <w:rPr>
          <w:lang w:val="fr-FR"/>
        </w:rPr>
        <w:t>apprécier les faits et les éléments de preuve dans une affaire donnée aux fins de déterminer l</w:t>
      </w:r>
      <w:r w:rsidR="00AA69CE">
        <w:rPr>
          <w:lang w:val="fr-FR"/>
        </w:rPr>
        <w:t>’</w:t>
      </w:r>
      <w:r w:rsidRPr="005D2A2E">
        <w:rPr>
          <w:lang w:val="fr-FR"/>
        </w:rPr>
        <w:t>existence d</w:t>
      </w:r>
      <w:r w:rsidR="00AA69CE">
        <w:rPr>
          <w:lang w:val="fr-FR"/>
        </w:rPr>
        <w:t>’</w:t>
      </w:r>
      <w:r w:rsidRPr="005D2A2E">
        <w:rPr>
          <w:lang w:val="fr-FR"/>
        </w:rPr>
        <w:t>un tel risque</w:t>
      </w:r>
      <w:r w:rsidRPr="007D575F">
        <w:rPr>
          <w:rStyle w:val="Appelnotedebasdep"/>
        </w:rPr>
        <w:footnoteReference w:id="31"/>
      </w:r>
      <w:r w:rsidRPr="005D2A2E">
        <w:rPr>
          <w:lang w:val="fr-FR"/>
        </w:rPr>
        <w:t>, à moins qu</w:t>
      </w:r>
      <w:r w:rsidR="00AA69CE">
        <w:rPr>
          <w:lang w:val="fr-FR"/>
        </w:rPr>
        <w:t>’</w:t>
      </w:r>
      <w:r w:rsidRPr="005D2A2E">
        <w:rPr>
          <w:lang w:val="fr-FR"/>
        </w:rPr>
        <w:t xml:space="preserve">il ne soit établi que cette appréciation a été </w:t>
      </w:r>
      <w:r>
        <w:rPr>
          <w:lang w:val="fr-FR"/>
        </w:rPr>
        <w:t xml:space="preserve">manifestement </w:t>
      </w:r>
      <w:r w:rsidRPr="005D2A2E">
        <w:rPr>
          <w:lang w:val="fr-FR"/>
        </w:rPr>
        <w:t>arbitraire ou erronée ou a constitué un déni de justice</w:t>
      </w:r>
      <w:r w:rsidRPr="007D575F">
        <w:rPr>
          <w:rStyle w:val="Appelnotedebasdep"/>
        </w:rPr>
        <w:footnoteReference w:id="32"/>
      </w:r>
      <w:r w:rsidRPr="005D2A2E">
        <w:rPr>
          <w:lang w:val="fr-FR"/>
        </w:rPr>
        <w:t>.</w:t>
      </w:r>
    </w:p>
    <w:p w:rsidR="00685027" w:rsidRPr="00F8557F" w:rsidRDefault="00685027" w:rsidP="00685027">
      <w:pPr>
        <w:pStyle w:val="SingleTxtG"/>
        <w:rPr>
          <w:lang w:val="fr-FR"/>
        </w:rPr>
      </w:pPr>
      <w:r w:rsidRPr="00325182">
        <w:rPr>
          <w:lang w:val="fr-FR"/>
        </w:rPr>
        <w:t>8.4</w:t>
      </w:r>
      <w:r w:rsidRPr="00325182">
        <w:rPr>
          <w:lang w:val="fr-FR"/>
        </w:rPr>
        <w:tab/>
        <w:t>Le Comité prend note de la conclusion de la Commission</w:t>
      </w:r>
      <w:r>
        <w:rPr>
          <w:lang w:val="fr-FR"/>
        </w:rPr>
        <w:t xml:space="preserve"> danoise</w:t>
      </w:r>
      <w:r w:rsidRPr="00325182">
        <w:rPr>
          <w:lang w:val="fr-FR"/>
        </w:rPr>
        <w:t xml:space="preserve"> de recours des réfugiés selon laquelle l</w:t>
      </w:r>
      <w:r w:rsidR="00AA69CE">
        <w:rPr>
          <w:lang w:val="fr-FR"/>
        </w:rPr>
        <w:t>’</w:t>
      </w:r>
      <w:r w:rsidRPr="00325182">
        <w:rPr>
          <w:lang w:val="fr-FR"/>
        </w:rPr>
        <w:t>auteur n</w:t>
      </w:r>
      <w:r w:rsidR="00AA69CE">
        <w:rPr>
          <w:lang w:val="fr-FR"/>
        </w:rPr>
        <w:t>’</w:t>
      </w:r>
      <w:r w:rsidRPr="00325182">
        <w:rPr>
          <w:lang w:val="fr-FR"/>
        </w:rPr>
        <w:t>a pas suffisamment établi qu</w:t>
      </w:r>
      <w:r w:rsidR="00AA69CE">
        <w:rPr>
          <w:lang w:val="fr-FR"/>
        </w:rPr>
        <w:t>’</w:t>
      </w:r>
      <w:r w:rsidRPr="00325182">
        <w:rPr>
          <w:lang w:val="fr-FR"/>
        </w:rPr>
        <w:t>il sera</w:t>
      </w:r>
      <w:r>
        <w:rPr>
          <w:lang w:val="fr-FR"/>
        </w:rPr>
        <w:t>it</w:t>
      </w:r>
      <w:r w:rsidRPr="00325182">
        <w:rPr>
          <w:lang w:val="fr-FR"/>
        </w:rPr>
        <w:t xml:space="preserve"> exposé à des persécutions ou des violences de la part des autorités iraniennes du fait de son refus de continuer à travailler pour les Bassidji, et qu</w:t>
      </w:r>
      <w:r w:rsidR="00AA69CE">
        <w:rPr>
          <w:lang w:val="fr-FR"/>
        </w:rPr>
        <w:t>’</w:t>
      </w:r>
      <w:r w:rsidRPr="00325182">
        <w:rPr>
          <w:lang w:val="fr-FR"/>
        </w:rPr>
        <w:t>il manque de crédibilité. Le Comité note également que la majorité des membres de la Commission a estimé que l</w:t>
      </w:r>
      <w:r w:rsidR="00AA69CE">
        <w:rPr>
          <w:lang w:val="fr-FR"/>
        </w:rPr>
        <w:t>’</w:t>
      </w:r>
      <w:r w:rsidRPr="00325182">
        <w:rPr>
          <w:lang w:val="fr-FR"/>
        </w:rPr>
        <w:t>intéressé n</w:t>
      </w:r>
      <w:r w:rsidR="00AA69CE">
        <w:rPr>
          <w:lang w:val="fr-FR"/>
        </w:rPr>
        <w:t>’</w:t>
      </w:r>
      <w:r w:rsidRPr="00325182">
        <w:rPr>
          <w:lang w:val="fr-FR"/>
        </w:rPr>
        <w:t>avait pas suffisamment établi la sincérité de sa conversion, bien qu</w:t>
      </w:r>
      <w:r w:rsidR="00AA69CE">
        <w:rPr>
          <w:lang w:val="fr-FR"/>
        </w:rPr>
        <w:t>’</w:t>
      </w:r>
      <w:r w:rsidRPr="00325182">
        <w:rPr>
          <w:lang w:val="fr-FR"/>
        </w:rPr>
        <w:t>il ait produit un certificat de baptême, des dépositions de témoins et des lettres à l</w:t>
      </w:r>
      <w:r w:rsidR="00AA69CE">
        <w:rPr>
          <w:lang w:val="fr-FR"/>
        </w:rPr>
        <w:t>’</w:t>
      </w:r>
      <w:r w:rsidRPr="00325182">
        <w:rPr>
          <w:lang w:val="fr-FR"/>
        </w:rPr>
        <w:t>appui de ses dires. À cet égard, le Comité observe que l</w:t>
      </w:r>
      <w:r w:rsidR="00AA69CE">
        <w:rPr>
          <w:lang w:val="fr-FR"/>
        </w:rPr>
        <w:t>’</w:t>
      </w:r>
      <w:r w:rsidRPr="00325182">
        <w:rPr>
          <w:lang w:val="fr-FR"/>
        </w:rPr>
        <w:t>auteur a tout d</w:t>
      </w:r>
      <w:r w:rsidR="00AA69CE">
        <w:rPr>
          <w:lang w:val="fr-FR"/>
        </w:rPr>
        <w:t>’</w:t>
      </w:r>
      <w:r w:rsidRPr="00325182">
        <w:rPr>
          <w:lang w:val="fr-FR"/>
        </w:rPr>
        <w:t xml:space="preserve">abord déclaré que la conversation mentionnée supra avait eu lieu après que le Service </w:t>
      </w:r>
      <w:r>
        <w:rPr>
          <w:lang w:val="fr-FR"/>
        </w:rPr>
        <w:t xml:space="preserve">danois </w:t>
      </w:r>
      <w:r w:rsidRPr="00325182">
        <w:rPr>
          <w:lang w:val="fr-FR"/>
        </w:rPr>
        <w:t>de l</w:t>
      </w:r>
      <w:r w:rsidR="00AA69CE">
        <w:rPr>
          <w:lang w:val="fr-FR"/>
        </w:rPr>
        <w:t>’</w:t>
      </w:r>
      <w:r w:rsidRPr="00325182">
        <w:rPr>
          <w:lang w:val="fr-FR"/>
        </w:rPr>
        <w:t>immigration eut rejeté sa demande, mais il a ensuite affirmé qu</w:t>
      </w:r>
      <w:r w:rsidR="00AA69CE">
        <w:rPr>
          <w:lang w:val="fr-FR"/>
        </w:rPr>
        <w:t>’</w:t>
      </w:r>
      <w:r w:rsidRPr="00325182">
        <w:rPr>
          <w:lang w:val="fr-FR"/>
        </w:rPr>
        <w:t>elle avait en fait eu lieu avant cette décision (voir par. 4.12</w:t>
      </w:r>
      <w:r>
        <w:rPr>
          <w:lang w:val="fr-FR"/>
        </w:rPr>
        <w:t xml:space="preserve">). </w:t>
      </w:r>
      <w:r w:rsidRPr="00325182">
        <w:rPr>
          <w:lang w:val="fr-FR"/>
        </w:rPr>
        <w:t xml:space="preserve">Le Comité note également que la majorité des membres de la Commission </w:t>
      </w:r>
      <w:r w:rsidRPr="003D3C70">
        <w:rPr>
          <w:lang w:val="fr-FR"/>
        </w:rPr>
        <w:t>a estimé qu</w:t>
      </w:r>
      <w:r w:rsidR="00AA69CE">
        <w:rPr>
          <w:lang w:val="fr-FR"/>
        </w:rPr>
        <w:t>’</w:t>
      </w:r>
      <w:r w:rsidRPr="003D3C70">
        <w:rPr>
          <w:lang w:val="fr-FR"/>
        </w:rPr>
        <w:t>il existait des incohérences dans les déclarations de l</w:t>
      </w:r>
      <w:r w:rsidR="00AA69CE">
        <w:rPr>
          <w:lang w:val="fr-FR"/>
        </w:rPr>
        <w:t>’</w:t>
      </w:r>
      <w:r w:rsidRPr="003D3C70">
        <w:rPr>
          <w:lang w:val="fr-FR"/>
        </w:rPr>
        <w:t xml:space="preserve">auteur </w:t>
      </w:r>
      <w:r>
        <w:rPr>
          <w:lang w:val="fr-FR"/>
        </w:rPr>
        <w:t xml:space="preserve">concernant </w:t>
      </w:r>
      <w:r w:rsidRPr="003D3C70">
        <w:rPr>
          <w:lang w:val="fr-FR"/>
        </w:rPr>
        <w:t xml:space="preserve">la </w:t>
      </w:r>
      <w:r>
        <w:rPr>
          <w:lang w:val="fr-FR"/>
        </w:rPr>
        <w:t xml:space="preserve">réaction de </w:t>
      </w:r>
      <w:r w:rsidRPr="003D3C70">
        <w:rPr>
          <w:lang w:val="fr-FR"/>
        </w:rPr>
        <w:t xml:space="preserve">sa famille à sa conversion et </w:t>
      </w:r>
      <w:r>
        <w:rPr>
          <w:lang w:val="fr-FR"/>
        </w:rPr>
        <w:t xml:space="preserve">la date </w:t>
      </w:r>
      <w:r w:rsidRPr="003D3C70">
        <w:rPr>
          <w:lang w:val="fr-FR"/>
        </w:rPr>
        <w:t>de sa première rencontre avec Z.</w:t>
      </w:r>
      <w:r>
        <w:rPr>
          <w:lang w:val="fr-FR"/>
        </w:rPr>
        <w:t> </w:t>
      </w:r>
      <w:r w:rsidRPr="003D3C70">
        <w:rPr>
          <w:lang w:val="fr-FR"/>
        </w:rPr>
        <w:t xml:space="preserve">A. </w:t>
      </w:r>
      <w:r w:rsidRPr="005D2A2E">
        <w:rPr>
          <w:lang w:val="fr-FR"/>
        </w:rPr>
        <w:t>Le Comité note en</w:t>
      </w:r>
      <w:r>
        <w:rPr>
          <w:lang w:val="fr-FR"/>
        </w:rPr>
        <w:t xml:space="preserve"> outre</w:t>
      </w:r>
      <w:r w:rsidRPr="005D2A2E">
        <w:rPr>
          <w:lang w:val="fr-FR"/>
        </w:rPr>
        <w:t xml:space="preserve"> que lorsqu</w:t>
      </w:r>
      <w:r w:rsidR="00AA69CE">
        <w:rPr>
          <w:lang w:val="fr-FR"/>
        </w:rPr>
        <w:t>’</w:t>
      </w:r>
      <w:r w:rsidRPr="005D2A2E">
        <w:rPr>
          <w:lang w:val="fr-FR"/>
        </w:rPr>
        <w:t>elle a été informée de l</w:t>
      </w:r>
      <w:r w:rsidR="00AA69CE">
        <w:rPr>
          <w:lang w:val="fr-FR"/>
        </w:rPr>
        <w:t>’</w:t>
      </w:r>
      <w:r w:rsidRPr="005D2A2E">
        <w:rPr>
          <w:lang w:val="fr-FR"/>
        </w:rPr>
        <w:t>existence d</w:t>
      </w:r>
      <w:r w:rsidR="00AA69CE">
        <w:rPr>
          <w:lang w:val="fr-FR"/>
        </w:rPr>
        <w:t>’</w:t>
      </w:r>
      <w:r w:rsidRPr="005D2A2E">
        <w:rPr>
          <w:lang w:val="fr-FR"/>
        </w:rPr>
        <w:t xml:space="preserve">un nouveau </w:t>
      </w:r>
      <w:r w:rsidRPr="00604317">
        <w:rPr>
          <w:lang w:val="fr-FR"/>
        </w:rPr>
        <w:t>motif de demande d</w:t>
      </w:r>
      <w:r w:rsidR="00AA69CE">
        <w:rPr>
          <w:lang w:val="fr-FR"/>
        </w:rPr>
        <w:t>’</w:t>
      </w:r>
      <w:r w:rsidRPr="00604317">
        <w:rPr>
          <w:lang w:val="fr-FR"/>
        </w:rPr>
        <w:t>asile fondé sur la conversion de l</w:t>
      </w:r>
      <w:r w:rsidR="00AA69CE">
        <w:rPr>
          <w:lang w:val="fr-FR"/>
        </w:rPr>
        <w:t>’</w:t>
      </w:r>
      <w:r w:rsidRPr="00604317">
        <w:rPr>
          <w:lang w:val="fr-FR"/>
        </w:rPr>
        <w:t>auteur, la Commission de recours des réfugiés a décidé de renvoyer l</w:t>
      </w:r>
      <w:r w:rsidR="00AA69CE">
        <w:rPr>
          <w:lang w:val="fr-FR"/>
        </w:rPr>
        <w:t>’</w:t>
      </w:r>
      <w:r w:rsidRPr="00604317">
        <w:rPr>
          <w:lang w:val="fr-FR"/>
        </w:rPr>
        <w:t>affaire au Service de l</w:t>
      </w:r>
      <w:r w:rsidR="00AA69CE">
        <w:rPr>
          <w:lang w:val="fr-FR"/>
        </w:rPr>
        <w:t>’</w:t>
      </w:r>
      <w:r w:rsidRPr="00604317">
        <w:rPr>
          <w:lang w:val="fr-FR"/>
        </w:rPr>
        <w:t>immigration pour réexamen, permettant ainsi que le nouveau motif soulevé par l</w:t>
      </w:r>
      <w:r w:rsidR="00AA69CE">
        <w:rPr>
          <w:lang w:val="fr-FR"/>
        </w:rPr>
        <w:t>’</w:t>
      </w:r>
      <w:r w:rsidRPr="00604317">
        <w:rPr>
          <w:lang w:val="fr-FR"/>
        </w:rPr>
        <w:t>auteur soit évalué, comme il e</w:t>
      </w:r>
      <w:r w:rsidRPr="00F8557F">
        <w:rPr>
          <w:lang w:val="fr-FR"/>
        </w:rPr>
        <w:t>st habituel pour les questions d</w:t>
      </w:r>
      <w:r w:rsidR="00AA69CE">
        <w:rPr>
          <w:lang w:val="fr-FR"/>
        </w:rPr>
        <w:t>’</w:t>
      </w:r>
      <w:r w:rsidRPr="00F8557F">
        <w:rPr>
          <w:lang w:val="fr-FR"/>
        </w:rPr>
        <w:t>asile, par les deux degrés de juridiction ordinaires et que la question soit analysée en détail dans les décisions adoptées.</w:t>
      </w:r>
    </w:p>
    <w:p w:rsidR="00685027" w:rsidRPr="003D3C70" w:rsidRDefault="00685027" w:rsidP="00685027">
      <w:pPr>
        <w:pStyle w:val="SingleTxtG"/>
        <w:rPr>
          <w:lang w:val="fr-FR"/>
        </w:rPr>
      </w:pPr>
      <w:r w:rsidRPr="003D3C70">
        <w:rPr>
          <w:lang w:val="fr-FR"/>
        </w:rPr>
        <w:t>8.5</w:t>
      </w:r>
      <w:r w:rsidRPr="003D3C70">
        <w:rPr>
          <w:lang w:val="fr-FR"/>
        </w:rPr>
        <w:tab/>
        <w:t>Le Comité considère que lorsqu</w:t>
      </w:r>
      <w:r w:rsidR="00AA69CE">
        <w:rPr>
          <w:lang w:val="fr-FR"/>
        </w:rPr>
        <w:t>’</w:t>
      </w:r>
      <w:r w:rsidRPr="003D3C70">
        <w:rPr>
          <w:lang w:val="fr-FR"/>
        </w:rPr>
        <w:t>un demandeur d</w:t>
      </w:r>
      <w:r w:rsidR="00AA69CE">
        <w:rPr>
          <w:lang w:val="fr-FR"/>
        </w:rPr>
        <w:t>’</w:t>
      </w:r>
      <w:r w:rsidRPr="003D3C70">
        <w:rPr>
          <w:lang w:val="fr-FR"/>
        </w:rPr>
        <w:t>asile affirme s</w:t>
      </w:r>
      <w:r w:rsidR="00AA69CE">
        <w:rPr>
          <w:lang w:val="fr-FR"/>
        </w:rPr>
        <w:t>’</w:t>
      </w:r>
      <w:r w:rsidRPr="003D3C70">
        <w:rPr>
          <w:lang w:val="fr-FR"/>
        </w:rPr>
        <w:t>être converti à une autre religion après le rejet de sa demande d</w:t>
      </w:r>
      <w:r w:rsidR="00AA69CE">
        <w:rPr>
          <w:lang w:val="fr-FR"/>
        </w:rPr>
        <w:t>’</w:t>
      </w:r>
      <w:r w:rsidRPr="003D3C70">
        <w:rPr>
          <w:lang w:val="fr-FR"/>
        </w:rPr>
        <w:t>asile initiale dans le pays d</w:t>
      </w:r>
      <w:r w:rsidR="00AA69CE">
        <w:rPr>
          <w:lang w:val="fr-FR"/>
        </w:rPr>
        <w:t>’</w:t>
      </w:r>
      <w:r w:rsidRPr="003D3C70">
        <w:rPr>
          <w:lang w:val="fr-FR"/>
        </w:rPr>
        <w:t xml:space="preserve">asile, il est raisonnable que les autorités </w:t>
      </w:r>
      <w:r w:rsidRPr="005D2A2E">
        <w:rPr>
          <w:lang w:val="fr-FR"/>
        </w:rPr>
        <w:t xml:space="preserve">procèdent à un examen approfondi des circonstances de la </w:t>
      </w:r>
      <w:r w:rsidRPr="003D3C70">
        <w:rPr>
          <w:lang w:val="fr-FR"/>
        </w:rPr>
        <w:t>conversion</w:t>
      </w:r>
      <w:r w:rsidRPr="007D575F">
        <w:rPr>
          <w:rStyle w:val="Appelnotedebasdep"/>
        </w:rPr>
        <w:footnoteReference w:id="33"/>
      </w:r>
      <w:r w:rsidRPr="005D2A2E">
        <w:rPr>
          <w:lang w:val="fr-FR"/>
        </w:rPr>
        <w:t>.</w:t>
      </w:r>
      <w:r w:rsidRPr="003D3C70">
        <w:rPr>
          <w:lang w:val="fr-FR"/>
        </w:rPr>
        <w:t xml:space="preserve"> </w:t>
      </w:r>
      <w:r w:rsidRPr="005D2A2E">
        <w:rPr>
          <w:lang w:val="fr-FR"/>
        </w:rPr>
        <w:t>Le critère reste cependant celui de savoir si</w:t>
      </w:r>
      <w:r w:rsidRPr="003D3C70">
        <w:rPr>
          <w:lang w:val="fr-FR"/>
        </w:rPr>
        <w:t xml:space="preserve">, </w:t>
      </w:r>
      <w:r w:rsidRPr="005D2A2E">
        <w:rPr>
          <w:lang w:val="fr-FR"/>
        </w:rPr>
        <w:t xml:space="preserve">indépendamment de la sincérité de la </w:t>
      </w:r>
      <w:r w:rsidRPr="003D3C70">
        <w:rPr>
          <w:lang w:val="fr-FR"/>
        </w:rPr>
        <w:t xml:space="preserve">conversion, </w:t>
      </w:r>
      <w:r w:rsidRPr="005D2A2E">
        <w:rPr>
          <w:lang w:val="fr-FR"/>
        </w:rPr>
        <w:t>il y a des motifs sérieux de croire qu</w:t>
      </w:r>
      <w:r w:rsidR="00AA69CE">
        <w:rPr>
          <w:lang w:val="fr-FR"/>
        </w:rPr>
        <w:t>’</w:t>
      </w:r>
      <w:r w:rsidRPr="005D2A2E">
        <w:rPr>
          <w:lang w:val="fr-FR"/>
        </w:rPr>
        <w:t xml:space="preserve">une telle </w:t>
      </w:r>
      <w:r w:rsidRPr="003D3C70">
        <w:rPr>
          <w:lang w:val="fr-FR"/>
        </w:rPr>
        <w:t xml:space="preserve">conversion </w:t>
      </w:r>
      <w:r w:rsidRPr="005D2A2E">
        <w:rPr>
          <w:lang w:val="fr-FR"/>
        </w:rPr>
        <w:t>peut avoir des conséquences négatives graves dans le pays d</w:t>
      </w:r>
      <w:r w:rsidR="00AA69CE">
        <w:rPr>
          <w:lang w:val="fr-FR"/>
        </w:rPr>
        <w:t>’</w:t>
      </w:r>
      <w:r w:rsidRPr="005D2A2E">
        <w:rPr>
          <w:lang w:val="fr-FR"/>
        </w:rPr>
        <w:t>origine</w:t>
      </w:r>
      <w:r w:rsidRPr="00325182">
        <w:rPr>
          <w:lang w:val="fr-FR"/>
        </w:rPr>
        <w:t xml:space="preserve">, de nature à créer un risque réel de préjudice irréparable tel que celui envisagé par les </w:t>
      </w:r>
      <w:r>
        <w:rPr>
          <w:lang w:val="fr-FR"/>
        </w:rPr>
        <w:t>articles </w:t>
      </w:r>
      <w:r w:rsidRPr="003D3C70">
        <w:rPr>
          <w:lang w:val="fr-FR"/>
        </w:rPr>
        <w:t xml:space="preserve">6 </w:t>
      </w:r>
      <w:r w:rsidRPr="005D2A2E">
        <w:rPr>
          <w:lang w:val="fr-FR"/>
        </w:rPr>
        <w:t xml:space="preserve">et </w:t>
      </w:r>
      <w:r w:rsidRPr="003D3C70">
        <w:rPr>
          <w:lang w:val="fr-FR"/>
        </w:rPr>
        <w:t xml:space="preserve">7 </w:t>
      </w:r>
      <w:r w:rsidRPr="005D2A2E">
        <w:rPr>
          <w:lang w:val="fr-FR"/>
        </w:rPr>
        <w:t>du Pacte</w:t>
      </w:r>
      <w:r w:rsidRPr="003D3C70">
        <w:rPr>
          <w:lang w:val="fr-FR"/>
        </w:rPr>
        <w:t xml:space="preserve">. </w:t>
      </w:r>
      <w:r w:rsidRPr="005D2A2E">
        <w:rPr>
          <w:lang w:val="fr-FR"/>
        </w:rPr>
        <w:t>En conséquence, même lorsqu</w:t>
      </w:r>
      <w:r w:rsidR="00AA69CE">
        <w:rPr>
          <w:lang w:val="fr-FR"/>
        </w:rPr>
        <w:t>’</w:t>
      </w:r>
      <w:r w:rsidRPr="005D2A2E">
        <w:rPr>
          <w:lang w:val="fr-FR"/>
        </w:rPr>
        <w:t xml:space="preserve">elles concluent que la </w:t>
      </w:r>
      <w:r w:rsidRPr="003D3C70">
        <w:rPr>
          <w:lang w:val="fr-FR"/>
        </w:rPr>
        <w:t xml:space="preserve">conversion </w:t>
      </w:r>
      <w:r w:rsidRPr="005D2A2E">
        <w:rPr>
          <w:lang w:val="fr-FR"/>
        </w:rPr>
        <w:t>dont il est fait état n</w:t>
      </w:r>
      <w:r w:rsidR="00AA69CE">
        <w:rPr>
          <w:lang w:val="fr-FR"/>
        </w:rPr>
        <w:t>’</w:t>
      </w:r>
      <w:r w:rsidRPr="005D2A2E">
        <w:rPr>
          <w:lang w:val="fr-FR"/>
        </w:rPr>
        <w:t>est pas sincère</w:t>
      </w:r>
      <w:r w:rsidRPr="003D3C70">
        <w:rPr>
          <w:lang w:val="fr-FR"/>
        </w:rPr>
        <w:t xml:space="preserve">, </w:t>
      </w:r>
      <w:r w:rsidRPr="005D2A2E">
        <w:rPr>
          <w:lang w:val="fr-FR"/>
        </w:rPr>
        <w:t>les autorités devraient évaluer si, dans les circonstances de l</w:t>
      </w:r>
      <w:r w:rsidR="00AA69CE">
        <w:rPr>
          <w:lang w:val="fr-FR"/>
        </w:rPr>
        <w:t>’</w:t>
      </w:r>
      <w:r w:rsidRPr="005D2A2E">
        <w:rPr>
          <w:lang w:val="fr-FR"/>
        </w:rPr>
        <w:t>affaire</w:t>
      </w:r>
      <w:r w:rsidRPr="003D3C70">
        <w:rPr>
          <w:lang w:val="fr-FR"/>
        </w:rPr>
        <w:t xml:space="preserve">, </w:t>
      </w:r>
      <w:r w:rsidRPr="005D2A2E">
        <w:rPr>
          <w:lang w:val="fr-FR"/>
        </w:rPr>
        <w:t>le comportement du demandeur d</w:t>
      </w:r>
      <w:r w:rsidR="00AA69CE">
        <w:rPr>
          <w:lang w:val="fr-FR"/>
        </w:rPr>
        <w:t>’</w:t>
      </w:r>
      <w:r w:rsidRPr="00325182">
        <w:rPr>
          <w:lang w:val="fr-FR"/>
        </w:rPr>
        <w:t>asile et les activités auxquelles il s</w:t>
      </w:r>
      <w:r w:rsidR="00AA69CE">
        <w:rPr>
          <w:lang w:val="fr-FR"/>
        </w:rPr>
        <w:t>’</w:t>
      </w:r>
      <w:r w:rsidRPr="00325182">
        <w:rPr>
          <w:lang w:val="fr-FR"/>
        </w:rPr>
        <w:t>est livré en lien avec sa conversion ou pour la justifier, notamment en fréquentant une église</w:t>
      </w:r>
      <w:r w:rsidRPr="003D3C70">
        <w:rPr>
          <w:lang w:val="fr-FR"/>
        </w:rPr>
        <w:t xml:space="preserve">, </w:t>
      </w:r>
      <w:r w:rsidRPr="005D2A2E">
        <w:rPr>
          <w:lang w:val="fr-FR"/>
        </w:rPr>
        <w:t>en étant baptisé</w:t>
      </w:r>
      <w:r>
        <w:rPr>
          <w:lang w:val="fr-FR"/>
        </w:rPr>
        <w:t xml:space="preserve"> ou</w:t>
      </w:r>
      <w:r w:rsidRPr="005D2A2E">
        <w:rPr>
          <w:lang w:val="fr-FR"/>
        </w:rPr>
        <w:t xml:space="preserve"> en faisant du prosélytisme</w:t>
      </w:r>
      <w:r w:rsidRPr="003D3C70">
        <w:rPr>
          <w:lang w:val="fr-FR"/>
        </w:rPr>
        <w:t xml:space="preserve">, </w:t>
      </w:r>
      <w:r w:rsidRPr="005D2A2E">
        <w:rPr>
          <w:lang w:val="fr-FR"/>
        </w:rPr>
        <w:t>pourraient avoir des conséquences négatives graves dans le pays d</w:t>
      </w:r>
      <w:r w:rsidR="00AA69CE">
        <w:rPr>
          <w:lang w:val="fr-FR"/>
        </w:rPr>
        <w:t>’</w:t>
      </w:r>
      <w:r w:rsidRPr="005D2A2E">
        <w:rPr>
          <w:lang w:val="fr-FR"/>
        </w:rPr>
        <w:t>origine, de nature à l</w:t>
      </w:r>
      <w:r w:rsidR="00AA69CE">
        <w:rPr>
          <w:lang w:val="fr-FR"/>
        </w:rPr>
        <w:t>’</w:t>
      </w:r>
      <w:r w:rsidRPr="00DD0137">
        <w:rPr>
          <w:lang w:val="fr-FR"/>
        </w:rPr>
        <w:t xml:space="preserve">exposer </w:t>
      </w:r>
      <w:r w:rsidRPr="007302A2">
        <w:rPr>
          <w:lang w:val="fr-FR"/>
        </w:rPr>
        <w:t>à un risque de préjudice irréparable</w:t>
      </w:r>
      <w:r w:rsidRPr="007D575F">
        <w:rPr>
          <w:rStyle w:val="Appelnotedebasdep"/>
        </w:rPr>
        <w:footnoteReference w:id="34"/>
      </w:r>
      <w:r w:rsidRPr="005D2A2E">
        <w:rPr>
          <w:lang w:val="fr-FR"/>
        </w:rPr>
        <w:t>.</w:t>
      </w:r>
    </w:p>
    <w:p w:rsidR="00685027" w:rsidRPr="003D3C70" w:rsidRDefault="00685027" w:rsidP="00685027">
      <w:pPr>
        <w:pStyle w:val="SingleTxtG"/>
        <w:tabs>
          <w:tab w:val="left" w:pos="1701"/>
        </w:tabs>
        <w:rPr>
          <w:lang w:val="fr-FR"/>
        </w:rPr>
      </w:pPr>
      <w:r w:rsidRPr="003D3C70">
        <w:rPr>
          <w:lang w:val="fr-FR"/>
        </w:rPr>
        <w:t>8.6</w:t>
      </w:r>
      <w:r>
        <w:rPr>
          <w:lang w:val="fr-FR"/>
        </w:rPr>
        <w:tab/>
      </w:r>
      <w:r w:rsidRPr="005D2A2E">
        <w:rPr>
          <w:lang w:val="fr-FR"/>
        </w:rPr>
        <w:t>En l</w:t>
      </w:r>
      <w:r w:rsidR="00AA69CE">
        <w:rPr>
          <w:lang w:val="fr-FR"/>
        </w:rPr>
        <w:t>’</w:t>
      </w:r>
      <w:r w:rsidRPr="005D2A2E">
        <w:rPr>
          <w:lang w:val="fr-FR"/>
        </w:rPr>
        <w:t>espèce, le Comité remarque qu</w:t>
      </w:r>
      <w:r w:rsidR="00AA69CE">
        <w:rPr>
          <w:lang w:val="fr-FR"/>
        </w:rPr>
        <w:t>’</w:t>
      </w:r>
      <w:r w:rsidRPr="005D2A2E">
        <w:rPr>
          <w:lang w:val="fr-FR"/>
        </w:rPr>
        <w:t>il n</w:t>
      </w:r>
      <w:r w:rsidR="00AA69CE">
        <w:rPr>
          <w:lang w:val="fr-FR"/>
        </w:rPr>
        <w:t>’</w:t>
      </w:r>
      <w:r w:rsidRPr="005D2A2E">
        <w:rPr>
          <w:lang w:val="fr-FR"/>
        </w:rPr>
        <w:t>est pas contesté qu</w:t>
      </w:r>
      <w:r w:rsidR="00AA69CE">
        <w:rPr>
          <w:lang w:val="fr-FR"/>
        </w:rPr>
        <w:t>’</w:t>
      </w:r>
      <w:r w:rsidRPr="005D2A2E">
        <w:rPr>
          <w:lang w:val="fr-FR"/>
        </w:rPr>
        <w:t xml:space="preserve">après avoir commencé à avoir des contacts par Skype avec un pasteur qui lui a </w:t>
      </w:r>
      <w:r>
        <w:rPr>
          <w:lang w:val="fr-FR"/>
        </w:rPr>
        <w:t>fait connaître la religion chrétienne</w:t>
      </w:r>
      <w:r w:rsidRPr="005D2A2E">
        <w:rPr>
          <w:lang w:val="fr-FR"/>
        </w:rPr>
        <w:t>, l</w:t>
      </w:r>
      <w:r w:rsidR="00AA69CE">
        <w:rPr>
          <w:lang w:val="fr-FR"/>
        </w:rPr>
        <w:t>’</w:t>
      </w:r>
      <w:r w:rsidRPr="005D2A2E">
        <w:rPr>
          <w:lang w:val="fr-FR"/>
        </w:rPr>
        <w:t xml:space="preserve">auteur a </w:t>
      </w:r>
      <w:r>
        <w:rPr>
          <w:lang w:val="fr-FR"/>
        </w:rPr>
        <w:t>été baptisé le 8 </w:t>
      </w:r>
      <w:r w:rsidRPr="005D2A2E">
        <w:rPr>
          <w:lang w:val="fr-FR"/>
        </w:rPr>
        <w:t>avril 2013,</w:t>
      </w:r>
      <w:r w:rsidRPr="00A119F7">
        <w:rPr>
          <w:lang w:val="fr-FR"/>
        </w:rPr>
        <w:t xml:space="preserve"> qu</w:t>
      </w:r>
      <w:r w:rsidR="00AA69CE">
        <w:rPr>
          <w:lang w:val="fr-FR"/>
        </w:rPr>
        <w:t>’</w:t>
      </w:r>
      <w:r w:rsidRPr="00A119F7">
        <w:rPr>
          <w:lang w:val="fr-FR"/>
        </w:rPr>
        <w:t>il participe activement aux activités de la paroisse</w:t>
      </w:r>
      <w:r>
        <w:rPr>
          <w:lang w:val="fr-FR"/>
        </w:rPr>
        <w:t xml:space="preserve"> et qu</w:t>
      </w:r>
      <w:r w:rsidR="00AA69CE">
        <w:rPr>
          <w:lang w:val="fr-FR"/>
        </w:rPr>
        <w:t>’</w:t>
      </w:r>
      <w:r>
        <w:rPr>
          <w:lang w:val="fr-FR"/>
        </w:rPr>
        <w:t>il a informé sa famille de sa conversion</w:t>
      </w:r>
      <w:r w:rsidRPr="00A119F7">
        <w:rPr>
          <w:lang w:val="fr-FR"/>
        </w:rPr>
        <w:t>. L</w:t>
      </w:r>
      <w:r>
        <w:rPr>
          <w:lang w:val="fr-FR"/>
        </w:rPr>
        <w:t>a majorité d</w:t>
      </w:r>
      <w:r w:rsidRPr="00A119F7">
        <w:rPr>
          <w:lang w:val="fr-FR"/>
        </w:rPr>
        <w:t xml:space="preserve">es membres de la Commission </w:t>
      </w:r>
      <w:r>
        <w:rPr>
          <w:lang w:val="fr-FR"/>
        </w:rPr>
        <w:t>a</w:t>
      </w:r>
      <w:r w:rsidRPr="00A119F7">
        <w:rPr>
          <w:lang w:val="fr-FR"/>
        </w:rPr>
        <w:t xml:space="preserve"> également admis que l</w:t>
      </w:r>
      <w:r w:rsidR="00AA69CE">
        <w:rPr>
          <w:lang w:val="fr-FR"/>
        </w:rPr>
        <w:t>’</w:t>
      </w:r>
      <w:r w:rsidRPr="00A119F7">
        <w:rPr>
          <w:lang w:val="fr-FR"/>
        </w:rPr>
        <w:t xml:space="preserve">auteur </w:t>
      </w:r>
      <w:r>
        <w:rPr>
          <w:lang w:val="fr-FR"/>
        </w:rPr>
        <w:t>connaissait</w:t>
      </w:r>
      <w:r w:rsidRPr="00A119F7">
        <w:rPr>
          <w:lang w:val="fr-FR"/>
        </w:rPr>
        <w:t xml:space="preserve"> la foi chrétienne. Cependant, le Comité note que </w:t>
      </w:r>
      <w:r>
        <w:rPr>
          <w:lang w:val="fr-FR"/>
        </w:rPr>
        <w:t>l</w:t>
      </w:r>
      <w:r w:rsidRPr="00A119F7">
        <w:rPr>
          <w:lang w:val="fr-FR"/>
        </w:rPr>
        <w:t>es membres de la Commission</w:t>
      </w:r>
      <w:r>
        <w:rPr>
          <w:lang w:val="fr-FR"/>
        </w:rPr>
        <w:t xml:space="preserve"> ont en majorité</w:t>
      </w:r>
      <w:r w:rsidRPr="00A119F7">
        <w:rPr>
          <w:lang w:val="fr-FR"/>
        </w:rPr>
        <w:t xml:space="preserve"> </w:t>
      </w:r>
      <w:r>
        <w:rPr>
          <w:lang w:val="fr-FR"/>
        </w:rPr>
        <w:t>accordé</w:t>
      </w:r>
      <w:r w:rsidRPr="00A119F7">
        <w:rPr>
          <w:lang w:val="fr-FR"/>
        </w:rPr>
        <w:t xml:space="preserve"> une </w:t>
      </w:r>
      <w:r>
        <w:rPr>
          <w:lang w:val="fr-FR"/>
        </w:rPr>
        <w:t>place</w:t>
      </w:r>
      <w:r w:rsidRPr="00A119F7">
        <w:rPr>
          <w:lang w:val="fr-FR"/>
        </w:rPr>
        <w:t xml:space="preserve"> centrale, dans leur raisonnement, à la </w:t>
      </w:r>
      <w:r>
        <w:rPr>
          <w:lang w:val="fr-FR"/>
        </w:rPr>
        <w:t xml:space="preserve">question de la </w:t>
      </w:r>
      <w:r w:rsidRPr="00A119F7">
        <w:rPr>
          <w:lang w:val="fr-FR"/>
        </w:rPr>
        <w:t xml:space="preserve">sincérité de la </w:t>
      </w:r>
      <w:r w:rsidRPr="003D3C70">
        <w:rPr>
          <w:lang w:val="fr-FR"/>
        </w:rPr>
        <w:t xml:space="preserve">conversion, et </w:t>
      </w:r>
      <w:r>
        <w:rPr>
          <w:lang w:val="fr-FR"/>
        </w:rPr>
        <w:t xml:space="preserve">ont </w:t>
      </w:r>
      <w:r w:rsidRPr="003D3C70">
        <w:rPr>
          <w:lang w:val="fr-FR"/>
        </w:rPr>
        <w:t>conclu que l</w:t>
      </w:r>
      <w:r w:rsidR="00AA69CE">
        <w:rPr>
          <w:lang w:val="fr-FR"/>
        </w:rPr>
        <w:t>’</w:t>
      </w:r>
      <w:r w:rsidRPr="003D3C70">
        <w:rPr>
          <w:lang w:val="fr-FR"/>
        </w:rPr>
        <w:t>auteur n</w:t>
      </w:r>
      <w:r w:rsidR="00AA69CE">
        <w:rPr>
          <w:lang w:val="fr-FR"/>
        </w:rPr>
        <w:t>’</w:t>
      </w:r>
      <w:r w:rsidRPr="003D3C70">
        <w:rPr>
          <w:lang w:val="fr-FR"/>
        </w:rPr>
        <w:t xml:space="preserve">avait pas suffisamment établi </w:t>
      </w:r>
      <w:r>
        <w:rPr>
          <w:lang w:val="fr-FR"/>
        </w:rPr>
        <w:t>que sa conversion était réelle</w:t>
      </w:r>
      <w:r w:rsidRPr="003D3C70">
        <w:rPr>
          <w:lang w:val="fr-FR"/>
        </w:rPr>
        <w:t xml:space="preserve">, </w:t>
      </w:r>
      <w:r>
        <w:rPr>
          <w:lang w:val="fr-FR"/>
        </w:rPr>
        <w:t xml:space="preserve">en raison </w:t>
      </w:r>
      <w:r w:rsidRPr="003D3C70">
        <w:rPr>
          <w:lang w:val="fr-FR"/>
        </w:rPr>
        <w:t xml:space="preserve">des incohérences que </w:t>
      </w:r>
      <w:r>
        <w:rPr>
          <w:lang w:val="fr-FR"/>
        </w:rPr>
        <w:t>présentaient s</w:t>
      </w:r>
      <w:r w:rsidRPr="003D3C70">
        <w:rPr>
          <w:lang w:val="fr-FR"/>
        </w:rPr>
        <w:t xml:space="preserve">es </w:t>
      </w:r>
      <w:r w:rsidRPr="005D2A2E">
        <w:rPr>
          <w:lang w:val="fr-FR"/>
        </w:rPr>
        <w:t>dé</w:t>
      </w:r>
      <w:r w:rsidRPr="003D3C70">
        <w:rPr>
          <w:lang w:val="fr-FR"/>
        </w:rPr>
        <w:t>clarations</w:t>
      </w:r>
      <w:r>
        <w:rPr>
          <w:lang w:val="fr-FR"/>
        </w:rPr>
        <w:t xml:space="preserve"> concernant</w:t>
      </w:r>
      <w:r w:rsidRPr="003D3C70">
        <w:rPr>
          <w:lang w:val="fr-FR"/>
        </w:rPr>
        <w:t xml:space="preserve"> notamment la date de sa première rencontre avec Z.</w:t>
      </w:r>
      <w:r>
        <w:rPr>
          <w:lang w:val="fr-FR"/>
        </w:rPr>
        <w:t> </w:t>
      </w:r>
      <w:r w:rsidRPr="003D3C70">
        <w:rPr>
          <w:lang w:val="fr-FR"/>
        </w:rPr>
        <w:t xml:space="preserve">A., </w:t>
      </w:r>
      <w:r>
        <w:rPr>
          <w:lang w:val="fr-FR"/>
        </w:rPr>
        <w:t xml:space="preserve">le </w:t>
      </w:r>
      <w:r w:rsidRPr="003D3C70">
        <w:rPr>
          <w:lang w:val="fr-FR"/>
        </w:rPr>
        <w:t>moment où lui-même s</w:t>
      </w:r>
      <w:r w:rsidR="00AA69CE">
        <w:rPr>
          <w:lang w:val="fr-FR"/>
        </w:rPr>
        <w:t>’</w:t>
      </w:r>
      <w:r w:rsidRPr="003D3C70">
        <w:rPr>
          <w:lang w:val="fr-FR"/>
        </w:rPr>
        <w:t xml:space="preserve">était considéré comme converti et la </w:t>
      </w:r>
      <w:r>
        <w:rPr>
          <w:lang w:val="fr-FR"/>
        </w:rPr>
        <w:t xml:space="preserve">réaction de </w:t>
      </w:r>
      <w:r w:rsidRPr="003D3C70">
        <w:rPr>
          <w:lang w:val="fr-FR"/>
        </w:rPr>
        <w:t xml:space="preserve">sa famille à </w:t>
      </w:r>
      <w:r>
        <w:rPr>
          <w:lang w:val="fr-FR"/>
        </w:rPr>
        <w:t>l</w:t>
      </w:r>
      <w:r w:rsidRPr="003D3C70">
        <w:rPr>
          <w:lang w:val="fr-FR"/>
        </w:rPr>
        <w:t>a conversion.</w:t>
      </w:r>
    </w:p>
    <w:p w:rsidR="00685027" w:rsidRPr="003D3C70" w:rsidRDefault="00685027" w:rsidP="00685027">
      <w:pPr>
        <w:pStyle w:val="SingleTxtG"/>
        <w:tabs>
          <w:tab w:val="left" w:pos="1701"/>
        </w:tabs>
        <w:rPr>
          <w:lang w:val="fr-FR"/>
        </w:rPr>
      </w:pPr>
      <w:r w:rsidRPr="003D3C70">
        <w:rPr>
          <w:lang w:val="fr-FR"/>
        </w:rPr>
        <w:t>8.7</w:t>
      </w:r>
      <w:r w:rsidR="00B775F6">
        <w:rPr>
          <w:lang w:val="fr-FR"/>
        </w:rPr>
        <w:tab/>
      </w:r>
      <w:r w:rsidRPr="003D3C70">
        <w:rPr>
          <w:lang w:val="fr-FR"/>
        </w:rPr>
        <w:t>À cet égard, le Comité rappelle que les États parties devraient accorder l</w:t>
      </w:r>
      <w:r w:rsidR="00AA69CE">
        <w:rPr>
          <w:lang w:val="fr-FR"/>
        </w:rPr>
        <w:t>’</w:t>
      </w:r>
      <w:r w:rsidRPr="003D3C70">
        <w:rPr>
          <w:lang w:val="fr-FR"/>
        </w:rPr>
        <w:t>importance voulue au risque r</w:t>
      </w:r>
      <w:r>
        <w:rPr>
          <w:lang w:val="fr-FR"/>
        </w:rPr>
        <w:t>é</w:t>
      </w:r>
      <w:r w:rsidRPr="003D3C70">
        <w:rPr>
          <w:lang w:val="fr-FR"/>
        </w:rPr>
        <w:t xml:space="preserve">el et personnel </w:t>
      </w:r>
      <w:r>
        <w:rPr>
          <w:lang w:val="fr-FR"/>
        </w:rPr>
        <w:t>qu</w:t>
      </w:r>
      <w:r w:rsidR="00AA69CE">
        <w:rPr>
          <w:lang w:val="fr-FR"/>
        </w:rPr>
        <w:t>’</w:t>
      </w:r>
      <w:r>
        <w:rPr>
          <w:lang w:val="fr-FR"/>
        </w:rPr>
        <w:t>une personne peut courir si elle est expulsée, et considère que l</w:t>
      </w:r>
      <w:r w:rsidR="00AA69CE">
        <w:rPr>
          <w:lang w:val="fr-FR"/>
        </w:rPr>
        <w:t>’</w:t>
      </w:r>
      <w:r>
        <w:rPr>
          <w:lang w:val="fr-FR"/>
        </w:rPr>
        <w:t>État partie aurait dû effectuer une évaluation personnalisée du risque que l</w:t>
      </w:r>
      <w:r w:rsidR="00AA69CE">
        <w:rPr>
          <w:lang w:val="fr-FR"/>
        </w:rPr>
        <w:t>’</w:t>
      </w:r>
      <w:r>
        <w:rPr>
          <w:lang w:val="fr-FR"/>
        </w:rPr>
        <w:t>auteur courrait en République islamique d</w:t>
      </w:r>
      <w:r w:rsidR="00AA69CE">
        <w:rPr>
          <w:lang w:val="fr-FR"/>
        </w:rPr>
        <w:t>’</w:t>
      </w:r>
      <w:r>
        <w:rPr>
          <w:lang w:val="fr-FR"/>
        </w:rPr>
        <w:t>Iran s</w:t>
      </w:r>
      <w:r w:rsidR="00AA69CE">
        <w:rPr>
          <w:lang w:val="fr-FR"/>
        </w:rPr>
        <w:t>’</w:t>
      </w:r>
      <w:r>
        <w:rPr>
          <w:lang w:val="fr-FR"/>
        </w:rPr>
        <w:t>il était considéré comme un chrétien</w:t>
      </w:r>
      <w:r w:rsidRPr="003D3C70">
        <w:rPr>
          <w:lang w:val="fr-FR"/>
        </w:rPr>
        <w:t xml:space="preserve">, </w:t>
      </w:r>
      <w:r>
        <w:rPr>
          <w:lang w:val="fr-FR"/>
        </w:rPr>
        <w:t>plutôt que de faire reposer principalement son raisonnement sur des questions de dates contradictoires</w:t>
      </w:r>
      <w:r w:rsidRPr="003D3C70">
        <w:rPr>
          <w:lang w:val="fr-FR"/>
        </w:rPr>
        <w:t xml:space="preserve">. </w:t>
      </w:r>
      <w:r>
        <w:rPr>
          <w:lang w:val="fr-FR"/>
        </w:rPr>
        <w:t>Le Comité note en particulier que la Commission danoise de recours des réfugiés n</w:t>
      </w:r>
      <w:r w:rsidR="00AA69CE">
        <w:rPr>
          <w:lang w:val="fr-FR"/>
        </w:rPr>
        <w:t>’</w:t>
      </w:r>
      <w:r>
        <w:rPr>
          <w:lang w:val="fr-FR"/>
        </w:rPr>
        <w:t xml:space="preserve">a pas évalué si </w:t>
      </w:r>
      <w:r w:rsidRPr="005D2A2E">
        <w:rPr>
          <w:lang w:val="fr-FR"/>
        </w:rPr>
        <w:t>le comportement du demandeur d</w:t>
      </w:r>
      <w:r w:rsidR="00AA69CE">
        <w:rPr>
          <w:lang w:val="fr-FR"/>
        </w:rPr>
        <w:t>’</w:t>
      </w:r>
      <w:r w:rsidRPr="00325182">
        <w:rPr>
          <w:lang w:val="fr-FR"/>
        </w:rPr>
        <w:t>asile et les activités auxquelles il s</w:t>
      </w:r>
      <w:r w:rsidR="00AA69CE">
        <w:rPr>
          <w:lang w:val="fr-FR"/>
        </w:rPr>
        <w:t>’</w:t>
      </w:r>
      <w:r w:rsidRPr="00325182">
        <w:rPr>
          <w:lang w:val="fr-FR"/>
        </w:rPr>
        <w:t xml:space="preserve">est livré en lien avec sa conversion ou pour la justifier, </w:t>
      </w:r>
      <w:r>
        <w:rPr>
          <w:lang w:val="fr-FR"/>
        </w:rPr>
        <w:t>comme son baptême, sa participation active dans la paroisse, sa connaissance de la religion chrétienne et le fait qu</w:t>
      </w:r>
      <w:r w:rsidR="00AA69CE">
        <w:rPr>
          <w:lang w:val="fr-FR"/>
        </w:rPr>
        <w:t>’</w:t>
      </w:r>
      <w:r>
        <w:rPr>
          <w:lang w:val="fr-FR"/>
        </w:rPr>
        <w:t>il ait fait part de sa conversion à sa famille pouvaient avoir des conséquences négatives graves dans son pays d</w:t>
      </w:r>
      <w:r w:rsidR="00AA69CE">
        <w:rPr>
          <w:lang w:val="fr-FR"/>
        </w:rPr>
        <w:t>’</w:t>
      </w:r>
      <w:r>
        <w:rPr>
          <w:lang w:val="fr-FR"/>
        </w:rPr>
        <w:t>origine, de nature à créer un risque de préjudice irréparable</w:t>
      </w:r>
      <w:r w:rsidRPr="0064270C">
        <w:rPr>
          <w:rStyle w:val="Appelnotedebasdep"/>
          <w:lang w:val="en-US"/>
        </w:rPr>
        <w:footnoteReference w:id="35"/>
      </w:r>
      <w:r w:rsidRPr="003D3C70">
        <w:rPr>
          <w:lang w:val="fr-FR"/>
        </w:rPr>
        <w:t xml:space="preserve">. </w:t>
      </w:r>
      <w:r>
        <w:rPr>
          <w:lang w:val="fr-FR"/>
        </w:rPr>
        <w:t>Au vu de ce qui précède, le Comité considère que l</w:t>
      </w:r>
      <w:r w:rsidR="00AA69CE">
        <w:rPr>
          <w:lang w:val="fr-FR"/>
        </w:rPr>
        <w:t>’</w:t>
      </w:r>
      <w:r>
        <w:rPr>
          <w:lang w:val="fr-FR"/>
        </w:rPr>
        <w:t>État partie</w:t>
      </w:r>
      <w:r w:rsidRPr="003D3C70">
        <w:rPr>
          <w:lang w:val="fr-FR"/>
        </w:rPr>
        <w:t xml:space="preserve"> </w:t>
      </w:r>
      <w:r>
        <w:rPr>
          <w:lang w:val="fr-FR"/>
        </w:rPr>
        <w:t>n</w:t>
      </w:r>
      <w:r w:rsidR="00AA69CE">
        <w:rPr>
          <w:lang w:val="fr-FR"/>
        </w:rPr>
        <w:t>’</w:t>
      </w:r>
      <w:r>
        <w:rPr>
          <w:lang w:val="fr-FR"/>
        </w:rPr>
        <w:t>a pas correctement évalué le risque réel, personnel et prévisible auquel l</w:t>
      </w:r>
      <w:r w:rsidR="00AA69CE">
        <w:rPr>
          <w:lang w:val="fr-FR"/>
        </w:rPr>
        <w:t>’</w:t>
      </w:r>
      <w:r>
        <w:rPr>
          <w:lang w:val="fr-FR"/>
        </w:rPr>
        <w:t>auteur, en tant que converti, courrait en cas de retour en République islamique d</w:t>
      </w:r>
      <w:r w:rsidR="00AA69CE">
        <w:rPr>
          <w:lang w:val="fr-FR"/>
        </w:rPr>
        <w:t>’</w:t>
      </w:r>
      <w:r>
        <w:rPr>
          <w:lang w:val="fr-FR"/>
        </w:rPr>
        <w:t>Iran.</w:t>
      </w:r>
      <w:r w:rsidR="003D393D">
        <w:rPr>
          <w:lang w:val="fr-FR"/>
        </w:rPr>
        <w:t xml:space="preserve"> </w:t>
      </w:r>
      <w:r>
        <w:rPr>
          <w:lang w:val="fr-FR"/>
        </w:rPr>
        <w:t>En conséquence, le Comité considère que l</w:t>
      </w:r>
      <w:r w:rsidR="00AA69CE">
        <w:rPr>
          <w:lang w:val="fr-FR"/>
        </w:rPr>
        <w:t>’</w:t>
      </w:r>
      <w:r>
        <w:rPr>
          <w:lang w:val="fr-FR"/>
        </w:rPr>
        <w:t>État partie n</w:t>
      </w:r>
      <w:r w:rsidR="00AA69CE">
        <w:rPr>
          <w:lang w:val="fr-FR"/>
        </w:rPr>
        <w:t>’</w:t>
      </w:r>
      <w:r>
        <w:rPr>
          <w:lang w:val="fr-FR"/>
        </w:rPr>
        <w:t>a pas dûment pris en considération les conséquences qu</w:t>
      </w:r>
      <w:r w:rsidR="00AA69CE">
        <w:rPr>
          <w:lang w:val="fr-FR"/>
        </w:rPr>
        <w:t>’</w:t>
      </w:r>
      <w:r>
        <w:rPr>
          <w:lang w:val="fr-FR"/>
        </w:rPr>
        <w:t xml:space="preserve">aurait la </w:t>
      </w:r>
      <w:r w:rsidRPr="003D3C70">
        <w:rPr>
          <w:lang w:val="fr-FR"/>
        </w:rPr>
        <w:t xml:space="preserve">situation </w:t>
      </w:r>
      <w:r>
        <w:rPr>
          <w:lang w:val="fr-FR"/>
        </w:rPr>
        <w:t>personnelle de l</w:t>
      </w:r>
      <w:r w:rsidR="00AA69CE">
        <w:rPr>
          <w:lang w:val="fr-FR"/>
        </w:rPr>
        <w:t>’</w:t>
      </w:r>
      <w:r>
        <w:rPr>
          <w:lang w:val="fr-FR"/>
        </w:rPr>
        <w:t>auteur dans son pays d</w:t>
      </w:r>
      <w:r w:rsidR="00AA69CE">
        <w:rPr>
          <w:lang w:val="fr-FR"/>
        </w:rPr>
        <w:t>’</w:t>
      </w:r>
      <w:r>
        <w:rPr>
          <w:lang w:val="fr-FR"/>
        </w:rPr>
        <w:t>origine, et conclut que son expulsion vers la République islamique d</w:t>
      </w:r>
      <w:r w:rsidR="00AA69CE">
        <w:rPr>
          <w:lang w:val="fr-FR"/>
        </w:rPr>
        <w:t>’</w:t>
      </w:r>
      <w:r>
        <w:rPr>
          <w:lang w:val="fr-FR"/>
        </w:rPr>
        <w:t>Iran par l</w:t>
      </w:r>
      <w:r w:rsidR="00AA69CE">
        <w:rPr>
          <w:lang w:val="fr-FR"/>
        </w:rPr>
        <w:t>’</w:t>
      </w:r>
      <w:r>
        <w:rPr>
          <w:lang w:val="fr-FR"/>
        </w:rPr>
        <w:t xml:space="preserve">État partie constituerait une </w:t>
      </w:r>
      <w:r w:rsidRPr="003D3C70">
        <w:rPr>
          <w:lang w:val="fr-FR"/>
        </w:rPr>
        <w:t xml:space="preserve">violation </w:t>
      </w:r>
      <w:r>
        <w:rPr>
          <w:lang w:val="fr-FR"/>
        </w:rPr>
        <w:t>des articles </w:t>
      </w:r>
      <w:r w:rsidRPr="003D3C70">
        <w:rPr>
          <w:lang w:val="fr-FR"/>
        </w:rPr>
        <w:t xml:space="preserve">6 </w:t>
      </w:r>
      <w:r>
        <w:rPr>
          <w:lang w:val="fr-FR"/>
        </w:rPr>
        <w:t xml:space="preserve">et </w:t>
      </w:r>
      <w:r w:rsidRPr="003D3C70">
        <w:rPr>
          <w:lang w:val="fr-FR"/>
        </w:rPr>
        <w:t xml:space="preserve">7 </w:t>
      </w:r>
      <w:r>
        <w:rPr>
          <w:lang w:val="fr-FR"/>
        </w:rPr>
        <w:t>du Pacte</w:t>
      </w:r>
      <w:r w:rsidRPr="003D3C70">
        <w:rPr>
          <w:lang w:val="fr-FR"/>
        </w:rPr>
        <w:t>.</w:t>
      </w:r>
    </w:p>
    <w:p w:rsidR="00685027" w:rsidRPr="003D3C70" w:rsidRDefault="00685027" w:rsidP="00685027">
      <w:pPr>
        <w:pStyle w:val="SingleTxtG"/>
        <w:tabs>
          <w:tab w:val="left" w:pos="1701"/>
        </w:tabs>
        <w:rPr>
          <w:lang w:val="fr-FR"/>
        </w:rPr>
      </w:pPr>
      <w:r w:rsidRPr="003D3C70">
        <w:rPr>
          <w:lang w:val="fr-FR"/>
        </w:rPr>
        <w:t>9.</w:t>
      </w:r>
      <w:r w:rsidRPr="003D3C70">
        <w:rPr>
          <w:lang w:val="fr-FR"/>
        </w:rPr>
        <w:tab/>
      </w:r>
      <w:r>
        <w:rPr>
          <w:lang w:val="fr-FR"/>
        </w:rPr>
        <w:t>Le Comité des droits de l</w:t>
      </w:r>
      <w:r w:rsidR="00AA69CE">
        <w:rPr>
          <w:lang w:val="fr-FR"/>
        </w:rPr>
        <w:t>’</w:t>
      </w:r>
      <w:r>
        <w:rPr>
          <w:lang w:val="fr-FR"/>
        </w:rPr>
        <w:t>homme, agissant en vertu du paragraphe 4 de l</w:t>
      </w:r>
      <w:r w:rsidR="00AA69CE">
        <w:rPr>
          <w:lang w:val="fr-FR"/>
        </w:rPr>
        <w:t>’</w:t>
      </w:r>
      <w:r>
        <w:rPr>
          <w:lang w:val="fr-FR"/>
        </w:rPr>
        <w:t>article </w:t>
      </w:r>
      <w:r w:rsidRPr="003D3C70">
        <w:rPr>
          <w:lang w:val="fr-FR"/>
        </w:rPr>
        <w:t>5</w:t>
      </w:r>
      <w:r>
        <w:rPr>
          <w:lang w:val="fr-FR"/>
        </w:rPr>
        <w:t xml:space="preserve"> du Protocole facultatif</w:t>
      </w:r>
      <w:r w:rsidRPr="003D3C70">
        <w:rPr>
          <w:lang w:val="fr-FR"/>
        </w:rPr>
        <w:t xml:space="preserve">, </w:t>
      </w:r>
      <w:r>
        <w:rPr>
          <w:lang w:val="fr-FR"/>
        </w:rPr>
        <w:t>constate que l</w:t>
      </w:r>
      <w:r w:rsidR="00AA69CE">
        <w:rPr>
          <w:lang w:val="fr-FR"/>
        </w:rPr>
        <w:t>’</w:t>
      </w:r>
      <w:r>
        <w:rPr>
          <w:lang w:val="fr-FR"/>
        </w:rPr>
        <w:t>expulsion de l</w:t>
      </w:r>
      <w:r w:rsidR="00AA69CE">
        <w:rPr>
          <w:lang w:val="fr-FR"/>
        </w:rPr>
        <w:t>’</w:t>
      </w:r>
      <w:r>
        <w:rPr>
          <w:lang w:val="fr-FR"/>
        </w:rPr>
        <w:t>auteur vers la République islamique d</w:t>
      </w:r>
      <w:r w:rsidR="00AA69CE">
        <w:rPr>
          <w:lang w:val="fr-FR"/>
        </w:rPr>
        <w:t>’</w:t>
      </w:r>
      <w:r>
        <w:rPr>
          <w:lang w:val="fr-FR"/>
        </w:rPr>
        <w:t>Iran, s</w:t>
      </w:r>
      <w:r w:rsidR="00AA69CE">
        <w:rPr>
          <w:lang w:val="fr-FR"/>
        </w:rPr>
        <w:t>’</w:t>
      </w:r>
      <w:r>
        <w:rPr>
          <w:lang w:val="fr-FR"/>
        </w:rPr>
        <w:t>il y était procédé,</w:t>
      </w:r>
      <w:r w:rsidRPr="003D3C70">
        <w:rPr>
          <w:lang w:val="fr-FR"/>
        </w:rPr>
        <w:t xml:space="preserve"> </w:t>
      </w:r>
      <w:r>
        <w:rPr>
          <w:lang w:val="fr-FR"/>
        </w:rPr>
        <w:t>violerait les droits que l</w:t>
      </w:r>
      <w:r w:rsidR="00AA69CE">
        <w:rPr>
          <w:lang w:val="fr-FR"/>
        </w:rPr>
        <w:t>’</w:t>
      </w:r>
      <w:r>
        <w:rPr>
          <w:lang w:val="fr-FR"/>
        </w:rPr>
        <w:t>intéressé tient des articles </w:t>
      </w:r>
      <w:r w:rsidRPr="003D3C70">
        <w:rPr>
          <w:lang w:val="fr-FR"/>
        </w:rPr>
        <w:t xml:space="preserve">6 </w:t>
      </w:r>
      <w:r>
        <w:rPr>
          <w:lang w:val="fr-FR"/>
        </w:rPr>
        <w:t xml:space="preserve">et </w:t>
      </w:r>
      <w:r w:rsidRPr="003D3C70">
        <w:rPr>
          <w:lang w:val="fr-FR"/>
        </w:rPr>
        <w:t xml:space="preserve">7 </w:t>
      </w:r>
      <w:r>
        <w:rPr>
          <w:lang w:val="fr-FR"/>
        </w:rPr>
        <w:t>du Pacte</w:t>
      </w:r>
      <w:r w:rsidRPr="003D3C70">
        <w:rPr>
          <w:lang w:val="fr-FR"/>
        </w:rPr>
        <w:t>.</w:t>
      </w:r>
    </w:p>
    <w:p w:rsidR="00685027" w:rsidRPr="003D3C70" w:rsidRDefault="00685027" w:rsidP="00685027">
      <w:pPr>
        <w:pStyle w:val="SingleTxtG"/>
        <w:rPr>
          <w:lang w:val="fr-FR"/>
        </w:rPr>
      </w:pPr>
      <w:r w:rsidRPr="003D3C70">
        <w:rPr>
          <w:lang w:val="fr-FR"/>
        </w:rPr>
        <w:t>10.</w:t>
      </w:r>
      <w:r w:rsidRPr="003D3C70">
        <w:rPr>
          <w:lang w:val="fr-FR"/>
        </w:rPr>
        <w:tab/>
      </w:r>
      <w:r>
        <w:rPr>
          <w:lang w:val="fr-FR"/>
        </w:rPr>
        <w:t>Conformément au paragraphe 1 de l</w:t>
      </w:r>
      <w:r w:rsidR="00AA69CE">
        <w:rPr>
          <w:lang w:val="fr-FR"/>
        </w:rPr>
        <w:t>’</w:t>
      </w:r>
      <w:r>
        <w:rPr>
          <w:lang w:val="fr-FR"/>
        </w:rPr>
        <w:t>article </w:t>
      </w:r>
      <w:r w:rsidRPr="003D3C70">
        <w:rPr>
          <w:lang w:val="fr-FR"/>
        </w:rPr>
        <w:t>2</w:t>
      </w:r>
      <w:r>
        <w:rPr>
          <w:lang w:val="fr-FR"/>
        </w:rPr>
        <w:t xml:space="preserve"> du Pacte</w:t>
      </w:r>
      <w:r w:rsidRPr="003D3C70">
        <w:rPr>
          <w:lang w:val="fr-FR"/>
        </w:rPr>
        <w:t xml:space="preserve">, </w:t>
      </w:r>
      <w:r>
        <w:rPr>
          <w:lang w:val="fr-FR"/>
        </w:rPr>
        <w:t xml:space="preserve">qui dispose que les États </w:t>
      </w:r>
      <w:r w:rsidRPr="003D3C70">
        <w:rPr>
          <w:lang w:val="fr-FR"/>
        </w:rPr>
        <w:t xml:space="preserve">parties </w:t>
      </w:r>
      <w:r>
        <w:rPr>
          <w:lang w:val="fr-FR"/>
        </w:rPr>
        <w:t>s</w:t>
      </w:r>
      <w:r w:rsidR="00AA69CE">
        <w:rPr>
          <w:lang w:val="fr-FR"/>
        </w:rPr>
        <w:t>’</w:t>
      </w:r>
      <w:r>
        <w:rPr>
          <w:lang w:val="fr-FR"/>
        </w:rPr>
        <w:t>engagent à respecter et à garantir à tous les individus se trouvant sur leur territoire et relevant de leur juridiction les droits reconnus dans le Pacte</w:t>
      </w:r>
      <w:r w:rsidRPr="003D3C70">
        <w:rPr>
          <w:lang w:val="fr-FR"/>
        </w:rPr>
        <w:t xml:space="preserve">, </w:t>
      </w:r>
      <w:r>
        <w:rPr>
          <w:lang w:val="fr-FR"/>
        </w:rPr>
        <w:t>l</w:t>
      </w:r>
      <w:r w:rsidR="00AA69CE">
        <w:rPr>
          <w:lang w:val="fr-FR"/>
        </w:rPr>
        <w:t>’</w:t>
      </w:r>
      <w:r>
        <w:rPr>
          <w:lang w:val="fr-FR"/>
        </w:rPr>
        <w:t>État partie est tenu de procéder à un réexamen complet des griefs de l</w:t>
      </w:r>
      <w:r w:rsidR="00AA69CE">
        <w:rPr>
          <w:lang w:val="fr-FR"/>
        </w:rPr>
        <w:t>’</w:t>
      </w:r>
      <w:r>
        <w:rPr>
          <w:lang w:val="fr-FR"/>
        </w:rPr>
        <w:t>auteur compte tenu des obligations mises à sa charge par le Pacte et des présentes constatations</w:t>
      </w:r>
      <w:r w:rsidRPr="003D3C70">
        <w:rPr>
          <w:lang w:val="fr-FR"/>
        </w:rPr>
        <w:t xml:space="preserve">. </w:t>
      </w:r>
      <w:r>
        <w:rPr>
          <w:lang w:val="fr-FR"/>
        </w:rPr>
        <w:t>L</w:t>
      </w:r>
      <w:r w:rsidR="00AA69CE">
        <w:rPr>
          <w:lang w:val="fr-FR"/>
        </w:rPr>
        <w:t>’</w:t>
      </w:r>
      <w:r>
        <w:rPr>
          <w:lang w:val="fr-FR"/>
        </w:rPr>
        <w:t>État partie est également tenu de surseoir à l</w:t>
      </w:r>
      <w:r w:rsidR="00AA69CE">
        <w:rPr>
          <w:lang w:val="fr-FR"/>
        </w:rPr>
        <w:t>’</w:t>
      </w:r>
      <w:r>
        <w:rPr>
          <w:lang w:val="fr-FR"/>
        </w:rPr>
        <w:t>expulsion de l</w:t>
      </w:r>
      <w:r w:rsidR="00AA69CE">
        <w:rPr>
          <w:lang w:val="fr-FR"/>
        </w:rPr>
        <w:t>’</w:t>
      </w:r>
      <w:r>
        <w:rPr>
          <w:lang w:val="fr-FR"/>
        </w:rPr>
        <w:t>auteur tant que sa demande d</w:t>
      </w:r>
      <w:r w:rsidR="00AA69CE">
        <w:rPr>
          <w:lang w:val="fr-FR"/>
        </w:rPr>
        <w:t>’</w:t>
      </w:r>
      <w:r>
        <w:rPr>
          <w:lang w:val="fr-FR"/>
        </w:rPr>
        <w:t>asile n</w:t>
      </w:r>
      <w:r w:rsidR="00AA69CE">
        <w:rPr>
          <w:lang w:val="fr-FR"/>
        </w:rPr>
        <w:t>’</w:t>
      </w:r>
      <w:r>
        <w:rPr>
          <w:lang w:val="fr-FR"/>
        </w:rPr>
        <w:t>a pas été réexaminée</w:t>
      </w:r>
      <w:r w:rsidRPr="003D3C70">
        <w:rPr>
          <w:lang w:val="fr-FR"/>
        </w:rPr>
        <w:t>.</w:t>
      </w:r>
    </w:p>
    <w:p w:rsidR="00685027" w:rsidRDefault="00685027" w:rsidP="00685027">
      <w:pPr>
        <w:pStyle w:val="SingleTxtG"/>
        <w:rPr>
          <w:lang w:val="fr-FR"/>
        </w:rPr>
      </w:pPr>
      <w:r w:rsidRPr="003D3C70">
        <w:rPr>
          <w:lang w:val="fr-FR"/>
        </w:rPr>
        <w:t>11.</w:t>
      </w:r>
      <w:r w:rsidRPr="003D3C70">
        <w:rPr>
          <w:lang w:val="fr-FR"/>
        </w:rPr>
        <w:tab/>
      </w:r>
      <w:r>
        <w:rPr>
          <w:lang w:val="fr-FR"/>
        </w:rPr>
        <w:t>Étant donné qu</w:t>
      </w:r>
      <w:r w:rsidR="00AA69CE">
        <w:rPr>
          <w:lang w:val="fr-FR"/>
        </w:rPr>
        <w:t>’</w:t>
      </w:r>
      <w:r>
        <w:rPr>
          <w:lang w:val="fr-FR"/>
        </w:rPr>
        <w:t xml:space="preserve">en adhérant au </w:t>
      </w:r>
      <w:r w:rsidRPr="003D3C70">
        <w:rPr>
          <w:lang w:val="fr-FR"/>
        </w:rPr>
        <w:t>Protocol</w:t>
      </w:r>
      <w:r>
        <w:rPr>
          <w:lang w:val="fr-FR"/>
        </w:rPr>
        <w:t>e facultatif, l</w:t>
      </w:r>
      <w:r w:rsidR="00AA69CE">
        <w:rPr>
          <w:lang w:val="fr-FR"/>
        </w:rPr>
        <w:t>’</w:t>
      </w:r>
      <w:r>
        <w:rPr>
          <w:lang w:val="fr-FR"/>
        </w:rPr>
        <w:t>État partie a reconnu que le Comité a compétence pour déterminer s</w:t>
      </w:r>
      <w:r w:rsidR="00AA69CE">
        <w:rPr>
          <w:lang w:val="fr-FR"/>
        </w:rPr>
        <w:t>’</w:t>
      </w:r>
      <w:r>
        <w:rPr>
          <w:lang w:val="fr-FR"/>
        </w:rPr>
        <w:t xml:space="preserve">il y a ou non </w:t>
      </w:r>
      <w:r w:rsidRPr="003D3C70">
        <w:rPr>
          <w:lang w:val="fr-FR"/>
        </w:rPr>
        <w:t xml:space="preserve">violation </w:t>
      </w:r>
      <w:r>
        <w:rPr>
          <w:lang w:val="fr-FR"/>
        </w:rPr>
        <w:t>du Pacte et que, conformément à l</w:t>
      </w:r>
      <w:r w:rsidR="00AA69CE">
        <w:rPr>
          <w:lang w:val="fr-FR"/>
        </w:rPr>
        <w:t>’</w:t>
      </w:r>
      <w:r>
        <w:rPr>
          <w:lang w:val="fr-FR"/>
        </w:rPr>
        <w:t>article </w:t>
      </w:r>
      <w:r w:rsidRPr="003D3C70">
        <w:rPr>
          <w:lang w:val="fr-FR"/>
        </w:rPr>
        <w:t xml:space="preserve">2 </w:t>
      </w:r>
      <w:r>
        <w:rPr>
          <w:lang w:val="fr-FR"/>
        </w:rPr>
        <w:t>du Pacte, il s</w:t>
      </w:r>
      <w:r w:rsidR="00AA69CE">
        <w:rPr>
          <w:lang w:val="fr-FR"/>
        </w:rPr>
        <w:t>’</w:t>
      </w:r>
      <w:r>
        <w:rPr>
          <w:lang w:val="fr-FR"/>
        </w:rPr>
        <w:t xml:space="preserve">est engagé à garantir à tous les individus se trouvant sur son territoire et relevant de sa </w:t>
      </w:r>
      <w:r w:rsidRPr="003D3C70">
        <w:rPr>
          <w:lang w:val="fr-FR"/>
        </w:rPr>
        <w:t xml:space="preserve">juridiction </w:t>
      </w:r>
      <w:r>
        <w:rPr>
          <w:lang w:val="fr-FR"/>
        </w:rPr>
        <w:t>les droits reconnus dans le Pacte et à assurer un recours utile et une réparation exécutoire lorsqu</w:t>
      </w:r>
      <w:r w:rsidR="00AA69CE">
        <w:rPr>
          <w:lang w:val="fr-FR"/>
        </w:rPr>
        <w:t>’</w:t>
      </w:r>
      <w:r>
        <w:rPr>
          <w:lang w:val="fr-FR"/>
        </w:rPr>
        <w:t xml:space="preserve">une </w:t>
      </w:r>
      <w:r w:rsidRPr="003D3C70">
        <w:rPr>
          <w:lang w:val="fr-FR"/>
        </w:rPr>
        <w:t xml:space="preserve">violation </w:t>
      </w:r>
      <w:r>
        <w:rPr>
          <w:lang w:val="fr-FR"/>
        </w:rPr>
        <w:t>a été établie, le Comité souhaite recevoir de l</w:t>
      </w:r>
      <w:r w:rsidR="00AA69CE">
        <w:rPr>
          <w:lang w:val="fr-FR"/>
        </w:rPr>
        <w:t>’</w:t>
      </w:r>
      <w:r>
        <w:rPr>
          <w:lang w:val="fr-FR"/>
        </w:rPr>
        <w:t>État partie, dans un délai de cent quatre-vingts</w:t>
      </w:r>
      <w:r w:rsidRPr="003D3C70">
        <w:rPr>
          <w:lang w:val="fr-FR"/>
        </w:rPr>
        <w:t xml:space="preserve"> </w:t>
      </w:r>
      <w:r>
        <w:rPr>
          <w:lang w:val="fr-FR"/>
        </w:rPr>
        <w:t xml:space="preserve">jours, des renseignements sur les mesures prises pour donner </w:t>
      </w:r>
      <w:r w:rsidRPr="003D3C70">
        <w:rPr>
          <w:lang w:val="fr-FR"/>
        </w:rPr>
        <w:t xml:space="preserve">effet </w:t>
      </w:r>
      <w:r>
        <w:rPr>
          <w:lang w:val="fr-FR"/>
        </w:rPr>
        <w:t>aux présentes constatations</w:t>
      </w:r>
      <w:r w:rsidRPr="003D3C70">
        <w:rPr>
          <w:lang w:val="fr-FR"/>
        </w:rPr>
        <w:t xml:space="preserve">. </w:t>
      </w:r>
      <w:r>
        <w:rPr>
          <w:lang w:val="fr-FR"/>
        </w:rPr>
        <w:t>L</w:t>
      </w:r>
      <w:r w:rsidR="00AA69CE">
        <w:rPr>
          <w:lang w:val="fr-FR"/>
        </w:rPr>
        <w:t>’</w:t>
      </w:r>
      <w:r>
        <w:rPr>
          <w:lang w:val="fr-FR"/>
        </w:rPr>
        <w:t>État partie est invité en outre à rendre celles-ci publiques</w:t>
      </w:r>
      <w:r w:rsidRPr="003D3C70">
        <w:rPr>
          <w:lang w:val="fr-FR"/>
        </w:rPr>
        <w:t>.</w:t>
      </w:r>
    </w:p>
    <w:p w:rsidR="00084440" w:rsidRDefault="00084440" w:rsidP="00685027">
      <w:pPr>
        <w:pStyle w:val="SingleTxtG"/>
        <w:rPr>
          <w:lang w:val="fr-FR"/>
        </w:rPr>
        <w:sectPr w:rsidR="00084440" w:rsidSect="005E15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5D3719" w:rsidRPr="003E6B95" w:rsidRDefault="005D3719" w:rsidP="005D3719">
      <w:pPr>
        <w:pStyle w:val="HChG"/>
      </w:pPr>
      <w:r w:rsidRPr="003E6B95">
        <w:t>Annex</w:t>
      </w:r>
      <w:r>
        <w:t>e</w:t>
      </w:r>
    </w:p>
    <w:p w:rsidR="005D3719" w:rsidRPr="003E6B95" w:rsidRDefault="005D3719" w:rsidP="005D3719">
      <w:pPr>
        <w:pStyle w:val="HChG"/>
      </w:pPr>
      <w:r w:rsidRPr="003E6B95">
        <w:tab/>
      </w:r>
      <w:r w:rsidRPr="003E6B95">
        <w:tab/>
      </w:r>
      <w:r>
        <w:t>O</w:t>
      </w:r>
      <w:r w:rsidRPr="003E6B95">
        <w:t xml:space="preserve">pinion </w:t>
      </w:r>
      <w:r>
        <w:t xml:space="preserve">individuelle (dissidente) de </w:t>
      </w:r>
      <w:proofErr w:type="spellStart"/>
      <w:r w:rsidRPr="003E6B95">
        <w:t>Christof</w:t>
      </w:r>
      <w:proofErr w:type="spellEnd"/>
      <w:r w:rsidRPr="003E6B95">
        <w:t xml:space="preserve"> </w:t>
      </w:r>
      <w:proofErr w:type="spellStart"/>
      <w:r w:rsidRPr="003E6B95">
        <w:t>Heyns</w:t>
      </w:r>
      <w:proofErr w:type="spellEnd"/>
      <w:r w:rsidRPr="003E6B95">
        <w:t xml:space="preserve">, </w:t>
      </w:r>
      <w:r>
        <w:br/>
      </w:r>
      <w:r w:rsidRPr="003E6B95">
        <w:t>Marcia V.</w:t>
      </w:r>
      <w:r>
        <w:t> </w:t>
      </w:r>
      <w:r w:rsidRPr="003E6B95">
        <w:t xml:space="preserve">J. </w:t>
      </w:r>
      <w:proofErr w:type="spellStart"/>
      <w:r w:rsidRPr="003E6B95">
        <w:t>Kran</w:t>
      </w:r>
      <w:proofErr w:type="spellEnd"/>
      <w:r w:rsidRPr="003E6B95">
        <w:t xml:space="preserve"> </w:t>
      </w:r>
      <w:r>
        <w:t xml:space="preserve">et </w:t>
      </w:r>
      <w:r w:rsidRPr="003E6B95">
        <w:t xml:space="preserve">Yuval </w:t>
      </w:r>
      <w:proofErr w:type="spellStart"/>
      <w:r w:rsidRPr="003E6B95">
        <w:t>Shany</w:t>
      </w:r>
      <w:proofErr w:type="spellEnd"/>
      <w:r w:rsidRPr="003E6B95">
        <w:t xml:space="preserve"> </w:t>
      </w:r>
    </w:p>
    <w:p w:rsidR="005D3719" w:rsidRPr="003E6B95" w:rsidRDefault="005D3719" w:rsidP="005D3719">
      <w:pPr>
        <w:pStyle w:val="SingleTxtG"/>
      </w:pPr>
      <w:r w:rsidRPr="003E6B95">
        <w:t>1.</w:t>
      </w:r>
      <w:r w:rsidRPr="003E6B95">
        <w:tab/>
      </w:r>
      <w:r>
        <w:t>Nous regrettons de ne pas pouvoir souscrire à l’avis de la majorité des membres du Comité, qui a conclu que l’expulsion de l’auteur vers la République islamique d’Iran, s’il y était procédé,</w:t>
      </w:r>
      <w:r w:rsidRPr="003E6B95">
        <w:t xml:space="preserve"> constitu</w:t>
      </w:r>
      <w:r>
        <w:t>erait une</w:t>
      </w:r>
      <w:r w:rsidRPr="003E6B95">
        <w:t xml:space="preserve"> violation </w:t>
      </w:r>
      <w:r>
        <w:t>du Pacte</w:t>
      </w:r>
      <w:r w:rsidRPr="003E6B95">
        <w:t>.</w:t>
      </w:r>
    </w:p>
    <w:p w:rsidR="005D3719" w:rsidRPr="003E6B95" w:rsidRDefault="005D3719" w:rsidP="005D3719">
      <w:pPr>
        <w:pStyle w:val="SingleTxtG"/>
      </w:pPr>
      <w:r w:rsidRPr="003E6B95">
        <w:t>2.</w:t>
      </w:r>
      <w:r w:rsidRPr="003E6B95">
        <w:tab/>
      </w:r>
      <w:r>
        <w:t>Si nous ne sommes pas en désaccord, en principe, avec l’approche du Comité selon laquelle une conversion expose l’individu concerné à un risque réel, que la conversion soit sincère ou non, et certains convertis peuvent en conséquence se retrouver dans une situation analogue à celle des réfugiés « </w:t>
      </w:r>
      <w:r w:rsidRPr="008609B2">
        <w:rPr>
          <w:i/>
        </w:rPr>
        <w:t>sur place</w:t>
      </w:r>
      <w:r>
        <w:t xml:space="preserve"> » indépendamment de la sincérité de leur </w:t>
      </w:r>
      <w:r w:rsidRPr="003E6B95">
        <w:t>conversion (</w:t>
      </w:r>
      <w:r>
        <w:t xml:space="preserve">voir </w:t>
      </w:r>
      <w:r w:rsidRPr="003E6B95">
        <w:t>par.</w:t>
      </w:r>
      <w:r>
        <w:t> </w:t>
      </w:r>
      <w:r w:rsidRPr="003E6B95">
        <w:t xml:space="preserve">8.5), </w:t>
      </w:r>
      <w:r>
        <w:t>on ne peut pas pour autant se contenter de présumer l’existence d’un tel risque</w:t>
      </w:r>
      <w:r w:rsidRPr="003E6B95">
        <w:t xml:space="preserve">. </w:t>
      </w:r>
      <w:r>
        <w:t>L’auteur doit établir l’existence du risque dans les circonstance de l’espèce</w:t>
      </w:r>
      <w:r w:rsidRPr="003E6B95">
        <w:t xml:space="preserve">. </w:t>
      </w:r>
      <w:r>
        <w:t xml:space="preserve">Ainsi, même si la Commission de recours a eu tort d’axer son raisonnement uniquement sur la question de la sincérité de la </w:t>
      </w:r>
      <w:r w:rsidRPr="003E6B95">
        <w:t>conversion</w:t>
      </w:r>
      <w:r>
        <w:t xml:space="preserve"> et non sur les conséquences que celle-ci aurait pour l’auteur s’il retournait en République islamique d’</w:t>
      </w:r>
      <w:r w:rsidRPr="003E6B95">
        <w:t xml:space="preserve">Iran, </w:t>
      </w:r>
      <w:r>
        <w:t>l’auteur n’a pas suffisamment établi que sa conversion était connue des autorités de la République islamique d’Iran</w:t>
      </w:r>
      <w:r w:rsidRPr="003E6B95">
        <w:t xml:space="preserve">, </w:t>
      </w:r>
      <w:r>
        <w:t xml:space="preserve">ni même qu’il existait des motifs sérieux de croire que les demandeurs d’asile déboutés qui, comme dans son cas, s’étaient convertis à la religion chrétienne à l’étranger seraient exposés à un risque réel de subir un préjudice irréparable tel que celui envisagé aux </w:t>
      </w:r>
      <w:r w:rsidRPr="003E6B95">
        <w:t>articles</w:t>
      </w:r>
      <w:r w:rsidR="0010113D">
        <w:t> </w:t>
      </w:r>
      <w:r w:rsidRPr="003E6B95">
        <w:t xml:space="preserve">6 </w:t>
      </w:r>
      <w:r>
        <w:t xml:space="preserve">et </w:t>
      </w:r>
      <w:r w:rsidRPr="003E6B95">
        <w:t xml:space="preserve">7 </w:t>
      </w:r>
      <w:r>
        <w:t>du Pacte en cas de renvoi en République islamique d’</w:t>
      </w:r>
      <w:r w:rsidRPr="003E6B95">
        <w:t>Iran</w:t>
      </w:r>
      <w:r w:rsidRPr="000767D8">
        <w:rPr>
          <w:rStyle w:val="Appelnotedebasdep"/>
        </w:rPr>
        <w:footnoteReference w:id="36"/>
      </w:r>
      <w:r>
        <w:t>.</w:t>
      </w:r>
    </w:p>
    <w:p w:rsidR="005D3719" w:rsidRPr="003E6B95" w:rsidRDefault="005D3719" w:rsidP="005D3719">
      <w:pPr>
        <w:pStyle w:val="SingleTxtG"/>
      </w:pPr>
      <w:r w:rsidRPr="003E6B95">
        <w:t>3.</w:t>
      </w:r>
      <w:r w:rsidRPr="003E6B95">
        <w:tab/>
      </w:r>
      <w:r>
        <w:t>La majorité des membres du Comité a conclu que l’auteur serait exposé à un risque en cas d’expulsion en s’appuyant sur divers rapports accessibles au public décrivant quelle était, en République islamique d’Iran,</w:t>
      </w:r>
      <w:r w:rsidRPr="003E6B95">
        <w:t xml:space="preserve"> </w:t>
      </w:r>
      <w:r>
        <w:t xml:space="preserve">la situation des personnes converties au christianisme en général et plus particulièrement celle des convertis retournant dans le pays </w:t>
      </w:r>
      <w:r w:rsidRPr="003E6B95">
        <w:t>(</w:t>
      </w:r>
      <w:r>
        <w:t xml:space="preserve">voir </w:t>
      </w:r>
      <w:r w:rsidRPr="003E6B95">
        <w:t>par.</w:t>
      </w:r>
      <w:r>
        <w:t> </w:t>
      </w:r>
      <w:r w:rsidRPr="003E6B95">
        <w:t xml:space="preserve">8.7, </w:t>
      </w:r>
      <w:r>
        <w:t xml:space="preserve">note </w:t>
      </w:r>
      <w:r w:rsidRPr="003E6B95">
        <w:t xml:space="preserve">31). </w:t>
      </w:r>
      <w:r>
        <w:t>Nous sommes réservés quant à l’opportunité de s’appuyer, comme le Comité le fait occasionnellement, sur des informations qui ne sont pas présentées par l’une ou l’autre partie</w:t>
      </w:r>
      <w:r w:rsidRPr="003E6B95">
        <w:t xml:space="preserve">. </w:t>
      </w:r>
      <w:r>
        <w:t>En tout état de cause, les conclusions des rapports cités par la majorité des membres du Comité ne sont pas probantes</w:t>
      </w:r>
      <w:r w:rsidRPr="003E6B95">
        <w:t>.</w:t>
      </w:r>
    </w:p>
    <w:p w:rsidR="005D3719" w:rsidRPr="003E6B95" w:rsidRDefault="005D3719" w:rsidP="005D3719">
      <w:pPr>
        <w:pStyle w:val="SingleTxtG"/>
      </w:pPr>
      <w:r w:rsidRPr="003E6B95">
        <w:t>4.</w:t>
      </w:r>
      <w:r w:rsidRPr="003E6B95">
        <w:tab/>
      </w:r>
      <w:r>
        <w:t>Selon le rapport du Service danois de l’i</w:t>
      </w:r>
      <w:r w:rsidRPr="003E6B95">
        <w:t>mmigration</w:t>
      </w:r>
      <w:r>
        <w:t>, en République islamique d’Iran les convertis ne sont pas poursuivis pour apostasie et ces dernières années personne n’a été arrêté au seul motif de sa conversion à une autre religion</w:t>
      </w:r>
      <w:r w:rsidRPr="000767D8">
        <w:rPr>
          <w:rStyle w:val="Appelnotedebasdep"/>
        </w:rPr>
        <w:footnoteReference w:id="37"/>
      </w:r>
      <w:r>
        <w:t> ;</w:t>
      </w:r>
      <w:r w:rsidRPr="003E6B95">
        <w:t xml:space="preserve"> </w:t>
      </w:r>
      <w:r>
        <w:t xml:space="preserve">le rapport de la </w:t>
      </w:r>
      <w:r w:rsidRPr="003E6B95">
        <w:t xml:space="preserve">United States Commission on International </w:t>
      </w:r>
      <w:proofErr w:type="spellStart"/>
      <w:r w:rsidRPr="003E6B95">
        <w:t>Religious</w:t>
      </w:r>
      <w:proofErr w:type="spellEnd"/>
      <w:r w:rsidRPr="003E6B95">
        <w:t xml:space="preserve"> Freedom </w:t>
      </w:r>
      <w:r>
        <w:t>donne à penser que si des convertis sont inquiétés, c’est en général parce qu’ils font du prosélytisme</w:t>
      </w:r>
      <w:r w:rsidRPr="000767D8">
        <w:rPr>
          <w:rStyle w:val="Appelnotedebasdep"/>
        </w:rPr>
        <w:footnoteReference w:id="38"/>
      </w:r>
      <w:r>
        <w:t> ;</w:t>
      </w:r>
      <w:r w:rsidRPr="003E6B95">
        <w:t xml:space="preserve"> </w:t>
      </w:r>
      <w:r>
        <w:t>et d’après le rapport du Ministère de l’intérieur du Royaume-Uni, le traitement qui est réservé aux convertis qui reviennent dans le pays dépend largement de la façon dont ceux-ci pratiquent la foi chrétienne à leur retour en République islamique d’</w:t>
      </w:r>
      <w:r w:rsidRPr="003E6B95">
        <w:t>Iran</w:t>
      </w:r>
      <w:r w:rsidRPr="000767D8">
        <w:rPr>
          <w:rStyle w:val="Appelnotedebasdep"/>
        </w:rPr>
        <w:footnoteReference w:id="39"/>
      </w:r>
      <w:r>
        <w:t>.</w:t>
      </w:r>
      <w:r w:rsidRPr="003E6B95">
        <w:t xml:space="preserve"> </w:t>
      </w:r>
      <w:r>
        <w:t xml:space="preserve">Le </w:t>
      </w:r>
      <w:proofErr w:type="spellStart"/>
      <w:r w:rsidRPr="003E6B95">
        <w:t>Austrian</w:t>
      </w:r>
      <w:proofErr w:type="spellEnd"/>
      <w:r w:rsidRPr="003E6B95">
        <w:t xml:space="preserve"> Centre for Country of Origin and </w:t>
      </w:r>
      <w:proofErr w:type="spellStart"/>
      <w:r w:rsidRPr="003E6B95">
        <w:t>Asylum</w:t>
      </w:r>
      <w:proofErr w:type="spellEnd"/>
      <w:r w:rsidRPr="003E6B95">
        <w:t xml:space="preserve"> </w:t>
      </w:r>
      <w:proofErr w:type="spellStart"/>
      <w:r w:rsidRPr="003E6B95">
        <w:t>Research</w:t>
      </w:r>
      <w:proofErr w:type="spellEnd"/>
      <w:r w:rsidRPr="003E6B95">
        <w:t xml:space="preserve"> and Documentation</w:t>
      </w:r>
      <w:r>
        <w:t xml:space="preserve"> est parvenu à une </w:t>
      </w:r>
      <w:r w:rsidRPr="003E6B95">
        <w:t>conclusion</w:t>
      </w:r>
      <w:r>
        <w:t xml:space="preserve"> similaire</w:t>
      </w:r>
      <w:r w:rsidRPr="003E6B95">
        <w:t xml:space="preserve">, </w:t>
      </w:r>
      <w:r>
        <w:t>suggérant que l’exercice public du culte pourrait valoir aux personnes converties au christianisme de faire l’objet de persécutions</w:t>
      </w:r>
      <w:r w:rsidRPr="003E6B95">
        <w:t xml:space="preserve"> (</w:t>
      </w:r>
      <w:r>
        <w:t>sans pour autant que celles-ci répondent à la définition d’un préjudice irréparable</w:t>
      </w:r>
      <w:r w:rsidRPr="003E6B95">
        <w:t>)</w:t>
      </w:r>
      <w:r w:rsidRPr="000767D8">
        <w:rPr>
          <w:rStyle w:val="Appelnotedebasdep"/>
        </w:rPr>
        <w:footnoteReference w:id="40"/>
      </w:r>
      <w:r>
        <w:t xml:space="preserve">. Le rapport du </w:t>
      </w:r>
      <w:r w:rsidRPr="003E6B95">
        <w:t xml:space="preserve">United States </w:t>
      </w:r>
      <w:proofErr w:type="spellStart"/>
      <w:r w:rsidRPr="003E6B95">
        <w:t>Congressional</w:t>
      </w:r>
      <w:proofErr w:type="spellEnd"/>
      <w:r w:rsidRPr="003E6B95">
        <w:t xml:space="preserve"> </w:t>
      </w:r>
      <w:proofErr w:type="spellStart"/>
      <w:r w:rsidRPr="003E6B95">
        <w:t>Research</w:t>
      </w:r>
      <w:proofErr w:type="spellEnd"/>
      <w:r w:rsidRPr="003E6B95">
        <w:t xml:space="preserve"> Service </w:t>
      </w:r>
      <w:r>
        <w:t>quant à lui ne contient pas de renseignements pertinents en ce qui concerne le risque spécifique auquel seraient exposées les personnes converties</w:t>
      </w:r>
      <w:r w:rsidRPr="000767D8">
        <w:rPr>
          <w:rStyle w:val="Appelnotedebasdep"/>
        </w:rPr>
        <w:footnoteReference w:id="41"/>
      </w:r>
      <w:r>
        <w:t xml:space="preserve">. Les </w:t>
      </w:r>
      <w:r w:rsidRPr="003E6B95">
        <w:t>information</w:t>
      </w:r>
      <w:r>
        <w:t>s figurant dans ces rapports semblent donc appuyer l’idée que l’exercice public du culte chrétien par d’anciens musulmans convertis au christianisme pourrait valoir à ces personnes d’être harcelées et même de faire l’objet de persécutions</w:t>
      </w:r>
      <w:r w:rsidRPr="003E6B95">
        <w:t xml:space="preserve">, </w:t>
      </w:r>
      <w:r>
        <w:t>mais aussi que cela dépend beaucoup des circonstances de chaque cas</w:t>
      </w:r>
      <w:r w:rsidRPr="003E6B95">
        <w:t xml:space="preserve">. </w:t>
      </w:r>
      <w:r>
        <w:t>La conclusion de la Commission de recours des réfugiés selon laquelle la conversion de l’auteur au christianisme n’était pas sincère − une conclusion que le Comité n’est pas en mesure de critiquer après coup − jette le doute sur le fait que les rapports suffisent à eux seuls à établir une présomption de risque grave et réel pour l’auteur en cas d’expulsion, puisque l’on ne sait pas si celui-ci a l’intention de pratiquer publiquement la foi chrétienne à son retour en République islamique d’Iran</w:t>
      </w:r>
      <w:r w:rsidRPr="003E6B95">
        <w:t>.</w:t>
      </w:r>
    </w:p>
    <w:p w:rsidR="00084440" w:rsidRDefault="005D3719" w:rsidP="005D3719">
      <w:pPr>
        <w:pStyle w:val="SingleTxtG"/>
      </w:pPr>
      <w:r w:rsidRPr="003E6B95">
        <w:t>5.</w:t>
      </w:r>
      <w:r w:rsidRPr="003E6B95">
        <w:tab/>
      </w:r>
      <w:r>
        <w:t>Le Comité ne disposant pas d’informations permettant de savoir si la conversion de l’auteur est connue des autorités iraniennes</w:t>
      </w:r>
      <w:r w:rsidRPr="003E6B95">
        <w:t xml:space="preserve">, </w:t>
      </w:r>
      <w:r>
        <w:t xml:space="preserve">si l’auteur a l’intention de pratiquer la foi chrétienne en République islamique d’Iran et, le cas échéant, de quelle manière il entend le </w:t>
      </w:r>
      <w:bookmarkStart w:id="0" w:name="_GoBack"/>
      <w:bookmarkEnd w:id="0"/>
      <w:r>
        <w:t>faire</w:t>
      </w:r>
      <w:r w:rsidRPr="003E6B95">
        <w:t xml:space="preserve">, </w:t>
      </w:r>
      <w:r>
        <w:t>et s’il risque d’être inquiété si sa conversion est connue des autorités</w:t>
      </w:r>
      <w:r w:rsidRPr="003E6B95">
        <w:t xml:space="preserve">, </w:t>
      </w:r>
      <w:r>
        <w:t xml:space="preserve">nous ne sommes pas en mesure de conclure que l’expulsion de l’auteur l’exposerait à un risque réel entraînant une </w:t>
      </w:r>
      <w:r w:rsidRPr="003E6B95">
        <w:t xml:space="preserve">violation </w:t>
      </w:r>
      <w:r>
        <w:t xml:space="preserve">des </w:t>
      </w:r>
      <w:r w:rsidRPr="003E6B95">
        <w:t>articles</w:t>
      </w:r>
      <w:r>
        <w:t> </w:t>
      </w:r>
      <w:r w:rsidRPr="003E6B95">
        <w:t xml:space="preserve">6 </w:t>
      </w:r>
      <w:r>
        <w:t xml:space="preserve">ou </w:t>
      </w:r>
      <w:r w:rsidRPr="003E6B95">
        <w:t xml:space="preserve">7 </w:t>
      </w:r>
      <w:r>
        <w:t>du Pacte</w:t>
      </w:r>
      <w:r w:rsidRPr="003E6B95">
        <w:t>.</w:t>
      </w:r>
    </w:p>
    <w:p w:rsidR="00D118A7" w:rsidRPr="00D118A7" w:rsidRDefault="00D118A7" w:rsidP="00D118A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118A7" w:rsidRPr="00D118A7" w:rsidSect="0008444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9CE" w:rsidRDefault="00AA69CE" w:rsidP="00F95C08">
      <w:pPr>
        <w:spacing w:line="240" w:lineRule="auto"/>
      </w:pPr>
    </w:p>
  </w:endnote>
  <w:endnote w:type="continuationSeparator" w:id="0">
    <w:p w:rsidR="00AA69CE" w:rsidRPr="00AC3823" w:rsidRDefault="00AA69CE" w:rsidP="00AC3823">
      <w:pPr>
        <w:pStyle w:val="Pieddepage"/>
      </w:pPr>
    </w:p>
  </w:endnote>
  <w:endnote w:type="continuationNotice" w:id="1">
    <w:p w:rsidR="00AA69CE" w:rsidRDefault="00AA69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CE" w:rsidRPr="005E158F" w:rsidRDefault="00AA69CE" w:rsidP="005E158F">
    <w:pPr>
      <w:pStyle w:val="Pieddepage"/>
      <w:tabs>
        <w:tab w:val="right" w:pos="9638"/>
      </w:tabs>
    </w:pPr>
    <w:r w:rsidRPr="005E158F">
      <w:rPr>
        <w:b/>
        <w:sz w:val="18"/>
      </w:rPr>
      <w:fldChar w:fldCharType="begin"/>
    </w:r>
    <w:r w:rsidRPr="005E158F">
      <w:rPr>
        <w:b/>
        <w:sz w:val="18"/>
      </w:rPr>
      <w:instrText xml:space="preserve"> PAGE  \* MERGEFORMAT </w:instrText>
    </w:r>
    <w:r w:rsidRPr="005E158F">
      <w:rPr>
        <w:b/>
        <w:sz w:val="18"/>
      </w:rPr>
      <w:fldChar w:fldCharType="separate"/>
    </w:r>
    <w:r w:rsidRPr="005E158F">
      <w:rPr>
        <w:b/>
        <w:noProof/>
        <w:sz w:val="18"/>
      </w:rPr>
      <w:t>2</w:t>
    </w:r>
    <w:r w:rsidRPr="005E158F">
      <w:rPr>
        <w:b/>
        <w:sz w:val="18"/>
      </w:rPr>
      <w:fldChar w:fldCharType="end"/>
    </w:r>
    <w:r>
      <w:rPr>
        <w:b/>
        <w:sz w:val="18"/>
      </w:rPr>
      <w:tab/>
    </w:r>
    <w:r>
      <w:t>GE.18-14769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CE" w:rsidRPr="005E158F" w:rsidRDefault="00AA69CE" w:rsidP="005E158F">
    <w:pPr>
      <w:pStyle w:val="Pieddepage"/>
      <w:tabs>
        <w:tab w:val="right" w:pos="9638"/>
      </w:tabs>
      <w:rPr>
        <w:b/>
        <w:sz w:val="18"/>
      </w:rPr>
    </w:pPr>
    <w:r>
      <w:t>GE.18-14769</w:t>
    </w:r>
    <w:r>
      <w:tab/>
    </w:r>
    <w:r w:rsidRPr="005E158F">
      <w:rPr>
        <w:b/>
        <w:sz w:val="18"/>
      </w:rPr>
      <w:fldChar w:fldCharType="begin"/>
    </w:r>
    <w:r w:rsidRPr="005E158F">
      <w:rPr>
        <w:b/>
        <w:sz w:val="18"/>
      </w:rPr>
      <w:instrText xml:space="preserve"> PAGE  \* MERGEFORMAT </w:instrText>
    </w:r>
    <w:r w:rsidRPr="005E158F">
      <w:rPr>
        <w:b/>
        <w:sz w:val="18"/>
      </w:rPr>
      <w:fldChar w:fldCharType="separate"/>
    </w:r>
    <w:r w:rsidRPr="005E158F">
      <w:rPr>
        <w:b/>
        <w:noProof/>
        <w:sz w:val="18"/>
      </w:rPr>
      <w:t>3</w:t>
    </w:r>
    <w:r w:rsidRPr="005E15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CE" w:rsidRPr="005E158F" w:rsidRDefault="00AA69CE" w:rsidP="005E158F">
    <w:pPr>
      <w:pStyle w:val="Pieddepage"/>
      <w:spacing w:before="120"/>
      <w:rPr>
        <w:sz w:val="20"/>
      </w:rPr>
    </w:pPr>
    <w:r>
      <w:rPr>
        <w:sz w:val="20"/>
      </w:rPr>
      <w:t>GE.</w:t>
    </w:r>
    <w:r>
      <w:rPr>
        <w:noProof/>
        <w:lang w:eastAsia="fr-CH"/>
      </w:rPr>
      <w:drawing>
        <wp:anchor distT="0" distB="0" distL="114300" distR="114300" simplePos="0" relativeHeight="251663360"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18-14769 </w:t>
    </w:r>
    <w:r w:rsidR="005B63E7">
      <w:rPr>
        <w:sz w:val="20"/>
      </w:rPr>
      <w:t xml:space="preserve"> </w:t>
    </w:r>
    <w:r>
      <w:rPr>
        <w:sz w:val="20"/>
      </w:rPr>
      <w:t xml:space="preserve">(F)  </w:t>
    </w:r>
    <w:r w:rsidR="005B63E7">
      <w:rPr>
        <w:sz w:val="20"/>
      </w:rPr>
      <w:t xml:space="preserve">  </w:t>
    </w:r>
    <w:r>
      <w:rPr>
        <w:sz w:val="20"/>
      </w:rPr>
      <w:t xml:space="preserve">031219  </w:t>
    </w:r>
    <w:r w:rsidR="005B63E7">
      <w:rPr>
        <w:sz w:val="20"/>
      </w:rPr>
      <w:t xml:space="preserve">  051219</w:t>
    </w:r>
    <w:r>
      <w:rPr>
        <w:sz w:val="20"/>
      </w:rPr>
      <w:br/>
    </w:r>
    <w:r w:rsidRPr="005E158F">
      <w:rPr>
        <w:rFonts w:ascii="C39T30Lfz" w:hAnsi="C39T30Lfz"/>
        <w:sz w:val="56"/>
      </w:rPr>
      <w:t></w:t>
    </w:r>
    <w:r w:rsidRPr="005E158F">
      <w:rPr>
        <w:rFonts w:ascii="C39T30Lfz" w:hAnsi="C39T30Lfz"/>
        <w:sz w:val="56"/>
      </w:rPr>
      <w:t></w:t>
    </w:r>
    <w:r w:rsidRPr="005E158F">
      <w:rPr>
        <w:rFonts w:ascii="C39T30Lfz" w:hAnsi="C39T30Lfz"/>
        <w:sz w:val="56"/>
      </w:rPr>
      <w:t></w:t>
    </w:r>
    <w:r w:rsidRPr="005E158F">
      <w:rPr>
        <w:rFonts w:ascii="C39T30Lfz" w:hAnsi="C39T30Lfz"/>
        <w:sz w:val="56"/>
      </w:rPr>
      <w:t></w:t>
    </w:r>
    <w:r w:rsidRPr="005E158F">
      <w:rPr>
        <w:rFonts w:ascii="C39T30Lfz" w:hAnsi="C39T30Lfz"/>
        <w:sz w:val="56"/>
      </w:rPr>
      <w:t></w:t>
    </w:r>
    <w:r w:rsidRPr="005E158F">
      <w:rPr>
        <w:rFonts w:ascii="C39T30Lfz" w:hAnsi="C39T30Lfz"/>
        <w:sz w:val="56"/>
      </w:rPr>
      <w:t></w:t>
    </w:r>
    <w:r w:rsidRPr="005E158F">
      <w:rPr>
        <w:rFonts w:ascii="C39T30Lfz" w:hAnsi="C39T30Lfz"/>
        <w:sz w:val="56"/>
      </w:rPr>
      <w:t></w:t>
    </w:r>
    <w:r w:rsidRPr="005E158F">
      <w:rPr>
        <w:rFonts w:ascii="C39T30Lfz" w:hAnsi="C39T30Lfz"/>
        <w:sz w:val="56"/>
      </w:rPr>
      <w:t></w:t>
    </w:r>
    <w:r w:rsidRPr="005E158F">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D/2423/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423/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9CE" w:rsidRPr="00AC3823" w:rsidRDefault="00AA69CE" w:rsidP="00AC3823">
      <w:pPr>
        <w:pStyle w:val="Pieddepage"/>
        <w:tabs>
          <w:tab w:val="right" w:pos="2155"/>
        </w:tabs>
        <w:spacing w:after="80" w:line="240" w:lineRule="atLeast"/>
        <w:ind w:left="680"/>
        <w:rPr>
          <w:u w:val="single"/>
        </w:rPr>
      </w:pPr>
      <w:r>
        <w:rPr>
          <w:u w:val="single"/>
        </w:rPr>
        <w:tab/>
      </w:r>
    </w:p>
  </w:footnote>
  <w:footnote w:type="continuationSeparator" w:id="0">
    <w:p w:rsidR="00AA69CE" w:rsidRPr="00AC3823" w:rsidRDefault="00AA69CE" w:rsidP="00AC3823">
      <w:pPr>
        <w:pStyle w:val="Pieddepage"/>
        <w:tabs>
          <w:tab w:val="right" w:pos="2155"/>
        </w:tabs>
        <w:spacing w:after="80" w:line="240" w:lineRule="atLeast"/>
        <w:ind w:left="680"/>
        <w:rPr>
          <w:u w:val="single"/>
        </w:rPr>
      </w:pPr>
      <w:r>
        <w:rPr>
          <w:u w:val="single"/>
        </w:rPr>
        <w:tab/>
      </w:r>
    </w:p>
  </w:footnote>
  <w:footnote w:type="continuationNotice" w:id="1">
    <w:p w:rsidR="00AA69CE" w:rsidRPr="00AC3823" w:rsidRDefault="00AA69CE">
      <w:pPr>
        <w:spacing w:line="240" w:lineRule="auto"/>
        <w:rPr>
          <w:sz w:val="2"/>
          <w:szCs w:val="2"/>
        </w:rPr>
      </w:pPr>
    </w:p>
  </w:footnote>
  <w:footnote w:id="2">
    <w:p w:rsidR="00AA69CE" w:rsidRPr="00AE7D6E" w:rsidRDefault="00AA69CE" w:rsidP="005E158F">
      <w:pPr>
        <w:pStyle w:val="Notedebasdepage"/>
        <w:rPr>
          <w:szCs w:val="18"/>
          <w:lang w:eastAsia="zh-CN"/>
        </w:rPr>
      </w:pPr>
      <w:r w:rsidRPr="00AE7D6E">
        <w:rPr>
          <w:szCs w:val="18"/>
        </w:rPr>
        <w:tab/>
      </w:r>
      <w:r w:rsidRPr="00AE7D6E">
        <w:rPr>
          <w:sz w:val="20"/>
        </w:rPr>
        <w:t>*</w:t>
      </w:r>
      <w:r w:rsidRPr="00AE7D6E">
        <w:rPr>
          <w:szCs w:val="18"/>
        </w:rPr>
        <w:tab/>
        <w:t>Adoptées par le Comité à sa 123</w:t>
      </w:r>
      <w:r w:rsidRPr="00AE7D6E">
        <w:rPr>
          <w:szCs w:val="18"/>
          <w:vertAlign w:val="superscript"/>
        </w:rPr>
        <w:t>e</w:t>
      </w:r>
      <w:r w:rsidRPr="00AE7D6E">
        <w:rPr>
          <w:szCs w:val="18"/>
        </w:rPr>
        <w:t xml:space="preserve"> session (2</w:t>
      </w:r>
      <w:r>
        <w:rPr>
          <w:szCs w:val="18"/>
        </w:rPr>
        <w:t>-</w:t>
      </w:r>
      <w:r w:rsidRPr="00AE7D6E">
        <w:rPr>
          <w:szCs w:val="18"/>
        </w:rPr>
        <w:t>27 juillet 2018).</w:t>
      </w:r>
    </w:p>
  </w:footnote>
  <w:footnote w:id="3">
    <w:p w:rsidR="00AA69CE" w:rsidRPr="00AE7D6E" w:rsidRDefault="00AA69CE" w:rsidP="005E158F">
      <w:pPr>
        <w:pStyle w:val="Notedebasdepage"/>
        <w:rPr>
          <w:szCs w:val="18"/>
          <w:lang w:val="fr-FR"/>
        </w:rPr>
      </w:pPr>
      <w:r>
        <w:rPr>
          <w:szCs w:val="18"/>
        </w:rPr>
        <w:tab/>
      </w:r>
      <w:r w:rsidRPr="00AE7D6E">
        <w:rPr>
          <w:rStyle w:val="Appelnotedebasdep"/>
          <w:sz w:val="20"/>
          <w:vertAlign w:val="baseline"/>
        </w:rPr>
        <w:t>**</w:t>
      </w:r>
      <w:r>
        <w:rPr>
          <w:szCs w:val="18"/>
        </w:rPr>
        <w:tab/>
      </w:r>
      <w:r w:rsidRPr="00AE7D6E">
        <w:rPr>
          <w:szCs w:val="18"/>
          <w:lang w:val="fr-FR"/>
        </w:rPr>
        <w:t xml:space="preserve">Les membres du Comité dont le nom suit ont participé à l’examen de la communication : </w:t>
      </w:r>
      <w:r w:rsidRPr="00AE7D6E">
        <w:rPr>
          <w:szCs w:val="18"/>
        </w:rPr>
        <w:t>Tania María Abdo Rocholl, Yadh Ben Achour, Ilze Brands Kehris, Sarah Cleveland, Ahmed Amin Fathalla, Olivier de Frouville, Christof Heyns, Bamariam Koita, Marcia V.</w:t>
      </w:r>
      <w:r>
        <w:rPr>
          <w:szCs w:val="18"/>
        </w:rPr>
        <w:t xml:space="preserve"> </w:t>
      </w:r>
      <w:r w:rsidRPr="00AE7D6E">
        <w:rPr>
          <w:szCs w:val="18"/>
        </w:rPr>
        <w:t>J. Kran, Mauro Politi, José Manuel Santos Pais, Yuval Shany et Margo Waterval</w:t>
      </w:r>
      <w:r w:rsidRPr="00AE7D6E">
        <w:rPr>
          <w:bCs/>
          <w:szCs w:val="18"/>
        </w:rPr>
        <w:t>.</w:t>
      </w:r>
    </w:p>
  </w:footnote>
  <w:footnote w:id="4">
    <w:p w:rsidR="00AA69CE" w:rsidRPr="00AE7D6E" w:rsidRDefault="00AA69CE" w:rsidP="005E158F">
      <w:pPr>
        <w:pStyle w:val="Notedebasdepage"/>
        <w:rPr>
          <w:szCs w:val="18"/>
        </w:rPr>
      </w:pPr>
      <w:r w:rsidRPr="00AE7D6E">
        <w:rPr>
          <w:rStyle w:val="Appelnotedebasdep"/>
          <w:sz w:val="20"/>
        </w:rPr>
        <w:tab/>
      </w:r>
      <w:r w:rsidRPr="00AE7D6E">
        <w:rPr>
          <w:rStyle w:val="Appelnotedebasdep"/>
          <w:sz w:val="20"/>
          <w:vertAlign w:val="baseline"/>
        </w:rPr>
        <w:t>***</w:t>
      </w:r>
      <w:r w:rsidRPr="00AE7D6E">
        <w:rPr>
          <w:rStyle w:val="Appelnotedebasdep"/>
          <w:szCs w:val="18"/>
          <w:vertAlign w:val="baseline"/>
        </w:rPr>
        <w:tab/>
      </w:r>
      <w:r w:rsidRPr="00AE7D6E">
        <w:rPr>
          <w:szCs w:val="18"/>
          <w:lang w:val="fr-FR"/>
        </w:rPr>
        <w:t>Le texte d’une opinion individuelle signée de Christof Heyns, Marcia V.</w:t>
      </w:r>
      <w:r>
        <w:rPr>
          <w:szCs w:val="18"/>
          <w:lang w:val="fr-FR"/>
        </w:rPr>
        <w:t xml:space="preserve"> </w:t>
      </w:r>
      <w:r w:rsidRPr="00AE7D6E">
        <w:rPr>
          <w:szCs w:val="18"/>
          <w:lang w:val="fr-FR"/>
        </w:rPr>
        <w:t>J. Kran et Yuval Shany est joint aux présentes constatations.</w:t>
      </w:r>
      <w:r w:rsidRPr="00AE7D6E" w:rsidDel="003A3AE1">
        <w:rPr>
          <w:szCs w:val="18"/>
          <w:lang w:val="fr-FR"/>
        </w:rPr>
        <w:t xml:space="preserve"> </w:t>
      </w:r>
    </w:p>
  </w:footnote>
  <w:footnote w:id="5">
    <w:p w:rsidR="00AA69CE" w:rsidRPr="005D2A2E"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Pr>
          <w:lang w:val="fr-FR"/>
        </w:rPr>
        <w:t xml:space="preserve">Voir </w:t>
      </w:r>
      <w:r w:rsidRPr="007A2326">
        <w:rPr>
          <w:lang w:val="fr-FR"/>
        </w:rPr>
        <w:t>CERD/C/DEN/CO/17/Add.1</w:t>
      </w:r>
      <w:r w:rsidRPr="005D2A2E">
        <w:rPr>
          <w:lang w:val="fr-FR"/>
        </w:rPr>
        <w:t xml:space="preserve">, </w:t>
      </w:r>
      <w:r>
        <w:rPr>
          <w:lang w:val="fr-FR"/>
        </w:rPr>
        <w:t>par.</w:t>
      </w:r>
      <w:r w:rsidR="0057269D">
        <w:rPr>
          <w:lang w:val="fr-FR"/>
        </w:rPr>
        <w:t> </w:t>
      </w:r>
      <w:r>
        <w:rPr>
          <w:lang w:val="fr-FR"/>
        </w:rPr>
        <w:t>12</w:t>
      </w:r>
      <w:r w:rsidRPr="005D2A2E">
        <w:rPr>
          <w:lang w:val="fr-FR"/>
        </w:rPr>
        <w:t>.</w:t>
      </w:r>
    </w:p>
  </w:footnote>
  <w:footnote w:id="6">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Pr>
          <w:lang w:val="fr-FR"/>
        </w:rPr>
        <w:t xml:space="preserve">Voir </w:t>
      </w:r>
      <w:r w:rsidRPr="003D3C70">
        <w:rPr>
          <w:lang w:val="fr-FR"/>
        </w:rPr>
        <w:t>CERD/C/DEN/CO/17, par.</w:t>
      </w:r>
      <w:r w:rsidRPr="002D40DC">
        <w:rPr>
          <w:lang w:val="fr-FR"/>
        </w:rPr>
        <w:t> </w:t>
      </w:r>
      <w:r w:rsidRPr="003D3C70">
        <w:rPr>
          <w:lang w:val="fr-FR"/>
        </w:rPr>
        <w:t>13.</w:t>
      </w:r>
    </w:p>
  </w:footnote>
  <w:footnote w:id="7">
    <w:p w:rsidR="00AA69CE" w:rsidRPr="00DD0137" w:rsidRDefault="00AA69CE" w:rsidP="00685027">
      <w:pPr>
        <w:pStyle w:val="Notedebasdepage"/>
        <w:rPr>
          <w:lang w:val="fr-FR"/>
        </w:rPr>
      </w:pPr>
      <w:r w:rsidRPr="002D40DC">
        <w:rPr>
          <w:lang w:val="fr-FR"/>
        </w:rPr>
        <w:tab/>
      </w:r>
      <w:r w:rsidRPr="007D575F">
        <w:rPr>
          <w:rStyle w:val="Appelnotedebasdep"/>
        </w:rPr>
        <w:footnoteRef/>
      </w:r>
      <w:r w:rsidRPr="002D40DC">
        <w:rPr>
          <w:lang w:val="fr-FR"/>
        </w:rPr>
        <w:t xml:space="preserve"> </w:t>
      </w:r>
      <w:r w:rsidRPr="002D40DC">
        <w:rPr>
          <w:lang w:val="fr-FR"/>
        </w:rPr>
        <w:tab/>
        <w:t xml:space="preserve">Voir </w:t>
      </w:r>
      <w:r w:rsidRPr="007A2326">
        <w:rPr>
          <w:i/>
          <w:lang w:val="fr-FR"/>
        </w:rPr>
        <w:t xml:space="preserve">Obah Hussein Ahmed </w:t>
      </w:r>
      <w:r w:rsidRPr="00B2796A">
        <w:rPr>
          <w:i/>
          <w:lang w:val="fr-FR"/>
        </w:rPr>
        <w:t>c.</w:t>
      </w:r>
      <w:r w:rsidRPr="005D2A2E">
        <w:rPr>
          <w:i/>
          <w:lang w:val="fr-FR"/>
        </w:rPr>
        <w:t xml:space="preserve"> Danemark</w:t>
      </w:r>
      <w:r w:rsidRPr="00DD0137">
        <w:rPr>
          <w:lang w:val="fr-FR"/>
        </w:rPr>
        <w:t xml:space="preserve"> (CCPR/C/117/D/2379/2014), par. 4.1 à 4.3.</w:t>
      </w:r>
    </w:p>
  </w:footnote>
  <w:footnote w:id="8">
    <w:p w:rsidR="00AA69CE" w:rsidRPr="005D2A2E" w:rsidRDefault="00AA69CE" w:rsidP="00685027">
      <w:pPr>
        <w:pStyle w:val="Notedebasdepage"/>
        <w:rPr>
          <w:lang w:val="fr-FR"/>
        </w:rPr>
      </w:pPr>
      <w:r w:rsidRPr="00DD0137">
        <w:rPr>
          <w:lang w:val="fr-FR"/>
        </w:rPr>
        <w:tab/>
      </w:r>
      <w:r w:rsidRPr="007D575F">
        <w:rPr>
          <w:rStyle w:val="Appelnotedebasdep"/>
        </w:rPr>
        <w:footnoteRef/>
      </w:r>
      <w:r w:rsidRPr="002D40DC">
        <w:rPr>
          <w:lang w:val="fr-FR"/>
        </w:rPr>
        <w:t xml:space="preserve"> </w:t>
      </w:r>
      <w:r w:rsidRPr="002D40DC">
        <w:rPr>
          <w:lang w:val="fr-FR"/>
        </w:rPr>
        <w:tab/>
        <w:t>L</w:t>
      </w:r>
      <w:r>
        <w:rPr>
          <w:lang w:val="fr-FR"/>
        </w:rPr>
        <w:t>’</w:t>
      </w:r>
      <w:r w:rsidRPr="002D40DC">
        <w:rPr>
          <w:lang w:val="fr-FR"/>
        </w:rPr>
        <w:t>État partie renvoie aux articles 7, al. </w:t>
      </w:r>
      <w:r w:rsidRPr="007A2326">
        <w:rPr>
          <w:lang w:val="fr-FR"/>
        </w:rPr>
        <w:t xml:space="preserve">1 à </w:t>
      </w:r>
      <w:r w:rsidRPr="005D2A2E">
        <w:rPr>
          <w:lang w:val="fr-FR"/>
        </w:rPr>
        <w:t>3, et 31, al. 1 et 2, de la loi sur les étrangers.</w:t>
      </w:r>
    </w:p>
  </w:footnote>
  <w:footnote w:id="9">
    <w:p w:rsidR="00AA69CE" w:rsidRPr="00D76E38" w:rsidRDefault="00AA69CE" w:rsidP="00685027">
      <w:pPr>
        <w:pStyle w:val="Notedebasdepage"/>
        <w:rPr>
          <w:lang w:val="fr-FR"/>
        </w:rPr>
      </w:pPr>
      <w:r w:rsidRPr="005D2A2E">
        <w:rPr>
          <w:lang w:val="fr-FR"/>
        </w:rPr>
        <w:tab/>
      </w:r>
      <w:r w:rsidRPr="007D575F">
        <w:rPr>
          <w:rStyle w:val="Appelnotedebasdep"/>
        </w:rPr>
        <w:footnoteRef/>
      </w:r>
      <w:r w:rsidRPr="002D40DC">
        <w:rPr>
          <w:rStyle w:val="Appelnotedebasdep"/>
          <w:lang w:val="fr-FR"/>
        </w:rPr>
        <w:t xml:space="preserve"> </w:t>
      </w:r>
      <w:r w:rsidRPr="007A2326">
        <w:rPr>
          <w:lang w:val="fr-FR"/>
        </w:rPr>
        <w:tab/>
        <w:t>L</w:t>
      </w:r>
      <w:r>
        <w:rPr>
          <w:lang w:val="fr-FR"/>
        </w:rPr>
        <w:t>’</w:t>
      </w:r>
      <w:r w:rsidRPr="007A2326">
        <w:rPr>
          <w:lang w:val="fr-FR"/>
        </w:rPr>
        <w:t xml:space="preserve">État partie renvoie aux affaires </w:t>
      </w:r>
      <w:r w:rsidRPr="005D2A2E">
        <w:rPr>
          <w:i/>
          <w:lang w:val="fr-FR"/>
        </w:rPr>
        <w:t xml:space="preserve">X </w:t>
      </w:r>
      <w:r w:rsidRPr="00B2796A">
        <w:rPr>
          <w:i/>
          <w:lang w:val="fr-FR"/>
        </w:rPr>
        <w:t>c.</w:t>
      </w:r>
      <w:r w:rsidRPr="00DD0137">
        <w:rPr>
          <w:i/>
          <w:lang w:val="fr-FR"/>
        </w:rPr>
        <w:t xml:space="preserve"> Danemark</w:t>
      </w:r>
      <w:r w:rsidRPr="00DD0137">
        <w:rPr>
          <w:lang w:val="fr-FR"/>
        </w:rPr>
        <w:t xml:space="preserve"> (CCPR/C/110/D/2007/2010), par. 8.5, et </w:t>
      </w:r>
      <w:r w:rsidRPr="00DD0137">
        <w:rPr>
          <w:i/>
          <w:lang w:val="fr-FR"/>
        </w:rPr>
        <w:t>M. X et M</w:t>
      </w:r>
      <w:r w:rsidRPr="00D76E38">
        <w:rPr>
          <w:i/>
          <w:vertAlign w:val="superscript"/>
          <w:lang w:val="fr-FR"/>
        </w:rPr>
        <w:t>me</w:t>
      </w:r>
      <w:r w:rsidRPr="00D76E38">
        <w:rPr>
          <w:i/>
          <w:lang w:val="fr-FR"/>
        </w:rPr>
        <w:t xml:space="preserve"> X </w:t>
      </w:r>
      <w:r w:rsidRPr="00B2796A">
        <w:rPr>
          <w:i/>
          <w:lang w:val="fr-FR"/>
        </w:rPr>
        <w:t>c.</w:t>
      </w:r>
      <w:r w:rsidRPr="00D76E38">
        <w:rPr>
          <w:i/>
          <w:lang w:val="fr-FR"/>
        </w:rPr>
        <w:t xml:space="preserve"> Danemark</w:t>
      </w:r>
      <w:r w:rsidRPr="00D76E38">
        <w:rPr>
          <w:lang w:val="fr-FR"/>
        </w:rPr>
        <w:t xml:space="preserve"> (CCPR/C/112/D/2186/2012), par. 6.3.</w:t>
      </w:r>
    </w:p>
  </w:footnote>
  <w:footnote w:id="10">
    <w:p w:rsidR="00AA69CE" w:rsidRPr="007302A2"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sidRPr="007A2326">
        <w:rPr>
          <w:lang w:val="fr-FR"/>
        </w:rPr>
        <w:t>L</w:t>
      </w:r>
      <w:r>
        <w:rPr>
          <w:lang w:val="fr-FR"/>
        </w:rPr>
        <w:t>’</w:t>
      </w:r>
      <w:r w:rsidRPr="005D2A2E">
        <w:rPr>
          <w:lang w:val="fr-FR"/>
        </w:rPr>
        <w:t>État partie affirme que</w:t>
      </w:r>
      <w:r w:rsidRPr="00DD0137">
        <w:rPr>
          <w:lang w:val="fr-FR"/>
        </w:rPr>
        <w:t xml:space="preserve"> ce mémoire dit : « </w:t>
      </w:r>
      <w:r>
        <w:rPr>
          <w:lang w:val="fr-FR"/>
        </w:rPr>
        <w:t>I</w:t>
      </w:r>
      <w:r w:rsidRPr="00DD0137">
        <w:rPr>
          <w:lang w:val="fr-FR"/>
        </w:rPr>
        <w:t>l convient de noter que le dossier a été renvoyé au Service danois de l</w:t>
      </w:r>
      <w:r>
        <w:rPr>
          <w:lang w:val="fr-FR"/>
        </w:rPr>
        <w:t>’</w:t>
      </w:r>
      <w:r w:rsidRPr="00DD0137">
        <w:rPr>
          <w:lang w:val="fr-FR"/>
        </w:rPr>
        <w:t>immigration pour réexamen, mon client s</w:t>
      </w:r>
      <w:r>
        <w:rPr>
          <w:lang w:val="fr-FR"/>
        </w:rPr>
        <w:t>’</w:t>
      </w:r>
      <w:r w:rsidRPr="00DD0137">
        <w:rPr>
          <w:lang w:val="fr-FR"/>
        </w:rPr>
        <w:t>étant converti au christianisme postérieurement à la décision initiale de rejet de sa demande d</w:t>
      </w:r>
      <w:r>
        <w:rPr>
          <w:lang w:val="fr-FR"/>
        </w:rPr>
        <w:t>’</w:t>
      </w:r>
      <w:r w:rsidRPr="00DD0137">
        <w:rPr>
          <w:lang w:val="fr-FR"/>
        </w:rPr>
        <w:t>asile par le Service danois de l</w:t>
      </w:r>
      <w:r>
        <w:rPr>
          <w:lang w:val="fr-FR"/>
        </w:rPr>
        <w:t>’</w:t>
      </w:r>
      <w:r w:rsidRPr="00DD0137">
        <w:rPr>
          <w:lang w:val="fr-FR"/>
        </w:rPr>
        <w:t>immigration. En plus du motif initial de sa demande d</w:t>
      </w:r>
      <w:r>
        <w:rPr>
          <w:lang w:val="fr-FR"/>
        </w:rPr>
        <w:t>’</w:t>
      </w:r>
      <w:r w:rsidRPr="00DD0137">
        <w:rPr>
          <w:lang w:val="fr-FR"/>
        </w:rPr>
        <w:t>asile,</w:t>
      </w:r>
      <w:r w:rsidRPr="007302A2">
        <w:rPr>
          <w:lang w:val="fr-FR"/>
        </w:rPr>
        <w:t xml:space="preserve"> qui était fondé sur son pays d</w:t>
      </w:r>
      <w:r>
        <w:rPr>
          <w:lang w:val="fr-FR"/>
        </w:rPr>
        <w:t>’</w:t>
      </w:r>
      <w:r w:rsidRPr="007302A2">
        <w:rPr>
          <w:lang w:val="fr-FR"/>
        </w:rPr>
        <w:t>origine, mon client a maintenant formulé une demande “sur place” fondée sur le risque de persécution auquel il est exposé pour avoir renié l</w:t>
      </w:r>
      <w:r>
        <w:rPr>
          <w:lang w:val="fr-FR"/>
        </w:rPr>
        <w:t>’</w:t>
      </w:r>
      <w:r w:rsidRPr="007302A2">
        <w:rPr>
          <w:lang w:val="fr-FR"/>
        </w:rPr>
        <w:t>islam ».</w:t>
      </w:r>
    </w:p>
  </w:footnote>
  <w:footnote w:id="11">
    <w:p w:rsidR="00AA69CE" w:rsidRPr="00D76E38"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sidRPr="004E50C1">
        <w:rPr>
          <w:spacing w:val="-2"/>
          <w:lang w:val="fr-FR"/>
        </w:rPr>
        <w:t xml:space="preserve">Voir </w:t>
      </w:r>
      <w:r w:rsidRPr="004E50C1">
        <w:rPr>
          <w:i/>
          <w:spacing w:val="-2"/>
          <w:lang w:val="fr-FR"/>
        </w:rPr>
        <w:t>A. A. I. et A. H. A. c. Danemark</w:t>
      </w:r>
      <w:r w:rsidRPr="004E50C1">
        <w:rPr>
          <w:spacing w:val="-2"/>
          <w:lang w:val="fr-FR"/>
        </w:rPr>
        <w:t xml:space="preserve"> (CCPR/C/116/D/2402/2014), par. 6.5, et </w:t>
      </w:r>
      <w:r w:rsidRPr="004E50C1">
        <w:rPr>
          <w:i/>
          <w:spacing w:val="-2"/>
          <w:lang w:val="fr-FR"/>
        </w:rPr>
        <w:t>X c. Danemark</w:t>
      </w:r>
      <w:r w:rsidRPr="004E50C1">
        <w:rPr>
          <w:spacing w:val="-2"/>
          <w:lang w:val="fr-FR"/>
        </w:rPr>
        <w:t>, par. 9.2</w:t>
      </w:r>
      <w:r w:rsidRPr="00D76E38">
        <w:rPr>
          <w:lang w:val="fr-FR"/>
        </w:rPr>
        <w:t>.</w:t>
      </w:r>
    </w:p>
  </w:footnote>
  <w:footnote w:id="12">
    <w:p w:rsidR="00AA69CE" w:rsidRPr="003D3C70" w:rsidRDefault="00AA69CE" w:rsidP="00685027">
      <w:pPr>
        <w:pStyle w:val="Notedebasdepage"/>
        <w:rPr>
          <w:lang w:val="fr-FR"/>
        </w:rPr>
      </w:pPr>
      <w:r>
        <w:rPr>
          <w:lang w:val="fr-FR"/>
        </w:rPr>
        <w:tab/>
      </w:r>
      <w:r w:rsidRPr="007D575F">
        <w:rPr>
          <w:rStyle w:val="Appelnotedebasdep"/>
        </w:rPr>
        <w:footnoteRef/>
      </w:r>
      <w:r>
        <w:rPr>
          <w:lang w:val="fr-FR"/>
        </w:rPr>
        <w:tab/>
      </w:r>
      <w:r w:rsidRPr="003D3C70">
        <w:rPr>
          <w:lang w:val="fr-FR"/>
        </w:rPr>
        <w:t>La Commission</w:t>
      </w:r>
      <w:r>
        <w:rPr>
          <w:lang w:val="fr-FR"/>
        </w:rPr>
        <w:t xml:space="preserve"> danoise de recours des réfugiés</w:t>
      </w:r>
      <w:r w:rsidRPr="003D3C70">
        <w:rPr>
          <w:lang w:val="fr-FR"/>
        </w:rPr>
        <w:t xml:space="preserve"> a estimé que l</w:t>
      </w:r>
      <w:r>
        <w:rPr>
          <w:lang w:val="fr-FR"/>
        </w:rPr>
        <w:t>’</w:t>
      </w:r>
      <w:r w:rsidRPr="003D3C70">
        <w:rPr>
          <w:lang w:val="fr-FR"/>
        </w:rPr>
        <w:t>auteur n</w:t>
      </w:r>
      <w:r>
        <w:rPr>
          <w:lang w:val="fr-FR"/>
        </w:rPr>
        <w:t>’</w:t>
      </w:r>
      <w:r w:rsidRPr="003D3C70">
        <w:rPr>
          <w:lang w:val="fr-FR"/>
        </w:rPr>
        <w:t>avait pas</w:t>
      </w:r>
      <w:r>
        <w:rPr>
          <w:lang w:val="fr-FR"/>
        </w:rPr>
        <w:t xml:space="preserve"> suffisamment</w:t>
      </w:r>
      <w:r w:rsidRPr="003D3C70">
        <w:rPr>
          <w:lang w:val="fr-FR"/>
        </w:rPr>
        <w:t xml:space="preserve"> </w:t>
      </w:r>
      <w:r w:rsidRPr="002D40DC">
        <w:rPr>
          <w:lang w:val="fr-FR"/>
        </w:rPr>
        <w:t>établi qu</w:t>
      </w:r>
      <w:r>
        <w:rPr>
          <w:lang w:val="fr-FR"/>
        </w:rPr>
        <w:t>’</w:t>
      </w:r>
      <w:r w:rsidRPr="002D40DC">
        <w:rPr>
          <w:lang w:val="fr-FR"/>
        </w:rPr>
        <w:t xml:space="preserve">il </w:t>
      </w:r>
      <w:r>
        <w:rPr>
          <w:lang w:val="fr-FR"/>
        </w:rPr>
        <w:t>serait exposé à des persécutions ou</w:t>
      </w:r>
      <w:r w:rsidRPr="002D40DC">
        <w:rPr>
          <w:lang w:val="fr-FR"/>
        </w:rPr>
        <w:t xml:space="preserve"> des violences </w:t>
      </w:r>
      <w:r w:rsidRPr="007A2326">
        <w:rPr>
          <w:lang w:val="fr-FR"/>
        </w:rPr>
        <w:t>relevant des paragraphes</w:t>
      </w:r>
      <w:r>
        <w:rPr>
          <w:lang w:val="fr-FR"/>
        </w:rPr>
        <w:t> </w:t>
      </w:r>
      <w:r w:rsidRPr="007A2326">
        <w:rPr>
          <w:lang w:val="fr-FR"/>
        </w:rPr>
        <w:t>1 et 2 de l</w:t>
      </w:r>
      <w:r>
        <w:rPr>
          <w:lang w:val="fr-FR"/>
        </w:rPr>
        <w:t>’article </w:t>
      </w:r>
      <w:r w:rsidRPr="005D2A2E">
        <w:rPr>
          <w:lang w:val="fr-FR"/>
        </w:rPr>
        <w:t>7 de la loi sur les étrangers pour avoir refusé de continuer à travailler pour les Bassidji</w:t>
      </w:r>
      <w:r w:rsidRPr="003D3C70">
        <w:rPr>
          <w:lang w:val="fr-FR"/>
        </w:rPr>
        <w:t xml:space="preserve">. </w:t>
      </w:r>
      <w:r>
        <w:rPr>
          <w:lang w:val="fr-FR"/>
        </w:rPr>
        <w:t xml:space="preserve">Elle </w:t>
      </w:r>
      <w:r w:rsidRPr="002D40DC">
        <w:rPr>
          <w:lang w:val="fr-FR"/>
        </w:rPr>
        <w:t>a souligné que la déclaration de l</w:t>
      </w:r>
      <w:r>
        <w:rPr>
          <w:lang w:val="fr-FR"/>
        </w:rPr>
        <w:t>’</w:t>
      </w:r>
      <w:r w:rsidRPr="002D40DC">
        <w:rPr>
          <w:lang w:val="fr-FR"/>
        </w:rPr>
        <w:t xml:space="preserve">auteur </w:t>
      </w:r>
      <w:r w:rsidRPr="007A2326">
        <w:rPr>
          <w:lang w:val="fr-FR"/>
        </w:rPr>
        <w:t xml:space="preserve">concernant son appartenance aux Bassidji </w:t>
      </w:r>
      <w:r w:rsidRPr="005D2A2E">
        <w:rPr>
          <w:lang w:val="fr-FR"/>
        </w:rPr>
        <w:t xml:space="preserve">devait être rejetée </w:t>
      </w:r>
      <w:r>
        <w:rPr>
          <w:lang w:val="fr-FR"/>
        </w:rPr>
        <w:t>faute</w:t>
      </w:r>
      <w:r w:rsidRPr="005D2A2E">
        <w:rPr>
          <w:lang w:val="fr-FR"/>
        </w:rPr>
        <w:t xml:space="preserve"> de crédibilité sur des points </w:t>
      </w:r>
      <w:r>
        <w:rPr>
          <w:lang w:val="fr-FR"/>
        </w:rPr>
        <w:t xml:space="preserve">fondamentaux parce que </w:t>
      </w:r>
      <w:r w:rsidRPr="005D2A2E">
        <w:rPr>
          <w:lang w:val="fr-FR"/>
        </w:rPr>
        <w:t>l</w:t>
      </w:r>
      <w:r>
        <w:rPr>
          <w:lang w:val="fr-FR"/>
        </w:rPr>
        <w:t>’</w:t>
      </w:r>
      <w:r w:rsidRPr="005D2A2E">
        <w:rPr>
          <w:lang w:val="fr-FR"/>
        </w:rPr>
        <w:t>auteur avait</w:t>
      </w:r>
      <w:r>
        <w:rPr>
          <w:lang w:val="fr-FR"/>
        </w:rPr>
        <w:t>, entre autres,</w:t>
      </w:r>
      <w:r w:rsidRPr="005D2A2E">
        <w:rPr>
          <w:lang w:val="fr-FR"/>
        </w:rPr>
        <w:t xml:space="preserve"> fait des déclar</w:t>
      </w:r>
      <w:r w:rsidRPr="00DD0137">
        <w:rPr>
          <w:lang w:val="fr-FR"/>
        </w:rPr>
        <w:t xml:space="preserve">ations </w:t>
      </w:r>
      <w:r>
        <w:rPr>
          <w:lang w:val="fr-FR"/>
        </w:rPr>
        <w:t>contradictoires</w:t>
      </w:r>
      <w:r w:rsidRPr="00DD0137">
        <w:rPr>
          <w:lang w:val="fr-FR"/>
        </w:rPr>
        <w:t xml:space="preserve"> </w:t>
      </w:r>
      <w:r>
        <w:rPr>
          <w:lang w:val="fr-FR"/>
        </w:rPr>
        <w:t>au sujet de</w:t>
      </w:r>
      <w:r w:rsidRPr="00DD0137">
        <w:rPr>
          <w:lang w:val="fr-FR"/>
        </w:rPr>
        <w:t xml:space="preserve"> la période durant laquelle il avait appartenu aux Bassidji et </w:t>
      </w:r>
      <w:r>
        <w:rPr>
          <w:lang w:val="fr-FR"/>
        </w:rPr>
        <w:t>des</w:t>
      </w:r>
      <w:r w:rsidRPr="00DD0137">
        <w:rPr>
          <w:lang w:val="fr-FR"/>
        </w:rPr>
        <w:t xml:space="preserve"> </w:t>
      </w:r>
      <w:r w:rsidRPr="00D76E38">
        <w:rPr>
          <w:lang w:val="fr-FR"/>
        </w:rPr>
        <w:t>tâches qu</w:t>
      </w:r>
      <w:r>
        <w:rPr>
          <w:lang w:val="fr-FR"/>
        </w:rPr>
        <w:t>’</w:t>
      </w:r>
      <w:r w:rsidRPr="00D76E38">
        <w:rPr>
          <w:lang w:val="fr-FR"/>
        </w:rPr>
        <w:t xml:space="preserve">il </w:t>
      </w:r>
      <w:r>
        <w:rPr>
          <w:lang w:val="fr-FR"/>
        </w:rPr>
        <w:t xml:space="preserve">exécutait </w:t>
      </w:r>
      <w:r w:rsidRPr="00D76E38">
        <w:rPr>
          <w:lang w:val="fr-FR"/>
        </w:rPr>
        <w:t>pour le mouvement</w:t>
      </w:r>
      <w:r w:rsidRPr="003D3C70">
        <w:rPr>
          <w:lang w:val="fr-FR"/>
        </w:rPr>
        <w:t xml:space="preserve">. </w:t>
      </w:r>
      <w:r w:rsidRPr="002D40DC">
        <w:rPr>
          <w:lang w:val="fr-FR"/>
        </w:rPr>
        <w:t>Lors de l</w:t>
      </w:r>
      <w:r>
        <w:rPr>
          <w:lang w:val="fr-FR"/>
        </w:rPr>
        <w:t>’</w:t>
      </w:r>
      <w:r w:rsidRPr="002D40DC">
        <w:rPr>
          <w:lang w:val="fr-FR"/>
        </w:rPr>
        <w:t>audition devant le Service danois de l</w:t>
      </w:r>
      <w:r>
        <w:rPr>
          <w:lang w:val="fr-FR"/>
        </w:rPr>
        <w:t>’</w:t>
      </w:r>
      <w:r w:rsidRPr="002D40DC">
        <w:rPr>
          <w:lang w:val="fr-FR"/>
        </w:rPr>
        <w:t>immi</w:t>
      </w:r>
      <w:r w:rsidRPr="007A2326">
        <w:rPr>
          <w:lang w:val="fr-FR"/>
        </w:rPr>
        <w:t>gration, l</w:t>
      </w:r>
      <w:r>
        <w:rPr>
          <w:lang w:val="fr-FR"/>
        </w:rPr>
        <w:t>’</w:t>
      </w:r>
      <w:r w:rsidRPr="007A2326">
        <w:rPr>
          <w:lang w:val="fr-FR"/>
        </w:rPr>
        <w:t xml:space="preserve">auteur </w:t>
      </w:r>
      <w:r w:rsidRPr="005D2A2E">
        <w:rPr>
          <w:lang w:val="fr-FR"/>
        </w:rPr>
        <w:t>avait déclaré qu</w:t>
      </w:r>
      <w:r>
        <w:rPr>
          <w:lang w:val="fr-FR"/>
        </w:rPr>
        <w:t>’</w:t>
      </w:r>
      <w:r w:rsidRPr="005D2A2E">
        <w:rPr>
          <w:lang w:val="fr-FR"/>
        </w:rPr>
        <w:t>on avait fait pression sur lui pour qu</w:t>
      </w:r>
      <w:r>
        <w:rPr>
          <w:lang w:val="fr-FR"/>
        </w:rPr>
        <w:t>’</w:t>
      </w:r>
      <w:r w:rsidRPr="005D2A2E">
        <w:rPr>
          <w:lang w:val="fr-FR"/>
        </w:rPr>
        <w:t xml:space="preserve">il </w:t>
      </w:r>
      <w:r>
        <w:rPr>
          <w:lang w:val="fr-FR"/>
        </w:rPr>
        <w:t>fabrique</w:t>
      </w:r>
      <w:r w:rsidRPr="00DD0137">
        <w:rPr>
          <w:lang w:val="fr-FR"/>
        </w:rPr>
        <w:t xml:space="preserve"> des informations </w:t>
      </w:r>
      <w:r>
        <w:rPr>
          <w:lang w:val="fr-FR"/>
        </w:rPr>
        <w:t>sur</w:t>
      </w:r>
      <w:r w:rsidRPr="00DD0137">
        <w:rPr>
          <w:lang w:val="fr-FR"/>
        </w:rPr>
        <w:t xml:space="preserve"> des manifestants</w:t>
      </w:r>
      <w:r w:rsidRPr="003D3C70">
        <w:rPr>
          <w:lang w:val="fr-FR"/>
        </w:rPr>
        <w:t xml:space="preserve">, </w:t>
      </w:r>
      <w:r w:rsidRPr="002D40DC">
        <w:rPr>
          <w:lang w:val="fr-FR"/>
        </w:rPr>
        <w:t xml:space="preserve">alors que devant la Commission de recours des réfugiés, il avait </w:t>
      </w:r>
      <w:r>
        <w:rPr>
          <w:lang w:val="fr-FR"/>
        </w:rPr>
        <w:t xml:space="preserve">affirmé </w:t>
      </w:r>
      <w:r w:rsidRPr="002D40DC">
        <w:rPr>
          <w:lang w:val="fr-FR"/>
        </w:rPr>
        <w:t>qu</w:t>
      </w:r>
      <w:r>
        <w:rPr>
          <w:lang w:val="fr-FR"/>
        </w:rPr>
        <w:t>’</w:t>
      </w:r>
      <w:r w:rsidRPr="007A2326">
        <w:rPr>
          <w:lang w:val="fr-FR"/>
        </w:rPr>
        <w:t xml:space="preserve">il </w:t>
      </w:r>
      <w:r w:rsidRPr="005D2A2E">
        <w:rPr>
          <w:lang w:val="fr-FR"/>
        </w:rPr>
        <w:t>n</w:t>
      </w:r>
      <w:r>
        <w:rPr>
          <w:lang w:val="fr-FR"/>
        </w:rPr>
        <w:t>’</w:t>
      </w:r>
      <w:r w:rsidRPr="005D2A2E">
        <w:rPr>
          <w:lang w:val="fr-FR"/>
        </w:rPr>
        <w:t xml:space="preserve">avait à aucun moment cédé à des pressions visant à le faire fabriquer des </w:t>
      </w:r>
      <w:r w:rsidRPr="003D3C70">
        <w:rPr>
          <w:lang w:val="fr-FR"/>
        </w:rPr>
        <w:t>information</w:t>
      </w:r>
      <w:r w:rsidRPr="002D40DC">
        <w:rPr>
          <w:lang w:val="fr-FR"/>
        </w:rPr>
        <w:t>s</w:t>
      </w:r>
      <w:r w:rsidRPr="003D3C70">
        <w:rPr>
          <w:lang w:val="fr-FR"/>
        </w:rPr>
        <w:t>.</w:t>
      </w:r>
    </w:p>
  </w:footnote>
  <w:footnote w:id="13">
    <w:p w:rsidR="00AA69CE" w:rsidRPr="005D2A2E" w:rsidRDefault="00AA69CE" w:rsidP="00685027">
      <w:pPr>
        <w:pStyle w:val="Notedebasdepage"/>
        <w:rPr>
          <w:lang w:val="fr-FR"/>
        </w:rPr>
      </w:pPr>
      <w:r w:rsidRPr="003D3C70">
        <w:rPr>
          <w:lang w:val="fr-FR"/>
        </w:rPr>
        <w:tab/>
      </w:r>
      <w:r w:rsidRPr="007D575F">
        <w:rPr>
          <w:rStyle w:val="Appelnotedebasdep"/>
        </w:rPr>
        <w:footnoteRef/>
      </w:r>
      <w:r w:rsidRPr="003D3C70">
        <w:rPr>
          <w:lang w:val="fr-FR"/>
        </w:rPr>
        <w:tab/>
      </w:r>
      <w:r>
        <w:rPr>
          <w:lang w:val="fr-FR"/>
        </w:rPr>
        <w:t xml:space="preserve">Le paragraphe 96 se lit comme suit : </w:t>
      </w:r>
      <w:r w:rsidRPr="002D40DC">
        <w:rPr>
          <w:lang w:val="fr-FR"/>
        </w:rPr>
        <w:t>« Une personne peut devenir un réfugié “sur place” de son propre fait, par exemple en raison des rapports qu</w:t>
      </w:r>
      <w:r>
        <w:rPr>
          <w:lang w:val="fr-FR"/>
        </w:rPr>
        <w:t>’</w:t>
      </w:r>
      <w:r w:rsidRPr="002D40DC">
        <w:rPr>
          <w:lang w:val="fr-FR"/>
        </w:rPr>
        <w:t>elle entretient avec des réfugiés déjà reconnus comme tels ou des opinions politiques qu</w:t>
      </w:r>
      <w:r>
        <w:rPr>
          <w:lang w:val="fr-FR"/>
        </w:rPr>
        <w:t>’</w:t>
      </w:r>
      <w:r w:rsidRPr="002D40DC">
        <w:rPr>
          <w:lang w:val="fr-FR"/>
        </w:rPr>
        <w:t xml:space="preserve">elle a </w:t>
      </w:r>
      <w:r w:rsidRPr="007A2326">
        <w:rPr>
          <w:lang w:val="fr-FR"/>
        </w:rPr>
        <w:t>exprimées dans le pays où elle réside. La question de savoir si de tels actes suffisent à établir la crainte fondée de persécution doit être résolue à la suite d</w:t>
      </w:r>
      <w:r>
        <w:rPr>
          <w:lang w:val="fr-FR"/>
        </w:rPr>
        <w:t>’</w:t>
      </w:r>
      <w:r w:rsidRPr="007A2326">
        <w:rPr>
          <w:lang w:val="fr-FR"/>
        </w:rPr>
        <w:t>un examen approfondi des circonstances. En particulier il y a lieu de vérifier si ces actes so</w:t>
      </w:r>
      <w:r w:rsidRPr="005D2A2E">
        <w:rPr>
          <w:lang w:val="fr-FR"/>
        </w:rPr>
        <w:t>nt arrivés à la connaissance des autorités du pays d</w:t>
      </w:r>
      <w:r>
        <w:rPr>
          <w:lang w:val="fr-FR"/>
        </w:rPr>
        <w:t>’</w:t>
      </w:r>
      <w:r w:rsidRPr="005D2A2E">
        <w:rPr>
          <w:lang w:val="fr-FR"/>
        </w:rPr>
        <w:t>origine et de quelle manière ils pourraient être jugés par elles. ».</w:t>
      </w:r>
    </w:p>
  </w:footnote>
  <w:footnote w:id="14">
    <w:p w:rsidR="00AA69CE" w:rsidRPr="003D3C70" w:rsidRDefault="00AA69CE" w:rsidP="00685027">
      <w:pPr>
        <w:pStyle w:val="Notedebasdepage"/>
        <w:rPr>
          <w:lang w:val="fr-FR"/>
        </w:rPr>
      </w:pPr>
      <w:r>
        <w:rPr>
          <w:lang w:val="fr-FR"/>
        </w:rPr>
        <w:tab/>
      </w:r>
      <w:r w:rsidRPr="007D575F">
        <w:rPr>
          <w:rStyle w:val="Appelnotedebasdep"/>
        </w:rPr>
        <w:footnoteRef/>
      </w:r>
      <w:r>
        <w:rPr>
          <w:lang w:val="fr-FR"/>
        </w:rPr>
        <w:tab/>
      </w:r>
      <w:r w:rsidRPr="002D40DC">
        <w:rPr>
          <w:lang w:val="fr-FR"/>
        </w:rPr>
        <w:t>La Commission</w:t>
      </w:r>
      <w:r>
        <w:rPr>
          <w:lang w:val="fr-FR"/>
        </w:rPr>
        <w:t xml:space="preserve"> danoise</w:t>
      </w:r>
      <w:r w:rsidRPr="002D40DC">
        <w:rPr>
          <w:lang w:val="fr-FR"/>
        </w:rPr>
        <w:t xml:space="preserve"> de recours des réfugiés procède à une </w:t>
      </w:r>
      <w:r>
        <w:rPr>
          <w:lang w:val="fr-FR"/>
        </w:rPr>
        <w:t>évaluation</w:t>
      </w:r>
      <w:r w:rsidRPr="002D40DC">
        <w:rPr>
          <w:lang w:val="fr-FR"/>
        </w:rPr>
        <w:t xml:space="preserve"> globale des éléments de fait propres à chaque affaire dans laquelle</w:t>
      </w:r>
      <w:r w:rsidRPr="007A2326">
        <w:rPr>
          <w:lang w:val="fr-FR"/>
        </w:rPr>
        <w:t xml:space="preserve"> un demandeur d</w:t>
      </w:r>
      <w:r>
        <w:rPr>
          <w:lang w:val="fr-FR"/>
        </w:rPr>
        <w:t>’</w:t>
      </w:r>
      <w:r w:rsidRPr="007A2326">
        <w:rPr>
          <w:lang w:val="fr-FR"/>
        </w:rPr>
        <w:t>asile prétend s</w:t>
      </w:r>
      <w:r>
        <w:rPr>
          <w:lang w:val="fr-FR"/>
        </w:rPr>
        <w:t>’</w:t>
      </w:r>
      <w:r w:rsidRPr="007A2326">
        <w:rPr>
          <w:lang w:val="fr-FR"/>
        </w:rPr>
        <w:t xml:space="preserve">être converti, </w:t>
      </w:r>
      <w:r>
        <w:rPr>
          <w:lang w:val="fr-FR"/>
        </w:rPr>
        <w:t>appréciant</w:t>
      </w:r>
      <w:r w:rsidRPr="007A2326">
        <w:rPr>
          <w:lang w:val="fr-FR"/>
        </w:rPr>
        <w:t xml:space="preserve"> notamment le niveau d</w:t>
      </w:r>
      <w:r>
        <w:rPr>
          <w:lang w:val="fr-FR"/>
        </w:rPr>
        <w:t>’</w:t>
      </w:r>
      <w:r w:rsidRPr="007A2326">
        <w:rPr>
          <w:lang w:val="fr-FR"/>
        </w:rPr>
        <w:t>instruction du demandeur, sa connaissance du christianisme, les motifs de sa conversion, les considérations touchant aux conséquences d</w:t>
      </w:r>
      <w:r>
        <w:rPr>
          <w:lang w:val="fr-FR"/>
        </w:rPr>
        <w:t>’</w:t>
      </w:r>
      <w:r w:rsidRPr="007A2326">
        <w:rPr>
          <w:lang w:val="fr-FR"/>
        </w:rPr>
        <w:t>une conversion</w:t>
      </w:r>
      <w:r>
        <w:rPr>
          <w:lang w:val="fr-FR"/>
        </w:rPr>
        <w:t xml:space="preserve"> et</w:t>
      </w:r>
      <w:r w:rsidRPr="007A2326">
        <w:rPr>
          <w:lang w:val="fr-FR"/>
        </w:rPr>
        <w:t xml:space="preserve"> sa participation à de</w:t>
      </w:r>
      <w:r w:rsidRPr="005D2A2E">
        <w:rPr>
          <w:lang w:val="fr-FR"/>
        </w:rPr>
        <w:t xml:space="preserve">s activités religieuses, </w:t>
      </w:r>
      <w:r>
        <w:rPr>
          <w:lang w:val="fr-FR"/>
        </w:rPr>
        <w:t xml:space="preserve">ainsi que </w:t>
      </w:r>
      <w:r w:rsidRPr="005D2A2E">
        <w:rPr>
          <w:lang w:val="fr-FR"/>
        </w:rPr>
        <w:t>la crédibilité générale du demandeur d</w:t>
      </w:r>
      <w:r>
        <w:rPr>
          <w:lang w:val="fr-FR"/>
        </w:rPr>
        <w:t>’</w:t>
      </w:r>
      <w:r w:rsidRPr="005D2A2E">
        <w:rPr>
          <w:lang w:val="fr-FR"/>
        </w:rPr>
        <w:t>asile et l</w:t>
      </w:r>
      <w:r>
        <w:rPr>
          <w:lang w:val="fr-FR"/>
        </w:rPr>
        <w:t>’</w:t>
      </w:r>
      <w:r w:rsidRPr="005D2A2E">
        <w:rPr>
          <w:lang w:val="fr-FR"/>
        </w:rPr>
        <w:t>ensemble du processus qui l</w:t>
      </w:r>
      <w:r>
        <w:rPr>
          <w:lang w:val="fr-FR"/>
        </w:rPr>
        <w:t>’</w:t>
      </w:r>
      <w:r w:rsidRPr="005D2A2E">
        <w:rPr>
          <w:lang w:val="fr-FR"/>
        </w:rPr>
        <w:t>a amené à se convertir. Elle prend également en compte dans son analyse les déclarations de personnes qui ont rencontré le demandeur d</w:t>
      </w:r>
      <w:r>
        <w:rPr>
          <w:lang w:val="fr-FR"/>
        </w:rPr>
        <w:t>’</w:t>
      </w:r>
      <w:r w:rsidRPr="005D2A2E">
        <w:rPr>
          <w:lang w:val="fr-FR"/>
        </w:rPr>
        <w:t>asile dans un cadre religieux.</w:t>
      </w:r>
    </w:p>
  </w:footnote>
  <w:footnote w:id="15">
    <w:p w:rsidR="00AA69CE" w:rsidRPr="007302A2"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Pr>
          <w:lang w:val="fr-FR"/>
        </w:rPr>
        <w:t xml:space="preserve">Voir </w:t>
      </w:r>
      <w:r w:rsidRPr="002D40DC">
        <w:rPr>
          <w:lang w:val="fr-FR"/>
        </w:rPr>
        <w:t>Cour européenne des droits de l</w:t>
      </w:r>
      <w:r>
        <w:rPr>
          <w:lang w:val="fr-FR"/>
        </w:rPr>
        <w:t>’</w:t>
      </w:r>
      <w:r w:rsidRPr="002D40DC">
        <w:rPr>
          <w:lang w:val="fr-FR"/>
        </w:rPr>
        <w:t xml:space="preserve">homme, </w:t>
      </w:r>
      <w:r w:rsidRPr="007A2326">
        <w:rPr>
          <w:i/>
          <w:lang w:val="fr-FR"/>
        </w:rPr>
        <w:t>R. C.</w:t>
      </w:r>
      <w:r w:rsidRPr="005D2A2E">
        <w:rPr>
          <w:lang w:val="fr-FR"/>
        </w:rPr>
        <w:t xml:space="preserve"> </w:t>
      </w:r>
      <w:r w:rsidRPr="00B2796A">
        <w:rPr>
          <w:i/>
          <w:iCs/>
          <w:lang w:val="fr-FR"/>
        </w:rPr>
        <w:t>c.</w:t>
      </w:r>
      <w:r w:rsidRPr="005D2A2E">
        <w:rPr>
          <w:lang w:val="fr-FR"/>
        </w:rPr>
        <w:t xml:space="preserve"> </w:t>
      </w:r>
      <w:r w:rsidRPr="00DD0137">
        <w:rPr>
          <w:i/>
          <w:lang w:val="fr-FR"/>
        </w:rPr>
        <w:t>Suède</w:t>
      </w:r>
      <w:r w:rsidRPr="007302A2">
        <w:rPr>
          <w:lang w:val="fr-FR"/>
        </w:rPr>
        <w:t xml:space="preserve"> (requête </w:t>
      </w:r>
      <w:r w:rsidRPr="007302A2">
        <w:rPr>
          <w:rFonts w:eastAsia="MS Mincho"/>
          <w:lang w:val="fr-FR"/>
        </w:rPr>
        <w:t>n</w:t>
      </w:r>
      <w:r w:rsidRPr="007302A2">
        <w:rPr>
          <w:rFonts w:eastAsia="MS Mincho"/>
          <w:vertAlign w:val="superscript"/>
          <w:lang w:val="fr-FR"/>
        </w:rPr>
        <w:t>o</w:t>
      </w:r>
      <w:r w:rsidRPr="007302A2">
        <w:rPr>
          <w:lang w:val="fr-FR"/>
        </w:rPr>
        <w:t xml:space="preserve"> 41827/07), </w:t>
      </w:r>
      <w:r>
        <w:rPr>
          <w:lang w:val="fr-FR"/>
        </w:rPr>
        <w:t xml:space="preserve">arrêt du </w:t>
      </w:r>
      <w:r w:rsidRPr="007302A2">
        <w:rPr>
          <w:lang w:val="fr-FR"/>
        </w:rPr>
        <w:t>9 mars 2010, par. 52.</w:t>
      </w:r>
    </w:p>
  </w:footnote>
  <w:footnote w:id="16">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rStyle w:val="Appelnotedebasdep"/>
          <w:lang w:val="fr-FR"/>
        </w:rPr>
        <w:tab/>
      </w:r>
      <w:r>
        <w:rPr>
          <w:lang w:val="fr-FR"/>
        </w:rPr>
        <w:t xml:space="preserve">Voir </w:t>
      </w:r>
      <w:r w:rsidRPr="002D40DC">
        <w:rPr>
          <w:lang w:val="fr-FR"/>
        </w:rPr>
        <w:t>Cour européenne des droits de l</w:t>
      </w:r>
      <w:r>
        <w:rPr>
          <w:lang w:val="fr-FR"/>
        </w:rPr>
        <w:t>’</w:t>
      </w:r>
      <w:r w:rsidRPr="002D40DC">
        <w:rPr>
          <w:lang w:val="fr-FR"/>
        </w:rPr>
        <w:t>homme</w:t>
      </w:r>
      <w:r w:rsidRPr="003D3C70">
        <w:rPr>
          <w:lang w:val="fr-FR"/>
        </w:rPr>
        <w:t xml:space="preserve">, </w:t>
      </w:r>
      <w:r w:rsidRPr="003D3C70">
        <w:rPr>
          <w:i/>
          <w:lang w:val="fr-FR"/>
        </w:rPr>
        <w:t xml:space="preserve">M. E.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xml:space="preserve"> (</w:t>
      </w:r>
      <w:r w:rsidRPr="002D40DC">
        <w:rPr>
          <w:lang w:val="fr-FR"/>
        </w:rPr>
        <w:t>requête</w:t>
      </w:r>
      <w:r w:rsidRPr="003D3C70">
        <w:rPr>
          <w:lang w:val="fr-FR"/>
        </w:rPr>
        <w:t xml:space="preserve"> </w:t>
      </w:r>
      <w:r w:rsidRPr="002D40DC">
        <w:rPr>
          <w:rFonts w:eastAsia="MS Mincho"/>
          <w:lang w:val="fr-FR"/>
        </w:rPr>
        <w:t>n</w:t>
      </w:r>
      <w:r w:rsidRPr="007A2326">
        <w:rPr>
          <w:rFonts w:eastAsia="MS Mincho"/>
          <w:vertAlign w:val="superscript"/>
          <w:lang w:val="fr-FR"/>
        </w:rPr>
        <w:t>o</w:t>
      </w:r>
      <w:r w:rsidRPr="005D2A2E">
        <w:rPr>
          <w:lang w:val="fr-FR"/>
        </w:rPr>
        <w:t> </w:t>
      </w:r>
      <w:r w:rsidRPr="003D3C70">
        <w:rPr>
          <w:lang w:val="fr-FR"/>
        </w:rPr>
        <w:t>58363/10), 8</w:t>
      </w:r>
      <w:r w:rsidRPr="002D40DC">
        <w:rPr>
          <w:lang w:val="fr-FR"/>
        </w:rPr>
        <w:t> juillet</w:t>
      </w:r>
      <w:r w:rsidRPr="003D3C70">
        <w:rPr>
          <w:lang w:val="fr-FR"/>
        </w:rPr>
        <w:t xml:space="preserve"> 2014, par.</w:t>
      </w:r>
      <w:r w:rsidRPr="002D40DC">
        <w:rPr>
          <w:lang w:val="fr-FR"/>
        </w:rPr>
        <w:t> </w:t>
      </w:r>
      <w:r w:rsidRPr="003D3C70">
        <w:rPr>
          <w:lang w:val="fr-FR"/>
        </w:rPr>
        <w:t>63.</w:t>
      </w:r>
    </w:p>
  </w:footnote>
  <w:footnote w:id="17">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Pr>
          <w:lang w:val="fr-FR"/>
        </w:rPr>
        <w:t xml:space="preserve">Voir </w:t>
      </w:r>
      <w:r w:rsidRPr="003D3C70">
        <w:rPr>
          <w:i/>
          <w:lang w:val="fr-FR"/>
        </w:rPr>
        <w:t>M.</w:t>
      </w:r>
      <w:r w:rsidRPr="002D40DC">
        <w:rPr>
          <w:i/>
          <w:lang w:val="fr-FR"/>
        </w:rPr>
        <w:t> </w:t>
      </w:r>
      <w:r w:rsidRPr="003D3C70">
        <w:rPr>
          <w:i/>
          <w:lang w:val="fr-FR"/>
        </w:rPr>
        <w:t xml:space="preserve">X </w:t>
      </w:r>
      <w:r w:rsidRPr="002D40DC">
        <w:rPr>
          <w:i/>
          <w:lang w:val="fr-FR"/>
        </w:rPr>
        <w:t xml:space="preserve">et </w:t>
      </w:r>
      <w:r w:rsidRPr="003D3C70">
        <w:rPr>
          <w:i/>
          <w:lang w:val="fr-FR"/>
        </w:rPr>
        <w:t>M</w:t>
      </w:r>
      <w:r w:rsidRPr="003D3C70">
        <w:rPr>
          <w:i/>
          <w:vertAlign w:val="superscript"/>
          <w:lang w:val="fr-FR"/>
        </w:rPr>
        <w:t>me</w:t>
      </w:r>
      <w:r w:rsidRPr="003D3C70">
        <w:rPr>
          <w:i/>
          <w:lang w:val="fr-FR"/>
        </w:rPr>
        <w:t xml:space="preserve"> X </w:t>
      </w:r>
      <w:r w:rsidRPr="00B2796A">
        <w:rPr>
          <w:i/>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par.</w:t>
      </w:r>
      <w:r w:rsidRPr="002D40DC">
        <w:rPr>
          <w:lang w:val="fr-FR"/>
        </w:rPr>
        <w:t> </w:t>
      </w:r>
      <w:r w:rsidRPr="003D3C70">
        <w:rPr>
          <w:lang w:val="fr-FR"/>
        </w:rPr>
        <w:t>7.5.</w:t>
      </w:r>
    </w:p>
  </w:footnote>
  <w:footnote w:id="18">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Pr>
          <w:lang w:val="fr-FR"/>
        </w:rPr>
        <w:t xml:space="preserve">Voir </w:t>
      </w:r>
      <w:r w:rsidRPr="003D3C70">
        <w:rPr>
          <w:i/>
          <w:lang w:val="fr-FR"/>
        </w:rPr>
        <w:t xml:space="preserve">Maroufidou </w:t>
      </w:r>
      <w:r w:rsidRPr="00B2796A">
        <w:rPr>
          <w:i/>
          <w:lang w:val="fr-FR"/>
        </w:rPr>
        <w:t>c.</w:t>
      </w:r>
      <w:r w:rsidRPr="003D3C70">
        <w:rPr>
          <w:i/>
          <w:lang w:val="fr-FR"/>
        </w:rPr>
        <w:t xml:space="preserve"> S</w:t>
      </w:r>
      <w:r w:rsidRPr="002D40DC">
        <w:rPr>
          <w:i/>
          <w:lang w:val="fr-FR"/>
        </w:rPr>
        <w:t>uède</w:t>
      </w:r>
      <w:r w:rsidRPr="003D3C70">
        <w:rPr>
          <w:lang w:val="fr-FR"/>
        </w:rPr>
        <w:t xml:space="preserve"> (CCPR/C/12/D/58/1979).</w:t>
      </w:r>
    </w:p>
  </w:footnote>
  <w:footnote w:id="19">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Pr>
          <w:lang w:val="fr-FR"/>
        </w:rPr>
        <w:t xml:space="preserve">Voir </w:t>
      </w:r>
      <w:r w:rsidRPr="003D3C70">
        <w:rPr>
          <w:i/>
          <w:lang w:val="fr-FR"/>
        </w:rPr>
        <w:t>M.</w:t>
      </w:r>
      <w:r w:rsidRPr="002D40DC">
        <w:rPr>
          <w:i/>
          <w:lang w:val="fr-FR"/>
        </w:rPr>
        <w:t> </w:t>
      </w:r>
      <w:r w:rsidRPr="003D3C70">
        <w:rPr>
          <w:i/>
          <w:lang w:val="fr-FR"/>
        </w:rPr>
        <w:t xml:space="preserve">X </w:t>
      </w:r>
      <w:r w:rsidRPr="002D40DC">
        <w:rPr>
          <w:i/>
          <w:lang w:val="fr-FR"/>
        </w:rPr>
        <w:t xml:space="preserve">et </w:t>
      </w:r>
      <w:r w:rsidRPr="003D3C70">
        <w:rPr>
          <w:i/>
          <w:lang w:val="fr-FR"/>
        </w:rPr>
        <w:t>M</w:t>
      </w:r>
      <w:r w:rsidRPr="003D3C70">
        <w:rPr>
          <w:i/>
          <w:vertAlign w:val="superscript"/>
          <w:lang w:val="fr-FR"/>
        </w:rPr>
        <w:t>me</w:t>
      </w:r>
      <w:r w:rsidRPr="002D40DC">
        <w:rPr>
          <w:i/>
          <w:lang w:val="fr-FR"/>
        </w:rPr>
        <w:t> </w:t>
      </w:r>
      <w:r w:rsidRPr="003D3C70">
        <w:rPr>
          <w:i/>
          <w:lang w:val="fr-FR"/>
        </w:rPr>
        <w:t xml:space="preserve">X </w:t>
      </w:r>
      <w:r w:rsidRPr="00B2796A">
        <w:rPr>
          <w:i/>
          <w:lang w:val="fr-FR"/>
        </w:rPr>
        <w:t>c.</w:t>
      </w:r>
      <w:r w:rsidRPr="002D40DC">
        <w:rPr>
          <w:i/>
          <w:lang w:val="fr-FR"/>
        </w:rPr>
        <w:t> </w:t>
      </w:r>
      <w:r w:rsidRPr="003D3C70">
        <w:rPr>
          <w:i/>
          <w:lang w:val="fr-FR"/>
        </w:rPr>
        <w:t>D</w:t>
      </w:r>
      <w:r w:rsidRPr="002D40DC">
        <w:rPr>
          <w:i/>
          <w:lang w:val="fr-FR"/>
        </w:rPr>
        <w:t>ane</w:t>
      </w:r>
      <w:r w:rsidRPr="003D3C70">
        <w:rPr>
          <w:i/>
          <w:lang w:val="fr-FR"/>
        </w:rPr>
        <w:t>mark</w:t>
      </w:r>
      <w:r w:rsidRPr="003D3C70">
        <w:rPr>
          <w:lang w:val="fr-FR"/>
        </w:rPr>
        <w:t>, par.</w:t>
      </w:r>
      <w:r w:rsidRPr="002D40DC">
        <w:rPr>
          <w:lang w:val="fr-FR"/>
        </w:rPr>
        <w:t> </w:t>
      </w:r>
      <w:r w:rsidRPr="003D3C70">
        <w:rPr>
          <w:lang w:val="fr-FR"/>
        </w:rPr>
        <w:t>6.3.</w:t>
      </w:r>
    </w:p>
  </w:footnote>
  <w:footnote w:id="20">
    <w:p w:rsidR="00AA69CE" w:rsidRPr="00CF08F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sidRPr="002D40DC">
        <w:rPr>
          <w:lang w:val="fr-FR"/>
        </w:rPr>
        <w:t>L</w:t>
      </w:r>
      <w:r>
        <w:rPr>
          <w:lang w:val="fr-FR"/>
        </w:rPr>
        <w:t>e conseil de l’</w:t>
      </w:r>
      <w:r w:rsidRPr="002D40DC">
        <w:rPr>
          <w:lang w:val="fr-FR"/>
        </w:rPr>
        <w:t xml:space="preserve">auteur </w:t>
      </w:r>
      <w:r>
        <w:rPr>
          <w:lang w:val="fr-FR"/>
        </w:rPr>
        <w:t>fait référence à des affaires analogues concernant le Danemark qu’il a portées devant le Comité et qui ont été abandonnées par la suite</w:t>
      </w:r>
      <w:r w:rsidRPr="00CF08F0">
        <w:rPr>
          <w:lang w:val="fr-FR"/>
        </w:rPr>
        <w:t>.</w:t>
      </w:r>
    </w:p>
  </w:footnote>
  <w:footnote w:id="21">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lang w:val="fr-FR"/>
        </w:rPr>
        <w:t xml:space="preserve"> </w:t>
      </w:r>
      <w:r w:rsidRPr="003D3C70">
        <w:rPr>
          <w:lang w:val="fr-FR"/>
        </w:rPr>
        <w:tab/>
        <w:t>D</w:t>
      </w:r>
      <w:r w:rsidRPr="002D40DC">
        <w:rPr>
          <w:lang w:val="fr-FR"/>
        </w:rPr>
        <w:t>é</w:t>
      </w:r>
      <w:r w:rsidRPr="003D3C70">
        <w:rPr>
          <w:lang w:val="fr-FR"/>
        </w:rPr>
        <w:t xml:space="preserve">cision </w:t>
      </w:r>
      <w:r w:rsidRPr="002D40DC">
        <w:rPr>
          <w:lang w:val="fr-FR"/>
        </w:rPr>
        <w:t>rendue par le Tribunal supérieur du Royaume-Uni</w:t>
      </w:r>
      <w:r w:rsidRPr="003D3C70">
        <w:rPr>
          <w:lang w:val="fr-FR"/>
        </w:rPr>
        <w:t xml:space="preserve"> (</w:t>
      </w:r>
      <w:r w:rsidRPr="002D40DC">
        <w:rPr>
          <w:lang w:val="fr-FR"/>
        </w:rPr>
        <w:t>Section de l</w:t>
      </w:r>
      <w:r>
        <w:rPr>
          <w:lang w:val="fr-FR"/>
        </w:rPr>
        <w:t>’</w:t>
      </w:r>
      <w:r w:rsidRPr="002D40DC">
        <w:rPr>
          <w:lang w:val="fr-FR"/>
        </w:rPr>
        <w:t>immigration et de l</w:t>
      </w:r>
      <w:r>
        <w:rPr>
          <w:lang w:val="fr-FR"/>
        </w:rPr>
        <w:t>’</w:t>
      </w:r>
      <w:r w:rsidRPr="002D40DC">
        <w:rPr>
          <w:lang w:val="fr-FR"/>
        </w:rPr>
        <w:t>asile</w:t>
      </w:r>
      <w:r w:rsidRPr="003D3C70">
        <w:rPr>
          <w:lang w:val="fr-FR"/>
        </w:rPr>
        <w:t xml:space="preserve">) </w:t>
      </w:r>
      <w:r w:rsidRPr="002D40DC">
        <w:rPr>
          <w:lang w:val="fr-FR"/>
        </w:rPr>
        <w:t>le</w:t>
      </w:r>
      <w:r w:rsidR="00E713FB">
        <w:rPr>
          <w:lang w:val="fr-FR"/>
        </w:rPr>
        <w:t> </w:t>
      </w:r>
      <w:r w:rsidRPr="003D3C70">
        <w:rPr>
          <w:lang w:val="fr-FR"/>
        </w:rPr>
        <w:t>10</w:t>
      </w:r>
      <w:r w:rsidRPr="002D40DC">
        <w:rPr>
          <w:lang w:val="fr-FR"/>
        </w:rPr>
        <w:t> mai</w:t>
      </w:r>
      <w:r w:rsidRPr="003D3C70">
        <w:rPr>
          <w:lang w:val="fr-FR"/>
        </w:rPr>
        <w:t xml:space="preserve"> 2016 </w:t>
      </w:r>
      <w:r w:rsidRPr="002D40DC">
        <w:rPr>
          <w:lang w:val="fr-FR"/>
        </w:rPr>
        <w:t>dans l</w:t>
      </w:r>
      <w:r>
        <w:rPr>
          <w:lang w:val="fr-FR"/>
        </w:rPr>
        <w:t>’</w:t>
      </w:r>
      <w:r w:rsidRPr="002D40DC">
        <w:rPr>
          <w:lang w:val="fr-FR"/>
        </w:rPr>
        <w:t xml:space="preserve">affaire </w:t>
      </w:r>
      <w:r w:rsidRPr="003D3C70">
        <w:rPr>
          <w:i/>
          <w:lang w:val="fr-FR"/>
        </w:rPr>
        <w:t>S</w:t>
      </w:r>
      <w:r>
        <w:rPr>
          <w:i/>
          <w:lang w:val="fr-FR"/>
        </w:rPr>
        <w:t>.</w:t>
      </w:r>
      <w:r w:rsidRPr="003D3C70">
        <w:rPr>
          <w:i/>
          <w:lang w:val="fr-FR"/>
        </w:rPr>
        <w:t>S</w:t>
      </w:r>
      <w:r>
        <w:rPr>
          <w:i/>
          <w:lang w:val="fr-FR"/>
        </w:rPr>
        <w:t>.</w:t>
      </w:r>
      <w:r w:rsidRPr="003D3C70">
        <w:rPr>
          <w:i/>
          <w:lang w:val="fr-FR"/>
        </w:rPr>
        <w:t>H</w:t>
      </w:r>
      <w:r>
        <w:rPr>
          <w:i/>
          <w:lang w:val="fr-FR"/>
        </w:rPr>
        <w:t>.</w:t>
      </w:r>
      <w:r w:rsidRPr="003D3C70">
        <w:rPr>
          <w:i/>
          <w:lang w:val="fr-FR"/>
        </w:rPr>
        <w:t xml:space="preserve"> and H</w:t>
      </w:r>
      <w:r>
        <w:rPr>
          <w:i/>
          <w:lang w:val="fr-FR"/>
        </w:rPr>
        <w:t>.</w:t>
      </w:r>
      <w:r w:rsidRPr="003D3C70">
        <w:rPr>
          <w:i/>
          <w:lang w:val="fr-FR"/>
        </w:rPr>
        <w:t>R</w:t>
      </w:r>
      <w:r>
        <w:rPr>
          <w:i/>
          <w:lang w:val="fr-FR"/>
        </w:rPr>
        <w:t>.</w:t>
      </w:r>
      <w:r w:rsidRPr="003D3C70">
        <w:rPr>
          <w:lang w:val="fr-FR"/>
        </w:rPr>
        <w:t xml:space="preserve"> </w:t>
      </w:r>
      <w:r w:rsidRPr="00B2796A">
        <w:rPr>
          <w:i/>
          <w:iCs/>
          <w:lang w:val="fr-FR"/>
        </w:rPr>
        <w:t>v.</w:t>
      </w:r>
      <w:r w:rsidRPr="003D3C70">
        <w:rPr>
          <w:lang w:val="fr-FR"/>
        </w:rPr>
        <w:t xml:space="preserve"> </w:t>
      </w:r>
      <w:r w:rsidRPr="003D3C70">
        <w:rPr>
          <w:i/>
          <w:lang w:val="fr-FR"/>
        </w:rPr>
        <w:t>Secretary</w:t>
      </w:r>
      <w:r w:rsidRPr="003D3C70">
        <w:rPr>
          <w:lang w:val="fr-FR"/>
        </w:rPr>
        <w:t xml:space="preserve"> </w:t>
      </w:r>
      <w:r w:rsidRPr="003D3C70">
        <w:rPr>
          <w:i/>
          <w:lang w:val="fr-FR"/>
        </w:rPr>
        <w:t>of State for the Home Department</w:t>
      </w:r>
      <w:r w:rsidRPr="003D3C70">
        <w:rPr>
          <w:lang w:val="fr-FR"/>
        </w:rPr>
        <w:t xml:space="preserve"> ([2016] UKUT 00308 (IAC)), par.</w:t>
      </w:r>
      <w:r w:rsidRPr="002D40DC">
        <w:rPr>
          <w:lang w:val="fr-FR"/>
        </w:rPr>
        <w:t> </w:t>
      </w:r>
      <w:r w:rsidRPr="003D3C70">
        <w:rPr>
          <w:lang w:val="fr-FR"/>
        </w:rPr>
        <w:t>33.</w:t>
      </w:r>
    </w:p>
  </w:footnote>
  <w:footnote w:id="22">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sidRPr="002D40DC">
        <w:rPr>
          <w:lang w:val="fr-FR"/>
        </w:rPr>
        <w:t>Ministère de l</w:t>
      </w:r>
      <w:r>
        <w:rPr>
          <w:lang w:val="fr-FR"/>
        </w:rPr>
        <w:t>’</w:t>
      </w:r>
      <w:r w:rsidRPr="002D40DC">
        <w:rPr>
          <w:lang w:val="fr-FR"/>
        </w:rPr>
        <w:t>intérieur britannique</w:t>
      </w:r>
      <w:r w:rsidRPr="003D3C70">
        <w:rPr>
          <w:lang w:val="fr-FR"/>
        </w:rPr>
        <w:t xml:space="preserve">, </w:t>
      </w:r>
      <w:r w:rsidRPr="003D3C70">
        <w:rPr>
          <w:i/>
          <w:lang w:val="fr-FR"/>
        </w:rPr>
        <w:t>Country Information and Guidance, Iran: Illegal Exit</w:t>
      </w:r>
      <w:r w:rsidRPr="003D3C70">
        <w:rPr>
          <w:lang w:val="fr-FR"/>
        </w:rPr>
        <w:t xml:space="preserve">, </w:t>
      </w:r>
      <w:r>
        <w:rPr>
          <w:lang w:val="fr-FR"/>
        </w:rPr>
        <w:t xml:space="preserve">juillet </w:t>
      </w:r>
      <w:r w:rsidRPr="003D3C70">
        <w:rPr>
          <w:lang w:val="fr-FR"/>
        </w:rPr>
        <w:t>2016, par.</w:t>
      </w:r>
      <w:r w:rsidRPr="002D40DC">
        <w:rPr>
          <w:lang w:val="fr-FR"/>
        </w:rPr>
        <w:t> </w:t>
      </w:r>
      <w:r w:rsidRPr="003D3C70">
        <w:rPr>
          <w:lang w:val="fr-FR"/>
        </w:rPr>
        <w:t>5.</w:t>
      </w:r>
    </w:p>
  </w:footnote>
  <w:footnote w:id="23">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lang w:val="fr-FR"/>
        </w:rPr>
        <w:tab/>
      </w:r>
      <w:r>
        <w:rPr>
          <w:lang w:val="fr-FR"/>
        </w:rPr>
        <w:t>Voir</w:t>
      </w:r>
      <w:r w:rsidRPr="002D40DC">
        <w:rPr>
          <w:lang w:val="fr-FR"/>
        </w:rPr>
        <w:t xml:space="preserve"> </w:t>
      </w:r>
      <w:r w:rsidRPr="003D3C70">
        <w:rPr>
          <w:i/>
          <w:lang w:val="fr-FR"/>
        </w:rPr>
        <w:t xml:space="preserve">A. S. M. </w:t>
      </w:r>
      <w:r w:rsidRPr="002D40DC">
        <w:rPr>
          <w:i/>
          <w:lang w:val="fr-FR"/>
        </w:rPr>
        <w:t>et</w:t>
      </w:r>
      <w:r w:rsidRPr="003D3C70">
        <w:rPr>
          <w:i/>
          <w:lang w:val="fr-FR"/>
        </w:rPr>
        <w:t xml:space="preserve"> R. A. H. </w:t>
      </w:r>
      <w:r w:rsidRPr="00B2796A">
        <w:rPr>
          <w:i/>
          <w:iCs/>
          <w:lang w:val="fr-FR"/>
        </w:rPr>
        <w:t>c.</w:t>
      </w:r>
      <w:r w:rsidRPr="00FF4F0B">
        <w:rPr>
          <w:i/>
          <w:iCs/>
          <w:lang w:val="fr-FR"/>
        </w:rPr>
        <w:t xml:space="preserve"> </w:t>
      </w:r>
      <w:r w:rsidRPr="007A2326">
        <w:rPr>
          <w:i/>
          <w:lang w:val="fr-FR"/>
        </w:rPr>
        <w:t>Danemark</w:t>
      </w:r>
      <w:r w:rsidRPr="005D2A2E">
        <w:rPr>
          <w:lang w:val="fr-FR"/>
        </w:rPr>
        <w:t xml:space="preserve"> (CCPR/C/117/D/2378/2014), par. </w:t>
      </w:r>
      <w:r w:rsidRPr="003D3C70">
        <w:rPr>
          <w:lang w:val="fr-FR"/>
        </w:rPr>
        <w:t xml:space="preserve">8.3 ; </w:t>
      </w:r>
      <w:r w:rsidRPr="003D3C70">
        <w:rPr>
          <w:i/>
          <w:lang w:val="fr-FR"/>
        </w:rPr>
        <w:t xml:space="preserve">P. T.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xml:space="preserve"> (CCPR/C/113/D/2272/2013), par.</w:t>
      </w:r>
      <w:r w:rsidRPr="002D40DC">
        <w:rPr>
          <w:lang w:val="fr-FR"/>
        </w:rPr>
        <w:t> </w:t>
      </w:r>
      <w:r w:rsidRPr="003D3C70">
        <w:rPr>
          <w:lang w:val="fr-FR"/>
        </w:rPr>
        <w:t xml:space="preserve">7.3 ; </w:t>
      </w:r>
      <w:r w:rsidRPr="003D3C70">
        <w:rPr>
          <w:i/>
          <w:lang w:val="fr-FR"/>
        </w:rPr>
        <w:t>N</w:t>
      </w:r>
      <w:r w:rsidRPr="00FF4F0B">
        <w:rPr>
          <w:i/>
          <w:lang w:val="fr-FR"/>
        </w:rPr>
        <w:t xml:space="preserve">. </w:t>
      </w:r>
      <w:r w:rsidRPr="00B2796A">
        <w:rPr>
          <w:i/>
          <w:lang w:val="fr-FR"/>
        </w:rPr>
        <w:t>c.</w:t>
      </w:r>
      <w:r w:rsidRPr="003D3C70">
        <w:rPr>
          <w:i/>
          <w:lang w:val="fr-FR"/>
        </w:rPr>
        <w:t xml:space="preserve"> Danemark</w:t>
      </w:r>
      <w:r w:rsidRPr="003D3C70">
        <w:rPr>
          <w:lang w:val="fr-FR"/>
        </w:rPr>
        <w:t xml:space="preserve"> (CCPR/C/114/D/2426/2014), par. </w:t>
      </w:r>
      <w:r w:rsidRPr="002D40DC">
        <w:rPr>
          <w:lang w:val="fr-FR"/>
        </w:rPr>
        <w:t xml:space="preserve">6.6 ; </w:t>
      </w:r>
      <w:r w:rsidRPr="007A2326">
        <w:rPr>
          <w:i/>
          <w:lang w:val="fr-FR"/>
        </w:rPr>
        <w:t>K. </w:t>
      </w:r>
      <w:r w:rsidRPr="00B2796A">
        <w:rPr>
          <w:i/>
          <w:iCs/>
          <w:lang w:val="fr-FR"/>
        </w:rPr>
        <w:t>c.</w:t>
      </w:r>
      <w:r w:rsidRPr="005D2A2E">
        <w:rPr>
          <w:i/>
          <w:lang w:val="fr-FR"/>
        </w:rPr>
        <w:t> Dane</w:t>
      </w:r>
      <w:r w:rsidRPr="00DD0137">
        <w:rPr>
          <w:i/>
          <w:lang w:val="fr-FR"/>
        </w:rPr>
        <w:t>mark</w:t>
      </w:r>
      <w:r w:rsidRPr="007302A2">
        <w:rPr>
          <w:lang w:val="fr-FR"/>
        </w:rPr>
        <w:t xml:space="preserve"> (CCPR/C/114/D/2393/2014), par. 7.4 et 7.5 ; </w:t>
      </w:r>
      <w:r w:rsidRPr="003D3C70">
        <w:rPr>
          <w:i/>
          <w:lang w:val="fr-FR"/>
        </w:rPr>
        <w:t>M.</w:t>
      </w:r>
      <w:r w:rsidRPr="002D40DC">
        <w:rPr>
          <w:i/>
          <w:lang w:val="fr-FR"/>
        </w:rPr>
        <w:t> </w:t>
      </w:r>
      <w:r w:rsidRPr="003D3C70">
        <w:rPr>
          <w:i/>
          <w:lang w:val="fr-FR"/>
        </w:rPr>
        <w:t xml:space="preserve">X </w:t>
      </w:r>
      <w:r w:rsidRPr="002D40DC">
        <w:rPr>
          <w:i/>
          <w:lang w:val="fr-FR"/>
        </w:rPr>
        <w:t>et M</w:t>
      </w:r>
      <w:r w:rsidRPr="007A2326">
        <w:rPr>
          <w:i/>
          <w:vertAlign w:val="superscript"/>
          <w:lang w:val="fr-FR"/>
        </w:rPr>
        <w:t>me</w:t>
      </w:r>
      <w:r w:rsidRPr="005D2A2E">
        <w:rPr>
          <w:i/>
          <w:lang w:val="fr-FR"/>
        </w:rPr>
        <w:t> </w:t>
      </w:r>
      <w:r w:rsidRPr="003D3C70">
        <w:rPr>
          <w:i/>
          <w:lang w:val="fr-FR"/>
        </w:rPr>
        <w:t xml:space="preserve">X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par.</w:t>
      </w:r>
      <w:r w:rsidRPr="002D40DC">
        <w:rPr>
          <w:lang w:val="fr-FR"/>
        </w:rPr>
        <w:t> </w:t>
      </w:r>
      <w:r w:rsidRPr="003D3C70">
        <w:rPr>
          <w:lang w:val="fr-FR"/>
        </w:rPr>
        <w:t xml:space="preserve">7.5 ; </w:t>
      </w:r>
      <w:r w:rsidRPr="002D40DC">
        <w:rPr>
          <w:lang w:val="fr-FR"/>
        </w:rPr>
        <w:t>et</w:t>
      </w:r>
      <w:r>
        <w:rPr>
          <w:lang w:val="fr-FR"/>
        </w:rPr>
        <w:t> </w:t>
      </w:r>
      <w:r w:rsidRPr="003D3C70">
        <w:rPr>
          <w:i/>
          <w:lang w:val="fr-FR"/>
        </w:rPr>
        <w:t xml:space="preserve">Z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xml:space="preserve"> (CCPR/C/114/D/2329/2014), par.</w:t>
      </w:r>
      <w:r w:rsidRPr="002D40DC">
        <w:rPr>
          <w:lang w:val="fr-FR"/>
        </w:rPr>
        <w:t> </w:t>
      </w:r>
      <w:r w:rsidRPr="003D3C70">
        <w:rPr>
          <w:lang w:val="fr-FR"/>
        </w:rPr>
        <w:t>7.4.</w:t>
      </w:r>
    </w:p>
  </w:footnote>
  <w:footnote w:id="24">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lang w:val="fr-FR"/>
        </w:rPr>
        <w:t xml:space="preserve"> </w:t>
      </w:r>
      <w:r w:rsidRPr="003D3C70">
        <w:rPr>
          <w:lang w:val="fr-FR"/>
        </w:rPr>
        <w:tab/>
      </w:r>
      <w:r>
        <w:rPr>
          <w:lang w:val="fr-FR"/>
        </w:rPr>
        <w:t xml:space="preserve">Voir </w:t>
      </w:r>
      <w:r w:rsidRPr="003D3C70">
        <w:rPr>
          <w:i/>
          <w:lang w:val="fr-FR"/>
        </w:rPr>
        <w:t>P. K.</w:t>
      </w:r>
      <w:r w:rsidRPr="00C02DF6">
        <w:rPr>
          <w:i/>
          <w:iCs/>
          <w:lang w:val="fr-FR"/>
        </w:rPr>
        <w:t xml:space="preserve"> </w:t>
      </w:r>
      <w:r w:rsidRPr="00B2796A">
        <w:rPr>
          <w:i/>
          <w:iCs/>
          <w:lang w:val="fr-FR"/>
        </w:rPr>
        <w:t>c.</w:t>
      </w:r>
      <w:r w:rsidRPr="003D3C70">
        <w:rPr>
          <w:i/>
          <w:lang w:val="fr-FR"/>
        </w:rPr>
        <w:t xml:space="preserve"> Canada</w:t>
      </w:r>
      <w:r w:rsidRPr="003D3C70">
        <w:rPr>
          <w:lang w:val="fr-FR"/>
        </w:rPr>
        <w:t xml:space="preserve"> (CCPR/C/89/D/1234/2003), par.</w:t>
      </w:r>
      <w:r w:rsidRPr="002D40DC">
        <w:rPr>
          <w:lang w:val="fr-FR"/>
        </w:rPr>
        <w:t> </w:t>
      </w:r>
      <w:r w:rsidRPr="003D3C70">
        <w:rPr>
          <w:lang w:val="fr-FR"/>
        </w:rPr>
        <w:t xml:space="preserve">7.4 </w:t>
      </w:r>
      <w:r w:rsidRPr="002D40DC">
        <w:rPr>
          <w:lang w:val="fr-FR"/>
        </w:rPr>
        <w:t xml:space="preserve">et </w:t>
      </w:r>
      <w:r w:rsidRPr="003D3C70">
        <w:rPr>
          <w:lang w:val="fr-FR"/>
        </w:rPr>
        <w:t>7.5.</w:t>
      </w:r>
    </w:p>
  </w:footnote>
  <w:footnote w:id="25">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Pr>
          <w:lang w:val="fr-FR"/>
        </w:rPr>
        <w:t xml:space="preserve">Voir </w:t>
      </w:r>
      <w:r w:rsidRPr="003D3C70">
        <w:rPr>
          <w:i/>
          <w:lang w:val="fr-FR"/>
        </w:rPr>
        <w:t xml:space="preserve">Omo-Amenaghawon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xml:space="preserve"> (CCPR/C/114/D/2288/2013), par.</w:t>
      </w:r>
      <w:r w:rsidRPr="002D40DC">
        <w:rPr>
          <w:lang w:val="fr-FR"/>
        </w:rPr>
        <w:t> </w:t>
      </w:r>
      <w:r w:rsidRPr="003D3C70">
        <w:rPr>
          <w:lang w:val="fr-FR"/>
        </w:rPr>
        <w:t>6.4</w:t>
      </w:r>
      <w:r w:rsidRPr="002D40DC">
        <w:rPr>
          <w:lang w:val="fr-FR"/>
        </w:rPr>
        <w:t xml:space="preserve">, et </w:t>
      </w:r>
      <w:r>
        <w:rPr>
          <w:lang w:val="fr-FR"/>
        </w:rPr>
        <w:t>l’</w:t>
      </w:r>
      <w:r w:rsidRPr="002D40DC">
        <w:rPr>
          <w:lang w:val="fr-FR"/>
        </w:rPr>
        <w:t xml:space="preserve">observation générale </w:t>
      </w:r>
      <w:r w:rsidRPr="007A2326">
        <w:rPr>
          <w:rFonts w:eastAsia="MS Mincho"/>
          <w:lang w:val="fr-FR"/>
        </w:rPr>
        <w:t>n</w:t>
      </w:r>
      <w:r w:rsidRPr="005D2A2E">
        <w:rPr>
          <w:rFonts w:eastAsia="MS Mincho"/>
          <w:vertAlign w:val="superscript"/>
          <w:lang w:val="fr-FR"/>
        </w:rPr>
        <w:t>o</w:t>
      </w:r>
      <w:r w:rsidRPr="005D2A2E">
        <w:rPr>
          <w:lang w:val="fr-FR"/>
        </w:rPr>
        <w:t> </w:t>
      </w:r>
      <w:r w:rsidRPr="003D3C70">
        <w:rPr>
          <w:lang w:val="fr-FR"/>
        </w:rPr>
        <w:t xml:space="preserve">32 (2007) </w:t>
      </w:r>
      <w:r>
        <w:rPr>
          <w:lang w:val="fr-FR"/>
        </w:rPr>
        <w:t xml:space="preserve">du Comité </w:t>
      </w:r>
      <w:r w:rsidRPr="002D40DC">
        <w:rPr>
          <w:lang w:val="fr-FR"/>
        </w:rPr>
        <w:t>sur le droit à l</w:t>
      </w:r>
      <w:r>
        <w:rPr>
          <w:lang w:val="fr-FR"/>
        </w:rPr>
        <w:t>’</w:t>
      </w:r>
      <w:r w:rsidRPr="002D40DC">
        <w:rPr>
          <w:lang w:val="fr-FR"/>
        </w:rPr>
        <w:t>égalité devant les tribunaux et les cours de justice et le droit à un procès équitable</w:t>
      </w:r>
      <w:r w:rsidRPr="003D3C70">
        <w:rPr>
          <w:lang w:val="fr-FR"/>
        </w:rPr>
        <w:t>, par.</w:t>
      </w:r>
      <w:r w:rsidRPr="002D40DC">
        <w:rPr>
          <w:lang w:val="fr-FR"/>
        </w:rPr>
        <w:t> </w:t>
      </w:r>
      <w:r w:rsidRPr="003D3C70">
        <w:rPr>
          <w:lang w:val="fr-FR"/>
        </w:rPr>
        <w:t xml:space="preserve">17 </w:t>
      </w:r>
      <w:r w:rsidRPr="002D40DC">
        <w:rPr>
          <w:lang w:val="fr-FR"/>
        </w:rPr>
        <w:t xml:space="preserve">et </w:t>
      </w:r>
      <w:r w:rsidRPr="003D3C70">
        <w:rPr>
          <w:lang w:val="fr-FR"/>
        </w:rPr>
        <w:t>62.</w:t>
      </w:r>
    </w:p>
  </w:footnote>
  <w:footnote w:id="26">
    <w:p w:rsidR="00AA69CE" w:rsidRPr="007F2C17" w:rsidRDefault="00AA69CE" w:rsidP="00685027">
      <w:pPr>
        <w:pStyle w:val="Notedebasdepage"/>
        <w:rPr>
          <w:lang w:val="fr-FR"/>
        </w:rPr>
      </w:pPr>
      <w:r w:rsidRPr="003D3C70">
        <w:rPr>
          <w:lang w:val="fr-FR"/>
        </w:rPr>
        <w:tab/>
      </w:r>
      <w:r w:rsidRPr="007D575F">
        <w:rPr>
          <w:rStyle w:val="Appelnotedebasdep"/>
        </w:rPr>
        <w:footnoteRef/>
      </w:r>
      <w:r w:rsidRPr="003D3C70">
        <w:rPr>
          <w:lang w:val="fr-FR"/>
        </w:rPr>
        <w:t xml:space="preserve"> </w:t>
      </w:r>
      <w:r w:rsidRPr="003D3C70">
        <w:rPr>
          <w:lang w:val="fr-FR"/>
        </w:rPr>
        <w:tab/>
      </w:r>
      <w:r w:rsidRPr="000A7847">
        <w:rPr>
          <w:spacing w:val="-2"/>
          <w:lang w:val="fr-FR"/>
        </w:rPr>
        <w:t>L’État partie fait référence au paragraphe 5.1.2 du rapport du Ministère de l’intérieur du Royaume-Uni</w:t>
      </w:r>
      <w:r>
        <w:rPr>
          <w:lang w:val="fr-FR"/>
        </w:rPr>
        <w:t xml:space="preserve"> </w:t>
      </w:r>
      <w:r w:rsidRPr="002D40DC">
        <w:rPr>
          <w:lang w:val="fr-FR"/>
        </w:rPr>
        <w:t>intitulé « </w:t>
      </w:r>
      <w:r w:rsidRPr="00B2796A">
        <w:rPr>
          <w:szCs w:val="18"/>
        </w:rPr>
        <w:t xml:space="preserve">Country information and guidance: </w:t>
      </w:r>
      <w:r w:rsidRPr="002D40DC">
        <w:rPr>
          <w:lang w:val="fr-FR"/>
        </w:rPr>
        <w:t xml:space="preserve">Iran: Illegal Exit », </w:t>
      </w:r>
      <w:r>
        <w:rPr>
          <w:lang w:val="fr-FR"/>
        </w:rPr>
        <w:t>de juillet 2016</w:t>
      </w:r>
      <w:r w:rsidRPr="002D40DC">
        <w:rPr>
          <w:lang w:val="fr-FR"/>
        </w:rPr>
        <w:t xml:space="preserve">, dans lequel </w:t>
      </w:r>
      <w:r>
        <w:rPr>
          <w:lang w:val="fr-FR"/>
        </w:rPr>
        <w:t>sont rapportées</w:t>
      </w:r>
      <w:r w:rsidRPr="002D40DC">
        <w:rPr>
          <w:lang w:val="fr-FR"/>
        </w:rPr>
        <w:t xml:space="preserve"> les déclarations suivantes d</w:t>
      </w:r>
      <w:r>
        <w:rPr>
          <w:lang w:val="fr-FR"/>
        </w:rPr>
        <w:t>’</w:t>
      </w:r>
      <w:r w:rsidRPr="002D40DC">
        <w:rPr>
          <w:lang w:val="fr-FR"/>
        </w:rPr>
        <w:t>un Directeur général des affaires consulaires au Ministère des affaires étrangères </w:t>
      </w:r>
      <w:r>
        <w:rPr>
          <w:lang w:val="fr-FR"/>
        </w:rPr>
        <w:t>de la République islamique d’Iran</w:t>
      </w:r>
      <w:r w:rsidR="000F46F1">
        <w:rPr>
          <w:lang w:val="fr-FR"/>
        </w:rPr>
        <w:t> </w:t>
      </w:r>
      <w:r w:rsidRPr="007A2326">
        <w:rPr>
          <w:lang w:val="fr-FR"/>
        </w:rPr>
        <w:t>: « une per</w:t>
      </w:r>
      <w:r w:rsidRPr="005D2A2E">
        <w:rPr>
          <w:lang w:val="fr-FR"/>
        </w:rPr>
        <w:t xml:space="preserve">sonne ayant fui </w:t>
      </w:r>
      <w:r>
        <w:rPr>
          <w:lang w:val="fr-FR"/>
        </w:rPr>
        <w:t>la République islamique d’Iran</w:t>
      </w:r>
      <w:r w:rsidRPr="005D2A2E">
        <w:rPr>
          <w:lang w:val="fr-FR"/>
        </w:rPr>
        <w:t xml:space="preserve"> illégalement qui n</w:t>
      </w:r>
      <w:r>
        <w:rPr>
          <w:lang w:val="fr-FR"/>
        </w:rPr>
        <w:t>’</w:t>
      </w:r>
      <w:r w:rsidRPr="005D2A2E">
        <w:rPr>
          <w:lang w:val="fr-FR"/>
        </w:rPr>
        <w:t>est pas inscrite sur la liste des personnes non autorisées à quitter le pays ne sera pas inquiétée par les autorités iraniennes en cas de retour même s</w:t>
      </w:r>
      <w:r>
        <w:rPr>
          <w:lang w:val="fr-FR"/>
        </w:rPr>
        <w:t>’</w:t>
      </w:r>
      <w:r w:rsidRPr="005D2A2E">
        <w:rPr>
          <w:lang w:val="fr-FR"/>
        </w:rPr>
        <w:t>il se peut qu</w:t>
      </w:r>
      <w:r>
        <w:rPr>
          <w:lang w:val="fr-FR"/>
        </w:rPr>
        <w:t>’</w:t>
      </w:r>
      <w:r w:rsidRPr="005D2A2E">
        <w:rPr>
          <w:lang w:val="fr-FR"/>
        </w:rPr>
        <w:t>elle soit condamnée à une amende » et « une pers</w:t>
      </w:r>
      <w:r w:rsidRPr="007F2C17">
        <w:rPr>
          <w:lang w:val="fr-FR"/>
        </w:rPr>
        <w:t xml:space="preserve">onne qui a commis une infraction et quitté </w:t>
      </w:r>
      <w:r>
        <w:rPr>
          <w:lang w:val="fr-FR"/>
        </w:rPr>
        <w:t>la République islamique d’Iran</w:t>
      </w:r>
      <w:r w:rsidRPr="007F2C17">
        <w:rPr>
          <w:lang w:val="fr-FR"/>
        </w:rPr>
        <w:t xml:space="preserve"> illégalement sera uniquement poursuivie à raison de l</w:t>
      </w:r>
      <w:r>
        <w:rPr>
          <w:lang w:val="fr-FR"/>
        </w:rPr>
        <w:t>’</w:t>
      </w:r>
      <w:r w:rsidRPr="007F2C17">
        <w:rPr>
          <w:lang w:val="fr-FR"/>
        </w:rPr>
        <w:t>infraction commise antérieurement à son départ et non du caractère illégal de celui-ci ». L</w:t>
      </w:r>
      <w:r>
        <w:rPr>
          <w:lang w:val="fr-FR"/>
        </w:rPr>
        <w:t>’</w:t>
      </w:r>
      <w:r w:rsidRPr="007F2C17">
        <w:rPr>
          <w:lang w:val="fr-FR"/>
        </w:rPr>
        <w:t xml:space="preserve">État partie renvoie également </w:t>
      </w:r>
      <w:r>
        <w:rPr>
          <w:lang w:val="fr-FR"/>
        </w:rPr>
        <w:t>au paragraphe 33 de</w:t>
      </w:r>
      <w:r w:rsidRPr="007F2C17">
        <w:rPr>
          <w:lang w:val="fr-FR"/>
        </w:rPr>
        <w:t xml:space="preserve"> la décision rendue par le Tribunal supérieur du Royaume-Uni</w:t>
      </w:r>
      <w:r w:rsidRPr="003D3C70">
        <w:rPr>
          <w:lang w:val="fr-FR"/>
        </w:rPr>
        <w:t xml:space="preserve"> (</w:t>
      </w:r>
      <w:r w:rsidRPr="002D40DC">
        <w:rPr>
          <w:lang w:val="fr-FR"/>
        </w:rPr>
        <w:t>Section de l</w:t>
      </w:r>
      <w:r>
        <w:rPr>
          <w:lang w:val="fr-FR"/>
        </w:rPr>
        <w:t>’</w:t>
      </w:r>
      <w:r w:rsidRPr="002D40DC">
        <w:rPr>
          <w:lang w:val="fr-FR"/>
        </w:rPr>
        <w:t>immigration et de l</w:t>
      </w:r>
      <w:r>
        <w:rPr>
          <w:lang w:val="fr-FR"/>
        </w:rPr>
        <w:t>’</w:t>
      </w:r>
      <w:r w:rsidRPr="002D40DC">
        <w:rPr>
          <w:lang w:val="fr-FR"/>
        </w:rPr>
        <w:t>asile</w:t>
      </w:r>
      <w:r>
        <w:rPr>
          <w:lang w:val="fr-FR"/>
        </w:rPr>
        <w:t xml:space="preserve">) </w:t>
      </w:r>
      <w:r w:rsidRPr="002D40DC">
        <w:rPr>
          <w:lang w:val="fr-FR"/>
        </w:rPr>
        <w:t>en l</w:t>
      </w:r>
      <w:r>
        <w:rPr>
          <w:lang w:val="fr-FR"/>
        </w:rPr>
        <w:t>’</w:t>
      </w:r>
      <w:r w:rsidRPr="002D40DC">
        <w:rPr>
          <w:lang w:val="fr-FR"/>
        </w:rPr>
        <w:t xml:space="preserve">affaire </w:t>
      </w:r>
      <w:r w:rsidRPr="00B2796A">
        <w:rPr>
          <w:i/>
          <w:szCs w:val="18"/>
        </w:rPr>
        <w:t>S.S.H. and H.R. v. Secretary of State for the Home Department</w:t>
      </w:r>
      <w:r w:rsidRPr="002D40DC">
        <w:rPr>
          <w:lang w:val="fr-FR"/>
        </w:rPr>
        <w:t xml:space="preserve">, </w:t>
      </w:r>
      <w:r w:rsidRPr="007A2326">
        <w:rPr>
          <w:lang w:val="fr-FR"/>
        </w:rPr>
        <w:t>dans l</w:t>
      </w:r>
      <w:r>
        <w:rPr>
          <w:lang w:val="fr-FR"/>
        </w:rPr>
        <w:t>e</w:t>
      </w:r>
      <w:r w:rsidRPr="007A2326">
        <w:rPr>
          <w:lang w:val="fr-FR"/>
        </w:rPr>
        <w:t>quel il est dit que « un</w:t>
      </w:r>
      <w:r w:rsidRPr="005D2A2E">
        <w:rPr>
          <w:lang w:val="fr-FR"/>
        </w:rPr>
        <w:t xml:space="preserve"> Iranien de sexe masculin qui n</w:t>
      </w:r>
      <w:r>
        <w:rPr>
          <w:lang w:val="fr-FR"/>
        </w:rPr>
        <w:t>’</w:t>
      </w:r>
      <w:r w:rsidRPr="005D2A2E">
        <w:rPr>
          <w:lang w:val="fr-FR"/>
        </w:rPr>
        <w:t>a jamais été inquiété auparavant par les autorités iraniennes ne court pas de risque réel de persécution/violation</w:t>
      </w:r>
      <w:r w:rsidRPr="007F2C17">
        <w:rPr>
          <w:lang w:val="fr-FR"/>
        </w:rPr>
        <w:t xml:space="preserve"> des droits qui lui sont garantis par l</w:t>
      </w:r>
      <w:r>
        <w:rPr>
          <w:lang w:val="fr-FR"/>
        </w:rPr>
        <w:t>’</w:t>
      </w:r>
      <w:r w:rsidRPr="007F2C17">
        <w:rPr>
          <w:lang w:val="fr-FR"/>
        </w:rPr>
        <w:t xml:space="preserve">article 3 en cas de renvoi </w:t>
      </w:r>
      <w:r>
        <w:rPr>
          <w:lang w:val="fr-FR"/>
        </w:rPr>
        <w:t>en République islamique d’Iran</w:t>
      </w:r>
      <w:r w:rsidRPr="007F2C17">
        <w:rPr>
          <w:lang w:val="fr-FR"/>
        </w:rPr>
        <w:t xml:space="preserve"> du fait de son départ illégal du pays et/ou de sa situation de demandeur d</w:t>
      </w:r>
      <w:r>
        <w:rPr>
          <w:lang w:val="fr-FR"/>
        </w:rPr>
        <w:t>’</w:t>
      </w:r>
      <w:r w:rsidRPr="007F2C17">
        <w:rPr>
          <w:lang w:val="fr-FR"/>
        </w:rPr>
        <w:t>asile débouté. Ce risque n</w:t>
      </w:r>
      <w:r>
        <w:rPr>
          <w:lang w:val="fr-FR"/>
        </w:rPr>
        <w:t>’</w:t>
      </w:r>
      <w:r w:rsidRPr="007F2C17">
        <w:rPr>
          <w:lang w:val="fr-FR"/>
        </w:rPr>
        <w:t>existe ni au moment de l</w:t>
      </w:r>
      <w:r>
        <w:rPr>
          <w:lang w:val="fr-FR"/>
        </w:rPr>
        <w:t>’</w:t>
      </w:r>
      <w:r w:rsidRPr="007F2C17">
        <w:rPr>
          <w:lang w:val="fr-FR"/>
        </w:rPr>
        <w:t>interrogatoire auquel il est procédé lors du retour de l</w:t>
      </w:r>
      <w:r>
        <w:rPr>
          <w:lang w:val="fr-FR"/>
        </w:rPr>
        <w:t>’</w:t>
      </w:r>
      <w:r w:rsidRPr="007F2C17">
        <w:rPr>
          <w:lang w:val="fr-FR"/>
        </w:rPr>
        <w:t xml:space="preserve">intéressé </w:t>
      </w:r>
      <w:r>
        <w:rPr>
          <w:lang w:val="fr-FR"/>
        </w:rPr>
        <w:t>en République islamique d’Iran</w:t>
      </w:r>
      <w:r w:rsidRPr="007F2C17">
        <w:rPr>
          <w:lang w:val="fr-FR"/>
        </w:rPr>
        <w:t xml:space="preserve"> ni une fois que les faits (à savoir la sortie illégale du pays et la situation de demandeur d</w:t>
      </w:r>
      <w:r>
        <w:rPr>
          <w:lang w:val="fr-FR"/>
        </w:rPr>
        <w:t>’</w:t>
      </w:r>
      <w:r w:rsidRPr="007F2C17">
        <w:rPr>
          <w:lang w:val="fr-FR"/>
        </w:rPr>
        <w:t>asile débouté) sont établis. Il n</w:t>
      </w:r>
      <w:r>
        <w:rPr>
          <w:lang w:val="fr-FR"/>
        </w:rPr>
        <w:t>’</w:t>
      </w:r>
      <w:r w:rsidRPr="007F2C17">
        <w:rPr>
          <w:lang w:val="fr-FR"/>
        </w:rPr>
        <w:t>existe pas, en particulier, de risque réel de poursuites susceptibles d</w:t>
      </w:r>
      <w:r>
        <w:rPr>
          <w:lang w:val="fr-FR"/>
        </w:rPr>
        <w:t>’</w:t>
      </w:r>
      <w:r w:rsidRPr="007F2C17">
        <w:rPr>
          <w:lang w:val="fr-FR"/>
        </w:rPr>
        <w:t>entraîner une peine d</w:t>
      </w:r>
      <w:r>
        <w:rPr>
          <w:lang w:val="fr-FR"/>
        </w:rPr>
        <w:t>’</w:t>
      </w:r>
      <w:r w:rsidRPr="007F2C17">
        <w:rPr>
          <w:lang w:val="fr-FR"/>
        </w:rPr>
        <w:t>emprisonnement ».</w:t>
      </w:r>
    </w:p>
  </w:footnote>
  <w:footnote w:id="27">
    <w:p w:rsidR="00AA69CE" w:rsidRPr="005D2A2E" w:rsidRDefault="00AA69CE" w:rsidP="00685027">
      <w:pPr>
        <w:pStyle w:val="Notedebasdepage"/>
        <w:rPr>
          <w:lang w:val="fr-FR"/>
        </w:rPr>
      </w:pPr>
      <w:r w:rsidRPr="007F2C17">
        <w:rPr>
          <w:lang w:val="fr-FR"/>
        </w:rPr>
        <w:tab/>
      </w:r>
      <w:r w:rsidRPr="007D575F">
        <w:rPr>
          <w:rStyle w:val="Appelnotedebasdep"/>
        </w:rPr>
        <w:footnoteRef/>
      </w:r>
      <w:r w:rsidRPr="002D40DC">
        <w:rPr>
          <w:lang w:val="fr-FR"/>
        </w:rPr>
        <w:tab/>
        <w:t xml:space="preserve">Voir le </w:t>
      </w:r>
      <w:r>
        <w:rPr>
          <w:lang w:val="fr-FR"/>
        </w:rPr>
        <w:t>paragraphe</w:t>
      </w:r>
      <w:r w:rsidR="000F46F1">
        <w:rPr>
          <w:lang w:val="fr-FR"/>
        </w:rPr>
        <w:t> </w:t>
      </w:r>
      <w:r>
        <w:rPr>
          <w:lang w:val="fr-FR"/>
        </w:rPr>
        <w:t xml:space="preserve">5.1.1 du </w:t>
      </w:r>
      <w:r w:rsidRPr="002D40DC">
        <w:rPr>
          <w:lang w:val="fr-FR"/>
        </w:rPr>
        <w:t>document intitulé « </w:t>
      </w:r>
      <w:r w:rsidRPr="00B2796A">
        <w:rPr>
          <w:szCs w:val="18"/>
        </w:rPr>
        <w:t xml:space="preserve">Country information and guidance: </w:t>
      </w:r>
      <w:r w:rsidRPr="002D40DC">
        <w:rPr>
          <w:lang w:val="fr-FR"/>
        </w:rPr>
        <w:t>Iran: Illegal Exit », dans lequel sont rapportés les propos d</w:t>
      </w:r>
      <w:r>
        <w:rPr>
          <w:lang w:val="fr-FR"/>
        </w:rPr>
        <w:t>’</w:t>
      </w:r>
      <w:r w:rsidRPr="002D40DC">
        <w:rPr>
          <w:lang w:val="fr-FR"/>
        </w:rPr>
        <w:t>un directeur du Service des passeports et des visas qui soulign</w:t>
      </w:r>
      <w:r>
        <w:rPr>
          <w:lang w:val="fr-FR"/>
        </w:rPr>
        <w:t>e</w:t>
      </w:r>
      <w:r w:rsidRPr="002D40DC">
        <w:rPr>
          <w:lang w:val="fr-FR"/>
        </w:rPr>
        <w:t xml:space="preserve"> que </w:t>
      </w:r>
      <w:r>
        <w:rPr>
          <w:lang w:val="fr-FR"/>
        </w:rPr>
        <w:t>« </w:t>
      </w:r>
      <w:r w:rsidRPr="002D40DC">
        <w:rPr>
          <w:lang w:val="fr-FR"/>
        </w:rPr>
        <w:t>la Constitution iranienne autorise les iraniens à vivre où bon leur semble</w:t>
      </w:r>
      <w:r w:rsidRPr="007A2326">
        <w:rPr>
          <w:lang w:val="fr-FR"/>
        </w:rPr>
        <w:t>. Le fait pour un Iranien de demander l</w:t>
      </w:r>
      <w:r>
        <w:rPr>
          <w:lang w:val="fr-FR"/>
        </w:rPr>
        <w:t>’</w:t>
      </w:r>
      <w:r w:rsidRPr="007A2326">
        <w:rPr>
          <w:lang w:val="fr-FR"/>
        </w:rPr>
        <w:t xml:space="preserve">asile dans un autre pays ne constitue par une infraction </w:t>
      </w:r>
      <w:r>
        <w:rPr>
          <w:lang w:val="fr-FR"/>
        </w:rPr>
        <w:t>en République islamique d’Iran…</w:t>
      </w:r>
      <w:r w:rsidRPr="007A2326">
        <w:rPr>
          <w:lang w:val="fr-FR"/>
        </w:rPr>
        <w:t xml:space="preserve"> </w:t>
      </w:r>
      <w:r>
        <w:rPr>
          <w:lang w:val="fr-FR"/>
        </w:rPr>
        <w:t>E</w:t>
      </w:r>
      <w:r w:rsidRPr="007A2326">
        <w:rPr>
          <w:lang w:val="fr-FR"/>
        </w:rPr>
        <w:t>nviron 60 % des iraniens qui ont obtenu l</w:t>
      </w:r>
      <w:r>
        <w:rPr>
          <w:lang w:val="fr-FR"/>
        </w:rPr>
        <w:t>’</w:t>
      </w:r>
      <w:r w:rsidRPr="007A2326">
        <w:rPr>
          <w:lang w:val="fr-FR"/>
        </w:rPr>
        <w:t>asile dans d</w:t>
      </w:r>
      <w:r>
        <w:rPr>
          <w:lang w:val="fr-FR"/>
        </w:rPr>
        <w:t>’</w:t>
      </w:r>
      <w:r w:rsidRPr="007A2326">
        <w:rPr>
          <w:lang w:val="fr-FR"/>
        </w:rPr>
        <w:t>autres pays font des allers</w:t>
      </w:r>
      <w:r w:rsidR="000F46F1">
        <w:rPr>
          <w:lang w:val="fr-FR"/>
        </w:rPr>
        <w:noBreakHyphen/>
      </w:r>
      <w:r w:rsidRPr="007A2326">
        <w:rPr>
          <w:lang w:val="fr-FR"/>
        </w:rPr>
        <w:t>retours entre l</w:t>
      </w:r>
      <w:r>
        <w:rPr>
          <w:lang w:val="fr-FR"/>
        </w:rPr>
        <w:t>a République islamique d’</w:t>
      </w:r>
      <w:r w:rsidRPr="007A2326">
        <w:rPr>
          <w:lang w:val="fr-FR"/>
        </w:rPr>
        <w:t>Iran et ces pays ».</w:t>
      </w:r>
    </w:p>
  </w:footnote>
  <w:footnote w:id="28">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lang w:val="fr-FR"/>
        </w:rPr>
        <w:t xml:space="preserve"> </w:t>
      </w:r>
      <w:r w:rsidRPr="003D3C70">
        <w:rPr>
          <w:lang w:val="fr-FR"/>
        </w:rPr>
        <w:tab/>
      </w:r>
      <w:r>
        <w:rPr>
          <w:lang w:val="fr-FR"/>
        </w:rPr>
        <w:t xml:space="preserve">Voir </w:t>
      </w:r>
      <w:r w:rsidRPr="003D3C70">
        <w:rPr>
          <w:i/>
          <w:lang w:val="fr-FR"/>
        </w:rPr>
        <w:t xml:space="preserve">K.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par</w:t>
      </w:r>
      <w:r w:rsidRPr="002D40DC">
        <w:rPr>
          <w:lang w:val="fr-FR"/>
        </w:rPr>
        <w:t>. </w:t>
      </w:r>
      <w:r w:rsidRPr="003D3C70">
        <w:rPr>
          <w:lang w:val="fr-FR"/>
        </w:rPr>
        <w:t xml:space="preserve">7.3 ; </w:t>
      </w:r>
      <w:r w:rsidRPr="003D3C70">
        <w:rPr>
          <w:i/>
          <w:lang w:val="fr-FR"/>
        </w:rPr>
        <w:t xml:space="preserve">P. T.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par.</w:t>
      </w:r>
      <w:r w:rsidRPr="002D40DC">
        <w:rPr>
          <w:lang w:val="fr-FR"/>
        </w:rPr>
        <w:t> </w:t>
      </w:r>
      <w:r w:rsidRPr="003D3C70">
        <w:rPr>
          <w:lang w:val="fr-FR"/>
        </w:rPr>
        <w:t xml:space="preserve">7.2 ; </w:t>
      </w:r>
      <w:r w:rsidRPr="002D40DC">
        <w:rPr>
          <w:lang w:val="fr-FR"/>
        </w:rPr>
        <w:t>et</w:t>
      </w:r>
      <w:r w:rsidRPr="003D3C70">
        <w:rPr>
          <w:lang w:val="fr-FR"/>
        </w:rPr>
        <w:t xml:space="preserve"> </w:t>
      </w:r>
      <w:r w:rsidRPr="003D3C70">
        <w:rPr>
          <w:i/>
          <w:lang w:val="fr-FR"/>
        </w:rPr>
        <w:t xml:space="preserve">X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par.</w:t>
      </w:r>
      <w:r w:rsidRPr="002D40DC">
        <w:rPr>
          <w:lang w:val="fr-FR"/>
        </w:rPr>
        <w:t> </w:t>
      </w:r>
      <w:r w:rsidRPr="003D3C70">
        <w:rPr>
          <w:lang w:val="fr-FR"/>
        </w:rPr>
        <w:t>9.2.</w:t>
      </w:r>
    </w:p>
  </w:footnote>
  <w:footnote w:id="29">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lang w:val="fr-FR"/>
        </w:rPr>
        <w:t xml:space="preserve"> </w:t>
      </w:r>
      <w:r w:rsidRPr="003D3C70">
        <w:rPr>
          <w:lang w:val="fr-FR"/>
        </w:rPr>
        <w:tab/>
      </w:r>
      <w:r>
        <w:rPr>
          <w:lang w:val="fr-FR"/>
        </w:rPr>
        <w:t xml:space="preserve">Voir </w:t>
      </w:r>
      <w:r w:rsidRPr="003D3C70">
        <w:rPr>
          <w:i/>
          <w:lang w:val="fr-FR"/>
        </w:rPr>
        <w:t xml:space="preserve">X </w:t>
      </w:r>
      <w:r w:rsidRPr="00B2796A">
        <w:rPr>
          <w:i/>
          <w:iCs/>
          <w:lang w:val="fr-FR"/>
        </w:rPr>
        <w:t>c.</w:t>
      </w:r>
      <w:r w:rsidRPr="003D3C70">
        <w:rPr>
          <w:i/>
          <w:lang w:val="fr-FR"/>
        </w:rPr>
        <w:t xml:space="preserve"> S</w:t>
      </w:r>
      <w:r w:rsidRPr="002D40DC">
        <w:rPr>
          <w:i/>
          <w:lang w:val="fr-FR"/>
        </w:rPr>
        <w:t>uède</w:t>
      </w:r>
      <w:r w:rsidRPr="003D3C70">
        <w:rPr>
          <w:lang w:val="fr-FR"/>
        </w:rPr>
        <w:t xml:space="preserve"> (CCPR/C/103/D/1833/2008), par</w:t>
      </w:r>
      <w:r w:rsidRPr="002D40DC">
        <w:rPr>
          <w:lang w:val="fr-FR"/>
        </w:rPr>
        <w:t>. </w:t>
      </w:r>
      <w:r w:rsidRPr="003D3C70">
        <w:rPr>
          <w:lang w:val="fr-FR"/>
        </w:rPr>
        <w:t>5.18.</w:t>
      </w:r>
    </w:p>
  </w:footnote>
  <w:footnote w:id="30">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t>Ibid.</w:t>
      </w:r>
      <w:r w:rsidRPr="002D40DC">
        <w:rPr>
          <w:lang w:val="fr-FR"/>
        </w:rPr>
        <w:t xml:space="preserve"> </w:t>
      </w:r>
      <w:r>
        <w:rPr>
          <w:lang w:val="fr-FR"/>
        </w:rPr>
        <w:t>V</w:t>
      </w:r>
      <w:r w:rsidRPr="002D40DC">
        <w:rPr>
          <w:lang w:val="fr-FR"/>
        </w:rPr>
        <w:t>oir aussi</w:t>
      </w:r>
      <w:r w:rsidRPr="003D3C70">
        <w:rPr>
          <w:lang w:val="fr-FR"/>
        </w:rPr>
        <w:t xml:space="preserve"> </w:t>
      </w:r>
      <w:r w:rsidRPr="002D40DC">
        <w:rPr>
          <w:i/>
          <w:lang w:val="fr-FR"/>
        </w:rPr>
        <w:t>X</w:t>
      </w:r>
      <w:r w:rsidRPr="003D3C70">
        <w:rPr>
          <w:i/>
          <w:lang w:val="fr-FR"/>
        </w:rPr>
        <w:t xml:space="preserve">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par.</w:t>
      </w:r>
      <w:r w:rsidRPr="002D40DC">
        <w:rPr>
          <w:lang w:val="fr-FR"/>
        </w:rPr>
        <w:t> </w:t>
      </w:r>
      <w:r w:rsidRPr="003D3C70">
        <w:rPr>
          <w:lang w:val="fr-FR"/>
        </w:rPr>
        <w:t>9.2.</w:t>
      </w:r>
    </w:p>
  </w:footnote>
  <w:footnote w:id="31">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Pr>
          <w:lang w:val="fr-FR"/>
        </w:rPr>
        <w:t xml:space="preserve">Voir </w:t>
      </w:r>
      <w:r w:rsidRPr="003D3C70">
        <w:rPr>
          <w:i/>
          <w:lang w:val="fr-FR"/>
        </w:rPr>
        <w:t xml:space="preserve">Pillai </w:t>
      </w:r>
      <w:r w:rsidRPr="00663C56">
        <w:rPr>
          <w:i/>
          <w:lang w:val="fr-FR"/>
        </w:rPr>
        <w:t>et consorts</w:t>
      </w:r>
      <w:r w:rsidRPr="003D3C70">
        <w:rPr>
          <w:i/>
          <w:lang w:val="fr-FR"/>
        </w:rPr>
        <w:t xml:space="preserve"> </w:t>
      </w:r>
      <w:r w:rsidRPr="00B2796A">
        <w:rPr>
          <w:i/>
          <w:iCs/>
          <w:lang w:val="fr-FR"/>
        </w:rPr>
        <w:t>c.</w:t>
      </w:r>
      <w:r w:rsidRPr="003D3C70">
        <w:rPr>
          <w:i/>
          <w:lang w:val="fr-FR"/>
        </w:rPr>
        <w:t xml:space="preserve"> Canada</w:t>
      </w:r>
      <w:r w:rsidRPr="003D3C70">
        <w:rPr>
          <w:lang w:val="fr-FR"/>
        </w:rPr>
        <w:t xml:space="preserve"> (CCPR/C/101/D/1763/2008), par.</w:t>
      </w:r>
      <w:r w:rsidRPr="002D40DC">
        <w:rPr>
          <w:lang w:val="fr-FR"/>
        </w:rPr>
        <w:t> </w:t>
      </w:r>
      <w:r w:rsidRPr="003D3C70">
        <w:rPr>
          <w:lang w:val="fr-FR"/>
        </w:rPr>
        <w:t>11.4</w:t>
      </w:r>
      <w:r w:rsidRPr="002D40DC">
        <w:rPr>
          <w:lang w:val="fr-FR"/>
        </w:rPr>
        <w:t>, et</w:t>
      </w:r>
      <w:r w:rsidRPr="003D3C70">
        <w:rPr>
          <w:lang w:val="fr-FR"/>
        </w:rPr>
        <w:t xml:space="preserve"> </w:t>
      </w:r>
      <w:r w:rsidRPr="003D3C70">
        <w:rPr>
          <w:i/>
          <w:lang w:val="fr-FR"/>
        </w:rPr>
        <w:t xml:space="preserve">Lin </w:t>
      </w:r>
      <w:r w:rsidRPr="00B2796A">
        <w:rPr>
          <w:i/>
          <w:iCs/>
          <w:lang w:val="fr-FR"/>
        </w:rPr>
        <w:t>c.</w:t>
      </w:r>
      <w:r w:rsidRPr="003D3C70">
        <w:rPr>
          <w:i/>
          <w:lang w:val="fr-FR"/>
        </w:rPr>
        <w:t xml:space="preserve"> Australi</w:t>
      </w:r>
      <w:r w:rsidRPr="002D40DC">
        <w:rPr>
          <w:i/>
          <w:lang w:val="fr-FR"/>
        </w:rPr>
        <w:t>e</w:t>
      </w:r>
      <w:r w:rsidRPr="003D3C70">
        <w:rPr>
          <w:lang w:val="fr-FR"/>
        </w:rPr>
        <w:t xml:space="preserve"> (CCPR/C/107/D/1957/2010), pa</w:t>
      </w:r>
      <w:r w:rsidRPr="002D40DC">
        <w:rPr>
          <w:lang w:val="fr-FR"/>
        </w:rPr>
        <w:t>r. </w:t>
      </w:r>
      <w:r w:rsidRPr="003D3C70">
        <w:rPr>
          <w:lang w:val="fr-FR"/>
        </w:rPr>
        <w:t>9.3.</w:t>
      </w:r>
    </w:p>
  </w:footnote>
  <w:footnote w:id="32">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rStyle w:val="Appelnotedebasdep"/>
          <w:lang w:val="fr-FR"/>
        </w:rPr>
        <w:t xml:space="preserve"> </w:t>
      </w:r>
      <w:r w:rsidRPr="003D3C70">
        <w:rPr>
          <w:lang w:val="fr-FR"/>
        </w:rPr>
        <w:tab/>
      </w:r>
      <w:r w:rsidRPr="002D40DC">
        <w:rPr>
          <w:lang w:val="fr-FR"/>
        </w:rPr>
        <w:t>Voir</w:t>
      </w:r>
      <w:r w:rsidRPr="003D3C70">
        <w:rPr>
          <w:lang w:val="fr-FR"/>
        </w:rPr>
        <w:t xml:space="preserve">, </w:t>
      </w:r>
      <w:r w:rsidRPr="002D40DC">
        <w:rPr>
          <w:lang w:val="fr-FR"/>
        </w:rPr>
        <w:t>par exemple</w:t>
      </w:r>
      <w:r w:rsidRPr="003D3C70">
        <w:rPr>
          <w:lang w:val="fr-FR"/>
        </w:rPr>
        <w:t xml:space="preserve">, </w:t>
      </w:r>
      <w:r w:rsidRPr="003D3C70">
        <w:rPr>
          <w:i/>
          <w:lang w:val="fr-FR"/>
        </w:rPr>
        <w:t xml:space="preserve">K. </w:t>
      </w:r>
      <w:r w:rsidRPr="00B2796A">
        <w:rPr>
          <w:i/>
          <w:iCs/>
          <w:lang w:val="fr-FR"/>
        </w:rPr>
        <w:t>c.</w:t>
      </w:r>
      <w:r w:rsidRPr="003D3C70">
        <w:rPr>
          <w:i/>
          <w:lang w:val="fr-FR"/>
        </w:rPr>
        <w:t xml:space="preserve"> D</w:t>
      </w:r>
      <w:r w:rsidRPr="002D40DC">
        <w:rPr>
          <w:i/>
          <w:lang w:val="fr-FR"/>
        </w:rPr>
        <w:t>a</w:t>
      </w:r>
      <w:r w:rsidRPr="003D3C70">
        <w:rPr>
          <w:i/>
          <w:lang w:val="fr-FR"/>
        </w:rPr>
        <w:t>n</w:t>
      </w:r>
      <w:r w:rsidRPr="002D40DC">
        <w:rPr>
          <w:i/>
          <w:lang w:val="fr-FR"/>
        </w:rPr>
        <w:t>e</w:t>
      </w:r>
      <w:r w:rsidRPr="003D3C70">
        <w:rPr>
          <w:i/>
          <w:lang w:val="fr-FR"/>
        </w:rPr>
        <w:t>mark</w:t>
      </w:r>
      <w:r w:rsidRPr="003D3C70">
        <w:rPr>
          <w:lang w:val="fr-FR"/>
        </w:rPr>
        <w:t>, par.</w:t>
      </w:r>
      <w:r w:rsidRPr="002D40DC">
        <w:rPr>
          <w:lang w:val="fr-FR"/>
        </w:rPr>
        <w:t> </w:t>
      </w:r>
      <w:r w:rsidRPr="003D3C70">
        <w:rPr>
          <w:lang w:val="fr-FR"/>
        </w:rPr>
        <w:t>7.4.</w:t>
      </w:r>
    </w:p>
  </w:footnote>
  <w:footnote w:id="33">
    <w:p w:rsidR="00AA69CE" w:rsidRPr="003D3C70" w:rsidRDefault="00AA69CE" w:rsidP="00685027">
      <w:pPr>
        <w:pStyle w:val="Notedebasdepage"/>
        <w:rPr>
          <w:lang w:val="fr-FR"/>
        </w:rPr>
      </w:pPr>
      <w:r w:rsidRPr="003D3C70">
        <w:rPr>
          <w:lang w:val="fr-FR"/>
        </w:rPr>
        <w:tab/>
      </w:r>
      <w:r w:rsidRPr="007D575F">
        <w:rPr>
          <w:rStyle w:val="Appelnotedebasdep"/>
        </w:rPr>
        <w:footnoteRef/>
      </w:r>
      <w:r w:rsidRPr="003D3C70">
        <w:rPr>
          <w:lang w:val="fr-FR"/>
        </w:rPr>
        <w:t xml:space="preserve"> </w:t>
      </w:r>
      <w:r w:rsidRPr="003D3C70">
        <w:rPr>
          <w:lang w:val="fr-FR"/>
        </w:rPr>
        <w:tab/>
      </w:r>
      <w:r>
        <w:rPr>
          <w:bCs/>
          <w:szCs w:val="18"/>
          <w:lang w:val="fr-FR"/>
        </w:rPr>
        <w:t>Haut-Commissariat des Nations Unies pour les réfugiés</w:t>
      </w:r>
      <w:r w:rsidRPr="003D3C70">
        <w:rPr>
          <w:bCs/>
          <w:szCs w:val="18"/>
          <w:lang w:val="fr-FR"/>
        </w:rPr>
        <w:t xml:space="preserve">, </w:t>
      </w:r>
      <w:r w:rsidRPr="003D3C70">
        <w:rPr>
          <w:bCs/>
          <w:i/>
          <w:szCs w:val="18"/>
          <w:lang w:val="fr-FR"/>
        </w:rPr>
        <w:t>Principes directeurs sur la protection internationale : Demandes d</w:t>
      </w:r>
      <w:r>
        <w:rPr>
          <w:bCs/>
          <w:i/>
          <w:szCs w:val="18"/>
          <w:lang w:val="fr-FR"/>
        </w:rPr>
        <w:t>’</w:t>
      </w:r>
      <w:r w:rsidRPr="003D3C70">
        <w:rPr>
          <w:bCs/>
          <w:i/>
          <w:szCs w:val="18"/>
          <w:lang w:val="fr-FR"/>
        </w:rPr>
        <w:t>asile fondées sur l</w:t>
      </w:r>
      <w:r>
        <w:rPr>
          <w:bCs/>
          <w:i/>
          <w:szCs w:val="18"/>
          <w:lang w:val="fr-FR"/>
        </w:rPr>
        <w:t>a religion au sens de l’article 1</w:t>
      </w:r>
      <w:r w:rsidRPr="003D3C70">
        <w:rPr>
          <w:bCs/>
          <w:i/>
          <w:szCs w:val="18"/>
          <w:lang w:val="fr-FR"/>
        </w:rPr>
        <w:t>A</w:t>
      </w:r>
      <w:r w:rsidR="003A4B03">
        <w:rPr>
          <w:bCs/>
          <w:i/>
          <w:szCs w:val="18"/>
          <w:lang w:val="fr-FR"/>
        </w:rPr>
        <w:t>(</w:t>
      </w:r>
      <w:r w:rsidRPr="003D3C70">
        <w:rPr>
          <w:bCs/>
          <w:i/>
          <w:szCs w:val="18"/>
          <w:lang w:val="fr-FR"/>
        </w:rPr>
        <w:t>2</w:t>
      </w:r>
      <w:r w:rsidR="003A4B03">
        <w:rPr>
          <w:bCs/>
          <w:i/>
          <w:szCs w:val="18"/>
          <w:lang w:val="fr-FR"/>
        </w:rPr>
        <w:t>)</w:t>
      </w:r>
      <w:r w:rsidRPr="003D3C70">
        <w:rPr>
          <w:bCs/>
          <w:i/>
          <w:szCs w:val="18"/>
          <w:lang w:val="fr-FR"/>
        </w:rPr>
        <w:t xml:space="preserve"> de la Convention de 1951 et/ou du Protocole de 1967</w:t>
      </w:r>
      <w:r>
        <w:rPr>
          <w:bCs/>
          <w:i/>
          <w:szCs w:val="18"/>
          <w:lang w:val="fr-FR"/>
        </w:rPr>
        <w:t xml:space="preserve"> </w:t>
      </w:r>
      <w:r w:rsidRPr="003D3C70">
        <w:rPr>
          <w:bCs/>
          <w:i/>
          <w:szCs w:val="18"/>
          <w:lang w:val="fr-FR"/>
        </w:rPr>
        <w:t>relatif au statut des réfugiés</w:t>
      </w:r>
      <w:r w:rsidRPr="003D3C70">
        <w:rPr>
          <w:bCs/>
          <w:szCs w:val="18"/>
          <w:lang w:val="fr-FR"/>
        </w:rPr>
        <w:t xml:space="preserve">, </w:t>
      </w:r>
      <w:r>
        <w:rPr>
          <w:bCs/>
          <w:szCs w:val="18"/>
          <w:lang w:val="fr-FR"/>
        </w:rPr>
        <w:t>par. </w:t>
      </w:r>
      <w:r w:rsidRPr="003D3C70">
        <w:rPr>
          <w:bCs/>
          <w:szCs w:val="18"/>
          <w:lang w:val="fr-FR"/>
        </w:rPr>
        <w:t>34</w:t>
      </w:r>
      <w:r>
        <w:rPr>
          <w:bCs/>
          <w:szCs w:val="18"/>
          <w:lang w:val="fr-FR"/>
        </w:rPr>
        <w:t>.</w:t>
      </w:r>
      <w:r w:rsidRPr="003D3C70">
        <w:rPr>
          <w:bCs/>
          <w:szCs w:val="18"/>
          <w:lang w:val="fr-FR"/>
        </w:rPr>
        <w:t xml:space="preserve"> </w:t>
      </w:r>
      <w:r>
        <w:rPr>
          <w:bCs/>
          <w:szCs w:val="18"/>
          <w:lang w:val="fr-FR"/>
        </w:rPr>
        <w:t>À</w:t>
      </w:r>
      <w:r w:rsidRPr="003D3C70">
        <w:rPr>
          <w:bCs/>
          <w:szCs w:val="18"/>
          <w:lang w:val="fr-FR"/>
        </w:rPr>
        <w:t xml:space="preserve"> consulter à l</w:t>
      </w:r>
      <w:r>
        <w:rPr>
          <w:bCs/>
          <w:szCs w:val="18"/>
          <w:lang w:val="fr-FR"/>
        </w:rPr>
        <w:t>’</w:t>
      </w:r>
      <w:r w:rsidRPr="003D3C70">
        <w:rPr>
          <w:bCs/>
          <w:szCs w:val="18"/>
          <w:lang w:val="fr-FR"/>
        </w:rPr>
        <w:t xml:space="preserve">adresse </w:t>
      </w:r>
      <w:hyperlink r:id="rId1" w:history="1">
        <w:r w:rsidR="00AA6385" w:rsidRPr="00AA6385">
          <w:rPr>
            <w:rStyle w:val="Lienhypertexte"/>
            <w:bCs/>
            <w:szCs w:val="18"/>
            <w:lang w:val="fr-FR"/>
          </w:rPr>
          <w:t>www.unhcr.org/af</w:t>
        </w:r>
        <w:r w:rsidR="00AA6385" w:rsidRPr="00AA6385">
          <w:rPr>
            <w:rStyle w:val="Lienhypertexte"/>
            <w:bCs/>
            <w:szCs w:val="18"/>
            <w:lang w:val="fr-FR"/>
          </w:rPr>
          <w:t>r</w:t>
        </w:r>
        <w:r w:rsidR="00AA6385" w:rsidRPr="00AA6385">
          <w:rPr>
            <w:rStyle w:val="Lienhypertexte"/>
            <w:bCs/>
            <w:szCs w:val="18"/>
            <w:lang w:val="fr-FR"/>
          </w:rPr>
          <w:t>/40</w:t>
        </w:r>
        <w:r w:rsidR="00AA6385" w:rsidRPr="00AA6385">
          <w:rPr>
            <w:rStyle w:val="Lienhypertexte"/>
            <w:bCs/>
            <w:szCs w:val="18"/>
            <w:lang w:val="fr-FR"/>
          </w:rPr>
          <w:t>d</w:t>
        </w:r>
        <w:r w:rsidR="00AA6385" w:rsidRPr="00AA6385">
          <w:rPr>
            <w:rStyle w:val="Lienhypertexte"/>
            <w:bCs/>
            <w:szCs w:val="18"/>
            <w:lang w:val="fr-FR"/>
          </w:rPr>
          <w:t>8427a4.pdf</w:t>
        </w:r>
      </w:hyperlink>
      <w:r w:rsidRPr="003D3C70">
        <w:rPr>
          <w:bCs/>
          <w:szCs w:val="18"/>
          <w:lang w:val="fr-FR"/>
        </w:rPr>
        <w:t>.</w:t>
      </w:r>
    </w:p>
  </w:footnote>
  <w:footnote w:id="34">
    <w:p w:rsidR="00AA69CE" w:rsidRPr="00B215FC" w:rsidRDefault="00AA69CE" w:rsidP="00685027">
      <w:pPr>
        <w:pStyle w:val="Notedebasdepage"/>
        <w:rPr>
          <w:lang w:val="fr-FR"/>
        </w:rPr>
      </w:pPr>
      <w:r w:rsidRPr="003D3C70">
        <w:rPr>
          <w:lang w:val="fr-FR"/>
        </w:rPr>
        <w:tab/>
      </w:r>
      <w:r w:rsidRPr="007D575F">
        <w:rPr>
          <w:rStyle w:val="Appelnotedebasdep"/>
        </w:rPr>
        <w:footnoteRef/>
      </w:r>
      <w:r w:rsidRPr="003D3C70">
        <w:rPr>
          <w:lang w:val="fr-FR"/>
        </w:rPr>
        <w:tab/>
      </w:r>
      <w:r>
        <w:rPr>
          <w:lang w:val="fr-FR"/>
        </w:rPr>
        <w:t xml:space="preserve">Voir </w:t>
      </w:r>
      <w:r w:rsidRPr="003D3C70">
        <w:rPr>
          <w:i/>
          <w:lang w:val="fr-FR"/>
        </w:rPr>
        <w:t>S.</w:t>
      </w:r>
      <w:r>
        <w:rPr>
          <w:i/>
          <w:lang w:val="fr-FR"/>
        </w:rPr>
        <w:t> </w:t>
      </w:r>
      <w:r w:rsidRPr="003D3C70">
        <w:rPr>
          <w:i/>
          <w:lang w:val="fr-FR"/>
        </w:rPr>
        <w:t>A.</w:t>
      </w:r>
      <w:r>
        <w:rPr>
          <w:i/>
          <w:lang w:val="fr-FR"/>
        </w:rPr>
        <w:t> </w:t>
      </w:r>
      <w:r w:rsidRPr="003D3C70">
        <w:rPr>
          <w:i/>
          <w:lang w:val="fr-FR"/>
        </w:rPr>
        <w:t>H.</w:t>
      </w:r>
      <w:r w:rsidRPr="00B215FC">
        <w:rPr>
          <w:i/>
          <w:iCs/>
          <w:lang w:val="fr-FR"/>
        </w:rPr>
        <w:t xml:space="preserve"> </w:t>
      </w:r>
      <w:r w:rsidRPr="00B2796A">
        <w:rPr>
          <w:i/>
          <w:iCs/>
          <w:lang w:val="fr-FR"/>
        </w:rPr>
        <w:t>c.</w:t>
      </w:r>
      <w:r w:rsidRPr="003D3C70">
        <w:rPr>
          <w:i/>
          <w:lang w:val="fr-FR"/>
        </w:rPr>
        <w:t xml:space="preserve"> Danemark</w:t>
      </w:r>
      <w:r w:rsidRPr="003D3C70">
        <w:rPr>
          <w:lang w:val="fr-FR"/>
        </w:rPr>
        <w:t xml:space="preserve"> (CCPR/C/121/D/2419/2014</w:t>
      </w:r>
      <w:r>
        <w:rPr>
          <w:lang w:val="fr-FR"/>
        </w:rPr>
        <w:t>), par. </w:t>
      </w:r>
      <w:r w:rsidRPr="003D3C70">
        <w:rPr>
          <w:lang w:val="fr-FR"/>
        </w:rPr>
        <w:t>11.8.</w:t>
      </w:r>
      <w:r>
        <w:rPr>
          <w:lang w:val="fr-FR"/>
        </w:rPr>
        <w:t xml:space="preserve"> Voir Cour européenne des droits de l’homme, </w:t>
      </w:r>
      <w:r>
        <w:rPr>
          <w:i/>
          <w:iCs/>
          <w:lang w:val="fr-FR"/>
        </w:rPr>
        <w:t xml:space="preserve">F. G. c. Suède </w:t>
      </w:r>
      <w:r>
        <w:rPr>
          <w:lang w:val="fr-FR"/>
        </w:rPr>
        <w:t xml:space="preserve">(requête </w:t>
      </w:r>
      <w:r w:rsidR="00256489" w:rsidRPr="00256489">
        <w:rPr>
          <w:rFonts w:eastAsia="MS Mincho"/>
          <w:szCs w:val="22"/>
          <w:lang w:val="fr-FR"/>
        </w:rPr>
        <w:t>n</w:t>
      </w:r>
      <w:r w:rsidR="00256489" w:rsidRPr="00256489">
        <w:rPr>
          <w:rFonts w:eastAsia="MS Mincho"/>
          <w:szCs w:val="22"/>
          <w:vertAlign w:val="superscript"/>
          <w:lang w:val="fr-FR"/>
        </w:rPr>
        <w:t>o</w:t>
      </w:r>
      <w:r w:rsidR="00256489">
        <w:rPr>
          <w:lang w:val="fr-FR"/>
        </w:rPr>
        <w:t> </w:t>
      </w:r>
      <w:r>
        <w:rPr>
          <w:lang w:val="fr-FR"/>
        </w:rPr>
        <w:t>43611/11), arrêt du 23 mars 2016, par.</w:t>
      </w:r>
      <w:r w:rsidR="00256489">
        <w:rPr>
          <w:lang w:val="fr-FR"/>
        </w:rPr>
        <w:t> </w:t>
      </w:r>
      <w:r>
        <w:rPr>
          <w:lang w:val="fr-FR"/>
        </w:rPr>
        <w:t>156.</w:t>
      </w:r>
    </w:p>
  </w:footnote>
  <w:footnote w:id="35">
    <w:p w:rsidR="00AA69CE" w:rsidRPr="003D393D" w:rsidRDefault="00AA69CE" w:rsidP="00685027">
      <w:pPr>
        <w:pStyle w:val="Notedebasdepage"/>
        <w:rPr>
          <w:szCs w:val="18"/>
        </w:rPr>
      </w:pPr>
      <w:r w:rsidRPr="00B2796A">
        <w:rPr>
          <w:szCs w:val="18"/>
        </w:rPr>
        <w:tab/>
      </w:r>
      <w:r w:rsidRPr="00B05B3C">
        <w:rPr>
          <w:rStyle w:val="Appelnotedebasdep"/>
          <w:szCs w:val="18"/>
          <w:lang w:val="en-GB"/>
        </w:rPr>
        <w:footnoteRef/>
      </w:r>
      <w:r w:rsidRPr="00B2796A">
        <w:rPr>
          <w:szCs w:val="18"/>
        </w:rPr>
        <w:tab/>
        <w:t xml:space="preserve">Voir Service danois de l’immigration, “Iran: house </w:t>
      </w:r>
      <w:proofErr w:type="spellStart"/>
      <w:r w:rsidRPr="00B2796A">
        <w:rPr>
          <w:szCs w:val="18"/>
        </w:rPr>
        <w:t>churches</w:t>
      </w:r>
      <w:proofErr w:type="spellEnd"/>
      <w:r w:rsidRPr="00B2796A">
        <w:rPr>
          <w:szCs w:val="18"/>
        </w:rPr>
        <w:t xml:space="preserve"> and </w:t>
      </w:r>
      <w:proofErr w:type="spellStart"/>
      <w:r w:rsidRPr="00B2796A">
        <w:rPr>
          <w:szCs w:val="18"/>
        </w:rPr>
        <w:t>converts</w:t>
      </w:r>
      <w:proofErr w:type="spellEnd"/>
      <w:r w:rsidRPr="00B2796A">
        <w:rPr>
          <w:szCs w:val="18"/>
        </w:rPr>
        <w:t>”, février 2018, à consulter à</w:t>
      </w:r>
      <w:r>
        <w:rPr>
          <w:szCs w:val="18"/>
        </w:rPr>
        <w:t> </w:t>
      </w:r>
      <w:r w:rsidRPr="00B2796A">
        <w:rPr>
          <w:szCs w:val="18"/>
        </w:rPr>
        <w:t xml:space="preserve">l’adresse </w:t>
      </w:r>
      <w:hyperlink r:id="rId2" w:history="1">
        <w:r w:rsidRPr="00B2796A">
          <w:rPr>
            <w:rStyle w:val="Lienhypertexte"/>
            <w:szCs w:val="18"/>
          </w:rPr>
          <w:t>www.refworld.org/docid/5ab</w:t>
        </w:r>
        <w:r w:rsidRPr="00B2796A">
          <w:rPr>
            <w:rStyle w:val="Lienhypertexte"/>
            <w:szCs w:val="18"/>
          </w:rPr>
          <w:t>8</w:t>
        </w:r>
        <w:r w:rsidRPr="00B2796A">
          <w:rPr>
            <w:rStyle w:val="Lienhypertexte"/>
            <w:szCs w:val="18"/>
          </w:rPr>
          <w:t>f2de4.html</w:t>
        </w:r>
      </w:hyperlink>
      <w:r w:rsidRPr="00937DF2">
        <w:rPr>
          <w:szCs w:val="18"/>
        </w:rPr>
        <w:t> </w:t>
      </w:r>
      <w:r w:rsidRPr="00B2796A">
        <w:rPr>
          <w:szCs w:val="18"/>
        </w:rPr>
        <w:t>;</w:t>
      </w:r>
      <w:r w:rsidR="003D393D">
        <w:rPr>
          <w:szCs w:val="18"/>
        </w:rPr>
        <w:t xml:space="preserve"> </w:t>
      </w:r>
      <w:r w:rsidRPr="003D393D">
        <w:rPr>
          <w:szCs w:val="18"/>
        </w:rPr>
        <w:t xml:space="preserve">United States Commission on International </w:t>
      </w:r>
      <w:proofErr w:type="spellStart"/>
      <w:r w:rsidRPr="003D393D">
        <w:rPr>
          <w:szCs w:val="18"/>
        </w:rPr>
        <w:t>Religious</w:t>
      </w:r>
      <w:proofErr w:type="spellEnd"/>
      <w:r w:rsidRPr="003D393D">
        <w:rPr>
          <w:szCs w:val="18"/>
        </w:rPr>
        <w:t xml:space="preserve"> Freedom, </w:t>
      </w:r>
      <w:r w:rsidRPr="003D393D">
        <w:rPr>
          <w:i/>
          <w:iCs/>
          <w:szCs w:val="18"/>
        </w:rPr>
        <w:t xml:space="preserve">USCIRF </w:t>
      </w:r>
      <w:proofErr w:type="spellStart"/>
      <w:r w:rsidRPr="003D393D">
        <w:rPr>
          <w:i/>
          <w:iCs/>
          <w:szCs w:val="18"/>
        </w:rPr>
        <w:t>Annual</w:t>
      </w:r>
      <w:proofErr w:type="spellEnd"/>
      <w:r w:rsidRPr="003D393D">
        <w:rPr>
          <w:i/>
          <w:iCs/>
          <w:szCs w:val="18"/>
        </w:rPr>
        <w:t xml:space="preserve"> Report 2018</w:t>
      </w:r>
      <w:r w:rsidRPr="003D393D">
        <w:rPr>
          <w:szCs w:val="18"/>
        </w:rPr>
        <w:t>,</w:t>
      </w:r>
      <w:r w:rsidRPr="003D393D">
        <w:rPr>
          <w:i/>
          <w:iCs/>
          <w:szCs w:val="18"/>
        </w:rPr>
        <w:t xml:space="preserve"> </w:t>
      </w:r>
      <w:r w:rsidRPr="003D393D">
        <w:rPr>
          <w:szCs w:val="18"/>
        </w:rPr>
        <w:t>Tier 1: USCIRF-</w:t>
      </w:r>
      <w:proofErr w:type="spellStart"/>
      <w:r w:rsidRPr="003D393D">
        <w:rPr>
          <w:szCs w:val="18"/>
        </w:rPr>
        <w:t>recommended</w:t>
      </w:r>
      <w:proofErr w:type="spellEnd"/>
      <w:r w:rsidRPr="003D393D">
        <w:rPr>
          <w:szCs w:val="18"/>
        </w:rPr>
        <w:t xml:space="preserve"> countries of </w:t>
      </w:r>
      <w:proofErr w:type="spellStart"/>
      <w:r w:rsidRPr="003D393D">
        <w:rPr>
          <w:szCs w:val="18"/>
        </w:rPr>
        <w:t>particular</w:t>
      </w:r>
      <w:proofErr w:type="spellEnd"/>
      <w:r w:rsidRPr="003D393D">
        <w:rPr>
          <w:szCs w:val="18"/>
        </w:rPr>
        <w:t xml:space="preserve"> </w:t>
      </w:r>
      <w:proofErr w:type="spellStart"/>
      <w:r w:rsidRPr="003D393D">
        <w:rPr>
          <w:szCs w:val="18"/>
        </w:rPr>
        <w:t>concern</w:t>
      </w:r>
      <w:proofErr w:type="spellEnd"/>
      <w:r w:rsidRPr="003D393D">
        <w:rPr>
          <w:szCs w:val="18"/>
        </w:rPr>
        <w:t xml:space="preserve">: the </w:t>
      </w:r>
      <w:proofErr w:type="spellStart"/>
      <w:r w:rsidRPr="003D393D">
        <w:rPr>
          <w:szCs w:val="18"/>
        </w:rPr>
        <w:t>Islamic</w:t>
      </w:r>
      <w:proofErr w:type="spellEnd"/>
      <w:r w:rsidRPr="003D393D">
        <w:rPr>
          <w:szCs w:val="18"/>
        </w:rPr>
        <w:t xml:space="preserve"> </w:t>
      </w:r>
      <w:proofErr w:type="spellStart"/>
      <w:r w:rsidRPr="003D393D">
        <w:rPr>
          <w:szCs w:val="18"/>
        </w:rPr>
        <w:t>Republic</w:t>
      </w:r>
      <w:proofErr w:type="spellEnd"/>
      <w:r w:rsidRPr="003D393D">
        <w:rPr>
          <w:szCs w:val="18"/>
        </w:rPr>
        <w:t xml:space="preserve"> of Iran, 25</w:t>
      </w:r>
      <w:r w:rsidR="0066605B" w:rsidRPr="003D393D">
        <w:rPr>
          <w:szCs w:val="18"/>
        </w:rPr>
        <w:t> </w:t>
      </w:r>
      <w:r w:rsidRPr="003D393D">
        <w:rPr>
          <w:szCs w:val="18"/>
        </w:rPr>
        <w:t>avril 2018, à</w:t>
      </w:r>
      <w:r w:rsidR="0066605B" w:rsidRPr="003D393D">
        <w:rPr>
          <w:szCs w:val="18"/>
        </w:rPr>
        <w:t> </w:t>
      </w:r>
      <w:r w:rsidRPr="003D393D">
        <w:rPr>
          <w:szCs w:val="18"/>
        </w:rPr>
        <w:t xml:space="preserve">consulter à l’adresse </w:t>
      </w:r>
      <w:hyperlink r:id="rId3" w:history="1">
        <w:r w:rsidRPr="003D393D">
          <w:rPr>
            <w:rStyle w:val="Lienhypertexte"/>
            <w:szCs w:val="18"/>
          </w:rPr>
          <w:t>www.refworld.org/doc</w:t>
        </w:r>
        <w:r w:rsidRPr="003D393D">
          <w:rPr>
            <w:rStyle w:val="Lienhypertexte"/>
            <w:szCs w:val="18"/>
          </w:rPr>
          <w:t>i</w:t>
        </w:r>
        <w:r w:rsidRPr="003D393D">
          <w:rPr>
            <w:rStyle w:val="Lienhypertexte"/>
            <w:szCs w:val="18"/>
          </w:rPr>
          <w:t>d/5b278edb0.html</w:t>
        </w:r>
      </w:hyperlink>
      <w:r w:rsidRPr="003D393D">
        <w:rPr>
          <w:szCs w:val="18"/>
        </w:rPr>
        <w:t> ;</w:t>
      </w:r>
      <w:r w:rsidR="003D393D">
        <w:rPr>
          <w:szCs w:val="18"/>
        </w:rPr>
        <w:t xml:space="preserve"> </w:t>
      </w:r>
      <w:r w:rsidRPr="00B2796A">
        <w:rPr>
          <w:szCs w:val="18"/>
        </w:rPr>
        <w:t xml:space="preserve">Ministère de l’intérieur du Royaume-Uni, “Country </w:t>
      </w:r>
      <w:proofErr w:type="spellStart"/>
      <w:r w:rsidRPr="00B2796A">
        <w:rPr>
          <w:szCs w:val="18"/>
        </w:rPr>
        <w:t>policy</w:t>
      </w:r>
      <w:proofErr w:type="spellEnd"/>
      <w:r w:rsidRPr="00B2796A">
        <w:rPr>
          <w:szCs w:val="18"/>
        </w:rPr>
        <w:t xml:space="preserve"> and information note: Iran: </w:t>
      </w:r>
      <w:proofErr w:type="spellStart"/>
      <w:r w:rsidRPr="00B2796A">
        <w:rPr>
          <w:szCs w:val="18"/>
        </w:rPr>
        <w:t>Christians</w:t>
      </w:r>
      <w:proofErr w:type="spellEnd"/>
      <w:r w:rsidRPr="00B2796A">
        <w:rPr>
          <w:szCs w:val="18"/>
        </w:rPr>
        <w:t xml:space="preserve"> and Christian </w:t>
      </w:r>
      <w:proofErr w:type="spellStart"/>
      <w:r w:rsidRPr="00B2796A">
        <w:rPr>
          <w:szCs w:val="18"/>
        </w:rPr>
        <w:t>converts</w:t>
      </w:r>
      <w:proofErr w:type="spellEnd"/>
      <w:r w:rsidRPr="00B2796A">
        <w:rPr>
          <w:szCs w:val="18"/>
        </w:rPr>
        <w:t xml:space="preserve">”, mars 2018, à consulter à l’adresse </w:t>
      </w:r>
      <w:hyperlink r:id="rId4" w:history="1">
        <w:r w:rsidRPr="00B2796A">
          <w:rPr>
            <w:rStyle w:val="Lienhypertexte"/>
            <w:szCs w:val="18"/>
          </w:rPr>
          <w:t>www.refwo</w:t>
        </w:r>
        <w:r w:rsidRPr="00B2796A">
          <w:rPr>
            <w:rStyle w:val="Lienhypertexte"/>
            <w:szCs w:val="18"/>
          </w:rPr>
          <w:t>r</w:t>
        </w:r>
        <w:r w:rsidRPr="00B2796A">
          <w:rPr>
            <w:rStyle w:val="Lienhypertexte"/>
            <w:szCs w:val="18"/>
          </w:rPr>
          <w:t>ld.org/docid/5aa2aa2e7.html</w:t>
        </w:r>
      </w:hyperlink>
      <w:r w:rsidRPr="00937DF2">
        <w:rPr>
          <w:szCs w:val="18"/>
        </w:rPr>
        <w:t> </w:t>
      </w:r>
      <w:r w:rsidRPr="00B2796A">
        <w:rPr>
          <w:szCs w:val="18"/>
        </w:rPr>
        <w:t>;</w:t>
      </w:r>
      <w:r w:rsidR="003D393D">
        <w:rPr>
          <w:szCs w:val="18"/>
        </w:rPr>
        <w:t xml:space="preserve"> </w:t>
      </w:r>
      <w:proofErr w:type="spellStart"/>
      <w:r w:rsidRPr="003D393D">
        <w:rPr>
          <w:szCs w:val="18"/>
        </w:rPr>
        <w:t>Congressional</w:t>
      </w:r>
      <w:proofErr w:type="spellEnd"/>
      <w:r w:rsidRPr="003D393D">
        <w:rPr>
          <w:szCs w:val="18"/>
        </w:rPr>
        <w:t xml:space="preserve"> </w:t>
      </w:r>
      <w:proofErr w:type="spellStart"/>
      <w:r w:rsidRPr="003D393D">
        <w:rPr>
          <w:szCs w:val="18"/>
        </w:rPr>
        <w:t>Research</w:t>
      </w:r>
      <w:proofErr w:type="spellEnd"/>
      <w:r w:rsidRPr="003D393D">
        <w:rPr>
          <w:szCs w:val="18"/>
        </w:rPr>
        <w:t xml:space="preserve"> Service (États-Unis d’Amérique), “Iran: </w:t>
      </w:r>
      <w:proofErr w:type="spellStart"/>
      <w:r w:rsidRPr="003D393D">
        <w:rPr>
          <w:szCs w:val="18"/>
        </w:rPr>
        <w:t>politics</w:t>
      </w:r>
      <w:proofErr w:type="spellEnd"/>
      <w:r w:rsidRPr="003D393D">
        <w:rPr>
          <w:szCs w:val="18"/>
        </w:rPr>
        <w:t xml:space="preserve">, </w:t>
      </w:r>
      <w:proofErr w:type="spellStart"/>
      <w:r w:rsidRPr="003D393D">
        <w:rPr>
          <w:szCs w:val="18"/>
        </w:rPr>
        <w:t>human</w:t>
      </w:r>
      <w:proofErr w:type="spellEnd"/>
      <w:r w:rsidRPr="003D393D">
        <w:rPr>
          <w:szCs w:val="18"/>
        </w:rPr>
        <w:t xml:space="preserve"> </w:t>
      </w:r>
      <w:proofErr w:type="spellStart"/>
      <w:r w:rsidRPr="003D393D">
        <w:rPr>
          <w:szCs w:val="18"/>
        </w:rPr>
        <w:t>rights</w:t>
      </w:r>
      <w:proofErr w:type="spellEnd"/>
      <w:r w:rsidRPr="003D393D">
        <w:rPr>
          <w:szCs w:val="18"/>
        </w:rPr>
        <w:t xml:space="preserve">, and U.S. </w:t>
      </w:r>
      <w:proofErr w:type="spellStart"/>
      <w:r w:rsidRPr="003D393D">
        <w:rPr>
          <w:szCs w:val="18"/>
        </w:rPr>
        <w:t>policy</w:t>
      </w:r>
      <w:proofErr w:type="spellEnd"/>
      <w:r w:rsidRPr="003D393D">
        <w:rPr>
          <w:szCs w:val="18"/>
        </w:rPr>
        <w:t>”, 3</w:t>
      </w:r>
      <w:r w:rsidR="00256489" w:rsidRPr="003D393D">
        <w:rPr>
          <w:szCs w:val="18"/>
        </w:rPr>
        <w:t> </w:t>
      </w:r>
      <w:r w:rsidRPr="003D393D">
        <w:rPr>
          <w:szCs w:val="18"/>
        </w:rPr>
        <w:t xml:space="preserve">octobre 2017, à consulter à l’adresse </w:t>
      </w:r>
      <w:hyperlink r:id="rId5" w:history="1">
        <w:r w:rsidRPr="003D393D">
          <w:rPr>
            <w:rStyle w:val="Lienhypertexte"/>
            <w:szCs w:val="18"/>
          </w:rPr>
          <w:t>www.refworld.org/d</w:t>
        </w:r>
        <w:r w:rsidRPr="003D393D">
          <w:rPr>
            <w:rStyle w:val="Lienhypertexte"/>
            <w:szCs w:val="18"/>
          </w:rPr>
          <w:t>o</w:t>
        </w:r>
        <w:r w:rsidRPr="003D393D">
          <w:rPr>
            <w:rStyle w:val="Lienhypertexte"/>
            <w:szCs w:val="18"/>
          </w:rPr>
          <w:t>cid/59e884b44.html</w:t>
        </w:r>
      </w:hyperlink>
      <w:r w:rsidRPr="003D393D">
        <w:rPr>
          <w:szCs w:val="18"/>
        </w:rPr>
        <w:t> ; et</w:t>
      </w:r>
      <w:r w:rsidR="003D393D">
        <w:rPr>
          <w:szCs w:val="18"/>
        </w:rPr>
        <w:t xml:space="preserve"> </w:t>
      </w:r>
      <w:proofErr w:type="spellStart"/>
      <w:r w:rsidRPr="003D393D">
        <w:rPr>
          <w:szCs w:val="18"/>
        </w:rPr>
        <w:t>Austrian</w:t>
      </w:r>
      <w:proofErr w:type="spellEnd"/>
      <w:r w:rsidRPr="003D393D">
        <w:rPr>
          <w:szCs w:val="18"/>
        </w:rPr>
        <w:t xml:space="preserve"> Centre for Country of Origin and </w:t>
      </w:r>
      <w:proofErr w:type="spellStart"/>
      <w:r w:rsidRPr="003D393D">
        <w:rPr>
          <w:szCs w:val="18"/>
        </w:rPr>
        <w:t>Asylum</w:t>
      </w:r>
      <w:proofErr w:type="spellEnd"/>
      <w:r w:rsidRPr="003D393D">
        <w:rPr>
          <w:szCs w:val="18"/>
        </w:rPr>
        <w:t xml:space="preserve"> </w:t>
      </w:r>
      <w:proofErr w:type="spellStart"/>
      <w:r w:rsidRPr="003D393D">
        <w:rPr>
          <w:szCs w:val="18"/>
        </w:rPr>
        <w:t>Research</w:t>
      </w:r>
      <w:proofErr w:type="spellEnd"/>
      <w:r w:rsidRPr="003D393D">
        <w:rPr>
          <w:szCs w:val="18"/>
        </w:rPr>
        <w:t xml:space="preserve"> and Documentation, “</w:t>
      </w:r>
      <w:proofErr w:type="spellStart"/>
      <w:r w:rsidRPr="003D393D">
        <w:rPr>
          <w:szCs w:val="18"/>
        </w:rPr>
        <w:t>Query</w:t>
      </w:r>
      <w:proofErr w:type="spellEnd"/>
      <w:r w:rsidRPr="003D393D">
        <w:rPr>
          <w:szCs w:val="18"/>
        </w:rPr>
        <w:t xml:space="preserve"> </w:t>
      </w:r>
      <w:proofErr w:type="spellStart"/>
      <w:r w:rsidRPr="003D393D">
        <w:rPr>
          <w:szCs w:val="18"/>
        </w:rPr>
        <w:t>response</w:t>
      </w:r>
      <w:proofErr w:type="spellEnd"/>
      <w:r w:rsidRPr="003D393D">
        <w:rPr>
          <w:szCs w:val="18"/>
        </w:rPr>
        <w:t xml:space="preserve">: Iran: House </w:t>
      </w:r>
      <w:proofErr w:type="spellStart"/>
      <w:r w:rsidRPr="003D393D">
        <w:rPr>
          <w:szCs w:val="18"/>
        </w:rPr>
        <w:t>churches</w:t>
      </w:r>
      <w:proofErr w:type="spellEnd"/>
      <w:r w:rsidRPr="003D393D">
        <w:rPr>
          <w:szCs w:val="18"/>
        </w:rPr>
        <w:t xml:space="preserve">; situation of </w:t>
      </w:r>
      <w:proofErr w:type="spellStart"/>
      <w:r w:rsidRPr="003D393D">
        <w:rPr>
          <w:szCs w:val="18"/>
        </w:rPr>
        <w:t>practising</w:t>
      </w:r>
      <w:proofErr w:type="spellEnd"/>
      <w:r w:rsidRPr="003D393D">
        <w:rPr>
          <w:szCs w:val="18"/>
        </w:rPr>
        <w:t xml:space="preserve"> </w:t>
      </w:r>
      <w:proofErr w:type="spellStart"/>
      <w:r w:rsidRPr="003D393D">
        <w:rPr>
          <w:szCs w:val="18"/>
        </w:rPr>
        <w:t>Christians</w:t>
      </w:r>
      <w:proofErr w:type="spellEnd"/>
      <w:r w:rsidRPr="003D393D">
        <w:rPr>
          <w:szCs w:val="18"/>
        </w:rPr>
        <w:t xml:space="preserve">; </w:t>
      </w:r>
      <w:proofErr w:type="spellStart"/>
      <w:r w:rsidRPr="003D393D">
        <w:rPr>
          <w:szCs w:val="18"/>
        </w:rPr>
        <w:t>treatment</w:t>
      </w:r>
      <w:proofErr w:type="spellEnd"/>
      <w:r w:rsidRPr="003D393D">
        <w:rPr>
          <w:szCs w:val="18"/>
        </w:rPr>
        <w:t xml:space="preserve"> by </w:t>
      </w:r>
      <w:proofErr w:type="spellStart"/>
      <w:r w:rsidRPr="003D393D">
        <w:rPr>
          <w:szCs w:val="18"/>
        </w:rPr>
        <w:t>authorities</w:t>
      </w:r>
      <w:proofErr w:type="spellEnd"/>
      <w:r w:rsidRPr="003D393D">
        <w:rPr>
          <w:szCs w:val="18"/>
        </w:rPr>
        <w:t xml:space="preserve"> of Christian </w:t>
      </w:r>
      <w:proofErr w:type="spellStart"/>
      <w:r w:rsidRPr="003D393D">
        <w:rPr>
          <w:szCs w:val="18"/>
        </w:rPr>
        <w:t>converts</w:t>
      </w:r>
      <w:proofErr w:type="spellEnd"/>
      <w:r w:rsidRPr="003D393D">
        <w:rPr>
          <w:szCs w:val="18"/>
        </w:rPr>
        <w:t xml:space="preserve">’ </w:t>
      </w:r>
      <w:proofErr w:type="spellStart"/>
      <w:r w:rsidRPr="003D393D">
        <w:rPr>
          <w:szCs w:val="18"/>
        </w:rPr>
        <w:t>family</w:t>
      </w:r>
      <w:proofErr w:type="spellEnd"/>
      <w:r w:rsidRPr="003D393D">
        <w:rPr>
          <w:szCs w:val="18"/>
        </w:rPr>
        <w:t xml:space="preserve"> </w:t>
      </w:r>
      <w:proofErr w:type="spellStart"/>
      <w:r w:rsidRPr="003D393D">
        <w:rPr>
          <w:szCs w:val="18"/>
        </w:rPr>
        <w:t>members</w:t>
      </w:r>
      <w:proofErr w:type="spellEnd"/>
      <w:r w:rsidRPr="003D393D">
        <w:rPr>
          <w:szCs w:val="18"/>
        </w:rPr>
        <w:t>”, 14</w:t>
      </w:r>
      <w:r w:rsidR="00256489" w:rsidRPr="003D393D">
        <w:rPr>
          <w:szCs w:val="18"/>
        </w:rPr>
        <w:t> </w:t>
      </w:r>
      <w:r w:rsidRPr="003D393D">
        <w:rPr>
          <w:szCs w:val="18"/>
        </w:rPr>
        <w:t xml:space="preserve">juin 2017, </w:t>
      </w:r>
      <w:r w:rsidR="00EF46B4" w:rsidRPr="003D393D">
        <w:rPr>
          <w:szCs w:val="18"/>
        </w:rPr>
        <w:t>à consulter</w:t>
      </w:r>
      <w:r w:rsidRPr="003D393D">
        <w:rPr>
          <w:szCs w:val="18"/>
        </w:rPr>
        <w:t xml:space="preserve"> à l’adresse </w:t>
      </w:r>
      <w:hyperlink r:id="rId6" w:history="1">
        <w:r w:rsidRPr="003D393D">
          <w:rPr>
            <w:rStyle w:val="Lienhypertexte"/>
            <w:szCs w:val="18"/>
          </w:rPr>
          <w:t>www.refworld.org/docid/</w:t>
        </w:r>
        <w:r w:rsidR="008549D0" w:rsidRPr="003D393D">
          <w:rPr>
            <w:rStyle w:val="Lienhypertexte"/>
            <w:szCs w:val="18"/>
          </w:rPr>
          <w:t xml:space="preserve"> </w:t>
        </w:r>
        <w:r w:rsidRPr="003D393D">
          <w:rPr>
            <w:rStyle w:val="Lienhypertexte"/>
            <w:szCs w:val="18"/>
          </w:rPr>
          <w:t>5943a44d4.html</w:t>
        </w:r>
      </w:hyperlink>
      <w:r w:rsidRPr="003D393D">
        <w:rPr>
          <w:szCs w:val="18"/>
        </w:rPr>
        <w:t>.</w:t>
      </w:r>
    </w:p>
  </w:footnote>
  <w:footnote w:id="36">
    <w:p w:rsidR="005D3719" w:rsidRPr="00B2796A" w:rsidRDefault="005D3719" w:rsidP="005D3719">
      <w:pPr>
        <w:pStyle w:val="Notedebasdepage"/>
      </w:pPr>
      <w:r w:rsidRPr="003D393D">
        <w:tab/>
      </w:r>
      <w:r w:rsidRPr="000767D8">
        <w:rPr>
          <w:rStyle w:val="Appelnotedebasdep"/>
        </w:rPr>
        <w:footnoteRef/>
      </w:r>
      <w:r>
        <w:tab/>
        <w:t xml:space="preserve">Voir l’observation générale </w:t>
      </w:r>
      <w:r w:rsidRPr="002D76F4">
        <w:rPr>
          <w:rFonts w:eastAsia="MS Mincho"/>
          <w:szCs w:val="22"/>
        </w:rPr>
        <w:t>n</w:t>
      </w:r>
      <w:r w:rsidRPr="002D76F4">
        <w:rPr>
          <w:rFonts w:eastAsia="MS Mincho"/>
          <w:szCs w:val="22"/>
          <w:vertAlign w:val="superscript"/>
        </w:rPr>
        <w:t>o</w:t>
      </w:r>
      <w:r>
        <w:t xml:space="preserve"> 31 </w:t>
      </w:r>
      <w:r w:rsidRPr="00B05B3C">
        <w:t>(2004)</w:t>
      </w:r>
      <w:r w:rsidRPr="000C2301">
        <w:t xml:space="preserve"> </w:t>
      </w:r>
      <w:r>
        <w:t xml:space="preserve">du Comité sur la nature de l’obligation juridique imposée aux États parties au Pacte, </w:t>
      </w:r>
      <w:r w:rsidRPr="00B05B3C">
        <w:t>par</w:t>
      </w:r>
      <w:r w:rsidRPr="00B2796A">
        <w:t>.</w:t>
      </w:r>
      <w:r>
        <w:t> </w:t>
      </w:r>
      <w:r w:rsidRPr="00B05B3C">
        <w:t>12.</w:t>
      </w:r>
    </w:p>
  </w:footnote>
  <w:footnote w:id="37">
    <w:p w:rsidR="005D3719" w:rsidRPr="00B05B3C" w:rsidRDefault="005D3719" w:rsidP="005D3719">
      <w:pPr>
        <w:pStyle w:val="Notedebasdepage"/>
      </w:pPr>
      <w:r w:rsidRPr="00B05B3C">
        <w:tab/>
      </w:r>
      <w:r w:rsidRPr="000767D8">
        <w:rPr>
          <w:rStyle w:val="Appelnotedebasdep"/>
        </w:rPr>
        <w:footnoteRef/>
      </w:r>
      <w:r w:rsidRPr="00B05B3C">
        <w:tab/>
        <w:t>Service</w:t>
      </w:r>
      <w:r>
        <w:t xml:space="preserve"> danois de l’immigration</w:t>
      </w:r>
      <w:r w:rsidRPr="00B05B3C">
        <w:t xml:space="preserve">, </w:t>
      </w:r>
      <w:r>
        <w:t>“</w:t>
      </w:r>
      <w:r w:rsidRPr="00B05B3C">
        <w:t xml:space="preserve">Iran: </w:t>
      </w:r>
      <w:r>
        <w:t>h</w:t>
      </w:r>
      <w:r w:rsidRPr="00B05B3C">
        <w:t xml:space="preserve">ouse </w:t>
      </w:r>
      <w:proofErr w:type="spellStart"/>
      <w:r>
        <w:t>c</w:t>
      </w:r>
      <w:r w:rsidRPr="00B05B3C">
        <w:t>hurches</w:t>
      </w:r>
      <w:proofErr w:type="spellEnd"/>
      <w:r w:rsidRPr="00B05B3C">
        <w:t xml:space="preserve"> and </w:t>
      </w:r>
      <w:proofErr w:type="spellStart"/>
      <w:r>
        <w:t>c</w:t>
      </w:r>
      <w:r w:rsidRPr="00B05B3C">
        <w:t>onverts</w:t>
      </w:r>
      <w:proofErr w:type="spellEnd"/>
      <w:r>
        <w:t>”</w:t>
      </w:r>
      <w:r w:rsidRPr="00B05B3C">
        <w:t xml:space="preserve">, </w:t>
      </w:r>
      <w:r>
        <w:t>février</w:t>
      </w:r>
      <w:r w:rsidRPr="00B05B3C">
        <w:t xml:space="preserve"> 2018, part.</w:t>
      </w:r>
      <w:r w:rsidR="0010113D">
        <w:t> </w:t>
      </w:r>
      <w:r w:rsidRPr="00B05B3C">
        <w:t xml:space="preserve">1.3, </w:t>
      </w:r>
      <w:r>
        <w:t>à consulter à l’adresse</w:t>
      </w:r>
      <w:r w:rsidRPr="00B05B3C">
        <w:t xml:space="preserve"> </w:t>
      </w:r>
      <w:hyperlink r:id="rId7" w:history="1">
        <w:r w:rsidRPr="00092900">
          <w:rPr>
            <w:rStyle w:val="Lienhypertexte"/>
          </w:rPr>
          <w:t>www.refworld.org/docid/5ab8f2de4.html</w:t>
        </w:r>
      </w:hyperlink>
      <w:r w:rsidRPr="00B05B3C">
        <w:t>.</w:t>
      </w:r>
    </w:p>
  </w:footnote>
  <w:footnote w:id="38">
    <w:p w:rsidR="005D3719" w:rsidRPr="00B2796A" w:rsidRDefault="005D3719" w:rsidP="005D3719">
      <w:pPr>
        <w:pStyle w:val="Notedebasdepage"/>
        <w:rPr>
          <w:lang w:val="en-US"/>
        </w:rPr>
      </w:pPr>
      <w:r w:rsidRPr="00B05B3C">
        <w:tab/>
      </w:r>
      <w:r w:rsidRPr="000767D8">
        <w:rPr>
          <w:rStyle w:val="Appelnotedebasdep"/>
        </w:rPr>
        <w:footnoteRef/>
      </w:r>
      <w:r w:rsidRPr="00B2796A">
        <w:rPr>
          <w:lang w:val="en-US"/>
        </w:rPr>
        <w:tab/>
        <w:t xml:space="preserve">United States Commission on International Religious Freedom, </w:t>
      </w:r>
      <w:r w:rsidRPr="00B2796A">
        <w:rPr>
          <w:i/>
          <w:iCs/>
          <w:lang w:val="en-US"/>
        </w:rPr>
        <w:t>USCIRF Annual Report 2018</w:t>
      </w:r>
      <w:r w:rsidRPr="00B2796A">
        <w:rPr>
          <w:lang w:val="en-US"/>
        </w:rPr>
        <w:t>,</w:t>
      </w:r>
      <w:r w:rsidRPr="00B2796A">
        <w:rPr>
          <w:i/>
          <w:iCs/>
          <w:lang w:val="en-US"/>
        </w:rPr>
        <w:t xml:space="preserve"> </w:t>
      </w:r>
      <w:r w:rsidRPr="00B2796A">
        <w:rPr>
          <w:lang w:val="en-US"/>
        </w:rPr>
        <w:t xml:space="preserve">Tier 1: USCIRF-recommended countries of particular concern: the Islamic Republic of Iran, 25 </w:t>
      </w:r>
      <w:proofErr w:type="spellStart"/>
      <w:r w:rsidRPr="00B2796A">
        <w:rPr>
          <w:lang w:val="en-US"/>
        </w:rPr>
        <w:t>avril</w:t>
      </w:r>
      <w:proofErr w:type="spellEnd"/>
      <w:r w:rsidRPr="00B2796A">
        <w:rPr>
          <w:lang w:val="en-US"/>
        </w:rPr>
        <w:t xml:space="preserve"> 2018, p.</w:t>
      </w:r>
      <w:r>
        <w:rPr>
          <w:lang w:val="en-US"/>
        </w:rPr>
        <w:t> </w:t>
      </w:r>
      <w:r w:rsidRPr="00B2796A">
        <w:rPr>
          <w:lang w:val="en-US"/>
        </w:rPr>
        <w:t xml:space="preserve">47, à consulter à </w:t>
      </w:r>
      <w:proofErr w:type="spellStart"/>
      <w:r w:rsidRPr="00B2796A">
        <w:rPr>
          <w:lang w:val="en-US"/>
        </w:rPr>
        <w:t>l’adresse</w:t>
      </w:r>
      <w:proofErr w:type="spellEnd"/>
      <w:r w:rsidRPr="00B2796A">
        <w:rPr>
          <w:lang w:val="en-US"/>
        </w:rPr>
        <w:t xml:space="preserve"> </w:t>
      </w:r>
      <w:hyperlink r:id="rId8" w:history="1">
        <w:r w:rsidRPr="00092900">
          <w:rPr>
            <w:rStyle w:val="Lienhypertexte"/>
            <w:lang w:val="en-US"/>
          </w:rPr>
          <w:t>www.refworld.org/d</w:t>
        </w:r>
        <w:r w:rsidRPr="00092900">
          <w:rPr>
            <w:rStyle w:val="Lienhypertexte"/>
            <w:lang w:val="en-US"/>
          </w:rPr>
          <w:t>o</w:t>
        </w:r>
        <w:r w:rsidRPr="00092900">
          <w:rPr>
            <w:rStyle w:val="Lienhypertexte"/>
            <w:lang w:val="en-US"/>
          </w:rPr>
          <w:t>cid/5b278edb0.html</w:t>
        </w:r>
      </w:hyperlink>
      <w:r w:rsidRPr="00B2796A">
        <w:rPr>
          <w:lang w:val="en-US"/>
        </w:rPr>
        <w:t>.</w:t>
      </w:r>
    </w:p>
  </w:footnote>
  <w:footnote w:id="39">
    <w:p w:rsidR="005D3719" w:rsidRPr="00B05B3C" w:rsidRDefault="005D3719" w:rsidP="005D3719">
      <w:pPr>
        <w:pStyle w:val="Notedebasdepage"/>
      </w:pPr>
      <w:r w:rsidRPr="00B2796A">
        <w:rPr>
          <w:lang w:val="en-US"/>
        </w:rPr>
        <w:tab/>
      </w:r>
      <w:r w:rsidRPr="000767D8">
        <w:rPr>
          <w:rStyle w:val="Appelnotedebasdep"/>
        </w:rPr>
        <w:footnoteRef/>
      </w:r>
      <w:r w:rsidRPr="00B05B3C">
        <w:tab/>
      </w:r>
      <w:r>
        <w:t>Ministère de l’intérieur du Royaume-Uni</w:t>
      </w:r>
      <w:r w:rsidRPr="00E8120C">
        <w:t xml:space="preserve">, </w:t>
      </w:r>
      <w:r>
        <w:t>“</w:t>
      </w:r>
      <w:r w:rsidRPr="00E8120C">
        <w:t xml:space="preserve">Country </w:t>
      </w:r>
      <w:proofErr w:type="spellStart"/>
      <w:r w:rsidRPr="00E8120C">
        <w:t>policy</w:t>
      </w:r>
      <w:proofErr w:type="spellEnd"/>
      <w:r w:rsidRPr="00E8120C">
        <w:t xml:space="preserve"> and information note: Iran: </w:t>
      </w:r>
      <w:proofErr w:type="spellStart"/>
      <w:r w:rsidRPr="00E8120C">
        <w:t>Christians</w:t>
      </w:r>
      <w:proofErr w:type="spellEnd"/>
      <w:r w:rsidRPr="00E8120C">
        <w:t xml:space="preserve"> and </w:t>
      </w:r>
      <w:r w:rsidRPr="009F21BD">
        <w:rPr>
          <w:spacing w:val="-2"/>
        </w:rPr>
        <w:t xml:space="preserve">Christian </w:t>
      </w:r>
      <w:proofErr w:type="spellStart"/>
      <w:r w:rsidRPr="009F21BD">
        <w:rPr>
          <w:spacing w:val="-2"/>
        </w:rPr>
        <w:t>converts</w:t>
      </w:r>
      <w:proofErr w:type="spellEnd"/>
      <w:r w:rsidRPr="009F21BD">
        <w:rPr>
          <w:spacing w:val="-2"/>
        </w:rPr>
        <w:t>”, mars 2018, part</w:t>
      </w:r>
      <w:r w:rsidR="00655946">
        <w:rPr>
          <w:spacing w:val="-2"/>
        </w:rPr>
        <w:t>. </w:t>
      </w:r>
      <w:r w:rsidRPr="009F21BD">
        <w:rPr>
          <w:spacing w:val="-2"/>
        </w:rPr>
        <w:t xml:space="preserve">8, à consulter à l’adresse </w:t>
      </w:r>
      <w:hyperlink r:id="rId9" w:history="1">
        <w:r w:rsidRPr="009F21BD">
          <w:rPr>
            <w:rStyle w:val="Lienhypertexte"/>
            <w:spacing w:val="-2"/>
          </w:rPr>
          <w:t>www.refworld.org/doc</w:t>
        </w:r>
        <w:r w:rsidRPr="009F21BD">
          <w:rPr>
            <w:rStyle w:val="Lienhypertexte"/>
            <w:spacing w:val="-2"/>
          </w:rPr>
          <w:t>i</w:t>
        </w:r>
        <w:r w:rsidRPr="009F21BD">
          <w:rPr>
            <w:rStyle w:val="Lienhypertexte"/>
            <w:spacing w:val="-2"/>
          </w:rPr>
          <w:t>d/5aa2aa2e7.html</w:t>
        </w:r>
      </w:hyperlink>
      <w:r w:rsidRPr="00B05B3C">
        <w:t>.</w:t>
      </w:r>
    </w:p>
  </w:footnote>
  <w:footnote w:id="40">
    <w:p w:rsidR="005D3719" w:rsidRPr="00B2796A" w:rsidRDefault="005D3719" w:rsidP="005D3719">
      <w:pPr>
        <w:pStyle w:val="Notedebasdepage"/>
        <w:rPr>
          <w:lang w:val="en-US"/>
        </w:rPr>
      </w:pPr>
      <w:r w:rsidRPr="00B05B3C">
        <w:tab/>
      </w:r>
      <w:r w:rsidRPr="000767D8">
        <w:rPr>
          <w:rStyle w:val="Appelnotedebasdep"/>
        </w:rPr>
        <w:footnoteRef/>
      </w:r>
      <w:r w:rsidRPr="00B2796A">
        <w:rPr>
          <w:lang w:val="en-US"/>
        </w:rPr>
        <w:tab/>
        <w:t xml:space="preserve">Austrian Centre for Country of Origin and Asylum Research and Documentation, “Query response: </w:t>
      </w:r>
      <w:r w:rsidRPr="009733FD">
        <w:rPr>
          <w:spacing w:val="-2"/>
          <w:lang w:val="en-US"/>
        </w:rPr>
        <w:t xml:space="preserve">Iran: House churches; situation of </w:t>
      </w:r>
      <w:proofErr w:type="spellStart"/>
      <w:r w:rsidRPr="009733FD">
        <w:rPr>
          <w:spacing w:val="-2"/>
          <w:lang w:val="en-US"/>
        </w:rPr>
        <w:t>practising</w:t>
      </w:r>
      <w:proofErr w:type="spellEnd"/>
      <w:r w:rsidRPr="009733FD">
        <w:rPr>
          <w:spacing w:val="-2"/>
          <w:lang w:val="en-US"/>
        </w:rPr>
        <w:t xml:space="preserve"> Christians; treatment by authorities of Christian converts’ family members”, 14 </w:t>
      </w:r>
      <w:proofErr w:type="spellStart"/>
      <w:r w:rsidRPr="009733FD">
        <w:rPr>
          <w:spacing w:val="-2"/>
          <w:lang w:val="en-US"/>
        </w:rPr>
        <w:t>juin</w:t>
      </w:r>
      <w:proofErr w:type="spellEnd"/>
      <w:r w:rsidRPr="009733FD">
        <w:rPr>
          <w:spacing w:val="-2"/>
          <w:lang w:val="en-US"/>
        </w:rPr>
        <w:t xml:space="preserve"> 2017, à consulter à </w:t>
      </w:r>
      <w:proofErr w:type="spellStart"/>
      <w:r w:rsidRPr="009733FD">
        <w:rPr>
          <w:spacing w:val="-2"/>
          <w:lang w:val="en-US"/>
        </w:rPr>
        <w:t>l’adresse</w:t>
      </w:r>
      <w:proofErr w:type="spellEnd"/>
      <w:r w:rsidRPr="009733FD">
        <w:rPr>
          <w:spacing w:val="-2"/>
          <w:lang w:val="en-US"/>
        </w:rPr>
        <w:t xml:space="preserve"> </w:t>
      </w:r>
      <w:hyperlink r:id="rId10" w:history="1">
        <w:r w:rsidRPr="009733FD">
          <w:rPr>
            <w:rStyle w:val="Lienhypertexte"/>
            <w:spacing w:val="-2"/>
            <w:lang w:val="en-US"/>
          </w:rPr>
          <w:t>www.re</w:t>
        </w:r>
        <w:r w:rsidRPr="009733FD">
          <w:rPr>
            <w:rStyle w:val="Lienhypertexte"/>
            <w:spacing w:val="-2"/>
            <w:lang w:val="en-US"/>
          </w:rPr>
          <w:t>f</w:t>
        </w:r>
        <w:r w:rsidRPr="009733FD">
          <w:rPr>
            <w:rStyle w:val="Lienhypertexte"/>
            <w:spacing w:val="-2"/>
            <w:lang w:val="en-US"/>
          </w:rPr>
          <w:t>world.org/docid/5943a44d4.html</w:t>
        </w:r>
      </w:hyperlink>
      <w:r w:rsidRPr="009733FD">
        <w:rPr>
          <w:spacing w:val="-2"/>
          <w:lang w:val="en-US"/>
        </w:rPr>
        <w:t>.</w:t>
      </w:r>
    </w:p>
  </w:footnote>
  <w:footnote w:id="41">
    <w:p w:rsidR="005D3719" w:rsidRPr="00B2796A" w:rsidRDefault="005D3719" w:rsidP="005D3719">
      <w:pPr>
        <w:pStyle w:val="Notedebasdepage"/>
        <w:rPr>
          <w:lang w:val="en-US"/>
        </w:rPr>
      </w:pPr>
      <w:r w:rsidRPr="00B2796A">
        <w:rPr>
          <w:lang w:val="en-US"/>
        </w:rPr>
        <w:tab/>
      </w:r>
      <w:r w:rsidRPr="000767D8">
        <w:rPr>
          <w:rStyle w:val="Appelnotedebasdep"/>
        </w:rPr>
        <w:footnoteRef/>
      </w:r>
      <w:r w:rsidRPr="00B2796A">
        <w:rPr>
          <w:lang w:val="en-US"/>
        </w:rPr>
        <w:tab/>
        <w:t>Congressional Research Service (</w:t>
      </w:r>
      <w:proofErr w:type="spellStart"/>
      <w:r w:rsidRPr="00B2796A">
        <w:rPr>
          <w:lang w:val="en-US"/>
        </w:rPr>
        <w:t>États-Unis</w:t>
      </w:r>
      <w:proofErr w:type="spellEnd"/>
      <w:r w:rsidRPr="00B2796A">
        <w:rPr>
          <w:lang w:val="en-US"/>
        </w:rPr>
        <w:t>), “Iran: politics, human rights, and U.S. policy”, 3</w:t>
      </w:r>
      <w:r>
        <w:rPr>
          <w:lang w:val="en-US"/>
        </w:rPr>
        <w:t> </w:t>
      </w:r>
      <w:proofErr w:type="spellStart"/>
      <w:r w:rsidRPr="00B2796A">
        <w:rPr>
          <w:lang w:val="en-US"/>
        </w:rPr>
        <w:t>octobre</w:t>
      </w:r>
      <w:proofErr w:type="spellEnd"/>
      <w:r w:rsidRPr="00B2796A">
        <w:rPr>
          <w:lang w:val="en-US"/>
        </w:rPr>
        <w:t xml:space="preserve"> 2017, à consulter à </w:t>
      </w:r>
      <w:proofErr w:type="spellStart"/>
      <w:r w:rsidRPr="00B2796A">
        <w:rPr>
          <w:lang w:val="en-US"/>
        </w:rPr>
        <w:t>l’adresse</w:t>
      </w:r>
      <w:proofErr w:type="spellEnd"/>
      <w:r w:rsidRPr="00B2796A">
        <w:rPr>
          <w:lang w:val="en-US"/>
        </w:rPr>
        <w:t xml:space="preserve"> </w:t>
      </w:r>
      <w:hyperlink r:id="rId11" w:history="1">
        <w:r w:rsidRPr="00201F9F">
          <w:rPr>
            <w:rStyle w:val="Lienhypertexte"/>
            <w:lang w:val="en-US"/>
          </w:rPr>
          <w:t>www.refworld.org/docid/59e884b44.html</w:t>
        </w:r>
      </w:hyperlink>
      <w:r w:rsidRPr="00B2796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CE" w:rsidRPr="005E158F" w:rsidRDefault="00AA69CE">
    <w:pPr>
      <w:pStyle w:val="En-tte"/>
    </w:pPr>
    <w:fldSimple w:instr=" TITLE  \* MERGEFORMAT ">
      <w:r w:rsidR="008549D0">
        <w:t>CCPR/C/123/D/2423/2014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9CE" w:rsidRPr="005E158F" w:rsidRDefault="00AA69CE" w:rsidP="005E158F">
    <w:pPr>
      <w:pStyle w:val="En-tte"/>
      <w:jc w:val="right"/>
    </w:pPr>
    <w:fldSimple w:instr=" TITLE  \* MERGEFORMAT ">
      <w:r w:rsidR="008549D0">
        <w:t>CCPR/C/123/D/2423/2014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009E"/>
    <w:rsid w:val="00017F94"/>
    <w:rsid w:val="00023842"/>
    <w:rsid w:val="000334F9"/>
    <w:rsid w:val="0007796D"/>
    <w:rsid w:val="00084440"/>
    <w:rsid w:val="00092900"/>
    <w:rsid w:val="000A7847"/>
    <w:rsid w:val="000B7790"/>
    <w:rsid w:val="000C2225"/>
    <w:rsid w:val="000F46F1"/>
    <w:rsid w:val="0010113D"/>
    <w:rsid w:val="00111F2F"/>
    <w:rsid w:val="00136824"/>
    <w:rsid w:val="0014365E"/>
    <w:rsid w:val="00176178"/>
    <w:rsid w:val="001B379B"/>
    <w:rsid w:val="001F525A"/>
    <w:rsid w:val="00201F9F"/>
    <w:rsid w:val="00223272"/>
    <w:rsid w:val="00237E55"/>
    <w:rsid w:val="0024779E"/>
    <w:rsid w:val="00256489"/>
    <w:rsid w:val="002B7BC7"/>
    <w:rsid w:val="002E2D46"/>
    <w:rsid w:val="002E4758"/>
    <w:rsid w:val="0032225A"/>
    <w:rsid w:val="003402F1"/>
    <w:rsid w:val="00351332"/>
    <w:rsid w:val="003A4B03"/>
    <w:rsid w:val="003A6E96"/>
    <w:rsid w:val="003D393D"/>
    <w:rsid w:val="00446FE5"/>
    <w:rsid w:val="00452396"/>
    <w:rsid w:val="004B4A96"/>
    <w:rsid w:val="004E50C1"/>
    <w:rsid w:val="005505B7"/>
    <w:rsid w:val="0057269D"/>
    <w:rsid w:val="00573BE5"/>
    <w:rsid w:val="00586ED3"/>
    <w:rsid w:val="00596AA9"/>
    <w:rsid w:val="005B63E7"/>
    <w:rsid w:val="005D3719"/>
    <w:rsid w:val="005E158F"/>
    <w:rsid w:val="00654311"/>
    <w:rsid w:val="00655946"/>
    <w:rsid w:val="0066605B"/>
    <w:rsid w:val="00685027"/>
    <w:rsid w:val="006F1EAC"/>
    <w:rsid w:val="006F7144"/>
    <w:rsid w:val="006F71EA"/>
    <w:rsid w:val="0071601D"/>
    <w:rsid w:val="007775F5"/>
    <w:rsid w:val="00783039"/>
    <w:rsid w:val="00793E85"/>
    <w:rsid w:val="007A611C"/>
    <w:rsid w:val="007A62E6"/>
    <w:rsid w:val="007E2032"/>
    <w:rsid w:val="007F009E"/>
    <w:rsid w:val="0080684C"/>
    <w:rsid w:val="00825977"/>
    <w:rsid w:val="00841829"/>
    <w:rsid w:val="008549D0"/>
    <w:rsid w:val="008560DB"/>
    <w:rsid w:val="00871C75"/>
    <w:rsid w:val="008776DC"/>
    <w:rsid w:val="00937DF2"/>
    <w:rsid w:val="009705C8"/>
    <w:rsid w:val="009733FD"/>
    <w:rsid w:val="00974C71"/>
    <w:rsid w:val="009B1E6C"/>
    <w:rsid w:val="009E2C6A"/>
    <w:rsid w:val="009F21BD"/>
    <w:rsid w:val="009F5F57"/>
    <w:rsid w:val="00A9151D"/>
    <w:rsid w:val="00AA6385"/>
    <w:rsid w:val="00AA69CE"/>
    <w:rsid w:val="00AA6A35"/>
    <w:rsid w:val="00AC3823"/>
    <w:rsid w:val="00AE323C"/>
    <w:rsid w:val="00AE7D6E"/>
    <w:rsid w:val="00AF03F5"/>
    <w:rsid w:val="00B00181"/>
    <w:rsid w:val="00B10E9C"/>
    <w:rsid w:val="00B765F7"/>
    <w:rsid w:val="00B775F6"/>
    <w:rsid w:val="00B93C41"/>
    <w:rsid w:val="00BA0CA9"/>
    <w:rsid w:val="00C01ACF"/>
    <w:rsid w:val="00C02897"/>
    <w:rsid w:val="00C11823"/>
    <w:rsid w:val="00CA7BC4"/>
    <w:rsid w:val="00D05667"/>
    <w:rsid w:val="00D0620B"/>
    <w:rsid w:val="00D118A7"/>
    <w:rsid w:val="00D3439C"/>
    <w:rsid w:val="00D744E5"/>
    <w:rsid w:val="00D83177"/>
    <w:rsid w:val="00DB1831"/>
    <w:rsid w:val="00DD3BFD"/>
    <w:rsid w:val="00DF6678"/>
    <w:rsid w:val="00E3705D"/>
    <w:rsid w:val="00E40E23"/>
    <w:rsid w:val="00E713FB"/>
    <w:rsid w:val="00E85C42"/>
    <w:rsid w:val="00E93CC2"/>
    <w:rsid w:val="00EC30D5"/>
    <w:rsid w:val="00EE1BD4"/>
    <w:rsid w:val="00EF46B4"/>
    <w:rsid w:val="00F12152"/>
    <w:rsid w:val="00F65F94"/>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2C5BD0"/>
  <w15:docId w15:val="{EE5A3745-B569-4B96-886D-52225542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 Char,Char,ft,Style 27,Char Char Char Char Char,Style 11, Char Char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 Char Car,Char Car,ft Car,Style 27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93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refworld.org/docid/5b278edb0.html" TargetMode="External"/><Relationship Id="rId3" Type="http://schemas.openxmlformats.org/officeDocument/2006/relationships/hyperlink" Target="http://www.refworld.org/docid/5b278edb0.html" TargetMode="External"/><Relationship Id="rId7" Type="http://schemas.openxmlformats.org/officeDocument/2006/relationships/hyperlink" Target="https://www.refworld.org/docid/5ab8f2de4.html" TargetMode="External"/><Relationship Id="rId2" Type="http://schemas.openxmlformats.org/officeDocument/2006/relationships/hyperlink" Target="http://www.refworld.org/docid/5ab8f2de4.html" TargetMode="External"/><Relationship Id="rId1" Type="http://schemas.openxmlformats.org/officeDocument/2006/relationships/hyperlink" Target="https://www.unhcr.org/afr/40d8427a4.pdf" TargetMode="External"/><Relationship Id="rId6" Type="http://schemas.openxmlformats.org/officeDocument/2006/relationships/hyperlink" Target="https://www.refworld.org/docid/5943a44d4.html" TargetMode="External"/><Relationship Id="rId11" Type="http://schemas.openxmlformats.org/officeDocument/2006/relationships/hyperlink" Target="http://www.refworld.org/docid/59e884b44.html" TargetMode="External"/><Relationship Id="rId5" Type="http://schemas.openxmlformats.org/officeDocument/2006/relationships/hyperlink" Target="http://www.refworld.org/docid/59e884b44.html" TargetMode="External"/><Relationship Id="rId10" Type="http://schemas.openxmlformats.org/officeDocument/2006/relationships/hyperlink" Target="https://www.refworld.org/docid/5943a44d4.html" TargetMode="External"/><Relationship Id="rId4" Type="http://schemas.openxmlformats.org/officeDocument/2006/relationships/hyperlink" Target="http://www.refworld.org/docid/5aa2aa2e7.html" TargetMode="External"/><Relationship Id="rId9" Type="http://schemas.openxmlformats.org/officeDocument/2006/relationships/hyperlink" Target="https://www.refworld.org/docid/5aa2aa2e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17</Pages>
  <Words>8775</Words>
  <Characters>51427</Characters>
  <Application>Microsoft Office Word</Application>
  <DocSecurity>0</DocSecurity>
  <Lines>4675</Lines>
  <Paragraphs>2006</Paragraphs>
  <ScaleCrop>false</ScaleCrop>
  <HeadingPairs>
    <vt:vector size="2" baseType="variant">
      <vt:variant>
        <vt:lpstr>Titre</vt:lpstr>
      </vt:variant>
      <vt:variant>
        <vt:i4>1</vt:i4>
      </vt:variant>
    </vt:vector>
  </HeadingPairs>
  <TitlesOfParts>
    <vt:vector size="1" baseType="lpstr">
      <vt:lpstr>CCPR/C/123/D/2423/2014</vt:lpstr>
    </vt:vector>
  </TitlesOfParts>
  <Company>DCM</Company>
  <LinksUpToDate>false</LinksUpToDate>
  <CharactersWithSpaces>58196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CCPR/C/123/D/2423/2014</dc:title>
  <dc:subject/>
  <dc:creator>Corinne ROBERT</dc:creator>
  <cp:keywords/>
  <cp:lastModifiedBy>Corinne Robert</cp:lastModifiedBy>
  <cp:revision>2</cp:revision>
  <cp:lastPrinted>2019-12-05T08:04:00Z</cp:lastPrinted>
  <dcterms:created xsi:type="dcterms:W3CDTF">2019-12-05T11:01:00Z</dcterms:created>
  <dcterms:modified xsi:type="dcterms:W3CDTF">2019-12-05T11:01:00Z</dcterms:modified>
</cp:coreProperties>
</file>