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DC700E"/>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DC700E" w:rsidP="00DC700E">
            <w:pPr>
              <w:jc w:val="right"/>
            </w:pPr>
            <w:r w:rsidRPr="00DC700E">
              <w:rPr>
                <w:sz w:val="40"/>
              </w:rPr>
              <w:t>CCPR</w:t>
            </w:r>
            <w:r>
              <w:t>/C/126/D/2603/2015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DC700E" w:rsidP="002B7BC7">
            <w:pPr>
              <w:spacing w:before="240"/>
            </w:pPr>
            <w:proofErr w:type="spellStart"/>
            <w:r>
              <w:t>Distr</w:t>
            </w:r>
            <w:proofErr w:type="spellEnd"/>
            <w:r>
              <w:t>. générale</w:t>
            </w:r>
          </w:p>
          <w:p w:rsidR="00DC700E" w:rsidRDefault="00DC700E" w:rsidP="00DC700E">
            <w:pPr>
              <w:spacing w:line="240" w:lineRule="exact"/>
            </w:pPr>
            <w:r>
              <w:t>18 novembre 2019</w:t>
            </w:r>
          </w:p>
          <w:p w:rsidR="00DC700E" w:rsidRDefault="00DC700E" w:rsidP="00DC700E">
            <w:pPr>
              <w:spacing w:line="240" w:lineRule="exact"/>
            </w:pPr>
            <w:r>
              <w:t>Français</w:t>
            </w:r>
          </w:p>
          <w:p w:rsidR="00DC700E" w:rsidRPr="00DB58B5" w:rsidRDefault="00DC700E" w:rsidP="00DC700E">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457C99" w:rsidRPr="00457C99" w:rsidRDefault="00457C99" w:rsidP="00457C99">
      <w:pPr>
        <w:pStyle w:val="HChG"/>
        <w:rPr>
          <w:lang w:val="fr-FR"/>
        </w:rPr>
      </w:pPr>
      <w:r w:rsidRPr="005361F4">
        <w:rPr>
          <w:lang w:val="fr-FR"/>
        </w:rPr>
        <w:tab/>
      </w:r>
      <w:r w:rsidRPr="005361F4">
        <w:rPr>
          <w:lang w:val="fr-FR"/>
        </w:rPr>
        <w:tab/>
        <w:t xml:space="preserve">Constatations adoptées par le Comité au titre </w:t>
      </w:r>
      <w:r>
        <w:rPr>
          <w:lang w:val="fr-FR"/>
        </w:rPr>
        <w:br/>
      </w:r>
      <w:r w:rsidRPr="005361F4">
        <w:rPr>
          <w:lang w:val="fr-FR"/>
        </w:rPr>
        <w:t>de l</w:t>
      </w:r>
      <w:r>
        <w:rPr>
          <w:lang w:val="fr-FR"/>
        </w:rPr>
        <w:t>’</w:t>
      </w:r>
      <w:r w:rsidRPr="005361F4">
        <w:rPr>
          <w:lang w:val="fr-FR"/>
        </w:rPr>
        <w:t xml:space="preserve">article 5 (par. 4) du Protocole facultatif, </w:t>
      </w:r>
      <w:r>
        <w:rPr>
          <w:lang w:val="fr-FR"/>
        </w:rPr>
        <w:br/>
      </w:r>
      <w:r w:rsidRPr="005361F4">
        <w:rPr>
          <w:lang w:val="fr-FR"/>
        </w:rPr>
        <w:t xml:space="preserve">concernant la communication </w:t>
      </w:r>
      <w:r w:rsidRPr="005361F4">
        <w:rPr>
          <w:rFonts w:eastAsia="MS Mincho"/>
          <w:lang w:val="fr-FR"/>
        </w:rPr>
        <w:t>n</w:t>
      </w:r>
      <w:r w:rsidRPr="005361F4">
        <w:rPr>
          <w:rFonts w:eastAsia="MS Mincho"/>
          <w:vertAlign w:val="superscript"/>
          <w:lang w:val="fr-FR"/>
        </w:rPr>
        <w:t>o</w:t>
      </w:r>
      <w:r w:rsidRPr="005361F4">
        <w:rPr>
          <w:lang w:val="fr-FR"/>
        </w:rPr>
        <w:t> 2603/2015</w:t>
      </w:r>
      <w:r w:rsidRPr="00457C99">
        <w:rPr>
          <w:rStyle w:val="Appelnotedebasdep"/>
          <w:rFonts w:eastAsia="Times New Roman"/>
          <w:b w:val="0"/>
          <w:sz w:val="20"/>
          <w:vertAlign w:val="baseline"/>
          <w:lang w:val="fr-FR"/>
        </w:rPr>
        <w:footnoteReference w:customMarkFollows="1" w:id="2"/>
        <w:t>*</w:t>
      </w:r>
      <w:r w:rsidRPr="00457C99">
        <w:rPr>
          <w:rFonts w:eastAsia="Times New Roman"/>
          <w:b w:val="0"/>
          <w:bCs/>
          <w:position w:val="6"/>
          <w:sz w:val="18"/>
          <w:lang w:val="fr-FR"/>
        </w:rPr>
        <w:t>,</w:t>
      </w:r>
      <w:r w:rsidRPr="000060F8">
        <w:rPr>
          <w:rFonts w:eastAsia="Times New Roman"/>
          <w:sz w:val="20"/>
          <w:lang w:val="fr-FR"/>
        </w:rPr>
        <w:t xml:space="preserve"> </w:t>
      </w:r>
      <w:r w:rsidRPr="00457C99">
        <w:rPr>
          <w:rStyle w:val="Appelnotedebasdep"/>
          <w:rFonts w:eastAsia="Times New Roman"/>
          <w:b w:val="0"/>
          <w:sz w:val="20"/>
          <w:vertAlign w:val="baseline"/>
          <w:lang w:val="fr-FR"/>
        </w:rPr>
        <w:footnoteReference w:customMarkFollows="1" w:id="3"/>
        <w:t>**</w:t>
      </w:r>
      <w:r w:rsidRPr="00457C99">
        <w:rPr>
          <w:rFonts w:eastAsia="Times New Roman"/>
          <w:b w:val="0"/>
          <w:bCs/>
          <w:position w:val="6"/>
          <w:sz w:val="18"/>
          <w:lang w:val="fr-FR"/>
        </w:rPr>
        <w:t>,</w:t>
      </w:r>
      <w:r w:rsidRPr="000060F8">
        <w:rPr>
          <w:rFonts w:eastAsia="Times New Roman"/>
          <w:sz w:val="20"/>
          <w:lang w:val="fr-FR"/>
        </w:rPr>
        <w:t xml:space="preserve"> </w:t>
      </w:r>
      <w:r w:rsidRPr="00457C99">
        <w:rPr>
          <w:rStyle w:val="Appelnotedebasdep"/>
          <w:rFonts w:eastAsia="Times New Roman"/>
          <w:b w:val="0"/>
          <w:sz w:val="20"/>
          <w:vertAlign w:val="baseline"/>
          <w:lang w:val="fr-FR"/>
        </w:rPr>
        <w:footnoteReference w:customMarkFollows="1" w:id="4"/>
        <w:t>***</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457C99" w:rsidRPr="005361F4" w:rsidTr="009D563C">
        <w:tc>
          <w:tcPr>
            <w:tcW w:w="2835" w:type="dxa"/>
          </w:tcPr>
          <w:p w:rsidR="00457C99" w:rsidRPr="005361F4" w:rsidRDefault="00457C99" w:rsidP="00ED435F">
            <w:pPr>
              <w:pStyle w:val="SingleTxtG"/>
              <w:ind w:left="0" w:right="0"/>
              <w:jc w:val="left"/>
              <w:rPr>
                <w:i/>
                <w:lang w:val="fr-FR"/>
              </w:rPr>
            </w:pPr>
            <w:r w:rsidRPr="005361F4">
              <w:rPr>
                <w:i/>
                <w:lang w:val="fr-FR"/>
              </w:rPr>
              <w:t>Communication présentée par</w:t>
            </w:r>
            <w:r w:rsidRPr="005361F4">
              <w:rPr>
                <w:lang w:val="fr-FR"/>
              </w:rPr>
              <w:t> :</w:t>
            </w:r>
          </w:p>
        </w:tc>
        <w:tc>
          <w:tcPr>
            <w:tcW w:w="3969" w:type="dxa"/>
          </w:tcPr>
          <w:p w:rsidR="00457C99" w:rsidRPr="005361F4" w:rsidRDefault="00457C99" w:rsidP="00ED435F">
            <w:pPr>
              <w:pStyle w:val="SingleTxtG"/>
              <w:ind w:left="57" w:right="0"/>
              <w:jc w:val="left"/>
              <w:rPr>
                <w:lang w:val="fr-FR"/>
              </w:rPr>
            </w:pPr>
            <w:r w:rsidRPr="005361F4">
              <w:rPr>
                <w:lang w:val="fr-FR"/>
              </w:rPr>
              <w:t xml:space="preserve">A. B. H. (représenté par un conseil, </w:t>
            </w:r>
            <w:proofErr w:type="spellStart"/>
            <w:r w:rsidRPr="005361F4">
              <w:rPr>
                <w:lang w:val="fr-FR"/>
              </w:rPr>
              <w:t>Dorte</w:t>
            </w:r>
            <w:proofErr w:type="spellEnd"/>
            <w:r w:rsidRPr="005361F4">
              <w:rPr>
                <w:lang w:val="fr-FR"/>
              </w:rPr>
              <w:t> </w:t>
            </w:r>
            <w:proofErr w:type="spellStart"/>
            <w:r w:rsidRPr="005361F4">
              <w:rPr>
                <w:lang w:val="fr-FR"/>
              </w:rPr>
              <w:t>Smed</w:t>
            </w:r>
            <w:proofErr w:type="spellEnd"/>
            <w:r w:rsidRPr="005361F4">
              <w:rPr>
                <w:lang w:val="fr-FR"/>
              </w:rPr>
              <w:t xml:space="preserve">, du </w:t>
            </w:r>
            <w:bookmarkStart w:id="0" w:name="_Hlk8141529"/>
            <w:r w:rsidRPr="005361F4">
              <w:rPr>
                <w:lang w:val="fr-FR"/>
              </w:rPr>
              <w:t>Conseil danois pour les réfugiés</w:t>
            </w:r>
            <w:bookmarkEnd w:id="0"/>
            <w:r w:rsidRPr="005361F4">
              <w:rPr>
                <w:lang w:val="fr-FR"/>
              </w:rPr>
              <w:t>)</w:t>
            </w:r>
          </w:p>
        </w:tc>
      </w:tr>
      <w:tr w:rsidR="00457C99" w:rsidRPr="005361F4" w:rsidTr="009D563C">
        <w:tc>
          <w:tcPr>
            <w:tcW w:w="2835" w:type="dxa"/>
          </w:tcPr>
          <w:p w:rsidR="00457C99" w:rsidRPr="005361F4" w:rsidRDefault="00457C99" w:rsidP="00ED435F">
            <w:pPr>
              <w:pStyle w:val="SingleTxtG"/>
              <w:ind w:left="0" w:right="0"/>
              <w:jc w:val="left"/>
              <w:rPr>
                <w:i/>
                <w:lang w:val="fr-FR"/>
              </w:rPr>
            </w:pPr>
            <w:r w:rsidRPr="005361F4">
              <w:rPr>
                <w:i/>
                <w:lang w:val="fr-FR"/>
              </w:rPr>
              <w:t>Victime(s) présumée(s)</w:t>
            </w:r>
            <w:r w:rsidRPr="005361F4">
              <w:rPr>
                <w:lang w:val="fr-FR"/>
              </w:rPr>
              <w:t> :</w:t>
            </w:r>
          </w:p>
        </w:tc>
        <w:tc>
          <w:tcPr>
            <w:tcW w:w="3969" w:type="dxa"/>
          </w:tcPr>
          <w:p w:rsidR="00457C99" w:rsidRPr="005361F4" w:rsidRDefault="00457C99" w:rsidP="00ED435F">
            <w:pPr>
              <w:pStyle w:val="SingleTxtG"/>
              <w:ind w:left="57" w:right="0"/>
              <w:jc w:val="left"/>
              <w:rPr>
                <w:lang w:val="fr-FR"/>
              </w:rPr>
            </w:pPr>
            <w:r w:rsidRPr="005361F4">
              <w:rPr>
                <w:lang w:val="fr-FR"/>
              </w:rPr>
              <w:t>L</w:t>
            </w:r>
            <w:r>
              <w:rPr>
                <w:lang w:val="fr-FR"/>
              </w:rPr>
              <w:t>’</w:t>
            </w:r>
            <w:r w:rsidRPr="005361F4">
              <w:rPr>
                <w:lang w:val="fr-FR"/>
              </w:rPr>
              <w:t>auteur</w:t>
            </w:r>
          </w:p>
        </w:tc>
      </w:tr>
      <w:tr w:rsidR="00457C99" w:rsidRPr="005361F4" w:rsidTr="009D563C">
        <w:tc>
          <w:tcPr>
            <w:tcW w:w="2835" w:type="dxa"/>
          </w:tcPr>
          <w:p w:rsidR="00457C99" w:rsidRPr="005361F4" w:rsidRDefault="00457C99" w:rsidP="00ED435F">
            <w:pPr>
              <w:pStyle w:val="SingleTxtG"/>
              <w:ind w:left="0" w:right="0"/>
              <w:jc w:val="left"/>
              <w:rPr>
                <w:i/>
                <w:lang w:val="fr-FR"/>
              </w:rPr>
            </w:pPr>
            <w:r w:rsidRPr="005361F4">
              <w:rPr>
                <w:i/>
                <w:lang w:val="fr-FR"/>
              </w:rPr>
              <w:t>État partie</w:t>
            </w:r>
            <w:r w:rsidRPr="005361F4">
              <w:rPr>
                <w:lang w:val="fr-FR"/>
              </w:rPr>
              <w:t> :</w:t>
            </w:r>
          </w:p>
        </w:tc>
        <w:tc>
          <w:tcPr>
            <w:tcW w:w="3969" w:type="dxa"/>
          </w:tcPr>
          <w:p w:rsidR="00457C99" w:rsidRPr="005361F4" w:rsidRDefault="00457C99" w:rsidP="00ED435F">
            <w:pPr>
              <w:pStyle w:val="SingleTxtG"/>
              <w:ind w:left="57" w:right="0"/>
              <w:jc w:val="left"/>
              <w:rPr>
                <w:lang w:val="fr-FR"/>
              </w:rPr>
            </w:pPr>
            <w:r w:rsidRPr="005361F4">
              <w:rPr>
                <w:lang w:val="fr-FR"/>
              </w:rPr>
              <w:t>Danemark</w:t>
            </w:r>
          </w:p>
        </w:tc>
      </w:tr>
      <w:tr w:rsidR="00457C99" w:rsidRPr="005361F4" w:rsidTr="009D563C">
        <w:tc>
          <w:tcPr>
            <w:tcW w:w="2835" w:type="dxa"/>
          </w:tcPr>
          <w:p w:rsidR="00457C99" w:rsidRPr="005361F4" w:rsidRDefault="00457C99" w:rsidP="00ED435F">
            <w:pPr>
              <w:pStyle w:val="SingleTxtG"/>
              <w:ind w:left="0" w:right="0"/>
              <w:jc w:val="left"/>
              <w:rPr>
                <w:i/>
                <w:lang w:val="fr-FR"/>
              </w:rPr>
            </w:pPr>
            <w:r w:rsidRPr="005361F4">
              <w:rPr>
                <w:i/>
                <w:lang w:val="fr-FR"/>
              </w:rPr>
              <w:t>Date de la communication</w:t>
            </w:r>
            <w:r w:rsidRPr="005361F4">
              <w:rPr>
                <w:lang w:val="fr-FR"/>
              </w:rPr>
              <w:t> :</w:t>
            </w:r>
          </w:p>
        </w:tc>
        <w:tc>
          <w:tcPr>
            <w:tcW w:w="3969" w:type="dxa"/>
          </w:tcPr>
          <w:p w:rsidR="00457C99" w:rsidRPr="005361F4" w:rsidRDefault="00457C99" w:rsidP="00ED435F">
            <w:pPr>
              <w:pStyle w:val="SingleTxtG"/>
              <w:ind w:left="57" w:right="0"/>
              <w:jc w:val="left"/>
              <w:rPr>
                <w:lang w:val="fr-FR"/>
              </w:rPr>
            </w:pPr>
            <w:r w:rsidRPr="005361F4">
              <w:rPr>
                <w:lang w:val="fr-FR"/>
              </w:rPr>
              <w:t>28 avril 2015 (date de la lettre initiale)</w:t>
            </w:r>
          </w:p>
        </w:tc>
      </w:tr>
      <w:tr w:rsidR="00457C99" w:rsidRPr="005361F4" w:rsidTr="009D563C">
        <w:tc>
          <w:tcPr>
            <w:tcW w:w="2835" w:type="dxa"/>
          </w:tcPr>
          <w:p w:rsidR="00457C99" w:rsidRPr="005361F4" w:rsidRDefault="00457C99" w:rsidP="00ED435F">
            <w:pPr>
              <w:pStyle w:val="SingleTxtG"/>
              <w:ind w:left="0" w:right="0"/>
              <w:jc w:val="left"/>
              <w:rPr>
                <w:i/>
                <w:lang w:val="fr-FR"/>
              </w:rPr>
            </w:pPr>
            <w:r w:rsidRPr="005361F4">
              <w:rPr>
                <w:i/>
                <w:lang w:val="fr-FR"/>
              </w:rPr>
              <w:t>Références</w:t>
            </w:r>
            <w:r w:rsidRPr="005361F4">
              <w:rPr>
                <w:lang w:val="fr-FR"/>
              </w:rPr>
              <w:t> :</w:t>
            </w:r>
          </w:p>
        </w:tc>
        <w:tc>
          <w:tcPr>
            <w:tcW w:w="3969" w:type="dxa"/>
            <w:vAlign w:val="bottom"/>
          </w:tcPr>
          <w:p w:rsidR="00457C99" w:rsidRPr="005361F4" w:rsidRDefault="00457C99" w:rsidP="00ED435F">
            <w:pPr>
              <w:pStyle w:val="SingleTxtG"/>
              <w:ind w:left="57" w:right="0"/>
              <w:jc w:val="left"/>
              <w:rPr>
                <w:lang w:val="fr-FR"/>
              </w:rPr>
            </w:pPr>
            <w:r w:rsidRPr="005361F4">
              <w:rPr>
                <w:lang w:val="fr-FR"/>
              </w:rPr>
              <w:t xml:space="preserve">Décision prise en application </w:t>
            </w:r>
            <w:r w:rsidR="009D563C">
              <w:rPr>
                <w:lang w:val="fr-FR"/>
              </w:rPr>
              <w:t xml:space="preserve">de </w:t>
            </w:r>
            <w:r w:rsidRPr="005361F4">
              <w:rPr>
                <w:lang w:val="fr-FR"/>
              </w:rPr>
              <w:t>l</w:t>
            </w:r>
            <w:r>
              <w:rPr>
                <w:lang w:val="fr-FR"/>
              </w:rPr>
              <w:t>’</w:t>
            </w:r>
            <w:r w:rsidRPr="005361F4">
              <w:rPr>
                <w:lang w:val="fr-FR"/>
              </w:rPr>
              <w:t>article 97 (devenu l</w:t>
            </w:r>
            <w:r>
              <w:rPr>
                <w:lang w:val="fr-FR"/>
              </w:rPr>
              <w:t>’</w:t>
            </w:r>
            <w:r w:rsidRPr="005361F4">
              <w:rPr>
                <w:lang w:val="fr-FR"/>
              </w:rPr>
              <w:t>article 92) du</w:t>
            </w:r>
            <w:r w:rsidR="009D563C">
              <w:rPr>
                <w:lang w:val="fr-FR"/>
              </w:rPr>
              <w:t xml:space="preserve"> </w:t>
            </w:r>
            <w:r w:rsidRPr="005361F4">
              <w:rPr>
                <w:lang w:val="fr-FR"/>
              </w:rPr>
              <w:t>règlement intérieur du Comité, communiquée à l</w:t>
            </w:r>
            <w:r>
              <w:rPr>
                <w:lang w:val="fr-FR"/>
              </w:rPr>
              <w:t>’</w:t>
            </w:r>
            <w:r w:rsidRPr="005361F4">
              <w:rPr>
                <w:lang w:val="fr-FR"/>
              </w:rPr>
              <w:t>État partie le 30 avril 2015 (non publiée sous forme de document)</w:t>
            </w:r>
          </w:p>
        </w:tc>
      </w:tr>
      <w:tr w:rsidR="00457C99" w:rsidRPr="005361F4" w:rsidTr="009D563C">
        <w:tc>
          <w:tcPr>
            <w:tcW w:w="2835" w:type="dxa"/>
          </w:tcPr>
          <w:p w:rsidR="00457C99" w:rsidRPr="005361F4" w:rsidRDefault="00457C99" w:rsidP="00ED435F">
            <w:pPr>
              <w:pStyle w:val="SingleTxtG"/>
              <w:ind w:left="0" w:right="0"/>
              <w:jc w:val="left"/>
              <w:rPr>
                <w:i/>
                <w:lang w:val="fr-FR"/>
              </w:rPr>
            </w:pPr>
            <w:r w:rsidRPr="005361F4">
              <w:rPr>
                <w:i/>
                <w:lang w:val="fr-FR"/>
              </w:rPr>
              <w:t>Date des constatations </w:t>
            </w:r>
            <w:r w:rsidRPr="005361F4">
              <w:rPr>
                <w:lang w:val="fr-FR"/>
              </w:rPr>
              <w:t>:</w:t>
            </w:r>
          </w:p>
        </w:tc>
        <w:tc>
          <w:tcPr>
            <w:tcW w:w="3969" w:type="dxa"/>
            <w:vAlign w:val="bottom"/>
          </w:tcPr>
          <w:p w:rsidR="00457C99" w:rsidRPr="005361F4" w:rsidRDefault="00457C99" w:rsidP="00ED435F">
            <w:pPr>
              <w:pStyle w:val="SingleTxtG"/>
              <w:ind w:left="57" w:right="0"/>
              <w:jc w:val="left"/>
              <w:rPr>
                <w:lang w:val="fr-FR"/>
              </w:rPr>
            </w:pPr>
            <w:r w:rsidRPr="005361F4">
              <w:rPr>
                <w:lang w:val="fr-FR"/>
              </w:rPr>
              <w:t>8 juillet 2019</w:t>
            </w:r>
          </w:p>
        </w:tc>
      </w:tr>
      <w:tr w:rsidR="00457C99" w:rsidRPr="005361F4" w:rsidTr="009D563C">
        <w:tc>
          <w:tcPr>
            <w:tcW w:w="2835" w:type="dxa"/>
          </w:tcPr>
          <w:p w:rsidR="00457C99" w:rsidRPr="005361F4" w:rsidRDefault="00457C99" w:rsidP="00ED435F">
            <w:pPr>
              <w:pStyle w:val="SingleTxtG"/>
              <w:ind w:left="0" w:right="0"/>
              <w:jc w:val="left"/>
              <w:rPr>
                <w:lang w:val="fr-FR"/>
              </w:rPr>
            </w:pPr>
            <w:r w:rsidRPr="005361F4">
              <w:rPr>
                <w:i/>
                <w:lang w:val="fr-FR"/>
              </w:rPr>
              <w:t>Objet</w:t>
            </w:r>
            <w:r w:rsidRPr="005361F4">
              <w:rPr>
                <w:lang w:val="fr-FR"/>
              </w:rPr>
              <w:t> :</w:t>
            </w:r>
          </w:p>
        </w:tc>
        <w:tc>
          <w:tcPr>
            <w:tcW w:w="3969" w:type="dxa"/>
            <w:vAlign w:val="bottom"/>
          </w:tcPr>
          <w:p w:rsidR="00457C99" w:rsidRPr="005361F4" w:rsidRDefault="00457C99" w:rsidP="00ED435F">
            <w:pPr>
              <w:pStyle w:val="SingleTxtG"/>
              <w:ind w:left="57" w:right="0"/>
              <w:jc w:val="left"/>
              <w:rPr>
                <w:lang w:val="fr-FR"/>
              </w:rPr>
            </w:pPr>
            <w:r w:rsidRPr="005361F4">
              <w:rPr>
                <w:lang w:val="fr-FR"/>
              </w:rPr>
              <w:t>Expulsion de l</w:t>
            </w:r>
            <w:r>
              <w:rPr>
                <w:lang w:val="fr-FR"/>
              </w:rPr>
              <w:t>’</w:t>
            </w:r>
            <w:r w:rsidRPr="005361F4">
              <w:rPr>
                <w:lang w:val="fr-FR"/>
              </w:rPr>
              <w:t>auteur du Danemark vers l</w:t>
            </w:r>
            <w:r>
              <w:rPr>
                <w:lang w:val="fr-FR"/>
              </w:rPr>
              <w:t>’</w:t>
            </w:r>
            <w:r w:rsidRPr="005361F4">
              <w:rPr>
                <w:lang w:val="fr-FR"/>
              </w:rPr>
              <w:t>Afghanistan</w:t>
            </w:r>
          </w:p>
        </w:tc>
      </w:tr>
      <w:tr w:rsidR="00457C99" w:rsidRPr="005361F4" w:rsidTr="009D563C">
        <w:tc>
          <w:tcPr>
            <w:tcW w:w="2835" w:type="dxa"/>
          </w:tcPr>
          <w:p w:rsidR="00457C99" w:rsidRPr="005361F4" w:rsidRDefault="00457C99" w:rsidP="00ED435F">
            <w:pPr>
              <w:pStyle w:val="SingleTxtG"/>
              <w:ind w:left="0" w:right="0"/>
              <w:jc w:val="left"/>
              <w:rPr>
                <w:lang w:val="fr-FR"/>
              </w:rPr>
            </w:pPr>
            <w:r w:rsidRPr="005361F4">
              <w:rPr>
                <w:i/>
                <w:lang w:val="fr-FR"/>
              </w:rPr>
              <w:t>Question(s) de procédure</w:t>
            </w:r>
            <w:r w:rsidRPr="005361F4">
              <w:rPr>
                <w:lang w:val="fr-FR"/>
              </w:rPr>
              <w:t> :</w:t>
            </w:r>
          </w:p>
        </w:tc>
        <w:tc>
          <w:tcPr>
            <w:tcW w:w="3969" w:type="dxa"/>
            <w:vAlign w:val="bottom"/>
          </w:tcPr>
          <w:p w:rsidR="00457C99" w:rsidRPr="005361F4" w:rsidRDefault="00457C99" w:rsidP="00ED435F">
            <w:pPr>
              <w:pStyle w:val="SingleTxtG"/>
              <w:ind w:left="57" w:right="0"/>
              <w:jc w:val="left"/>
              <w:rPr>
                <w:lang w:val="fr-FR"/>
              </w:rPr>
            </w:pPr>
            <w:r w:rsidRPr="005361F4">
              <w:rPr>
                <w:lang w:val="fr-FR"/>
              </w:rPr>
              <w:t xml:space="preserve">Irrecevabilité pour défaut manifeste de fondement ; mesure dans laquelle les griefs </w:t>
            </w:r>
            <w:r w:rsidR="009D563C">
              <w:rPr>
                <w:lang w:val="fr-FR"/>
              </w:rPr>
              <w:br/>
            </w:r>
            <w:r w:rsidRPr="005361F4">
              <w:rPr>
                <w:lang w:val="fr-FR"/>
              </w:rPr>
              <w:t>sont étayés</w:t>
            </w:r>
          </w:p>
        </w:tc>
      </w:tr>
      <w:tr w:rsidR="00457C99" w:rsidRPr="005361F4" w:rsidTr="009D563C">
        <w:tc>
          <w:tcPr>
            <w:tcW w:w="2835" w:type="dxa"/>
          </w:tcPr>
          <w:p w:rsidR="00457C99" w:rsidRPr="005361F4" w:rsidRDefault="00457C99" w:rsidP="00ED435F">
            <w:pPr>
              <w:pStyle w:val="SingleTxtG"/>
              <w:ind w:left="0" w:right="0"/>
              <w:jc w:val="left"/>
              <w:rPr>
                <w:lang w:val="fr-FR"/>
              </w:rPr>
            </w:pPr>
            <w:r w:rsidRPr="005361F4">
              <w:rPr>
                <w:i/>
                <w:lang w:val="fr-FR"/>
              </w:rPr>
              <w:t>Question(s) de fond</w:t>
            </w:r>
            <w:r w:rsidRPr="005361F4">
              <w:rPr>
                <w:lang w:val="fr-FR"/>
              </w:rPr>
              <w:t> :</w:t>
            </w:r>
          </w:p>
        </w:tc>
        <w:tc>
          <w:tcPr>
            <w:tcW w:w="3969" w:type="dxa"/>
            <w:vAlign w:val="bottom"/>
          </w:tcPr>
          <w:p w:rsidR="00457C99" w:rsidRPr="005361F4" w:rsidRDefault="00457C99" w:rsidP="00ED435F">
            <w:pPr>
              <w:pStyle w:val="SingleTxtG"/>
              <w:ind w:left="57" w:right="0"/>
              <w:jc w:val="left"/>
              <w:rPr>
                <w:lang w:val="fr-FR"/>
              </w:rPr>
            </w:pPr>
            <w:r w:rsidRPr="005361F4">
              <w:rPr>
                <w:lang w:val="fr-FR"/>
              </w:rPr>
              <w:t>Risque de torture ou d</w:t>
            </w:r>
            <w:r>
              <w:rPr>
                <w:lang w:val="fr-FR"/>
              </w:rPr>
              <w:t>’</w:t>
            </w:r>
            <w:r w:rsidRPr="005361F4">
              <w:rPr>
                <w:lang w:val="fr-FR"/>
              </w:rPr>
              <w:t xml:space="preserve">autres peines ou traitements cruels, inhumains ou dégradants </w:t>
            </w:r>
          </w:p>
        </w:tc>
      </w:tr>
      <w:tr w:rsidR="00457C99" w:rsidRPr="005361F4" w:rsidTr="009D563C">
        <w:tc>
          <w:tcPr>
            <w:tcW w:w="2835" w:type="dxa"/>
          </w:tcPr>
          <w:p w:rsidR="00457C99" w:rsidRPr="005361F4" w:rsidRDefault="00457C99" w:rsidP="00ED435F">
            <w:pPr>
              <w:pStyle w:val="SingleTxtG"/>
              <w:ind w:left="0" w:right="0"/>
              <w:jc w:val="left"/>
              <w:rPr>
                <w:lang w:val="fr-FR"/>
              </w:rPr>
            </w:pPr>
            <w:r w:rsidRPr="005361F4">
              <w:rPr>
                <w:i/>
                <w:lang w:val="fr-FR"/>
              </w:rPr>
              <w:t>Article(s) du Pacte</w:t>
            </w:r>
            <w:r w:rsidRPr="005361F4">
              <w:rPr>
                <w:lang w:val="fr-FR"/>
              </w:rPr>
              <w:t> :</w:t>
            </w:r>
          </w:p>
        </w:tc>
        <w:tc>
          <w:tcPr>
            <w:tcW w:w="3969" w:type="dxa"/>
            <w:vAlign w:val="bottom"/>
          </w:tcPr>
          <w:p w:rsidR="00457C99" w:rsidRPr="005361F4" w:rsidRDefault="00457C99" w:rsidP="00ED435F">
            <w:pPr>
              <w:pStyle w:val="SingleTxtG"/>
              <w:ind w:left="57" w:right="0"/>
              <w:jc w:val="left"/>
              <w:rPr>
                <w:lang w:val="fr-FR"/>
              </w:rPr>
            </w:pPr>
            <w:r w:rsidRPr="005361F4">
              <w:rPr>
                <w:lang w:val="fr-FR"/>
              </w:rPr>
              <w:t>7</w:t>
            </w:r>
          </w:p>
        </w:tc>
      </w:tr>
      <w:tr w:rsidR="00457C99" w:rsidRPr="005361F4" w:rsidTr="009D563C">
        <w:tc>
          <w:tcPr>
            <w:tcW w:w="2835" w:type="dxa"/>
          </w:tcPr>
          <w:p w:rsidR="00457C99" w:rsidRPr="005361F4" w:rsidRDefault="00457C99" w:rsidP="00ED435F">
            <w:pPr>
              <w:pStyle w:val="SingleTxtG"/>
              <w:ind w:left="0" w:right="0"/>
              <w:jc w:val="left"/>
              <w:rPr>
                <w:i/>
                <w:lang w:val="fr-FR"/>
              </w:rPr>
            </w:pPr>
            <w:r w:rsidRPr="005361F4">
              <w:rPr>
                <w:i/>
                <w:lang w:val="fr-FR"/>
              </w:rPr>
              <w:t>Article(s) du Protocole facultatif </w:t>
            </w:r>
            <w:r w:rsidRPr="005361F4">
              <w:rPr>
                <w:lang w:val="fr-FR"/>
              </w:rPr>
              <w:t>:</w:t>
            </w:r>
          </w:p>
        </w:tc>
        <w:tc>
          <w:tcPr>
            <w:tcW w:w="3969" w:type="dxa"/>
            <w:vAlign w:val="bottom"/>
          </w:tcPr>
          <w:p w:rsidR="00457C99" w:rsidRPr="005361F4" w:rsidRDefault="00457C99" w:rsidP="00ED435F">
            <w:pPr>
              <w:pStyle w:val="SingleTxtG"/>
              <w:ind w:left="57" w:right="0"/>
              <w:jc w:val="left"/>
              <w:rPr>
                <w:lang w:val="fr-FR"/>
              </w:rPr>
            </w:pPr>
            <w:r w:rsidRPr="005361F4">
              <w:rPr>
                <w:lang w:val="fr-FR"/>
              </w:rPr>
              <w:t>2</w:t>
            </w:r>
          </w:p>
        </w:tc>
      </w:tr>
    </w:tbl>
    <w:p w:rsidR="009D563C" w:rsidRDefault="009D563C" w:rsidP="009D563C">
      <w:pPr>
        <w:pStyle w:val="SingleTxtG"/>
        <w:spacing w:before="120"/>
        <w:rPr>
          <w:lang w:val="fr-FR"/>
        </w:rPr>
      </w:pPr>
    </w:p>
    <w:p w:rsidR="00457C99" w:rsidRPr="005361F4" w:rsidRDefault="009D563C" w:rsidP="009D563C">
      <w:pPr>
        <w:pStyle w:val="SingleTxtG"/>
        <w:spacing w:before="120"/>
        <w:rPr>
          <w:lang w:val="fr-FR"/>
        </w:rPr>
      </w:pPr>
      <w:r>
        <w:rPr>
          <w:lang w:val="fr-FR"/>
        </w:rPr>
        <w:br w:type="page"/>
      </w:r>
      <w:r w:rsidR="00457C99" w:rsidRPr="005361F4">
        <w:rPr>
          <w:lang w:val="fr-FR"/>
        </w:rPr>
        <w:lastRenderedPageBreak/>
        <w:t>1.1</w:t>
      </w:r>
      <w:r w:rsidR="00457C99" w:rsidRPr="005361F4">
        <w:rPr>
          <w:lang w:val="fr-FR"/>
        </w:rPr>
        <w:tab/>
        <w:t>L</w:t>
      </w:r>
      <w:r w:rsidR="00457C99">
        <w:rPr>
          <w:lang w:val="fr-FR"/>
        </w:rPr>
        <w:t>’</w:t>
      </w:r>
      <w:r w:rsidR="00457C99" w:rsidRPr="005361F4">
        <w:rPr>
          <w:lang w:val="fr-FR"/>
        </w:rPr>
        <w:t>auteur de la communication est A. B. H.</w:t>
      </w:r>
      <w:r w:rsidR="00457C99" w:rsidRPr="000060F8">
        <w:rPr>
          <w:rStyle w:val="Appelnotedebasdep"/>
        </w:rPr>
        <w:footnoteReference w:id="5"/>
      </w:r>
      <w:r w:rsidR="00457C99" w:rsidRPr="005361F4">
        <w:rPr>
          <w:lang w:val="fr-FR"/>
        </w:rPr>
        <w:t>, de nationalité afghane, né le 8 mars 1977. Il affirme qu</w:t>
      </w:r>
      <w:r w:rsidR="00457C99">
        <w:rPr>
          <w:lang w:val="fr-FR"/>
        </w:rPr>
        <w:t>’</w:t>
      </w:r>
      <w:r w:rsidR="00457C99" w:rsidRPr="005361F4">
        <w:rPr>
          <w:lang w:val="fr-FR"/>
        </w:rPr>
        <w:t>il serait victime d</w:t>
      </w:r>
      <w:r w:rsidR="00457C99">
        <w:rPr>
          <w:lang w:val="fr-FR"/>
        </w:rPr>
        <w:t>’</w:t>
      </w:r>
      <w:r w:rsidR="00457C99" w:rsidRPr="005361F4">
        <w:rPr>
          <w:lang w:val="fr-FR"/>
        </w:rPr>
        <w:t>une violation par le Danemark de l</w:t>
      </w:r>
      <w:r w:rsidR="00457C99">
        <w:rPr>
          <w:lang w:val="fr-FR"/>
        </w:rPr>
        <w:t>’</w:t>
      </w:r>
      <w:r w:rsidR="00457C99" w:rsidRPr="005361F4">
        <w:rPr>
          <w:lang w:val="fr-FR"/>
        </w:rPr>
        <w:t>article 7 du Pacte s</w:t>
      </w:r>
      <w:r w:rsidR="00457C99">
        <w:rPr>
          <w:lang w:val="fr-FR"/>
        </w:rPr>
        <w:t>’</w:t>
      </w:r>
      <w:r w:rsidR="00457C99" w:rsidRPr="005361F4">
        <w:rPr>
          <w:lang w:val="fr-FR"/>
        </w:rPr>
        <w:t>il était expulsé vers l</w:t>
      </w:r>
      <w:r w:rsidR="00457C99">
        <w:rPr>
          <w:lang w:val="fr-FR"/>
        </w:rPr>
        <w:t>’</w:t>
      </w:r>
      <w:r w:rsidR="00457C99" w:rsidRPr="005361F4">
        <w:rPr>
          <w:lang w:val="fr-FR"/>
        </w:rPr>
        <w:t>Afghanistan. Il a prié le Comité de demander des mesures provisoires afin de ne pas être renvoyé en Afghanistan tant que sa communication serait à l</w:t>
      </w:r>
      <w:r w:rsidR="00457C99">
        <w:rPr>
          <w:lang w:val="fr-FR"/>
        </w:rPr>
        <w:t>’</w:t>
      </w:r>
      <w:r w:rsidR="00457C99" w:rsidRPr="005361F4">
        <w:rPr>
          <w:lang w:val="fr-FR"/>
        </w:rPr>
        <w:t>examen. Il est représenté par un conseil</w:t>
      </w:r>
      <w:r w:rsidR="00457C99" w:rsidRPr="000060F8">
        <w:rPr>
          <w:rStyle w:val="Appelnotedebasdep"/>
        </w:rPr>
        <w:footnoteReference w:id="6"/>
      </w:r>
      <w:r w:rsidR="00457C99" w:rsidRPr="005361F4">
        <w:rPr>
          <w:lang w:val="fr-FR"/>
        </w:rPr>
        <w:t>.</w:t>
      </w:r>
    </w:p>
    <w:p w:rsidR="00457C99" w:rsidRPr="005361F4" w:rsidRDefault="00457C99" w:rsidP="00457C99">
      <w:pPr>
        <w:pStyle w:val="SingleTxtG"/>
        <w:rPr>
          <w:lang w:val="fr-FR"/>
        </w:rPr>
      </w:pPr>
      <w:r w:rsidRPr="005361F4">
        <w:rPr>
          <w:lang w:val="fr-FR"/>
        </w:rPr>
        <w:t>1.2</w:t>
      </w:r>
      <w:r w:rsidRPr="005361F4">
        <w:rPr>
          <w:lang w:val="fr-FR"/>
        </w:rPr>
        <w:tab/>
        <w:t>Le 30 avril 2015, en application de l</w:t>
      </w:r>
      <w:r>
        <w:rPr>
          <w:lang w:val="fr-FR"/>
        </w:rPr>
        <w:t>’</w:t>
      </w:r>
      <w:r w:rsidRPr="005361F4">
        <w:rPr>
          <w:lang w:val="fr-FR"/>
        </w:rPr>
        <w:t>article 92 (devenu l</w:t>
      </w:r>
      <w:r>
        <w:rPr>
          <w:lang w:val="fr-FR"/>
        </w:rPr>
        <w:t>’</w:t>
      </w:r>
      <w:r w:rsidRPr="005361F4">
        <w:rPr>
          <w:lang w:val="fr-FR"/>
        </w:rPr>
        <w:t>article 94)</w:t>
      </w:r>
      <w:r w:rsidRPr="00403162">
        <w:rPr>
          <w:lang w:val="fr-FR"/>
        </w:rPr>
        <w:t xml:space="preserve"> </w:t>
      </w:r>
      <w:r w:rsidRPr="005361F4">
        <w:rPr>
          <w:lang w:val="fr-FR"/>
        </w:rPr>
        <w:t>de son règlement intérieur, le Comité, agissant par l</w:t>
      </w:r>
      <w:r>
        <w:rPr>
          <w:lang w:val="fr-FR"/>
        </w:rPr>
        <w:t>’</w:t>
      </w:r>
      <w:r w:rsidRPr="005361F4">
        <w:rPr>
          <w:lang w:val="fr-FR"/>
        </w:rPr>
        <w:t xml:space="preserve">intermédiaire de son </w:t>
      </w:r>
      <w:r w:rsidR="00ED435F">
        <w:rPr>
          <w:lang w:val="fr-FR"/>
        </w:rPr>
        <w:t>R</w:t>
      </w:r>
      <w:r w:rsidRPr="005361F4">
        <w:rPr>
          <w:lang w:val="fr-FR"/>
        </w:rPr>
        <w:t>apporteur spécial chargé des nouvelles communications et des mesures provisoires, a demandé à l</w:t>
      </w:r>
      <w:r>
        <w:rPr>
          <w:lang w:val="fr-FR"/>
        </w:rPr>
        <w:t>’</w:t>
      </w:r>
      <w:r w:rsidRPr="005361F4">
        <w:rPr>
          <w:lang w:val="fr-FR"/>
        </w:rPr>
        <w:t>État partie de ne pas expulser l</w:t>
      </w:r>
      <w:r>
        <w:rPr>
          <w:lang w:val="fr-FR"/>
        </w:rPr>
        <w:t>’</w:t>
      </w:r>
      <w:r w:rsidRPr="005361F4">
        <w:rPr>
          <w:lang w:val="fr-FR"/>
        </w:rPr>
        <w:t>auteur vers l</w:t>
      </w:r>
      <w:r>
        <w:rPr>
          <w:lang w:val="fr-FR"/>
        </w:rPr>
        <w:t>’</w:t>
      </w:r>
      <w:r w:rsidRPr="005361F4">
        <w:rPr>
          <w:lang w:val="fr-FR"/>
        </w:rPr>
        <w:t>Afghanistan tant que sa communication serait à l</w:t>
      </w:r>
      <w:r>
        <w:rPr>
          <w:lang w:val="fr-FR"/>
        </w:rPr>
        <w:t>’</w:t>
      </w:r>
      <w:r w:rsidRPr="005361F4">
        <w:rPr>
          <w:lang w:val="fr-FR"/>
        </w:rPr>
        <w:t>examen. Le 7 mai 2015, l</w:t>
      </w:r>
      <w:r>
        <w:rPr>
          <w:lang w:val="fr-FR"/>
        </w:rPr>
        <w:t>’</w:t>
      </w:r>
      <w:r w:rsidRPr="005361F4">
        <w:rPr>
          <w:lang w:val="fr-FR"/>
        </w:rPr>
        <w:t>État partie a suspendu l</w:t>
      </w:r>
      <w:r>
        <w:rPr>
          <w:lang w:val="fr-FR"/>
        </w:rPr>
        <w:t>’</w:t>
      </w:r>
      <w:r w:rsidRPr="005361F4">
        <w:rPr>
          <w:lang w:val="fr-FR"/>
        </w:rPr>
        <w:t>exécution de l</w:t>
      </w:r>
      <w:r>
        <w:rPr>
          <w:lang w:val="fr-FR"/>
        </w:rPr>
        <w:t>’</w:t>
      </w:r>
      <w:r w:rsidRPr="005361F4">
        <w:rPr>
          <w:lang w:val="fr-FR"/>
        </w:rPr>
        <w:t>arrêté d</w:t>
      </w:r>
      <w:r>
        <w:rPr>
          <w:lang w:val="fr-FR"/>
        </w:rPr>
        <w:t>’</w:t>
      </w:r>
      <w:r w:rsidRPr="005361F4">
        <w:rPr>
          <w:lang w:val="fr-FR"/>
        </w:rPr>
        <w:t>expulsion visant l</w:t>
      </w:r>
      <w:r>
        <w:rPr>
          <w:lang w:val="fr-FR"/>
        </w:rPr>
        <w:t>’</w:t>
      </w:r>
      <w:r w:rsidRPr="005361F4">
        <w:rPr>
          <w:lang w:val="fr-FR"/>
        </w:rPr>
        <w:t>auteur.</w:t>
      </w:r>
    </w:p>
    <w:p w:rsidR="00457C99" w:rsidRPr="005361F4" w:rsidRDefault="00457C99" w:rsidP="00ED435F">
      <w:pPr>
        <w:pStyle w:val="SingleTxtG"/>
        <w:rPr>
          <w:lang w:val="fr-FR"/>
        </w:rPr>
      </w:pPr>
      <w:r w:rsidRPr="005361F4">
        <w:rPr>
          <w:lang w:val="fr-FR"/>
        </w:rPr>
        <w:t>1.3</w:t>
      </w:r>
      <w:r w:rsidRPr="005361F4">
        <w:rPr>
          <w:lang w:val="fr-FR"/>
        </w:rPr>
        <w:tab/>
        <w:t>Le 1</w:t>
      </w:r>
      <w:r w:rsidRPr="005361F4">
        <w:rPr>
          <w:vertAlign w:val="superscript"/>
          <w:lang w:val="fr-FR"/>
        </w:rPr>
        <w:t>er</w:t>
      </w:r>
      <w:r w:rsidRPr="005361F4">
        <w:rPr>
          <w:lang w:val="fr-FR"/>
        </w:rPr>
        <w:t> décembre 2015, l</w:t>
      </w:r>
      <w:r>
        <w:rPr>
          <w:lang w:val="fr-FR"/>
        </w:rPr>
        <w:t>’</w:t>
      </w:r>
      <w:r w:rsidRPr="005361F4">
        <w:rPr>
          <w:lang w:val="fr-FR"/>
        </w:rPr>
        <w:t>État partie l</w:t>
      </w:r>
      <w:r>
        <w:rPr>
          <w:lang w:val="fr-FR"/>
        </w:rPr>
        <w:t>’</w:t>
      </w:r>
      <w:r w:rsidRPr="005361F4">
        <w:rPr>
          <w:lang w:val="fr-FR"/>
        </w:rPr>
        <w:t>ayant informé que la Commission danoise de recours des réfugiés avait décidé de rouvrir le dossier, le Comité a suspendu l</w:t>
      </w:r>
      <w:r>
        <w:rPr>
          <w:lang w:val="fr-FR"/>
        </w:rPr>
        <w:t>’</w:t>
      </w:r>
      <w:r w:rsidRPr="005361F4">
        <w:rPr>
          <w:lang w:val="fr-FR"/>
        </w:rPr>
        <w:t>examen de la communication jusqu</w:t>
      </w:r>
      <w:r>
        <w:rPr>
          <w:lang w:val="fr-FR"/>
        </w:rPr>
        <w:t>’</w:t>
      </w:r>
      <w:r w:rsidRPr="005361F4">
        <w:rPr>
          <w:lang w:val="fr-FR"/>
        </w:rPr>
        <w:t>à nouvel ordre et a rappelé à l</w:t>
      </w:r>
      <w:r>
        <w:rPr>
          <w:lang w:val="fr-FR"/>
        </w:rPr>
        <w:t>’</w:t>
      </w:r>
      <w:r w:rsidRPr="005361F4">
        <w:rPr>
          <w:lang w:val="fr-FR"/>
        </w:rPr>
        <w:t>État partie qu</w:t>
      </w:r>
      <w:r>
        <w:rPr>
          <w:lang w:val="fr-FR"/>
        </w:rPr>
        <w:t>’</w:t>
      </w:r>
      <w:r w:rsidRPr="005361F4">
        <w:rPr>
          <w:lang w:val="fr-FR"/>
        </w:rPr>
        <w:t>il ne devait pas expulser l</w:t>
      </w:r>
      <w:r>
        <w:rPr>
          <w:lang w:val="fr-FR"/>
        </w:rPr>
        <w:t>’</w:t>
      </w:r>
      <w:r w:rsidRPr="005361F4">
        <w:rPr>
          <w:lang w:val="fr-FR"/>
        </w:rPr>
        <w:t xml:space="preserve">auteur pendant </w:t>
      </w:r>
      <w:r>
        <w:rPr>
          <w:lang w:val="fr-FR"/>
        </w:rPr>
        <w:t>cette</w:t>
      </w:r>
      <w:r w:rsidRPr="005361F4">
        <w:rPr>
          <w:lang w:val="fr-FR"/>
        </w:rPr>
        <w:t xml:space="preserve"> suspension. Le 21 avril 2016, l</w:t>
      </w:r>
      <w:r>
        <w:rPr>
          <w:lang w:val="fr-FR"/>
        </w:rPr>
        <w:t>’</w:t>
      </w:r>
      <w:r w:rsidRPr="005361F4">
        <w:rPr>
          <w:lang w:val="fr-FR"/>
        </w:rPr>
        <w:t>État partie a fait savoir au Comité que, le 18 avril 2016, la Commission avait décidé de confirmer la décision de rejet</w:t>
      </w:r>
      <w:r>
        <w:rPr>
          <w:lang w:val="fr-FR"/>
        </w:rPr>
        <w:t xml:space="preserve"> de </w:t>
      </w:r>
      <w:r w:rsidRPr="005361F4">
        <w:rPr>
          <w:lang w:val="fr-FR"/>
        </w:rPr>
        <w:t>la demande d</w:t>
      </w:r>
      <w:r>
        <w:rPr>
          <w:lang w:val="fr-FR"/>
        </w:rPr>
        <w:t>’</w:t>
      </w:r>
      <w:r w:rsidRPr="005361F4">
        <w:rPr>
          <w:lang w:val="fr-FR"/>
        </w:rPr>
        <w:t>asile de l</w:t>
      </w:r>
      <w:r>
        <w:rPr>
          <w:lang w:val="fr-FR"/>
        </w:rPr>
        <w:t>’</w:t>
      </w:r>
      <w:r w:rsidRPr="005361F4">
        <w:rPr>
          <w:lang w:val="fr-FR"/>
        </w:rPr>
        <w:t>auteur et il a lui demandé de lever la suspension de l</w:t>
      </w:r>
      <w:r>
        <w:rPr>
          <w:lang w:val="fr-FR"/>
        </w:rPr>
        <w:t>’</w:t>
      </w:r>
      <w:r w:rsidRPr="005361F4">
        <w:rPr>
          <w:lang w:val="fr-FR"/>
        </w:rPr>
        <w:t xml:space="preserve">examen de la communication. Le 15 juillet 2016, le Comité a décidé de lever </w:t>
      </w:r>
      <w:r>
        <w:rPr>
          <w:lang w:val="fr-FR"/>
        </w:rPr>
        <w:t>cette</w:t>
      </w:r>
      <w:r w:rsidRPr="005361F4">
        <w:rPr>
          <w:lang w:val="fr-FR"/>
        </w:rPr>
        <w:t xml:space="preserve"> suspension et d</w:t>
      </w:r>
      <w:r>
        <w:rPr>
          <w:lang w:val="fr-FR"/>
        </w:rPr>
        <w:t>’</w:t>
      </w:r>
      <w:r w:rsidRPr="005361F4">
        <w:rPr>
          <w:lang w:val="fr-FR"/>
        </w:rPr>
        <w:t>accorder à l</w:t>
      </w:r>
      <w:r>
        <w:rPr>
          <w:lang w:val="fr-FR"/>
        </w:rPr>
        <w:t>’</w:t>
      </w:r>
      <w:r w:rsidRPr="005361F4">
        <w:rPr>
          <w:lang w:val="fr-FR"/>
        </w:rPr>
        <w:t>État partie un délai supplémentaire pour présenter ses observations sur la recevabilité et le fond de la communication.</w:t>
      </w:r>
    </w:p>
    <w:p w:rsidR="00457C99" w:rsidRPr="005361F4" w:rsidRDefault="00457C99" w:rsidP="00ED435F">
      <w:pPr>
        <w:pStyle w:val="H23G"/>
        <w:rPr>
          <w:lang w:val="fr-FR"/>
        </w:rPr>
      </w:pPr>
      <w:r w:rsidRPr="005361F4">
        <w:rPr>
          <w:lang w:val="fr-FR"/>
        </w:rPr>
        <w:tab/>
      </w:r>
      <w:r w:rsidRPr="005361F4">
        <w:rPr>
          <w:lang w:val="fr-FR"/>
        </w:rPr>
        <w:tab/>
        <w:t>Rappel des faits présentés par l</w:t>
      </w:r>
      <w:r>
        <w:rPr>
          <w:lang w:val="fr-FR"/>
        </w:rPr>
        <w:t>’</w:t>
      </w:r>
      <w:r w:rsidRPr="005361F4">
        <w:rPr>
          <w:lang w:val="fr-FR"/>
        </w:rPr>
        <w:t>auteur</w:t>
      </w:r>
    </w:p>
    <w:p w:rsidR="00457C99" w:rsidRPr="005361F4" w:rsidRDefault="00457C99" w:rsidP="00ED435F">
      <w:pPr>
        <w:pStyle w:val="SingleTxtG"/>
        <w:rPr>
          <w:lang w:val="fr-FR"/>
        </w:rPr>
      </w:pPr>
      <w:r w:rsidRPr="005361F4">
        <w:rPr>
          <w:lang w:val="fr-FR"/>
        </w:rPr>
        <w:t>2.1</w:t>
      </w:r>
      <w:r w:rsidRPr="005361F4">
        <w:rPr>
          <w:lang w:val="fr-FR"/>
        </w:rPr>
        <w:tab/>
        <w:t>L</w:t>
      </w:r>
      <w:r>
        <w:rPr>
          <w:lang w:val="fr-FR"/>
        </w:rPr>
        <w:t>’</w:t>
      </w:r>
      <w:r w:rsidRPr="005361F4">
        <w:rPr>
          <w:lang w:val="fr-FR"/>
        </w:rPr>
        <w:t>auteur est d</w:t>
      </w:r>
      <w:r>
        <w:rPr>
          <w:lang w:val="fr-FR"/>
        </w:rPr>
        <w:t>’</w:t>
      </w:r>
      <w:r w:rsidRPr="005361F4">
        <w:rPr>
          <w:lang w:val="fr-FR"/>
        </w:rPr>
        <w:t>ethnie pachtoune et originaire de la province de Kunar en Afghanistan. Il affirme qu</w:t>
      </w:r>
      <w:r>
        <w:rPr>
          <w:lang w:val="fr-FR"/>
        </w:rPr>
        <w:t>’</w:t>
      </w:r>
      <w:r w:rsidRPr="005361F4">
        <w:rPr>
          <w:lang w:val="fr-FR"/>
        </w:rPr>
        <w:t>il risque d</w:t>
      </w:r>
      <w:r>
        <w:rPr>
          <w:lang w:val="fr-FR"/>
        </w:rPr>
        <w:t>’</w:t>
      </w:r>
      <w:r w:rsidRPr="005361F4">
        <w:rPr>
          <w:lang w:val="fr-FR"/>
        </w:rPr>
        <w:t>être persécuté s</w:t>
      </w:r>
      <w:r>
        <w:rPr>
          <w:lang w:val="fr-FR"/>
        </w:rPr>
        <w:t>’</w:t>
      </w:r>
      <w:r w:rsidRPr="005361F4">
        <w:rPr>
          <w:lang w:val="fr-FR"/>
        </w:rPr>
        <w:t>il devait être expulsé vers l</w:t>
      </w:r>
      <w:r>
        <w:rPr>
          <w:lang w:val="fr-FR"/>
        </w:rPr>
        <w:t>’</w:t>
      </w:r>
      <w:r w:rsidRPr="005361F4">
        <w:rPr>
          <w:lang w:val="fr-FR"/>
        </w:rPr>
        <w:t>Afghanistan parce que, après avoir travaillé cinq ans pour les forces internationales, il est en conflit avec les Taliban. Par ailleurs, les autorités afghanes le soupçonnent à tort d</w:t>
      </w:r>
      <w:r>
        <w:rPr>
          <w:lang w:val="fr-FR"/>
        </w:rPr>
        <w:t>’</w:t>
      </w:r>
      <w:r w:rsidRPr="005361F4">
        <w:rPr>
          <w:lang w:val="fr-FR"/>
        </w:rPr>
        <w:t>être lié aux Taliban.</w:t>
      </w:r>
    </w:p>
    <w:p w:rsidR="00457C99" w:rsidRPr="005361F4" w:rsidRDefault="00457C99" w:rsidP="00ED435F">
      <w:pPr>
        <w:pStyle w:val="SingleTxtG"/>
        <w:rPr>
          <w:lang w:val="fr-FR"/>
        </w:rPr>
      </w:pPr>
      <w:r w:rsidRPr="005361F4">
        <w:rPr>
          <w:lang w:val="fr-FR"/>
        </w:rPr>
        <w:t>2.2</w:t>
      </w:r>
      <w:r w:rsidRPr="005361F4">
        <w:rPr>
          <w:lang w:val="fr-FR"/>
        </w:rPr>
        <w:tab/>
        <w:t>L</w:t>
      </w:r>
      <w:r>
        <w:rPr>
          <w:lang w:val="fr-FR"/>
        </w:rPr>
        <w:t>’</w:t>
      </w:r>
      <w:r w:rsidRPr="005361F4">
        <w:rPr>
          <w:lang w:val="fr-FR"/>
        </w:rPr>
        <w:t>auteur déclare que, de 2007 à 2012, en tant que soldat de la Direction nationale de la sécurité, il s</w:t>
      </w:r>
      <w:r>
        <w:rPr>
          <w:lang w:val="fr-FR"/>
        </w:rPr>
        <w:t>’</w:t>
      </w:r>
      <w:r w:rsidRPr="005361F4">
        <w:rPr>
          <w:lang w:val="fr-FR"/>
        </w:rPr>
        <w:t xml:space="preserve">entraînait et collaborait avec les forces afghanes et </w:t>
      </w:r>
      <w:r w:rsidR="00ED435F">
        <w:rPr>
          <w:lang w:val="fr-FR"/>
        </w:rPr>
        <w:t xml:space="preserve">les forces </w:t>
      </w:r>
      <w:r w:rsidRPr="005361F4">
        <w:rPr>
          <w:lang w:val="fr-FR"/>
        </w:rPr>
        <w:t>des États-Unis d</w:t>
      </w:r>
      <w:r>
        <w:rPr>
          <w:lang w:val="fr-FR"/>
        </w:rPr>
        <w:t>’</w:t>
      </w:r>
      <w:r w:rsidRPr="005361F4">
        <w:rPr>
          <w:lang w:val="fr-FR"/>
        </w:rPr>
        <w:t>Amérique ; l</w:t>
      </w:r>
      <w:r>
        <w:rPr>
          <w:lang w:val="fr-FR"/>
        </w:rPr>
        <w:t>’</w:t>
      </w:r>
      <w:r w:rsidRPr="005361F4">
        <w:rPr>
          <w:lang w:val="fr-FR"/>
        </w:rPr>
        <w:t>une de ses tâches était d</w:t>
      </w:r>
      <w:r>
        <w:rPr>
          <w:lang w:val="fr-FR"/>
        </w:rPr>
        <w:t>’</w:t>
      </w:r>
      <w:r w:rsidRPr="005361F4">
        <w:rPr>
          <w:lang w:val="fr-FR"/>
        </w:rPr>
        <w:t>arrêter des Taliban. Il a pour cette raison été menacé à plusieurs reprises par les Taliban. Il a reçu chez lui deux lettres de menaces de</w:t>
      </w:r>
      <w:r>
        <w:rPr>
          <w:lang w:val="fr-FR"/>
        </w:rPr>
        <w:t xml:space="preserve"> ceux-ci</w:t>
      </w:r>
      <w:r w:rsidRPr="000060F8">
        <w:rPr>
          <w:rStyle w:val="Appelnotedebasdep"/>
        </w:rPr>
        <w:footnoteReference w:id="7"/>
      </w:r>
      <w:r>
        <w:rPr>
          <w:lang w:val="fr-FR"/>
        </w:rPr>
        <w:t xml:space="preserve"> </w:t>
      </w:r>
      <w:r w:rsidRPr="005361F4">
        <w:rPr>
          <w:lang w:val="fr-FR"/>
        </w:rPr>
        <w:t>et</w:t>
      </w:r>
      <w:r>
        <w:rPr>
          <w:lang w:val="fr-FR"/>
        </w:rPr>
        <w:t xml:space="preserve">, </w:t>
      </w:r>
      <w:r w:rsidRPr="005361F4">
        <w:rPr>
          <w:lang w:val="fr-FR"/>
        </w:rPr>
        <w:t>peu après la réception de la première, on</w:t>
      </w:r>
      <w:r w:rsidRPr="000060F8">
        <w:rPr>
          <w:lang w:val="fr-FR"/>
        </w:rPr>
        <w:t xml:space="preserve"> a tenté de le tuer par balles alors qu</w:t>
      </w:r>
      <w:r>
        <w:rPr>
          <w:lang w:val="fr-FR"/>
        </w:rPr>
        <w:t>’</w:t>
      </w:r>
      <w:r w:rsidRPr="000060F8">
        <w:rPr>
          <w:lang w:val="fr-FR"/>
        </w:rPr>
        <w:t>il était dans sa voiture</w:t>
      </w:r>
      <w:r w:rsidRPr="005361F4">
        <w:rPr>
          <w:lang w:val="fr-FR"/>
        </w:rPr>
        <w:t>. En décembre</w:t>
      </w:r>
      <w:r w:rsidR="00ED435F">
        <w:rPr>
          <w:lang w:val="fr-FR"/>
        </w:rPr>
        <w:t xml:space="preserve"> </w:t>
      </w:r>
      <w:r w:rsidRPr="005361F4">
        <w:rPr>
          <w:lang w:val="fr-FR"/>
        </w:rPr>
        <w:t>2012, il a été enlevé par les Taliban qui l</w:t>
      </w:r>
      <w:r>
        <w:rPr>
          <w:lang w:val="fr-FR"/>
        </w:rPr>
        <w:t>’</w:t>
      </w:r>
      <w:r w:rsidRPr="005361F4">
        <w:rPr>
          <w:lang w:val="fr-FR"/>
        </w:rPr>
        <w:t>ont gardé prisonnier pendant trois ou quatre mois avant qu</w:t>
      </w:r>
      <w:r>
        <w:rPr>
          <w:lang w:val="fr-FR"/>
        </w:rPr>
        <w:t>’</w:t>
      </w:r>
      <w:r w:rsidRPr="005361F4">
        <w:rPr>
          <w:lang w:val="fr-FR"/>
        </w:rPr>
        <w:t xml:space="preserve">il ne </w:t>
      </w:r>
      <w:r>
        <w:rPr>
          <w:lang w:val="fr-FR"/>
        </w:rPr>
        <w:t>parvienne</w:t>
      </w:r>
      <w:r w:rsidRPr="005361F4">
        <w:rPr>
          <w:lang w:val="fr-FR"/>
        </w:rPr>
        <w:t xml:space="preserve"> à s</w:t>
      </w:r>
      <w:r>
        <w:rPr>
          <w:lang w:val="fr-FR"/>
        </w:rPr>
        <w:t>’</w:t>
      </w:r>
      <w:r w:rsidRPr="005361F4">
        <w:rPr>
          <w:lang w:val="fr-FR"/>
        </w:rPr>
        <w:t>échapper. Il se trouvait dans un taxi en compagnie de quatre autres personnes quand, à un poste de contrôle, ils ont été forcés de prendre la direction des montagnes. Pendant sa détention, l</w:t>
      </w:r>
      <w:r>
        <w:rPr>
          <w:lang w:val="fr-FR"/>
        </w:rPr>
        <w:t>’</w:t>
      </w:r>
      <w:r w:rsidRPr="005361F4">
        <w:rPr>
          <w:lang w:val="fr-FR"/>
        </w:rPr>
        <w:t>auteur n</w:t>
      </w:r>
      <w:r>
        <w:rPr>
          <w:lang w:val="fr-FR"/>
        </w:rPr>
        <w:t>’</w:t>
      </w:r>
      <w:r w:rsidRPr="005361F4">
        <w:rPr>
          <w:lang w:val="fr-FR"/>
        </w:rPr>
        <w:t>a pas révélé sa véritable identité. Il avait réussi à cacher sa carte nationale d</w:t>
      </w:r>
      <w:r>
        <w:rPr>
          <w:lang w:val="fr-FR"/>
        </w:rPr>
        <w:t>’</w:t>
      </w:r>
      <w:r w:rsidRPr="005361F4">
        <w:rPr>
          <w:lang w:val="fr-FR"/>
        </w:rPr>
        <w:t>identité dans le taxi lorsqu</w:t>
      </w:r>
      <w:r>
        <w:rPr>
          <w:lang w:val="fr-FR"/>
        </w:rPr>
        <w:t>’</w:t>
      </w:r>
      <w:r w:rsidRPr="005361F4">
        <w:rPr>
          <w:lang w:val="fr-FR"/>
        </w:rPr>
        <w:t>ils avaient été arrêtés, et il n</w:t>
      </w:r>
      <w:r>
        <w:rPr>
          <w:lang w:val="fr-FR"/>
        </w:rPr>
        <w:t>’</w:t>
      </w:r>
      <w:r w:rsidRPr="005361F4">
        <w:rPr>
          <w:lang w:val="fr-FR"/>
        </w:rPr>
        <w:t>a pas été reconnu par les Taliban parce qu</w:t>
      </w:r>
      <w:r>
        <w:rPr>
          <w:lang w:val="fr-FR"/>
        </w:rPr>
        <w:t>’</w:t>
      </w:r>
      <w:r w:rsidRPr="005361F4">
        <w:rPr>
          <w:lang w:val="fr-FR"/>
        </w:rPr>
        <w:t>ils appartenaient à une faction d</w:t>
      </w:r>
      <w:r>
        <w:rPr>
          <w:lang w:val="fr-FR"/>
        </w:rPr>
        <w:t>’</w:t>
      </w:r>
      <w:r w:rsidRPr="005361F4">
        <w:rPr>
          <w:lang w:val="fr-FR"/>
        </w:rPr>
        <w:t xml:space="preserve">un district différent de celui dont </w:t>
      </w:r>
      <w:r>
        <w:rPr>
          <w:lang w:val="fr-FR"/>
        </w:rPr>
        <w:t>il</w:t>
      </w:r>
      <w:r w:rsidRPr="005361F4">
        <w:rPr>
          <w:lang w:val="fr-FR"/>
        </w:rPr>
        <w:t xml:space="preserve"> était originaire. Pendant une attaque aérienne, l</w:t>
      </w:r>
      <w:r>
        <w:rPr>
          <w:lang w:val="fr-FR"/>
        </w:rPr>
        <w:t>’</w:t>
      </w:r>
      <w:r w:rsidRPr="005361F4">
        <w:rPr>
          <w:lang w:val="fr-FR"/>
        </w:rPr>
        <w:t>auteur a réussi à s</w:t>
      </w:r>
      <w:r>
        <w:rPr>
          <w:lang w:val="fr-FR"/>
        </w:rPr>
        <w:t>’enfuir</w:t>
      </w:r>
      <w:r w:rsidRPr="005361F4">
        <w:rPr>
          <w:lang w:val="fr-FR"/>
        </w:rPr>
        <w:t>. Il a ensuite séjourné chez son oncle pendant trois ou quatre jours avant de quitter le pays pour le Pakistan. Après son départ, l</w:t>
      </w:r>
      <w:r>
        <w:rPr>
          <w:lang w:val="fr-FR"/>
        </w:rPr>
        <w:t>’</w:t>
      </w:r>
      <w:r w:rsidRPr="005361F4">
        <w:rPr>
          <w:lang w:val="fr-FR"/>
        </w:rPr>
        <w:t>auteur a appris que sa famille avait reçu des Taliban une autre lettre de menaces qui lui était adressée. Son père l</w:t>
      </w:r>
      <w:r>
        <w:rPr>
          <w:lang w:val="fr-FR"/>
        </w:rPr>
        <w:t>’</w:t>
      </w:r>
      <w:r w:rsidRPr="005361F4">
        <w:rPr>
          <w:lang w:val="fr-FR"/>
        </w:rPr>
        <w:t>a informé que ses collègues de l</w:t>
      </w:r>
      <w:r>
        <w:rPr>
          <w:lang w:val="fr-FR"/>
        </w:rPr>
        <w:t>’</w:t>
      </w:r>
      <w:r w:rsidRPr="005361F4">
        <w:rPr>
          <w:lang w:val="fr-FR"/>
        </w:rPr>
        <w:t>armée avaient perquisitionné son domicile et qu</w:t>
      </w:r>
      <w:r>
        <w:rPr>
          <w:lang w:val="fr-FR"/>
        </w:rPr>
        <w:t>’</w:t>
      </w:r>
      <w:r w:rsidRPr="005361F4">
        <w:rPr>
          <w:lang w:val="fr-FR"/>
        </w:rPr>
        <w:t>en raison de sa longue absence</w:t>
      </w:r>
      <w:r>
        <w:rPr>
          <w:lang w:val="fr-FR"/>
        </w:rPr>
        <w:t>,</w:t>
      </w:r>
      <w:r w:rsidRPr="005361F4">
        <w:rPr>
          <w:lang w:val="fr-FR"/>
        </w:rPr>
        <w:t xml:space="preserve"> il était soupçonné de collabor</w:t>
      </w:r>
      <w:r>
        <w:rPr>
          <w:lang w:val="fr-FR"/>
        </w:rPr>
        <w:t>er</w:t>
      </w:r>
      <w:r w:rsidRPr="005361F4">
        <w:rPr>
          <w:lang w:val="fr-FR"/>
        </w:rPr>
        <w:t xml:space="preserve"> avec les Taliban.</w:t>
      </w:r>
    </w:p>
    <w:p w:rsidR="00457C99" w:rsidRPr="005361F4" w:rsidRDefault="00457C99" w:rsidP="00ED435F">
      <w:pPr>
        <w:pStyle w:val="SingleTxtG"/>
        <w:rPr>
          <w:lang w:val="fr-FR"/>
        </w:rPr>
      </w:pPr>
      <w:r w:rsidRPr="005361F4">
        <w:rPr>
          <w:lang w:val="fr-FR"/>
        </w:rPr>
        <w:t>2.3</w:t>
      </w:r>
      <w:r w:rsidRPr="005361F4">
        <w:rPr>
          <w:lang w:val="fr-FR"/>
        </w:rPr>
        <w:tab/>
        <w:t>L</w:t>
      </w:r>
      <w:r>
        <w:rPr>
          <w:lang w:val="fr-FR"/>
        </w:rPr>
        <w:t>’</w:t>
      </w:r>
      <w:r w:rsidRPr="005361F4">
        <w:rPr>
          <w:lang w:val="fr-FR"/>
        </w:rPr>
        <w:t>auteur est entré au Danemark le 8 décembre 2013 sans document de voyage valide</w:t>
      </w:r>
      <w:r>
        <w:rPr>
          <w:lang w:val="fr-FR"/>
        </w:rPr>
        <w:t xml:space="preserve"> </w:t>
      </w:r>
      <w:r w:rsidRPr="005361F4">
        <w:rPr>
          <w:lang w:val="fr-FR"/>
        </w:rPr>
        <w:t>et y a demandé l</w:t>
      </w:r>
      <w:r>
        <w:rPr>
          <w:lang w:val="fr-FR"/>
        </w:rPr>
        <w:t>’</w:t>
      </w:r>
      <w:r w:rsidRPr="005361F4">
        <w:rPr>
          <w:lang w:val="fr-FR"/>
        </w:rPr>
        <w:t>asile le même jour. Sa sœur, le mari de celle-ci et leurs enfants sont résidents au Danemark. Les autres membres de la famille proche de l</w:t>
      </w:r>
      <w:r>
        <w:rPr>
          <w:lang w:val="fr-FR"/>
        </w:rPr>
        <w:t>’</w:t>
      </w:r>
      <w:r w:rsidRPr="005361F4">
        <w:rPr>
          <w:lang w:val="fr-FR"/>
        </w:rPr>
        <w:t>auteur, notamment sa femme et ses six enfants, résident en Afghanistan.</w:t>
      </w:r>
    </w:p>
    <w:p w:rsidR="00457C99" w:rsidRPr="005361F4" w:rsidRDefault="00457C99" w:rsidP="00ED435F">
      <w:pPr>
        <w:pStyle w:val="SingleTxtG"/>
        <w:keepLines/>
        <w:rPr>
          <w:lang w:val="fr-FR"/>
        </w:rPr>
      </w:pPr>
      <w:r w:rsidRPr="005361F4">
        <w:rPr>
          <w:lang w:val="fr-FR"/>
        </w:rPr>
        <w:lastRenderedPageBreak/>
        <w:t>2.4</w:t>
      </w:r>
      <w:r w:rsidRPr="005361F4">
        <w:rPr>
          <w:lang w:val="fr-FR"/>
        </w:rPr>
        <w:tab/>
        <w:t>Le 26 mars 2014, le Service danois de l</w:t>
      </w:r>
      <w:r>
        <w:rPr>
          <w:lang w:val="fr-FR"/>
        </w:rPr>
        <w:t>’</w:t>
      </w:r>
      <w:r w:rsidRPr="005361F4">
        <w:rPr>
          <w:lang w:val="fr-FR"/>
        </w:rPr>
        <w:t>immigration a rejeté la demande d</w:t>
      </w:r>
      <w:r>
        <w:rPr>
          <w:lang w:val="fr-FR"/>
        </w:rPr>
        <w:t>’</w:t>
      </w:r>
      <w:r w:rsidRPr="005361F4">
        <w:rPr>
          <w:lang w:val="fr-FR"/>
        </w:rPr>
        <w:t>asile de l</w:t>
      </w:r>
      <w:r>
        <w:rPr>
          <w:lang w:val="fr-FR"/>
        </w:rPr>
        <w:t>’</w:t>
      </w:r>
      <w:r w:rsidRPr="005361F4">
        <w:rPr>
          <w:lang w:val="fr-FR"/>
        </w:rPr>
        <w:t>auteur. Le 10 juillet 2014, la Commission de recours des réfugiés a renvoyé l</w:t>
      </w:r>
      <w:r>
        <w:rPr>
          <w:lang w:val="fr-FR"/>
        </w:rPr>
        <w:t>’</w:t>
      </w:r>
      <w:r w:rsidRPr="005361F4">
        <w:rPr>
          <w:lang w:val="fr-FR"/>
        </w:rPr>
        <w:t>affaire pour réexamen au Service danois de l</w:t>
      </w:r>
      <w:r>
        <w:rPr>
          <w:lang w:val="fr-FR"/>
        </w:rPr>
        <w:t>’</w:t>
      </w:r>
      <w:r w:rsidRPr="005361F4">
        <w:rPr>
          <w:lang w:val="fr-FR"/>
        </w:rPr>
        <w:t>immigration à la demande de celui-ci. Le 27 novembre 2014, le Service danois de l</w:t>
      </w:r>
      <w:r>
        <w:rPr>
          <w:lang w:val="fr-FR"/>
        </w:rPr>
        <w:t>’</w:t>
      </w:r>
      <w:r w:rsidRPr="005361F4">
        <w:rPr>
          <w:lang w:val="fr-FR"/>
        </w:rPr>
        <w:t>immigration a une nouvelle fois refusé l</w:t>
      </w:r>
      <w:r>
        <w:rPr>
          <w:lang w:val="fr-FR"/>
        </w:rPr>
        <w:t>’</w:t>
      </w:r>
      <w:r w:rsidRPr="005361F4">
        <w:rPr>
          <w:lang w:val="fr-FR"/>
        </w:rPr>
        <w:t>asile à l</w:t>
      </w:r>
      <w:r>
        <w:rPr>
          <w:lang w:val="fr-FR"/>
        </w:rPr>
        <w:t>’</w:t>
      </w:r>
      <w:r w:rsidRPr="005361F4">
        <w:rPr>
          <w:lang w:val="fr-FR"/>
        </w:rPr>
        <w:t>auteur. Le</w:t>
      </w:r>
      <w:r w:rsidR="00ED435F">
        <w:rPr>
          <w:lang w:val="fr-FR"/>
        </w:rPr>
        <w:t> </w:t>
      </w:r>
      <w:r w:rsidRPr="005361F4">
        <w:rPr>
          <w:lang w:val="fr-FR"/>
        </w:rPr>
        <w:t>9 mars 2015, la Commission de recours des réfugiés a confirmé, à la majorité, le rejet de la demande d</w:t>
      </w:r>
      <w:r>
        <w:rPr>
          <w:lang w:val="fr-FR"/>
        </w:rPr>
        <w:t>’</w:t>
      </w:r>
      <w:r w:rsidRPr="005361F4">
        <w:rPr>
          <w:lang w:val="fr-FR"/>
        </w:rPr>
        <w:t>asile de l</w:t>
      </w:r>
      <w:r>
        <w:rPr>
          <w:lang w:val="fr-FR"/>
        </w:rPr>
        <w:t>’</w:t>
      </w:r>
      <w:r w:rsidRPr="005361F4">
        <w:rPr>
          <w:lang w:val="fr-FR"/>
        </w:rPr>
        <w:t>auteur. La Commission de recours des réfugiés a considéré comme établi que l</w:t>
      </w:r>
      <w:r>
        <w:rPr>
          <w:lang w:val="fr-FR"/>
        </w:rPr>
        <w:t>’</w:t>
      </w:r>
      <w:r w:rsidRPr="005361F4">
        <w:rPr>
          <w:lang w:val="fr-FR"/>
        </w:rPr>
        <w:t>auteur avait travaillé comme infirmier chef à la Direction nationale de la sécurité, mais la majorité de ses membres a fait observer que, alors qu</w:t>
      </w:r>
      <w:r>
        <w:rPr>
          <w:lang w:val="fr-FR"/>
        </w:rPr>
        <w:t>’</w:t>
      </w:r>
      <w:r w:rsidRPr="005361F4">
        <w:rPr>
          <w:lang w:val="fr-FR"/>
        </w:rPr>
        <w:t>il avait été en mesure d</w:t>
      </w:r>
      <w:r>
        <w:rPr>
          <w:lang w:val="fr-FR"/>
        </w:rPr>
        <w:t>’</w:t>
      </w:r>
      <w:r w:rsidRPr="005361F4">
        <w:rPr>
          <w:lang w:val="fr-FR"/>
        </w:rPr>
        <w:t>expliquer en détail et de documenter son emploi à la Direction nationale de la sécurité, il n</w:t>
      </w:r>
      <w:r>
        <w:rPr>
          <w:lang w:val="fr-FR"/>
        </w:rPr>
        <w:t>’</w:t>
      </w:r>
      <w:r w:rsidRPr="005361F4">
        <w:rPr>
          <w:lang w:val="fr-FR"/>
        </w:rPr>
        <w:t>avait donné aucune information précise au sujet de sa détention par les Taliban bien que celle-ci ait duré trois ou quatre mois</w:t>
      </w:r>
      <w:r w:rsidRPr="000060F8">
        <w:rPr>
          <w:rStyle w:val="Appelnotedebasdep"/>
        </w:rPr>
        <w:footnoteReference w:id="8"/>
      </w:r>
      <w:r w:rsidRPr="005361F4">
        <w:rPr>
          <w:lang w:val="fr-FR"/>
        </w:rPr>
        <w:t>. Par conséquent, la Commission de recours des réfugiés n</w:t>
      </w:r>
      <w:r>
        <w:rPr>
          <w:lang w:val="fr-FR"/>
        </w:rPr>
        <w:t>’</w:t>
      </w:r>
      <w:r w:rsidRPr="005361F4">
        <w:rPr>
          <w:lang w:val="fr-FR"/>
        </w:rPr>
        <w:t xml:space="preserve">a pu considérer comme </w:t>
      </w:r>
      <w:r>
        <w:rPr>
          <w:lang w:val="fr-FR"/>
        </w:rPr>
        <w:t>crédible une grande partie de la relation des</w:t>
      </w:r>
      <w:r w:rsidRPr="005361F4">
        <w:rPr>
          <w:lang w:val="fr-FR"/>
        </w:rPr>
        <w:t xml:space="preserve"> faits </w:t>
      </w:r>
      <w:r>
        <w:rPr>
          <w:lang w:val="fr-FR"/>
        </w:rPr>
        <w:t>donnée</w:t>
      </w:r>
      <w:r w:rsidRPr="005361F4">
        <w:rPr>
          <w:lang w:val="fr-FR"/>
        </w:rPr>
        <w:t xml:space="preserve"> par l</w:t>
      </w:r>
      <w:r>
        <w:rPr>
          <w:lang w:val="fr-FR"/>
        </w:rPr>
        <w:t>’</w:t>
      </w:r>
      <w:r w:rsidRPr="005361F4">
        <w:rPr>
          <w:lang w:val="fr-FR"/>
        </w:rPr>
        <w:t xml:space="preserve">auteur, parce que les déclarations </w:t>
      </w:r>
      <w:r>
        <w:rPr>
          <w:lang w:val="fr-FR"/>
        </w:rPr>
        <w:t>de celui-ci quant à</w:t>
      </w:r>
      <w:r w:rsidRPr="005361F4">
        <w:rPr>
          <w:lang w:val="fr-FR"/>
        </w:rPr>
        <w:t xml:space="preserve"> son conflit avec les Taliban et la façon dont </w:t>
      </w:r>
      <w:r>
        <w:rPr>
          <w:lang w:val="fr-FR"/>
        </w:rPr>
        <w:t>ils</w:t>
      </w:r>
      <w:r w:rsidRPr="005361F4">
        <w:rPr>
          <w:lang w:val="fr-FR"/>
        </w:rPr>
        <w:t xml:space="preserve"> auraient tenté d</w:t>
      </w:r>
      <w:r>
        <w:rPr>
          <w:lang w:val="fr-FR"/>
        </w:rPr>
        <w:t>’</w:t>
      </w:r>
      <w:r w:rsidRPr="005361F4">
        <w:rPr>
          <w:lang w:val="fr-FR"/>
        </w:rPr>
        <w:t>établir son identité étaient vagues et peu vraisemblables sur plusieurs points.</w:t>
      </w:r>
    </w:p>
    <w:p w:rsidR="00457C99" w:rsidRPr="005361F4" w:rsidRDefault="00457C99" w:rsidP="00457C99">
      <w:pPr>
        <w:pStyle w:val="SingleTxtG"/>
        <w:rPr>
          <w:lang w:val="fr-FR"/>
        </w:rPr>
      </w:pPr>
      <w:r w:rsidRPr="005361F4">
        <w:rPr>
          <w:lang w:val="fr-FR"/>
        </w:rPr>
        <w:t>2.5</w:t>
      </w:r>
      <w:r w:rsidRPr="005361F4">
        <w:rPr>
          <w:lang w:val="fr-FR"/>
        </w:rPr>
        <w:tab/>
        <w:t>Les décisions définitives de la Commission de recours des réfugiés n</w:t>
      </w:r>
      <w:r>
        <w:rPr>
          <w:lang w:val="fr-FR"/>
        </w:rPr>
        <w:t>’</w:t>
      </w:r>
      <w:r w:rsidRPr="005361F4">
        <w:rPr>
          <w:lang w:val="fr-FR"/>
        </w:rPr>
        <w:t>étant pas susceptibles d</w:t>
      </w:r>
      <w:r>
        <w:rPr>
          <w:lang w:val="fr-FR"/>
        </w:rPr>
        <w:t>’</w:t>
      </w:r>
      <w:r w:rsidRPr="005361F4">
        <w:rPr>
          <w:lang w:val="fr-FR"/>
        </w:rPr>
        <w:t>appel devant les tribunaux danois, l</w:t>
      </w:r>
      <w:r>
        <w:rPr>
          <w:lang w:val="fr-FR"/>
        </w:rPr>
        <w:t>’</w:t>
      </w:r>
      <w:r w:rsidRPr="005361F4">
        <w:rPr>
          <w:lang w:val="fr-FR"/>
        </w:rPr>
        <w:t>auteur dit qu</w:t>
      </w:r>
      <w:r>
        <w:rPr>
          <w:lang w:val="fr-FR"/>
        </w:rPr>
        <w:t>’</w:t>
      </w:r>
      <w:r w:rsidRPr="005361F4">
        <w:rPr>
          <w:lang w:val="fr-FR"/>
        </w:rPr>
        <w:t>il a épuisé tous les recours internes utiles dont il disposait. La présente communication n</w:t>
      </w:r>
      <w:r>
        <w:rPr>
          <w:lang w:val="fr-FR"/>
        </w:rPr>
        <w:t>’</w:t>
      </w:r>
      <w:r w:rsidRPr="005361F4">
        <w:rPr>
          <w:lang w:val="fr-FR"/>
        </w:rPr>
        <w:t>a pas été examinée et n</w:t>
      </w:r>
      <w:r>
        <w:rPr>
          <w:lang w:val="fr-FR"/>
        </w:rPr>
        <w:t>’</w:t>
      </w:r>
      <w:r w:rsidRPr="005361F4">
        <w:rPr>
          <w:lang w:val="fr-FR"/>
        </w:rPr>
        <w:t>est pas en cours d</w:t>
      </w:r>
      <w:r>
        <w:rPr>
          <w:lang w:val="fr-FR"/>
        </w:rPr>
        <w:t>’</w:t>
      </w:r>
      <w:r w:rsidRPr="005361F4">
        <w:rPr>
          <w:lang w:val="fr-FR"/>
        </w:rPr>
        <w:t>examen devant une autre instance internationale d</w:t>
      </w:r>
      <w:r>
        <w:rPr>
          <w:lang w:val="fr-FR"/>
        </w:rPr>
        <w:t>’</w:t>
      </w:r>
      <w:r w:rsidRPr="005361F4">
        <w:rPr>
          <w:lang w:val="fr-FR"/>
        </w:rPr>
        <w:t>enquête ou de règlement.</w:t>
      </w:r>
    </w:p>
    <w:p w:rsidR="00457C99" w:rsidRPr="005361F4" w:rsidRDefault="00457C99" w:rsidP="00457C99">
      <w:pPr>
        <w:pStyle w:val="SingleTxtG"/>
        <w:rPr>
          <w:lang w:val="fr-FR"/>
        </w:rPr>
      </w:pPr>
      <w:r w:rsidRPr="005361F4">
        <w:rPr>
          <w:lang w:val="fr-FR"/>
        </w:rPr>
        <w:t>2.6</w:t>
      </w:r>
      <w:r w:rsidRPr="005361F4">
        <w:rPr>
          <w:lang w:val="fr-FR"/>
        </w:rPr>
        <w:tab/>
        <w:t>Le 26 octobre 2015, la Commission de recours des réfugiés a décidé de rouvrir le dossier pour réexamen par une nouvelle formation dans le cadre d</w:t>
      </w:r>
      <w:r>
        <w:rPr>
          <w:lang w:val="fr-FR"/>
        </w:rPr>
        <w:t>’</w:t>
      </w:r>
      <w:r w:rsidRPr="005361F4">
        <w:rPr>
          <w:lang w:val="fr-FR"/>
        </w:rPr>
        <w:t>une audience orale. Le</w:t>
      </w:r>
      <w:r w:rsidR="00ED435F">
        <w:rPr>
          <w:lang w:val="fr-FR"/>
        </w:rPr>
        <w:t> </w:t>
      </w:r>
      <w:r w:rsidRPr="005361F4">
        <w:rPr>
          <w:lang w:val="fr-FR"/>
        </w:rPr>
        <w:t>18 avril 2016, elle a, par une décision unanime, de nouveau rejeté la demande d</w:t>
      </w:r>
      <w:r>
        <w:rPr>
          <w:lang w:val="fr-FR"/>
        </w:rPr>
        <w:t>’</w:t>
      </w:r>
      <w:r w:rsidRPr="005361F4">
        <w:rPr>
          <w:lang w:val="fr-FR"/>
        </w:rPr>
        <w:t>asile de l</w:t>
      </w:r>
      <w:r>
        <w:rPr>
          <w:lang w:val="fr-FR"/>
        </w:rPr>
        <w:t>’</w:t>
      </w:r>
      <w:r w:rsidRPr="005361F4">
        <w:rPr>
          <w:lang w:val="fr-FR"/>
        </w:rPr>
        <w:t>auteur.</w:t>
      </w:r>
    </w:p>
    <w:p w:rsidR="00457C99" w:rsidRPr="005361F4" w:rsidRDefault="00457C99" w:rsidP="00ED435F">
      <w:pPr>
        <w:pStyle w:val="H23G"/>
        <w:rPr>
          <w:lang w:val="fr-FR"/>
        </w:rPr>
      </w:pPr>
      <w:r w:rsidRPr="005361F4">
        <w:rPr>
          <w:lang w:val="fr-FR"/>
        </w:rPr>
        <w:tab/>
      </w:r>
      <w:r w:rsidRPr="005361F4">
        <w:rPr>
          <w:lang w:val="fr-FR"/>
        </w:rPr>
        <w:tab/>
        <w:t>Teneur de la plainte</w:t>
      </w:r>
    </w:p>
    <w:p w:rsidR="00457C99" w:rsidRPr="005361F4" w:rsidRDefault="00457C99" w:rsidP="00457C99">
      <w:pPr>
        <w:pStyle w:val="SingleTxtG"/>
        <w:rPr>
          <w:lang w:val="fr-FR"/>
        </w:rPr>
      </w:pPr>
      <w:r w:rsidRPr="005361F4">
        <w:rPr>
          <w:lang w:val="fr-FR"/>
        </w:rPr>
        <w:t>3.1</w:t>
      </w:r>
      <w:r w:rsidRPr="005361F4">
        <w:rPr>
          <w:lang w:val="fr-FR"/>
        </w:rPr>
        <w:tab/>
        <w:t>L</w:t>
      </w:r>
      <w:r>
        <w:rPr>
          <w:lang w:val="fr-FR"/>
        </w:rPr>
        <w:t>’</w:t>
      </w:r>
      <w:r w:rsidRPr="005361F4">
        <w:rPr>
          <w:lang w:val="fr-FR"/>
        </w:rPr>
        <w:t>auteur affirme qu</w:t>
      </w:r>
      <w:r>
        <w:rPr>
          <w:lang w:val="fr-FR"/>
        </w:rPr>
        <w:t>’</w:t>
      </w:r>
      <w:r w:rsidRPr="005361F4">
        <w:rPr>
          <w:lang w:val="fr-FR"/>
        </w:rPr>
        <w:t>il y a des motifs sérieux de croire qu</w:t>
      </w:r>
      <w:r>
        <w:rPr>
          <w:lang w:val="fr-FR"/>
        </w:rPr>
        <w:t>’</w:t>
      </w:r>
      <w:r w:rsidRPr="005361F4">
        <w:rPr>
          <w:lang w:val="fr-FR"/>
        </w:rPr>
        <w:t>il risquerait d</w:t>
      </w:r>
      <w:r>
        <w:rPr>
          <w:lang w:val="fr-FR"/>
        </w:rPr>
        <w:t>’</w:t>
      </w:r>
      <w:r w:rsidRPr="005361F4">
        <w:rPr>
          <w:lang w:val="fr-FR"/>
        </w:rPr>
        <w:t>être soumis à la torture ou à des peines ou traitements cruels, inhumains ou dégradants à son retour en Afghanistan parce qu</w:t>
      </w:r>
      <w:r>
        <w:rPr>
          <w:lang w:val="fr-FR"/>
        </w:rPr>
        <w:t>’</w:t>
      </w:r>
      <w:r w:rsidRPr="005361F4">
        <w:rPr>
          <w:lang w:val="fr-FR"/>
        </w:rPr>
        <w:t>il a travaillé pour le service de renseignement afghan et les forces des États-Unis pendant cinq ans.</w:t>
      </w:r>
    </w:p>
    <w:p w:rsidR="00457C99" w:rsidRPr="005361F4" w:rsidRDefault="00457C99" w:rsidP="00905672">
      <w:pPr>
        <w:pStyle w:val="SingleTxtG"/>
        <w:rPr>
          <w:lang w:val="fr-FR"/>
        </w:rPr>
      </w:pPr>
      <w:r w:rsidRPr="005361F4">
        <w:rPr>
          <w:lang w:val="fr-FR"/>
        </w:rPr>
        <w:t>3.2</w:t>
      </w:r>
      <w:r w:rsidRPr="005361F4">
        <w:rPr>
          <w:lang w:val="fr-FR"/>
        </w:rPr>
        <w:tab/>
        <w:t>L</w:t>
      </w:r>
      <w:r>
        <w:rPr>
          <w:lang w:val="fr-FR"/>
        </w:rPr>
        <w:t>’</w:t>
      </w:r>
      <w:r w:rsidRPr="005361F4">
        <w:rPr>
          <w:lang w:val="fr-FR"/>
        </w:rPr>
        <w:t>auteur craint également les autorités afghanes parce qu</w:t>
      </w:r>
      <w:r>
        <w:rPr>
          <w:lang w:val="fr-FR"/>
        </w:rPr>
        <w:t>’</w:t>
      </w:r>
      <w:r w:rsidRPr="005361F4">
        <w:rPr>
          <w:lang w:val="fr-FR"/>
        </w:rPr>
        <w:t>il a été soupçonné à tort de soutenir les Taliban. Il affirme que cette accusation est extrêmement difficile à réfuter</w:t>
      </w:r>
      <w:r>
        <w:rPr>
          <w:lang w:val="fr-FR"/>
        </w:rPr>
        <w:t xml:space="preserve"> parce qu’</w:t>
      </w:r>
      <w:r w:rsidRPr="005361F4">
        <w:rPr>
          <w:lang w:val="fr-FR"/>
        </w:rPr>
        <w:t>il y a eu plusieurs exemples de soldats ayant changé de camp</w:t>
      </w:r>
      <w:r>
        <w:rPr>
          <w:lang w:val="fr-FR"/>
        </w:rPr>
        <w:t>,</w:t>
      </w:r>
      <w:r w:rsidRPr="005361F4">
        <w:rPr>
          <w:lang w:val="fr-FR"/>
        </w:rPr>
        <w:t xml:space="preserve"> et il est convaincu que la Direction nationale de la sécurité préférera se tromper par excès de prudence plutôt que de risquer </w:t>
      </w:r>
      <w:r>
        <w:rPr>
          <w:lang w:val="fr-FR"/>
        </w:rPr>
        <w:t>qu’</w:t>
      </w:r>
      <w:r w:rsidRPr="005361F4">
        <w:rPr>
          <w:lang w:val="fr-FR"/>
        </w:rPr>
        <w:t>un Taliban</w:t>
      </w:r>
      <w:r>
        <w:rPr>
          <w:lang w:val="fr-FR"/>
        </w:rPr>
        <w:t xml:space="preserve"> s’infiltre dans ses rangs</w:t>
      </w:r>
      <w:r w:rsidRPr="005361F4">
        <w:rPr>
          <w:lang w:val="fr-FR"/>
        </w:rPr>
        <w:t>. Il donne des informations générales au sujet des menaces qui pèsent sur des personnes travaillant avec des militaires étrangers ou avec les forces de sécurité afghanes, ainsi que sur celles soupçonnées de soutenir des « éléments opposés au Gouvernement »</w:t>
      </w:r>
      <w:r w:rsidRPr="000060F8">
        <w:rPr>
          <w:rStyle w:val="Appelnotedebasdep"/>
        </w:rPr>
        <w:footnoteReference w:id="9"/>
      </w:r>
      <w:r w:rsidRPr="005361F4">
        <w:rPr>
          <w:lang w:val="fr-FR"/>
        </w:rPr>
        <w:t>.</w:t>
      </w:r>
    </w:p>
    <w:p w:rsidR="00457C99" w:rsidRPr="005361F4" w:rsidRDefault="00457C99" w:rsidP="00905672">
      <w:pPr>
        <w:pStyle w:val="SingleTxtG"/>
        <w:rPr>
          <w:lang w:val="fr-FR"/>
        </w:rPr>
      </w:pPr>
      <w:r w:rsidRPr="005361F4">
        <w:rPr>
          <w:lang w:val="fr-FR"/>
        </w:rPr>
        <w:t>3.3</w:t>
      </w:r>
      <w:r w:rsidRPr="005361F4">
        <w:rPr>
          <w:lang w:val="fr-FR"/>
        </w:rPr>
        <w:tab/>
        <w:t>En ce qui concerne l</w:t>
      </w:r>
      <w:r>
        <w:rPr>
          <w:lang w:val="fr-FR"/>
        </w:rPr>
        <w:t>’</w:t>
      </w:r>
      <w:r w:rsidRPr="005361F4">
        <w:rPr>
          <w:lang w:val="fr-FR"/>
        </w:rPr>
        <w:t xml:space="preserve">appréciation de ses déclarations dans la procédure interne, il </w:t>
      </w:r>
      <w:r>
        <w:rPr>
          <w:lang w:val="fr-FR"/>
        </w:rPr>
        <w:t xml:space="preserve">souligne </w:t>
      </w:r>
      <w:r w:rsidRPr="005361F4">
        <w:rPr>
          <w:lang w:val="fr-FR"/>
        </w:rPr>
        <w:t>que la Commission de recours des réfugiés a rendu sa décision du 9 mars 2015 à la majorité et non à l</w:t>
      </w:r>
      <w:r>
        <w:rPr>
          <w:lang w:val="fr-FR"/>
        </w:rPr>
        <w:t>’</w:t>
      </w:r>
      <w:r w:rsidRPr="005361F4">
        <w:rPr>
          <w:lang w:val="fr-FR"/>
        </w:rPr>
        <w:t>unanimité. Bien que la Commission ait admis qu</w:t>
      </w:r>
      <w:r>
        <w:rPr>
          <w:lang w:val="fr-FR"/>
        </w:rPr>
        <w:t>’</w:t>
      </w:r>
      <w:r w:rsidRPr="005361F4">
        <w:rPr>
          <w:lang w:val="fr-FR"/>
        </w:rPr>
        <w:t xml:space="preserve">il avait travaillé pendant cinq ans pour la Direction nationale de la sécurité et les forces des États-Unis, elle a jugé que ses déclarations concernant sa détention par les Taliban </w:t>
      </w:r>
      <w:r>
        <w:rPr>
          <w:lang w:val="fr-FR"/>
        </w:rPr>
        <w:t>nuisaient à</w:t>
      </w:r>
      <w:r w:rsidRPr="005361F4">
        <w:rPr>
          <w:lang w:val="fr-FR"/>
        </w:rPr>
        <w:t xml:space="preserve"> sa crédibilité </w:t>
      </w:r>
      <w:r>
        <w:rPr>
          <w:lang w:val="fr-FR"/>
        </w:rPr>
        <w:t>générale</w:t>
      </w:r>
      <w:r w:rsidRPr="005361F4">
        <w:rPr>
          <w:lang w:val="fr-FR"/>
        </w:rPr>
        <w:t xml:space="preserve">, tout comme </w:t>
      </w:r>
      <w:r>
        <w:rPr>
          <w:lang w:val="fr-FR"/>
        </w:rPr>
        <w:t>celles</w:t>
      </w:r>
      <w:r w:rsidRPr="005361F4">
        <w:rPr>
          <w:lang w:val="fr-FR"/>
        </w:rPr>
        <w:t xml:space="preserve"> concernant les lettres de menaces qu</w:t>
      </w:r>
      <w:r>
        <w:rPr>
          <w:lang w:val="fr-FR"/>
        </w:rPr>
        <w:t>’</w:t>
      </w:r>
      <w:r w:rsidRPr="005361F4">
        <w:rPr>
          <w:lang w:val="fr-FR"/>
        </w:rPr>
        <w:t xml:space="preserve">il aurait reçues et les tirs </w:t>
      </w:r>
      <w:r w:rsidRPr="005361F4">
        <w:rPr>
          <w:lang w:val="fr-FR"/>
        </w:rPr>
        <w:lastRenderedPageBreak/>
        <w:t>qu</w:t>
      </w:r>
      <w:r>
        <w:rPr>
          <w:lang w:val="fr-FR"/>
        </w:rPr>
        <w:t>’</w:t>
      </w:r>
      <w:r w:rsidRPr="005361F4">
        <w:rPr>
          <w:lang w:val="fr-FR"/>
        </w:rPr>
        <w:t>il aurait essuyés. Sur ce point, la Commission a trouvé étrange que l</w:t>
      </w:r>
      <w:r>
        <w:rPr>
          <w:lang w:val="fr-FR"/>
        </w:rPr>
        <w:t>’</w:t>
      </w:r>
      <w:r w:rsidRPr="005361F4">
        <w:rPr>
          <w:lang w:val="fr-FR"/>
        </w:rPr>
        <w:t>auteur, qui a produit de nombreuses pièces concernant son emploi et son appartenance à la Direction nationale de la sécurité, n</w:t>
      </w:r>
      <w:r>
        <w:rPr>
          <w:lang w:val="fr-FR"/>
        </w:rPr>
        <w:t>’</w:t>
      </w:r>
      <w:r w:rsidRPr="005361F4">
        <w:rPr>
          <w:lang w:val="fr-FR"/>
        </w:rPr>
        <w:t>ait pas été en mesure de produire les lettres de menaces</w:t>
      </w:r>
      <w:r>
        <w:rPr>
          <w:lang w:val="fr-FR"/>
        </w:rPr>
        <w:t xml:space="preserve"> en question</w:t>
      </w:r>
      <w:r w:rsidRPr="005361F4">
        <w:rPr>
          <w:lang w:val="fr-FR"/>
        </w:rPr>
        <w:t xml:space="preserve">. Sur le fondement de son évaluation globale, la Commission a conclu à la majorité de ses membres que </w:t>
      </w:r>
      <w:bookmarkStart w:id="2" w:name="_Hlk8388325"/>
      <w:r w:rsidRPr="005361F4">
        <w:rPr>
          <w:lang w:val="fr-FR"/>
        </w:rPr>
        <w:t>l</w:t>
      </w:r>
      <w:r>
        <w:rPr>
          <w:lang w:val="fr-FR"/>
        </w:rPr>
        <w:t>’</w:t>
      </w:r>
      <w:r w:rsidRPr="005361F4">
        <w:rPr>
          <w:lang w:val="fr-FR"/>
        </w:rPr>
        <w:t>auteur n</w:t>
      </w:r>
      <w:r>
        <w:rPr>
          <w:lang w:val="fr-FR"/>
        </w:rPr>
        <w:t>’</w:t>
      </w:r>
      <w:r w:rsidRPr="005361F4">
        <w:rPr>
          <w:lang w:val="fr-FR"/>
        </w:rPr>
        <w:t xml:space="preserve">avait pas démontré de façon vraisemblable </w:t>
      </w:r>
      <w:bookmarkEnd w:id="2"/>
      <w:r w:rsidRPr="005361F4">
        <w:rPr>
          <w:lang w:val="fr-FR"/>
        </w:rPr>
        <w:t>qu</w:t>
      </w:r>
      <w:r>
        <w:rPr>
          <w:lang w:val="fr-FR"/>
        </w:rPr>
        <w:t>’</w:t>
      </w:r>
      <w:r w:rsidRPr="005361F4">
        <w:rPr>
          <w:lang w:val="fr-FR"/>
        </w:rPr>
        <w:t>il avait été identifié par les Taliban ou avait eu un conflit particulier avec ceux-ci. L</w:t>
      </w:r>
      <w:r>
        <w:rPr>
          <w:lang w:val="fr-FR"/>
        </w:rPr>
        <w:t>’</w:t>
      </w:r>
      <w:r w:rsidRPr="005361F4">
        <w:rPr>
          <w:lang w:val="fr-FR"/>
        </w:rPr>
        <w:t>auteur soutient à cet égard qu</w:t>
      </w:r>
      <w:r>
        <w:rPr>
          <w:lang w:val="fr-FR"/>
        </w:rPr>
        <w:t>’</w:t>
      </w:r>
      <w:r w:rsidRPr="005361F4">
        <w:rPr>
          <w:lang w:val="fr-FR"/>
        </w:rPr>
        <w:t>il a fait un récit détaillé et adéquat de sa détention et qu</w:t>
      </w:r>
      <w:r>
        <w:rPr>
          <w:lang w:val="fr-FR"/>
        </w:rPr>
        <w:t>’</w:t>
      </w:r>
      <w:r w:rsidRPr="005361F4">
        <w:rPr>
          <w:lang w:val="fr-FR"/>
        </w:rPr>
        <w:t>il a aussi répondu aux questions y relatives au mieux de ses capacités. Il ajoute qu</w:t>
      </w:r>
      <w:r>
        <w:rPr>
          <w:lang w:val="fr-FR"/>
        </w:rPr>
        <w:t>’</w:t>
      </w:r>
      <w:r w:rsidRPr="005361F4">
        <w:rPr>
          <w:lang w:val="fr-FR"/>
        </w:rPr>
        <w:t>il a été en mesure de produire de nombreuses preuves de ses cinq années au service de la Direction nationale de la sécurité parce que des preuves étaient disponibles, alors qu</w:t>
      </w:r>
      <w:r>
        <w:rPr>
          <w:lang w:val="fr-FR"/>
        </w:rPr>
        <w:t>’</w:t>
      </w:r>
      <w:r w:rsidRPr="005361F4">
        <w:rPr>
          <w:lang w:val="fr-FR"/>
        </w:rPr>
        <w:t>il n</w:t>
      </w:r>
      <w:r>
        <w:rPr>
          <w:lang w:val="fr-FR"/>
        </w:rPr>
        <w:t>’</w:t>
      </w:r>
      <w:r w:rsidRPr="005361F4">
        <w:rPr>
          <w:lang w:val="fr-FR"/>
        </w:rPr>
        <w:t>exist</w:t>
      </w:r>
      <w:r>
        <w:rPr>
          <w:lang w:val="fr-FR"/>
        </w:rPr>
        <w:t>ait</w:t>
      </w:r>
      <w:r w:rsidRPr="005361F4">
        <w:rPr>
          <w:lang w:val="fr-FR"/>
        </w:rPr>
        <w:t xml:space="preserve"> aucune preuve de ses quatre mois de détention. Selon l</w:t>
      </w:r>
      <w:r>
        <w:rPr>
          <w:lang w:val="fr-FR"/>
        </w:rPr>
        <w:t>’</w:t>
      </w:r>
      <w:r w:rsidRPr="005361F4">
        <w:rPr>
          <w:lang w:val="fr-FR"/>
        </w:rPr>
        <w:t>auteur, l</w:t>
      </w:r>
      <w:r>
        <w:rPr>
          <w:lang w:val="fr-FR"/>
        </w:rPr>
        <w:t>’</w:t>
      </w:r>
      <w:r w:rsidRPr="005361F4">
        <w:rPr>
          <w:lang w:val="fr-FR"/>
        </w:rPr>
        <w:t>argument de la Commission ne tient pas compte de la nature même de la détention et de l</w:t>
      </w:r>
      <w:r>
        <w:rPr>
          <w:lang w:val="fr-FR"/>
        </w:rPr>
        <w:t>’</w:t>
      </w:r>
      <w:r w:rsidRPr="005361F4">
        <w:rPr>
          <w:lang w:val="fr-FR"/>
        </w:rPr>
        <w:t xml:space="preserve">état physique et </w:t>
      </w:r>
      <w:r>
        <w:rPr>
          <w:lang w:val="fr-FR"/>
        </w:rPr>
        <w:t>mental</w:t>
      </w:r>
      <w:r w:rsidRPr="005361F4">
        <w:rPr>
          <w:lang w:val="fr-FR"/>
        </w:rPr>
        <w:t xml:space="preserve"> </w:t>
      </w:r>
      <w:r>
        <w:rPr>
          <w:lang w:val="fr-FR"/>
        </w:rPr>
        <w:t>dans lequel il était</w:t>
      </w:r>
      <w:r w:rsidRPr="005361F4">
        <w:rPr>
          <w:lang w:val="fr-FR"/>
        </w:rPr>
        <w:t xml:space="preserve"> </w:t>
      </w:r>
      <w:r>
        <w:rPr>
          <w:lang w:val="fr-FR"/>
        </w:rPr>
        <w:t>durant celle</w:t>
      </w:r>
      <w:r w:rsidR="00905672">
        <w:rPr>
          <w:lang w:val="fr-FR"/>
        </w:rPr>
        <w:noBreakHyphen/>
      </w:r>
      <w:r>
        <w:rPr>
          <w:lang w:val="fr-FR"/>
        </w:rPr>
        <w:t>ci</w:t>
      </w:r>
      <w:r w:rsidRPr="005361F4">
        <w:rPr>
          <w:lang w:val="fr-FR"/>
        </w:rPr>
        <w:t>. Quant au fait que la Commission ait trouvé étrange que l</w:t>
      </w:r>
      <w:r>
        <w:rPr>
          <w:lang w:val="fr-FR"/>
        </w:rPr>
        <w:t>’</w:t>
      </w:r>
      <w:r w:rsidRPr="005361F4">
        <w:rPr>
          <w:lang w:val="fr-FR"/>
        </w:rPr>
        <w:t>auteur n</w:t>
      </w:r>
      <w:r>
        <w:rPr>
          <w:lang w:val="fr-FR"/>
        </w:rPr>
        <w:t>’</w:t>
      </w:r>
      <w:r w:rsidRPr="005361F4">
        <w:rPr>
          <w:lang w:val="fr-FR"/>
        </w:rPr>
        <w:t>ait pas été en mesure de produire les deux lettres de menaces qu</w:t>
      </w:r>
      <w:r>
        <w:rPr>
          <w:lang w:val="fr-FR"/>
        </w:rPr>
        <w:t>’</w:t>
      </w:r>
      <w:r w:rsidRPr="005361F4">
        <w:rPr>
          <w:lang w:val="fr-FR"/>
        </w:rPr>
        <w:t>il avait reçues des Taliban, il fait valoir qu</w:t>
      </w:r>
      <w:r>
        <w:rPr>
          <w:lang w:val="fr-FR"/>
        </w:rPr>
        <w:t>’</w:t>
      </w:r>
      <w:r w:rsidRPr="005361F4">
        <w:rPr>
          <w:lang w:val="fr-FR"/>
        </w:rPr>
        <w:t>il n</w:t>
      </w:r>
      <w:r>
        <w:rPr>
          <w:lang w:val="fr-FR"/>
        </w:rPr>
        <w:t>’</w:t>
      </w:r>
      <w:r w:rsidRPr="005361F4">
        <w:rPr>
          <w:lang w:val="fr-FR"/>
        </w:rPr>
        <w:t>a pas conservé ces lettres parce qu</w:t>
      </w:r>
      <w:r>
        <w:rPr>
          <w:lang w:val="fr-FR"/>
        </w:rPr>
        <w:t>’</w:t>
      </w:r>
      <w:r w:rsidRPr="005361F4">
        <w:rPr>
          <w:lang w:val="fr-FR"/>
        </w:rPr>
        <w:t>il avait décidé de considérer que recevoir de telles lettres faisait partie de son métier et donc de les ignorer. Il ajoute que</w:t>
      </w:r>
      <w:r>
        <w:rPr>
          <w:lang w:val="fr-FR"/>
        </w:rPr>
        <w:t>,</w:t>
      </w:r>
      <w:r w:rsidRPr="005361F4">
        <w:rPr>
          <w:lang w:val="fr-FR"/>
        </w:rPr>
        <w:t xml:space="preserve"> d</w:t>
      </w:r>
      <w:r>
        <w:rPr>
          <w:lang w:val="fr-FR"/>
        </w:rPr>
        <w:t>’une</w:t>
      </w:r>
      <w:r w:rsidRPr="005361F4">
        <w:rPr>
          <w:lang w:val="fr-FR"/>
        </w:rPr>
        <w:t xml:space="preserve"> manière générale</w:t>
      </w:r>
      <w:r>
        <w:rPr>
          <w:lang w:val="fr-FR"/>
        </w:rPr>
        <w:t>,</w:t>
      </w:r>
      <w:r w:rsidRPr="005361F4">
        <w:rPr>
          <w:lang w:val="fr-FR"/>
        </w:rPr>
        <w:t xml:space="preserve"> la Commission de recours des réfugiés juge inadmissibles les documents venant d</w:t>
      </w:r>
      <w:r>
        <w:rPr>
          <w:lang w:val="fr-FR"/>
        </w:rPr>
        <w:t>’</w:t>
      </w:r>
      <w:r w:rsidRPr="005361F4">
        <w:rPr>
          <w:lang w:val="fr-FR"/>
        </w:rPr>
        <w:t xml:space="preserve">Afghanistan et </w:t>
      </w:r>
      <w:r>
        <w:rPr>
          <w:lang w:val="fr-FR"/>
        </w:rPr>
        <w:t>ne leur accorde</w:t>
      </w:r>
      <w:r w:rsidRPr="005361F4">
        <w:rPr>
          <w:lang w:val="fr-FR"/>
        </w:rPr>
        <w:t xml:space="preserve"> aucune importance, car il ressort d</w:t>
      </w:r>
      <w:r>
        <w:rPr>
          <w:lang w:val="fr-FR"/>
        </w:rPr>
        <w:t>’</w:t>
      </w:r>
      <w:r w:rsidRPr="005361F4">
        <w:rPr>
          <w:lang w:val="fr-FR"/>
        </w:rPr>
        <w:t>un mémorandum du Ministère danois des affaires étrangères qu</w:t>
      </w:r>
      <w:r>
        <w:rPr>
          <w:lang w:val="fr-FR"/>
        </w:rPr>
        <w:t>’</w:t>
      </w:r>
      <w:r w:rsidRPr="005361F4">
        <w:rPr>
          <w:lang w:val="fr-FR"/>
        </w:rPr>
        <w:t>il est extrêmement difficile de vérifier l</w:t>
      </w:r>
      <w:r>
        <w:rPr>
          <w:lang w:val="fr-FR"/>
        </w:rPr>
        <w:t>’</w:t>
      </w:r>
      <w:r w:rsidRPr="005361F4">
        <w:rPr>
          <w:lang w:val="fr-FR"/>
        </w:rPr>
        <w:t>authenticité de ces documents et qu</w:t>
      </w:r>
      <w:r>
        <w:rPr>
          <w:lang w:val="fr-FR"/>
        </w:rPr>
        <w:t>’</w:t>
      </w:r>
      <w:r w:rsidRPr="005361F4">
        <w:rPr>
          <w:lang w:val="fr-FR"/>
        </w:rPr>
        <w:t>il est très facile de se procurer des faux en Afghanistan. En outre, l</w:t>
      </w:r>
      <w:r>
        <w:rPr>
          <w:lang w:val="fr-FR"/>
        </w:rPr>
        <w:t>’</w:t>
      </w:r>
      <w:r w:rsidRPr="005361F4">
        <w:rPr>
          <w:lang w:val="fr-FR"/>
        </w:rPr>
        <w:t>auteur soutient que la Commission a a</w:t>
      </w:r>
      <w:r>
        <w:rPr>
          <w:lang w:val="fr-FR"/>
        </w:rPr>
        <w:t>ccordé</w:t>
      </w:r>
      <w:r w:rsidRPr="005361F4">
        <w:rPr>
          <w:lang w:val="fr-FR"/>
        </w:rPr>
        <w:t xml:space="preserve"> une importance considérable à des incohérences mineures dans le récit </w:t>
      </w:r>
      <w:r>
        <w:rPr>
          <w:lang w:val="fr-FR"/>
        </w:rPr>
        <w:t xml:space="preserve">qu’il a </w:t>
      </w:r>
      <w:r w:rsidRPr="005361F4">
        <w:rPr>
          <w:lang w:val="fr-FR"/>
        </w:rPr>
        <w:t xml:space="preserve">fait de son enlèvement et de </w:t>
      </w:r>
      <w:r>
        <w:rPr>
          <w:lang w:val="fr-FR"/>
        </w:rPr>
        <w:t>s</w:t>
      </w:r>
      <w:r w:rsidRPr="005361F4">
        <w:rPr>
          <w:lang w:val="fr-FR"/>
        </w:rPr>
        <w:t>a détention, et que le raisonnement de la Commission ne reposait</w:t>
      </w:r>
      <w:r>
        <w:rPr>
          <w:lang w:val="fr-FR"/>
        </w:rPr>
        <w:t xml:space="preserve"> que sur des suppositions et non</w:t>
      </w:r>
      <w:r w:rsidRPr="005361F4">
        <w:rPr>
          <w:lang w:val="fr-FR"/>
        </w:rPr>
        <w:t xml:space="preserve"> sur des preuves. Il affirme en outre que ses déclarations ne peuvent être considérées comme généralement non convaincantes et qu</w:t>
      </w:r>
      <w:r>
        <w:rPr>
          <w:lang w:val="fr-FR"/>
        </w:rPr>
        <w:t>’</w:t>
      </w:r>
      <w:r w:rsidRPr="005361F4">
        <w:rPr>
          <w:lang w:val="fr-FR"/>
        </w:rPr>
        <w:t>on aurait dû lui accorder « le bénéfice du doute ». Enfin, il affirme que lorsqu</w:t>
      </w:r>
      <w:r>
        <w:rPr>
          <w:lang w:val="fr-FR"/>
        </w:rPr>
        <w:t>’</w:t>
      </w:r>
      <w:r w:rsidRPr="005361F4">
        <w:rPr>
          <w:lang w:val="fr-FR"/>
        </w:rPr>
        <w:t>elle a examiné son recours, la Commission n</w:t>
      </w:r>
      <w:r>
        <w:rPr>
          <w:lang w:val="fr-FR"/>
        </w:rPr>
        <w:t>’</w:t>
      </w:r>
      <w:r w:rsidRPr="005361F4">
        <w:rPr>
          <w:lang w:val="fr-FR"/>
        </w:rPr>
        <w:t>a pas appliqué les Principes directeurs du Haut-Commissariat des Nations Unies pour les réfugiés (HCR) relatifs à l</w:t>
      </w:r>
      <w:r>
        <w:rPr>
          <w:lang w:val="fr-FR"/>
        </w:rPr>
        <w:t>’</w:t>
      </w:r>
      <w:r w:rsidRPr="005361F4">
        <w:rPr>
          <w:lang w:val="fr-FR"/>
        </w:rPr>
        <w:t>évaluation de la crédibilité</w:t>
      </w:r>
      <w:r w:rsidRPr="000060F8">
        <w:rPr>
          <w:rStyle w:val="Appelnotedebasdep"/>
        </w:rPr>
        <w:footnoteReference w:id="10"/>
      </w:r>
      <w:r w:rsidRPr="005361F4">
        <w:rPr>
          <w:lang w:val="fr-FR"/>
        </w:rPr>
        <w:t>.</w:t>
      </w:r>
    </w:p>
    <w:p w:rsidR="00457C99" w:rsidRPr="005361F4" w:rsidRDefault="00457C99" w:rsidP="00457C99">
      <w:pPr>
        <w:pStyle w:val="SingleTxtG"/>
        <w:rPr>
          <w:lang w:val="fr-FR"/>
        </w:rPr>
      </w:pPr>
      <w:r w:rsidRPr="005361F4">
        <w:rPr>
          <w:lang w:val="fr-FR"/>
        </w:rPr>
        <w:t>3.4</w:t>
      </w:r>
      <w:r w:rsidRPr="005361F4">
        <w:rPr>
          <w:lang w:val="fr-FR"/>
        </w:rPr>
        <w:tab/>
        <w:t>Enfin, l</w:t>
      </w:r>
      <w:r>
        <w:rPr>
          <w:lang w:val="fr-FR"/>
        </w:rPr>
        <w:t>’</w:t>
      </w:r>
      <w:r w:rsidRPr="005361F4">
        <w:rPr>
          <w:lang w:val="fr-FR"/>
        </w:rPr>
        <w:t>auteur fait référence à la situation générale des personnes renvoyées de force en Afghanistan</w:t>
      </w:r>
      <w:r w:rsidRPr="000060F8">
        <w:rPr>
          <w:rStyle w:val="Appelnotedebasdep"/>
        </w:rPr>
        <w:footnoteReference w:id="11"/>
      </w:r>
      <w:r w:rsidRPr="005361F4">
        <w:rPr>
          <w:lang w:val="fr-FR"/>
        </w:rPr>
        <w:t>.</w:t>
      </w:r>
    </w:p>
    <w:p w:rsidR="00457C99" w:rsidRPr="005361F4" w:rsidRDefault="00457C99" w:rsidP="00457C99">
      <w:pPr>
        <w:pStyle w:val="SingleTxtG"/>
        <w:rPr>
          <w:lang w:val="fr-FR"/>
        </w:rPr>
      </w:pPr>
      <w:r w:rsidRPr="005361F4">
        <w:rPr>
          <w:lang w:val="fr-FR"/>
        </w:rPr>
        <w:t>3.5</w:t>
      </w:r>
      <w:r w:rsidRPr="005361F4">
        <w:rPr>
          <w:lang w:val="fr-FR"/>
        </w:rPr>
        <w:tab/>
        <w:t>Compte tenu de ce qui précède, l</w:t>
      </w:r>
      <w:r>
        <w:rPr>
          <w:lang w:val="fr-FR"/>
        </w:rPr>
        <w:t>’</w:t>
      </w:r>
      <w:r w:rsidRPr="005361F4">
        <w:rPr>
          <w:lang w:val="fr-FR"/>
        </w:rPr>
        <w:t>auteur soutient que son renvoi en Afghanistan constituerait une violation par le Danemark des droits qu</w:t>
      </w:r>
      <w:r>
        <w:rPr>
          <w:lang w:val="fr-FR"/>
        </w:rPr>
        <w:t>’</w:t>
      </w:r>
      <w:r w:rsidRPr="005361F4">
        <w:rPr>
          <w:lang w:val="fr-FR"/>
        </w:rPr>
        <w:t>il tient de l</w:t>
      </w:r>
      <w:r>
        <w:rPr>
          <w:lang w:val="fr-FR"/>
        </w:rPr>
        <w:t>’</w:t>
      </w:r>
      <w:r w:rsidRPr="005361F4">
        <w:rPr>
          <w:lang w:val="fr-FR"/>
        </w:rPr>
        <w:t>article</w:t>
      </w:r>
      <w:r w:rsidR="005A5B2F">
        <w:rPr>
          <w:lang w:val="fr-FR"/>
        </w:rPr>
        <w:t> </w:t>
      </w:r>
      <w:r w:rsidRPr="005361F4">
        <w:rPr>
          <w:lang w:val="fr-FR"/>
        </w:rPr>
        <w:t>7 du Pacte.</w:t>
      </w:r>
    </w:p>
    <w:p w:rsidR="00457C99" w:rsidRPr="005361F4" w:rsidRDefault="00457C99" w:rsidP="005A5B2F">
      <w:pPr>
        <w:pStyle w:val="H23G"/>
        <w:rPr>
          <w:lang w:val="fr-FR"/>
        </w:rPr>
      </w:pPr>
      <w:r w:rsidRPr="005361F4">
        <w:rPr>
          <w:lang w:val="fr-FR"/>
        </w:rPr>
        <w:tab/>
      </w:r>
      <w:r w:rsidRPr="005361F4">
        <w:rPr>
          <w:lang w:val="fr-FR"/>
        </w:rPr>
        <w:tab/>
        <w:t>Observations de l</w:t>
      </w:r>
      <w:r>
        <w:rPr>
          <w:lang w:val="fr-FR"/>
        </w:rPr>
        <w:t>’</w:t>
      </w:r>
      <w:r w:rsidRPr="005361F4">
        <w:rPr>
          <w:lang w:val="fr-FR"/>
        </w:rPr>
        <w:t xml:space="preserve">État partie sur la recevabilité et sur le fond </w:t>
      </w:r>
    </w:p>
    <w:p w:rsidR="00457C99" w:rsidRPr="005361F4" w:rsidRDefault="00457C99" w:rsidP="005A5B2F">
      <w:pPr>
        <w:pStyle w:val="SingleTxtG"/>
        <w:rPr>
          <w:lang w:val="fr-FR"/>
        </w:rPr>
      </w:pPr>
      <w:r w:rsidRPr="005361F4">
        <w:rPr>
          <w:lang w:val="fr-FR"/>
        </w:rPr>
        <w:t>4.1</w:t>
      </w:r>
      <w:r w:rsidRPr="005361F4">
        <w:rPr>
          <w:lang w:val="fr-FR"/>
        </w:rPr>
        <w:tab/>
        <w:t>Dans une lettre du 19 juillet 2016, l</w:t>
      </w:r>
      <w:r>
        <w:rPr>
          <w:lang w:val="fr-FR"/>
        </w:rPr>
        <w:t>’</w:t>
      </w:r>
      <w:r w:rsidRPr="005361F4">
        <w:rPr>
          <w:lang w:val="fr-FR"/>
        </w:rPr>
        <w:t>État partie conteste la recevabilité et le fond de la communication. Il fait observer que c</w:t>
      </w:r>
      <w:r>
        <w:rPr>
          <w:lang w:val="fr-FR"/>
        </w:rPr>
        <w:t>’</w:t>
      </w:r>
      <w:r w:rsidRPr="005361F4">
        <w:rPr>
          <w:lang w:val="fr-FR"/>
        </w:rPr>
        <w:t>est à l</w:t>
      </w:r>
      <w:r>
        <w:rPr>
          <w:lang w:val="fr-FR"/>
        </w:rPr>
        <w:t>’</w:t>
      </w:r>
      <w:r w:rsidRPr="005361F4">
        <w:rPr>
          <w:lang w:val="fr-FR"/>
        </w:rPr>
        <w:t>auteur qu</w:t>
      </w:r>
      <w:r>
        <w:rPr>
          <w:lang w:val="fr-FR"/>
        </w:rPr>
        <w:t>’</w:t>
      </w:r>
      <w:r w:rsidRPr="005361F4">
        <w:rPr>
          <w:lang w:val="fr-FR"/>
        </w:rPr>
        <w:t>il incombe d</w:t>
      </w:r>
      <w:r>
        <w:rPr>
          <w:lang w:val="fr-FR"/>
        </w:rPr>
        <w:t>’</w:t>
      </w:r>
      <w:r w:rsidRPr="005361F4">
        <w:rPr>
          <w:lang w:val="fr-FR"/>
        </w:rPr>
        <w:t xml:space="preserve">établir </w:t>
      </w:r>
      <w:r w:rsidRPr="005361F4">
        <w:rPr>
          <w:i/>
          <w:iCs/>
          <w:lang w:val="fr-FR"/>
        </w:rPr>
        <w:t xml:space="preserve">prima facie </w:t>
      </w:r>
      <w:r w:rsidRPr="005361F4">
        <w:rPr>
          <w:lang w:val="fr-FR"/>
        </w:rPr>
        <w:t>le bien</w:t>
      </w:r>
      <w:r w:rsidR="005A5B2F">
        <w:rPr>
          <w:lang w:val="fr-FR"/>
        </w:rPr>
        <w:noBreakHyphen/>
      </w:r>
      <w:r w:rsidRPr="005361F4">
        <w:rPr>
          <w:lang w:val="fr-FR"/>
        </w:rPr>
        <w:t>fondé de ses allégations aux fins de la recevabilité. Il soutient que le grief que l</w:t>
      </w:r>
      <w:r>
        <w:rPr>
          <w:lang w:val="fr-FR"/>
        </w:rPr>
        <w:t>’</w:t>
      </w:r>
      <w:r w:rsidRPr="005361F4">
        <w:rPr>
          <w:lang w:val="fr-FR"/>
        </w:rPr>
        <w:t>auteur tire de l</w:t>
      </w:r>
      <w:r>
        <w:rPr>
          <w:lang w:val="fr-FR"/>
        </w:rPr>
        <w:t>’</w:t>
      </w:r>
      <w:r w:rsidRPr="005361F4">
        <w:rPr>
          <w:lang w:val="fr-FR"/>
        </w:rPr>
        <w:t>article 7 est manifestement dénué de fondement et devrait donc être déclaré irrecevable faute d</w:t>
      </w:r>
      <w:r>
        <w:rPr>
          <w:lang w:val="fr-FR"/>
        </w:rPr>
        <w:t>’</w:t>
      </w:r>
      <w:r w:rsidRPr="005361F4">
        <w:rPr>
          <w:lang w:val="fr-FR"/>
        </w:rPr>
        <w:t>être suffisamment étayé.</w:t>
      </w:r>
    </w:p>
    <w:p w:rsidR="00457C99" w:rsidRPr="005361F4" w:rsidRDefault="00457C99" w:rsidP="005A5B2F">
      <w:pPr>
        <w:pStyle w:val="SingleTxtG"/>
        <w:rPr>
          <w:lang w:val="fr-FR"/>
        </w:rPr>
      </w:pPr>
      <w:r w:rsidRPr="005361F4">
        <w:rPr>
          <w:lang w:val="fr-FR"/>
        </w:rPr>
        <w:t>4.2</w:t>
      </w:r>
      <w:r w:rsidRPr="005361F4">
        <w:rPr>
          <w:lang w:val="fr-FR"/>
        </w:rPr>
        <w:tab/>
        <w:t>L</w:t>
      </w:r>
      <w:r>
        <w:rPr>
          <w:lang w:val="fr-FR"/>
        </w:rPr>
        <w:t>’</w:t>
      </w:r>
      <w:r w:rsidRPr="005361F4">
        <w:rPr>
          <w:lang w:val="fr-FR"/>
        </w:rPr>
        <w:t>État partie décrit la législation et les procédures internes applicables, notamment la structure, la composition et le fonctionnement de la Commission de recours des réfugiés, qu</w:t>
      </w:r>
      <w:r>
        <w:rPr>
          <w:lang w:val="fr-FR"/>
        </w:rPr>
        <w:t>’</w:t>
      </w:r>
      <w:r w:rsidRPr="005361F4">
        <w:rPr>
          <w:lang w:val="fr-FR"/>
        </w:rPr>
        <w:t>il considère comme un organe quasi judiciaire indépendant</w:t>
      </w:r>
      <w:r w:rsidRPr="000060F8">
        <w:rPr>
          <w:rStyle w:val="Appelnotedebasdep"/>
        </w:rPr>
        <w:footnoteReference w:id="12"/>
      </w:r>
      <w:r w:rsidRPr="005361F4">
        <w:rPr>
          <w:lang w:val="fr-FR"/>
        </w:rPr>
        <w:t>. Il appelle également l</w:t>
      </w:r>
      <w:r>
        <w:rPr>
          <w:lang w:val="fr-FR"/>
        </w:rPr>
        <w:t>’</w:t>
      </w:r>
      <w:r w:rsidRPr="005361F4">
        <w:rPr>
          <w:lang w:val="fr-FR"/>
        </w:rPr>
        <w:t>attention sur les procédures établies pour évaluer les déclarations contradictoires des demandeurs d</w:t>
      </w:r>
      <w:r>
        <w:rPr>
          <w:lang w:val="fr-FR"/>
        </w:rPr>
        <w:t>’</w:t>
      </w:r>
      <w:r w:rsidRPr="005361F4">
        <w:rPr>
          <w:lang w:val="fr-FR"/>
        </w:rPr>
        <w:t xml:space="preserve">asile, lesquelles peuvent </w:t>
      </w:r>
      <w:r>
        <w:rPr>
          <w:lang w:val="fr-FR"/>
        </w:rPr>
        <w:t>affecter</w:t>
      </w:r>
      <w:r w:rsidRPr="005361F4">
        <w:rPr>
          <w:lang w:val="fr-FR"/>
        </w:rPr>
        <w:t xml:space="preserve"> la crédibilité de ces derniers.</w:t>
      </w:r>
    </w:p>
    <w:p w:rsidR="00457C99" w:rsidRPr="005361F4" w:rsidRDefault="00457C99" w:rsidP="005A5B2F">
      <w:pPr>
        <w:pStyle w:val="SingleTxtG"/>
        <w:rPr>
          <w:lang w:val="fr-FR"/>
        </w:rPr>
      </w:pPr>
      <w:r w:rsidRPr="005361F4">
        <w:rPr>
          <w:lang w:val="fr-FR"/>
        </w:rPr>
        <w:t>4.3</w:t>
      </w:r>
      <w:r w:rsidRPr="005361F4">
        <w:rPr>
          <w:lang w:val="fr-FR"/>
        </w:rPr>
        <w:tab/>
        <w:t>L</w:t>
      </w:r>
      <w:r>
        <w:rPr>
          <w:lang w:val="fr-FR"/>
        </w:rPr>
        <w:t>’</w:t>
      </w:r>
      <w:r w:rsidRPr="005361F4">
        <w:rPr>
          <w:lang w:val="fr-FR"/>
        </w:rPr>
        <w:t>État partie fait observer que la Commission de recours des réfugiés, lorsqu</w:t>
      </w:r>
      <w:r>
        <w:rPr>
          <w:lang w:val="fr-FR"/>
        </w:rPr>
        <w:t>’</w:t>
      </w:r>
      <w:r w:rsidRPr="005361F4">
        <w:rPr>
          <w:lang w:val="fr-FR"/>
        </w:rPr>
        <w:t>elle détermine si les conditions requises par la loi sur les étrangers pour l</w:t>
      </w:r>
      <w:r>
        <w:rPr>
          <w:lang w:val="fr-FR"/>
        </w:rPr>
        <w:t>’</w:t>
      </w:r>
      <w:r w:rsidRPr="005361F4">
        <w:rPr>
          <w:lang w:val="fr-FR"/>
        </w:rPr>
        <w:t>octroi d</w:t>
      </w:r>
      <w:r>
        <w:rPr>
          <w:lang w:val="fr-FR"/>
        </w:rPr>
        <w:t>’</w:t>
      </w:r>
      <w:r w:rsidRPr="005361F4">
        <w:rPr>
          <w:lang w:val="fr-FR"/>
        </w:rPr>
        <w:t xml:space="preserve">un permis de </w:t>
      </w:r>
      <w:r>
        <w:rPr>
          <w:lang w:val="fr-FR"/>
        </w:rPr>
        <w:t>séjour</w:t>
      </w:r>
      <w:r w:rsidRPr="005361F4">
        <w:rPr>
          <w:lang w:val="fr-FR"/>
        </w:rPr>
        <w:t xml:space="preserve"> sont remplies</w:t>
      </w:r>
      <w:r w:rsidRPr="000060F8">
        <w:rPr>
          <w:rStyle w:val="Appelnotedebasdep"/>
        </w:rPr>
        <w:footnoteReference w:id="13"/>
      </w:r>
      <w:r w:rsidRPr="005361F4">
        <w:rPr>
          <w:lang w:val="fr-FR"/>
        </w:rPr>
        <w:t>, apprécie si l</w:t>
      </w:r>
      <w:r>
        <w:rPr>
          <w:lang w:val="fr-FR"/>
        </w:rPr>
        <w:t>’</w:t>
      </w:r>
      <w:r w:rsidRPr="005361F4">
        <w:rPr>
          <w:lang w:val="fr-FR"/>
        </w:rPr>
        <w:t xml:space="preserve">intéressé est fondé à craindre </w:t>
      </w:r>
      <w:r w:rsidRPr="000060F8">
        <w:rPr>
          <w:lang w:val="fr-FR"/>
        </w:rPr>
        <w:t>d</w:t>
      </w:r>
      <w:r>
        <w:rPr>
          <w:lang w:val="fr-FR"/>
        </w:rPr>
        <w:t>’</w:t>
      </w:r>
      <w:r w:rsidRPr="000060F8">
        <w:rPr>
          <w:lang w:val="fr-FR"/>
        </w:rPr>
        <w:t>être personnellement soumis à des persécutions d</w:t>
      </w:r>
      <w:r>
        <w:rPr>
          <w:lang w:val="fr-FR"/>
        </w:rPr>
        <w:t>’</w:t>
      </w:r>
      <w:r w:rsidRPr="000060F8">
        <w:rPr>
          <w:lang w:val="fr-FR"/>
        </w:rPr>
        <w:t xml:space="preserve">une certaine gravité </w:t>
      </w:r>
      <w:r w:rsidRPr="005361F4">
        <w:rPr>
          <w:lang w:val="fr-FR"/>
        </w:rPr>
        <w:t>s</w:t>
      </w:r>
      <w:r>
        <w:rPr>
          <w:lang w:val="fr-FR"/>
        </w:rPr>
        <w:t>’</w:t>
      </w:r>
      <w:r w:rsidRPr="005361F4">
        <w:rPr>
          <w:lang w:val="fr-FR"/>
        </w:rPr>
        <w:t>il est renvoyé dans son pays d</w:t>
      </w:r>
      <w:r>
        <w:rPr>
          <w:lang w:val="fr-FR"/>
        </w:rPr>
        <w:t>’</w:t>
      </w:r>
      <w:r w:rsidRPr="005361F4">
        <w:rPr>
          <w:lang w:val="fr-FR"/>
        </w:rPr>
        <w:t xml:space="preserve">origine. </w:t>
      </w:r>
      <w:r w:rsidRPr="005361F4">
        <w:rPr>
          <w:lang w:val="fr-FR"/>
        </w:rPr>
        <w:lastRenderedPageBreak/>
        <w:t>Pour évaluer le bien</w:t>
      </w:r>
      <w:r w:rsidR="005A5B2F">
        <w:rPr>
          <w:lang w:val="fr-FR"/>
        </w:rPr>
        <w:noBreakHyphen/>
      </w:r>
      <w:r w:rsidRPr="005361F4">
        <w:rPr>
          <w:lang w:val="fr-FR"/>
        </w:rPr>
        <w:t>fondé d</w:t>
      </w:r>
      <w:r>
        <w:rPr>
          <w:lang w:val="fr-FR"/>
        </w:rPr>
        <w:t>’</w:t>
      </w:r>
      <w:r w:rsidRPr="005361F4">
        <w:rPr>
          <w:lang w:val="fr-FR"/>
        </w:rPr>
        <w:t xml:space="preserve">une telle crainte, </w:t>
      </w:r>
      <w:r w:rsidRPr="000060F8">
        <w:rPr>
          <w:lang w:val="fr-FR"/>
        </w:rPr>
        <w:t>la Commission tient compte des informations relatives aux persécutions que le demandeur d</w:t>
      </w:r>
      <w:r>
        <w:rPr>
          <w:lang w:val="fr-FR"/>
        </w:rPr>
        <w:t>’</w:t>
      </w:r>
      <w:r w:rsidRPr="000060F8">
        <w:rPr>
          <w:lang w:val="fr-FR"/>
        </w:rPr>
        <w:t>asile aurait subies avant de quitter son pays d</w:t>
      </w:r>
      <w:r>
        <w:rPr>
          <w:lang w:val="fr-FR"/>
        </w:rPr>
        <w:t>’</w:t>
      </w:r>
      <w:r w:rsidRPr="000060F8">
        <w:rPr>
          <w:lang w:val="fr-FR"/>
        </w:rPr>
        <w:t>origine et, surtout, de la situation qui serait la sienne s</w:t>
      </w:r>
      <w:r>
        <w:rPr>
          <w:lang w:val="fr-FR"/>
        </w:rPr>
        <w:t>’</w:t>
      </w:r>
      <w:r w:rsidRPr="000060F8">
        <w:rPr>
          <w:lang w:val="fr-FR"/>
        </w:rPr>
        <w:t>il y était renvoyé</w:t>
      </w:r>
      <w:r w:rsidRPr="005361F4">
        <w:rPr>
          <w:lang w:val="fr-FR"/>
        </w:rPr>
        <w:t>.</w:t>
      </w:r>
    </w:p>
    <w:p w:rsidR="00457C99" w:rsidRPr="005361F4" w:rsidRDefault="00457C99" w:rsidP="00457C99">
      <w:pPr>
        <w:pStyle w:val="SingleTxtG"/>
        <w:rPr>
          <w:lang w:val="fr-FR"/>
        </w:rPr>
      </w:pPr>
      <w:r w:rsidRPr="005361F4">
        <w:rPr>
          <w:lang w:val="fr-FR"/>
        </w:rPr>
        <w:t>4.4</w:t>
      </w:r>
      <w:r w:rsidRPr="005361F4">
        <w:rPr>
          <w:lang w:val="fr-FR"/>
        </w:rPr>
        <w:tab/>
        <w:t>En outre, l</w:t>
      </w:r>
      <w:r>
        <w:rPr>
          <w:lang w:val="fr-FR"/>
        </w:rPr>
        <w:t>’</w:t>
      </w:r>
      <w:r w:rsidRPr="005361F4">
        <w:rPr>
          <w:lang w:val="fr-FR"/>
        </w:rPr>
        <w:t>État partie cite l</w:t>
      </w:r>
      <w:r>
        <w:rPr>
          <w:lang w:val="fr-FR"/>
        </w:rPr>
        <w:t>’</w:t>
      </w:r>
      <w:r w:rsidRPr="005361F4">
        <w:rPr>
          <w:lang w:val="fr-FR"/>
        </w:rPr>
        <w:t>arrêt rendu par la Cour européenne des droits de l</w:t>
      </w:r>
      <w:r>
        <w:rPr>
          <w:lang w:val="fr-FR"/>
        </w:rPr>
        <w:t>’</w:t>
      </w:r>
      <w:r w:rsidRPr="005361F4">
        <w:rPr>
          <w:lang w:val="fr-FR"/>
        </w:rPr>
        <w:t>homme dans l</w:t>
      </w:r>
      <w:r>
        <w:rPr>
          <w:lang w:val="fr-FR"/>
        </w:rPr>
        <w:t>’</w:t>
      </w:r>
      <w:r w:rsidRPr="005361F4">
        <w:rPr>
          <w:lang w:val="fr-FR"/>
        </w:rPr>
        <w:t xml:space="preserve">affaire </w:t>
      </w:r>
      <w:r w:rsidRPr="005361F4">
        <w:rPr>
          <w:i/>
          <w:lang w:val="fr-FR"/>
        </w:rPr>
        <w:t>H. et B. c.</w:t>
      </w:r>
      <w:r w:rsidRPr="005361F4">
        <w:rPr>
          <w:lang w:val="fr-FR"/>
        </w:rPr>
        <w:t> </w:t>
      </w:r>
      <w:r w:rsidRPr="005361F4">
        <w:rPr>
          <w:i/>
          <w:lang w:val="fr-FR"/>
        </w:rPr>
        <w:t>Royaume-Uni,</w:t>
      </w:r>
      <w:r w:rsidRPr="005361F4">
        <w:rPr>
          <w:lang w:val="fr-FR"/>
        </w:rPr>
        <w:t xml:space="preserve"> qui concernait un ressortissant afghan ayant travaillé comme interprète pour les forces des États-Unis en Afghanistan, dans lequel la Cour a rejeté l</w:t>
      </w:r>
      <w:r>
        <w:rPr>
          <w:lang w:val="fr-FR"/>
        </w:rPr>
        <w:t>’</w:t>
      </w:r>
      <w:r w:rsidRPr="005361F4">
        <w:rPr>
          <w:lang w:val="fr-FR"/>
        </w:rPr>
        <w:t>argument de l</w:t>
      </w:r>
      <w:r>
        <w:rPr>
          <w:lang w:val="fr-FR"/>
        </w:rPr>
        <w:t>’</w:t>
      </w:r>
      <w:r w:rsidRPr="005361F4">
        <w:rPr>
          <w:lang w:val="fr-FR"/>
        </w:rPr>
        <w:t>auteur selon lequel il ne serait pas en sécurité à Kaboul en raison de son profil et des conditions de sécurité dans cette ville. La Cour a conclu qu</w:t>
      </w:r>
      <w:r>
        <w:rPr>
          <w:lang w:val="fr-FR"/>
        </w:rPr>
        <w:t>’</w:t>
      </w:r>
      <w:r w:rsidRPr="005361F4">
        <w:rPr>
          <w:lang w:val="fr-FR"/>
        </w:rPr>
        <w:t>elle ne pouvait considérer que l</w:t>
      </w:r>
      <w:r>
        <w:rPr>
          <w:lang w:val="fr-FR"/>
        </w:rPr>
        <w:t>’</w:t>
      </w:r>
      <w:r w:rsidRPr="005361F4">
        <w:rPr>
          <w:lang w:val="fr-FR"/>
        </w:rPr>
        <w:t>auteur serait en danger à Kaboul pour la seule raison qu</w:t>
      </w:r>
      <w:r>
        <w:rPr>
          <w:lang w:val="fr-FR"/>
        </w:rPr>
        <w:t>’</w:t>
      </w:r>
      <w:r w:rsidRPr="005361F4">
        <w:rPr>
          <w:lang w:val="fr-FR"/>
        </w:rPr>
        <w:t>il avait travaillé comme interprète pour les forces des États-Unis mais qu</w:t>
      </w:r>
      <w:r>
        <w:rPr>
          <w:lang w:val="fr-FR"/>
        </w:rPr>
        <w:t>’</w:t>
      </w:r>
      <w:r w:rsidRPr="005361F4">
        <w:rPr>
          <w:lang w:val="fr-FR"/>
        </w:rPr>
        <w:t>elle devait examiner tous les aspects de sa situation individuelle, la nature de son réseau relationnel et son profil. Elle</w:t>
      </w:r>
      <w:r w:rsidR="008266D8">
        <w:rPr>
          <w:lang w:val="fr-FR"/>
        </w:rPr>
        <w:t> </w:t>
      </w:r>
      <w:r w:rsidRPr="005361F4">
        <w:rPr>
          <w:lang w:val="fr-FR"/>
        </w:rPr>
        <w:t>a conclu que le requérant n</w:t>
      </w:r>
      <w:r>
        <w:rPr>
          <w:lang w:val="fr-FR"/>
        </w:rPr>
        <w:t>’</w:t>
      </w:r>
      <w:r w:rsidRPr="005361F4">
        <w:rPr>
          <w:lang w:val="fr-FR"/>
        </w:rPr>
        <w:t>avait pas démontré que son renvoi en Afghanistan violerait l</w:t>
      </w:r>
      <w:r>
        <w:rPr>
          <w:lang w:val="fr-FR"/>
        </w:rPr>
        <w:t>’</w:t>
      </w:r>
      <w:r w:rsidRPr="005361F4">
        <w:rPr>
          <w:lang w:val="fr-FR"/>
        </w:rPr>
        <w:t xml:space="preserve">article 3 de la Convention </w:t>
      </w:r>
      <w:r>
        <w:rPr>
          <w:lang w:val="fr-FR"/>
        </w:rPr>
        <w:t>de sauvegarde</w:t>
      </w:r>
      <w:r w:rsidRPr="005361F4">
        <w:rPr>
          <w:lang w:val="fr-FR"/>
        </w:rPr>
        <w:t xml:space="preserve"> des droits de l</w:t>
      </w:r>
      <w:r>
        <w:rPr>
          <w:lang w:val="fr-FR"/>
        </w:rPr>
        <w:t>’</w:t>
      </w:r>
      <w:r w:rsidRPr="005361F4">
        <w:rPr>
          <w:lang w:val="fr-FR"/>
        </w:rPr>
        <w:t>homme et des libertés fondamentales (la Convention européenne des droits de l</w:t>
      </w:r>
      <w:r>
        <w:rPr>
          <w:lang w:val="fr-FR"/>
        </w:rPr>
        <w:t>’</w:t>
      </w:r>
      <w:r w:rsidRPr="005361F4">
        <w:rPr>
          <w:lang w:val="fr-FR"/>
        </w:rPr>
        <w:t>homme)</w:t>
      </w:r>
      <w:r w:rsidRPr="000060F8">
        <w:rPr>
          <w:rStyle w:val="Appelnotedebasdep"/>
        </w:rPr>
        <w:footnoteReference w:id="14"/>
      </w:r>
      <w:r w:rsidRPr="005361F4">
        <w:rPr>
          <w:lang w:val="fr-FR"/>
        </w:rPr>
        <w:t>.</w:t>
      </w:r>
    </w:p>
    <w:p w:rsidR="00457C99" w:rsidRPr="005361F4" w:rsidRDefault="00457C99" w:rsidP="00457C99">
      <w:pPr>
        <w:pStyle w:val="SingleTxtG"/>
        <w:rPr>
          <w:lang w:val="fr-FR"/>
        </w:rPr>
      </w:pPr>
      <w:r w:rsidRPr="005361F4">
        <w:rPr>
          <w:lang w:val="fr-FR"/>
        </w:rPr>
        <w:t>4.5</w:t>
      </w:r>
      <w:r w:rsidRPr="005361F4">
        <w:rPr>
          <w:lang w:val="fr-FR"/>
        </w:rPr>
        <w:tab/>
        <w:t>En l</w:t>
      </w:r>
      <w:r>
        <w:rPr>
          <w:lang w:val="fr-FR"/>
        </w:rPr>
        <w:t>’</w:t>
      </w:r>
      <w:r w:rsidRPr="005361F4">
        <w:rPr>
          <w:lang w:val="fr-FR"/>
        </w:rPr>
        <w:t>espèce, l</w:t>
      </w:r>
      <w:r>
        <w:rPr>
          <w:lang w:val="fr-FR"/>
        </w:rPr>
        <w:t>’</w:t>
      </w:r>
      <w:r w:rsidRPr="005361F4">
        <w:rPr>
          <w:lang w:val="fr-FR"/>
        </w:rPr>
        <w:t>État partie fait observer que la Commission de recours des réfugiés a décidé de rouvrir le dossier de demande d</w:t>
      </w:r>
      <w:r>
        <w:rPr>
          <w:lang w:val="fr-FR"/>
        </w:rPr>
        <w:t>’</w:t>
      </w:r>
      <w:r w:rsidRPr="005361F4">
        <w:rPr>
          <w:lang w:val="fr-FR"/>
        </w:rPr>
        <w:t>asile de l</w:t>
      </w:r>
      <w:r>
        <w:rPr>
          <w:lang w:val="fr-FR"/>
        </w:rPr>
        <w:t>’</w:t>
      </w:r>
      <w:r w:rsidRPr="005361F4">
        <w:rPr>
          <w:lang w:val="fr-FR"/>
        </w:rPr>
        <w:t>auteur pour réexamen par une nouvelle formation dans le cadre d</w:t>
      </w:r>
      <w:r>
        <w:rPr>
          <w:lang w:val="fr-FR"/>
        </w:rPr>
        <w:t>’</w:t>
      </w:r>
      <w:r w:rsidRPr="005361F4">
        <w:rPr>
          <w:lang w:val="fr-FR"/>
        </w:rPr>
        <w:t>une audience orale. Dans sa nouvelle décision, unanime, du 18 avril 2016, la Commission de recours des réfugiés a procédé à une évaluation approfondie de la situation particulière de l</w:t>
      </w:r>
      <w:r>
        <w:rPr>
          <w:lang w:val="fr-FR"/>
        </w:rPr>
        <w:t>’</w:t>
      </w:r>
      <w:r w:rsidRPr="005361F4">
        <w:rPr>
          <w:lang w:val="fr-FR"/>
        </w:rPr>
        <w:t>auteur, y compris de sa crédibilité, et des informations générales disponibles sur l</w:t>
      </w:r>
      <w:r>
        <w:rPr>
          <w:lang w:val="fr-FR"/>
        </w:rPr>
        <w:t>’</w:t>
      </w:r>
      <w:r w:rsidRPr="005361F4">
        <w:rPr>
          <w:lang w:val="fr-FR"/>
        </w:rPr>
        <w:t>Afghanistan. Si, comme elle ne l</w:t>
      </w:r>
      <w:r>
        <w:rPr>
          <w:lang w:val="fr-FR"/>
        </w:rPr>
        <w:t>’</w:t>
      </w:r>
      <w:r w:rsidRPr="005361F4">
        <w:rPr>
          <w:lang w:val="fr-FR"/>
        </w:rPr>
        <w:t>avait pas fait dans sa décision du 9 mars 2015, la Commission a cette fois admis qu</w:t>
      </w:r>
      <w:r>
        <w:rPr>
          <w:lang w:val="fr-FR"/>
        </w:rPr>
        <w:t>’</w:t>
      </w:r>
      <w:r w:rsidRPr="005361F4">
        <w:rPr>
          <w:lang w:val="fr-FR"/>
        </w:rPr>
        <w:t>une bonne partie des faits allégés par l</w:t>
      </w:r>
      <w:r>
        <w:rPr>
          <w:lang w:val="fr-FR"/>
        </w:rPr>
        <w:t>’</w:t>
      </w:r>
      <w:r w:rsidRPr="005361F4">
        <w:rPr>
          <w:lang w:val="fr-FR"/>
        </w:rPr>
        <w:t xml:space="preserve">auteur étaient établis, elle a conclu que </w:t>
      </w:r>
      <w:r>
        <w:rPr>
          <w:lang w:val="fr-FR"/>
        </w:rPr>
        <w:t>celui-ci</w:t>
      </w:r>
      <w:r w:rsidRPr="005361F4">
        <w:rPr>
          <w:lang w:val="fr-FR"/>
        </w:rPr>
        <w:t xml:space="preserve"> n</w:t>
      </w:r>
      <w:r>
        <w:rPr>
          <w:lang w:val="fr-FR"/>
        </w:rPr>
        <w:t>’</w:t>
      </w:r>
      <w:r w:rsidRPr="005361F4">
        <w:rPr>
          <w:lang w:val="fr-FR"/>
        </w:rPr>
        <w:t>avait pas démontré qu</w:t>
      </w:r>
      <w:r>
        <w:rPr>
          <w:lang w:val="fr-FR"/>
        </w:rPr>
        <w:t>’</w:t>
      </w:r>
      <w:r w:rsidRPr="005361F4">
        <w:rPr>
          <w:lang w:val="fr-FR"/>
        </w:rPr>
        <w:t>il était probable qu</w:t>
      </w:r>
      <w:r>
        <w:rPr>
          <w:lang w:val="fr-FR"/>
        </w:rPr>
        <w:t>’</w:t>
      </w:r>
      <w:r w:rsidRPr="005361F4">
        <w:rPr>
          <w:lang w:val="fr-FR"/>
        </w:rPr>
        <w:t>il risquait d</w:t>
      </w:r>
      <w:r>
        <w:rPr>
          <w:lang w:val="fr-FR"/>
        </w:rPr>
        <w:t>’</w:t>
      </w:r>
      <w:r w:rsidRPr="005361F4">
        <w:rPr>
          <w:lang w:val="fr-FR"/>
        </w:rPr>
        <w:t>être tué ou soumis à la torture ou à des peines ou traitements cruels, inhumains ou dégradants s</w:t>
      </w:r>
      <w:r>
        <w:rPr>
          <w:lang w:val="fr-FR"/>
        </w:rPr>
        <w:t>’</w:t>
      </w:r>
      <w:r w:rsidRPr="005361F4">
        <w:rPr>
          <w:lang w:val="fr-FR"/>
        </w:rPr>
        <w:t>il était renvoyé en Afghanistan. En particulier, la Commission a considéré comme établi que l</w:t>
      </w:r>
      <w:r>
        <w:rPr>
          <w:lang w:val="fr-FR"/>
        </w:rPr>
        <w:t>’</w:t>
      </w:r>
      <w:r w:rsidRPr="005361F4">
        <w:rPr>
          <w:lang w:val="fr-FR"/>
        </w:rPr>
        <w:t xml:space="preserve">auteur avait été soldat et avait </w:t>
      </w:r>
      <w:r w:rsidRPr="000060F8">
        <w:rPr>
          <w:lang w:val="fr-FR"/>
        </w:rPr>
        <w:t>dispensé</w:t>
      </w:r>
      <w:r w:rsidRPr="005361F4">
        <w:rPr>
          <w:lang w:val="fr-FR"/>
        </w:rPr>
        <w:t xml:space="preserve"> des soins d</w:t>
      </w:r>
      <w:r>
        <w:rPr>
          <w:lang w:val="fr-FR"/>
        </w:rPr>
        <w:t>’</w:t>
      </w:r>
      <w:r w:rsidRPr="005361F4">
        <w:rPr>
          <w:lang w:val="fr-FR"/>
        </w:rPr>
        <w:t>urgence sur une base des États-Unis dans la province de Kunar et que les</w:t>
      </w:r>
      <w:r>
        <w:rPr>
          <w:lang w:val="fr-FR"/>
        </w:rPr>
        <w:t xml:space="preserve"> </w:t>
      </w:r>
      <w:r w:rsidRPr="005361F4">
        <w:rPr>
          <w:lang w:val="fr-FR"/>
        </w:rPr>
        <w:t>Taliban lui avaient, à deux reprises, adressé des menaces écrites à ce sujet. La Commission a toutefois conclu que la nature et l</w:t>
      </w:r>
      <w:r>
        <w:rPr>
          <w:lang w:val="fr-FR"/>
        </w:rPr>
        <w:t>’</w:t>
      </w:r>
      <w:r w:rsidRPr="005361F4">
        <w:rPr>
          <w:lang w:val="fr-FR"/>
        </w:rPr>
        <w:t>intensité de ces menaces, formulées dans des lettres déposées au domicile de sa famille à la fin de 2011 et au début de 2012, n</w:t>
      </w:r>
      <w:r>
        <w:rPr>
          <w:lang w:val="fr-FR"/>
        </w:rPr>
        <w:t>’</w:t>
      </w:r>
      <w:r w:rsidRPr="005361F4">
        <w:rPr>
          <w:lang w:val="fr-FR"/>
        </w:rPr>
        <w:t>étaient pas telles qu</w:t>
      </w:r>
      <w:r>
        <w:rPr>
          <w:lang w:val="fr-FR"/>
        </w:rPr>
        <w:t>’</w:t>
      </w:r>
      <w:r w:rsidRPr="005361F4">
        <w:rPr>
          <w:lang w:val="fr-FR"/>
        </w:rPr>
        <w:t>il était probable que les Taliban le contacterait de nouveau</w:t>
      </w:r>
      <w:r w:rsidRPr="000060F8">
        <w:rPr>
          <w:rStyle w:val="Appelnotedebasdep"/>
        </w:rPr>
        <w:footnoteReference w:id="15"/>
      </w:r>
      <w:r w:rsidRPr="005361F4">
        <w:rPr>
          <w:lang w:val="fr-FR"/>
        </w:rPr>
        <w:t>. La Commission a également considéré comme établi que l</w:t>
      </w:r>
      <w:r>
        <w:rPr>
          <w:lang w:val="fr-FR"/>
        </w:rPr>
        <w:t>’</w:t>
      </w:r>
      <w:r w:rsidRPr="005361F4">
        <w:rPr>
          <w:lang w:val="fr-FR"/>
        </w:rPr>
        <w:t>auteur avait été enlevé par les Taliban en 2013, mais a estimé que cet enlèvement n</w:t>
      </w:r>
      <w:r>
        <w:rPr>
          <w:lang w:val="fr-FR"/>
        </w:rPr>
        <w:t>’</w:t>
      </w:r>
      <w:r w:rsidRPr="005361F4">
        <w:rPr>
          <w:lang w:val="fr-FR"/>
        </w:rPr>
        <w:t>était pas lié à son travail pour les forces des États-Unis. La Commission a également considéré comme établi que l</w:t>
      </w:r>
      <w:r>
        <w:rPr>
          <w:lang w:val="fr-FR"/>
        </w:rPr>
        <w:t>’</w:t>
      </w:r>
      <w:r w:rsidRPr="005361F4">
        <w:rPr>
          <w:lang w:val="fr-FR"/>
        </w:rPr>
        <w:t>aut</w:t>
      </w:r>
      <w:r>
        <w:rPr>
          <w:lang w:val="fr-FR"/>
        </w:rPr>
        <w:t>eur</w:t>
      </w:r>
      <w:r w:rsidRPr="005361F4">
        <w:rPr>
          <w:lang w:val="fr-FR"/>
        </w:rPr>
        <w:t xml:space="preserve"> n</w:t>
      </w:r>
      <w:r>
        <w:rPr>
          <w:lang w:val="fr-FR"/>
        </w:rPr>
        <w:t>’</w:t>
      </w:r>
      <w:r w:rsidRPr="005361F4">
        <w:rPr>
          <w:lang w:val="fr-FR"/>
        </w:rPr>
        <w:t>avait pas été identifié pendant sa captivité. Elle a conclu qu</w:t>
      </w:r>
      <w:r>
        <w:rPr>
          <w:lang w:val="fr-FR"/>
        </w:rPr>
        <w:t>’</w:t>
      </w:r>
      <w:r w:rsidRPr="005361F4">
        <w:rPr>
          <w:lang w:val="fr-FR"/>
        </w:rPr>
        <w:t>il n</w:t>
      </w:r>
      <w:r>
        <w:rPr>
          <w:lang w:val="fr-FR"/>
        </w:rPr>
        <w:t>’</w:t>
      </w:r>
      <w:r w:rsidRPr="005361F4">
        <w:rPr>
          <w:lang w:val="fr-FR"/>
        </w:rPr>
        <w:t>avait pas démontré qu</w:t>
      </w:r>
      <w:r>
        <w:rPr>
          <w:lang w:val="fr-FR"/>
        </w:rPr>
        <w:t>’</w:t>
      </w:r>
      <w:r w:rsidRPr="005361F4">
        <w:rPr>
          <w:lang w:val="fr-FR"/>
        </w:rPr>
        <w:t>il était probable que les tirs qu</w:t>
      </w:r>
      <w:r>
        <w:rPr>
          <w:lang w:val="fr-FR"/>
        </w:rPr>
        <w:t>’</w:t>
      </w:r>
      <w:r w:rsidRPr="005361F4">
        <w:rPr>
          <w:lang w:val="fr-FR"/>
        </w:rPr>
        <w:t>il aurait essuyés en 2011 étaient liés à son emploi au service des forces des États</w:t>
      </w:r>
      <w:r w:rsidR="006E4422">
        <w:rPr>
          <w:lang w:val="fr-FR"/>
        </w:rPr>
        <w:noBreakHyphen/>
      </w:r>
      <w:r w:rsidRPr="005361F4">
        <w:rPr>
          <w:lang w:val="fr-FR"/>
        </w:rPr>
        <w:t xml:space="preserve">Unis, </w:t>
      </w:r>
      <w:r>
        <w:rPr>
          <w:lang w:val="fr-FR"/>
        </w:rPr>
        <w:t>car</w:t>
      </w:r>
      <w:r w:rsidRPr="005361F4">
        <w:rPr>
          <w:lang w:val="fr-FR"/>
        </w:rPr>
        <w:t xml:space="preserve"> l</w:t>
      </w:r>
      <w:r>
        <w:rPr>
          <w:lang w:val="fr-FR"/>
        </w:rPr>
        <w:t>’</w:t>
      </w:r>
      <w:r w:rsidRPr="005361F4">
        <w:rPr>
          <w:lang w:val="fr-FR"/>
        </w:rPr>
        <w:t xml:space="preserve">existence </w:t>
      </w:r>
      <w:r>
        <w:rPr>
          <w:lang w:val="fr-FR"/>
        </w:rPr>
        <w:t>d’un tel lien ne reposait que sur une supposition de l’auteur</w:t>
      </w:r>
      <w:r w:rsidRPr="005361F4">
        <w:rPr>
          <w:lang w:val="fr-FR"/>
        </w:rPr>
        <w:t>. La</w:t>
      </w:r>
      <w:r w:rsidR="006E4422">
        <w:rPr>
          <w:lang w:val="fr-FR"/>
        </w:rPr>
        <w:t> </w:t>
      </w:r>
      <w:r w:rsidRPr="005361F4">
        <w:rPr>
          <w:lang w:val="fr-FR"/>
        </w:rPr>
        <w:t>Commission a donc conclu que l</w:t>
      </w:r>
      <w:r>
        <w:rPr>
          <w:lang w:val="fr-FR"/>
        </w:rPr>
        <w:t>’</w:t>
      </w:r>
      <w:r w:rsidRPr="005361F4">
        <w:rPr>
          <w:lang w:val="fr-FR"/>
        </w:rPr>
        <w:t>enlèvement de l</w:t>
      </w:r>
      <w:r>
        <w:rPr>
          <w:lang w:val="fr-FR"/>
        </w:rPr>
        <w:t>’</w:t>
      </w:r>
      <w:r w:rsidRPr="005361F4">
        <w:rPr>
          <w:lang w:val="fr-FR"/>
        </w:rPr>
        <w:t>auteur n</w:t>
      </w:r>
      <w:r>
        <w:rPr>
          <w:lang w:val="fr-FR"/>
        </w:rPr>
        <w:t>’</w:t>
      </w:r>
      <w:r w:rsidRPr="005361F4">
        <w:rPr>
          <w:lang w:val="fr-FR"/>
        </w:rPr>
        <w:t>avait pas accru sa visibilité et qu</w:t>
      </w:r>
      <w:r>
        <w:rPr>
          <w:lang w:val="fr-FR"/>
        </w:rPr>
        <w:t>’</w:t>
      </w:r>
      <w:r w:rsidRPr="005361F4">
        <w:rPr>
          <w:lang w:val="fr-FR"/>
        </w:rPr>
        <w:t>il ne risquait pas d</w:t>
      </w:r>
      <w:r>
        <w:rPr>
          <w:lang w:val="fr-FR"/>
        </w:rPr>
        <w:t>’</w:t>
      </w:r>
      <w:r w:rsidRPr="005361F4">
        <w:rPr>
          <w:lang w:val="fr-FR"/>
        </w:rPr>
        <w:t>être de nouveau persécuté parce qu</w:t>
      </w:r>
      <w:r>
        <w:rPr>
          <w:lang w:val="fr-FR"/>
        </w:rPr>
        <w:t>’</w:t>
      </w:r>
      <w:r w:rsidRPr="005361F4">
        <w:rPr>
          <w:lang w:val="fr-FR"/>
        </w:rPr>
        <w:t xml:space="preserve">il avait été enlevé ou </w:t>
      </w:r>
      <w:r>
        <w:rPr>
          <w:lang w:val="fr-FR"/>
        </w:rPr>
        <w:t xml:space="preserve">qu’il </w:t>
      </w:r>
      <w:r w:rsidRPr="005361F4">
        <w:rPr>
          <w:lang w:val="fr-FR"/>
        </w:rPr>
        <w:t>avait travaillé sur une base des États-Unis</w:t>
      </w:r>
      <w:r w:rsidRPr="000060F8">
        <w:rPr>
          <w:rStyle w:val="Appelnotedebasdep"/>
        </w:rPr>
        <w:footnoteReference w:id="16"/>
      </w:r>
      <w:r w:rsidRPr="005361F4">
        <w:rPr>
          <w:lang w:val="fr-FR"/>
        </w:rPr>
        <w:t>. Enfin, la Commission a conclu que la déclaration d</w:t>
      </w:r>
      <w:r>
        <w:rPr>
          <w:lang w:val="fr-FR"/>
        </w:rPr>
        <w:t>e l’auteur</w:t>
      </w:r>
      <w:r w:rsidRPr="005361F4">
        <w:rPr>
          <w:lang w:val="fr-FR"/>
        </w:rPr>
        <w:t xml:space="preserve"> selon laquelle il craignait les autorités afghanes parce qu</w:t>
      </w:r>
      <w:r>
        <w:rPr>
          <w:lang w:val="fr-FR"/>
        </w:rPr>
        <w:t>’</w:t>
      </w:r>
      <w:r w:rsidRPr="005361F4">
        <w:rPr>
          <w:lang w:val="fr-FR"/>
        </w:rPr>
        <w:t>elles le soupçonnaient d</w:t>
      </w:r>
      <w:r>
        <w:rPr>
          <w:lang w:val="fr-FR"/>
        </w:rPr>
        <w:t>’</w:t>
      </w:r>
      <w:r w:rsidRPr="005361F4">
        <w:rPr>
          <w:lang w:val="fr-FR"/>
        </w:rPr>
        <w:t xml:space="preserve">avoir rejoint les Taliban </w:t>
      </w:r>
      <w:r>
        <w:rPr>
          <w:lang w:val="fr-FR"/>
        </w:rPr>
        <w:t xml:space="preserve">ne </w:t>
      </w:r>
      <w:r w:rsidRPr="005361F4">
        <w:rPr>
          <w:lang w:val="fr-FR"/>
        </w:rPr>
        <w:t xml:space="preserve">reposait </w:t>
      </w:r>
      <w:r>
        <w:rPr>
          <w:lang w:val="fr-FR"/>
        </w:rPr>
        <w:t xml:space="preserve">que </w:t>
      </w:r>
      <w:r w:rsidRPr="000060F8">
        <w:rPr>
          <w:lang w:val="fr-FR"/>
        </w:rPr>
        <w:t>sur une supposition</w:t>
      </w:r>
      <w:r w:rsidRPr="005361F4">
        <w:rPr>
          <w:lang w:val="fr-FR"/>
        </w:rPr>
        <w:t>. Sur ce point, la Commission a relevé que l</w:t>
      </w:r>
      <w:r>
        <w:rPr>
          <w:lang w:val="fr-FR"/>
        </w:rPr>
        <w:t>’</w:t>
      </w:r>
      <w:r w:rsidRPr="005361F4">
        <w:rPr>
          <w:lang w:val="fr-FR"/>
        </w:rPr>
        <w:t>auteur avait informé les forces des États-Unis qu</w:t>
      </w:r>
      <w:r>
        <w:rPr>
          <w:lang w:val="fr-FR"/>
        </w:rPr>
        <w:t>’</w:t>
      </w:r>
      <w:r w:rsidRPr="005361F4">
        <w:rPr>
          <w:lang w:val="fr-FR"/>
        </w:rPr>
        <w:t>il avait reçu deux lettres de menaces des Taliban et qu</w:t>
      </w:r>
      <w:r>
        <w:rPr>
          <w:lang w:val="fr-FR"/>
        </w:rPr>
        <w:t>’</w:t>
      </w:r>
      <w:r w:rsidRPr="005361F4">
        <w:rPr>
          <w:lang w:val="fr-FR"/>
        </w:rPr>
        <w:t>il avait peur de ceux-ci.</w:t>
      </w:r>
    </w:p>
    <w:p w:rsidR="00457C99" w:rsidRPr="005361F4" w:rsidRDefault="00457C99" w:rsidP="00457C99">
      <w:pPr>
        <w:pStyle w:val="SingleTxtG"/>
        <w:rPr>
          <w:lang w:val="fr-FR"/>
        </w:rPr>
      </w:pPr>
      <w:r w:rsidRPr="005361F4">
        <w:rPr>
          <w:lang w:val="fr-FR"/>
        </w:rPr>
        <w:t>4.6</w:t>
      </w:r>
      <w:r w:rsidRPr="005361F4">
        <w:rPr>
          <w:lang w:val="fr-FR"/>
        </w:rPr>
        <w:tab/>
        <w:t>L</w:t>
      </w:r>
      <w:r>
        <w:rPr>
          <w:lang w:val="fr-FR"/>
        </w:rPr>
        <w:t>’</w:t>
      </w:r>
      <w:r w:rsidRPr="005361F4">
        <w:rPr>
          <w:lang w:val="fr-FR"/>
        </w:rPr>
        <w:t>État partie rappelle que c</w:t>
      </w:r>
      <w:r>
        <w:rPr>
          <w:lang w:val="fr-FR"/>
        </w:rPr>
        <w:t>’</w:t>
      </w:r>
      <w:r w:rsidRPr="005361F4">
        <w:rPr>
          <w:lang w:val="fr-FR"/>
        </w:rPr>
        <w:t>est généralement aux autorités des États parties qu</w:t>
      </w:r>
      <w:r>
        <w:rPr>
          <w:lang w:val="fr-FR"/>
        </w:rPr>
        <w:t>’</w:t>
      </w:r>
      <w:r w:rsidRPr="005361F4">
        <w:rPr>
          <w:lang w:val="fr-FR"/>
        </w:rPr>
        <w:t>il appartient d</w:t>
      </w:r>
      <w:r>
        <w:rPr>
          <w:lang w:val="fr-FR"/>
        </w:rPr>
        <w:t>’</w:t>
      </w:r>
      <w:r w:rsidRPr="005361F4">
        <w:rPr>
          <w:lang w:val="fr-FR"/>
        </w:rPr>
        <w:t>apprécier les faits et les preuves dans une affaire donnée pour déterminer s</w:t>
      </w:r>
      <w:r>
        <w:rPr>
          <w:lang w:val="fr-FR"/>
        </w:rPr>
        <w:t>’</w:t>
      </w:r>
      <w:r w:rsidRPr="005361F4">
        <w:rPr>
          <w:lang w:val="fr-FR"/>
        </w:rPr>
        <w:t>il existe un risque de préjudice irréparable, sauf s</w:t>
      </w:r>
      <w:r>
        <w:rPr>
          <w:lang w:val="fr-FR"/>
        </w:rPr>
        <w:t>’</w:t>
      </w:r>
      <w:r w:rsidRPr="005361F4">
        <w:rPr>
          <w:lang w:val="fr-FR"/>
        </w:rPr>
        <w:t xml:space="preserve">il peut être établi que cette appréciation a </w:t>
      </w:r>
      <w:r w:rsidRPr="005361F4">
        <w:rPr>
          <w:lang w:val="fr-FR"/>
        </w:rPr>
        <w:lastRenderedPageBreak/>
        <w:t>été arbitraire ou a représenté un déni de justice. Or, en l</w:t>
      </w:r>
      <w:r>
        <w:rPr>
          <w:lang w:val="fr-FR"/>
        </w:rPr>
        <w:t>’</w:t>
      </w:r>
      <w:r w:rsidRPr="005361F4">
        <w:rPr>
          <w:lang w:val="fr-FR"/>
        </w:rPr>
        <w:t>espèce, la Commission de recours des réfugiés a conclu que l</w:t>
      </w:r>
      <w:r>
        <w:rPr>
          <w:lang w:val="fr-FR"/>
        </w:rPr>
        <w:t>’</w:t>
      </w:r>
      <w:r w:rsidRPr="005361F4">
        <w:rPr>
          <w:lang w:val="fr-FR"/>
        </w:rPr>
        <w:t>auteur ne courrait pas personnellement un risque particulier d</w:t>
      </w:r>
      <w:r>
        <w:rPr>
          <w:lang w:val="fr-FR"/>
        </w:rPr>
        <w:t>’</w:t>
      </w:r>
      <w:r w:rsidRPr="005361F4">
        <w:rPr>
          <w:lang w:val="fr-FR"/>
        </w:rPr>
        <w:t>être persécuté en cas de renvoi en Afghanistan. L</w:t>
      </w:r>
      <w:r>
        <w:rPr>
          <w:lang w:val="fr-FR"/>
        </w:rPr>
        <w:t>’</w:t>
      </w:r>
      <w:r w:rsidRPr="005361F4">
        <w:rPr>
          <w:lang w:val="fr-FR"/>
        </w:rPr>
        <w:t>État partie ajoute qu</w:t>
      </w:r>
      <w:r>
        <w:rPr>
          <w:lang w:val="fr-FR"/>
        </w:rPr>
        <w:t>’</w:t>
      </w:r>
      <w:r w:rsidRPr="005361F4">
        <w:rPr>
          <w:lang w:val="fr-FR"/>
        </w:rPr>
        <w:t>aucune information supplémentaire n</w:t>
      </w:r>
      <w:r>
        <w:rPr>
          <w:lang w:val="fr-FR"/>
        </w:rPr>
        <w:t>’</w:t>
      </w:r>
      <w:r w:rsidRPr="005361F4">
        <w:rPr>
          <w:lang w:val="fr-FR"/>
        </w:rPr>
        <w:t>a été portée à l</w:t>
      </w:r>
      <w:r>
        <w:rPr>
          <w:lang w:val="fr-FR"/>
        </w:rPr>
        <w:t>’</w:t>
      </w:r>
      <w:r w:rsidRPr="005361F4">
        <w:rPr>
          <w:lang w:val="fr-FR"/>
        </w:rPr>
        <w:t>attention du Comité par rapport à celles dont disposait la Commission. Ainsi, de l</w:t>
      </w:r>
      <w:r>
        <w:rPr>
          <w:lang w:val="fr-FR"/>
        </w:rPr>
        <w:t>’</w:t>
      </w:r>
      <w:r w:rsidRPr="005361F4">
        <w:rPr>
          <w:lang w:val="fr-FR"/>
        </w:rPr>
        <w:t>avis de l</w:t>
      </w:r>
      <w:r>
        <w:rPr>
          <w:lang w:val="fr-FR"/>
        </w:rPr>
        <w:t>’</w:t>
      </w:r>
      <w:r w:rsidRPr="005361F4">
        <w:rPr>
          <w:lang w:val="fr-FR"/>
        </w:rPr>
        <w:t>État partie, rien ne permet de mettre en doute, et encore moins d</w:t>
      </w:r>
      <w:r>
        <w:rPr>
          <w:lang w:val="fr-FR"/>
        </w:rPr>
        <w:t>’</w:t>
      </w:r>
      <w:r w:rsidRPr="005361F4">
        <w:rPr>
          <w:lang w:val="fr-FR"/>
        </w:rPr>
        <w:t>écarter, l</w:t>
      </w:r>
      <w:r>
        <w:rPr>
          <w:lang w:val="fr-FR"/>
        </w:rPr>
        <w:t>’</w:t>
      </w:r>
      <w:r w:rsidRPr="005361F4">
        <w:rPr>
          <w:lang w:val="fr-FR"/>
        </w:rPr>
        <w:t>appréciation de la Commission selon laquelle l</w:t>
      </w:r>
      <w:r>
        <w:rPr>
          <w:lang w:val="fr-FR"/>
        </w:rPr>
        <w:t>’</w:t>
      </w:r>
      <w:r w:rsidRPr="005361F4">
        <w:rPr>
          <w:lang w:val="fr-FR"/>
        </w:rPr>
        <w:t>auteur n</w:t>
      </w:r>
      <w:r>
        <w:rPr>
          <w:lang w:val="fr-FR"/>
        </w:rPr>
        <w:t>’</w:t>
      </w:r>
      <w:r w:rsidRPr="005361F4">
        <w:rPr>
          <w:lang w:val="fr-FR"/>
        </w:rPr>
        <w:t>a pas démontré qu</w:t>
      </w:r>
      <w:r>
        <w:rPr>
          <w:lang w:val="fr-FR"/>
        </w:rPr>
        <w:t>’</w:t>
      </w:r>
      <w:r w:rsidRPr="005361F4">
        <w:rPr>
          <w:lang w:val="fr-FR"/>
        </w:rPr>
        <w:t xml:space="preserve">il y avait des motifs sérieux de croire </w:t>
      </w:r>
      <w:bookmarkStart w:id="3" w:name="_Hlk8656409"/>
      <w:r w:rsidRPr="005361F4">
        <w:rPr>
          <w:lang w:val="fr-FR"/>
        </w:rPr>
        <w:t>qu</w:t>
      </w:r>
      <w:r>
        <w:rPr>
          <w:lang w:val="fr-FR"/>
        </w:rPr>
        <w:t>’</w:t>
      </w:r>
      <w:r w:rsidRPr="005361F4">
        <w:rPr>
          <w:lang w:val="fr-FR"/>
        </w:rPr>
        <w:t>il risquerait d</w:t>
      </w:r>
      <w:r>
        <w:rPr>
          <w:lang w:val="fr-FR"/>
        </w:rPr>
        <w:t>’</w:t>
      </w:r>
      <w:r w:rsidRPr="005361F4">
        <w:rPr>
          <w:lang w:val="fr-FR"/>
        </w:rPr>
        <w:t>être tué ou soumis à des peines ou traitements cruels, inhumains ou dégradants s</w:t>
      </w:r>
      <w:r>
        <w:rPr>
          <w:lang w:val="fr-FR"/>
        </w:rPr>
        <w:t>’</w:t>
      </w:r>
      <w:r w:rsidRPr="005361F4">
        <w:rPr>
          <w:lang w:val="fr-FR"/>
        </w:rPr>
        <w:t>il était renvoyé en Afghanistan</w:t>
      </w:r>
      <w:bookmarkEnd w:id="3"/>
      <w:r w:rsidRPr="005361F4">
        <w:rPr>
          <w:lang w:val="fr-FR"/>
        </w:rPr>
        <w:t>.</w:t>
      </w:r>
    </w:p>
    <w:p w:rsidR="00457C99" w:rsidRPr="005361F4" w:rsidRDefault="00457C99" w:rsidP="00457C99">
      <w:pPr>
        <w:pStyle w:val="SingleTxtG"/>
        <w:rPr>
          <w:lang w:val="fr-FR"/>
        </w:rPr>
      </w:pPr>
      <w:r w:rsidRPr="005361F4">
        <w:rPr>
          <w:lang w:val="fr-FR"/>
        </w:rPr>
        <w:t>4.7</w:t>
      </w:r>
      <w:r w:rsidRPr="005361F4">
        <w:rPr>
          <w:lang w:val="fr-FR"/>
        </w:rPr>
        <w:tab/>
        <w:t>L</w:t>
      </w:r>
      <w:r>
        <w:rPr>
          <w:lang w:val="fr-FR"/>
        </w:rPr>
        <w:t>’</w:t>
      </w:r>
      <w:r w:rsidRPr="005361F4">
        <w:rPr>
          <w:lang w:val="fr-FR"/>
        </w:rPr>
        <w:t>État partie indique que les rapports sur lesquels s</w:t>
      </w:r>
      <w:r>
        <w:rPr>
          <w:lang w:val="fr-FR"/>
        </w:rPr>
        <w:t>’</w:t>
      </w:r>
      <w:r w:rsidRPr="005361F4">
        <w:rPr>
          <w:lang w:val="fr-FR"/>
        </w:rPr>
        <w:t>appuie l</w:t>
      </w:r>
      <w:r>
        <w:rPr>
          <w:lang w:val="fr-FR"/>
        </w:rPr>
        <w:t>’</w:t>
      </w:r>
      <w:r w:rsidRPr="005361F4">
        <w:rPr>
          <w:lang w:val="fr-FR"/>
        </w:rPr>
        <w:t>auteur font partie des informations générales sur l</w:t>
      </w:r>
      <w:r>
        <w:rPr>
          <w:lang w:val="fr-FR"/>
        </w:rPr>
        <w:t>’</w:t>
      </w:r>
      <w:r w:rsidRPr="005361F4">
        <w:rPr>
          <w:lang w:val="fr-FR"/>
        </w:rPr>
        <w:t>Afghanistan dont disposait la Commission de recours des réfugiés et que celle-ci en a tenu compte lorsqu</w:t>
      </w:r>
      <w:r>
        <w:rPr>
          <w:lang w:val="fr-FR"/>
        </w:rPr>
        <w:t>’</w:t>
      </w:r>
      <w:r w:rsidRPr="005361F4">
        <w:rPr>
          <w:lang w:val="fr-FR"/>
        </w:rPr>
        <w:t>elle a examiné la situation de l</w:t>
      </w:r>
      <w:r>
        <w:rPr>
          <w:lang w:val="fr-FR"/>
        </w:rPr>
        <w:t>’</w:t>
      </w:r>
      <w:r w:rsidRPr="005361F4">
        <w:rPr>
          <w:lang w:val="fr-FR"/>
        </w:rPr>
        <w:t>auteur. Il</w:t>
      </w:r>
      <w:r w:rsidR="006E4422">
        <w:rPr>
          <w:lang w:val="fr-FR"/>
        </w:rPr>
        <w:t> </w:t>
      </w:r>
      <w:r w:rsidRPr="005361F4">
        <w:rPr>
          <w:lang w:val="fr-FR"/>
        </w:rPr>
        <w:t>ajoute néanmoins que l</w:t>
      </w:r>
      <w:r>
        <w:rPr>
          <w:lang w:val="fr-FR"/>
        </w:rPr>
        <w:t>’</w:t>
      </w:r>
      <w:r w:rsidRPr="005361F4">
        <w:rPr>
          <w:lang w:val="fr-FR"/>
        </w:rPr>
        <w:t>invocation par celui-ci de la situation générale des personnes renvoyées de force en Afghanistan ne saurait justifier une appréciation différente en ce qui le concerne.</w:t>
      </w:r>
    </w:p>
    <w:p w:rsidR="00457C99" w:rsidRPr="005361F4" w:rsidRDefault="00457C99" w:rsidP="00457C99">
      <w:pPr>
        <w:pStyle w:val="SingleTxtG"/>
        <w:rPr>
          <w:lang w:val="fr-FR"/>
        </w:rPr>
      </w:pPr>
      <w:r w:rsidRPr="005361F4">
        <w:rPr>
          <w:lang w:val="fr-FR"/>
        </w:rPr>
        <w:t>4.8</w:t>
      </w:r>
      <w:r w:rsidRPr="005361F4">
        <w:rPr>
          <w:lang w:val="fr-FR"/>
        </w:rPr>
        <w:tab/>
        <w:t>L</w:t>
      </w:r>
      <w:r>
        <w:rPr>
          <w:lang w:val="fr-FR"/>
        </w:rPr>
        <w:t>’</w:t>
      </w:r>
      <w:r w:rsidRPr="005361F4">
        <w:rPr>
          <w:lang w:val="fr-FR"/>
        </w:rPr>
        <w:t>État partie informe le Comité qu</w:t>
      </w:r>
      <w:r>
        <w:rPr>
          <w:lang w:val="fr-FR"/>
        </w:rPr>
        <w:t>’</w:t>
      </w:r>
      <w:r w:rsidRPr="005361F4">
        <w:rPr>
          <w:lang w:val="fr-FR"/>
        </w:rPr>
        <w:t>en réponse à sa demande de mesures provisoires, la Commission de recours des réfugiés a suspendu jusqu</w:t>
      </w:r>
      <w:r>
        <w:rPr>
          <w:lang w:val="fr-FR"/>
        </w:rPr>
        <w:t>’</w:t>
      </w:r>
      <w:r w:rsidRPr="005361F4">
        <w:rPr>
          <w:lang w:val="fr-FR"/>
        </w:rPr>
        <w:t>à nouvel ordre le délai fixé pour le départ de l</w:t>
      </w:r>
      <w:r>
        <w:rPr>
          <w:lang w:val="fr-FR"/>
        </w:rPr>
        <w:t>’</w:t>
      </w:r>
      <w:r w:rsidRPr="005361F4">
        <w:rPr>
          <w:lang w:val="fr-FR"/>
        </w:rPr>
        <w:t>auteur du Danemark. Compte tenu de tout ce qui précède, l</w:t>
      </w:r>
      <w:r>
        <w:rPr>
          <w:lang w:val="fr-FR"/>
        </w:rPr>
        <w:t>’</w:t>
      </w:r>
      <w:r w:rsidRPr="005361F4">
        <w:rPr>
          <w:lang w:val="fr-FR"/>
        </w:rPr>
        <w:t>État partie demande au Comité de reconsidérer sa demande de mesures provisoires.</w:t>
      </w:r>
    </w:p>
    <w:p w:rsidR="00457C99" w:rsidRPr="005361F4" w:rsidRDefault="00457C99" w:rsidP="006E4422">
      <w:pPr>
        <w:pStyle w:val="H23G"/>
        <w:rPr>
          <w:lang w:val="fr-FR"/>
        </w:rPr>
      </w:pPr>
      <w:r w:rsidRPr="005361F4">
        <w:rPr>
          <w:lang w:val="fr-FR"/>
        </w:rPr>
        <w:tab/>
      </w:r>
      <w:r w:rsidRPr="005361F4">
        <w:rPr>
          <w:lang w:val="fr-FR"/>
        </w:rPr>
        <w:tab/>
        <w:t>Commentaires de l</w:t>
      </w:r>
      <w:r>
        <w:rPr>
          <w:lang w:val="fr-FR"/>
        </w:rPr>
        <w:t>’</w:t>
      </w:r>
      <w:r w:rsidRPr="005361F4">
        <w:rPr>
          <w:lang w:val="fr-FR"/>
        </w:rPr>
        <w:t>auteur sur les observations de l</w:t>
      </w:r>
      <w:r>
        <w:rPr>
          <w:lang w:val="fr-FR"/>
        </w:rPr>
        <w:t>’</w:t>
      </w:r>
      <w:r w:rsidRPr="005361F4">
        <w:rPr>
          <w:lang w:val="fr-FR"/>
        </w:rPr>
        <w:t xml:space="preserve">État partie </w:t>
      </w:r>
    </w:p>
    <w:p w:rsidR="00457C99" w:rsidRPr="005361F4" w:rsidRDefault="00457C99" w:rsidP="00457C99">
      <w:pPr>
        <w:pStyle w:val="SingleTxtG"/>
        <w:rPr>
          <w:lang w:val="fr-FR"/>
        </w:rPr>
      </w:pPr>
      <w:r w:rsidRPr="005361F4">
        <w:rPr>
          <w:lang w:val="fr-FR"/>
        </w:rPr>
        <w:t>5.1</w:t>
      </w:r>
      <w:r w:rsidRPr="005361F4">
        <w:rPr>
          <w:lang w:val="fr-FR"/>
        </w:rPr>
        <w:tab/>
        <w:t>Le 10 mars 2017, l</w:t>
      </w:r>
      <w:r>
        <w:rPr>
          <w:lang w:val="fr-FR"/>
        </w:rPr>
        <w:t>’</w:t>
      </w:r>
      <w:r w:rsidRPr="005361F4">
        <w:rPr>
          <w:lang w:val="fr-FR"/>
        </w:rPr>
        <w:t>auteur a soumis des commentaires sur les observations de l</w:t>
      </w:r>
      <w:r>
        <w:rPr>
          <w:lang w:val="fr-FR"/>
        </w:rPr>
        <w:t>’</w:t>
      </w:r>
      <w:r w:rsidRPr="005361F4">
        <w:rPr>
          <w:lang w:val="fr-FR"/>
        </w:rPr>
        <w:t>État partie, arguant qu</w:t>
      </w:r>
      <w:r>
        <w:rPr>
          <w:lang w:val="fr-FR"/>
        </w:rPr>
        <w:t>’</w:t>
      </w:r>
      <w:r w:rsidRPr="005361F4">
        <w:rPr>
          <w:lang w:val="fr-FR"/>
        </w:rPr>
        <w:t>il y a des motifs sérieux de croire qu</w:t>
      </w:r>
      <w:r>
        <w:rPr>
          <w:lang w:val="fr-FR"/>
        </w:rPr>
        <w:t>’</w:t>
      </w:r>
      <w:r w:rsidRPr="005361F4">
        <w:rPr>
          <w:lang w:val="fr-FR"/>
        </w:rPr>
        <w:t>il risque d</w:t>
      </w:r>
      <w:r>
        <w:rPr>
          <w:lang w:val="fr-FR"/>
        </w:rPr>
        <w:t>’</w:t>
      </w:r>
      <w:r w:rsidRPr="005361F4">
        <w:rPr>
          <w:lang w:val="fr-FR"/>
        </w:rPr>
        <w:t>être soumis à des mauvais traitements, en violation des droits qu</w:t>
      </w:r>
      <w:r>
        <w:rPr>
          <w:lang w:val="fr-FR"/>
        </w:rPr>
        <w:t>’</w:t>
      </w:r>
      <w:r w:rsidRPr="005361F4">
        <w:rPr>
          <w:lang w:val="fr-FR"/>
        </w:rPr>
        <w:t>il tient de l</w:t>
      </w:r>
      <w:r>
        <w:rPr>
          <w:lang w:val="fr-FR"/>
        </w:rPr>
        <w:t>’</w:t>
      </w:r>
      <w:r w:rsidRPr="005361F4">
        <w:rPr>
          <w:lang w:val="fr-FR"/>
        </w:rPr>
        <w:t>article 7 du Pacte, s</w:t>
      </w:r>
      <w:r>
        <w:rPr>
          <w:lang w:val="fr-FR"/>
        </w:rPr>
        <w:t>’</w:t>
      </w:r>
      <w:r w:rsidRPr="005361F4">
        <w:rPr>
          <w:lang w:val="fr-FR"/>
        </w:rPr>
        <w:t>il était expulsé vers l</w:t>
      </w:r>
      <w:r>
        <w:rPr>
          <w:lang w:val="fr-FR"/>
        </w:rPr>
        <w:t>’</w:t>
      </w:r>
      <w:r w:rsidRPr="005361F4">
        <w:rPr>
          <w:lang w:val="fr-FR"/>
        </w:rPr>
        <w:t>Afghanistan.</w:t>
      </w:r>
    </w:p>
    <w:p w:rsidR="00457C99" w:rsidRPr="005361F4" w:rsidRDefault="00457C99" w:rsidP="00457C99">
      <w:pPr>
        <w:pStyle w:val="SingleTxtG"/>
        <w:rPr>
          <w:lang w:val="fr-FR"/>
        </w:rPr>
      </w:pPr>
      <w:r w:rsidRPr="005361F4">
        <w:rPr>
          <w:lang w:val="fr-FR"/>
        </w:rPr>
        <w:t>5.2</w:t>
      </w:r>
      <w:r w:rsidRPr="005361F4">
        <w:rPr>
          <w:lang w:val="fr-FR"/>
        </w:rPr>
        <w:tab/>
        <w:t>En réponse à la déclaration de l</w:t>
      </w:r>
      <w:r>
        <w:rPr>
          <w:lang w:val="fr-FR"/>
        </w:rPr>
        <w:t>’</w:t>
      </w:r>
      <w:r w:rsidRPr="005361F4">
        <w:rPr>
          <w:lang w:val="fr-FR"/>
        </w:rPr>
        <w:t>État partie selon laquelle il n</w:t>
      </w:r>
      <w:r>
        <w:rPr>
          <w:lang w:val="fr-FR"/>
        </w:rPr>
        <w:t>’</w:t>
      </w:r>
      <w:r w:rsidRPr="005361F4">
        <w:rPr>
          <w:lang w:val="fr-FR"/>
        </w:rPr>
        <w:t>avait pas été établi que le père de l</w:t>
      </w:r>
      <w:r>
        <w:rPr>
          <w:lang w:val="fr-FR"/>
        </w:rPr>
        <w:t>’</w:t>
      </w:r>
      <w:r w:rsidRPr="005361F4">
        <w:rPr>
          <w:lang w:val="fr-FR"/>
        </w:rPr>
        <w:t>auteur avait reçu une nouvelle lettre de menaces après le départ de celui</w:t>
      </w:r>
      <w:r w:rsidR="006E4422">
        <w:rPr>
          <w:lang w:val="fr-FR"/>
        </w:rPr>
        <w:noBreakHyphen/>
      </w:r>
      <w:r w:rsidRPr="005361F4">
        <w:rPr>
          <w:lang w:val="fr-FR"/>
        </w:rPr>
        <w:t>ci, l</w:t>
      </w:r>
      <w:r>
        <w:rPr>
          <w:lang w:val="fr-FR"/>
        </w:rPr>
        <w:t>’</w:t>
      </w:r>
      <w:r w:rsidRPr="005361F4">
        <w:rPr>
          <w:lang w:val="fr-FR"/>
        </w:rPr>
        <w:t>auteur soutient que, même si cette allégation demeure contestée par l</w:t>
      </w:r>
      <w:r>
        <w:rPr>
          <w:lang w:val="fr-FR"/>
        </w:rPr>
        <w:t>’</w:t>
      </w:r>
      <w:r w:rsidRPr="005361F4">
        <w:rPr>
          <w:lang w:val="fr-FR"/>
        </w:rPr>
        <w:t>État partie, elle ne change rien aux faits, établis, qu</w:t>
      </w:r>
      <w:r>
        <w:rPr>
          <w:lang w:val="fr-FR"/>
        </w:rPr>
        <w:t>’</w:t>
      </w:r>
      <w:r w:rsidRPr="005361F4">
        <w:rPr>
          <w:lang w:val="fr-FR"/>
        </w:rPr>
        <w:t>il avait reçu des lettres de menace des Taliban et qu</w:t>
      </w:r>
      <w:r>
        <w:rPr>
          <w:lang w:val="fr-FR"/>
        </w:rPr>
        <w:t>’</w:t>
      </w:r>
      <w:r w:rsidRPr="005361F4">
        <w:rPr>
          <w:lang w:val="fr-FR"/>
        </w:rPr>
        <w:t xml:space="preserve">il avait été détenu par </w:t>
      </w:r>
      <w:r>
        <w:rPr>
          <w:lang w:val="fr-FR"/>
        </w:rPr>
        <w:t>ceux-ci</w:t>
      </w:r>
      <w:r w:rsidRPr="005361F4">
        <w:rPr>
          <w:lang w:val="fr-FR"/>
        </w:rPr>
        <w:t>. Il conteste également l</w:t>
      </w:r>
      <w:r>
        <w:rPr>
          <w:lang w:val="fr-FR"/>
        </w:rPr>
        <w:t>’</w:t>
      </w:r>
      <w:r w:rsidRPr="005361F4">
        <w:rPr>
          <w:lang w:val="fr-FR"/>
        </w:rPr>
        <w:t>affirmation de l</w:t>
      </w:r>
      <w:r>
        <w:rPr>
          <w:lang w:val="fr-FR"/>
        </w:rPr>
        <w:t>’</w:t>
      </w:r>
      <w:r w:rsidRPr="005361F4">
        <w:rPr>
          <w:lang w:val="fr-FR"/>
        </w:rPr>
        <w:t>État partie selon laquelle les</w:t>
      </w:r>
      <w:r>
        <w:rPr>
          <w:lang w:val="fr-FR"/>
        </w:rPr>
        <w:t xml:space="preserve"> </w:t>
      </w:r>
      <w:r w:rsidRPr="005361F4">
        <w:rPr>
          <w:lang w:val="fr-FR"/>
        </w:rPr>
        <w:t>Taliban ne l</w:t>
      </w:r>
      <w:r>
        <w:rPr>
          <w:lang w:val="fr-FR"/>
        </w:rPr>
        <w:t>’</w:t>
      </w:r>
      <w:r w:rsidRPr="005361F4">
        <w:rPr>
          <w:lang w:val="fr-FR"/>
        </w:rPr>
        <w:t>avaient pas identifié puisque les deux lettres qu</w:t>
      </w:r>
      <w:r>
        <w:rPr>
          <w:lang w:val="fr-FR"/>
        </w:rPr>
        <w:t>’</w:t>
      </w:r>
      <w:r w:rsidRPr="005361F4">
        <w:rPr>
          <w:lang w:val="fr-FR"/>
        </w:rPr>
        <w:t>il avait reçues avant son départ lui étaient personnellement adressées. Il ajoute que même à supposer que son enlèvement ait été sans rapport avec ces deux lettres de menaces, celles-ci prouveraient à elles seules qu</w:t>
      </w:r>
      <w:r>
        <w:rPr>
          <w:lang w:val="fr-FR"/>
        </w:rPr>
        <w:t>’</w:t>
      </w:r>
      <w:r w:rsidRPr="005361F4">
        <w:rPr>
          <w:lang w:val="fr-FR"/>
        </w:rPr>
        <w:t>il était visé par les Taliban parce qu</w:t>
      </w:r>
      <w:r>
        <w:rPr>
          <w:lang w:val="fr-FR"/>
        </w:rPr>
        <w:t>’</w:t>
      </w:r>
      <w:r w:rsidRPr="005361F4">
        <w:rPr>
          <w:lang w:val="fr-FR"/>
        </w:rPr>
        <w:t>il avait coopéré avec les forces des États-Unis.</w:t>
      </w:r>
    </w:p>
    <w:p w:rsidR="00457C99" w:rsidRPr="005361F4" w:rsidRDefault="00457C99" w:rsidP="00457C99">
      <w:pPr>
        <w:pStyle w:val="SingleTxtG"/>
        <w:rPr>
          <w:lang w:val="fr-FR"/>
        </w:rPr>
      </w:pPr>
      <w:r w:rsidRPr="005361F4">
        <w:rPr>
          <w:lang w:val="fr-FR"/>
        </w:rPr>
        <w:t>5.3</w:t>
      </w:r>
      <w:r w:rsidRPr="005361F4">
        <w:rPr>
          <w:lang w:val="fr-FR"/>
        </w:rPr>
        <w:tab/>
        <w:t>L</w:t>
      </w:r>
      <w:r>
        <w:rPr>
          <w:lang w:val="fr-FR"/>
        </w:rPr>
        <w:t>’</w:t>
      </w:r>
      <w:r w:rsidRPr="005361F4">
        <w:rPr>
          <w:lang w:val="fr-FR"/>
        </w:rPr>
        <w:t>auteur invoque l</w:t>
      </w:r>
      <w:r>
        <w:rPr>
          <w:lang w:val="fr-FR"/>
        </w:rPr>
        <w:t>’</w:t>
      </w:r>
      <w:r w:rsidRPr="005361F4">
        <w:rPr>
          <w:lang w:val="fr-FR"/>
        </w:rPr>
        <w:t>arrêt rendu par la Cour européenne des droits de l</w:t>
      </w:r>
      <w:r>
        <w:rPr>
          <w:lang w:val="fr-FR"/>
        </w:rPr>
        <w:t>’</w:t>
      </w:r>
      <w:r w:rsidRPr="005361F4">
        <w:rPr>
          <w:lang w:val="fr-FR"/>
        </w:rPr>
        <w:t>homme dans l</w:t>
      </w:r>
      <w:r>
        <w:rPr>
          <w:lang w:val="fr-FR"/>
        </w:rPr>
        <w:t>’</w:t>
      </w:r>
      <w:r w:rsidRPr="005361F4">
        <w:rPr>
          <w:lang w:val="fr-FR"/>
        </w:rPr>
        <w:t xml:space="preserve">affaire </w:t>
      </w:r>
      <w:r w:rsidRPr="005361F4">
        <w:rPr>
          <w:bCs/>
          <w:i/>
          <w:lang w:val="fr-FR"/>
        </w:rPr>
        <w:t>J. K. et autres c. Suède</w:t>
      </w:r>
      <w:r w:rsidRPr="005361F4">
        <w:rPr>
          <w:bCs/>
          <w:lang w:val="fr-FR"/>
        </w:rPr>
        <w:t xml:space="preserve"> et, appliquant les conclusions de la Cour</w:t>
      </w:r>
      <w:r w:rsidRPr="000060F8">
        <w:rPr>
          <w:rStyle w:val="Appelnotedebasdep"/>
        </w:rPr>
        <w:footnoteReference w:id="17"/>
      </w:r>
      <w:r w:rsidRPr="005361F4">
        <w:rPr>
          <w:bCs/>
          <w:lang w:val="fr-FR"/>
        </w:rPr>
        <w:t xml:space="preserve"> à s</w:t>
      </w:r>
      <w:r>
        <w:rPr>
          <w:bCs/>
          <w:lang w:val="fr-FR"/>
        </w:rPr>
        <w:t>on</w:t>
      </w:r>
      <w:r w:rsidRPr="005361F4">
        <w:rPr>
          <w:bCs/>
          <w:lang w:val="fr-FR"/>
        </w:rPr>
        <w:t xml:space="preserve"> propre </w:t>
      </w:r>
      <w:r>
        <w:rPr>
          <w:bCs/>
          <w:lang w:val="fr-FR"/>
        </w:rPr>
        <w:t>cas</w:t>
      </w:r>
      <w:r w:rsidRPr="005361F4">
        <w:rPr>
          <w:bCs/>
          <w:lang w:val="fr-FR"/>
        </w:rPr>
        <w:t>, soutient que le fait qu</w:t>
      </w:r>
      <w:r>
        <w:rPr>
          <w:bCs/>
          <w:lang w:val="fr-FR"/>
        </w:rPr>
        <w:t>’</w:t>
      </w:r>
      <w:r w:rsidRPr="005361F4">
        <w:rPr>
          <w:bCs/>
          <w:lang w:val="fr-FR"/>
        </w:rPr>
        <w:t>il a été enlevé par les Taliban fournit un indice solide d</w:t>
      </w:r>
      <w:r>
        <w:rPr>
          <w:bCs/>
          <w:lang w:val="fr-FR"/>
        </w:rPr>
        <w:t>’</w:t>
      </w:r>
      <w:r w:rsidRPr="005361F4">
        <w:rPr>
          <w:bCs/>
          <w:lang w:val="fr-FR"/>
        </w:rPr>
        <w:t>un risque réel futur qu</w:t>
      </w:r>
      <w:r>
        <w:rPr>
          <w:bCs/>
          <w:lang w:val="fr-FR"/>
        </w:rPr>
        <w:t>’</w:t>
      </w:r>
      <w:r w:rsidRPr="005361F4">
        <w:rPr>
          <w:bCs/>
          <w:lang w:val="fr-FR"/>
        </w:rPr>
        <w:t>il subisse des mauvais traitements. C</w:t>
      </w:r>
      <w:r>
        <w:rPr>
          <w:bCs/>
          <w:lang w:val="fr-FR"/>
        </w:rPr>
        <w:t>’</w:t>
      </w:r>
      <w:r w:rsidRPr="005361F4">
        <w:rPr>
          <w:bCs/>
          <w:lang w:val="fr-FR"/>
        </w:rPr>
        <w:t>est donc à l</w:t>
      </w:r>
      <w:r>
        <w:rPr>
          <w:bCs/>
          <w:lang w:val="fr-FR"/>
        </w:rPr>
        <w:t>’</w:t>
      </w:r>
      <w:r w:rsidRPr="005361F4">
        <w:rPr>
          <w:bCs/>
          <w:lang w:val="fr-FR"/>
        </w:rPr>
        <w:t>État partie qu</w:t>
      </w:r>
      <w:r>
        <w:rPr>
          <w:bCs/>
          <w:lang w:val="fr-FR"/>
        </w:rPr>
        <w:t>’</w:t>
      </w:r>
      <w:r w:rsidRPr="005361F4">
        <w:rPr>
          <w:bCs/>
          <w:lang w:val="fr-FR"/>
        </w:rPr>
        <w:t xml:space="preserve">il incombe de dissiper les doutes éventuels au sujet de ce risque. En outre, le récit des faits </w:t>
      </w:r>
      <w:r>
        <w:rPr>
          <w:bCs/>
          <w:lang w:val="fr-FR"/>
        </w:rPr>
        <w:t xml:space="preserve">qu’il a </w:t>
      </w:r>
      <w:r w:rsidRPr="005361F4">
        <w:rPr>
          <w:bCs/>
          <w:lang w:val="fr-FR"/>
        </w:rPr>
        <w:t>livré concorde avec les informations provenant de sources fiables et objectives sur la situation générale dans le pays. S</w:t>
      </w:r>
      <w:r>
        <w:rPr>
          <w:bCs/>
          <w:lang w:val="fr-FR"/>
        </w:rPr>
        <w:t>’</w:t>
      </w:r>
      <w:r w:rsidRPr="005361F4">
        <w:rPr>
          <w:bCs/>
          <w:lang w:val="fr-FR"/>
        </w:rPr>
        <w:t>agissant de l</w:t>
      </w:r>
      <w:r>
        <w:rPr>
          <w:bCs/>
          <w:lang w:val="fr-FR"/>
        </w:rPr>
        <w:t>’</w:t>
      </w:r>
      <w:r w:rsidRPr="005361F4">
        <w:rPr>
          <w:bCs/>
          <w:lang w:val="fr-FR"/>
        </w:rPr>
        <w:t>arrêt rendu par la Cour européenne des droits de l</w:t>
      </w:r>
      <w:r>
        <w:rPr>
          <w:bCs/>
          <w:lang w:val="fr-FR"/>
        </w:rPr>
        <w:t>’</w:t>
      </w:r>
      <w:r w:rsidRPr="005361F4">
        <w:rPr>
          <w:bCs/>
          <w:lang w:val="fr-FR"/>
        </w:rPr>
        <w:t>homme dans l</w:t>
      </w:r>
      <w:r>
        <w:rPr>
          <w:bCs/>
          <w:lang w:val="fr-FR"/>
        </w:rPr>
        <w:t>’</w:t>
      </w:r>
      <w:r w:rsidRPr="005361F4">
        <w:rPr>
          <w:bCs/>
          <w:lang w:val="fr-FR"/>
        </w:rPr>
        <w:t xml:space="preserve">affaire </w:t>
      </w:r>
      <w:r w:rsidRPr="005361F4">
        <w:rPr>
          <w:i/>
          <w:lang w:val="fr-FR"/>
        </w:rPr>
        <w:t>H. et B. c.</w:t>
      </w:r>
      <w:r w:rsidRPr="005361F4">
        <w:rPr>
          <w:lang w:val="fr-FR"/>
        </w:rPr>
        <w:t> </w:t>
      </w:r>
      <w:r w:rsidRPr="005361F4">
        <w:rPr>
          <w:i/>
          <w:lang w:val="fr-FR"/>
        </w:rPr>
        <w:t>Royaume-Uni</w:t>
      </w:r>
      <w:r w:rsidRPr="005361F4">
        <w:rPr>
          <w:lang w:val="fr-FR"/>
        </w:rPr>
        <w:t xml:space="preserve"> qu</w:t>
      </w:r>
      <w:r>
        <w:rPr>
          <w:lang w:val="fr-FR"/>
        </w:rPr>
        <w:t>’</w:t>
      </w:r>
      <w:r w:rsidRPr="005361F4">
        <w:rPr>
          <w:lang w:val="fr-FR"/>
        </w:rPr>
        <w:t>invoque l</w:t>
      </w:r>
      <w:r>
        <w:rPr>
          <w:lang w:val="fr-FR"/>
        </w:rPr>
        <w:t>’</w:t>
      </w:r>
      <w:r w:rsidRPr="005361F4">
        <w:rPr>
          <w:lang w:val="fr-FR"/>
        </w:rPr>
        <w:t>État partie, l</w:t>
      </w:r>
      <w:r>
        <w:rPr>
          <w:lang w:val="fr-FR"/>
        </w:rPr>
        <w:t>’</w:t>
      </w:r>
      <w:r w:rsidRPr="005361F4">
        <w:rPr>
          <w:lang w:val="fr-FR"/>
        </w:rPr>
        <w:t>auteur fait observer que c</w:t>
      </w:r>
      <w:r>
        <w:rPr>
          <w:lang w:val="fr-FR"/>
        </w:rPr>
        <w:t>’</w:t>
      </w:r>
      <w:r w:rsidRPr="005361F4">
        <w:rPr>
          <w:lang w:val="fr-FR"/>
        </w:rPr>
        <w:t xml:space="preserve">est essentiellement parce que la Cour a confirmé le manque de crédibilité du requérant établi par le Gouvernement </w:t>
      </w:r>
      <w:r w:rsidRPr="000060F8">
        <w:rPr>
          <w:lang w:val="fr-FR"/>
        </w:rPr>
        <w:t>qu</w:t>
      </w:r>
      <w:r>
        <w:rPr>
          <w:lang w:val="fr-FR"/>
        </w:rPr>
        <w:t>’</w:t>
      </w:r>
      <w:r w:rsidRPr="000060F8">
        <w:rPr>
          <w:lang w:val="fr-FR"/>
        </w:rPr>
        <w:t>elle a conclu à l</w:t>
      </w:r>
      <w:r>
        <w:rPr>
          <w:lang w:val="fr-FR"/>
        </w:rPr>
        <w:t>’</w:t>
      </w:r>
      <w:r w:rsidRPr="000060F8">
        <w:rPr>
          <w:lang w:val="fr-FR"/>
        </w:rPr>
        <w:t xml:space="preserve">absence de violation </w:t>
      </w:r>
      <w:r w:rsidRPr="005361F4">
        <w:rPr>
          <w:lang w:val="fr-FR"/>
        </w:rPr>
        <w:t>dans cette affaire. Par contre, dans la présente espèce, la plupart des déclarations de l</w:t>
      </w:r>
      <w:r>
        <w:rPr>
          <w:lang w:val="fr-FR"/>
        </w:rPr>
        <w:t>’</w:t>
      </w:r>
      <w:r w:rsidRPr="005361F4">
        <w:rPr>
          <w:lang w:val="fr-FR"/>
        </w:rPr>
        <w:t xml:space="preserve">auteur ont été </w:t>
      </w:r>
      <w:r>
        <w:rPr>
          <w:lang w:val="fr-FR"/>
        </w:rPr>
        <w:t xml:space="preserve">jugées dignes de foi ; </w:t>
      </w:r>
      <w:r w:rsidRPr="005361F4">
        <w:rPr>
          <w:lang w:val="fr-FR"/>
        </w:rPr>
        <w:t>les deux affaires ne sont donc pas comparables.</w:t>
      </w:r>
    </w:p>
    <w:p w:rsidR="00457C99" w:rsidRPr="005361F4" w:rsidRDefault="00457C99" w:rsidP="00457C99">
      <w:pPr>
        <w:pStyle w:val="SingleTxtG"/>
        <w:rPr>
          <w:lang w:val="fr-FR"/>
        </w:rPr>
      </w:pPr>
      <w:r w:rsidRPr="005361F4">
        <w:rPr>
          <w:lang w:val="fr-FR"/>
        </w:rPr>
        <w:t>5.4</w:t>
      </w:r>
      <w:r w:rsidRPr="005361F4">
        <w:rPr>
          <w:lang w:val="fr-FR"/>
        </w:rPr>
        <w:tab/>
        <w:t>L</w:t>
      </w:r>
      <w:r>
        <w:rPr>
          <w:lang w:val="fr-FR"/>
        </w:rPr>
        <w:t>’</w:t>
      </w:r>
      <w:r w:rsidRPr="005361F4">
        <w:rPr>
          <w:lang w:val="fr-FR"/>
        </w:rPr>
        <w:t>auteur affirme également qu</w:t>
      </w:r>
      <w:r>
        <w:rPr>
          <w:lang w:val="fr-FR"/>
        </w:rPr>
        <w:t>’</w:t>
      </w:r>
      <w:r w:rsidRPr="005361F4">
        <w:rPr>
          <w:lang w:val="fr-FR"/>
        </w:rPr>
        <w:t>il ne pourrait s</w:t>
      </w:r>
      <w:r>
        <w:rPr>
          <w:lang w:val="fr-FR"/>
        </w:rPr>
        <w:t>’</w:t>
      </w:r>
      <w:r w:rsidRPr="005361F4">
        <w:rPr>
          <w:lang w:val="fr-FR"/>
        </w:rPr>
        <w:t>établir nulle part en Afghanistan en raison du risque de mauvais traitements. Se fondant sur les informations générales sur le pays, il fait valoir que les</w:t>
      </w:r>
      <w:r>
        <w:rPr>
          <w:lang w:val="fr-FR"/>
        </w:rPr>
        <w:t xml:space="preserve"> </w:t>
      </w:r>
      <w:r w:rsidRPr="005361F4">
        <w:rPr>
          <w:lang w:val="fr-FR"/>
        </w:rPr>
        <w:t xml:space="preserve">Taliban enlèvent de manière ciblée les personnes soupçonnées de </w:t>
      </w:r>
      <w:r w:rsidRPr="005361F4">
        <w:rPr>
          <w:lang w:val="fr-FR"/>
        </w:rPr>
        <w:lastRenderedPageBreak/>
        <w:t>travailler pour les forces internationales</w:t>
      </w:r>
      <w:r w:rsidRPr="000060F8">
        <w:rPr>
          <w:rStyle w:val="Appelnotedebasdep"/>
        </w:rPr>
        <w:footnoteReference w:id="18"/>
      </w:r>
      <w:r w:rsidRPr="005361F4">
        <w:rPr>
          <w:lang w:val="fr-FR"/>
        </w:rPr>
        <w:t>. C</w:t>
      </w:r>
      <w:r>
        <w:rPr>
          <w:lang w:val="fr-FR"/>
        </w:rPr>
        <w:t>’</w:t>
      </w:r>
      <w:r w:rsidRPr="005361F4">
        <w:rPr>
          <w:lang w:val="fr-FR"/>
        </w:rPr>
        <w:t>est pourquoi le fait pour une personne d</w:t>
      </w:r>
      <w:r>
        <w:rPr>
          <w:lang w:val="fr-FR"/>
        </w:rPr>
        <w:t>’</w:t>
      </w:r>
      <w:r w:rsidRPr="005361F4">
        <w:rPr>
          <w:lang w:val="fr-FR"/>
        </w:rPr>
        <w:t>être soupçonnée de travailler pour les forces internationales suffit, même si les</w:t>
      </w:r>
      <w:r>
        <w:rPr>
          <w:lang w:val="fr-FR"/>
        </w:rPr>
        <w:t xml:space="preserve"> </w:t>
      </w:r>
      <w:r w:rsidRPr="005361F4">
        <w:rPr>
          <w:lang w:val="fr-FR"/>
        </w:rPr>
        <w:t>Taliban ne sont pas certains de l</w:t>
      </w:r>
      <w:r>
        <w:rPr>
          <w:lang w:val="fr-FR"/>
        </w:rPr>
        <w:t>’</w:t>
      </w:r>
      <w:r w:rsidRPr="005361F4">
        <w:rPr>
          <w:lang w:val="fr-FR"/>
        </w:rPr>
        <w:t>identité ou du travail de la personne enlevée.</w:t>
      </w:r>
    </w:p>
    <w:p w:rsidR="00457C99" w:rsidRPr="005361F4" w:rsidRDefault="00457C99" w:rsidP="00F27FDC">
      <w:pPr>
        <w:pStyle w:val="SingleTxtG"/>
        <w:spacing w:after="100" w:line="236" w:lineRule="exact"/>
        <w:rPr>
          <w:lang w:val="fr-FR"/>
        </w:rPr>
      </w:pPr>
      <w:r w:rsidRPr="005361F4">
        <w:rPr>
          <w:lang w:val="fr-FR"/>
        </w:rPr>
        <w:t>5.5</w:t>
      </w:r>
      <w:r w:rsidRPr="005361F4">
        <w:rPr>
          <w:lang w:val="fr-FR"/>
        </w:rPr>
        <w:tab/>
        <w:t>De plus, l</w:t>
      </w:r>
      <w:r>
        <w:rPr>
          <w:lang w:val="fr-FR"/>
        </w:rPr>
        <w:t>’</w:t>
      </w:r>
      <w:r w:rsidRPr="005361F4">
        <w:rPr>
          <w:lang w:val="fr-FR"/>
        </w:rPr>
        <w:t>auteur rappelle les divers rapports qu</w:t>
      </w:r>
      <w:r>
        <w:rPr>
          <w:lang w:val="fr-FR"/>
        </w:rPr>
        <w:t>’</w:t>
      </w:r>
      <w:r w:rsidRPr="005361F4">
        <w:rPr>
          <w:lang w:val="fr-FR"/>
        </w:rPr>
        <w:t xml:space="preserve">il a invoqués dans sa lettre initiale pour étayer son affirmation selon laquelle le fait de travailler pour les forces militaires internationales </w:t>
      </w:r>
      <w:r>
        <w:rPr>
          <w:lang w:val="fr-FR"/>
        </w:rPr>
        <w:t>crée</w:t>
      </w:r>
      <w:r w:rsidRPr="005361F4">
        <w:rPr>
          <w:lang w:val="fr-FR"/>
        </w:rPr>
        <w:t xml:space="preserve"> un risque élevé de mauvais traitements par les</w:t>
      </w:r>
      <w:r>
        <w:rPr>
          <w:lang w:val="fr-FR"/>
        </w:rPr>
        <w:t xml:space="preserve"> </w:t>
      </w:r>
      <w:r w:rsidRPr="005361F4">
        <w:rPr>
          <w:lang w:val="fr-FR"/>
        </w:rPr>
        <w:t>Taliban.</w:t>
      </w:r>
    </w:p>
    <w:p w:rsidR="00457C99" w:rsidRPr="005361F4" w:rsidRDefault="00457C99" w:rsidP="00F27FDC">
      <w:pPr>
        <w:pStyle w:val="SingleTxtG"/>
        <w:spacing w:after="100" w:line="236" w:lineRule="exact"/>
        <w:rPr>
          <w:lang w:val="fr-FR"/>
        </w:rPr>
      </w:pPr>
      <w:r w:rsidRPr="005361F4">
        <w:rPr>
          <w:lang w:val="fr-FR"/>
        </w:rPr>
        <w:t>5.6</w:t>
      </w:r>
      <w:r w:rsidRPr="005361F4">
        <w:rPr>
          <w:lang w:val="fr-FR"/>
        </w:rPr>
        <w:tab/>
        <w:t>Enfin, l</w:t>
      </w:r>
      <w:r>
        <w:rPr>
          <w:lang w:val="fr-FR"/>
        </w:rPr>
        <w:t>’</w:t>
      </w:r>
      <w:r w:rsidRPr="005361F4">
        <w:rPr>
          <w:lang w:val="fr-FR"/>
        </w:rPr>
        <w:t>auteur demande au Comité de maintenir sa demande de mesures provisoires.</w:t>
      </w:r>
    </w:p>
    <w:p w:rsidR="00457C99" w:rsidRPr="005361F4" w:rsidRDefault="00457C99" w:rsidP="00F27FDC">
      <w:pPr>
        <w:pStyle w:val="H23G"/>
        <w:spacing w:after="100" w:line="236" w:lineRule="exact"/>
        <w:rPr>
          <w:rFonts w:eastAsia="Calibri"/>
          <w:lang w:val="fr-FR"/>
        </w:rPr>
      </w:pPr>
      <w:r w:rsidRPr="005361F4">
        <w:rPr>
          <w:rFonts w:eastAsia="Calibri"/>
          <w:lang w:val="fr-FR"/>
        </w:rPr>
        <w:tab/>
      </w:r>
      <w:r w:rsidRPr="005361F4">
        <w:rPr>
          <w:lang w:val="fr-FR"/>
        </w:rPr>
        <w:tab/>
        <w:t>Observations complémentaires de l</w:t>
      </w:r>
      <w:r>
        <w:rPr>
          <w:lang w:val="fr-FR"/>
        </w:rPr>
        <w:t>’</w:t>
      </w:r>
      <w:r w:rsidRPr="005361F4">
        <w:rPr>
          <w:lang w:val="fr-FR"/>
        </w:rPr>
        <w:t>État partie</w:t>
      </w:r>
    </w:p>
    <w:p w:rsidR="00457C99" w:rsidRPr="005361F4" w:rsidRDefault="00457C99" w:rsidP="00F27FDC">
      <w:pPr>
        <w:pStyle w:val="SingleTxtG"/>
        <w:spacing w:after="100" w:line="236" w:lineRule="exact"/>
        <w:rPr>
          <w:lang w:val="fr-FR"/>
        </w:rPr>
      </w:pPr>
      <w:r w:rsidRPr="005361F4">
        <w:rPr>
          <w:lang w:val="fr-FR"/>
        </w:rPr>
        <w:t>6.1</w:t>
      </w:r>
      <w:r w:rsidRPr="005361F4">
        <w:rPr>
          <w:lang w:val="fr-FR"/>
        </w:rPr>
        <w:tab/>
        <w:t>Le 28 juillet 2017, l</w:t>
      </w:r>
      <w:r>
        <w:rPr>
          <w:lang w:val="fr-FR"/>
        </w:rPr>
        <w:t>’</w:t>
      </w:r>
      <w:r w:rsidRPr="005361F4">
        <w:rPr>
          <w:lang w:val="fr-FR"/>
        </w:rPr>
        <w:t>État partie a fait part de ses observations complémentaires sur la recevabilité et le fond de la communication, en réaffirmant que les griefs de l</w:t>
      </w:r>
      <w:r>
        <w:rPr>
          <w:lang w:val="fr-FR"/>
        </w:rPr>
        <w:t>’</w:t>
      </w:r>
      <w:r w:rsidRPr="005361F4">
        <w:rPr>
          <w:lang w:val="fr-FR"/>
        </w:rPr>
        <w:t>auteur n</w:t>
      </w:r>
      <w:r>
        <w:rPr>
          <w:lang w:val="fr-FR"/>
        </w:rPr>
        <w:t>’</w:t>
      </w:r>
      <w:r w:rsidRPr="005361F4">
        <w:rPr>
          <w:lang w:val="fr-FR"/>
        </w:rPr>
        <w:t>ont pas été étayés.</w:t>
      </w:r>
    </w:p>
    <w:p w:rsidR="00457C99" w:rsidRPr="005361F4" w:rsidRDefault="00457C99" w:rsidP="00F27FDC">
      <w:pPr>
        <w:pStyle w:val="SingleTxtG"/>
        <w:spacing w:after="100" w:line="236" w:lineRule="exact"/>
        <w:rPr>
          <w:lang w:val="fr-FR"/>
        </w:rPr>
      </w:pPr>
      <w:r w:rsidRPr="005361F4">
        <w:rPr>
          <w:lang w:val="fr-FR"/>
        </w:rPr>
        <w:t>6.2</w:t>
      </w:r>
      <w:r w:rsidRPr="005361F4">
        <w:rPr>
          <w:lang w:val="fr-FR"/>
        </w:rPr>
        <w:tab/>
        <w:t>L</w:t>
      </w:r>
      <w:r>
        <w:rPr>
          <w:lang w:val="fr-FR"/>
        </w:rPr>
        <w:t>’</w:t>
      </w:r>
      <w:r w:rsidRPr="005361F4">
        <w:rPr>
          <w:lang w:val="fr-FR"/>
        </w:rPr>
        <w:t>État partie maintient ses observations de juillet</w:t>
      </w:r>
      <w:r w:rsidR="00163B4D">
        <w:rPr>
          <w:lang w:val="fr-FR"/>
        </w:rPr>
        <w:t xml:space="preserve"> </w:t>
      </w:r>
      <w:r w:rsidRPr="005361F4">
        <w:rPr>
          <w:lang w:val="fr-FR"/>
        </w:rPr>
        <w:t>2016 et rappelle de plus la jurisprudence du Comité selon laquelle un poids considérable doit être accordé à l</w:t>
      </w:r>
      <w:r>
        <w:rPr>
          <w:lang w:val="fr-FR"/>
        </w:rPr>
        <w:t>’</w:t>
      </w:r>
      <w:r w:rsidRPr="005361F4">
        <w:rPr>
          <w:lang w:val="fr-FR"/>
        </w:rPr>
        <w:t>évaluation faite par l</w:t>
      </w:r>
      <w:r>
        <w:rPr>
          <w:lang w:val="fr-FR"/>
        </w:rPr>
        <w:t>’</w:t>
      </w:r>
      <w:r w:rsidRPr="005361F4">
        <w:rPr>
          <w:lang w:val="fr-FR"/>
        </w:rPr>
        <w:t>État partie, sauf s</w:t>
      </w:r>
      <w:r>
        <w:rPr>
          <w:lang w:val="fr-FR"/>
        </w:rPr>
        <w:t>’</w:t>
      </w:r>
      <w:r w:rsidRPr="005361F4">
        <w:rPr>
          <w:lang w:val="fr-FR"/>
        </w:rPr>
        <w:t>il peut être établi que cette évaluation a été manifestement arbitraire ou a représenté un déni de justice e</w:t>
      </w:r>
      <w:r w:rsidRPr="000060F8">
        <w:rPr>
          <w:lang w:val="fr-FR"/>
        </w:rPr>
        <w:t>t que, d</w:t>
      </w:r>
      <w:r>
        <w:rPr>
          <w:lang w:val="fr-FR"/>
        </w:rPr>
        <w:t>’</w:t>
      </w:r>
      <w:r w:rsidRPr="000060F8">
        <w:rPr>
          <w:lang w:val="fr-FR"/>
        </w:rPr>
        <w:t>une manière générale, c</w:t>
      </w:r>
      <w:r>
        <w:rPr>
          <w:lang w:val="fr-FR"/>
        </w:rPr>
        <w:t>’</w:t>
      </w:r>
      <w:r w:rsidRPr="000060F8">
        <w:rPr>
          <w:lang w:val="fr-FR"/>
        </w:rPr>
        <w:t>est aux organes des États parties au Pacte qu</w:t>
      </w:r>
      <w:r>
        <w:rPr>
          <w:lang w:val="fr-FR"/>
        </w:rPr>
        <w:t>’</w:t>
      </w:r>
      <w:r w:rsidRPr="000060F8">
        <w:rPr>
          <w:lang w:val="fr-FR"/>
        </w:rPr>
        <w:t>il appartient d</w:t>
      </w:r>
      <w:r>
        <w:rPr>
          <w:lang w:val="fr-FR"/>
        </w:rPr>
        <w:t>’</w:t>
      </w:r>
      <w:r w:rsidRPr="000060F8">
        <w:rPr>
          <w:lang w:val="fr-FR"/>
        </w:rPr>
        <w:t>examiner et d</w:t>
      </w:r>
      <w:r>
        <w:rPr>
          <w:lang w:val="fr-FR"/>
        </w:rPr>
        <w:t>’</w:t>
      </w:r>
      <w:r w:rsidRPr="000060F8">
        <w:rPr>
          <w:lang w:val="fr-FR"/>
        </w:rPr>
        <w:t>apprécier les faits et les preuves en vue de déterminer l</w:t>
      </w:r>
      <w:r>
        <w:rPr>
          <w:lang w:val="fr-FR"/>
        </w:rPr>
        <w:t>’</w:t>
      </w:r>
      <w:r w:rsidRPr="000060F8">
        <w:rPr>
          <w:lang w:val="fr-FR"/>
        </w:rPr>
        <w:t>existence d</w:t>
      </w:r>
      <w:r>
        <w:rPr>
          <w:lang w:val="fr-FR"/>
        </w:rPr>
        <w:t>’</w:t>
      </w:r>
      <w:r w:rsidRPr="000060F8">
        <w:rPr>
          <w:lang w:val="fr-FR"/>
        </w:rPr>
        <w:t>un tel risque</w:t>
      </w:r>
      <w:r w:rsidRPr="000060F8">
        <w:rPr>
          <w:rStyle w:val="Appelnotedebasdep"/>
        </w:rPr>
        <w:footnoteReference w:id="19"/>
      </w:r>
      <w:r w:rsidRPr="005361F4">
        <w:rPr>
          <w:lang w:val="fr-FR"/>
        </w:rPr>
        <w:t>. L</w:t>
      </w:r>
      <w:r>
        <w:rPr>
          <w:lang w:val="fr-FR"/>
        </w:rPr>
        <w:t>’</w:t>
      </w:r>
      <w:r w:rsidRPr="005361F4">
        <w:rPr>
          <w:lang w:val="fr-FR"/>
        </w:rPr>
        <w:t>État partie ajoute que l</w:t>
      </w:r>
      <w:r>
        <w:rPr>
          <w:lang w:val="fr-FR"/>
        </w:rPr>
        <w:t>’</w:t>
      </w:r>
      <w:r w:rsidRPr="005361F4">
        <w:rPr>
          <w:lang w:val="fr-FR"/>
        </w:rPr>
        <w:t>auteur n</w:t>
      </w:r>
      <w:r>
        <w:rPr>
          <w:lang w:val="fr-FR"/>
        </w:rPr>
        <w:t>’</w:t>
      </w:r>
      <w:r w:rsidRPr="005361F4">
        <w:rPr>
          <w:lang w:val="fr-FR"/>
        </w:rPr>
        <w:t>a pas expliqué en quoi la décision de la Commission de recours des réfugiés serait contraire à ce principe.</w:t>
      </w:r>
    </w:p>
    <w:p w:rsidR="00457C99" w:rsidRPr="005361F4" w:rsidRDefault="00457C99" w:rsidP="00F27FDC">
      <w:pPr>
        <w:pStyle w:val="SingleTxtG"/>
        <w:spacing w:after="100" w:line="236" w:lineRule="exact"/>
        <w:rPr>
          <w:lang w:val="fr-FR"/>
        </w:rPr>
      </w:pPr>
      <w:r w:rsidRPr="005361F4">
        <w:rPr>
          <w:lang w:val="fr-FR"/>
        </w:rPr>
        <w:t>6.3</w:t>
      </w:r>
      <w:r w:rsidRPr="005361F4">
        <w:rPr>
          <w:lang w:val="fr-FR"/>
        </w:rPr>
        <w:tab/>
        <w:t xml:space="preserve">Renvoyant </w:t>
      </w:r>
      <w:r w:rsidRPr="000060F8">
        <w:rPr>
          <w:lang w:val="fr-FR"/>
        </w:rPr>
        <w:t xml:space="preserve">au </w:t>
      </w:r>
      <w:r w:rsidRPr="000060F8">
        <w:rPr>
          <w:i/>
          <w:iCs/>
          <w:lang w:val="fr-FR"/>
        </w:rPr>
        <w:t>Guide et principes directeurs sur les procédures et critères à appliquer pour déterminer le statut de réfugié</w:t>
      </w:r>
      <w:r w:rsidRPr="000060F8">
        <w:rPr>
          <w:lang w:val="fr-FR"/>
        </w:rPr>
        <w:t xml:space="preserve"> </w:t>
      </w:r>
      <w:r>
        <w:rPr>
          <w:lang w:val="fr-FR"/>
        </w:rPr>
        <w:t>publié</w:t>
      </w:r>
      <w:r w:rsidRPr="000060F8">
        <w:rPr>
          <w:lang w:val="fr-FR"/>
        </w:rPr>
        <w:t xml:space="preserve"> par le HCR</w:t>
      </w:r>
      <w:r w:rsidRPr="005361F4">
        <w:rPr>
          <w:lang w:val="fr-FR"/>
        </w:rPr>
        <w:t>, l</w:t>
      </w:r>
      <w:r>
        <w:rPr>
          <w:lang w:val="fr-FR"/>
        </w:rPr>
        <w:t>’</w:t>
      </w:r>
      <w:r w:rsidRPr="005361F4">
        <w:rPr>
          <w:lang w:val="fr-FR"/>
        </w:rPr>
        <w:t>État partie rappelle que ni la détention de l</w:t>
      </w:r>
      <w:r>
        <w:rPr>
          <w:lang w:val="fr-FR"/>
        </w:rPr>
        <w:t>’</w:t>
      </w:r>
      <w:r w:rsidRPr="005361F4">
        <w:rPr>
          <w:lang w:val="fr-FR"/>
        </w:rPr>
        <w:t>auteur par les Taliban ni les deux lettres de menace reçues de ceux-ci ne permettent à elles seules de conclure que l</w:t>
      </w:r>
      <w:r>
        <w:rPr>
          <w:lang w:val="fr-FR"/>
        </w:rPr>
        <w:t>’</w:t>
      </w:r>
      <w:r w:rsidRPr="005361F4">
        <w:rPr>
          <w:lang w:val="fr-FR"/>
        </w:rPr>
        <w:t>auteur remplit les conditions de l</w:t>
      </w:r>
      <w:r>
        <w:rPr>
          <w:lang w:val="fr-FR"/>
        </w:rPr>
        <w:t>’</w:t>
      </w:r>
      <w:r w:rsidRPr="005361F4">
        <w:rPr>
          <w:lang w:val="fr-FR"/>
        </w:rPr>
        <w:t>article 7 de la loi sur les étrangers. L</w:t>
      </w:r>
      <w:r>
        <w:rPr>
          <w:lang w:val="fr-FR"/>
        </w:rPr>
        <w:t>’</w:t>
      </w:r>
      <w:r w:rsidRPr="005361F4">
        <w:rPr>
          <w:lang w:val="fr-FR"/>
        </w:rPr>
        <w:t>État partie fait observer que l</w:t>
      </w:r>
      <w:r>
        <w:rPr>
          <w:lang w:val="fr-FR"/>
        </w:rPr>
        <w:t>’</w:t>
      </w:r>
      <w:r w:rsidRPr="005361F4">
        <w:rPr>
          <w:lang w:val="fr-FR"/>
        </w:rPr>
        <w:t>auteur a arrêté de travailler pour les forces de sécurité afghanes et les forces des États-Unis il y a plus de quatre ans et qu</w:t>
      </w:r>
      <w:r>
        <w:rPr>
          <w:lang w:val="fr-FR"/>
        </w:rPr>
        <w:t>’</w:t>
      </w:r>
      <w:r w:rsidRPr="005361F4">
        <w:rPr>
          <w:lang w:val="fr-FR"/>
        </w:rPr>
        <w:t>il ne saurait être considéré comme une personne en vue par les Taliban ou les autorités afghanes.</w:t>
      </w:r>
    </w:p>
    <w:p w:rsidR="00457C99" w:rsidRPr="005361F4" w:rsidRDefault="00457C99" w:rsidP="00F27FDC">
      <w:pPr>
        <w:pStyle w:val="SingleTxtG"/>
        <w:spacing w:after="100" w:line="236" w:lineRule="exact"/>
        <w:rPr>
          <w:lang w:val="fr-FR"/>
        </w:rPr>
      </w:pPr>
      <w:r w:rsidRPr="005361F4">
        <w:rPr>
          <w:lang w:val="fr-FR"/>
        </w:rPr>
        <w:t>6.4</w:t>
      </w:r>
      <w:r w:rsidRPr="005361F4">
        <w:rPr>
          <w:lang w:val="fr-FR"/>
        </w:rPr>
        <w:tab/>
        <w:t>S</w:t>
      </w:r>
      <w:r>
        <w:rPr>
          <w:lang w:val="fr-FR"/>
        </w:rPr>
        <w:t>’</w:t>
      </w:r>
      <w:r w:rsidRPr="005361F4">
        <w:rPr>
          <w:lang w:val="fr-FR"/>
        </w:rPr>
        <w:t>agissant de l</w:t>
      </w:r>
      <w:r>
        <w:rPr>
          <w:lang w:val="fr-FR"/>
        </w:rPr>
        <w:t>’</w:t>
      </w:r>
      <w:r w:rsidRPr="005361F4">
        <w:rPr>
          <w:lang w:val="fr-FR"/>
        </w:rPr>
        <w:t>arrêt rendu par la Cour européenne des droits de l</w:t>
      </w:r>
      <w:r>
        <w:rPr>
          <w:lang w:val="fr-FR"/>
        </w:rPr>
        <w:t>’</w:t>
      </w:r>
      <w:r w:rsidRPr="005361F4">
        <w:rPr>
          <w:lang w:val="fr-FR"/>
        </w:rPr>
        <w:t>homme dans l</w:t>
      </w:r>
      <w:r>
        <w:rPr>
          <w:lang w:val="fr-FR"/>
        </w:rPr>
        <w:t>’</w:t>
      </w:r>
      <w:r w:rsidRPr="005361F4">
        <w:rPr>
          <w:lang w:val="fr-FR"/>
        </w:rPr>
        <w:t xml:space="preserve">affaire </w:t>
      </w:r>
      <w:r w:rsidRPr="005361F4">
        <w:rPr>
          <w:bCs/>
          <w:i/>
          <w:lang w:val="fr-FR"/>
        </w:rPr>
        <w:t>J.</w:t>
      </w:r>
      <w:r w:rsidR="00163B4D">
        <w:rPr>
          <w:bCs/>
          <w:i/>
          <w:lang w:val="fr-FR"/>
        </w:rPr>
        <w:t> </w:t>
      </w:r>
      <w:r w:rsidRPr="005361F4">
        <w:rPr>
          <w:bCs/>
          <w:i/>
          <w:lang w:val="fr-FR"/>
        </w:rPr>
        <w:t>K. et autres c. Suède</w:t>
      </w:r>
      <w:r w:rsidRPr="005361F4">
        <w:rPr>
          <w:lang w:val="fr-FR"/>
        </w:rPr>
        <w:t xml:space="preserve"> que l</w:t>
      </w:r>
      <w:r>
        <w:rPr>
          <w:lang w:val="fr-FR"/>
        </w:rPr>
        <w:t>’</w:t>
      </w:r>
      <w:r w:rsidRPr="005361F4">
        <w:rPr>
          <w:lang w:val="fr-FR"/>
        </w:rPr>
        <w:t>auteur invoque, l</w:t>
      </w:r>
      <w:r>
        <w:rPr>
          <w:lang w:val="fr-FR"/>
        </w:rPr>
        <w:t>’</w:t>
      </w:r>
      <w:r w:rsidRPr="005361F4">
        <w:rPr>
          <w:lang w:val="fr-FR"/>
        </w:rPr>
        <w:t>État partie soutient que cette affaire diffère considérablement de la présente espèce, dans laquelle la détention de l</w:t>
      </w:r>
      <w:r>
        <w:rPr>
          <w:lang w:val="fr-FR"/>
        </w:rPr>
        <w:t>’</w:t>
      </w:r>
      <w:r w:rsidRPr="005361F4">
        <w:rPr>
          <w:lang w:val="fr-FR"/>
        </w:rPr>
        <w:t>auteur a été considérée comme sans rapport avec les menaces qu</w:t>
      </w:r>
      <w:r>
        <w:rPr>
          <w:lang w:val="fr-FR"/>
        </w:rPr>
        <w:t>’</w:t>
      </w:r>
      <w:r w:rsidRPr="005361F4">
        <w:rPr>
          <w:lang w:val="fr-FR"/>
        </w:rPr>
        <w:t>il avait reçues des</w:t>
      </w:r>
      <w:r>
        <w:rPr>
          <w:lang w:val="fr-FR"/>
        </w:rPr>
        <w:t xml:space="preserve"> </w:t>
      </w:r>
      <w:r w:rsidRPr="005361F4">
        <w:rPr>
          <w:lang w:val="fr-FR"/>
        </w:rPr>
        <w:t>Taliban en raison de sa</w:t>
      </w:r>
      <w:r w:rsidR="00F27FDC">
        <w:rPr>
          <w:lang w:val="fr-FR"/>
        </w:rPr>
        <w:t xml:space="preserve"> </w:t>
      </w:r>
      <w:r w:rsidRPr="005361F4">
        <w:rPr>
          <w:lang w:val="fr-FR"/>
        </w:rPr>
        <w:t>collaboration avec les forces des États-Unis. L</w:t>
      </w:r>
      <w:r>
        <w:rPr>
          <w:lang w:val="fr-FR"/>
        </w:rPr>
        <w:t>’</w:t>
      </w:r>
      <w:r w:rsidRPr="005361F4">
        <w:rPr>
          <w:lang w:val="fr-FR"/>
        </w:rPr>
        <w:t>État partie rappelle l</w:t>
      </w:r>
      <w:r>
        <w:rPr>
          <w:lang w:val="fr-FR"/>
        </w:rPr>
        <w:t>’</w:t>
      </w:r>
      <w:r w:rsidRPr="005361F4">
        <w:rPr>
          <w:lang w:val="fr-FR"/>
        </w:rPr>
        <w:t xml:space="preserve">affaire </w:t>
      </w:r>
      <w:r w:rsidRPr="005361F4">
        <w:rPr>
          <w:i/>
          <w:lang w:val="fr-FR"/>
        </w:rPr>
        <w:t xml:space="preserve">H. et B. </w:t>
      </w:r>
      <w:r w:rsidRPr="00F27FDC">
        <w:rPr>
          <w:i/>
          <w:iCs/>
          <w:lang w:val="fr-FR"/>
        </w:rPr>
        <w:t>c.</w:t>
      </w:r>
      <w:r w:rsidRPr="005361F4">
        <w:rPr>
          <w:lang w:val="fr-FR"/>
        </w:rPr>
        <w:t> </w:t>
      </w:r>
      <w:r w:rsidRPr="005361F4">
        <w:rPr>
          <w:i/>
          <w:lang w:val="fr-FR"/>
        </w:rPr>
        <w:t>Royaume</w:t>
      </w:r>
      <w:r w:rsidRPr="005361F4">
        <w:rPr>
          <w:i/>
          <w:lang w:val="fr-FR"/>
        </w:rPr>
        <w:noBreakHyphen/>
        <w:t>Uni</w:t>
      </w:r>
      <w:r w:rsidRPr="005361F4">
        <w:rPr>
          <w:lang w:val="fr-FR"/>
        </w:rPr>
        <w:t xml:space="preserve"> dont a connu la Cour européenne des droits de l</w:t>
      </w:r>
      <w:r>
        <w:rPr>
          <w:lang w:val="fr-FR"/>
        </w:rPr>
        <w:t>’</w:t>
      </w:r>
      <w:r w:rsidRPr="005361F4">
        <w:rPr>
          <w:lang w:val="fr-FR"/>
        </w:rPr>
        <w:t>homme et qui, selon lui, est plus pertinente en l</w:t>
      </w:r>
      <w:r>
        <w:rPr>
          <w:lang w:val="fr-FR"/>
        </w:rPr>
        <w:t>’</w:t>
      </w:r>
      <w:r w:rsidRPr="005361F4">
        <w:rPr>
          <w:lang w:val="fr-FR"/>
        </w:rPr>
        <w:t>espèce dans la mesure où, même si la Cour a jugé certaines parties de la requête irrecevables, elle a spécifiquement examiné le risque général que couraient les personnes qui avaient collaboré avec les forces des États-Unis.</w:t>
      </w:r>
    </w:p>
    <w:p w:rsidR="00457C99" w:rsidRPr="005361F4" w:rsidRDefault="00457C99" w:rsidP="00F27FDC">
      <w:pPr>
        <w:pStyle w:val="SingleTxtG"/>
        <w:spacing w:after="100" w:line="236" w:lineRule="exact"/>
        <w:rPr>
          <w:lang w:val="fr-FR"/>
        </w:rPr>
      </w:pPr>
      <w:r w:rsidRPr="005361F4">
        <w:rPr>
          <w:lang w:val="fr-FR"/>
        </w:rPr>
        <w:t>6.5</w:t>
      </w:r>
      <w:r w:rsidRPr="005361F4">
        <w:rPr>
          <w:lang w:val="fr-FR"/>
        </w:rPr>
        <w:tab/>
        <w:t>L</w:t>
      </w:r>
      <w:r>
        <w:rPr>
          <w:lang w:val="fr-FR"/>
        </w:rPr>
        <w:t>’</w:t>
      </w:r>
      <w:r w:rsidRPr="005361F4">
        <w:rPr>
          <w:lang w:val="fr-FR"/>
        </w:rPr>
        <w:t>État partie ajoute que, même si dans les documents du HCR invoqués par l</w:t>
      </w:r>
      <w:r>
        <w:rPr>
          <w:lang w:val="fr-FR"/>
        </w:rPr>
        <w:t>’</w:t>
      </w:r>
      <w:r w:rsidRPr="005361F4">
        <w:rPr>
          <w:lang w:val="fr-FR"/>
        </w:rPr>
        <w:t>auteur les personnes ayant collaboré avec les forces internationales sont effectivement présentées comme un groupe exposé à un risque, cette référence ne saurait justifier à elle seule l</w:t>
      </w:r>
      <w:r>
        <w:rPr>
          <w:lang w:val="fr-FR"/>
        </w:rPr>
        <w:t>’</w:t>
      </w:r>
      <w:r w:rsidRPr="005361F4">
        <w:rPr>
          <w:lang w:val="fr-FR"/>
        </w:rPr>
        <w:t>octroi d</w:t>
      </w:r>
      <w:r>
        <w:rPr>
          <w:lang w:val="fr-FR"/>
        </w:rPr>
        <w:t>’</w:t>
      </w:r>
      <w:r w:rsidRPr="005361F4">
        <w:rPr>
          <w:lang w:val="fr-FR"/>
        </w:rPr>
        <w:t>un permis de séjour à l</w:t>
      </w:r>
      <w:r>
        <w:rPr>
          <w:lang w:val="fr-FR"/>
        </w:rPr>
        <w:t>’</w:t>
      </w:r>
      <w:r w:rsidRPr="005361F4">
        <w:rPr>
          <w:lang w:val="fr-FR"/>
        </w:rPr>
        <w:t xml:space="preserve">auteur en vertu de </w:t>
      </w:r>
      <w:r w:rsidRPr="000060F8">
        <w:rPr>
          <w:lang w:val="fr-FR"/>
        </w:rPr>
        <w:t>l</w:t>
      </w:r>
      <w:r>
        <w:rPr>
          <w:lang w:val="fr-FR"/>
        </w:rPr>
        <w:t>’</w:t>
      </w:r>
      <w:r w:rsidRPr="000060F8">
        <w:rPr>
          <w:lang w:val="fr-FR"/>
        </w:rPr>
        <w:t>article 7 de la loi sur les étrangers</w:t>
      </w:r>
      <w:r w:rsidRPr="005361F4">
        <w:rPr>
          <w:lang w:val="fr-FR"/>
        </w:rPr>
        <w:t>. L</w:t>
      </w:r>
      <w:r>
        <w:rPr>
          <w:lang w:val="fr-FR"/>
        </w:rPr>
        <w:t>’</w:t>
      </w:r>
      <w:r w:rsidRPr="005361F4">
        <w:rPr>
          <w:lang w:val="fr-FR"/>
        </w:rPr>
        <w:t>État partie maintient que l</w:t>
      </w:r>
      <w:r>
        <w:rPr>
          <w:lang w:val="fr-FR"/>
        </w:rPr>
        <w:t>’</w:t>
      </w:r>
      <w:r w:rsidRPr="005361F4">
        <w:rPr>
          <w:lang w:val="fr-FR"/>
        </w:rPr>
        <w:t>élément déterminant est de savoir si, après appréciation des informations disponibles en l</w:t>
      </w:r>
      <w:r>
        <w:rPr>
          <w:lang w:val="fr-FR"/>
        </w:rPr>
        <w:t>’</w:t>
      </w:r>
      <w:r w:rsidRPr="005361F4">
        <w:rPr>
          <w:lang w:val="fr-FR"/>
        </w:rPr>
        <w:t>espèce et des informations générales actuelles sur l</w:t>
      </w:r>
      <w:r>
        <w:rPr>
          <w:lang w:val="fr-FR"/>
        </w:rPr>
        <w:t>’</w:t>
      </w:r>
      <w:r w:rsidRPr="005361F4">
        <w:rPr>
          <w:lang w:val="fr-FR"/>
        </w:rPr>
        <w:t>Afghanistan, l</w:t>
      </w:r>
      <w:r>
        <w:rPr>
          <w:lang w:val="fr-FR"/>
        </w:rPr>
        <w:t>’</w:t>
      </w:r>
      <w:r w:rsidRPr="005361F4">
        <w:rPr>
          <w:lang w:val="fr-FR"/>
        </w:rPr>
        <w:t>auteur courrait personnellement un risque particulier de persécution s</w:t>
      </w:r>
      <w:r>
        <w:rPr>
          <w:lang w:val="fr-FR"/>
        </w:rPr>
        <w:t>’</w:t>
      </w:r>
      <w:r w:rsidRPr="005361F4">
        <w:rPr>
          <w:lang w:val="fr-FR"/>
        </w:rPr>
        <w:t>il était renvoyé en Afghanistan.</w:t>
      </w:r>
    </w:p>
    <w:p w:rsidR="00457C99" w:rsidRPr="005361F4" w:rsidRDefault="00457C99" w:rsidP="00F27FDC">
      <w:pPr>
        <w:pStyle w:val="SingleTxtG"/>
        <w:spacing w:after="100" w:line="236" w:lineRule="exact"/>
        <w:rPr>
          <w:lang w:val="fr-FR"/>
        </w:rPr>
      </w:pPr>
      <w:r w:rsidRPr="005361F4">
        <w:rPr>
          <w:lang w:val="fr-FR"/>
        </w:rPr>
        <w:t>6.6</w:t>
      </w:r>
      <w:r w:rsidRPr="005361F4">
        <w:rPr>
          <w:lang w:val="fr-FR"/>
        </w:rPr>
        <w:tab/>
        <w:t>Enfin, l</w:t>
      </w:r>
      <w:r>
        <w:rPr>
          <w:lang w:val="fr-FR"/>
        </w:rPr>
        <w:t>’</w:t>
      </w:r>
      <w:r w:rsidRPr="005361F4">
        <w:rPr>
          <w:lang w:val="fr-FR"/>
        </w:rPr>
        <w:t>État partie fait valoir que, puisque l</w:t>
      </w:r>
      <w:r>
        <w:rPr>
          <w:lang w:val="fr-FR"/>
        </w:rPr>
        <w:t>’</w:t>
      </w:r>
      <w:r w:rsidRPr="005361F4">
        <w:rPr>
          <w:lang w:val="fr-FR"/>
        </w:rPr>
        <w:t>auteur n</w:t>
      </w:r>
      <w:r>
        <w:rPr>
          <w:lang w:val="fr-FR"/>
        </w:rPr>
        <w:t>’</w:t>
      </w:r>
      <w:r w:rsidRPr="005361F4">
        <w:rPr>
          <w:lang w:val="fr-FR"/>
        </w:rPr>
        <w:t>a pas démontré qu</w:t>
      </w:r>
      <w:r>
        <w:rPr>
          <w:lang w:val="fr-FR"/>
        </w:rPr>
        <w:t>’</w:t>
      </w:r>
      <w:r w:rsidRPr="005361F4">
        <w:rPr>
          <w:lang w:val="fr-FR"/>
        </w:rPr>
        <w:t>il était probable qu</w:t>
      </w:r>
      <w:r>
        <w:rPr>
          <w:lang w:val="fr-FR"/>
        </w:rPr>
        <w:t>’</w:t>
      </w:r>
      <w:r w:rsidRPr="005361F4">
        <w:rPr>
          <w:lang w:val="fr-FR"/>
        </w:rPr>
        <w:t>il courrait personnellement un risque particulier de persécution ou de mauvais traitements s</w:t>
      </w:r>
      <w:r>
        <w:rPr>
          <w:lang w:val="fr-FR"/>
        </w:rPr>
        <w:t>’</w:t>
      </w:r>
      <w:r w:rsidRPr="005361F4">
        <w:rPr>
          <w:lang w:val="fr-FR"/>
        </w:rPr>
        <w:t>il était renvoyé en Afghanistan, il ne sera pas obligé de trouver une possibilité de fuite interne, et ses arguments sur ce point doivent donc être considérés comme dénués de pertinence.</w:t>
      </w:r>
    </w:p>
    <w:p w:rsidR="00457C99" w:rsidRPr="005361F4" w:rsidRDefault="00457C99" w:rsidP="00457C99">
      <w:pPr>
        <w:pStyle w:val="SingleTxtG"/>
        <w:rPr>
          <w:lang w:val="fr-FR"/>
        </w:rPr>
      </w:pPr>
      <w:r w:rsidRPr="005361F4">
        <w:rPr>
          <w:lang w:val="fr-FR"/>
        </w:rPr>
        <w:lastRenderedPageBreak/>
        <w:t>6.7</w:t>
      </w:r>
      <w:r w:rsidRPr="005361F4">
        <w:rPr>
          <w:lang w:val="fr-FR"/>
        </w:rPr>
        <w:tab/>
      </w:r>
      <w:r w:rsidRPr="005361F4">
        <w:rPr>
          <w:rFonts w:eastAsia="Calibri"/>
          <w:lang w:val="fr-FR"/>
        </w:rPr>
        <w:t>L</w:t>
      </w:r>
      <w:r>
        <w:rPr>
          <w:rFonts w:eastAsia="Calibri"/>
          <w:lang w:val="fr-FR"/>
        </w:rPr>
        <w:t>’</w:t>
      </w:r>
      <w:r w:rsidRPr="005361F4">
        <w:rPr>
          <w:rFonts w:eastAsia="Calibri"/>
          <w:lang w:val="fr-FR"/>
        </w:rPr>
        <w:t>État partie réaffirme que les griefs de l</w:t>
      </w:r>
      <w:r>
        <w:rPr>
          <w:rFonts w:eastAsia="Calibri"/>
          <w:lang w:val="fr-FR"/>
        </w:rPr>
        <w:t>’</w:t>
      </w:r>
      <w:r w:rsidRPr="005361F4">
        <w:rPr>
          <w:rFonts w:eastAsia="Calibri"/>
          <w:lang w:val="fr-FR"/>
        </w:rPr>
        <w:t>auteur sont manifestement dénués de fondement et donc irrecevables. Si le Comité devait juger la communication recevable, l</w:t>
      </w:r>
      <w:r>
        <w:rPr>
          <w:rFonts w:eastAsia="Calibri"/>
          <w:lang w:val="fr-FR"/>
        </w:rPr>
        <w:t>’</w:t>
      </w:r>
      <w:r w:rsidRPr="005361F4">
        <w:rPr>
          <w:rFonts w:eastAsia="Calibri"/>
          <w:lang w:val="fr-FR"/>
        </w:rPr>
        <w:t>État partie maintient qu</w:t>
      </w:r>
      <w:r>
        <w:rPr>
          <w:rFonts w:eastAsia="Calibri"/>
          <w:lang w:val="fr-FR"/>
        </w:rPr>
        <w:t>’</w:t>
      </w:r>
      <w:r w:rsidRPr="005361F4">
        <w:rPr>
          <w:rFonts w:eastAsia="Calibri"/>
          <w:lang w:val="fr-FR"/>
        </w:rPr>
        <w:t>il n</w:t>
      </w:r>
      <w:r>
        <w:rPr>
          <w:rFonts w:eastAsia="Calibri"/>
          <w:lang w:val="fr-FR"/>
        </w:rPr>
        <w:t>’</w:t>
      </w:r>
      <w:r w:rsidRPr="005361F4">
        <w:rPr>
          <w:rFonts w:eastAsia="Calibri"/>
          <w:lang w:val="fr-FR"/>
        </w:rPr>
        <w:t>a pas été établi qu</w:t>
      </w:r>
      <w:r>
        <w:rPr>
          <w:rFonts w:eastAsia="Calibri"/>
          <w:lang w:val="fr-FR"/>
        </w:rPr>
        <w:t>’</w:t>
      </w:r>
      <w:r w:rsidRPr="005361F4">
        <w:rPr>
          <w:rFonts w:eastAsia="Calibri"/>
          <w:lang w:val="fr-FR"/>
        </w:rPr>
        <w:t>il y avait des motifs sérieux de croire que le renvoi de l</w:t>
      </w:r>
      <w:r>
        <w:rPr>
          <w:rFonts w:eastAsia="Calibri"/>
          <w:lang w:val="fr-FR"/>
        </w:rPr>
        <w:t>’</w:t>
      </w:r>
      <w:r w:rsidRPr="005361F4">
        <w:rPr>
          <w:rFonts w:eastAsia="Calibri"/>
          <w:lang w:val="fr-FR"/>
        </w:rPr>
        <w:t>auteur en Afghanistan constituerait une violation de l</w:t>
      </w:r>
      <w:r>
        <w:rPr>
          <w:rFonts w:eastAsia="Calibri"/>
          <w:lang w:val="fr-FR"/>
        </w:rPr>
        <w:t>’</w:t>
      </w:r>
      <w:r w:rsidRPr="005361F4">
        <w:rPr>
          <w:rFonts w:eastAsia="Calibri"/>
          <w:lang w:val="fr-FR"/>
        </w:rPr>
        <w:t>article</w:t>
      </w:r>
      <w:r w:rsidRPr="005361F4">
        <w:rPr>
          <w:lang w:val="fr-FR"/>
        </w:rPr>
        <w:t> </w:t>
      </w:r>
      <w:r w:rsidRPr="005361F4">
        <w:rPr>
          <w:rFonts w:eastAsia="Calibri"/>
          <w:lang w:val="fr-FR"/>
        </w:rPr>
        <w:t>7 du Pacte.</w:t>
      </w:r>
    </w:p>
    <w:p w:rsidR="00457C99" w:rsidRPr="005361F4" w:rsidRDefault="00457C99" w:rsidP="002751B9">
      <w:pPr>
        <w:pStyle w:val="H23G"/>
        <w:rPr>
          <w:lang w:val="fr-FR"/>
        </w:rPr>
      </w:pPr>
      <w:r w:rsidRPr="005361F4">
        <w:rPr>
          <w:lang w:val="fr-FR"/>
        </w:rPr>
        <w:tab/>
      </w:r>
      <w:r w:rsidRPr="005361F4">
        <w:rPr>
          <w:lang w:val="fr-FR"/>
        </w:rPr>
        <w:tab/>
        <w:t xml:space="preserve">Réponses complémentaires </w:t>
      </w:r>
    </w:p>
    <w:p w:rsidR="00457C99" w:rsidRPr="005361F4" w:rsidRDefault="00457C99" w:rsidP="002751B9">
      <w:pPr>
        <w:pStyle w:val="H4G"/>
        <w:rPr>
          <w:lang w:val="fr-FR"/>
        </w:rPr>
      </w:pPr>
      <w:r w:rsidRPr="005361F4">
        <w:rPr>
          <w:lang w:val="fr-FR"/>
        </w:rPr>
        <w:tab/>
      </w:r>
      <w:r w:rsidRPr="005361F4">
        <w:rPr>
          <w:lang w:val="fr-FR"/>
        </w:rPr>
        <w:tab/>
        <w:t>De l</w:t>
      </w:r>
      <w:r>
        <w:rPr>
          <w:lang w:val="fr-FR"/>
        </w:rPr>
        <w:t>’</w:t>
      </w:r>
      <w:r w:rsidRPr="005361F4">
        <w:rPr>
          <w:lang w:val="fr-FR"/>
        </w:rPr>
        <w:t>auteur</w:t>
      </w:r>
    </w:p>
    <w:p w:rsidR="00457C99" w:rsidRPr="005361F4" w:rsidRDefault="00457C99" w:rsidP="00457C99">
      <w:pPr>
        <w:pStyle w:val="SingleTxtG"/>
        <w:spacing w:after="100"/>
        <w:rPr>
          <w:lang w:val="fr-FR"/>
        </w:rPr>
      </w:pPr>
      <w:r w:rsidRPr="005361F4">
        <w:rPr>
          <w:lang w:val="fr-FR"/>
        </w:rPr>
        <w:t>7.1</w:t>
      </w:r>
      <w:r w:rsidRPr="005361F4">
        <w:rPr>
          <w:lang w:val="fr-FR"/>
        </w:rPr>
        <w:tab/>
        <w:t>Le 8 septembre 2017, l</w:t>
      </w:r>
      <w:r>
        <w:rPr>
          <w:lang w:val="fr-FR"/>
        </w:rPr>
        <w:t>’</w:t>
      </w:r>
      <w:r w:rsidRPr="005361F4">
        <w:rPr>
          <w:lang w:val="fr-FR"/>
        </w:rPr>
        <w:t>auteur a rappelé qu</w:t>
      </w:r>
      <w:r>
        <w:rPr>
          <w:lang w:val="fr-FR"/>
        </w:rPr>
        <w:t>’</w:t>
      </w:r>
      <w:r w:rsidRPr="005361F4">
        <w:rPr>
          <w:lang w:val="fr-FR"/>
        </w:rPr>
        <w:t>il avait été établi par l</w:t>
      </w:r>
      <w:r>
        <w:rPr>
          <w:lang w:val="fr-FR"/>
        </w:rPr>
        <w:t>’</w:t>
      </w:r>
      <w:r w:rsidRPr="005361F4">
        <w:rPr>
          <w:lang w:val="fr-FR"/>
        </w:rPr>
        <w:t>État partie qu</w:t>
      </w:r>
      <w:r>
        <w:rPr>
          <w:lang w:val="fr-FR"/>
        </w:rPr>
        <w:t>’</w:t>
      </w:r>
      <w:r w:rsidRPr="005361F4">
        <w:rPr>
          <w:lang w:val="fr-FR"/>
        </w:rPr>
        <w:t>il avait travaillé pendant plusieurs années pour les forces de sécurité afghanes et pour les forces des États-Unis. Il a également été établi et admis que l</w:t>
      </w:r>
      <w:r>
        <w:rPr>
          <w:lang w:val="fr-FR"/>
        </w:rPr>
        <w:t>’</w:t>
      </w:r>
      <w:r w:rsidRPr="005361F4">
        <w:rPr>
          <w:lang w:val="fr-FR"/>
        </w:rPr>
        <w:t>auteur avait reçu deux lettres des</w:t>
      </w:r>
      <w:r>
        <w:rPr>
          <w:lang w:val="fr-FR"/>
        </w:rPr>
        <w:t xml:space="preserve"> </w:t>
      </w:r>
      <w:r w:rsidRPr="005361F4">
        <w:rPr>
          <w:lang w:val="fr-FR"/>
        </w:rPr>
        <w:t>Taliban à cause de son travail. C</w:t>
      </w:r>
      <w:r>
        <w:rPr>
          <w:lang w:val="fr-FR"/>
        </w:rPr>
        <w:t>’</w:t>
      </w:r>
      <w:r w:rsidRPr="005361F4">
        <w:rPr>
          <w:lang w:val="fr-FR"/>
        </w:rPr>
        <w:t>est pourquoi l</w:t>
      </w:r>
      <w:r>
        <w:rPr>
          <w:lang w:val="fr-FR"/>
        </w:rPr>
        <w:t>’</w:t>
      </w:r>
      <w:r w:rsidRPr="005361F4">
        <w:rPr>
          <w:lang w:val="fr-FR"/>
        </w:rPr>
        <w:t>auteur soutient que ces faits, et les informations disponibles sur le pays</w:t>
      </w:r>
      <w:r w:rsidRPr="000060F8">
        <w:rPr>
          <w:rStyle w:val="Appelnotedebasdep"/>
        </w:rPr>
        <w:footnoteReference w:id="20"/>
      </w:r>
      <w:r w:rsidRPr="005361F4">
        <w:rPr>
          <w:lang w:val="fr-FR"/>
        </w:rPr>
        <w:t>, suffisent à démontrer qu</w:t>
      </w:r>
      <w:r>
        <w:rPr>
          <w:lang w:val="fr-FR"/>
        </w:rPr>
        <w:t>’</w:t>
      </w:r>
      <w:r w:rsidRPr="005361F4">
        <w:rPr>
          <w:lang w:val="fr-FR"/>
        </w:rPr>
        <w:t>il risque d</w:t>
      </w:r>
      <w:r>
        <w:rPr>
          <w:lang w:val="fr-FR"/>
        </w:rPr>
        <w:t>’</w:t>
      </w:r>
      <w:r w:rsidRPr="005361F4">
        <w:rPr>
          <w:lang w:val="fr-FR"/>
        </w:rPr>
        <w:t>être persécuté à son retour et donc que l</w:t>
      </w:r>
      <w:r>
        <w:rPr>
          <w:lang w:val="fr-FR"/>
        </w:rPr>
        <w:t>’</w:t>
      </w:r>
      <w:r w:rsidRPr="005361F4">
        <w:rPr>
          <w:lang w:val="fr-FR"/>
        </w:rPr>
        <w:t>appréciation des juridictions nationales constitue un déni de justice.</w:t>
      </w:r>
    </w:p>
    <w:p w:rsidR="00457C99" w:rsidRPr="005361F4" w:rsidRDefault="00457C99" w:rsidP="002751B9">
      <w:pPr>
        <w:pStyle w:val="H4G"/>
        <w:rPr>
          <w:lang w:val="fr-FR"/>
        </w:rPr>
      </w:pPr>
      <w:r w:rsidRPr="005361F4">
        <w:rPr>
          <w:lang w:val="fr-FR"/>
        </w:rPr>
        <w:tab/>
      </w:r>
      <w:r w:rsidRPr="005361F4">
        <w:rPr>
          <w:lang w:val="fr-FR"/>
        </w:rPr>
        <w:tab/>
        <w:t>De l</w:t>
      </w:r>
      <w:r>
        <w:rPr>
          <w:lang w:val="fr-FR"/>
        </w:rPr>
        <w:t>’</w:t>
      </w:r>
      <w:r w:rsidRPr="005361F4">
        <w:rPr>
          <w:lang w:val="fr-FR"/>
        </w:rPr>
        <w:t>État partie</w:t>
      </w:r>
    </w:p>
    <w:p w:rsidR="00457C99" w:rsidRPr="005361F4" w:rsidRDefault="00457C99" w:rsidP="00457C99">
      <w:pPr>
        <w:pStyle w:val="SingleTxtG"/>
        <w:spacing w:after="100"/>
        <w:rPr>
          <w:lang w:val="fr-FR"/>
        </w:rPr>
      </w:pPr>
      <w:r w:rsidRPr="005361F4">
        <w:rPr>
          <w:lang w:val="fr-FR"/>
        </w:rPr>
        <w:t>7.2</w:t>
      </w:r>
      <w:r w:rsidRPr="005361F4">
        <w:rPr>
          <w:lang w:val="fr-FR"/>
        </w:rPr>
        <w:tab/>
        <w:t>Le 3 octobre 2017, l</w:t>
      </w:r>
      <w:r>
        <w:rPr>
          <w:lang w:val="fr-FR"/>
        </w:rPr>
        <w:t>’</w:t>
      </w:r>
      <w:r w:rsidRPr="005361F4">
        <w:rPr>
          <w:lang w:val="fr-FR"/>
        </w:rPr>
        <w:t>État partie a ajouté que la Commission de recours des réfugiés avait connaissance des documents invoqués par l</w:t>
      </w:r>
      <w:r>
        <w:rPr>
          <w:lang w:val="fr-FR"/>
        </w:rPr>
        <w:t>’</w:t>
      </w:r>
      <w:r w:rsidRPr="005361F4">
        <w:rPr>
          <w:lang w:val="fr-FR"/>
        </w:rPr>
        <w:t>auteur et les avait pris en considération au titre des informations générales sur l</w:t>
      </w:r>
      <w:r>
        <w:rPr>
          <w:lang w:val="fr-FR"/>
        </w:rPr>
        <w:t>’</w:t>
      </w:r>
      <w:r w:rsidRPr="005361F4">
        <w:rPr>
          <w:lang w:val="fr-FR"/>
        </w:rPr>
        <w:t>Afghanistan. Ces documents ne constituaient pas des informations nouvelles justifiant un réexamen de l</w:t>
      </w:r>
      <w:r>
        <w:rPr>
          <w:lang w:val="fr-FR"/>
        </w:rPr>
        <w:t>’</w:t>
      </w:r>
      <w:r w:rsidRPr="005361F4">
        <w:rPr>
          <w:lang w:val="fr-FR"/>
        </w:rPr>
        <w:t>affaire. C</w:t>
      </w:r>
      <w:r>
        <w:rPr>
          <w:lang w:val="fr-FR"/>
        </w:rPr>
        <w:t>’</w:t>
      </w:r>
      <w:r w:rsidRPr="005361F4">
        <w:rPr>
          <w:lang w:val="fr-FR"/>
        </w:rPr>
        <w:t>est pourquoi l</w:t>
      </w:r>
      <w:r>
        <w:rPr>
          <w:lang w:val="fr-FR"/>
        </w:rPr>
        <w:t>’</w:t>
      </w:r>
      <w:r w:rsidRPr="005361F4">
        <w:rPr>
          <w:lang w:val="fr-FR"/>
        </w:rPr>
        <w:t>État partie maintient sa position, à savoir que la communication devrait être déclarée irrecevable ou qu</w:t>
      </w:r>
      <w:r>
        <w:rPr>
          <w:lang w:val="fr-FR"/>
        </w:rPr>
        <w:t>’</w:t>
      </w:r>
      <w:r w:rsidRPr="005361F4">
        <w:rPr>
          <w:lang w:val="fr-FR"/>
        </w:rPr>
        <w:t>il n</w:t>
      </w:r>
      <w:r>
        <w:rPr>
          <w:lang w:val="fr-FR"/>
        </w:rPr>
        <w:t>’</w:t>
      </w:r>
      <w:r w:rsidRPr="005361F4">
        <w:rPr>
          <w:lang w:val="fr-FR"/>
        </w:rPr>
        <w:t>a pas été établi qu</w:t>
      </w:r>
      <w:r>
        <w:rPr>
          <w:lang w:val="fr-FR"/>
        </w:rPr>
        <w:t>’</w:t>
      </w:r>
      <w:r w:rsidRPr="005361F4">
        <w:rPr>
          <w:lang w:val="fr-FR"/>
        </w:rPr>
        <w:t>il y a des motifs sérieux de croire que le renvoi de l</w:t>
      </w:r>
      <w:r>
        <w:rPr>
          <w:lang w:val="fr-FR"/>
        </w:rPr>
        <w:t>’</w:t>
      </w:r>
      <w:r w:rsidRPr="005361F4">
        <w:rPr>
          <w:lang w:val="fr-FR"/>
        </w:rPr>
        <w:t>auteur en Afghanistan constituerait une violation de l</w:t>
      </w:r>
      <w:r>
        <w:rPr>
          <w:lang w:val="fr-FR"/>
        </w:rPr>
        <w:t>’</w:t>
      </w:r>
      <w:r w:rsidRPr="005361F4">
        <w:rPr>
          <w:lang w:val="fr-FR"/>
        </w:rPr>
        <w:t>article 7 du Pacte.</w:t>
      </w:r>
    </w:p>
    <w:p w:rsidR="00457C99" w:rsidRPr="005361F4" w:rsidRDefault="00457C99" w:rsidP="002751B9">
      <w:pPr>
        <w:pStyle w:val="H23G"/>
        <w:rPr>
          <w:lang w:val="fr-FR"/>
        </w:rPr>
      </w:pPr>
      <w:r w:rsidRPr="005361F4">
        <w:rPr>
          <w:lang w:val="fr-FR"/>
        </w:rPr>
        <w:tab/>
      </w:r>
      <w:r w:rsidRPr="005361F4">
        <w:rPr>
          <w:lang w:val="fr-FR"/>
        </w:rPr>
        <w:tab/>
        <w:t>Délibérations du Comité</w:t>
      </w:r>
    </w:p>
    <w:p w:rsidR="00457C99" w:rsidRPr="005361F4" w:rsidRDefault="00457C99" w:rsidP="002751B9">
      <w:pPr>
        <w:pStyle w:val="H4G"/>
        <w:rPr>
          <w:lang w:val="fr-FR"/>
        </w:rPr>
      </w:pPr>
      <w:r w:rsidRPr="005361F4">
        <w:rPr>
          <w:lang w:val="fr-FR"/>
        </w:rPr>
        <w:tab/>
      </w:r>
      <w:r w:rsidRPr="005361F4">
        <w:rPr>
          <w:lang w:val="fr-FR"/>
        </w:rPr>
        <w:tab/>
        <w:t>Examen de la recevabilité</w:t>
      </w:r>
    </w:p>
    <w:p w:rsidR="00457C99" w:rsidRPr="005361F4" w:rsidRDefault="00457C99" w:rsidP="002751B9">
      <w:pPr>
        <w:pStyle w:val="SingleTxtG"/>
        <w:rPr>
          <w:lang w:val="fr-FR"/>
        </w:rPr>
      </w:pPr>
      <w:r w:rsidRPr="005361F4">
        <w:rPr>
          <w:lang w:val="fr-FR"/>
        </w:rPr>
        <w:t>8.1</w:t>
      </w:r>
      <w:r w:rsidRPr="005361F4">
        <w:rPr>
          <w:lang w:val="fr-FR"/>
        </w:rPr>
        <w:tab/>
        <w:t>Avant d</w:t>
      </w:r>
      <w:r>
        <w:rPr>
          <w:lang w:val="fr-FR"/>
        </w:rPr>
        <w:t>’</w:t>
      </w:r>
      <w:r w:rsidRPr="005361F4">
        <w:rPr>
          <w:lang w:val="fr-FR"/>
        </w:rPr>
        <w:t>examiner tout grief formulé dans une communication, le Comité des droits de l</w:t>
      </w:r>
      <w:r>
        <w:rPr>
          <w:lang w:val="fr-FR"/>
        </w:rPr>
        <w:t>’</w:t>
      </w:r>
      <w:r w:rsidRPr="005361F4">
        <w:rPr>
          <w:lang w:val="fr-FR"/>
        </w:rPr>
        <w:t>homme doit, conformément à l</w:t>
      </w:r>
      <w:r>
        <w:rPr>
          <w:lang w:val="fr-FR"/>
        </w:rPr>
        <w:t>’</w:t>
      </w:r>
      <w:r w:rsidRPr="005361F4">
        <w:rPr>
          <w:lang w:val="fr-FR"/>
        </w:rPr>
        <w:t>article 97 de son règlement intérieur, déterminer si la communication est recevable au regard du Protocole facultatif.</w:t>
      </w:r>
    </w:p>
    <w:p w:rsidR="00457C99" w:rsidRPr="005361F4" w:rsidRDefault="00457C99" w:rsidP="002751B9">
      <w:pPr>
        <w:pStyle w:val="SingleTxtG"/>
        <w:rPr>
          <w:lang w:val="fr-FR"/>
        </w:rPr>
      </w:pPr>
      <w:r w:rsidRPr="005361F4">
        <w:rPr>
          <w:lang w:val="fr-FR"/>
        </w:rPr>
        <w:t>8.2</w:t>
      </w:r>
      <w:r w:rsidRPr="005361F4">
        <w:rPr>
          <w:lang w:val="fr-FR"/>
        </w:rPr>
        <w:tab/>
        <w:t>Le Comité s</w:t>
      </w:r>
      <w:r>
        <w:rPr>
          <w:lang w:val="fr-FR"/>
        </w:rPr>
        <w:t>’</w:t>
      </w:r>
      <w:r w:rsidRPr="005361F4">
        <w:rPr>
          <w:lang w:val="fr-FR"/>
        </w:rPr>
        <w:t>est assuré, comme il est tenu de le faire conformément au paragraphe 2 a) de l</w:t>
      </w:r>
      <w:r>
        <w:rPr>
          <w:lang w:val="fr-FR"/>
        </w:rPr>
        <w:t>’</w:t>
      </w:r>
      <w:r w:rsidRPr="005361F4">
        <w:rPr>
          <w:lang w:val="fr-FR"/>
        </w:rPr>
        <w:t>article 5 du Protocole facultatif, que la même question n</w:t>
      </w:r>
      <w:r>
        <w:rPr>
          <w:lang w:val="fr-FR"/>
        </w:rPr>
        <w:t>’</w:t>
      </w:r>
      <w:r w:rsidRPr="005361F4">
        <w:rPr>
          <w:lang w:val="fr-FR"/>
        </w:rPr>
        <w:t>était pas déjà en cours d</w:t>
      </w:r>
      <w:r>
        <w:rPr>
          <w:lang w:val="fr-FR"/>
        </w:rPr>
        <w:t>’</w:t>
      </w:r>
      <w:r w:rsidRPr="005361F4">
        <w:rPr>
          <w:lang w:val="fr-FR"/>
        </w:rPr>
        <w:t>examen devant une autre instance internationale d</w:t>
      </w:r>
      <w:r>
        <w:rPr>
          <w:lang w:val="fr-FR"/>
        </w:rPr>
        <w:t>’</w:t>
      </w:r>
      <w:r w:rsidRPr="005361F4">
        <w:rPr>
          <w:lang w:val="fr-FR"/>
        </w:rPr>
        <w:t>enquête ou de règlement.</w:t>
      </w:r>
    </w:p>
    <w:p w:rsidR="00457C99" w:rsidRPr="005361F4" w:rsidRDefault="00457C99" w:rsidP="002751B9">
      <w:pPr>
        <w:pStyle w:val="SingleTxtG"/>
        <w:rPr>
          <w:lang w:val="fr-FR"/>
        </w:rPr>
      </w:pPr>
      <w:r w:rsidRPr="005361F4">
        <w:rPr>
          <w:lang w:val="fr-FR"/>
        </w:rPr>
        <w:t>8.3</w:t>
      </w:r>
      <w:r w:rsidRPr="005361F4">
        <w:rPr>
          <w:lang w:val="fr-FR"/>
        </w:rPr>
        <w:tab/>
      </w:r>
      <w:r w:rsidRPr="00F439FD">
        <w:rPr>
          <w:spacing w:val="-2"/>
          <w:lang w:val="fr-FR"/>
        </w:rPr>
        <w:t>Le Comité note que, le 1</w:t>
      </w:r>
      <w:r w:rsidRPr="00F439FD">
        <w:rPr>
          <w:spacing w:val="-2"/>
          <w:vertAlign w:val="superscript"/>
          <w:lang w:val="fr-FR"/>
        </w:rPr>
        <w:t>er</w:t>
      </w:r>
      <w:r w:rsidRPr="00F439FD">
        <w:rPr>
          <w:spacing w:val="-2"/>
          <w:lang w:val="fr-FR"/>
        </w:rPr>
        <w:t> décembre 2015, la Commission de recours des réfugiés a décidé de rouvrir le dossier de l’auteur mais que, le 18 avril 2016, elle a confirmé la décision de rejet de sa demande d’asile. Les décisions de la Commission n’étant pas susceptibles d’appel, l’auteur ne dispose plus d’aucun recours. Le Comité observe que l’État partie n’a pas contesté la recevabilité de la communication au regard du paragraphe 2 b) de l’article 5 du Protocole facultatif. Par conséquent, le Comité considère que les conditions énoncées au paragraphe 2 b) de l’article 5 du Protocole facultatif sont remplies.</w:t>
      </w:r>
    </w:p>
    <w:p w:rsidR="00457C99" w:rsidRPr="005361F4" w:rsidRDefault="00457C99" w:rsidP="00457C99">
      <w:pPr>
        <w:pStyle w:val="SingleTxtG"/>
        <w:rPr>
          <w:lang w:val="fr-FR"/>
        </w:rPr>
      </w:pPr>
      <w:r w:rsidRPr="005361F4">
        <w:rPr>
          <w:lang w:val="fr-FR"/>
        </w:rPr>
        <w:t>8.4</w:t>
      </w:r>
      <w:r w:rsidRPr="005361F4">
        <w:rPr>
          <w:lang w:val="fr-FR"/>
        </w:rPr>
        <w:tab/>
        <w:t>Enfin, le Comité note que l</w:t>
      </w:r>
      <w:r>
        <w:rPr>
          <w:lang w:val="fr-FR"/>
        </w:rPr>
        <w:t>’</w:t>
      </w:r>
      <w:r w:rsidRPr="005361F4">
        <w:rPr>
          <w:lang w:val="fr-FR"/>
        </w:rPr>
        <w:t>État partie conteste la recevabilité au motif que le grief que l</w:t>
      </w:r>
      <w:r>
        <w:rPr>
          <w:lang w:val="fr-FR"/>
        </w:rPr>
        <w:t>’</w:t>
      </w:r>
      <w:r w:rsidRPr="005361F4">
        <w:rPr>
          <w:lang w:val="fr-FR"/>
        </w:rPr>
        <w:t>auteur tire de l</w:t>
      </w:r>
      <w:r>
        <w:rPr>
          <w:lang w:val="fr-FR"/>
        </w:rPr>
        <w:t>’</w:t>
      </w:r>
      <w:r w:rsidRPr="005361F4">
        <w:rPr>
          <w:lang w:val="fr-FR"/>
        </w:rPr>
        <w:t>article 7 du Pacte n</w:t>
      </w:r>
      <w:r>
        <w:rPr>
          <w:lang w:val="fr-FR"/>
        </w:rPr>
        <w:t>’</w:t>
      </w:r>
      <w:r w:rsidRPr="005361F4">
        <w:rPr>
          <w:lang w:val="fr-FR"/>
        </w:rPr>
        <w:t>est pas étayé. Le Comité considère toutefois qu</w:t>
      </w:r>
      <w:r>
        <w:rPr>
          <w:lang w:val="fr-FR"/>
        </w:rPr>
        <w:t>’</w:t>
      </w:r>
      <w:r w:rsidRPr="000060F8">
        <w:rPr>
          <w:lang w:val="fr-FR"/>
        </w:rPr>
        <w:t>aux fins de la recevabilité, l</w:t>
      </w:r>
      <w:r>
        <w:rPr>
          <w:lang w:val="fr-FR"/>
        </w:rPr>
        <w:t>’</w:t>
      </w:r>
      <w:r w:rsidRPr="000060F8">
        <w:rPr>
          <w:lang w:val="fr-FR"/>
        </w:rPr>
        <w:t>auteur a adéquatement expliqué pourquoi il craignait que son expulsion vers l</w:t>
      </w:r>
      <w:r>
        <w:rPr>
          <w:lang w:val="fr-FR"/>
        </w:rPr>
        <w:t>’</w:t>
      </w:r>
      <w:r w:rsidRPr="000060F8">
        <w:rPr>
          <w:lang w:val="fr-FR"/>
        </w:rPr>
        <w:t>Afghanistan lui fasse courir le risque d</w:t>
      </w:r>
      <w:r>
        <w:rPr>
          <w:lang w:val="fr-FR"/>
        </w:rPr>
        <w:t>’</w:t>
      </w:r>
      <w:r w:rsidRPr="000060F8">
        <w:rPr>
          <w:lang w:val="fr-FR"/>
        </w:rPr>
        <w:t>être victime d</w:t>
      </w:r>
      <w:r>
        <w:rPr>
          <w:lang w:val="fr-FR"/>
        </w:rPr>
        <w:t>’</w:t>
      </w:r>
      <w:r w:rsidRPr="000060F8">
        <w:rPr>
          <w:lang w:val="fr-FR"/>
        </w:rPr>
        <w:t>un traitement contraire à l</w:t>
      </w:r>
      <w:r>
        <w:rPr>
          <w:lang w:val="fr-FR"/>
        </w:rPr>
        <w:t>’</w:t>
      </w:r>
      <w:r w:rsidRPr="000060F8">
        <w:rPr>
          <w:lang w:val="fr-FR"/>
        </w:rPr>
        <w:t>article 7 du Pacte. En conséquence, le Comité déclare la communication recevable en ce qu</w:t>
      </w:r>
      <w:r>
        <w:rPr>
          <w:lang w:val="fr-FR"/>
        </w:rPr>
        <w:t>’</w:t>
      </w:r>
      <w:r w:rsidRPr="000060F8">
        <w:rPr>
          <w:lang w:val="fr-FR"/>
        </w:rPr>
        <w:t>elle soulève des questions au regard de l</w:t>
      </w:r>
      <w:r>
        <w:rPr>
          <w:lang w:val="fr-FR"/>
        </w:rPr>
        <w:t>’</w:t>
      </w:r>
      <w:r w:rsidRPr="000060F8">
        <w:rPr>
          <w:lang w:val="fr-FR"/>
        </w:rPr>
        <w:t>article 7 et va procéder à son examen au fond.</w:t>
      </w:r>
    </w:p>
    <w:p w:rsidR="00457C99" w:rsidRPr="005361F4" w:rsidRDefault="00457C99" w:rsidP="00457C99">
      <w:pPr>
        <w:pStyle w:val="H4G"/>
        <w:rPr>
          <w:lang w:val="fr-FR"/>
        </w:rPr>
      </w:pPr>
      <w:r w:rsidRPr="005361F4">
        <w:rPr>
          <w:lang w:val="fr-FR"/>
        </w:rPr>
        <w:lastRenderedPageBreak/>
        <w:tab/>
      </w:r>
      <w:r w:rsidRPr="005361F4">
        <w:rPr>
          <w:lang w:val="fr-FR"/>
        </w:rPr>
        <w:tab/>
        <w:t>Examen au fond</w:t>
      </w:r>
    </w:p>
    <w:p w:rsidR="00457C99" w:rsidRPr="005361F4" w:rsidRDefault="00457C99" w:rsidP="00457C99">
      <w:pPr>
        <w:pStyle w:val="SingleTxtG"/>
        <w:rPr>
          <w:lang w:val="fr-FR"/>
        </w:rPr>
      </w:pPr>
      <w:r w:rsidRPr="005361F4">
        <w:rPr>
          <w:lang w:val="fr-FR"/>
        </w:rPr>
        <w:t>9.1</w:t>
      </w:r>
      <w:r w:rsidRPr="005361F4">
        <w:rPr>
          <w:lang w:val="fr-FR"/>
        </w:rPr>
        <w:tab/>
        <w:t>Conformément au paragraphe 1 de l</w:t>
      </w:r>
      <w:r>
        <w:rPr>
          <w:lang w:val="fr-FR"/>
        </w:rPr>
        <w:t>’</w:t>
      </w:r>
      <w:r w:rsidRPr="005361F4">
        <w:rPr>
          <w:lang w:val="fr-FR"/>
        </w:rPr>
        <w:t>article 5 du Protocole facultatif, le Comité a examiné la présente communication en tenant compte de toutes les informations que lui ont communiquées les parties.</w:t>
      </w:r>
    </w:p>
    <w:p w:rsidR="00457C99" w:rsidRPr="005361F4" w:rsidRDefault="00457C99" w:rsidP="00457C99">
      <w:pPr>
        <w:pStyle w:val="SingleTxtG"/>
        <w:rPr>
          <w:lang w:val="fr-FR"/>
        </w:rPr>
      </w:pPr>
      <w:r w:rsidRPr="005361F4">
        <w:rPr>
          <w:lang w:val="fr-FR"/>
        </w:rPr>
        <w:t>9.2</w:t>
      </w:r>
      <w:r w:rsidRPr="005361F4">
        <w:rPr>
          <w:lang w:val="fr-FR"/>
        </w:rPr>
        <w:tab/>
        <w:t xml:space="preserve">Le </w:t>
      </w:r>
      <w:r w:rsidRPr="000060F8">
        <w:rPr>
          <w:lang w:val="fr-FR"/>
        </w:rPr>
        <w:t>Comité prend note de l</w:t>
      </w:r>
      <w:r>
        <w:rPr>
          <w:lang w:val="fr-FR"/>
        </w:rPr>
        <w:t>’</w:t>
      </w:r>
      <w:r w:rsidRPr="000060F8">
        <w:rPr>
          <w:lang w:val="fr-FR"/>
        </w:rPr>
        <w:t>allégation de l</w:t>
      </w:r>
      <w:r>
        <w:rPr>
          <w:lang w:val="fr-FR"/>
        </w:rPr>
        <w:t>’</w:t>
      </w:r>
      <w:r w:rsidRPr="000060F8">
        <w:rPr>
          <w:lang w:val="fr-FR"/>
        </w:rPr>
        <w:t>auteur selon laquelle, s</w:t>
      </w:r>
      <w:r>
        <w:rPr>
          <w:lang w:val="fr-FR"/>
        </w:rPr>
        <w:t>’</w:t>
      </w:r>
      <w:r w:rsidRPr="000060F8">
        <w:rPr>
          <w:lang w:val="fr-FR"/>
        </w:rPr>
        <w:t>il était renvoyé en Afghanistan, il risquerait d</w:t>
      </w:r>
      <w:r>
        <w:rPr>
          <w:lang w:val="fr-FR"/>
        </w:rPr>
        <w:t>’</w:t>
      </w:r>
      <w:r w:rsidRPr="000060F8">
        <w:rPr>
          <w:lang w:val="fr-FR"/>
        </w:rPr>
        <w:t>être soumis à des mauvais traitements, d</w:t>
      </w:r>
      <w:r>
        <w:rPr>
          <w:lang w:val="fr-FR"/>
        </w:rPr>
        <w:t>’</w:t>
      </w:r>
      <w:r w:rsidRPr="000060F8">
        <w:rPr>
          <w:lang w:val="fr-FR"/>
        </w:rPr>
        <w:t>une part aux mains des Taliban parce qu</w:t>
      </w:r>
      <w:r>
        <w:rPr>
          <w:lang w:val="fr-FR"/>
        </w:rPr>
        <w:t>’</w:t>
      </w:r>
      <w:r w:rsidRPr="000060F8">
        <w:rPr>
          <w:lang w:val="fr-FR"/>
        </w:rPr>
        <w:t xml:space="preserve">il a travaillé pendant cinq ans comme soldat pour les forces afghanes et </w:t>
      </w:r>
      <w:r w:rsidRPr="005361F4">
        <w:rPr>
          <w:lang w:val="fr-FR"/>
        </w:rPr>
        <w:t>des États-Unis</w:t>
      </w:r>
      <w:r w:rsidRPr="000060F8">
        <w:rPr>
          <w:lang w:val="fr-FR"/>
        </w:rPr>
        <w:t>, et d</w:t>
      </w:r>
      <w:r>
        <w:rPr>
          <w:lang w:val="fr-FR"/>
        </w:rPr>
        <w:t>’</w:t>
      </w:r>
      <w:r w:rsidRPr="000060F8">
        <w:rPr>
          <w:lang w:val="fr-FR"/>
        </w:rPr>
        <w:t>autre part aux mains des autorités afghanes en raison de ses liens présumés avec les Taliban. Il affirme qu</w:t>
      </w:r>
      <w:r>
        <w:rPr>
          <w:lang w:val="fr-FR"/>
        </w:rPr>
        <w:t>’</w:t>
      </w:r>
      <w:r w:rsidRPr="000060F8">
        <w:rPr>
          <w:lang w:val="fr-FR"/>
        </w:rPr>
        <w:t>avant son départ il a reçu deux lettres de menaces des Taliban à cause de son travail, et qu</w:t>
      </w:r>
      <w:r>
        <w:rPr>
          <w:lang w:val="fr-FR"/>
        </w:rPr>
        <w:t>’</w:t>
      </w:r>
      <w:r w:rsidRPr="000060F8">
        <w:rPr>
          <w:lang w:val="fr-FR"/>
        </w:rPr>
        <w:t>après qu</w:t>
      </w:r>
      <w:r>
        <w:rPr>
          <w:lang w:val="fr-FR"/>
        </w:rPr>
        <w:t>’</w:t>
      </w:r>
      <w:r w:rsidRPr="000060F8">
        <w:rPr>
          <w:lang w:val="fr-FR"/>
        </w:rPr>
        <w:t>il a reçu la première de ces lettres, on a tenté de le tuer par balles alors qu</w:t>
      </w:r>
      <w:r>
        <w:rPr>
          <w:lang w:val="fr-FR"/>
        </w:rPr>
        <w:t>’</w:t>
      </w:r>
      <w:r w:rsidRPr="000060F8">
        <w:rPr>
          <w:lang w:val="fr-FR"/>
        </w:rPr>
        <w:t>il était dans sa voiture. Il affirme qu</w:t>
      </w:r>
      <w:r>
        <w:rPr>
          <w:lang w:val="fr-FR"/>
        </w:rPr>
        <w:t>’</w:t>
      </w:r>
      <w:r w:rsidRPr="000060F8">
        <w:rPr>
          <w:lang w:val="fr-FR"/>
        </w:rPr>
        <w:t>il a été enlevé par les Taliban et détenu pendant quatre mois au cours desquels il a été torturé parce qu</w:t>
      </w:r>
      <w:r>
        <w:rPr>
          <w:lang w:val="fr-FR"/>
        </w:rPr>
        <w:t>’</w:t>
      </w:r>
      <w:r w:rsidRPr="000060F8">
        <w:rPr>
          <w:lang w:val="fr-FR"/>
        </w:rPr>
        <w:t>il était soupçonné d</w:t>
      </w:r>
      <w:r>
        <w:rPr>
          <w:lang w:val="fr-FR"/>
        </w:rPr>
        <w:t>’</w:t>
      </w:r>
      <w:r w:rsidRPr="000060F8">
        <w:rPr>
          <w:lang w:val="fr-FR"/>
        </w:rPr>
        <w:t xml:space="preserve">avoir travaillé pour </w:t>
      </w:r>
      <w:r w:rsidRPr="005361F4">
        <w:rPr>
          <w:lang w:val="fr-FR"/>
        </w:rPr>
        <w:t>le service de renseignement afghan et les forces des États-Unis, même si les</w:t>
      </w:r>
      <w:r>
        <w:rPr>
          <w:lang w:val="fr-FR"/>
        </w:rPr>
        <w:t xml:space="preserve"> </w:t>
      </w:r>
      <w:r w:rsidRPr="005361F4">
        <w:rPr>
          <w:lang w:val="fr-FR"/>
        </w:rPr>
        <w:t>Taliban n</w:t>
      </w:r>
      <w:r>
        <w:rPr>
          <w:lang w:val="fr-FR"/>
        </w:rPr>
        <w:t>’</w:t>
      </w:r>
      <w:r w:rsidRPr="005361F4">
        <w:rPr>
          <w:lang w:val="fr-FR"/>
        </w:rPr>
        <w:t>ont pu établir son identité avec certitude. Il affirme également qu</w:t>
      </w:r>
      <w:r>
        <w:rPr>
          <w:lang w:val="fr-FR"/>
        </w:rPr>
        <w:t>’</w:t>
      </w:r>
      <w:r w:rsidRPr="005361F4">
        <w:rPr>
          <w:lang w:val="fr-FR"/>
        </w:rPr>
        <w:t>après son départ, sa famille a reçu des Taliban une nouvelle lettre de menaces qui lui était adressée personnellement. L</w:t>
      </w:r>
      <w:r>
        <w:rPr>
          <w:lang w:val="fr-FR"/>
        </w:rPr>
        <w:t>’</w:t>
      </w:r>
      <w:r w:rsidRPr="005361F4">
        <w:rPr>
          <w:lang w:val="fr-FR"/>
        </w:rPr>
        <w:t xml:space="preserve">auteur donne des informations générales sur les menaces qui pèsent sur les personnes travaillant avec les forces armées étrangères ou les forces de sécurité afghanes, ainsi que sur celles soupçonnées de soutenir des « éléments opposés au Gouvernement ». </w:t>
      </w:r>
    </w:p>
    <w:p w:rsidR="00457C99" w:rsidRPr="000060F8" w:rsidRDefault="00457C99" w:rsidP="00457C99">
      <w:pPr>
        <w:pStyle w:val="SingleTxtG"/>
        <w:rPr>
          <w:lang w:val="fr-FR"/>
        </w:rPr>
      </w:pPr>
      <w:r w:rsidRPr="005361F4">
        <w:rPr>
          <w:lang w:val="fr-FR"/>
        </w:rPr>
        <w:t>9.3</w:t>
      </w:r>
      <w:r w:rsidRPr="005361F4">
        <w:rPr>
          <w:lang w:val="fr-FR"/>
        </w:rPr>
        <w:tab/>
        <w:t>D</w:t>
      </w:r>
      <w:r>
        <w:rPr>
          <w:lang w:val="fr-FR"/>
        </w:rPr>
        <w:t>’</w:t>
      </w:r>
      <w:r w:rsidRPr="005361F4">
        <w:rPr>
          <w:lang w:val="fr-FR"/>
        </w:rPr>
        <w:t>autre part, le Comité relève que l</w:t>
      </w:r>
      <w:r>
        <w:rPr>
          <w:lang w:val="fr-FR"/>
        </w:rPr>
        <w:t>’</w:t>
      </w:r>
      <w:r w:rsidRPr="005361F4">
        <w:rPr>
          <w:lang w:val="fr-FR"/>
        </w:rPr>
        <w:t>État partie a contesté la recevabilité et le fond de ces allégations et a souscrit à l</w:t>
      </w:r>
      <w:r>
        <w:rPr>
          <w:lang w:val="fr-FR"/>
        </w:rPr>
        <w:t>’</w:t>
      </w:r>
      <w:r w:rsidRPr="005361F4">
        <w:rPr>
          <w:lang w:val="fr-FR"/>
        </w:rPr>
        <w:t>appréciation faite par la Commission de recours des réfugiés qui, tout en admettant qu</w:t>
      </w:r>
      <w:r>
        <w:rPr>
          <w:lang w:val="fr-FR"/>
        </w:rPr>
        <w:t>’</w:t>
      </w:r>
      <w:r w:rsidRPr="005361F4">
        <w:rPr>
          <w:lang w:val="fr-FR"/>
        </w:rPr>
        <w:t>une bonne partie des faits allégués par l</w:t>
      </w:r>
      <w:r>
        <w:rPr>
          <w:lang w:val="fr-FR"/>
        </w:rPr>
        <w:t>’</w:t>
      </w:r>
      <w:r w:rsidRPr="005361F4">
        <w:rPr>
          <w:lang w:val="fr-FR"/>
        </w:rPr>
        <w:t xml:space="preserve">auteur étaient établis, a conclu que </w:t>
      </w:r>
      <w:r>
        <w:rPr>
          <w:lang w:val="fr-FR"/>
        </w:rPr>
        <w:t xml:space="preserve">celui-ci </w:t>
      </w:r>
      <w:r w:rsidRPr="005361F4">
        <w:rPr>
          <w:lang w:val="fr-FR"/>
        </w:rPr>
        <w:t>n</w:t>
      </w:r>
      <w:r>
        <w:rPr>
          <w:lang w:val="fr-FR"/>
        </w:rPr>
        <w:t>’</w:t>
      </w:r>
      <w:r w:rsidRPr="005361F4">
        <w:rPr>
          <w:lang w:val="fr-FR"/>
        </w:rPr>
        <w:t>avait pas démontré qu</w:t>
      </w:r>
      <w:r>
        <w:rPr>
          <w:lang w:val="fr-FR"/>
        </w:rPr>
        <w:t>’</w:t>
      </w:r>
      <w:r w:rsidRPr="005361F4">
        <w:rPr>
          <w:lang w:val="fr-FR"/>
        </w:rPr>
        <w:t>il y avait des motifs sérieux de croire qu</w:t>
      </w:r>
      <w:r>
        <w:rPr>
          <w:lang w:val="fr-FR"/>
        </w:rPr>
        <w:t>’</w:t>
      </w:r>
      <w:r w:rsidRPr="005361F4">
        <w:rPr>
          <w:lang w:val="fr-FR"/>
        </w:rPr>
        <w:t>il risquerait d</w:t>
      </w:r>
      <w:r>
        <w:rPr>
          <w:lang w:val="fr-FR"/>
        </w:rPr>
        <w:t>’</w:t>
      </w:r>
      <w:r w:rsidRPr="005361F4">
        <w:rPr>
          <w:lang w:val="fr-FR"/>
        </w:rPr>
        <w:t>être tué ou soumis à des peines ou traitements cruels, inhumains ou dégradants s</w:t>
      </w:r>
      <w:r>
        <w:rPr>
          <w:lang w:val="fr-FR"/>
        </w:rPr>
        <w:t>’</w:t>
      </w:r>
      <w:r w:rsidRPr="005361F4">
        <w:rPr>
          <w:lang w:val="fr-FR"/>
        </w:rPr>
        <w:t xml:space="preserve">il était renvoyé en Afghanistan. En particulier, le Comité </w:t>
      </w:r>
      <w:r>
        <w:rPr>
          <w:lang w:val="fr-FR"/>
        </w:rPr>
        <w:t>est conscient</w:t>
      </w:r>
      <w:r w:rsidRPr="000060F8">
        <w:rPr>
          <w:lang w:val="fr-FR"/>
        </w:rPr>
        <w:t xml:space="preserve"> que, dans ses conclusions du 18</w:t>
      </w:r>
      <w:r w:rsidR="00B72E52">
        <w:rPr>
          <w:lang w:val="fr-FR"/>
        </w:rPr>
        <w:t> </w:t>
      </w:r>
      <w:r w:rsidRPr="000060F8">
        <w:rPr>
          <w:lang w:val="fr-FR"/>
        </w:rPr>
        <w:t>avril 2016, la Commission de recours des réfugiés a réévalué les déclarations de l</w:t>
      </w:r>
      <w:r>
        <w:rPr>
          <w:lang w:val="fr-FR"/>
        </w:rPr>
        <w:t>’</w:t>
      </w:r>
      <w:r w:rsidRPr="000060F8">
        <w:rPr>
          <w:lang w:val="fr-FR"/>
        </w:rPr>
        <w:t>auteur et a conclu qu</w:t>
      </w:r>
      <w:r>
        <w:rPr>
          <w:lang w:val="fr-FR"/>
        </w:rPr>
        <w:t>’</w:t>
      </w:r>
      <w:r w:rsidRPr="000060F8">
        <w:rPr>
          <w:lang w:val="fr-FR"/>
        </w:rPr>
        <w:t>il était établi : a) que l</w:t>
      </w:r>
      <w:r>
        <w:rPr>
          <w:lang w:val="fr-FR"/>
        </w:rPr>
        <w:t>’</w:t>
      </w:r>
      <w:r w:rsidRPr="000060F8">
        <w:rPr>
          <w:lang w:val="fr-FR"/>
        </w:rPr>
        <w:t xml:space="preserve">auteur avait été soldat et avait </w:t>
      </w:r>
      <w:r>
        <w:rPr>
          <w:lang w:val="fr-FR"/>
        </w:rPr>
        <w:t>dispensé</w:t>
      </w:r>
      <w:r w:rsidRPr="000060F8">
        <w:rPr>
          <w:lang w:val="fr-FR"/>
        </w:rPr>
        <w:t xml:space="preserve"> des soins d</w:t>
      </w:r>
      <w:r>
        <w:rPr>
          <w:lang w:val="fr-FR"/>
        </w:rPr>
        <w:t>’</w:t>
      </w:r>
      <w:r w:rsidRPr="000060F8">
        <w:rPr>
          <w:lang w:val="fr-FR"/>
        </w:rPr>
        <w:t xml:space="preserve">urgence sur une base </w:t>
      </w:r>
      <w:r w:rsidRPr="005361F4">
        <w:rPr>
          <w:lang w:val="fr-FR"/>
        </w:rPr>
        <w:t>des États-Unis</w:t>
      </w:r>
      <w:r>
        <w:rPr>
          <w:lang w:val="fr-FR"/>
        </w:rPr>
        <w:t xml:space="preserve"> </w:t>
      </w:r>
      <w:r w:rsidRPr="000060F8">
        <w:rPr>
          <w:lang w:val="fr-FR"/>
        </w:rPr>
        <w:t xml:space="preserve">dans la province Kunar ; b) que </w:t>
      </w:r>
      <w:r w:rsidRPr="005361F4">
        <w:rPr>
          <w:lang w:val="fr-FR"/>
        </w:rPr>
        <w:t>les Taliban avaient, à deux reprises, adressé à l</w:t>
      </w:r>
      <w:r>
        <w:rPr>
          <w:lang w:val="fr-FR"/>
        </w:rPr>
        <w:t>’</w:t>
      </w:r>
      <w:r w:rsidRPr="005361F4">
        <w:rPr>
          <w:lang w:val="fr-FR"/>
        </w:rPr>
        <w:t>auteur des menaces écrites à ce sujet </w:t>
      </w:r>
      <w:r w:rsidRPr="000060F8">
        <w:rPr>
          <w:lang w:val="fr-FR"/>
        </w:rPr>
        <w:t xml:space="preserve">; et c) que </w:t>
      </w:r>
      <w:r w:rsidRPr="005361F4">
        <w:rPr>
          <w:lang w:val="fr-FR"/>
        </w:rPr>
        <w:t>l</w:t>
      </w:r>
      <w:r>
        <w:rPr>
          <w:lang w:val="fr-FR"/>
        </w:rPr>
        <w:t>’</w:t>
      </w:r>
      <w:r w:rsidRPr="005361F4">
        <w:rPr>
          <w:lang w:val="fr-FR"/>
        </w:rPr>
        <w:t>auteur avait été enlevé par les Taliban en 2013</w:t>
      </w:r>
      <w:r w:rsidRPr="000060F8">
        <w:rPr>
          <w:lang w:val="fr-FR"/>
        </w:rPr>
        <w:t xml:space="preserve">. La Commission a toutefois conclu que </w:t>
      </w:r>
      <w:r w:rsidRPr="005361F4">
        <w:rPr>
          <w:lang w:val="fr-FR"/>
        </w:rPr>
        <w:t>la nature et l</w:t>
      </w:r>
      <w:r>
        <w:rPr>
          <w:lang w:val="fr-FR"/>
        </w:rPr>
        <w:t>’</w:t>
      </w:r>
      <w:r w:rsidRPr="005361F4">
        <w:rPr>
          <w:lang w:val="fr-FR"/>
        </w:rPr>
        <w:t>intensité de ces menaces n</w:t>
      </w:r>
      <w:r>
        <w:rPr>
          <w:lang w:val="fr-FR"/>
        </w:rPr>
        <w:t>’</w:t>
      </w:r>
      <w:r w:rsidRPr="005361F4">
        <w:rPr>
          <w:lang w:val="fr-FR"/>
        </w:rPr>
        <w:t>étaient pas telles qu</w:t>
      </w:r>
      <w:r>
        <w:rPr>
          <w:lang w:val="fr-FR"/>
        </w:rPr>
        <w:t>’</w:t>
      </w:r>
      <w:r w:rsidRPr="005361F4">
        <w:rPr>
          <w:lang w:val="fr-FR"/>
        </w:rPr>
        <w:t>il était probable que les Taliban contacteraient de nouveau l</w:t>
      </w:r>
      <w:r>
        <w:rPr>
          <w:lang w:val="fr-FR"/>
        </w:rPr>
        <w:t>’</w:t>
      </w:r>
      <w:r w:rsidRPr="005361F4">
        <w:rPr>
          <w:lang w:val="fr-FR"/>
        </w:rPr>
        <w:t>auteur</w:t>
      </w:r>
      <w:r w:rsidRPr="000060F8">
        <w:rPr>
          <w:lang w:val="fr-FR"/>
        </w:rPr>
        <w:t>. La Commission a aussi considéré que l</w:t>
      </w:r>
      <w:r>
        <w:rPr>
          <w:lang w:val="fr-FR"/>
        </w:rPr>
        <w:t>’</w:t>
      </w:r>
      <w:r w:rsidRPr="000060F8">
        <w:rPr>
          <w:lang w:val="fr-FR"/>
        </w:rPr>
        <w:t>auteur n</w:t>
      </w:r>
      <w:r>
        <w:rPr>
          <w:lang w:val="fr-FR"/>
        </w:rPr>
        <w:t>’</w:t>
      </w:r>
      <w:r w:rsidRPr="000060F8">
        <w:rPr>
          <w:lang w:val="fr-FR"/>
        </w:rPr>
        <w:t xml:space="preserve">avait pas clairement démontré que </w:t>
      </w:r>
      <w:r w:rsidRPr="005361F4">
        <w:rPr>
          <w:lang w:val="fr-FR"/>
        </w:rPr>
        <w:t>son enlèvement était lié à son travail pour les forces des États-Unis</w:t>
      </w:r>
      <w:r>
        <w:rPr>
          <w:lang w:val="fr-FR"/>
        </w:rPr>
        <w:t xml:space="preserve"> </w:t>
      </w:r>
      <w:r w:rsidRPr="005361F4">
        <w:rPr>
          <w:lang w:val="fr-FR"/>
        </w:rPr>
        <w:t>et a relevé qu</w:t>
      </w:r>
      <w:r>
        <w:rPr>
          <w:lang w:val="fr-FR"/>
        </w:rPr>
        <w:t>’</w:t>
      </w:r>
      <w:r w:rsidRPr="005361F4">
        <w:rPr>
          <w:lang w:val="fr-FR"/>
        </w:rPr>
        <w:t>il n</w:t>
      </w:r>
      <w:r>
        <w:rPr>
          <w:lang w:val="fr-FR"/>
        </w:rPr>
        <w:t>’</w:t>
      </w:r>
      <w:r w:rsidRPr="005361F4">
        <w:rPr>
          <w:lang w:val="fr-FR"/>
        </w:rPr>
        <w:t>avait pas été identifié pendant sa captivité</w:t>
      </w:r>
      <w:r w:rsidRPr="000060F8">
        <w:rPr>
          <w:lang w:val="fr-FR"/>
        </w:rPr>
        <w:t xml:space="preserve">. </w:t>
      </w:r>
      <w:r w:rsidRPr="005361F4">
        <w:rPr>
          <w:lang w:val="fr-FR"/>
        </w:rPr>
        <w:t>La</w:t>
      </w:r>
      <w:r w:rsidR="00B72E52">
        <w:rPr>
          <w:lang w:val="fr-FR"/>
        </w:rPr>
        <w:t> </w:t>
      </w:r>
      <w:r w:rsidRPr="005361F4">
        <w:rPr>
          <w:lang w:val="fr-FR"/>
        </w:rPr>
        <w:t>Commission a donc conclu que l</w:t>
      </w:r>
      <w:r>
        <w:rPr>
          <w:lang w:val="fr-FR"/>
        </w:rPr>
        <w:t>’</w:t>
      </w:r>
      <w:r w:rsidRPr="005361F4">
        <w:rPr>
          <w:lang w:val="fr-FR"/>
        </w:rPr>
        <w:t>enlèvement de l</w:t>
      </w:r>
      <w:r>
        <w:rPr>
          <w:lang w:val="fr-FR"/>
        </w:rPr>
        <w:t>’</w:t>
      </w:r>
      <w:r w:rsidRPr="005361F4">
        <w:rPr>
          <w:lang w:val="fr-FR"/>
        </w:rPr>
        <w:t>auteur n</w:t>
      </w:r>
      <w:r>
        <w:rPr>
          <w:lang w:val="fr-FR"/>
        </w:rPr>
        <w:t>’</w:t>
      </w:r>
      <w:r w:rsidRPr="005361F4">
        <w:rPr>
          <w:lang w:val="fr-FR"/>
        </w:rPr>
        <w:t>avait pas accru sa visibilité et qu</w:t>
      </w:r>
      <w:r>
        <w:rPr>
          <w:lang w:val="fr-FR"/>
        </w:rPr>
        <w:t>’</w:t>
      </w:r>
      <w:r w:rsidRPr="005361F4">
        <w:rPr>
          <w:lang w:val="fr-FR"/>
        </w:rPr>
        <w:t>il ne risquait pas d</w:t>
      </w:r>
      <w:r>
        <w:rPr>
          <w:lang w:val="fr-FR"/>
        </w:rPr>
        <w:t>’</w:t>
      </w:r>
      <w:r w:rsidRPr="005361F4">
        <w:rPr>
          <w:lang w:val="fr-FR"/>
        </w:rPr>
        <w:t>être de nouveau persécuté parce qu</w:t>
      </w:r>
      <w:r>
        <w:rPr>
          <w:lang w:val="fr-FR"/>
        </w:rPr>
        <w:t>’</w:t>
      </w:r>
      <w:r w:rsidRPr="005361F4">
        <w:rPr>
          <w:lang w:val="fr-FR"/>
        </w:rPr>
        <w:t>il avait été enlevé ou parce qu</w:t>
      </w:r>
      <w:r>
        <w:rPr>
          <w:lang w:val="fr-FR"/>
        </w:rPr>
        <w:t>’</w:t>
      </w:r>
      <w:r w:rsidRPr="005361F4">
        <w:rPr>
          <w:lang w:val="fr-FR"/>
        </w:rPr>
        <w:t>il avait travaillé sur une base des États-Unis</w:t>
      </w:r>
      <w:r w:rsidRPr="000060F8">
        <w:rPr>
          <w:lang w:val="fr-FR"/>
        </w:rPr>
        <w:t>.</w:t>
      </w:r>
    </w:p>
    <w:p w:rsidR="00457C99" w:rsidRPr="005361F4" w:rsidRDefault="00457C99" w:rsidP="00457C99">
      <w:pPr>
        <w:pStyle w:val="SingleTxtG"/>
        <w:rPr>
          <w:lang w:val="fr-FR"/>
        </w:rPr>
      </w:pPr>
      <w:r w:rsidRPr="005361F4">
        <w:rPr>
          <w:lang w:val="fr-FR"/>
        </w:rPr>
        <w:t>9.4</w:t>
      </w:r>
      <w:r w:rsidRPr="005361F4">
        <w:rPr>
          <w:lang w:val="fr-FR"/>
        </w:rPr>
        <w:tab/>
        <w:t xml:space="preserve">Le Comité rappelle son observation générale </w:t>
      </w:r>
      <w:r w:rsidRPr="005361F4">
        <w:rPr>
          <w:rFonts w:eastAsia="MS Mincho"/>
          <w:lang w:val="fr-FR"/>
        </w:rPr>
        <w:t>n</w:t>
      </w:r>
      <w:r w:rsidRPr="005361F4">
        <w:rPr>
          <w:rFonts w:eastAsia="MS Mincho"/>
          <w:vertAlign w:val="superscript"/>
          <w:lang w:val="fr-FR"/>
        </w:rPr>
        <w:t>o</w:t>
      </w:r>
      <w:r w:rsidRPr="005361F4">
        <w:rPr>
          <w:lang w:val="fr-FR"/>
        </w:rPr>
        <w:t xml:space="preserve"> 31 </w:t>
      </w:r>
      <w:r w:rsidRPr="000060F8">
        <w:rPr>
          <w:lang w:val="fr-FR"/>
        </w:rPr>
        <w:t>(2004)</w:t>
      </w:r>
      <w:r>
        <w:rPr>
          <w:lang w:val="fr-FR"/>
        </w:rPr>
        <w:t>,</w:t>
      </w:r>
      <w:r w:rsidRPr="000060F8">
        <w:rPr>
          <w:lang w:val="fr-FR"/>
        </w:rPr>
        <w:t xml:space="preserve"> sur la nature de l</w:t>
      </w:r>
      <w:r>
        <w:rPr>
          <w:lang w:val="fr-FR"/>
        </w:rPr>
        <w:t>’</w:t>
      </w:r>
      <w:r w:rsidRPr="000060F8">
        <w:rPr>
          <w:lang w:val="fr-FR"/>
        </w:rPr>
        <w:t>obligation juridique générale imposée aux États parties au Pacte</w:t>
      </w:r>
      <w:r w:rsidRPr="005361F4">
        <w:rPr>
          <w:lang w:val="fr-FR"/>
        </w:rPr>
        <w:t>, dans laquelle il souligne l</w:t>
      </w:r>
      <w:r>
        <w:rPr>
          <w:lang w:val="fr-FR"/>
        </w:rPr>
        <w:t>’</w:t>
      </w:r>
      <w:r w:rsidRPr="005361F4">
        <w:rPr>
          <w:lang w:val="fr-FR"/>
        </w:rPr>
        <w:t>obligation des États parties de ne pas extrader, déplacer, expulser quelqu</w:t>
      </w:r>
      <w:r>
        <w:rPr>
          <w:lang w:val="fr-FR"/>
        </w:rPr>
        <w:t>’</w:t>
      </w:r>
      <w:r w:rsidRPr="005361F4">
        <w:rPr>
          <w:lang w:val="fr-FR"/>
        </w:rPr>
        <w:t>un ou le transférer par d</w:t>
      </w:r>
      <w:r>
        <w:rPr>
          <w:lang w:val="fr-FR"/>
        </w:rPr>
        <w:t>’</w:t>
      </w:r>
      <w:r w:rsidRPr="005361F4">
        <w:rPr>
          <w:lang w:val="fr-FR"/>
        </w:rPr>
        <w:t>autres moyens de leur territoire s</w:t>
      </w:r>
      <w:r>
        <w:rPr>
          <w:lang w:val="fr-FR"/>
        </w:rPr>
        <w:t>’</w:t>
      </w:r>
      <w:r w:rsidRPr="005361F4">
        <w:rPr>
          <w:lang w:val="fr-FR"/>
        </w:rPr>
        <w:t>il existe des motifs sérieux de croire qu</w:t>
      </w:r>
      <w:r>
        <w:rPr>
          <w:lang w:val="fr-FR"/>
        </w:rPr>
        <w:t>’</w:t>
      </w:r>
      <w:r w:rsidRPr="005361F4">
        <w:rPr>
          <w:lang w:val="fr-FR"/>
        </w:rPr>
        <w:t>il y a un risque réel de préjudice irréparable, tel le préjudice envisagé aux articles 6 et 7 du Pacte</w:t>
      </w:r>
      <w:r w:rsidRPr="000060F8">
        <w:rPr>
          <w:rStyle w:val="Appelnotedebasdep"/>
        </w:rPr>
        <w:footnoteReference w:id="21"/>
      </w:r>
      <w:r w:rsidRPr="005361F4">
        <w:rPr>
          <w:lang w:val="fr-FR"/>
        </w:rPr>
        <w:t>. Le Comité a établi qu</w:t>
      </w:r>
      <w:r>
        <w:rPr>
          <w:lang w:val="fr-FR"/>
        </w:rPr>
        <w:t>’</w:t>
      </w:r>
      <w:r w:rsidRPr="005361F4">
        <w:rPr>
          <w:lang w:val="fr-FR"/>
        </w:rPr>
        <w:t>un tel risque doit être personnel et qu</w:t>
      </w:r>
      <w:r>
        <w:rPr>
          <w:lang w:val="fr-FR"/>
        </w:rPr>
        <w:t>’</w:t>
      </w:r>
      <w:r w:rsidRPr="005361F4">
        <w:rPr>
          <w:lang w:val="fr-FR"/>
        </w:rPr>
        <w:t>il faut des motifs sérieux de conclure à l</w:t>
      </w:r>
      <w:r>
        <w:rPr>
          <w:lang w:val="fr-FR"/>
        </w:rPr>
        <w:t>’</w:t>
      </w:r>
      <w:r w:rsidRPr="005361F4">
        <w:rPr>
          <w:lang w:val="fr-FR"/>
        </w:rPr>
        <w:t>existence d</w:t>
      </w:r>
      <w:r>
        <w:rPr>
          <w:lang w:val="fr-FR"/>
        </w:rPr>
        <w:t>’</w:t>
      </w:r>
      <w:r w:rsidRPr="005361F4">
        <w:rPr>
          <w:lang w:val="fr-FR"/>
        </w:rPr>
        <w:t>un risque réel de préjudice irréparable</w:t>
      </w:r>
      <w:r w:rsidRPr="000060F8">
        <w:rPr>
          <w:rStyle w:val="Appelnotedebasdep"/>
        </w:rPr>
        <w:footnoteReference w:id="22"/>
      </w:r>
      <w:r w:rsidRPr="005361F4">
        <w:rPr>
          <w:lang w:val="fr-FR"/>
        </w:rPr>
        <w:t>. C</w:t>
      </w:r>
      <w:r>
        <w:rPr>
          <w:lang w:val="fr-FR"/>
        </w:rPr>
        <w:t>’</w:t>
      </w:r>
      <w:r w:rsidRPr="005361F4">
        <w:rPr>
          <w:lang w:val="fr-FR"/>
        </w:rPr>
        <w:t>est pourquoi tous les faits et circonstances pertinents doivent être pris en considération, notamment la situation générale des droits de l</w:t>
      </w:r>
      <w:r>
        <w:rPr>
          <w:lang w:val="fr-FR"/>
        </w:rPr>
        <w:t>’</w:t>
      </w:r>
      <w:r w:rsidRPr="005361F4">
        <w:rPr>
          <w:lang w:val="fr-FR"/>
        </w:rPr>
        <w:t>homme dans le pays d</w:t>
      </w:r>
      <w:r>
        <w:rPr>
          <w:lang w:val="fr-FR"/>
        </w:rPr>
        <w:t>’</w:t>
      </w:r>
      <w:r w:rsidRPr="005361F4">
        <w:rPr>
          <w:lang w:val="fr-FR"/>
        </w:rPr>
        <w:t>origine de l</w:t>
      </w:r>
      <w:r>
        <w:rPr>
          <w:lang w:val="fr-FR"/>
        </w:rPr>
        <w:t>’</w:t>
      </w:r>
      <w:r w:rsidRPr="005361F4">
        <w:rPr>
          <w:lang w:val="fr-FR"/>
        </w:rPr>
        <w:t>auteur</w:t>
      </w:r>
      <w:r w:rsidRPr="000060F8">
        <w:rPr>
          <w:rStyle w:val="Appelnotedebasdep"/>
        </w:rPr>
        <w:footnoteReference w:id="23"/>
      </w:r>
      <w:r w:rsidRPr="005361F4">
        <w:rPr>
          <w:lang w:val="fr-FR"/>
        </w:rPr>
        <w:t>.</w:t>
      </w:r>
    </w:p>
    <w:p w:rsidR="00457C99" w:rsidRPr="005361F4" w:rsidRDefault="00457C99" w:rsidP="00457C99">
      <w:pPr>
        <w:pStyle w:val="SingleTxtG"/>
        <w:rPr>
          <w:lang w:val="fr-FR"/>
        </w:rPr>
      </w:pPr>
      <w:r w:rsidRPr="005361F4">
        <w:rPr>
          <w:lang w:val="fr-FR"/>
        </w:rPr>
        <w:t>9.5</w:t>
      </w:r>
      <w:r w:rsidRPr="005361F4">
        <w:rPr>
          <w:lang w:val="fr-FR"/>
        </w:rPr>
        <w:tab/>
        <w:t>Le Comité rappelle également sa jurisprudence selon laquelle il convient d</w:t>
      </w:r>
      <w:r>
        <w:rPr>
          <w:lang w:val="fr-FR"/>
        </w:rPr>
        <w:t>’</w:t>
      </w:r>
      <w:r w:rsidRPr="005361F4">
        <w:rPr>
          <w:lang w:val="fr-FR"/>
        </w:rPr>
        <w:t>accorder un poids important à l</w:t>
      </w:r>
      <w:r>
        <w:rPr>
          <w:lang w:val="fr-FR"/>
        </w:rPr>
        <w:t>’</w:t>
      </w:r>
      <w:r w:rsidRPr="005361F4">
        <w:rPr>
          <w:lang w:val="fr-FR"/>
        </w:rPr>
        <w:t>analyse qu</w:t>
      </w:r>
      <w:r>
        <w:rPr>
          <w:lang w:val="fr-FR"/>
        </w:rPr>
        <w:t>’</w:t>
      </w:r>
      <w:r w:rsidRPr="005361F4">
        <w:rPr>
          <w:lang w:val="fr-FR"/>
        </w:rPr>
        <w:t>a faite l</w:t>
      </w:r>
      <w:r>
        <w:rPr>
          <w:lang w:val="fr-FR"/>
        </w:rPr>
        <w:t>’</w:t>
      </w:r>
      <w:r w:rsidRPr="005361F4">
        <w:rPr>
          <w:lang w:val="fr-FR"/>
        </w:rPr>
        <w:t>État partie de l</w:t>
      </w:r>
      <w:r>
        <w:rPr>
          <w:lang w:val="fr-FR"/>
        </w:rPr>
        <w:t>’</w:t>
      </w:r>
      <w:r w:rsidRPr="005361F4">
        <w:rPr>
          <w:lang w:val="fr-FR"/>
        </w:rPr>
        <w:t xml:space="preserve">affaire et </w:t>
      </w:r>
      <w:r w:rsidRPr="000060F8">
        <w:rPr>
          <w:lang w:val="fr-FR"/>
        </w:rPr>
        <w:t>qu</w:t>
      </w:r>
      <w:r>
        <w:rPr>
          <w:lang w:val="fr-FR"/>
        </w:rPr>
        <w:t>’</w:t>
      </w:r>
      <w:r w:rsidRPr="000060F8">
        <w:rPr>
          <w:lang w:val="fr-FR"/>
        </w:rPr>
        <w:t>il appartient généralement aux organes des États parties au Pacte d</w:t>
      </w:r>
      <w:r>
        <w:rPr>
          <w:lang w:val="fr-FR"/>
        </w:rPr>
        <w:t>’</w:t>
      </w:r>
      <w:r w:rsidRPr="000060F8">
        <w:rPr>
          <w:lang w:val="fr-FR"/>
        </w:rPr>
        <w:t xml:space="preserve">apprécier les faits et les éléments de </w:t>
      </w:r>
      <w:r w:rsidRPr="000060F8">
        <w:rPr>
          <w:lang w:val="fr-FR"/>
        </w:rPr>
        <w:lastRenderedPageBreak/>
        <w:t>preuve afin de déterminer l</w:t>
      </w:r>
      <w:r>
        <w:rPr>
          <w:lang w:val="fr-FR"/>
        </w:rPr>
        <w:t>’</w:t>
      </w:r>
      <w:r w:rsidRPr="000060F8">
        <w:rPr>
          <w:lang w:val="fr-FR"/>
        </w:rPr>
        <w:t>existence d</w:t>
      </w:r>
      <w:r>
        <w:rPr>
          <w:lang w:val="fr-FR"/>
        </w:rPr>
        <w:t>’</w:t>
      </w:r>
      <w:r w:rsidRPr="000060F8">
        <w:rPr>
          <w:lang w:val="fr-FR"/>
        </w:rPr>
        <w:t xml:space="preserve">un tel risque, </w:t>
      </w:r>
      <w:r w:rsidRPr="005361F4">
        <w:rPr>
          <w:lang w:val="fr-FR"/>
        </w:rPr>
        <w:t>sauf s</w:t>
      </w:r>
      <w:r>
        <w:rPr>
          <w:lang w:val="fr-FR"/>
        </w:rPr>
        <w:t>’</w:t>
      </w:r>
      <w:r w:rsidRPr="005361F4">
        <w:rPr>
          <w:lang w:val="fr-FR"/>
        </w:rPr>
        <w:t>il peut être établi que cette appréciation a été manifestement arbitraire ou a représenté un déni de justice</w:t>
      </w:r>
      <w:r w:rsidRPr="000060F8">
        <w:rPr>
          <w:rStyle w:val="Appelnotedebasdep"/>
        </w:rPr>
        <w:footnoteReference w:id="24"/>
      </w:r>
      <w:r w:rsidRPr="005361F4">
        <w:rPr>
          <w:lang w:val="fr-FR"/>
        </w:rPr>
        <w:t>.</w:t>
      </w:r>
    </w:p>
    <w:p w:rsidR="00457C99" w:rsidRPr="000060F8" w:rsidRDefault="00457C99" w:rsidP="00457C99">
      <w:pPr>
        <w:pStyle w:val="SingleTxtG"/>
        <w:rPr>
          <w:lang w:val="fr-FR"/>
        </w:rPr>
      </w:pPr>
      <w:r w:rsidRPr="005361F4">
        <w:rPr>
          <w:lang w:val="fr-FR"/>
        </w:rPr>
        <w:t>9.6</w:t>
      </w:r>
      <w:r w:rsidRPr="005361F4">
        <w:rPr>
          <w:lang w:val="fr-FR"/>
        </w:rPr>
        <w:tab/>
        <w:t>Le Comité rappelle en outre les affaires similaires à la présente espèce dans lesquelles il était saisi de la question de savoir si le fait d</w:t>
      </w:r>
      <w:r>
        <w:rPr>
          <w:lang w:val="fr-FR"/>
        </w:rPr>
        <w:t>’</w:t>
      </w:r>
      <w:r w:rsidRPr="005361F4">
        <w:rPr>
          <w:lang w:val="fr-FR"/>
        </w:rPr>
        <w:t>avoir été lié à des forces internationales dans certains pays fournissait un indice solide d</w:t>
      </w:r>
      <w:r>
        <w:rPr>
          <w:lang w:val="fr-FR"/>
        </w:rPr>
        <w:t>’</w:t>
      </w:r>
      <w:r w:rsidRPr="005361F4">
        <w:rPr>
          <w:lang w:val="fr-FR"/>
        </w:rPr>
        <w:t>un risque futur de subir des persécutions contraires à l</w:t>
      </w:r>
      <w:r>
        <w:rPr>
          <w:lang w:val="fr-FR"/>
        </w:rPr>
        <w:t>’</w:t>
      </w:r>
      <w:r w:rsidRPr="000060F8">
        <w:rPr>
          <w:lang w:val="fr-FR"/>
        </w:rPr>
        <w:t>article 7 du Pacte</w:t>
      </w:r>
      <w:r w:rsidRPr="000060F8">
        <w:rPr>
          <w:rStyle w:val="Appelnotedebasdep"/>
        </w:rPr>
        <w:footnoteReference w:id="25"/>
      </w:r>
      <w:r w:rsidRPr="000060F8">
        <w:rPr>
          <w:lang w:val="fr-FR"/>
        </w:rPr>
        <w:t>.</w:t>
      </w:r>
    </w:p>
    <w:p w:rsidR="00457C99" w:rsidRPr="000060F8" w:rsidRDefault="00457C99" w:rsidP="00457C99">
      <w:pPr>
        <w:pStyle w:val="SingleTxtG"/>
        <w:rPr>
          <w:lang w:val="fr-FR"/>
        </w:rPr>
      </w:pPr>
      <w:r w:rsidRPr="000060F8">
        <w:rPr>
          <w:lang w:val="fr-FR"/>
        </w:rPr>
        <w:t>9.7</w:t>
      </w:r>
      <w:r w:rsidRPr="000060F8">
        <w:rPr>
          <w:lang w:val="fr-FR"/>
        </w:rPr>
        <w:tab/>
        <w:t>Le Comité rappelle la jurisprudence de la Cour européenne des droits de l</w:t>
      </w:r>
      <w:r>
        <w:rPr>
          <w:lang w:val="fr-FR"/>
        </w:rPr>
        <w:t>’</w:t>
      </w:r>
      <w:r w:rsidRPr="000060F8">
        <w:rPr>
          <w:lang w:val="fr-FR"/>
        </w:rPr>
        <w:t>homme, qui</w:t>
      </w:r>
      <w:r>
        <w:rPr>
          <w:lang w:val="fr-FR"/>
        </w:rPr>
        <w:t>,</w:t>
      </w:r>
      <w:r w:rsidRPr="000060F8">
        <w:rPr>
          <w:lang w:val="fr-FR"/>
        </w:rPr>
        <w:t xml:space="preserve"> dans l</w:t>
      </w:r>
      <w:r>
        <w:rPr>
          <w:lang w:val="fr-FR"/>
        </w:rPr>
        <w:t>’</w:t>
      </w:r>
      <w:r w:rsidRPr="000060F8">
        <w:rPr>
          <w:lang w:val="fr-FR"/>
        </w:rPr>
        <w:t xml:space="preserve">affaire </w:t>
      </w:r>
      <w:r w:rsidRPr="000060F8">
        <w:rPr>
          <w:i/>
          <w:lang w:val="fr-FR"/>
        </w:rPr>
        <w:t>H. et B. c. Royaume-Uni</w:t>
      </w:r>
      <w:r w:rsidRPr="000060F8">
        <w:rPr>
          <w:lang w:val="fr-FR"/>
        </w:rPr>
        <w:t>, a estimé que le fait que le requérant avait travaillé comme interprète pour les États-Unis ne suffisait pas à lui seul à prouver qu</w:t>
      </w:r>
      <w:r>
        <w:rPr>
          <w:lang w:val="fr-FR"/>
        </w:rPr>
        <w:t>’</w:t>
      </w:r>
      <w:r w:rsidRPr="000060F8">
        <w:rPr>
          <w:lang w:val="fr-FR"/>
        </w:rPr>
        <w:t>il serait en danger dans son pays d</w:t>
      </w:r>
      <w:r>
        <w:rPr>
          <w:lang w:val="fr-FR"/>
        </w:rPr>
        <w:t>’</w:t>
      </w:r>
      <w:r w:rsidRPr="000060F8">
        <w:rPr>
          <w:lang w:val="fr-FR"/>
        </w:rPr>
        <w:t xml:space="preserve">origine et avait également examiné tous les aspects de </w:t>
      </w:r>
      <w:r>
        <w:rPr>
          <w:lang w:val="fr-FR"/>
        </w:rPr>
        <w:t>l</w:t>
      </w:r>
      <w:r w:rsidRPr="000060F8">
        <w:rPr>
          <w:lang w:val="fr-FR"/>
        </w:rPr>
        <w:t xml:space="preserve">a situation </w:t>
      </w:r>
      <w:r>
        <w:rPr>
          <w:lang w:val="fr-FR"/>
        </w:rPr>
        <w:t>personnelle du requérant</w:t>
      </w:r>
      <w:r w:rsidRPr="000060F8">
        <w:rPr>
          <w:lang w:val="fr-FR"/>
        </w:rPr>
        <w:t>, la nature de son réseau relationnel et son profil. Le</w:t>
      </w:r>
      <w:r w:rsidR="00941207">
        <w:rPr>
          <w:lang w:val="fr-FR"/>
        </w:rPr>
        <w:t> </w:t>
      </w:r>
      <w:r w:rsidRPr="000060F8">
        <w:rPr>
          <w:lang w:val="fr-FR"/>
        </w:rPr>
        <w:t>Comité renvoie par ailleurs à l</w:t>
      </w:r>
      <w:r>
        <w:rPr>
          <w:lang w:val="fr-FR"/>
        </w:rPr>
        <w:t>’</w:t>
      </w:r>
      <w:r w:rsidRPr="000060F8">
        <w:rPr>
          <w:lang w:val="fr-FR"/>
        </w:rPr>
        <w:t xml:space="preserve">arrêt </w:t>
      </w:r>
      <w:r w:rsidRPr="000060F8">
        <w:rPr>
          <w:i/>
          <w:lang w:val="fr-FR"/>
        </w:rPr>
        <w:t>J</w:t>
      </w:r>
      <w:r w:rsidR="00941207">
        <w:rPr>
          <w:i/>
          <w:lang w:val="fr-FR"/>
        </w:rPr>
        <w:t>. </w:t>
      </w:r>
      <w:r w:rsidRPr="000060F8">
        <w:rPr>
          <w:i/>
          <w:lang w:val="fr-FR"/>
        </w:rPr>
        <w:t>K. et autres c. Suède</w:t>
      </w:r>
      <w:r w:rsidRPr="000060F8">
        <w:rPr>
          <w:lang w:val="fr-FR"/>
        </w:rPr>
        <w:t>, dans lequel la Cour a considéré que les mauvais traitements subis dans le passé fournissaient un indice solide d</w:t>
      </w:r>
      <w:r>
        <w:rPr>
          <w:lang w:val="fr-FR"/>
        </w:rPr>
        <w:t>’</w:t>
      </w:r>
      <w:r w:rsidRPr="000060F8">
        <w:rPr>
          <w:lang w:val="fr-FR"/>
        </w:rPr>
        <w:t>un risque réel futur de mauvais traitements dans les cas où le demandeur d</w:t>
      </w:r>
      <w:r>
        <w:rPr>
          <w:lang w:val="fr-FR"/>
        </w:rPr>
        <w:t>’</w:t>
      </w:r>
      <w:r w:rsidRPr="000060F8">
        <w:rPr>
          <w:lang w:val="fr-FR"/>
        </w:rPr>
        <w:t>asile avait livré un récit des faits globalement cohérent et crédible qui concordait avec les informations sur la situation générale dans le pays concerné. La Cour a estimé que dans ces conditions</w:t>
      </w:r>
      <w:r>
        <w:rPr>
          <w:lang w:val="fr-FR"/>
        </w:rPr>
        <w:t>,</w:t>
      </w:r>
      <w:r w:rsidRPr="000060F8">
        <w:rPr>
          <w:lang w:val="fr-FR"/>
        </w:rPr>
        <w:t xml:space="preserve"> c</w:t>
      </w:r>
      <w:r>
        <w:rPr>
          <w:lang w:val="fr-FR"/>
        </w:rPr>
        <w:t>’</w:t>
      </w:r>
      <w:r w:rsidRPr="000060F8">
        <w:rPr>
          <w:lang w:val="fr-FR"/>
        </w:rPr>
        <w:t>est au Gouvernement qu</w:t>
      </w:r>
      <w:r>
        <w:rPr>
          <w:lang w:val="fr-FR"/>
        </w:rPr>
        <w:t>’</w:t>
      </w:r>
      <w:r w:rsidRPr="000060F8">
        <w:rPr>
          <w:lang w:val="fr-FR"/>
        </w:rPr>
        <w:t>il incombait de dissiper les doutes éventuels au sujet de ce risque. Le Comité rappelle que la Cour a jugé que l</w:t>
      </w:r>
      <w:r>
        <w:rPr>
          <w:lang w:val="fr-FR"/>
        </w:rPr>
        <w:t>’</w:t>
      </w:r>
      <w:r w:rsidRPr="000060F8">
        <w:rPr>
          <w:lang w:val="fr-FR"/>
        </w:rPr>
        <w:t xml:space="preserve">exigence </w:t>
      </w:r>
      <w:r>
        <w:rPr>
          <w:lang w:val="fr-FR"/>
        </w:rPr>
        <w:t>voulant</w:t>
      </w:r>
      <w:r w:rsidRPr="000060F8">
        <w:rPr>
          <w:lang w:val="fr-FR"/>
        </w:rPr>
        <w:t xml:space="preserve"> </w:t>
      </w:r>
      <w:r>
        <w:rPr>
          <w:lang w:val="fr-FR"/>
        </w:rPr>
        <w:t>qu’</w:t>
      </w:r>
      <w:r w:rsidRPr="000060F8">
        <w:rPr>
          <w:lang w:val="fr-FR"/>
        </w:rPr>
        <w:t>un demandeur d</w:t>
      </w:r>
      <w:r>
        <w:rPr>
          <w:lang w:val="fr-FR"/>
        </w:rPr>
        <w:t>’</w:t>
      </w:r>
      <w:r w:rsidRPr="000060F8">
        <w:rPr>
          <w:lang w:val="fr-FR"/>
        </w:rPr>
        <w:t xml:space="preserve">asile </w:t>
      </w:r>
      <w:r>
        <w:rPr>
          <w:lang w:val="fr-FR"/>
        </w:rPr>
        <w:t>puisse</w:t>
      </w:r>
      <w:r w:rsidRPr="000060F8">
        <w:rPr>
          <w:lang w:val="fr-FR"/>
        </w:rPr>
        <w:t xml:space="preserve"> démontrer l</w:t>
      </w:r>
      <w:r>
        <w:rPr>
          <w:lang w:val="fr-FR"/>
        </w:rPr>
        <w:t>’</w:t>
      </w:r>
      <w:r w:rsidRPr="000060F8">
        <w:rPr>
          <w:lang w:val="fr-FR"/>
        </w:rPr>
        <w:t>existence d</w:t>
      </w:r>
      <w:r>
        <w:rPr>
          <w:lang w:val="fr-FR"/>
        </w:rPr>
        <w:t>’</w:t>
      </w:r>
      <w:r w:rsidRPr="000060F8">
        <w:rPr>
          <w:lang w:val="fr-FR"/>
        </w:rPr>
        <w:t>un risque personnel autre que les périls généraux existant dans le pays de destination est toutefois assouplie dans certaines circonstances, par exemple lorsque l</w:t>
      </w:r>
      <w:r>
        <w:rPr>
          <w:lang w:val="fr-FR"/>
        </w:rPr>
        <w:t>’</w:t>
      </w:r>
      <w:r w:rsidRPr="000060F8">
        <w:rPr>
          <w:lang w:val="fr-FR"/>
        </w:rPr>
        <w:t>intéressé allègue faire partie d</w:t>
      </w:r>
      <w:r>
        <w:rPr>
          <w:lang w:val="fr-FR"/>
        </w:rPr>
        <w:t>’</w:t>
      </w:r>
      <w:r w:rsidRPr="000060F8">
        <w:rPr>
          <w:lang w:val="fr-FR"/>
        </w:rPr>
        <w:t>un groupe vulnérable exposé à une pratique systématique de mauvais traitements</w:t>
      </w:r>
      <w:r w:rsidRPr="000060F8">
        <w:rPr>
          <w:rStyle w:val="Appelnotedebasdep"/>
        </w:rPr>
        <w:footnoteReference w:id="26"/>
      </w:r>
      <w:r w:rsidRPr="000060F8">
        <w:rPr>
          <w:lang w:val="fr-FR"/>
        </w:rPr>
        <w:t>.</w:t>
      </w:r>
    </w:p>
    <w:p w:rsidR="00457C99" w:rsidRPr="000060F8" w:rsidRDefault="00457C99" w:rsidP="00457C99">
      <w:pPr>
        <w:pStyle w:val="SingleTxtG"/>
        <w:rPr>
          <w:lang w:val="fr-FR"/>
        </w:rPr>
      </w:pPr>
      <w:r w:rsidRPr="000060F8">
        <w:rPr>
          <w:lang w:val="fr-FR"/>
        </w:rPr>
        <w:t>9.8</w:t>
      </w:r>
      <w:r w:rsidRPr="000060F8">
        <w:rPr>
          <w:i/>
          <w:lang w:val="fr-FR"/>
        </w:rPr>
        <w:tab/>
      </w:r>
      <w:r w:rsidRPr="000060F8">
        <w:rPr>
          <w:lang w:val="fr-FR"/>
        </w:rPr>
        <w:t xml:space="preserve">Le Comité rappelle également que la dernière édition des </w:t>
      </w:r>
      <w:r w:rsidRPr="000060F8">
        <w:rPr>
          <w:i/>
          <w:iCs/>
          <w:lang w:val="fr-FR"/>
        </w:rPr>
        <w:t>Principes directeurs du HCR relatifs à l</w:t>
      </w:r>
      <w:r>
        <w:rPr>
          <w:i/>
          <w:iCs/>
          <w:lang w:val="fr-FR"/>
        </w:rPr>
        <w:t>’</w:t>
      </w:r>
      <w:r w:rsidRPr="000060F8">
        <w:rPr>
          <w:i/>
          <w:iCs/>
          <w:lang w:val="fr-FR"/>
        </w:rPr>
        <w:t>éligibilité dans le cadre de l</w:t>
      </w:r>
      <w:r>
        <w:rPr>
          <w:i/>
          <w:iCs/>
          <w:lang w:val="fr-FR"/>
        </w:rPr>
        <w:t>’</w:t>
      </w:r>
      <w:r w:rsidRPr="000060F8">
        <w:rPr>
          <w:i/>
          <w:iCs/>
          <w:lang w:val="fr-FR"/>
        </w:rPr>
        <w:t>évaluation des besoins de protection internationale des demandeurs d</w:t>
      </w:r>
      <w:r>
        <w:rPr>
          <w:i/>
          <w:iCs/>
          <w:lang w:val="fr-FR"/>
        </w:rPr>
        <w:t>’</w:t>
      </w:r>
      <w:r w:rsidRPr="000060F8">
        <w:rPr>
          <w:i/>
          <w:iCs/>
          <w:lang w:val="fr-FR"/>
        </w:rPr>
        <w:t>asile afghans</w:t>
      </w:r>
      <w:r w:rsidRPr="000060F8">
        <w:rPr>
          <w:lang w:val="fr-FR"/>
        </w:rPr>
        <w:t xml:space="preserve"> indique que les civils liés ou perçus comme favorables aux forces militaires internationales présentent un profil à risques et peuvent donc avoir besoin de la protection internationale accordée aux réfugiés</w:t>
      </w:r>
      <w:r w:rsidRPr="000060F8">
        <w:rPr>
          <w:rStyle w:val="Appelnotedebasdep"/>
        </w:rPr>
        <w:footnoteReference w:id="27"/>
      </w:r>
      <w:r w:rsidRPr="00941207">
        <w:rPr>
          <w:rStyle w:val="Appelnotedebasdep"/>
          <w:sz w:val="20"/>
          <w:vertAlign w:val="baseline"/>
          <w:lang w:val="fr-FR"/>
        </w:rPr>
        <w:t>.</w:t>
      </w:r>
    </w:p>
    <w:p w:rsidR="00457C99" w:rsidRPr="000060F8" w:rsidRDefault="00457C99" w:rsidP="00941207">
      <w:pPr>
        <w:pStyle w:val="SingleTxtG"/>
        <w:rPr>
          <w:color w:val="000000"/>
          <w:shd w:val="clear" w:color="auto" w:fill="FFFFFF"/>
          <w:lang w:val="fr-FR"/>
        </w:rPr>
      </w:pPr>
      <w:r w:rsidRPr="000060F8">
        <w:rPr>
          <w:lang w:val="fr-FR"/>
        </w:rPr>
        <w:t>9.9</w:t>
      </w:r>
      <w:r w:rsidRPr="000060F8">
        <w:rPr>
          <w:i/>
          <w:lang w:val="fr-FR"/>
        </w:rPr>
        <w:tab/>
      </w:r>
      <w:r w:rsidRPr="000060F8">
        <w:rPr>
          <w:lang w:val="fr-FR"/>
        </w:rPr>
        <w:t>Dans la présente affaire, le Comité fait observer que même si dans sa décision du 9 mars 2015 la Commission a conclu que la plupart des allégations de l</w:t>
      </w:r>
      <w:r>
        <w:rPr>
          <w:lang w:val="fr-FR"/>
        </w:rPr>
        <w:t>’</w:t>
      </w:r>
      <w:r w:rsidRPr="000060F8">
        <w:rPr>
          <w:lang w:val="fr-FR"/>
        </w:rPr>
        <w:t>auteur n</w:t>
      </w:r>
      <w:r>
        <w:rPr>
          <w:lang w:val="fr-FR"/>
        </w:rPr>
        <w:t>’</w:t>
      </w:r>
      <w:r w:rsidRPr="000060F8">
        <w:rPr>
          <w:lang w:val="fr-FR"/>
        </w:rPr>
        <w:t>étaient pas crédibles, à l</w:t>
      </w:r>
      <w:r>
        <w:rPr>
          <w:lang w:val="fr-FR"/>
        </w:rPr>
        <w:t>’</w:t>
      </w:r>
      <w:r w:rsidRPr="000060F8">
        <w:rPr>
          <w:lang w:val="fr-FR"/>
        </w:rPr>
        <w:t>exception de celle selon</w:t>
      </w:r>
      <w:r w:rsidR="00941207">
        <w:rPr>
          <w:lang w:val="fr-FR"/>
        </w:rPr>
        <w:t xml:space="preserve"> </w:t>
      </w:r>
      <w:r w:rsidRPr="000060F8">
        <w:rPr>
          <w:lang w:val="fr-FR"/>
        </w:rPr>
        <w:t xml:space="preserve">laquelle il avait travaillé pour les forces internationales pendant cinq ans, dans sa décision du 18 avril 2016 la Commission a réexaminé les </w:t>
      </w:r>
      <w:r w:rsidRPr="005361F4">
        <w:rPr>
          <w:lang w:val="fr-FR"/>
        </w:rPr>
        <w:t>déclarations de l</w:t>
      </w:r>
      <w:r>
        <w:rPr>
          <w:lang w:val="fr-FR"/>
        </w:rPr>
        <w:t>’</w:t>
      </w:r>
      <w:r w:rsidRPr="005361F4">
        <w:rPr>
          <w:lang w:val="fr-FR"/>
        </w:rPr>
        <w:t>auteur et admis comme établis une bonne partie des faits allégués par celui</w:t>
      </w:r>
      <w:r w:rsidRPr="005361F4">
        <w:rPr>
          <w:lang w:val="fr-FR"/>
        </w:rPr>
        <w:noBreakHyphen/>
        <w:t>ci</w:t>
      </w:r>
      <w:r w:rsidRPr="000060F8">
        <w:rPr>
          <w:lang w:val="fr-FR"/>
        </w:rPr>
        <w:t>. Il s</w:t>
      </w:r>
      <w:r>
        <w:rPr>
          <w:lang w:val="fr-FR"/>
        </w:rPr>
        <w:t>’</w:t>
      </w:r>
      <w:r w:rsidRPr="000060F8">
        <w:rPr>
          <w:lang w:val="fr-FR"/>
        </w:rPr>
        <w:t>ensuit que la question n</w:t>
      </w:r>
      <w:r>
        <w:rPr>
          <w:lang w:val="fr-FR"/>
        </w:rPr>
        <w:t>’</w:t>
      </w:r>
      <w:r w:rsidRPr="000060F8">
        <w:rPr>
          <w:lang w:val="fr-FR"/>
        </w:rPr>
        <w:t>est pas celle du manque de crédibilité de l</w:t>
      </w:r>
      <w:r>
        <w:rPr>
          <w:lang w:val="fr-FR"/>
        </w:rPr>
        <w:t>’</w:t>
      </w:r>
      <w:r w:rsidRPr="000060F8">
        <w:rPr>
          <w:lang w:val="fr-FR"/>
        </w:rPr>
        <w:t xml:space="preserve">auteur, mais celle de la mesure dans laquelle les incidents qui ont été admis comme des faits établis </w:t>
      </w:r>
      <w:r w:rsidR="00B73B43">
        <w:rPr>
          <w:lang w:val="fr-FR"/>
        </w:rPr>
        <w:t>− </w:t>
      </w:r>
      <w:r w:rsidRPr="000060F8">
        <w:rPr>
          <w:lang w:val="fr-FR"/>
        </w:rPr>
        <w:t xml:space="preserve">eu égard en particulier </w:t>
      </w:r>
      <w:r>
        <w:rPr>
          <w:lang w:val="fr-FR"/>
        </w:rPr>
        <w:t>à l’incapacité de</w:t>
      </w:r>
      <w:r w:rsidRPr="000060F8">
        <w:rPr>
          <w:lang w:val="fr-FR"/>
        </w:rPr>
        <w:t xml:space="preserve"> l</w:t>
      </w:r>
      <w:r>
        <w:rPr>
          <w:lang w:val="fr-FR"/>
        </w:rPr>
        <w:t>’</w:t>
      </w:r>
      <w:r w:rsidRPr="000060F8">
        <w:rPr>
          <w:lang w:val="fr-FR"/>
        </w:rPr>
        <w:t xml:space="preserve">auteur </w:t>
      </w:r>
      <w:r>
        <w:rPr>
          <w:lang w:val="fr-FR"/>
        </w:rPr>
        <w:t>de</w:t>
      </w:r>
      <w:r w:rsidRPr="000060F8">
        <w:rPr>
          <w:lang w:val="fr-FR"/>
        </w:rPr>
        <w:t xml:space="preserve"> démontrer l</w:t>
      </w:r>
      <w:r>
        <w:rPr>
          <w:lang w:val="fr-FR"/>
        </w:rPr>
        <w:t>’</w:t>
      </w:r>
      <w:r w:rsidRPr="000060F8">
        <w:rPr>
          <w:lang w:val="fr-FR"/>
        </w:rPr>
        <w:t>existence d</w:t>
      </w:r>
      <w:r>
        <w:rPr>
          <w:lang w:val="fr-FR"/>
        </w:rPr>
        <w:t>’</w:t>
      </w:r>
      <w:r w:rsidRPr="000060F8">
        <w:rPr>
          <w:lang w:val="fr-FR"/>
        </w:rPr>
        <w:t>un lien entre son activité au service des forces internationales et son enlèvement</w:t>
      </w:r>
      <w:r w:rsidR="00B73B43">
        <w:rPr>
          <w:lang w:val="fr-FR"/>
        </w:rPr>
        <w:t> −</w:t>
      </w:r>
      <w:r w:rsidRPr="000060F8">
        <w:rPr>
          <w:lang w:val="fr-FR"/>
        </w:rPr>
        <w:t xml:space="preserve"> </w:t>
      </w:r>
      <w:r w:rsidRPr="000060F8">
        <w:rPr>
          <w:lang w:val="fr-FR"/>
        </w:rPr>
        <w:lastRenderedPageBreak/>
        <w:t>peuvent montrer que l</w:t>
      </w:r>
      <w:r>
        <w:rPr>
          <w:lang w:val="fr-FR"/>
        </w:rPr>
        <w:t>’</w:t>
      </w:r>
      <w:r w:rsidRPr="000060F8">
        <w:rPr>
          <w:lang w:val="fr-FR"/>
        </w:rPr>
        <w:t>auteur courrait un risque réel et personnel de subir un préjudice irréparable s</w:t>
      </w:r>
      <w:r>
        <w:rPr>
          <w:lang w:val="fr-FR"/>
        </w:rPr>
        <w:t>’</w:t>
      </w:r>
      <w:r w:rsidRPr="000060F8">
        <w:rPr>
          <w:lang w:val="fr-FR"/>
        </w:rPr>
        <w:t>il est expulsé. </w:t>
      </w:r>
    </w:p>
    <w:p w:rsidR="00457C99" w:rsidRPr="000060F8" w:rsidRDefault="00457C99" w:rsidP="00457C99">
      <w:pPr>
        <w:pStyle w:val="SingleTxtG"/>
        <w:rPr>
          <w:lang w:val="fr-FR"/>
        </w:rPr>
      </w:pPr>
      <w:r w:rsidRPr="000060F8">
        <w:rPr>
          <w:lang w:val="fr-FR"/>
        </w:rPr>
        <w:t>9.10</w:t>
      </w:r>
      <w:r w:rsidRPr="000060F8">
        <w:rPr>
          <w:lang w:val="fr-FR"/>
        </w:rPr>
        <w:tab/>
      </w:r>
      <w:r w:rsidRPr="000060F8">
        <w:rPr>
          <w:spacing w:val="-2"/>
          <w:lang w:val="fr-FR"/>
        </w:rPr>
        <w:t>Le Comité rappelle que les États parties doivent accorder le poids voulu au risque réel et personnel que courrait une personne si elle est expulsée, et considère qu</w:t>
      </w:r>
      <w:r>
        <w:rPr>
          <w:spacing w:val="-2"/>
          <w:lang w:val="fr-FR"/>
        </w:rPr>
        <w:t>’</w:t>
      </w:r>
      <w:r w:rsidRPr="000060F8">
        <w:rPr>
          <w:spacing w:val="-2"/>
          <w:lang w:val="fr-FR"/>
        </w:rPr>
        <w:t>il incombait à l</w:t>
      </w:r>
      <w:r>
        <w:rPr>
          <w:spacing w:val="-2"/>
          <w:lang w:val="fr-FR"/>
        </w:rPr>
        <w:t>’</w:t>
      </w:r>
      <w:r w:rsidRPr="000060F8">
        <w:rPr>
          <w:spacing w:val="-2"/>
          <w:lang w:val="fr-FR"/>
        </w:rPr>
        <w:t>État partie de procéder à une évaluation individualisée du risque auquel l</w:t>
      </w:r>
      <w:r>
        <w:rPr>
          <w:spacing w:val="-2"/>
          <w:lang w:val="fr-FR"/>
        </w:rPr>
        <w:t>’</w:t>
      </w:r>
      <w:r w:rsidRPr="000060F8">
        <w:rPr>
          <w:spacing w:val="-2"/>
          <w:lang w:val="fr-FR"/>
        </w:rPr>
        <w:t>auteur serait exposé parce qu</w:t>
      </w:r>
      <w:r>
        <w:rPr>
          <w:spacing w:val="-2"/>
          <w:lang w:val="fr-FR"/>
        </w:rPr>
        <w:t>’</w:t>
      </w:r>
      <w:r w:rsidRPr="000060F8">
        <w:rPr>
          <w:spacing w:val="-2"/>
          <w:lang w:val="fr-FR"/>
        </w:rPr>
        <w:t>il avait collaboré avec les forces internationales. Pour le Comité, dans la mesure où la Commission a admis que l</w:t>
      </w:r>
      <w:r>
        <w:rPr>
          <w:spacing w:val="-2"/>
          <w:lang w:val="fr-FR"/>
        </w:rPr>
        <w:t>’</w:t>
      </w:r>
      <w:r w:rsidRPr="000060F8">
        <w:rPr>
          <w:spacing w:val="-2"/>
          <w:lang w:val="fr-FR"/>
        </w:rPr>
        <w:t>auteur avait livré un récit des faits globalement cohérent et crédible, y compris en ce qui concerne les lettres de menaces des</w:t>
      </w:r>
      <w:r>
        <w:rPr>
          <w:spacing w:val="-2"/>
          <w:lang w:val="fr-FR"/>
        </w:rPr>
        <w:t xml:space="preserve"> </w:t>
      </w:r>
      <w:r w:rsidRPr="000060F8">
        <w:rPr>
          <w:spacing w:val="-2"/>
          <w:lang w:val="fr-FR"/>
        </w:rPr>
        <w:t xml:space="preserve">Taliban et son enlèvement et sa détention durant quatre mois par ceux-ci, ces mauvais traitements subis par le passé </w:t>
      </w:r>
      <w:r w:rsidRPr="005361F4">
        <w:rPr>
          <w:bCs/>
          <w:spacing w:val="-2"/>
          <w:lang w:val="fr-FR"/>
        </w:rPr>
        <w:t>fournissent un indice solide d</w:t>
      </w:r>
      <w:r>
        <w:rPr>
          <w:bCs/>
          <w:spacing w:val="-2"/>
          <w:lang w:val="fr-FR"/>
        </w:rPr>
        <w:t>’</w:t>
      </w:r>
      <w:r w:rsidRPr="005361F4">
        <w:rPr>
          <w:bCs/>
          <w:spacing w:val="-2"/>
          <w:lang w:val="fr-FR"/>
        </w:rPr>
        <w:t>un risque réel et personnel qu</w:t>
      </w:r>
      <w:r>
        <w:rPr>
          <w:bCs/>
          <w:spacing w:val="-2"/>
          <w:lang w:val="fr-FR"/>
        </w:rPr>
        <w:t>’</w:t>
      </w:r>
      <w:r w:rsidRPr="005361F4">
        <w:rPr>
          <w:bCs/>
          <w:spacing w:val="-2"/>
          <w:lang w:val="fr-FR"/>
        </w:rPr>
        <w:t xml:space="preserve">il subisse </w:t>
      </w:r>
      <w:r w:rsidRPr="005361F4">
        <w:rPr>
          <w:spacing w:val="-2"/>
          <w:lang w:val="fr-FR"/>
        </w:rPr>
        <w:t>des persécutions contraires à l</w:t>
      </w:r>
      <w:r>
        <w:rPr>
          <w:spacing w:val="-2"/>
          <w:lang w:val="fr-FR"/>
        </w:rPr>
        <w:t>’</w:t>
      </w:r>
      <w:r w:rsidRPr="000060F8">
        <w:rPr>
          <w:spacing w:val="-2"/>
          <w:lang w:val="fr-FR"/>
        </w:rPr>
        <w:t>article</w:t>
      </w:r>
      <w:r w:rsidR="00B73B43">
        <w:rPr>
          <w:spacing w:val="-2"/>
          <w:lang w:val="fr-FR"/>
        </w:rPr>
        <w:t> </w:t>
      </w:r>
      <w:r w:rsidRPr="000060F8">
        <w:rPr>
          <w:spacing w:val="-2"/>
          <w:lang w:val="fr-FR"/>
        </w:rPr>
        <w:t>7 du Pacte. Le fait que le récit des événements livré par l</w:t>
      </w:r>
      <w:r>
        <w:rPr>
          <w:spacing w:val="-2"/>
          <w:lang w:val="fr-FR"/>
        </w:rPr>
        <w:t>’</w:t>
      </w:r>
      <w:r w:rsidRPr="000060F8">
        <w:rPr>
          <w:spacing w:val="-2"/>
          <w:lang w:val="fr-FR"/>
        </w:rPr>
        <w:t xml:space="preserve">auteur concorde avec les informations </w:t>
      </w:r>
      <w:r w:rsidR="00B73B43">
        <w:rPr>
          <w:spacing w:val="-2"/>
          <w:lang w:val="fr-FR"/>
        </w:rPr>
        <w:t>− </w:t>
      </w:r>
      <w:r w:rsidRPr="000060F8">
        <w:rPr>
          <w:spacing w:val="-2"/>
          <w:lang w:val="fr-FR"/>
        </w:rPr>
        <w:t>en particulier celles concernant les personnes appartenant à un groupe ciblé</w:t>
      </w:r>
      <w:r w:rsidR="00B73B43">
        <w:rPr>
          <w:spacing w:val="-2"/>
          <w:lang w:val="fr-FR"/>
        </w:rPr>
        <w:t> −</w:t>
      </w:r>
      <w:r w:rsidRPr="000060F8">
        <w:rPr>
          <w:spacing w:val="-2"/>
          <w:lang w:val="fr-FR"/>
        </w:rPr>
        <w:t xml:space="preserve"> provenant de sources fiables et objectives sur la situation générale en Afghanistan renforce encore cet indice. </w:t>
      </w:r>
    </w:p>
    <w:p w:rsidR="00457C99" w:rsidRPr="000060F8" w:rsidRDefault="00457C99" w:rsidP="00457C99">
      <w:pPr>
        <w:pStyle w:val="SingleTxtG"/>
        <w:rPr>
          <w:lang w:val="fr-FR"/>
        </w:rPr>
      </w:pPr>
      <w:r w:rsidRPr="000060F8">
        <w:rPr>
          <w:lang w:val="fr-FR"/>
        </w:rPr>
        <w:t>9.11</w:t>
      </w:r>
      <w:r w:rsidRPr="000060F8">
        <w:rPr>
          <w:lang w:val="fr-FR"/>
        </w:rPr>
        <w:tab/>
        <w:t>Le Comité prend note du principal argument de l</w:t>
      </w:r>
      <w:r>
        <w:rPr>
          <w:lang w:val="fr-FR"/>
        </w:rPr>
        <w:t>’</w:t>
      </w:r>
      <w:r w:rsidRPr="000060F8">
        <w:rPr>
          <w:lang w:val="fr-FR"/>
        </w:rPr>
        <w:t>État partie, à savoir que la Commission a conclu que la détention de l</w:t>
      </w:r>
      <w:r>
        <w:rPr>
          <w:lang w:val="fr-FR"/>
        </w:rPr>
        <w:t>’</w:t>
      </w:r>
      <w:r w:rsidRPr="000060F8">
        <w:rPr>
          <w:lang w:val="fr-FR"/>
        </w:rPr>
        <w:t xml:space="preserve">auteur était sans rapport avec son travail pour les forces </w:t>
      </w:r>
      <w:r w:rsidRPr="005361F4">
        <w:rPr>
          <w:lang w:val="fr-FR"/>
        </w:rPr>
        <w:t xml:space="preserve">des États-Unis </w:t>
      </w:r>
      <w:r w:rsidRPr="000060F8">
        <w:rPr>
          <w:lang w:val="fr-FR"/>
        </w:rPr>
        <w:t>et qu</w:t>
      </w:r>
      <w:r>
        <w:rPr>
          <w:lang w:val="fr-FR"/>
        </w:rPr>
        <w:t>’</w:t>
      </w:r>
      <w:r w:rsidRPr="000060F8">
        <w:rPr>
          <w:lang w:val="fr-FR"/>
        </w:rPr>
        <w:t>il n</w:t>
      </w:r>
      <w:r>
        <w:rPr>
          <w:lang w:val="fr-FR"/>
        </w:rPr>
        <w:t>’</w:t>
      </w:r>
      <w:r w:rsidRPr="000060F8">
        <w:rPr>
          <w:lang w:val="fr-FR"/>
        </w:rPr>
        <w:t>avait pas été identifié pendant sa captivité. À cet égard, le Comité fait toutefois observer que le fait que l</w:t>
      </w:r>
      <w:r>
        <w:rPr>
          <w:lang w:val="fr-FR"/>
        </w:rPr>
        <w:t>’</w:t>
      </w:r>
      <w:r w:rsidRPr="000060F8">
        <w:rPr>
          <w:lang w:val="fr-FR"/>
        </w:rPr>
        <w:t>auteur n</w:t>
      </w:r>
      <w:r>
        <w:rPr>
          <w:lang w:val="fr-FR"/>
        </w:rPr>
        <w:t>’</w:t>
      </w:r>
      <w:r w:rsidRPr="000060F8">
        <w:rPr>
          <w:lang w:val="fr-FR"/>
        </w:rPr>
        <w:t>ait pas été identifié par les Taliban pendant sa captivité n</w:t>
      </w:r>
      <w:r>
        <w:rPr>
          <w:lang w:val="fr-FR"/>
        </w:rPr>
        <w:t>’</w:t>
      </w:r>
      <w:r w:rsidRPr="000060F8">
        <w:rPr>
          <w:lang w:val="fr-FR"/>
        </w:rPr>
        <w:t>exclut pas que son enlèvement ait été lié à son travail pour les forces internationales ni qu</w:t>
      </w:r>
      <w:r>
        <w:rPr>
          <w:lang w:val="fr-FR"/>
        </w:rPr>
        <w:t>’</w:t>
      </w:r>
      <w:r w:rsidRPr="000060F8">
        <w:rPr>
          <w:lang w:val="fr-FR"/>
        </w:rPr>
        <w:t>il puisse être de nouveau enlevé par les Taliban à son retour, ce que les menaces qu</w:t>
      </w:r>
      <w:r>
        <w:rPr>
          <w:lang w:val="fr-FR"/>
        </w:rPr>
        <w:t>’</w:t>
      </w:r>
      <w:r w:rsidRPr="000060F8">
        <w:rPr>
          <w:lang w:val="fr-FR"/>
        </w:rPr>
        <w:t>il a reçues et qui ont été admises comme des établi</w:t>
      </w:r>
      <w:r>
        <w:rPr>
          <w:lang w:val="fr-FR"/>
        </w:rPr>
        <w:t>e</w:t>
      </w:r>
      <w:r w:rsidRPr="000060F8">
        <w:rPr>
          <w:lang w:val="fr-FR"/>
        </w:rPr>
        <w:t>s par la Commission peuvent raisonnablement amener à supposer. Ainsi, le Comité est d</w:t>
      </w:r>
      <w:r>
        <w:rPr>
          <w:lang w:val="fr-FR"/>
        </w:rPr>
        <w:t>’</w:t>
      </w:r>
      <w:r w:rsidRPr="000060F8">
        <w:rPr>
          <w:lang w:val="fr-FR"/>
        </w:rPr>
        <w:t>avis, eu égard à tous les aspects de la situation personnelle de l</w:t>
      </w:r>
      <w:r>
        <w:rPr>
          <w:lang w:val="fr-FR"/>
        </w:rPr>
        <w:t>’</w:t>
      </w:r>
      <w:r w:rsidRPr="000060F8">
        <w:rPr>
          <w:lang w:val="fr-FR"/>
        </w:rPr>
        <w:t>auteur et aux incidents jugés crédibles par les instances nationales</w:t>
      </w:r>
      <w:r>
        <w:rPr>
          <w:lang w:val="fr-FR"/>
        </w:rPr>
        <w:t>,</w:t>
      </w:r>
      <w:r w:rsidRPr="000060F8">
        <w:rPr>
          <w:lang w:val="fr-FR"/>
        </w:rPr>
        <w:t xml:space="preserve"> que la Commission n</w:t>
      </w:r>
      <w:r>
        <w:rPr>
          <w:lang w:val="fr-FR"/>
        </w:rPr>
        <w:t>’</w:t>
      </w:r>
      <w:r w:rsidRPr="000060F8">
        <w:rPr>
          <w:lang w:val="fr-FR"/>
        </w:rPr>
        <w:t>a pas évalué adéquatement le risque réel, personnel et prévisible que courrait l</w:t>
      </w:r>
      <w:r>
        <w:rPr>
          <w:lang w:val="fr-FR"/>
        </w:rPr>
        <w:t>’</w:t>
      </w:r>
      <w:r w:rsidRPr="000060F8">
        <w:rPr>
          <w:lang w:val="fr-FR"/>
        </w:rPr>
        <w:t>auteur d</w:t>
      </w:r>
      <w:r>
        <w:rPr>
          <w:lang w:val="fr-FR"/>
        </w:rPr>
        <w:t>’</w:t>
      </w:r>
      <w:r w:rsidRPr="000060F8">
        <w:rPr>
          <w:lang w:val="fr-FR"/>
        </w:rPr>
        <w:t>être victime de mauvais traitements dans son pays d</w:t>
      </w:r>
      <w:r>
        <w:rPr>
          <w:lang w:val="fr-FR"/>
        </w:rPr>
        <w:t>’</w:t>
      </w:r>
      <w:r w:rsidRPr="000060F8">
        <w:rPr>
          <w:lang w:val="fr-FR"/>
        </w:rPr>
        <w:t xml:space="preserve">origine. </w:t>
      </w:r>
    </w:p>
    <w:p w:rsidR="00457C99" w:rsidRPr="000060F8" w:rsidRDefault="00457C99" w:rsidP="00457C99">
      <w:pPr>
        <w:pStyle w:val="SingleTxtG"/>
        <w:rPr>
          <w:lang w:val="fr-FR"/>
        </w:rPr>
      </w:pPr>
      <w:r w:rsidRPr="000060F8">
        <w:rPr>
          <w:lang w:val="fr-FR"/>
        </w:rPr>
        <w:t>9.12</w:t>
      </w:r>
      <w:r w:rsidRPr="000060F8">
        <w:rPr>
          <w:lang w:val="fr-FR"/>
        </w:rPr>
        <w:tab/>
        <w:t>En outre, l</w:t>
      </w:r>
      <w:r>
        <w:rPr>
          <w:lang w:val="fr-FR"/>
        </w:rPr>
        <w:t>’</w:t>
      </w:r>
      <w:r w:rsidRPr="000060F8">
        <w:rPr>
          <w:lang w:val="fr-FR"/>
        </w:rPr>
        <w:t>État partie n</w:t>
      </w:r>
      <w:r>
        <w:rPr>
          <w:lang w:val="fr-FR"/>
        </w:rPr>
        <w:t>’</w:t>
      </w:r>
      <w:r w:rsidRPr="000060F8">
        <w:rPr>
          <w:lang w:val="fr-FR"/>
        </w:rPr>
        <w:t>a pas démontré que les autorités afghanes seraient en mesure de protéger l</w:t>
      </w:r>
      <w:r>
        <w:rPr>
          <w:lang w:val="fr-FR"/>
        </w:rPr>
        <w:t>’</w:t>
      </w:r>
      <w:r w:rsidRPr="000060F8">
        <w:rPr>
          <w:lang w:val="fr-FR"/>
        </w:rPr>
        <w:t>auteur, compte tenu en particulier des rapports attestant les agressions dont font l</w:t>
      </w:r>
      <w:r>
        <w:rPr>
          <w:lang w:val="fr-FR"/>
        </w:rPr>
        <w:t>’</w:t>
      </w:r>
      <w:r w:rsidRPr="000060F8">
        <w:rPr>
          <w:lang w:val="fr-FR"/>
        </w:rPr>
        <w:t>objet les civils afghans qui travaillent ou ont travaillé pour les forces armées internationales.</w:t>
      </w:r>
    </w:p>
    <w:p w:rsidR="00457C99" w:rsidRPr="000060F8" w:rsidDel="00367FE4" w:rsidRDefault="00457C99" w:rsidP="00457C99">
      <w:pPr>
        <w:pStyle w:val="SingleTxtG"/>
        <w:rPr>
          <w:lang w:val="fr-FR"/>
        </w:rPr>
      </w:pPr>
      <w:r w:rsidRPr="000060F8">
        <w:rPr>
          <w:lang w:val="fr-FR"/>
        </w:rPr>
        <w:t>9.13</w:t>
      </w:r>
      <w:r w:rsidRPr="000060F8">
        <w:rPr>
          <w:lang w:val="fr-FR"/>
        </w:rPr>
        <w:tab/>
        <w:t>Dans ces conditions, le Comité conclut que la Commission de recours des réfugiés n</w:t>
      </w:r>
      <w:r>
        <w:rPr>
          <w:lang w:val="fr-FR"/>
        </w:rPr>
        <w:t>’</w:t>
      </w:r>
      <w:r w:rsidRPr="000060F8">
        <w:rPr>
          <w:lang w:val="fr-FR"/>
        </w:rPr>
        <w:t>a pas adéquatement apprécié le risque réel, personnel et prévisible que courrait l</w:t>
      </w:r>
      <w:r>
        <w:rPr>
          <w:lang w:val="fr-FR"/>
        </w:rPr>
        <w:t>’</w:t>
      </w:r>
      <w:r w:rsidRPr="000060F8">
        <w:rPr>
          <w:lang w:val="fr-FR"/>
        </w:rPr>
        <w:t>auteur s</w:t>
      </w:r>
      <w:r>
        <w:rPr>
          <w:lang w:val="fr-FR"/>
        </w:rPr>
        <w:t>’</w:t>
      </w:r>
      <w:r w:rsidRPr="000060F8">
        <w:rPr>
          <w:lang w:val="fr-FR"/>
        </w:rPr>
        <w:t>il était renvoyé en Afghanistan, risque qui non seulement découle de sa qualité d</w:t>
      </w:r>
      <w:r>
        <w:rPr>
          <w:lang w:val="fr-FR"/>
        </w:rPr>
        <w:t>’</w:t>
      </w:r>
      <w:r w:rsidRPr="000060F8">
        <w:rPr>
          <w:lang w:val="fr-FR"/>
        </w:rPr>
        <w:t>ancien employé des forces internationales mais tient aussi au risque</w:t>
      </w:r>
      <w:r>
        <w:rPr>
          <w:lang w:val="fr-FR"/>
        </w:rPr>
        <w:t xml:space="preserve"> </w:t>
      </w:r>
      <w:r w:rsidRPr="000060F8">
        <w:rPr>
          <w:lang w:val="fr-FR"/>
        </w:rPr>
        <w:t>qu</w:t>
      </w:r>
      <w:r>
        <w:rPr>
          <w:lang w:val="fr-FR"/>
        </w:rPr>
        <w:t>’</w:t>
      </w:r>
      <w:r w:rsidRPr="000060F8">
        <w:rPr>
          <w:lang w:val="fr-FR"/>
        </w:rPr>
        <w:t>il subisse des mauvais traitements aux mains des Taliban</w:t>
      </w:r>
      <w:r>
        <w:rPr>
          <w:lang w:val="fr-FR"/>
        </w:rPr>
        <w:t xml:space="preserve"> que l’on peut </w:t>
      </w:r>
      <w:r w:rsidRPr="000060F8">
        <w:rPr>
          <w:lang w:val="fr-FR"/>
        </w:rPr>
        <w:t xml:space="preserve"> raisonnablement </w:t>
      </w:r>
      <w:r>
        <w:rPr>
          <w:lang w:val="fr-FR"/>
        </w:rPr>
        <w:t xml:space="preserve">déduire </w:t>
      </w:r>
      <w:r w:rsidRPr="000060F8">
        <w:rPr>
          <w:lang w:val="fr-FR"/>
        </w:rPr>
        <w:t>de sa situation individuelle, y compris les mauvais traitements qu</w:t>
      </w:r>
      <w:r>
        <w:rPr>
          <w:lang w:val="fr-FR"/>
        </w:rPr>
        <w:t>’</w:t>
      </w:r>
      <w:r w:rsidRPr="000060F8">
        <w:rPr>
          <w:lang w:val="fr-FR"/>
        </w:rPr>
        <w:t>il a subis par le passé dans son pays d</w:t>
      </w:r>
      <w:r>
        <w:rPr>
          <w:lang w:val="fr-FR"/>
        </w:rPr>
        <w:t>’</w:t>
      </w:r>
      <w:r w:rsidRPr="000060F8">
        <w:rPr>
          <w:lang w:val="fr-FR"/>
        </w:rPr>
        <w:t xml:space="preserve">origine. </w:t>
      </w:r>
    </w:p>
    <w:p w:rsidR="00457C99" w:rsidRPr="000060F8" w:rsidRDefault="00457C99" w:rsidP="00457C99">
      <w:pPr>
        <w:pStyle w:val="SingleTxtG"/>
        <w:rPr>
          <w:lang w:val="fr-FR"/>
        </w:rPr>
      </w:pPr>
      <w:r w:rsidRPr="000060F8">
        <w:rPr>
          <w:lang w:val="fr-FR"/>
        </w:rPr>
        <w:t>9.14</w:t>
      </w:r>
      <w:r w:rsidRPr="000060F8">
        <w:rPr>
          <w:lang w:val="fr-FR"/>
        </w:rPr>
        <w:tab/>
        <w:t>En ce qui concerne l</w:t>
      </w:r>
      <w:r>
        <w:rPr>
          <w:lang w:val="fr-FR"/>
        </w:rPr>
        <w:t>’</w:t>
      </w:r>
      <w:r w:rsidRPr="000060F8">
        <w:rPr>
          <w:lang w:val="fr-FR"/>
        </w:rPr>
        <w:t>affirmation de l</w:t>
      </w:r>
      <w:r>
        <w:rPr>
          <w:lang w:val="fr-FR"/>
        </w:rPr>
        <w:t>’</w:t>
      </w:r>
      <w:r w:rsidRPr="000060F8">
        <w:rPr>
          <w:lang w:val="fr-FR"/>
        </w:rPr>
        <w:t xml:space="preserve">auteur selon laquelle il craint les autorités afghanes et les forces </w:t>
      </w:r>
      <w:r w:rsidRPr="005361F4">
        <w:rPr>
          <w:lang w:val="fr-FR"/>
        </w:rPr>
        <w:t>des États-Unis</w:t>
      </w:r>
      <w:r>
        <w:rPr>
          <w:lang w:val="fr-FR"/>
        </w:rPr>
        <w:t xml:space="preserve"> </w:t>
      </w:r>
      <w:r w:rsidRPr="000060F8">
        <w:rPr>
          <w:lang w:val="fr-FR"/>
        </w:rPr>
        <w:t>parce qu</w:t>
      </w:r>
      <w:r>
        <w:rPr>
          <w:lang w:val="fr-FR"/>
        </w:rPr>
        <w:t>’</w:t>
      </w:r>
      <w:r w:rsidRPr="000060F8">
        <w:rPr>
          <w:lang w:val="fr-FR"/>
        </w:rPr>
        <w:t>elles le soupçonnent d</w:t>
      </w:r>
      <w:r>
        <w:rPr>
          <w:lang w:val="fr-FR"/>
        </w:rPr>
        <w:t>’</w:t>
      </w:r>
      <w:r w:rsidRPr="000060F8">
        <w:rPr>
          <w:lang w:val="fr-FR"/>
        </w:rPr>
        <w:t>avoir rejoint les Taliban, le Comité estime qu</w:t>
      </w:r>
      <w:r>
        <w:rPr>
          <w:lang w:val="fr-FR"/>
        </w:rPr>
        <w:t>’</w:t>
      </w:r>
      <w:r w:rsidRPr="000060F8">
        <w:rPr>
          <w:lang w:val="fr-FR"/>
        </w:rPr>
        <w:t>il n</w:t>
      </w:r>
      <w:r>
        <w:rPr>
          <w:lang w:val="fr-FR"/>
        </w:rPr>
        <w:t>’</w:t>
      </w:r>
      <w:r w:rsidRPr="000060F8">
        <w:rPr>
          <w:lang w:val="fr-FR"/>
        </w:rPr>
        <w:t>y a pas lieu de remettre en cause la conclusion de la Commission selon laquelle il ne s</w:t>
      </w:r>
      <w:r>
        <w:rPr>
          <w:lang w:val="fr-FR"/>
        </w:rPr>
        <w:t>’</w:t>
      </w:r>
      <w:r w:rsidRPr="000060F8">
        <w:rPr>
          <w:lang w:val="fr-FR"/>
        </w:rPr>
        <w:t>agit que d</w:t>
      </w:r>
      <w:r>
        <w:rPr>
          <w:lang w:val="fr-FR"/>
        </w:rPr>
        <w:t>’</w:t>
      </w:r>
      <w:r w:rsidRPr="000060F8">
        <w:rPr>
          <w:lang w:val="fr-FR"/>
        </w:rPr>
        <w:t>une supposition de l</w:t>
      </w:r>
      <w:r>
        <w:rPr>
          <w:lang w:val="fr-FR"/>
        </w:rPr>
        <w:t>’</w:t>
      </w:r>
      <w:r w:rsidRPr="000060F8">
        <w:rPr>
          <w:lang w:val="fr-FR"/>
        </w:rPr>
        <w:t>auteur</w:t>
      </w:r>
      <w:r>
        <w:rPr>
          <w:lang w:val="fr-FR"/>
        </w:rPr>
        <w:t xml:space="preserve"> ; il </w:t>
      </w:r>
      <w:r w:rsidRPr="000060F8">
        <w:rPr>
          <w:lang w:val="fr-FR"/>
        </w:rPr>
        <w:t>considère donc qu</w:t>
      </w:r>
      <w:r>
        <w:rPr>
          <w:lang w:val="fr-FR"/>
        </w:rPr>
        <w:t>’</w:t>
      </w:r>
      <w:r w:rsidRPr="000060F8">
        <w:rPr>
          <w:lang w:val="fr-FR"/>
        </w:rPr>
        <w:t>elle n</w:t>
      </w:r>
      <w:r>
        <w:rPr>
          <w:lang w:val="fr-FR"/>
        </w:rPr>
        <w:t>’</w:t>
      </w:r>
      <w:r w:rsidRPr="000060F8">
        <w:rPr>
          <w:lang w:val="fr-FR"/>
        </w:rPr>
        <w:t xml:space="preserve">a pas été admise comme un fait établi au niveau national. </w:t>
      </w:r>
    </w:p>
    <w:p w:rsidR="00457C99" w:rsidRPr="000060F8" w:rsidRDefault="00457C99" w:rsidP="00457C99">
      <w:pPr>
        <w:pStyle w:val="SingleTxtG"/>
        <w:rPr>
          <w:lang w:val="fr-FR"/>
        </w:rPr>
      </w:pPr>
      <w:r w:rsidRPr="000060F8">
        <w:rPr>
          <w:lang w:val="fr-FR"/>
        </w:rPr>
        <w:t>10.</w:t>
      </w:r>
      <w:r w:rsidRPr="000060F8">
        <w:rPr>
          <w:lang w:val="fr-FR"/>
        </w:rPr>
        <w:tab/>
        <w:t>Compte tenu de ce qui précède, le Comité, agissant en vertu du paragraphe</w:t>
      </w:r>
      <w:r w:rsidR="00B73B43">
        <w:rPr>
          <w:lang w:val="fr-FR"/>
        </w:rPr>
        <w:t> </w:t>
      </w:r>
      <w:r w:rsidRPr="000060F8">
        <w:rPr>
          <w:lang w:val="fr-FR"/>
        </w:rPr>
        <w:t>4 de l</w:t>
      </w:r>
      <w:r>
        <w:rPr>
          <w:lang w:val="fr-FR"/>
        </w:rPr>
        <w:t>’</w:t>
      </w:r>
      <w:r w:rsidRPr="000060F8">
        <w:rPr>
          <w:lang w:val="fr-FR"/>
        </w:rPr>
        <w:t>article</w:t>
      </w:r>
      <w:r w:rsidR="00B73B43">
        <w:rPr>
          <w:lang w:val="fr-FR"/>
        </w:rPr>
        <w:t> </w:t>
      </w:r>
      <w:r w:rsidRPr="000060F8">
        <w:rPr>
          <w:lang w:val="fr-FR"/>
        </w:rPr>
        <w:t>5 du Protocole facultatif, constate que l</w:t>
      </w:r>
      <w:r>
        <w:rPr>
          <w:lang w:val="fr-FR"/>
        </w:rPr>
        <w:t>’</w:t>
      </w:r>
      <w:r w:rsidRPr="000060F8">
        <w:rPr>
          <w:lang w:val="fr-FR"/>
        </w:rPr>
        <w:t>expulsion de l</w:t>
      </w:r>
      <w:r>
        <w:rPr>
          <w:lang w:val="fr-FR"/>
        </w:rPr>
        <w:t>’</w:t>
      </w:r>
      <w:r w:rsidRPr="000060F8">
        <w:rPr>
          <w:lang w:val="fr-FR"/>
        </w:rPr>
        <w:t>auteur vers l</w:t>
      </w:r>
      <w:r>
        <w:rPr>
          <w:lang w:val="fr-FR"/>
        </w:rPr>
        <w:t>’</w:t>
      </w:r>
      <w:r w:rsidRPr="000060F8">
        <w:rPr>
          <w:lang w:val="fr-FR"/>
        </w:rPr>
        <w:t>Afghanistan, s</w:t>
      </w:r>
      <w:r>
        <w:rPr>
          <w:lang w:val="fr-FR"/>
        </w:rPr>
        <w:t>’</w:t>
      </w:r>
      <w:r w:rsidRPr="000060F8">
        <w:rPr>
          <w:lang w:val="fr-FR"/>
        </w:rPr>
        <w:t>il y était procédé, constituerait une violation des droits que celui-ci tient de l</w:t>
      </w:r>
      <w:r>
        <w:rPr>
          <w:lang w:val="fr-FR"/>
        </w:rPr>
        <w:t>’</w:t>
      </w:r>
      <w:r w:rsidRPr="000060F8">
        <w:rPr>
          <w:lang w:val="fr-FR"/>
        </w:rPr>
        <w:t>article</w:t>
      </w:r>
      <w:r w:rsidR="00B73B43">
        <w:rPr>
          <w:lang w:val="fr-FR"/>
        </w:rPr>
        <w:t> </w:t>
      </w:r>
      <w:r w:rsidRPr="000060F8">
        <w:rPr>
          <w:lang w:val="fr-FR"/>
        </w:rPr>
        <w:t>7 du Pacte.</w:t>
      </w:r>
    </w:p>
    <w:p w:rsidR="00457C99" w:rsidRPr="000060F8" w:rsidRDefault="00457C99" w:rsidP="00457C99">
      <w:pPr>
        <w:pStyle w:val="SingleTxtG"/>
        <w:rPr>
          <w:rFonts w:eastAsia="MS Mincho"/>
          <w:lang w:val="fr-FR"/>
        </w:rPr>
      </w:pPr>
      <w:r w:rsidRPr="000060F8">
        <w:rPr>
          <w:rFonts w:eastAsia="MS Mincho"/>
          <w:lang w:val="fr-FR"/>
        </w:rPr>
        <w:t>11</w:t>
      </w:r>
      <w:r w:rsidRPr="000060F8">
        <w:rPr>
          <w:lang w:val="fr-FR"/>
        </w:rPr>
        <w:t>.</w:t>
      </w:r>
      <w:r w:rsidRPr="000060F8">
        <w:rPr>
          <w:lang w:val="fr-FR"/>
        </w:rPr>
        <w:tab/>
      </w:r>
      <w:r w:rsidRPr="005361F4">
        <w:rPr>
          <w:lang w:val="fr-FR"/>
        </w:rPr>
        <w:t xml:space="preserve">En application du </w:t>
      </w:r>
      <w:r w:rsidRPr="000060F8">
        <w:rPr>
          <w:lang w:val="fr-FR"/>
        </w:rPr>
        <w:t>paragraphe 1 de l</w:t>
      </w:r>
      <w:r>
        <w:rPr>
          <w:lang w:val="fr-FR"/>
        </w:rPr>
        <w:t>’</w:t>
      </w:r>
      <w:r w:rsidRPr="000060F8">
        <w:rPr>
          <w:lang w:val="fr-FR"/>
        </w:rPr>
        <w:t xml:space="preserve">article 2 du Pacte, </w:t>
      </w:r>
      <w:r w:rsidRPr="005361F4">
        <w:rPr>
          <w:lang w:val="fr-FR"/>
        </w:rPr>
        <w:t xml:space="preserve">aux termes duquel </w:t>
      </w:r>
      <w:r w:rsidRPr="000060F8">
        <w:rPr>
          <w:lang w:val="fr-FR"/>
        </w:rPr>
        <w:t>les États parties s</w:t>
      </w:r>
      <w:r>
        <w:rPr>
          <w:lang w:val="fr-FR"/>
        </w:rPr>
        <w:t>’</w:t>
      </w:r>
      <w:r w:rsidRPr="000060F8">
        <w:rPr>
          <w:lang w:val="fr-FR"/>
        </w:rPr>
        <w:t>engagent à respecter et à garantir à tous les individus se trouvant sur leur territoire et relevant de leur compétence les droits reconnus dans le Pacte, l</w:t>
      </w:r>
      <w:r>
        <w:rPr>
          <w:lang w:val="fr-FR"/>
        </w:rPr>
        <w:t>’</w:t>
      </w:r>
      <w:r w:rsidRPr="005361F4">
        <w:rPr>
          <w:lang w:val="fr-FR"/>
        </w:rPr>
        <w:t xml:space="preserve">État partie </w:t>
      </w:r>
      <w:r>
        <w:rPr>
          <w:lang w:val="fr-FR"/>
        </w:rPr>
        <w:t>est tenu</w:t>
      </w:r>
      <w:r w:rsidRPr="005361F4">
        <w:rPr>
          <w:lang w:val="fr-FR"/>
        </w:rPr>
        <w:t xml:space="preserve"> de procéder à un réexamen de la situation de l</w:t>
      </w:r>
      <w:r>
        <w:rPr>
          <w:lang w:val="fr-FR"/>
        </w:rPr>
        <w:t>’</w:t>
      </w:r>
      <w:r w:rsidRPr="005361F4">
        <w:rPr>
          <w:lang w:val="fr-FR"/>
        </w:rPr>
        <w:t>auteur en tenant compte des obligations que lui impose le Pacte et des présentes constatations du Comité. L</w:t>
      </w:r>
      <w:r>
        <w:rPr>
          <w:lang w:val="fr-FR"/>
        </w:rPr>
        <w:t>’</w:t>
      </w:r>
      <w:r w:rsidRPr="000060F8">
        <w:rPr>
          <w:lang w:val="fr-FR"/>
        </w:rPr>
        <w:t>État partie est de plus prié de s</w:t>
      </w:r>
      <w:r>
        <w:rPr>
          <w:lang w:val="fr-FR"/>
        </w:rPr>
        <w:t>’</w:t>
      </w:r>
      <w:r w:rsidRPr="000060F8">
        <w:rPr>
          <w:lang w:val="fr-FR"/>
        </w:rPr>
        <w:t xml:space="preserve">abstenir </w:t>
      </w:r>
      <w:r w:rsidRPr="005361F4">
        <w:rPr>
          <w:lang w:val="fr-FR"/>
        </w:rPr>
        <w:t>d</w:t>
      </w:r>
      <w:r>
        <w:rPr>
          <w:lang w:val="fr-FR"/>
        </w:rPr>
        <w:t>’</w:t>
      </w:r>
      <w:r w:rsidRPr="005361F4">
        <w:rPr>
          <w:lang w:val="fr-FR"/>
        </w:rPr>
        <w:t>expulser l</w:t>
      </w:r>
      <w:r>
        <w:rPr>
          <w:lang w:val="fr-FR"/>
        </w:rPr>
        <w:t>’</w:t>
      </w:r>
      <w:r w:rsidRPr="005361F4">
        <w:rPr>
          <w:lang w:val="fr-FR"/>
        </w:rPr>
        <w:t>auteur tant que sa demande d</w:t>
      </w:r>
      <w:r>
        <w:rPr>
          <w:lang w:val="fr-FR"/>
        </w:rPr>
        <w:t>’</w:t>
      </w:r>
      <w:r w:rsidRPr="005361F4">
        <w:rPr>
          <w:lang w:val="fr-FR"/>
        </w:rPr>
        <w:t>asile est en cours de réexamen</w:t>
      </w:r>
      <w:r w:rsidRPr="000060F8">
        <w:rPr>
          <w:lang w:val="fr-FR"/>
        </w:rPr>
        <w:t xml:space="preserve">. </w:t>
      </w:r>
    </w:p>
    <w:p w:rsidR="00457C99" w:rsidRDefault="00457C99" w:rsidP="00B73B43">
      <w:pPr>
        <w:pStyle w:val="SingleTxtG"/>
        <w:keepLines/>
        <w:rPr>
          <w:rFonts w:eastAsia="MS Mincho"/>
          <w:lang w:val="fr-FR"/>
        </w:rPr>
      </w:pPr>
      <w:r w:rsidRPr="000060F8">
        <w:rPr>
          <w:rFonts w:eastAsia="MS Mincho"/>
          <w:lang w:val="fr-FR"/>
        </w:rPr>
        <w:lastRenderedPageBreak/>
        <w:t>12.</w:t>
      </w:r>
      <w:r w:rsidRPr="000060F8">
        <w:rPr>
          <w:rFonts w:eastAsia="MS Mincho"/>
          <w:lang w:val="fr-FR"/>
        </w:rPr>
        <w:tab/>
        <w:t>Étant donné qu</w:t>
      </w:r>
      <w:r>
        <w:rPr>
          <w:rFonts w:eastAsia="MS Mincho"/>
          <w:lang w:val="fr-FR"/>
        </w:rPr>
        <w:t>’</w:t>
      </w:r>
      <w:r w:rsidRPr="000060F8">
        <w:rPr>
          <w:rFonts w:eastAsia="MS Mincho"/>
          <w:lang w:val="fr-FR"/>
        </w:rPr>
        <w:t>en adhérant au Protocole facultatif, l</w:t>
      </w:r>
      <w:r>
        <w:rPr>
          <w:rFonts w:eastAsia="MS Mincho"/>
          <w:lang w:val="fr-FR"/>
        </w:rPr>
        <w:t>’</w:t>
      </w:r>
      <w:r w:rsidRPr="000060F8">
        <w:rPr>
          <w:lang w:val="fr-FR"/>
        </w:rPr>
        <w:t>État partie a reconnu que le Comité a compétence pour déterminer s</w:t>
      </w:r>
      <w:r>
        <w:rPr>
          <w:lang w:val="fr-FR"/>
        </w:rPr>
        <w:t>’</w:t>
      </w:r>
      <w:r w:rsidRPr="000060F8">
        <w:rPr>
          <w:lang w:val="fr-FR"/>
        </w:rPr>
        <w:t>il y a ou non violation du Pacte et que, conformément à l</w:t>
      </w:r>
      <w:r>
        <w:rPr>
          <w:lang w:val="fr-FR"/>
        </w:rPr>
        <w:t>’</w:t>
      </w:r>
      <w:r w:rsidRPr="000060F8">
        <w:rPr>
          <w:lang w:val="fr-FR"/>
        </w:rPr>
        <w:t>article</w:t>
      </w:r>
      <w:r w:rsidR="00B73B43">
        <w:rPr>
          <w:lang w:val="fr-FR"/>
        </w:rPr>
        <w:t> </w:t>
      </w:r>
      <w:r w:rsidRPr="000060F8">
        <w:rPr>
          <w:lang w:val="fr-FR"/>
        </w:rPr>
        <w:t>2 du Pacte, il s</w:t>
      </w:r>
      <w:r>
        <w:rPr>
          <w:lang w:val="fr-FR"/>
        </w:rPr>
        <w:t>’</w:t>
      </w:r>
      <w:r w:rsidRPr="000060F8">
        <w:rPr>
          <w:lang w:val="fr-FR"/>
        </w:rPr>
        <w:t>est engagé à garantir à tous les individus se trouvant sur son territoire ou relevant de sa juridiction les droits reconnus dans le Pacte et à assurer un recours utile lorsqu</w:t>
      </w:r>
      <w:r>
        <w:rPr>
          <w:lang w:val="fr-FR"/>
        </w:rPr>
        <w:t>’</w:t>
      </w:r>
      <w:r w:rsidRPr="000060F8">
        <w:rPr>
          <w:lang w:val="fr-FR"/>
        </w:rPr>
        <w:t xml:space="preserve">une </w:t>
      </w:r>
      <w:r w:rsidRPr="000060F8">
        <w:rPr>
          <w:rFonts w:eastAsia="MS Mincho"/>
          <w:lang w:val="fr-FR"/>
        </w:rPr>
        <w:t>violation a été établie, le Comité souhaite recevoir de l</w:t>
      </w:r>
      <w:r>
        <w:rPr>
          <w:rFonts w:eastAsia="MS Mincho"/>
          <w:lang w:val="fr-FR"/>
        </w:rPr>
        <w:t>’</w:t>
      </w:r>
      <w:r w:rsidRPr="000060F8">
        <w:rPr>
          <w:rFonts w:eastAsia="MS Mincho"/>
          <w:lang w:val="fr-FR"/>
        </w:rPr>
        <w:t>État partie, dans un délai de cent-quatre-vingts jours, des renseignements sur les mesures prises pour donner effet aux présentes constatations. L</w:t>
      </w:r>
      <w:r>
        <w:rPr>
          <w:rFonts w:eastAsia="MS Mincho"/>
          <w:lang w:val="fr-FR"/>
        </w:rPr>
        <w:t>’</w:t>
      </w:r>
      <w:r w:rsidRPr="000060F8">
        <w:rPr>
          <w:rFonts w:eastAsia="MS Mincho"/>
          <w:lang w:val="fr-FR"/>
        </w:rPr>
        <w:t>État partie est invité en outre à rendre celles-ci publiques et à les diffuser largement dans sa langue officielle.</w:t>
      </w:r>
    </w:p>
    <w:p w:rsidR="00B73B43" w:rsidRPr="000060F8" w:rsidRDefault="00B73B43" w:rsidP="00457C99">
      <w:pPr>
        <w:pStyle w:val="SingleTxtG"/>
        <w:rPr>
          <w:rFonts w:eastAsia="MS Mincho"/>
          <w:lang w:val="fr-FR"/>
        </w:rPr>
      </w:pPr>
    </w:p>
    <w:p w:rsidR="00457C99" w:rsidRPr="000060F8" w:rsidRDefault="00457C99" w:rsidP="00457C99">
      <w:pPr>
        <w:pStyle w:val="SingleTxtG"/>
        <w:rPr>
          <w:lang w:val="fr-FR"/>
        </w:rPr>
        <w:sectPr w:rsidR="00457C99" w:rsidRPr="000060F8">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pPr>
    </w:p>
    <w:p w:rsidR="00457C99" w:rsidRPr="000060F8" w:rsidRDefault="00457C99" w:rsidP="00B73B43">
      <w:pPr>
        <w:pStyle w:val="HChG"/>
        <w:rPr>
          <w:lang w:val="fr-FR"/>
        </w:rPr>
      </w:pPr>
      <w:r w:rsidRPr="000060F8">
        <w:rPr>
          <w:lang w:val="fr-FR"/>
        </w:rPr>
        <w:lastRenderedPageBreak/>
        <w:t>Annexe</w:t>
      </w:r>
    </w:p>
    <w:p w:rsidR="00457C99" w:rsidRPr="000060F8" w:rsidRDefault="00457C99" w:rsidP="00B73B43">
      <w:pPr>
        <w:pStyle w:val="HChG"/>
        <w:rPr>
          <w:lang w:val="fr-FR"/>
        </w:rPr>
      </w:pPr>
      <w:r w:rsidRPr="000060F8">
        <w:rPr>
          <w:lang w:val="fr-FR"/>
        </w:rPr>
        <w:tab/>
      </w:r>
      <w:r w:rsidRPr="000060F8">
        <w:rPr>
          <w:lang w:val="fr-FR"/>
        </w:rPr>
        <w:tab/>
      </w:r>
      <w:bookmarkStart w:id="6" w:name="_Hlk51746749"/>
      <w:r w:rsidRPr="005361F4">
        <w:rPr>
          <w:lang w:val="fr-FR"/>
        </w:rPr>
        <w:t xml:space="preserve">Opinion individuelle (dissidente) de Marcia V.J. </w:t>
      </w:r>
      <w:proofErr w:type="spellStart"/>
      <w:r w:rsidRPr="005361F4">
        <w:rPr>
          <w:lang w:val="fr-FR"/>
        </w:rPr>
        <w:t>Kran</w:t>
      </w:r>
      <w:proofErr w:type="spellEnd"/>
      <w:r w:rsidRPr="005361F4">
        <w:rPr>
          <w:lang w:val="fr-FR"/>
        </w:rPr>
        <w:t xml:space="preserve">, </w:t>
      </w:r>
      <w:proofErr w:type="spellStart"/>
      <w:r w:rsidRPr="005361F4">
        <w:rPr>
          <w:lang w:val="fr-FR"/>
        </w:rPr>
        <w:t>Vasilka</w:t>
      </w:r>
      <w:proofErr w:type="spellEnd"/>
      <w:r w:rsidRPr="005361F4">
        <w:rPr>
          <w:lang w:val="fr-FR"/>
        </w:rPr>
        <w:t xml:space="preserve"> </w:t>
      </w:r>
      <w:proofErr w:type="spellStart"/>
      <w:r w:rsidRPr="005361F4">
        <w:rPr>
          <w:lang w:val="fr-FR"/>
        </w:rPr>
        <w:t>Sancin</w:t>
      </w:r>
      <w:proofErr w:type="spellEnd"/>
      <w:r w:rsidRPr="005361F4">
        <w:rPr>
          <w:lang w:val="fr-FR"/>
        </w:rPr>
        <w:t xml:space="preserve"> et Yuval </w:t>
      </w:r>
      <w:proofErr w:type="spellStart"/>
      <w:r w:rsidRPr="005361F4">
        <w:rPr>
          <w:lang w:val="fr-FR"/>
        </w:rPr>
        <w:t>Shany</w:t>
      </w:r>
      <w:proofErr w:type="spellEnd"/>
      <w:r w:rsidRPr="005361F4">
        <w:rPr>
          <w:lang w:val="fr-FR"/>
        </w:rPr>
        <w:t>, membres du Comité</w:t>
      </w:r>
      <w:bookmarkEnd w:id="6"/>
      <w:r w:rsidRPr="000060F8">
        <w:rPr>
          <w:lang w:val="fr-FR"/>
        </w:rPr>
        <w:t xml:space="preserve"> </w:t>
      </w:r>
    </w:p>
    <w:p w:rsidR="00457C99" w:rsidRPr="000060F8" w:rsidRDefault="00457C99" w:rsidP="00B73B43">
      <w:pPr>
        <w:pStyle w:val="SingleTxtG"/>
        <w:rPr>
          <w:lang w:val="fr-FR"/>
        </w:rPr>
      </w:pPr>
      <w:r w:rsidRPr="000060F8">
        <w:rPr>
          <w:lang w:val="fr-FR"/>
        </w:rPr>
        <w:t>1.</w:t>
      </w:r>
      <w:r w:rsidRPr="000060F8">
        <w:rPr>
          <w:lang w:val="fr-FR"/>
        </w:rPr>
        <w:tab/>
        <w:t>Nous regrettons de ne pouvoir souscrire à la conclusion de la majorité des membres du Comité selon laquelle</w:t>
      </w:r>
      <w:r w:rsidRPr="005361F4">
        <w:rPr>
          <w:lang w:val="fr-FR"/>
        </w:rPr>
        <w:t>,</w:t>
      </w:r>
      <w:r w:rsidRPr="000060F8">
        <w:rPr>
          <w:lang w:val="fr-FR"/>
        </w:rPr>
        <w:t xml:space="preserve"> en </w:t>
      </w:r>
      <w:r w:rsidRPr="005361F4">
        <w:rPr>
          <w:lang w:val="fr-FR"/>
        </w:rPr>
        <w:t>expulsant</w:t>
      </w:r>
      <w:r w:rsidRPr="000060F8">
        <w:rPr>
          <w:lang w:val="fr-FR"/>
        </w:rPr>
        <w:t xml:space="preserve"> l</w:t>
      </w:r>
      <w:r>
        <w:rPr>
          <w:lang w:val="fr-FR"/>
        </w:rPr>
        <w:t>’</w:t>
      </w:r>
      <w:r w:rsidRPr="000060F8">
        <w:rPr>
          <w:lang w:val="fr-FR"/>
        </w:rPr>
        <w:t>auteu</w:t>
      </w:r>
      <w:r w:rsidRPr="005361F4">
        <w:rPr>
          <w:lang w:val="fr-FR"/>
        </w:rPr>
        <w:t>r vers l</w:t>
      </w:r>
      <w:r>
        <w:rPr>
          <w:lang w:val="fr-FR"/>
        </w:rPr>
        <w:t>’</w:t>
      </w:r>
      <w:r w:rsidRPr="000060F8">
        <w:rPr>
          <w:lang w:val="fr-FR"/>
        </w:rPr>
        <w:t>Afghanistan</w:t>
      </w:r>
      <w:r w:rsidRPr="005361F4">
        <w:rPr>
          <w:lang w:val="fr-FR"/>
        </w:rPr>
        <w:t xml:space="preserve">, le </w:t>
      </w:r>
      <w:r w:rsidRPr="000060F8">
        <w:rPr>
          <w:lang w:val="fr-FR"/>
        </w:rPr>
        <w:t xml:space="preserve">Danemark </w:t>
      </w:r>
      <w:r w:rsidRPr="005361F4">
        <w:rPr>
          <w:lang w:val="fr-FR"/>
        </w:rPr>
        <w:t xml:space="preserve">violerait le </w:t>
      </w:r>
      <w:r w:rsidRPr="000060F8">
        <w:rPr>
          <w:lang w:val="fr-FR"/>
        </w:rPr>
        <w:t xml:space="preserve">Pacte. </w:t>
      </w:r>
    </w:p>
    <w:p w:rsidR="00457C99" w:rsidRPr="000060F8" w:rsidRDefault="00457C99" w:rsidP="00B73B43">
      <w:pPr>
        <w:pStyle w:val="SingleTxtG"/>
        <w:rPr>
          <w:lang w:val="fr-FR"/>
        </w:rPr>
      </w:pPr>
      <w:r w:rsidRPr="000060F8">
        <w:rPr>
          <w:lang w:val="fr-FR"/>
        </w:rPr>
        <w:t>2.</w:t>
      </w:r>
      <w:r w:rsidRPr="000060F8">
        <w:rPr>
          <w:lang w:val="fr-FR"/>
        </w:rPr>
        <w:tab/>
      </w:r>
      <w:r w:rsidRPr="005361F4">
        <w:rPr>
          <w:lang w:val="fr-FR"/>
        </w:rPr>
        <w:t xml:space="preserve">Au </w:t>
      </w:r>
      <w:r w:rsidRPr="000060F8">
        <w:rPr>
          <w:lang w:val="fr-FR"/>
        </w:rPr>
        <w:t xml:space="preserve">paragraphe 9.5 </w:t>
      </w:r>
      <w:r w:rsidRPr="005361F4">
        <w:rPr>
          <w:lang w:val="fr-FR"/>
        </w:rPr>
        <w:t>de ses constatations</w:t>
      </w:r>
      <w:r w:rsidRPr="000060F8">
        <w:rPr>
          <w:lang w:val="fr-FR"/>
        </w:rPr>
        <w:t xml:space="preserve">, le Comité rappelle </w:t>
      </w:r>
      <w:r w:rsidRPr="005361F4">
        <w:rPr>
          <w:lang w:val="fr-FR"/>
        </w:rPr>
        <w:t>« </w:t>
      </w:r>
      <w:r w:rsidRPr="000060F8">
        <w:rPr>
          <w:lang w:val="fr-FR"/>
        </w:rPr>
        <w:t>qu</w:t>
      </w:r>
      <w:r>
        <w:rPr>
          <w:lang w:val="fr-FR"/>
        </w:rPr>
        <w:t>’</w:t>
      </w:r>
      <w:r w:rsidRPr="000060F8">
        <w:rPr>
          <w:lang w:val="fr-FR"/>
        </w:rPr>
        <w:t>il appartient généralement aux organes des États parties au Pacte d</w:t>
      </w:r>
      <w:r>
        <w:rPr>
          <w:lang w:val="fr-FR"/>
        </w:rPr>
        <w:t>’</w:t>
      </w:r>
      <w:r w:rsidRPr="000060F8">
        <w:rPr>
          <w:lang w:val="fr-FR"/>
        </w:rPr>
        <w:t xml:space="preserve">apprécier les faits et les éléments de preuve afin de déterminer </w:t>
      </w:r>
      <w:r w:rsidRPr="005361F4">
        <w:rPr>
          <w:lang w:val="fr-FR"/>
        </w:rPr>
        <w:t xml:space="preserve">si </w:t>
      </w:r>
      <w:r w:rsidRPr="000060F8">
        <w:rPr>
          <w:lang w:val="fr-FR"/>
        </w:rPr>
        <w:t>un tel risque</w:t>
      </w:r>
      <w:r w:rsidRPr="005361F4">
        <w:rPr>
          <w:lang w:val="fr-FR"/>
        </w:rPr>
        <w:t xml:space="preserve"> existe</w:t>
      </w:r>
      <w:r w:rsidRPr="000060F8">
        <w:rPr>
          <w:lang w:val="fr-FR"/>
        </w:rPr>
        <w:t xml:space="preserve">, </w:t>
      </w:r>
      <w:r w:rsidRPr="005361F4">
        <w:rPr>
          <w:lang w:val="fr-FR"/>
        </w:rPr>
        <w:t>sauf s</w:t>
      </w:r>
      <w:r>
        <w:rPr>
          <w:lang w:val="fr-FR"/>
        </w:rPr>
        <w:t>’</w:t>
      </w:r>
      <w:r w:rsidRPr="005361F4">
        <w:rPr>
          <w:lang w:val="fr-FR"/>
        </w:rPr>
        <w:t>il peut être établi que cette appréciation a été manifestement arbitraire ou a représenté un déni de justice »</w:t>
      </w:r>
      <w:r w:rsidRPr="000060F8">
        <w:rPr>
          <w:lang w:val="fr-FR"/>
        </w:rPr>
        <w:t xml:space="preserve">. </w:t>
      </w:r>
      <w:r w:rsidRPr="005361F4">
        <w:rPr>
          <w:lang w:val="fr-FR"/>
        </w:rPr>
        <w:t>Cette règle est reflétée dans u</w:t>
      </w:r>
      <w:r w:rsidRPr="000060F8">
        <w:rPr>
          <w:lang w:val="fr-FR"/>
        </w:rPr>
        <w:t>ne jurisprudence constante du Comité</w:t>
      </w:r>
      <w:r w:rsidRPr="000060F8">
        <w:rPr>
          <w:rStyle w:val="Appelnotedebasdep"/>
        </w:rPr>
        <w:footnoteReference w:id="28"/>
      </w:r>
      <w:r w:rsidRPr="000060F8">
        <w:rPr>
          <w:lang w:val="fr-FR"/>
        </w:rPr>
        <w:t xml:space="preserve"> et obéit à des critères rigoureux, et elle ne devrait pas</w:t>
      </w:r>
      <w:r w:rsidRPr="005361F4">
        <w:rPr>
          <w:lang w:val="fr-FR"/>
        </w:rPr>
        <w:t xml:space="preserve"> être écartée en l</w:t>
      </w:r>
      <w:r>
        <w:rPr>
          <w:lang w:val="fr-FR"/>
        </w:rPr>
        <w:t>’</w:t>
      </w:r>
      <w:r w:rsidRPr="005361F4">
        <w:rPr>
          <w:lang w:val="fr-FR"/>
        </w:rPr>
        <w:t>absence de faits démontrant de manière convaincante que l</w:t>
      </w:r>
      <w:r>
        <w:rPr>
          <w:lang w:val="fr-FR"/>
        </w:rPr>
        <w:t>’</w:t>
      </w:r>
      <w:r w:rsidRPr="005361F4">
        <w:rPr>
          <w:lang w:val="fr-FR"/>
        </w:rPr>
        <w:t>appréciation en cause a été arbitraire ou manifestement entachée d</w:t>
      </w:r>
      <w:r>
        <w:rPr>
          <w:lang w:val="fr-FR"/>
        </w:rPr>
        <w:t>’</w:t>
      </w:r>
      <w:r w:rsidRPr="005361F4">
        <w:rPr>
          <w:lang w:val="fr-FR"/>
        </w:rPr>
        <w:t xml:space="preserve">erreur, ou a représenté un déni de </w:t>
      </w:r>
      <w:r w:rsidRPr="000060F8">
        <w:rPr>
          <w:lang w:val="fr-FR"/>
        </w:rPr>
        <w:t>justice.</w:t>
      </w:r>
    </w:p>
    <w:p w:rsidR="00457C99" w:rsidRPr="000060F8" w:rsidRDefault="00457C99" w:rsidP="00457C99">
      <w:pPr>
        <w:pStyle w:val="SingleTxtG"/>
        <w:rPr>
          <w:lang w:val="fr-FR"/>
        </w:rPr>
      </w:pPr>
      <w:r w:rsidRPr="000060F8">
        <w:rPr>
          <w:lang w:val="fr-FR"/>
        </w:rPr>
        <w:t>3.</w:t>
      </w:r>
      <w:r w:rsidRPr="000060F8">
        <w:rPr>
          <w:lang w:val="fr-FR"/>
        </w:rPr>
        <w:tab/>
        <w:t>Su</w:t>
      </w:r>
      <w:r w:rsidRPr="005361F4">
        <w:rPr>
          <w:lang w:val="fr-FR"/>
        </w:rPr>
        <w:t>r la question précise de savoir si le fait qu</w:t>
      </w:r>
      <w:r>
        <w:rPr>
          <w:lang w:val="fr-FR"/>
        </w:rPr>
        <w:t>’</w:t>
      </w:r>
      <w:r w:rsidRPr="005361F4">
        <w:rPr>
          <w:lang w:val="fr-FR"/>
        </w:rPr>
        <w:t>une personne ait été employée par les forces internationales peut dénoter l</w:t>
      </w:r>
      <w:r>
        <w:rPr>
          <w:lang w:val="fr-FR"/>
        </w:rPr>
        <w:t>’</w:t>
      </w:r>
      <w:r w:rsidRPr="005361F4">
        <w:rPr>
          <w:lang w:val="fr-FR"/>
        </w:rPr>
        <w:t>existence d</w:t>
      </w:r>
      <w:r>
        <w:rPr>
          <w:lang w:val="fr-FR"/>
        </w:rPr>
        <w:t>’</w:t>
      </w:r>
      <w:r w:rsidRPr="005361F4">
        <w:rPr>
          <w:lang w:val="fr-FR"/>
        </w:rPr>
        <w:t xml:space="preserve">un risque futur de persécutions contraires à </w:t>
      </w:r>
      <w:r w:rsidRPr="000060F8">
        <w:rPr>
          <w:lang w:val="fr-FR"/>
        </w:rPr>
        <w:t>l</w:t>
      </w:r>
      <w:r>
        <w:rPr>
          <w:lang w:val="fr-FR"/>
        </w:rPr>
        <w:t>’</w:t>
      </w:r>
      <w:r w:rsidRPr="000060F8">
        <w:rPr>
          <w:lang w:val="fr-FR"/>
        </w:rPr>
        <w:t xml:space="preserve">article 7 du Pacte, </w:t>
      </w:r>
      <w:r w:rsidRPr="005361F4">
        <w:rPr>
          <w:lang w:val="fr-FR"/>
        </w:rPr>
        <w:t>le Comité cite l</w:t>
      </w:r>
      <w:r>
        <w:rPr>
          <w:lang w:val="fr-FR"/>
        </w:rPr>
        <w:t>’</w:t>
      </w:r>
      <w:r w:rsidRPr="005361F4">
        <w:rPr>
          <w:lang w:val="fr-FR"/>
        </w:rPr>
        <w:t xml:space="preserve">affaire </w:t>
      </w:r>
      <w:r w:rsidRPr="000060F8">
        <w:rPr>
          <w:i/>
          <w:iCs/>
          <w:lang w:val="fr-FR"/>
        </w:rPr>
        <w:t>A.</w:t>
      </w:r>
      <w:r w:rsidR="00B73B43">
        <w:rPr>
          <w:i/>
          <w:iCs/>
          <w:lang w:val="fr-FR"/>
        </w:rPr>
        <w:t> </w:t>
      </w:r>
      <w:r w:rsidRPr="000060F8">
        <w:rPr>
          <w:i/>
          <w:iCs/>
          <w:lang w:val="fr-FR"/>
        </w:rPr>
        <w:t xml:space="preserve">H. </w:t>
      </w:r>
      <w:r w:rsidRPr="00B73B43">
        <w:rPr>
          <w:i/>
          <w:iCs/>
          <w:lang w:val="fr-FR"/>
        </w:rPr>
        <w:t>c</w:t>
      </w:r>
      <w:r w:rsidRPr="000060F8">
        <w:rPr>
          <w:lang w:val="fr-FR"/>
        </w:rPr>
        <w:t>.</w:t>
      </w:r>
      <w:r w:rsidRPr="000060F8">
        <w:rPr>
          <w:i/>
          <w:iCs/>
          <w:lang w:val="fr-FR"/>
        </w:rPr>
        <w:t xml:space="preserve"> Danemark</w:t>
      </w:r>
      <w:r w:rsidRPr="005361F4">
        <w:rPr>
          <w:lang w:val="fr-FR"/>
        </w:rPr>
        <w:t xml:space="preserve"> </w:t>
      </w:r>
      <w:r w:rsidRPr="000060F8">
        <w:rPr>
          <w:lang w:val="fr-FR"/>
        </w:rPr>
        <w:t xml:space="preserve">dans </w:t>
      </w:r>
      <w:r w:rsidRPr="005361F4">
        <w:rPr>
          <w:lang w:val="fr-FR"/>
        </w:rPr>
        <w:t xml:space="preserve">une </w:t>
      </w:r>
      <w:r w:rsidRPr="000060F8">
        <w:rPr>
          <w:lang w:val="fr-FR"/>
        </w:rPr>
        <w:t xml:space="preserve">note de bas de page </w:t>
      </w:r>
      <w:r w:rsidRPr="005361F4">
        <w:rPr>
          <w:lang w:val="fr-FR"/>
        </w:rPr>
        <w:t xml:space="preserve">associée au </w:t>
      </w:r>
      <w:r w:rsidRPr="000060F8">
        <w:rPr>
          <w:lang w:val="fr-FR"/>
        </w:rPr>
        <w:t xml:space="preserve">paragraphe 9.6 </w:t>
      </w:r>
      <w:r w:rsidRPr="005361F4">
        <w:rPr>
          <w:lang w:val="fr-FR"/>
        </w:rPr>
        <w:t>de ses constatations</w:t>
      </w:r>
      <w:r w:rsidRPr="000060F8">
        <w:rPr>
          <w:rStyle w:val="Appelnotedebasdep"/>
        </w:rPr>
        <w:footnoteReference w:id="29"/>
      </w:r>
      <w:r w:rsidRPr="000060F8">
        <w:rPr>
          <w:i/>
          <w:iCs/>
          <w:lang w:val="fr-FR"/>
        </w:rPr>
        <w:t>.</w:t>
      </w:r>
      <w:r w:rsidRPr="000060F8">
        <w:rPr>
          <w:lang w:val="fr-FR"/>
        </w:rPr>
        <w:t xml:space="preserve"> </w:t>
      </w:r>
      <w:r w:rsidRPr="005361F4">
        <w:rPr>
          <w:lang w:val="fr-FR"/>
        </w:rPr>
        <w:t>Or</w:t>
      </w:r>
      <w:r w:rsidRPr="000060F8">
        <w:rPr>
          <w:lang w:val="fr-FR"/>
        </w:rPr>
        <w:t xml:space="preserve">, dans cette affaire, les faits diffèrent sensiblement de ceux de la présente espèce et </w:t>
      </w:r>
      <w:r w:rsidRPr="005361F4">
        <w:rPr>
          <w:lang w:val="fr-FR"/>
        </w:rPr>
        <w:t>n</w:t>
      </w:r>
      <w:r>
        <w:rPr>
          <w:lang w:val="fr-FR"/>
        </w:rPr>
        <w:t>’</w:t>
      </w:r>
      <w:r w:rsidRPr="005361F4">
        <w:rPr>
          <w:lang w:val="fr-FR"/>
        </w:rPr>
        <w:t>appellent</w:t>
      </w:r>
      <w:r w:rsidRPr="000060F8">
        <w:rPr>
          <w:lang w:val="fr-FR"/>
        </w:rPr>
        <w:t xml:space="preserve"> pas </w:t>
      </w:r>
      <w:r w:rsidRPr="005361F4">
        <w:rPr>
          <w:lang w:val="fr-FR"/>
        </w:rPr>
        <w:t>la même conclusion juridique. Dans l</w:t>
      </w:r>
      <w:r>
        <w:rPr>
          <w:lang w:val="fr-FR"/>
        </w:rPr>
        <w:t>’</w:t>
      </w:r>
      <w:r w:rsidRPr="005361F4">
        <w:rPr>
          <w:lang w:val="fr-FR"/>
        </w:rPr>
        <w:t>aff</w:t>
      </w:r>
      <w:r w:rsidRPr="000060F8">
        <w:rPr>
          <w:lang w:val="fr-FR"/>
        </w:rPr>
        <w:t xml:space="preserve">aire </w:t>
      </w:r>
      <w:r w:rsidRPr="000060F8">
        <w:rPr>
          <w:i/>
          <w:iCs/>
          <w:lang w:val="fr-FR"/>
        </w:rPr>
        <w:t>A.</w:t>
      </w:r>
      <w:r w:rsidR="00B73B43">
        <w:rPr>
          <w:i/>
          <w:iCs/>
          <w:lang w:val="fr-FR"/>
        </w:rPr>
        <w:t> </w:t>
      </w:r>
      <w:r w:rsidRPr="000060F8">
        <w:rPr>
          <w:i/>
          <w:iCs/>
          <w:lang w:val="fr-FR"/>
        </w:rPr>
        <w:t xml:space="preserve">H. </w:t>
      </w:r>
      <w:r w:rsidRPr="00B73B43">
        <w:rPr>
          <w:i/>
          <w:iCs/>
          <w:lang w:val="fr-FR"/>
        </w:rPr>
        <w:t>c</w:t>
      </w:r>
      <w:r w:rsidRPr="000060F8">
        <w:rPr>
          <w:lang w:val="fr-FR"/>
        </w:rPr>
        <w:t>.</w:t>
      </w:r>
      <w:r w:rsidRPr="000060F8">
        <w:rPr>
          <w:i/>
          <w:iCs/>
          <w:lang w:val="fr-FR"/>
        </w:rPr>
        <w:t xml:space="preserve"> Danemark</w:t>
      </w:r>
      <w:r w:rsidRPr="000060F8">
        <w:rPr>
          <w:lang w:val="fr-FR"/>
        </w:rPr>
        <w:t>, l</w:t>
      </w:r>
      <w:r>
        <w:rPr>
          <w:lang w:val="fr-FR"/>
        </w:rPr>
        <w:t>’</w:t>
      </w:r>
      <w:r w:rsidRPr="000060F8">
        <w:rPr>
          <w:lang w:val="fr-FR"/>
        </w:rPr>
        <w:t>auteur souffr</w:t>
      </w:r>
      <w:r w:rsidRPr="005361F4">
        <w:rPr>
          <w:lang w:val="fr-FR"/>
        </w:rPr>
        <w:t>ait</w:t>
      </w:r>
      <w:r w:rsidRPr="000060F8">
        <w:rPr>
          <w:lang w:val="fr-FR"/>
        </w:rPr>
        <w:t xml:space="preserve"> de troubles ment</w:t>
      </w:r>
      <w:r w:rsidRPr="005361F4">
        <w:rPr>
          <w:lang w:val="fr-FR"/>
        </w:rPr>
        <w:t xml:space="preserve">aux et, avant son arrivée au </w:t>
      </w:r>
      <w:r w:rsidRPr="000060F8">
        <w:rPr>
          <w:lang w:val="fr-FR"/>
        </w:rPr>
        <w:t xml:space="preserve">Danemark, </w:t>
      </w:r>
      <w:r w:rsidRPr="005361F4">
        <w:rPr>
          <w:lang w:val="fr-FR"/>
        </w:rPr>
        <w:t>avait, dans le cadre d</w:t>
      </w:r>
      <w:r>
        <w:rPr>
          <w:lang w:val="fr-FR"/>
        </w:rPr>
        <w:t>’</w:t>
      </w:r>
      <w:r w:rsidRPr="005361F4">
        <w:rPr>
          <w:lang w:val="fr-FR"/>
        </w:rPr>
        <w:t xml:space="preserve">enquêtes sur des infractions liées à la drogue, travaillé pour de nombreuses organisations associées aussi bien au </w:t>
      </w:r>
      <w:r w:rsidRPr="000060F8">
        <w:rPr>
          <w:lang w:val="fr-FR"/>
        </w:rPr>
        <w:t>Gouvernement des États-Unis d</w:t>
      </w:r>
      <w:r>
        <w:rPr>
          <w:lang w:val="fr-FR"/>
        </w:rPr>
        <w:t>’</w:t>
      </w:r>
      <w:r w:rsidRPr="000060F8">
        <w:rPr>
          <w:lang w:val="fr-FR"/>
        </w:rPr>
        <w:t xml:space="preserve">Amérique </w:t>
      </w:r>
      <w:r w:rsidRPr="005361F4">
        <w:rPr>
          <w:lang w:val="fr-FR"/>
        </w:rPr>
        <w:t>qu</w:t>
      </w:r>
      <w:r>
        <w:rPr>
          <w:lang w:val="fr-FR"/>
        </w:rPr>
        <w:t>’</w:t>
      </w:r>
      <w:r w:rsidRPr="005361F4">
        <w:rPr>
          <w:lang w:val="fr-FR"/>
        </w:rPr>
        <w:t xml:space="preserve">au </w:t>
      </w:r>
      <w:r w:rsidRPr="000060F8">
        <w:rPr>
          <w:lang w:val="fr-FR"/>
        </w:rPr>
        <w:t>Gouvernement afghan</w:t>
      </w:r>
      <w:r w:rsidRPr="005361F4">
        <w:rPr>
          <w:lang w:val="fr-FR"/>
        </w:rPr>
        <w:t>. Il avait en particulier contribué à l</w:t>
      </w:r>
      <w:r>
        <w:rPr>
          <w:lang w:val="fr-FR"/>
        </w:rPr>
        <w:t>’</w:t>
      </w:r>
      <w:r w:rsidRPr="005361F4">
        <w:rPr>
          <w:lang w:val="fr-FR"/>
        </w:rPr>
        <w:t>arrestation de deux barons de la drogue affiliés aux</w:t>
      </w:r>
      <w:r>
        <w:rPr>
          <w:lang w:val="fr-FR"/>
        </w:rPr>
        <w:t xml:space="preserve"> </w:t>
      </w:r>
      <w:r w:rsidRPr="000060F8">
        <w:rPr>
          <w:lang w:val="fr-FR"/>
        </w:rPr>
        <w:t>Taliban, ce qui attestait l</w:t>
      </w:r>
      <w:r>
        <w:rPr>
          <w:lang w:val="fr-FR"/>
        </w:rPr>
        <w:t>’</w:t>
      </w:r>
      <w:r w:rsidRPr="000060F8">
        <w:rPr>
          <w:lang w:val="fr-FR"/>
        </w:rPr>
        <w:t>existence d</w:t>
      </w:r>
      <w:r>
        <w:rPr>
          <w:lang w:val="fr-FR"/>
        </w:rPr>
        <w:t>’</w:t>
      </w:r>
      <w:r w:rsidRPr="000060F8">
        <w:rPr>
          <w:lang w:val="fr-FR"/>
        </w:rPr>
        <w:t>un conflit bien précis avec les</w:t>
      </w:r>
      <w:r>
        <w:rPr>
          <w:lang w:val="fr-FR"/>
        </w:rPr>
        <w:t xml:space="preserve"> </w:t>
      </w:r>
      <w:r w:rsidRPr="000060F8">
        <w:rPr>
          <w:lang w:val="fr-FR"/>
        </w:rPr>
        <w:t xml:space="preserve">Taliban et, dans le cadre de </w:t>
      </w:r>
      <w:r w:rsidRPr="005361F4">
        <w:rPr>
          <w:lang w:val="fr-FR"/>
        </w:rPr>
        <w:t xml:space="preserve">ses activités passées, </w:t>
      </w:r>
      <w:r>
        <w:rPr>
          <w:lang w:val="fr-FR"/>
        </w:rPr>
        <w:t xml:space="preserve">il </w:t>
      </w:r>
      <w:r w:rsidRPr="005361F4">
        <w:rPr>
          <w:lang w:val="fr-FR"/>
        </w:rPr>
        <w:t>avait été victime d</w:t>
      </w:r>
      <w:r>
        <w:rPr>
          <w:lang w:val="fr-FR"/>
        </w:rPr>
        <w:t>’</w:t>
      </w:r>
      <w:r w:rsidRPr="005361F4">
        <w:rPr>
          <w:lang w:val="fr-FR"/>
        </w:rPr>
        <w:t>une tentative d</w:t>
      </w:r>
      <w:r>
        <w:rPr>
          <w:lang w:val="fr-FR"/>
        </w:rPr>
        <w:t>’</w:t>
      </w:r>
      <w:r w:rsidRPr="005361F4">
        <w:rPr>
          <w:lang w:val="fr-FR"/>
        </w:rPr>
        <w:t>enlèvement, avait reçu des menaces écrites et son frère avait été tué, tous faits qui n</w:t>
      </w:r>
      <w:r>
        <w:rPr>
          <w:lang w:val="fr-FR"/>
        </w:rPr>
        <w:t>’</w:t>
      </w:r>
      <w:r w:rsidRPr="005361F4">
        <w:rPr>
          <w:lang w:val="fr-FR"/>
        </w:rPr>
        <w:t xml:space="preserve">étaient pas contestés par </w:t>
      </w:r>
      <w:r w:rsidRPr="000060F8">
        <w:rPr>
          <w:lang w:val="fr-FR"/>
        </w:rPr>
        <w:t>l</w:t>
      </w:r>
      <w:r>
        <w:rPr>
          <w:lang w:val="fr-FR"/>
        </w:rPr>
        <w:t>’</w:t>
      </w:r>
      <w:r w:rsidRPr="000060F8">
        <w:rPr>
          <w:lang w:val="fr-FR"/>
        </w:rPr>
        <w:t xml:space="preserve">État partie. </w:t>
      </w:r>
      <w:r w:rsidRPr="005361F4">
        <w:rPr>
          <w:lang w:val="fr-FR"/>
        </w:rPr>
        <w:t>De</w:t>
      </w:r>
      <w:r w:rsidRPr="000060F8">
        <w:rPr>
          <w:lang w:val="fr-FR"/>
        </w:rPr>
        <w:t xml:space="preserve"> plus, au moment où </w:t>
      </w:r>
      <w:r w:rsidRPr="005361F4">
        <w:rPr>
          <w:lang w:val="fr-FR"/>
        </w:rPr>
        <w:t>s</w:t>
      </w:r>
      <w:r w:rsidRPr="000060F8">
        <w:rPr>
          <w:lang w:val="fr-FR"/>
        </w:rPr>
        <w:t>a communication a</w:t>
      </w:r>
      <w:r w:rsidRPr="005361F4">
        <w:rPr>
          <w:lang w:val="fr-FR"/>
        </w:rPr>
        <w:t>vait</w:t>
      </w:r>
      <w:r w:rsidRPr="000060F8">
        <w:rPr>
          <w:lang w:val="fr-FR"/>
        </w:rPr>
        <w:t xml:space="preserve"> été examinée, le Comité disposait de nouvelles informations car l</w:t>
      </w:r>
      <w:r>
        <w:rPr>
          <w:lang w:val="fr-FR"/>
        </w:rPr>
        <w:t>’</w:t>
      </w:r>
      <w:r w:rsidRPr="000060F8">
        <w:rPr>
          <w:lang w:val="fr-FR"/>
        </w:rPr>
        <w:t>auteur avait déjà été expulsé vers l</w:t>
      </w:r>
      <w:r>
        <w:rPr>
          <w:lang w:val="fr-FR"/>
        </w:rPr>
        <w:t>’</w:t>
      </w:r>
      <w:r w:rsidRPr="000060F8">
        <w:rPr>
          <w:lang w:val="fr-FR"/>
        </w:rPr>
        <w:t>Afghanistan, o</w:t>
      </w:r>
      <w:r w:rsidRPr="005361F4">
        <w:rPr>
          <w:lang w:val="fr-FR"/>
        </w:rPr>
        <w:t>ù il avait été agressé physiquement et recevait constamment des appels téléphoniques le menaçant, lui et sa famille</w:t>
      </w:r>
      <w:r w:rsidRPr="000060F8">
        <w:rPr>
          <w:lang w:val="fr-FR"/>
        </w:rPr>
        <w:t>.</w:t>
      </w:r>
    </w:p>
    <w:p w:rsidR="00457C99" w:rsidRPr="000060F8" w:rsidRDefault="00457C99" w:rsidP="00457C99">
      <w:pPr>
        <w:pStyle w:val="SingleTxtG"/>
        <w:rPr>
          <w:lang w:val="fr-FR"/>
        </w:rPr>
      </w:pPr>
      <w:r w:rsidRPr="000060F8">
        <w:rPr>
          <w:lang w:val="fr-FR"/>
        </w:rPr>
        <w:t>4.</w:t>
      </w:r>
      <w:r w:rsidRPr="000060F8">
        <w:rPr>
          <w:lang w:val="fr-FR"/>
        </w:rPr>
        <w:tab/>
        <w:t>En l</w:t>
      </w:r>
      <w:r>
        <w:rPr>
          <w:lang w:val="fr-FR"/>
        </w:rPr>
        <w:t>’</w:t>
      </w:r>
      <w:r w:rsidRPr="000060F8">
        <w:rPr>
          <w:lang w:val="fr-FR"/>
        </w:rPr>
        <w:t>espèce, l</w:t>
      </w:r>
      <w:r>
        <w:rPr>
          <w:lang w:val="fr-FR"/>
        </w:rPr>
        <w:t>’</w:t>
      </w:r>
      <w:r w:rsidRPr="000060F8">
        <w:rPr>
          <w:lang w:val="fr-FR"/>
        </w:rPr>
        <w:t xml:space="preserve">auteur a été employé comme infirmier chef à la </w:t>
      </w:r>
      <w:r w:rsidRPr="005361F4">
        <w:rPr>
          <w:lang w:val="fr-FR"/>
        </w:rPr>
        <w:t>Direction nationale de la sécurité</w:t>
      </w:r>
      <w:r w:rsidRPr="000060F8">
        <w:rPr>
          <w:lang w:val="fr-FR"/>
        </w:rPr>
        <w:t xml:space="preserve"> d</w:t>
      </w:r>
      <w:r w:rsidRPr="005361F4">
        <w:rPr>
          <w:lang w:val="fr-FR"/>
        </w:rPr>
        <w:t>e l</w:t>
      </w:r>
      <w:r>
        <w:rPr>
          <w:lang w:val="fr-FR"/>
        </w:rPr>
        <w:t>’</w:t>
      </w:r>
      <w:r w:rsidRPr="000060F8">
        <w:rPr>
          <w:lang w:val="fr-FR"/>
        </w:rPr>
        <w:t xml:space="preserve">Afghanistan </w:t>
      </w:r>
      <w:r w:rsidRPr="005361F4">
        <w:rPr>
          <w:lang w:val="fr-FR"/>
        </w:rPr>
        <w:t xml:space="preserve">de </w:t>
      </w:r>
      <w:r w:rsidRPr="000060F8">
        <w:rPr>
          <w:lang w:val="fr-FR"/>
        </w:rPr>
        <w:t xml:space="preserve">2007 </w:t>
      </w:r>
      <w:r w:rsidRPr="005361F4">
        <w:rPr>
          <w:lang w:val="fr-FR"/>
        </w:rPr>
        <w:t>à</w:t>
      </w:r>
      <w:r w:rsidRPr="000060F8">
        <w:rPr>
          <w:lang w:val="fr-FR"/>
        </w:rPr>
        <w:t xml:space="preserve"> 2012 </w:t>
      </w:r>
      <w:r w:rsidRPr="005361F4">
        <w:rPr>
          <w:lang w:val="fr-FR"/>
        </w:rPr>
        <w:t>et a dispensé des soins d</w:t>
      </w:r>
      <w:r>
        <w:rPr>
          <w:lang w:val="fr-FR"/>
        </w:rPr>
        <w:t>’</w:t>
      </w:r>
      <w:r w:rsidRPr="005361F4">
        <w:rPr>
          <w:lang w:val="fr-FR"/>
        </w:rPr>
        <w:t xml:space="preserve">urgence sur une base des États-Unis dans la </w:t>
      </w:r>
      <w:r w:rsidRPr="000060F8">
        <w:rPr>
          <w:lang w:val="fr-FR"/>
        </w:rPr>
        <w:t xml:space="preserve">province de Kunar. </w:t>
      </w:r>
      <w:r w:rsidRPr="005361F4">
        <w:rPr>
          <w:lang w:val="fr-FR"/>
        </w:rPr>
        <w:t>Il</w:t>
      </w:r>
      <w:r w:rsidRPr="000060F8">
        <w:rPr>
          <w:lang w:val="fr-FR"/>
        </w:rPr>
        <w:t xml:space="preserve"> a reçu</w:t>
      </w:r>
      <w:r w:rsidRPr="005361F4">
        <w:rPr>
          <w:lang w:val="fr-FR"/>
        </w:rPr>
        <w:t>,</w:t>
      </w:r>
      <w:r w:rsidRPr="000060F8">
        <w:rPr>
          <w:lang w:val="fr-FR"/>
        </w:rPr>
        <w:t xml:space="preserve"> à la fin de</w:t>
      </w:r>
      <w:r w:rsidR="00365262">
        <w:rPr>
          <w:lang w:val="fr-FR"/>
        </w:rPr>
        <w:t xml:space="preserve"> </w:t>
      </w:r>
      <w:r w:rsidRPr="000060F8">
        <w:rPr>
          <w:lang w:val="fr-FR"/>
        </w:rPr>
        <w:t>2011 et au début de</w:t>
      </w:r>
      <w:r w:rsidR="00365262">
        <w:rPr>
          <w:lang w:val="fr-FR"/>
        </w:rPr>
        <w:t xml:space="preserve"> </w:t>
      </w:r>
      <w:r w:rsidRPr="000060F8">
        <w:rPr>
          <w:lang w:val="fr-FR"/>
        </w:rPr>
        <w:t xml:space="preserve">2012, des </w:t>
      </w:r>
      <w:r>
        <w:rPr>
          <w:lang w:val="fr-FR"/>
        </w:rPr>
        <w:t xml:space="preserve">lettres de </w:t>
      </w:r>
      <w:r w:rsidRPr="000060F8">
        <w:rPr>
          <w:lang w:val="fr-FR"/>
        </w:rPr>
        <w:t>menaces dont les autorités danoises ont conclu qu</w:t>
      </w:r>
      <w:r>
        <w:rPr>
          <w:lang w:val="fr-FR"/>
        </w:rPr>
        <w:t>’</w:t>
      </w:r>
      <w:r w:rsidRPr="000060F8">
        <w:rPr>
          <w:lang w:val="fr-FR"/>
        </w:rPr>
        <w:t xml:space="preserve">elles étaient liées à </w:t>
      </w:r>
      <w:r w:rsidRPr="005361F4">
        <w:rPr>
          <w:lang w:val="fr-FR"/>
        </w:rPr>
        <w:t xml:space="preserve">son </w:t>
      </w:r>
      <w:r w:rsidRPr="000060F8">
        <w:rPr>
          <w:lang w:val="fr-FR"/>
        </w:rPr>
        <w:t>emploi sur la base des États-Unis mais que leur faible intensité faisait qu</w:t>
      </w:r>
      <w:r>
        <w:rPr>
          <w:lang w:val="fr-FR"/>
        </w:rPr>
        <w:t>’</w:t>
      </w:r>
      <w:r w:rsidRPr="000060F8">
        <w:rPr>
          <w:lang w:val="fr-FR"/>
        </w:rPr>
        <w:t>il était peu probable que les Taliban c</w:t>
      </w:r>
      <w:r w:rsidRPr="005361F4">
        <w:rPr>
          <w:lang w:val="fr-FR"/>
        </w:rPr>
        <w:t>ontinuent à s</w:t>
      </w:r>
      <w:r>
        <w:rPr>
          <w:lang w:val="fr-FR"/>
        </w:rPr>
        <w:t>’</w:t>
      </w:r>
      <w:r w:rsidRPr="005361F4">
        <w:rPr>
          <w:lang w:val="fr-FR"/>
        </w:rPr>
        <w:t>intéresser à l</w:t>
      </w:r>
      <w:r>
        <w:rPr>
          <w:lang w:val="fr-FR"/>
        </w:rPr>
        <w:t>’</w:t>
      </w:r>
      <w:r w:rsidRPr="005361F4">
        <w:rPr>
          <w:lang w:val="fr-FR"/>
        </w:rPr>
        <w:t>auteur alors qu</w:t>
      </w:r>
      <w:r>
        <w:rPr>
          <w:lang w:val="fr-FR"/>
        </w:rPr>
        <w:t>’</w:t>
      </w:r>
      <w:r w:rsidRPr="005361F4">
        <w:rPr>
          <w:lang w:val="fr-FR"/>
        </w:rPr>
        <w:t>il n</w:t>
      </w:r>
      <w:r>
        <w:rPr>
          <w:lang w:val="fr-FR"/>
        </w:rPr>
        <w:t>’</w:t>
      </w:r>
      <w:r w:rsidRPr="005361F4">
        <w:rPr>
          <w:lang w:val="fr-FR"/>
        </w:rPr>
        <w:t>était plus en service actif</w:t>
      </w:r>
      <w:r w:rsidR="00365262">
        <w:rPr>
          <w:lang w:val="fr-FR"/>
        </w:rPr>
        <w:t> </w:t>
      </w:r>
      <w:r>
        <w:rPr>
          <w:lang w:val="fr-FR"/>
        </w:rPr>
        <w:t xml:space="preserve">; </w:t>
      </w:r>
      <w:r w:rsidRPr="005361F4">
        <w:rPr>
          <w:lang w:val="fr-FR"/>
        </w:rPr>
        <w:t>l</w:t>
      </w:r>
      <w:r>
        <w:rPr>
          <w:lang w:val="fr-FR"/>
        </w:rPr>
        <w:t>’</w:t>
      </w:r>
      <w:r w:rsidRPr="005361F4">
        <w:rPr>
          <w:lang w:val="fr-FR"/>
        </w:rPr>
        <w:t>auteur lui-même a déclaré que recevoir de telles lettres faisait partie de son métier et que c</w:t>
      </w:r>
      <w:r>
        <w:rPr>
          <w:lang w:val="fr-FR"/>
        </w:rPr>
        <w:t>’</w:t>
      </w:r>
      <w:r w:rsidRPr="005361F4">
        <w:rPr>
          <w:lang w:val="fr-FR"/>
        </w:rPr>
        <w:t>est un risque qu</w:t>
      </w:r>
      <w:r>
        <w:rPr>
          <w:lang w:val="fr-FR"/>
        </w:rPr>
        <w:t>’</w:t>
      </w:r>
      <w:r w:rsidRPr="005361F4">
        <w:rPr>
          <w:lang w:val="fr-FR"/>
        </w:rPr>
        <w:t>il avait accepté</w:t>
      </w:r>
      <w:r w:rsidRPr="000060F8">
        <w:rPr>
          <w:lang w:val="fr-FR"/>
        </w:rPr>
        <w:t xml:space="preserve"> (par. 4.5). </w:t>
      </w:r>
      <w:r w:rsidRPr="005361F4">
        <w:rPr>
          <w:lang w:val="fr-FR"/>
        </w:rPr>
        <w:t>To</w:t>
      </w:r>
      <w:r w:rsidRPr="000060F8">
        <w:rPr>
          <w:lang w:val="fr-FR"/>
        </w:rPr>
        <w:t>utefois, selon l</w:t>
      </w:r>
      <w:r>
        <w:rPr>
          <w:lang w:val="fr-FR"/>
        </w:rPr>
        <w:t>’</w:t>
      </w:r>
      <w:r w:rsidRPr="000060F8">
        <w:rPr>
          <w:lang w:val="fr-FR"/>
        </w:rPr>
        <w:t>appréciation à laquelle l</w:t>
      </w:r>
      <w:r>
        <w:rPr>
          <w:lang w:val="fr-FR"/>
        </w:rPr>
        <w:t>’</w:t>
      </w:r>
      <w:r w:rsidRPr="000060F8">
        <w:rPr>
          <w:lang w:val="fr-FR"/>
        </w:rPr>
        <w:t>État partie a procédé, l</w:t>
      </w:r>
      <w:r>
        <w:rPr>
          <w:lang w:val="fr-FR"/>
        </w:rPr>
        <w:t>’</w:t>
      </w:r>
      <w:r w:rsidRPr="000060F8">
        <w:rPr>
          <w:lang w:val="fr-FR"/>
        </w:rPr>
        <w:t>auteur n</w:t>
      </w:r>
      <w:r>
        <w:rPr>
          <w:lang w:val="fr-FR"/>
        </w:rPr>
        <w:t>’</w:t>
      </w:r>
      <w:r w:rsidRPr="000060F8">
        <w:rPr>
          <w:lang w:val="fr-FR"/>
        </w:rPr>
        <w:t>a pas démontré que le</w:t>
      </w:r>
      <w:r w:rsidRPr="005361F4">
        <w:rPr>
          <w:lang w:val="fr-FR"/>
        </w:rPr>
        <w:t>s</w:t>
      </w:r>
      <w:r w:rsidRPr="000060F8">
        <w:rPr>
          <w:lang w:val="fr-FR"/>
        </w:rPr>
        <w:t xml:space="preserve"> tir</w:t>
      </w:r>
      <w:r w:rsidRPr="005361F4">
        <w:rPr>
          <w:lang w:val="fr-FR"/>
        </w:rPr>
        <w:t>s</w:t>
      </w:r>
      <w:r w:rsidRPr="000060F8">
        <w:rPr>
          <w:lang w:val="fr-FR"/>
        </w:rPr>
        <w:t xml:space="preserve"> qu</w:t>
      </w:r>
      <w:r>
        <w:rPr>
          <w:lang w:val="fr-FR"/>
        </w:rPr>
        <w:t>’</w:t>
      </w:r>
      <w:r w:rsidRPr="000060F8">
        <w:rPr>
          <w:lang w:val="fr-FR"/>
        </w:rPr>
        <w:t>il aurait essuyé</w:t>
      </w:r>
      <w:r w:rsidRPr="005361F4">
        <w:rPr>
          <w:lang w:val="fr-FR"/>
        </w:rPr>
        <w:t>s</w:t>
      </w:r>
      <w:r w:rsidRPr="000060F8">
        <w:rPr>
          <w:lang w:val="fr-FR"/>
        </w:rPr>
        <w:t xml:space="preserve"> en 2011 ou son enlèvement par les Taliban</w:t>
      </w:r>
      <w:r w:rsidRPr="005361F4">
        <w:rPr>
          <w:lang w:val="fr-FR"/>
        </w:rPr>
        <w:t xml:space="preserve"> </w:t>
      </w:r>
      <w:r w:rsidRPr="000060F8">
        <w:rPr>
          <w:lang w:val="fr-FR"/>
        </w:rPr>
        <w:t>en</w:t>
      </w:r>
      <w:r w:rsidR="00365262">
        <w:rPr>
          <w:lang w:val="fr-FR"/>
        </w:rPr>
        <w:t xml:space="preserve"> </w:t>
      </w:r>
      <w:r w:rsidRPr="000060F8">
        <w:rPr>
          <w:lang w:val="fr-FR"/>
        </w:rPr>
        <w:t xml:space="preserve">2013 </w:t>
      </w:r>
      <w:r w:rsidRPr="005361F4">
        <w:rPr>
          <w:lang w:val="fr-FR"/>
        </w:rPr>
        <w:t>étaient liés aux fonctions qu</w:t>
      </w:r>
      <w:r>
        <w:rPr>
          <w:lang w:val="fr-FR"/>
        </w:rPr>
        <w:t>’</w:t>
      </w:r>
      <w:r w:rsidRPr="005361F4">
        <w:rPr>
          <w:lang w:val="fr-FR"/>
        </w:rPr>
        <w:t xml:space="preserve">il avait exercées </w:t>
      </w:r>
      <w:r w:rsidR="00365262">
        <w:rPr>
          <w:lang w:val="fr-FR"/>
        </w:rPr>
        <w:t>− </w:t>
      </w:r>
      <w:r w:rsidRPr="005361F4">
        <w:rPr>
          <w:lang w:val="fr-FR"/>
        </w:rPr>
        <w:t>en d</w:t>
      </w:r>
      <w:r>
        <w:rPr>
          <w:lang w:val="fr-FR"/>
        </w:rPr>
        <w:t>’</w:t>
      </w:r>
      <w:r w:rsidRPr="005361F4">
        <w:rPr>
          <w:lang w:val="fr-FR"/>
        </w:rPr>
        <w:t>autres termes, ces événements n</w:t>
      </w:r>
      <w:r>
        <w:rPr>
          <w:lang w:val="fr-FR"/>
        </w:rPr>
        <w:t>’</w:t>
      </w:r>
      <w:r w:rsidRPr="005361F4">
        <w:rPr>
          <w:lang w:val="fr-FR"/>
        </w:rPr>
        <w:t>avaient pas eu lieu dans le contexte du travail de l</w:t>
      </w:r>
      <w:r>
        <w:rPr>
          <w:lang w:val="fr-FR"/>
        </w:rPr>
        <w:t>’</w:t>
      </w:r>
      <w:r w:rsidRPr="005361F4">
        <w:rPr>
          <w:lang w:val="fr-FR"/>
        </w:rPr>
        <w:t>auteur. Se</w:t>
      </w:r>
      <w:r w:rsidRPr="000060F8">
        <w:rPr>
          <w:lang w:val="fr-FR"/>
        </w:rPr>
        <w:t>s allégations mises à part, l</w:t>
      </w:r>
      <w:r>
        <w:rPr>
          <w:lang w:val="fr-FR"/>
        </w:rPr>
        <w:t>’</w:t>
      </w:r>
      <w:r w:rsidRPr="000060F8">
        <w:rPr>
          <w:lang w:val="fr-FR"/>
        </w:rPr>
        <w:t>auteur n</w:t>
      </w:r>
      <w:r>
        <w:rPr>
          <w:lang w:val="fr-FR"/>
        </w:rPr>
        <w:t>’</w:t>
      </w:r>
      <w:r w:rsidRPr="000060F8">
        <w:rPr>
          <w:lang w:val="fr-FR"/>
        </w:rPr>
        <w:t>a produit aucune preuve démo</w:t>
      </w:r>
      <w:r w:rsidRPr="005361F4">
        <w:rPr>
          <w:lang w:val="fr-FR"/>
        </w:rPr>
        <w:t>ntrant l</w:t>
      </w:r>
      <w:r>
        <w:rPr>
          <w:lang w:val="fr-FR"/>
        </w:rPr>
        <w:t>’</w:t>
      </w:r>
      <w:r w:rsidRPr="005361F4">
        <w:rPr>
          <w:lang w:val="fr-FR"/>
        </w:rPr>
        <w:t>existence d</w:t>
      </w:r>
      <w:r>
        <w:rPr>
          <w:lang w:val="fr-FR"/>
        </w:rPr>
        <w:t>’</w:t>
      </w:r>
      <w:r w:rsidRPr="005361F4">
        <w:rPr>
          <w:lang w:val="fr-FR"/>
        </w:rPr>
        <w:t>un tel lien</w:t>
      </w:r>
      <w:r w:rsidRPr="000060F8">
        <w:rPr>
          <w:lang w:val="fr-FR"/>
        </w:rPr>
        <w:t>.</w:t>
      </w:r>
    </w:p>
    <w:p w:rsidR="00457C99" w:rsidRPr="000060F8" w:rsidRDefault="00457C99" w:rsidP="00365262">
      <w:pPr>
        <w:pStyle w:val="SingleTxtG"/>
        <w:keepLines/>
        <w:rPr>
          <w:lang w:val="fr-FR"/>
        </w:rPr>
      </w:pPr>
      <w:r w:rsidRPr="000060F8">
        <w:rPr>
          <w:lang w:val="fr-FR"/>
        </w:rPr>
        <w:lastRenderedPageBreak/>
        <w:t>5.</w:t>
      </w:r>
      <w:r w:rsidRPr="000060F8">
        <w:rPr>
          <w:lang w:val="fr-FR"/>
        </w:rPr>
        <w:tab/>
        <w:t>Si l</w:t>
      </w:r>
      <w:r>
        <w:rPr>
          <w:lang w:val="fr-FR"/>
        </w:rPr>
        <w:t>’</w:t>
      </w:r>
      <w:r w:rsidRPr="000060F8">
        <w:rPr>
          <w:lang w:val="fr-FR"/>
        </w:rPr>
        <w:t>on examine ses observations, il est clair que l</w:t>
      </w:r>
      <w:r>
        <w:rPr>
          <w:lang w:val="fr-FR"/>
        </w:rPr>
        <w:t>’</w:t>
      </w:r>
      <w:r w:rsidRPr="000060F8">
        <w:rPr>
          <w:lang w:val="fr-FR"/>
        </w:rPr>
        <w:t>État partie a</w:t>
      </w:r>
      <w:r w:rsidRPr="005361F4">
        <w:rPr>
          <w:lang w:val="fr-FR"/>
        </w:rPr>
        <w:t xml:space="preserve"> </w:t>
      </w:r>
      <w:r>
        <w:rPr>
          <w:lang w:val="fr-FR"/>
        </w:rPr>
        <w:t>tenu compte des particularités</w:t>
      </w:r>
      <w:r w:rsidRPr="005361F4">
        <w:rPr>
          <w:lang w:val="fr-FR"/>
        </w:rPr>
        <w:t xml:space="preserve"> de la présente espèce. Il a permis à l</w:t>
      </w:r>
      <w:r>
        <w:rPr>
          <w:lang w:val="fr-FR"/>
        </w:rPr>
        <w:t>’</w:t>
      </w:r>
      <w:r w:rsidRPr="005361F4">
        <w:rPr>
          <w:lang w:val="fr-FR"/>
        </w:rPr>
        <w:t>aute</w:t>
      </w:r>
      <w:r w:rsidRPr="000060F8">
        <w:rPr>
          <w:lang w:val="fr-FR"/>
        </w:rPr>
        <w:t xml:space="preserve">ur de faire appel des </w:t>
      </w:r>
      <w:r w:rsidRPr="005361F4">
        <w:rPr>
          <w:lang w:val="fr-FR"/>
        </w:rPr>
        <w:t>conclusions du Service danois de l</w:t>
      </w:r>
      <w:r>
        <w:rPr>
          <w:lang w:val="fr-FR"/>
        </w:rPr>
        <w:t>’</w:t>
      </w:r>
      <w:r w:rsidRPr="005361F4">
        <w:rPr>
          <w:lang w:val="fr-FR"/>
        </w:rPr>
        <w:t>immigration</w:t>
      </w:r>
      <w:r w:rsidRPr="000060F8">
        <w:rPr>
          <w:lang w:val="fr-FR"/>
        </w:rPr>
        <w:t xml:space="preserve"> e</w:t>
      </w:r>
      <w:r w:rsidRPr="005361F4">
        <w:rPr>
          <w:lang w:val="fr-FR"/>
        </w:rPr>
        <w:t xml:space="preserve">t rouvert son dossier pour examen par une nouvelle formation. </w:t>
      </w:r>
      <w:r w:rsidRPr="000060F8">
        <w:rPr>
          <w:lang w:val="fr-FR"/>
        </w:rPr>
        <w:t>L</w:t>
      </w:r>
      <w:r>
        <w:rPr>
          <w:lang w:val="fr-FR"/>
        </w:rPr>
        <w:t>’</w:t>
      </w:r>
      <w:r w:rsidRPr="000060F8">
        <w:rPr>
          <w:lang w:val="fr-FR"/>
        </w:rPr>
        <w:t>État partie a aussi tenu compte de la situation générale des droits de l</w:t>
      </w:r>
      <w:r>
        <w:rPr>
          <w:lang w:val="fr-FR"/>
        </w:rPr>
        <w:t>’</w:t>
      </w:r>
      <w:r w:rsidRPr="000060F8">
        <w:rPr>
          <w:lang w:val="fr-FR"/>
        </w:rPr>
        <w:t>homme en Afghanistan s</w:t>
      </w:r>
      <w:r w:rsidRPr="005361F4">
        <w:rPr>
          <w:lang w:val="fr-FR"/>
        </w:rPr>
        <w:t>ur la base de rapports invoqués par l</w:t>
      </w:r>
      <w:r>
        <w:rPr>
          <w:lang w:val="fr-FR"/>
        </w:rPr>
        <w:t>’</w:t>
      </w:r>
      <w:r w:rsidRPr="005361F4">
        <w:rPr>
          <w:lang w:val="fr-FR"/>
        </w:rPr>
        <w:t xml:space="preserve">auteur, dans le contexte de la situation personnelle de </w:t>
      </w:r>
      <w:r>
        <w:rPr>
          <w:lang w:val="fr-FR"/>
        </w:rPr>
        <w:t>celui-ci</w:t>
      </w:r>
      <w:r w:rsidRPr="000060F8">
        <w:rPr>
          <w:rStyle w:val="Appelnotedebasdep"/>
        </w:rPr>
        <w:footnoteReference w:id="30"/>
      </w:r>
      <w:r w:rsidRPr="005361F4">
        <w:rPr>
          <w:lang w:val="fr-FR"/>
        </w:rPr>
        <w:t>.</w:t>
      </w:r>
      <w:r w:rsidRPr="000060F8">
        <w:rPr>
          <w:lang w:val="fr-FR"/>
        </w:rPr>
        <w:t xml:space="preserve"> </w:t>
      </w:r>
    </w:p>
    <w:p w:rsidR="00457C99" w:rsidRPr="000060F8" w:rsidRDefault="00457C99" w:rsidP="00457C99">
      <w:pPr>
        <w:pStyle w:val="SingleTxtG"/>
        <w:rPr>
          <w:lang w:val="fr-FR"/>
        </w:rPr>
      </w:pPr>
      <w:r w:rsidRPr="000060F8">
        <w:rPr>
          <w:lang w:val="fr-FR"/>
        </w:rPr>
        <w:t>6.</w:t>
      </w:r>
      <w:r w:rsidRPr="000060F8">
        <w:rPr>
          <w:lang w:val="fr-FR"/>
        </w:rPr>
        <w:tab/>
        <w:t>Bien que l</w:t>
      </w:r>
      <w:r>
        <w:rPr>
          <w:lang w:val="fr-FR"/>
        </w:rPr>
        <w:t>’</w:t>
      </w:r>
      <w:r w:rsidRPr="000060F8">
        <w:rPr>
          <w:lang w:val="fr-FR"/>
        </w:rPr>
        <w:t>expulsion de l</w:t>
      </w:r>
      <w:r>
        <w:rPr>
          <w:lang w:val="fr-FR"/>
        </w:rPr>
        <w:t>’</w:t>
      </w:r>
      <w:r w:rsidRPr="000060F8">
        <w:rPr>
          <w:lang w:val="fr-FR"/>
        </w:rPr>
        <w:t>auteur vers l</w:t>
      </w:r>
      <w:r>
        <w:rPr>
          <w:lang w:val="fr-FR"/>
        </w:rPr>
        <w:t>’</w:t>
      </w:r>
      <w:r w:rsidRPr="000060F8">
        <w:rPr>
          <w:lang w:val="fr-FR"/>
        </w:rPr>
        <w:t>Afghanistan puisse le placer dans une situation plus difficile que celle dans laquelle il se trouve</w:t>
      </w:r>
      <w:r w:rsidRPr="005361F4">
        <w:rPr>
          <w:lang w:val="fr-FR"/>
        </w:rPr>
        <w:t xml:space="preserve"> </w:t>
      </w:r>
      <w:r w:rsidRPr="000060F8">
        <w:rPr>
          <w:lang w:val="fr-FR"/>
        </w:rPr>
        <w:t>actuell</w:t>
      </w:r>
      <w:r w:rsidRPr="005361F4">
        <w:rPr>
          <w:lang w:val="fr-FR"/>
        </w:rPr>
        <w:t xml:space="preserve">ement au </w:t>
      </w:r>
      <w:r w:rsidRPr="000060F8">
        <w:rPr>
          <w:lang w:val="fr-FR"/>
        </w:rPr>
        <w:t xml:space="preserve">Danemark, </w:t>
      </w:r>
      <w:r w:rsidRPr="005361F4">
        <w:rPr>
          <w:lang w:val="fr-FR"/>
        </w:rPr>
        <w:t>le Comité ne dispose pas d</w:t>
      </w:r>
      <w:r>
        <w:rPr>
          <w:lang w:val="fr-FR"/>
        </w:rPr>
        <w:t>’</w:t>
      </w:r>
      <w:r w:rsidRPr="005361F4">
        <w:rPr>
          <w:lang w:val="fr-FR"/>
        </w:rPr>
        <w:t>informations l</w:t>
      </w:r>
      <w:r>
        <w:rPr>
          <w:lang w:val="fr-FR"/>
        </w:rPr>
        <w:t>’</w:t>
      </w:r>
      <w:r w:rsidRPr="005361F4">
        <w:rPr>
          <w:lang w:val="fr-FR"/>
        </w:rPr>
        <w:t>autorisant à contester l</w:t>
      </w:r>
      <w:r>
        <w:rPr>
          <w:lang w:val="fr-FR"/>
        </w:rPr>
        <w:t>’</w:t>
      </w:r>
      <w:r w:rsidRPr="005361F4">
        <w:rPr>
          <w:lang w:val="fr-FR"/>
        </w:rPr>
        <w:t>évaluation du risque à laquelle les autorités danoises ont procédé. En par</w:t>
      </w:r>
      <w:r w:rsidRPr="000060F8">
        <w:rPr>
          <w:lang w:val="fr-FR"/>
        </w:rPr>
        <w:t>ticulier, il ne dispose pas de suffisamment d</w:t>
      </w:r>
      <w:r>
        <w:rPr>
          <w:lang w:val="fr-FR"/>
        </w:rPr>
        <w:t>’</w:t>
      </w:r>
      <w:r w:rsidRPr="000060F8">
        <w:rPr>
          <w:lang w:val="fr-FR"/>
        </w:rPr>
        <w:t>informations pour considérer qu</w:t>
      </w:r>
      <w:r>
        <w:rPr>
          <w:lang w:val="fr-FR"/>
        </w:rPr>
        <w:t>’</w:t>
      </w:r>
      <w:r w:rsidRPr="000060F8">
        <w:rPr>
          <w:lang w:val="fr-FR"/>
        </w:rPr>
        <w:t xml:space="preserve">il est </w:t>
      </w:r>
      <w:r w:rsidRPr="005361F4">
        <w:rPr>
          <w:lang w:val="fr-FR"/>
        </w:rPr>
        <w:t>probable que les difficultés auxquelles l</w:t>
      </w:r>
      <w:r>
        <w:rPr>
          <w:lang w:val="fr-FR"/>
        </w:rPr>
        <w:t>’</w:t>
      </w:r>
      <w:r w:rsidRPr="005361F4">
        <w:rPr>
          <w:lang w:val="fr-FR"/>
        </w:rPr>
        <w:t xml:space="preserve">auteur sera confronté à son retour en </w:t>
      </w:r>
      <w:r w:rsidRPr="000060F8">
        <w:rPr>
          <w:lang w:val="fr-FR"/>
        </w:rPr>
        <w:t xml:space="preserve">Afghanistan </w:t>
      </w:r>
      <w:r>
        <w:rPr>
          <w:lang w:val="fr-FR"/>
        </w:rPr>
        <w:t>représenteront un</w:t>
      </w:r>
      <w:r w:rsidRPr="005361F4">
        <w:rPr>
          <w:lang w:val="fr-FR"/>
        </w:rPr>
        <w:t xml:space="preserve"> risque de préjudice grave irréparable constitu</w:t>
      </w:r>
      <w:r>
        <w:rPr>
          <w:lang w:val="fr-FR"/>
        </w:rPr>
        <w:t>tif</w:t>
      </w:r>
      <w:r w:rsidRPr="005361F4">
        <w:rPr>
          <w:lang w:val="fr-FR"/>
        </w:rPr>
        <w:t xml:space="preserve"> </w:t>
      </w:r>
      <w:r>
        <w:rPr>
          <w:lang w:val="fr-FR"/>
        </w:rPr>
        <w:t>d’</w:t>
      </w:r>
      <w:r w:rsidRPr="005361F4">
        <w:rPr>
          <w:lang w:val="fr-FR"/>
        </w:rPr>
        <w:t xml:space="preserve">une </w:t>
      </w:r>
      <w:r w:rsidRPr="000060F8">
        <w:rPr>
          <w:lang w:val="fr-FR"/>
        </w:rPr>
        <w:t xml:space="preserve">violation </w:t>
      </w:r>
      <w:r w:rsidR="00BE14FE">
        <w:rPr>
          <w:lang w:val="fr-FR"/>
        </w:rPr>
        <w:t>de</w:t>
      </w:r>
      <w:r w:rsidRPr="000060F8">
        <w:rPr>
          <w:lang w:val="fr-FR"/>
        </w:rPr>
        <w:t xml:space="preserve"> l</w:t>
      </w:r>
      <w:r>
        <w:rPr>
          <w:lang w:val="fr-FR"/>
        </w:rPr>
        <w:t>’</w:t>
      </w:r>
      <w:r w:rsidRPr="000060F8">
        <w:rPr>
          <w:lang w:val="fr-FR"/>
        </w:rPr>
        <w:t>article 7 du Pacte.</w:t>
      </w:r>
    </w:p>
    <w:p w:rsidR="00E85C42" w:rsidRDefault="00457C99" w:rsidP="00457C99">
      <w:pPr>
        <w:pStyle w:val="SingleTxtG"/>
        <w:rPr>
          <w:lang w:val="fr-FR"/>
        </w:rPr>
      </w:pPr>
      <w:r w:rsidRPr="000060F8">
        <w:rPr>
          <w:lang w:val="fr-FR"/>
        </w:rPr>
        <w:t>7.</w:t>
      </w:r>
      <w:r w:rsidRPr="000060F8">
        <w:rPr>
          <w:lang w:val="fr-FR"/>
        </w:rPr>
        <w:tab/>
        <w:t>Dans ces conditions, nous ne pouvons conclure que la décision des autorités danoises d</w:t>
      </w:r>
      <w:r w:rsidRPr="005361F4">
        <w:rPr>
          <w:lang w:val="fr-FR"/>
        </w:rPr>
        <w:t>e rejeter la demande d</w:t>
      </w:r>
      <w:r>
        <w:rPr>
          <w:lang w:val="fr-FR"/>
        </w:rPr>
        <w:t>’</w:t>
      </w:r>
      <w:r w:rsidRPr="005361F4">
        <w:rPr>
          <w:lang w:val="fr-FR"/>
        </w:rPr>
        <w:t>asile de l</w:t>
      </w:r>
      <w:r>
        <w:rPr>
          <w:lang w:val="fr-FR"/>
        </w:rPr>
        <w:t>’</w:t>
      </w:r>
      <w:r w:rsidRPr="005361F4">
        <w:rPr>
          <w:lang w:val="fr-FR"/>
        </w:rPr>
        <w:t>auteur a été arbitraire ou entachée d</w:t>
      </w:r>
      <w:r>
        <w:rPr>
          <w:lang w:val="fr-FR"/>
        </w:rPr>
        <w:t>’</w:t>
      </w:r>
      <w:r w:rsidRPr="005361F4">
        <w:rPr>
          <w:lang w:val="fr-FR"/>
        </w:rPr>
        <w:t xml:space="preserve">erreur manifeste, ou a représenté un déni de </w:t>
      </w:r>
      <w:r w:rsidRPr="000060F8">
        <w:rPr>
          <w:lang w:val="fr-FR"/>
        </w:rPr>
        <w:t>justice</w:t>
      </w:r>
      <w:r w:rsidRPr="005361F4">
        <w:rPr>
          <w:lang w:val="fr-FR"/>
        </w:rPr>
        <w:t>, ni qu</w:t>
      </w:r>
      <w:r>
        <w:rPr>
          <w:lang w:val="fr-FR"/>
        </w:rPr>
        <w:t>e sa mise en œuvre</w:t>
      </w:r>
      <w:r w:rsidRPr="005361F4">
        <w:rPr>
          <w:lang w:val="fr-FR"/>
        </w:rPr>
        <w:t xml:space="preserve"> emporterait </w:t>
      </w:r>
      <w:r w:rsidRPr="000060F8">
        <w:rPr>
          <w:lang w:val="fr-FR"/>
        </w:rPr>
        <w:t xml:space="preserve">violation </w:t>
      </w:r>
      <w:r w:rsidRPr="005361F4">
        <w:rPr>
          <w:lang w:val="fr-FR"/>
        </w:rPr>
        <w:t>par le Danemark de</w:t>
      </w:r>
      <w:r w:rsidRPr="000060F8">
        <w:rPr>
          <w:lang w:val="fr-FR"/>
        </w:rPr>
        <w:t xml:space="preserve"> l</w:t>
      </w:r>
      <w:r>
        <w:rPr>
          <w:lang w:val="fr-FR"/>
        </w:rPr>
        <w:t>’</w:t>
      </w:r>
      <w:r w:rsidRPr="000060F8">
        <w:rPr>
          <w:lang w:val="fr-FR"/>
        </w:rPr>
        <w:t>article 7 du Pacte.</w:t>
      </w:r>
      <w:bookmarkStart w:id="7" w:name="_GoBack"/>
      <w:bookmarkEnd w:id="7"/>
    </w:p>
    <w:p w:rsidR="00457C99" w:rsidRPr="00457C99" w:rsidRDefault="00457C99" w:rsidP="00457C99">
      <w:pPr>
        <w:pStyle w:val="SingleTxtG"/>
        <w:spacing w:before="240" w:after="0"/>
        <w:jc w:val="center"/>
        <w:rPr>
          <w:u w:val="single"/>
        </w:rPr>
      </w:pPr>
      <w:r>
        <w:rPr>
          <w:u w:val="single"/>
        </w:rPr>
        <w:tab/>
      </w:r>
      <w:r>
        <w:rPr>
          <w:u w:val="single"/>
        </w:rPr>
        <w:tab/>
      </w:r>
      <w:r>
        <w:rPr>
          <w:u w:val="single"/>
        </w:rPr>
        <w:tab/>
      </w:r>
    </w:p>
    <w:sectPr w:rsidR="00457C99" w:rsidRPr="00457C99" w:rsidSect="009D563C">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5F" w:rsidRDefault="00ED435F" w:rsidP="00F95C08">
      <w:pPr>
        <w:spacing w:line="240" w:lineRule="auto"/>
      </w:pPr>
    </w:p>
  </w:endnote>
  <w:endnote w:type="continuationSeparator" w:id="0">
    <w:p w:rsidR="00ED435F" w:rsidRPr="00AC3823" w:rsidRDefault="00ED435F" w:rsidP="00AC3823">
      <w:pPr>
        <w:pStyle w:val="Pieddepage"/>
      </w:pPr>
    </w:p>
  </w:endnote>
  <w:endnote w:type="continuationNotice" w:id="1">
    <w:p w:rsidR="00ED435F" w:rsidRDefault="00ED43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35F" w:rsidRPr="00FA222B" w:rsidRDefault="00ED435F" w:rsidP="00ED435F">
    <w:pPr>
      <w:pStyle w:val="Pieddepage"/>
      <w:tabs>
        <w:tab w:val="right" w:pos="9638"/>
      </w:tabs>
    </w:pPr>
    <w:r>
      <w:fldChar w:fldCharType="begin"/>
    </w:r>
    <w:r>
      <w:instrText xml:space="preserve"> PAGE  \* MERGEFORMAT </w:instrText>
    </w:r>
    <w:r>
      <w:fldChar w:fldCharType="separate"/>
    </w:r>
    <w:r w:rsidRPr="00C41F10">
      <w:rPr>
        <w:b/>
        <w:noProof/>
        <w:sz w:val="18"/>
      </w:rPr>
      <w:t>2</w:t>
    </w:r>
    <w:r>
      <w:rPr>
        <w:b/>
        <w:noProof/>
        <w:sz w:val="18"/>
      </w:rPr>
      <w:fldChar w:fldCharType="end"/>
    </w:r>
    <w:r>
      <w:rPr>
        <w:sz w:val="18"/>
      </w:rPr>
      <w:tab/>
    </w:r>
    <w:r>
      <w:t>GE.19-19879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35F" w:rsidRPr="00FA222B" w:rsidRDefault="00ED435F" w:rsidP="00ED435F">
    <w:pPr>
      <w:pStyle w:val="Pieddepage"/>
      <w:tabs>
        <w:tab w:val="right" w:pos="9638"/>
      </w:tabs>
      <w:rPr>
        <w:b/>
        <w:sz w:val="18"/>
      </w:rPr>
    </w:pPr>
    <w:r>
      <w:t>GE.19-19879</w:t>
    </w:r>
    <w:r>
      <w:tab/>
    </w:r>
    <w:r>
      <w:fldChar w:fldCharType="begin"/>
    </w:r>
    <w:r>
      <w:instrText xml:space="preserve"> PAGE  \* MERGEFORMAT </w:instrText>
    </w:r>
    <w:r>
      <w:fldChar w:fldCharType="separate"/>
    </w:r>
    <w:r w:rsidRPr="00C41F10">
      <w:rPr>
        <w:b/>
        <w:noProof/>
        <w:sz w:val="18"/>
      </w:rPr>
      <w:t>11</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35F" w:rsidRPr="00457C99" w:rsidRDefault="00ED435F" w:rsidP="009D563C">
    <w:pPr>
      <w:pStyle w:val="Pieddepage"/>
      <w:tabs>
        <w:tab w:val="left" w:pos="2532"/>
      </w:tabs>
      <w:spacing w:before="120"/>
    </w:pPr>
    <w:r>
      <w:rPr>
        <w:rFonts w:ascii="C39T30Lfz" w:hAnsi="C39T30Lfz"/>
        <w:noProof/>
        <w:sz w:val="56"/>
        <w:lang w:val="en-US"/>
      </w:rPr>
      <w:drawing>
        <wp:anchor distT="0" distB="0" distL="114300" distR="114300" simplePos="0" relativeHeight="251662336" behindDoc="0" locked="0" layoutInCell="1" allowOverlap="1" wp14:anchorId="0DC9D7C2" wp14:editId="1366DBA3">
          <wp:simplePos x="0" y="0"/>
          <wp:positionH relativeFrom="column">
            <wp:posOffset>5377307</wp:posOffset>
          </wp:positionH>
          <wp:positionV relativeFrom="paragraph">
            <wp:posOffset>-3378</wp:posOffset>
          </wp:positionV>
          <wp:extent cx="561975" cy="561975"/>
          <wp:effectExtent l="0" t="0" r="9525" b="9525"/>
          <wp:wrapNone/>
          <wp:docPr id="5" name="Picture 1" descr="https://undocs.org/m2/QRCode.ashx?DS=CCPR/C/126/D/260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603/20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GE.19-19879 (F)    161020    211020</w:t>
    </w:r>
  </w:p>
  <w:p w:rsidR="00ED435F" w:rsidRPr="007B7BEA" w:rsidRDefault="00ED435F" w:rsidP="00ED435F">
    <w:pPr>
      <w:pStyle w:val="Pieddepage"/>
      <w:ind w:right="1134"/>
      <w:rPr>
        <w:rFonts w:ascii="C39T30Lfz" w:hAnsi="C39T30Lfz"/>
        <w:sz w:val="56"/>
      </w:rPr>
    </w:pPr>
    <w:r>
      <w:rPr>
        <w:noProof/>
      </w:rPr>
      <w:drawing>
        <wp:anchor distT="0" distB="0" distL="114300" distR="114300" simplePos="0" relativeHeight="251665408" behindDoc="0" locked="0" layoutInCell="1" allowOverlap="1" wp14:anchorId="6C04AB7E" wp14:editId="0A33F238">
          <wp:simplePos x="0" y="0"/>
          <wp:positionH relativeFrom="column">
            <wp:posOffset>4213509</wp:posOffset>
          </wp:positionH>
          <wp:positionV relativeFrom="paragraph">
            <wp:posOffset>59018</wp:posOffset>
          </wp:positionV>
          <wp:extent cx="1104900" cy="233680"/>
          <wp:effectExtent l="0" t="0" r="0" b="0"/>
          <wp:wrapSquare wrapText="bothSides"/>
          <wp:docPr id="4" name="Image 3" descr="recycle_French"/>
          <wp:cNvGraphicFramePr/>
          <a:graphic xmlns:a="http://schemas.openxmlformats.org/drawingml/2006/main">
            <a:graphicData uri="http://schemas.openxmlformats.org/drawingml/2006/picture">
              <pic:pic xmlns:pic="http://schemas.openxmlformats.org/drawingml/2006/picture">
                <pic:nvPicPr>
                  <pic:cNvPr id="3" name="Image 3" descr="recycle_French"/>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35F" w:rsidRPr="00DC700E" w:rsidRDefault="00ED435F" w:rsidP="00DC700E">
    <w:pPr>
      <w:pStyle w:val="Pieddepage"/>
      <w:tabs>
        <w:tab w:val="right" w:pos="9638"/>
      </w:tabs>
    </w:pPr>
    <w:r w:rsidRPr="00DC700E">
      <w:rPr>
        <w:b/>
        <w:sz w:val="18"/>
      </w:rPr>
      <w:fldChar w:fldCharType="begin"/>
    </w:r>
    <w:r w:rsidRPr="00DC700E">
      <w:rPr>
        <w:b/>
        <w:sz w:val="18"/>
      </w:rPr>
      <w:instrText xml:space="preserve"> PAGE  \* MERGEFORMAT </w:instrText>
    </w:r>
    <w:r w:rsidRPr="00DC700E">
      <w:rPr>
        <w:b/>
        <w:sz w:val="18"/>
      </w:rPr>
      <w:fldChar w:fldCharType="separate"/>
    </w:r>
    <w:r w:rsidRPr="00DC700E">
      <w:rPr>
        <w:b/>
        <w:noProof/>
        <w:sz w:val="18"/>
      </w:rPr>
      <w:t>2</w:t>
    </w:r>
    <w:r w:rsidRPr="00DC700E">
      <w:rPr>
        <w:b/>
        <w:sz w:val="18"/>
      </w:rPr>
      <w:fldChar w:fldCharType="end"/>
    </w:r>
    <w:r>
      <w:rPr>
        <w:b/>
        <w:sz w:val="18"/>
      </w:rPr>
      <w:tab/>
    </w:r>
    <w:r>
      <w:t>GE.19-19879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35F" w:rsidRPr="00DC700E" w:rsidRDefault="00ED435F" w:rsidP="00DC700E">
    <w:pPr>
      <w:pStyle w:val="Pieddepage"/>
      <w:tabs>
        <w:tab w:val="right" w:pos="9638"/>
      </w:tabs>
      <w:rPr>
        <w:b/>
        <w:sz w:val="18"/>
      </w:rPr>
    </w:pPr>
    <w:r>
      <w:t>GE.19-19879</w:t>
    </w:r>
    <w:r>
      <w:tab/>
    </w:r>
    <w:r w:rsidRPr="00DC700E">
      <w:rPr>
        <w:b/>
        <w:sz w:val="18"/>
      </w:rPr>
      <w:fldChar w:fldCharType="begin"/>
    </w:r>
    <w:r w:rsidRPr="00DC700E">
      <w:rPr>
        <w:b/>
        <w:sz w:val="18"/>
      </w:rPr>
      <w:instrText xml:space="preserve"> PAGE  \* MERGEFORMAT </w:instrText>
    </w:r>
    <w:r w:rsidRPr="00DC700E">
      <w:rPr>
        <w:b/>
        <w:sz w:val="18"/>
      </w:rPr>
      <w:fldChar w:fldCharType="separate"/>
    </w:r>
    <w:r w:rsidRPr="00DC700E">
      <w:rPr>
        <w:b/>
        <w:noProof/>
        <w:sz w:val="18"/>
      </w:rPr>
      <w:t>3</w:t>
    </w:r>
    <w:r w:rsidRPr="00DC700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35F" w:rsidRPr="00DC700E" w:rsidRDefault="00ED435F" w:rsidP="00DC700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19-19879  (F)    161020    211020</w:t>
    </w:r>
    <w:r>
      <w:rPr>
        <w:sz w:val="20"/>
      </w:rPr>
      <w:br/>
    </w:r>
    <w:r w:rsidRPr="00DC700E">
      <w:rPr>
        <w:rFonts w:ascii="C39T30Lfz" w:hAnsi="C39T30Lfz"/>
        <w:sz w:val="56"/>
      </w:rPr>
      <w:t>*1919879*</w:t>
    </w:r>
    <w:r>
      <w:rPr>
        <w:noProof/>
        <w:sz w:val="20"/>
      </w:rPr>
      <w:drawing>
        <wp:anchor distT="0" distB="0" distL="114300" distR="114300" simplePos="0" relativeHeight="25165107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5F" w:rsidRPr="00AC3823" w:rsidRDefault="00ED435F" w:rsidP="00AC3823">
      <w:pPr>
        <w:pStyle w:val="Pieddepage"/>
        <w:tabs>
          <w:tab w:val="right" w:pos="2155"/>
        </w:tabs>
        <w:spacing w:after="80" w:line="240" w:lineRule="atLeast"/>
        <w:ind w:left="680"/>
        <w:rPr>
          <w:u w:val="single"/>
        </w:rPr>
      </w:pPr>
      <w:r>
        <w:rPr>
          <w:u w:val="single"/>
        </w:rPr>
        <w:tab/>
      </w:r>
    </w:p>
  </w:footnote>
  <w:footnote w:type="continuationSeparator" w:id="0">
    <w:p w:rsidR="00ED435F" w:rsidRPr="00AC3823" w:rsidRDefault="00ED435F" w:rsidP="00AC3823">
      <w:pPr>
        <w:pStyle w:val="Pieddepage"/>
        <w:tabs>
          <w:tab w:val="right" w:pos="2155"/>
        </w:tabs>
        <w:spacing w:after="80" w:line="240" w:lineRule="atLeast"/>
        <w:ind w:left="680"/>
        <w:rPr>
          <w:u w:val="single"/>
        </w:rPr>
      </w:pPr>
      <w:r>
        <w:rPr>
          <w:u w:val="single"/>
        </w:rPr>
        <w:tab/>
      </w:r>
    </w:p>
  </w:footnote>
  <w:footnote w:type="continuationNotice" w:id="1">
    <w:p w:rsidR="00ED435F" w:rsidRPr="00AC3823" w:rsidRDefault="00ED435F">
      <w:pPr>
        <w:spacing w:line="240" w:lineRule="auto"/>
        <w:rPr>
          <w:sz w:val="2"/>
          <w:szCs w:val="2"/>
        </w:rPr>
      </w:pPr>
    </w:p>
  </w:footnote>
  <w:footnote w:id="2">
    <w:p w:rsidR="00ED435F" w:rsidRPr="000060F8" w:rsidRDefault="00ED435F" w:rsidP="00457C99">
      <w:pPr>
        <w:pStyle w:val="Notedebasdepage"/>
        <w:rPr>
          <w:lang w:val="fr-FR"/>
        </w:rPr>
      </w:pPr>
      <w:r w:rsidRPr="000060F8">
        <w:rPr>
          <w:rStyle w:val="Appelnotedebasdep"/>
          <w:lang w:val="fr-FR"/>
        </w:rPr>
        <w:tab/>
      </w:r>
      <w:r w:rsidRPr="00457C99">
        <w:rPr>
          <w:rStyle w:val="Appelnotedebasdep"/>
          <w:sz w:val="20"/>
          <w:vertAlign w:val="baseline"/>
          <w:lang w:val="fr-FR"/>
        </w:rPr>
        <w:t>*</w:t>
      </w:r>
      <w:r w:rsidRPr="000060F8">
        <w:rPr>
          <w:rStyle w:val="Appelnotedebasdep"/>
          <w:lang w:val="fr-FR"/>
        </w:rPr>
        <w:tab/>
      </w:r>
      <w:r>
        <w:rPr>
          <w:lang w:val="fr-FR"/>
        </w:rPr>
        <w:t>Adoptées par le Comité à sa 126</w:t>
      </w:r>
      <w:r>
        <w:rPr>
          <w:vertAlign w:val="superscript"/>
          <w:lang w:val="fr-FR"/>
        </w:rPr>
        <w:t>e</w:t>
      </w:r>
      <w:r>
        <w:rPr>
          <w:lang w:val="fr-FR"/>
        </w:rPr>
        <w:t> session (1</w:t>
      </w:r>
      <w:r>
        <w:rPr>
          <w:vertAlign w:val="superscript"/>
          <w:lang w:val="fr-FR"/>
        </w:rPr>
        <w:t>er</w:t>
      </w:r>
      <w:r>
        <w:rPr>
          <w:lang w:val="fr-FR"/>
        </w:rPr>
        <w:t>-26 juillet 2019).</w:t>
      </w:r>
    </w:p>
  </w:footnote>
  <w:footnote w:id="3">
    <w:p w:rsidR="00ED435F" w:rsidRPr="000060F8" w:rsidRDefault="00ED435F" w:rsidP="00457C99">
      <w:pPr>
        <w:pStyle w:val="Notedebasdepage"/>
        <w:rPr>
          <w:lang w:val="fr-FR"/>
        </w:rPr>
      </w:pPr>
      <w:r w:rsidRPr="000060F8">
        <w:rPr>
          <w:rStyle w:val="Appelnotedebasdep"/>
          <w:lang w:val="fr-FR"/>
        </w:rPr>
        <w:tab/>
      </w:r>
      <w:r w:rsidRPr="00457C99">
        <w:rPr>
          <w:rStyle w:val="Appelnotedebasdep"/>
          <w:sz w:val="20"/>
          <w:vertAlign w:val="baseline"/>
          <w:lang w:val="fr-FR"/>
        </w:rPr>
        <w:t>**</w:t>
      </w:r>
      <w:r w:rsidRPr="000060F8">
        <w:rPr>
          <w:rStyle w:val="Appelnotedebasdep"/>
          <w:lang w:val="fr-FR"/>
        </w:rPr>
        <w:tab/>
      </w:r>
      <w:r>
        <w:rPr>
          <w:bCs/>
          <w:szCs w:val="18"/>
          <w:lang w:val="fr-FR"/>
        </w:rPr>
        <w:t>Les membres du Comité dont le nom suit ont participé à l’examen de la communication :</w:t>
      </w:r>
      <w:r w:rsidRPr="000060F8">
        <w:rPr>
          <w:szCs w:val="18"/>
          <w:lang w:val="fr-FR"/>
        </w:rPr>
        <w:t xml:space="preserve"> Tania María Abdo </w:t>
      </w:r>
      <w:proofErr w:type="spellStart"/>
      <w:r w:rsidRPr="000060F8">
        <w:rPr>
          <w:szCs w:val="18"/>
          <w:lang w:val="fr-FR"/>
        </w:rPr>
        <w:t>Rocholl</w:t>
      </w:r>
      <w:proofErr w:type="spellEnd"/>
      <w:r w:rsidRPr="000060F8">
        <w:rPr>
          <w:szCs w:val="18"/>
          <w:lang w:val="fr-FR"/>
        </w:rPr>
        <w:t xml:space="preserve">, </w:t>
      </w:r>
      <w:proofErr w:type="spellStart"/>
      <w:r w:rsidRPr="000060F8">
        <w:rPr>
          <w:szCs w:val="18"/>
          <w:lang w:val="fr-FR"/>
        </w:rPr>
        <w:t>Yadh</w:t>
      </w:r>
      <w:proofErr w:type="spellEnd"/>
      <w:r w:rsidRPr="000060F8">
        <w:rPr>
          <w:szCs w:val="18"/>
          <w:lang w:val="fr-FR"/>
        </w:rPr>
        <w:t xml:space="preserve"> Ben Achour, </w:t>
      </w:r>
      <w:proofErr w:type="spellStart"/>
      <w:r w:rsidRPr="000060F8">
        <w:rPr>
          <w:szCs w:val="18"/>
          <w:lang w:val="fr-FR"/>
        </w:rPr>
        <w:t>Ilze</w:t>
      </w:r>
      <w:proofErr w:type="spellEnd"/>
      <w:r w:rsidRPr="000060F8">
        <w:rPr>
          <w:szCs w:val="18"/>
          <w:lang w:val="fr-FR"/>
        </w:rPr>
        <w:t xml:space="preserve"> Brands </w:t>
      </w:r>
      <w:proofErr w:type="spellStart"/>
      <w:r w:rsidRPr="000060F8">
        <w:rPr>
          <w:szCs w:val="18"/>
          <w:lang w:val="fr-FR"/>
        </w:rPr>
        <w:t>Kehris</w:t>
      </w:r>
      <w:proofErr w:type="spellEnd"/>
      <w:r w:rsidRPr="000060F8">
        <w:rPr>
          <w:szCs w:val="18"/>
          <w:lang w:val="fr-FR"/>
        </w:rPr>
        <w:t xml:space="preserve">, Arif </w:t>
      </w:r>
      <w:proofErr w:type="spellStart"/>
      <w:r w:rsidRPr="000060F8">
        <w:rPr>
          <w:szCs w:val="18"/>
          <w:lang w:val="fr-FR"/>
        </w:rPr>
        <w:t>Bulkan</w:t>
      </w:r>
      <w:proofErr w:type="spellEnd"/>
      <w:r w:rsidRPr="000060F8">
        <w:rPr>
          <w:szCs w:val="18"/>
          <w:lang w:val="fr-FR"/>
        </w:rPr>
        <w:t xml:space="preserve">, Ahmed Amin </w:t>
      </w:r>
      <w:proofErr w:type="spellStart"/>
      <w:r w:rsidRPr="000060F8">
        <w:rPr>
          <w:szCs w:val="18"/>
          <w:lang w:val="fr-FR"/>
        </w:rPr>
        <w:t>Fathalla</w:t>
      </w:r>
      <w:proofErr w:type="spellEnd"/>
      <w:r w:rsidRPr="000060F8">
        <w:rPr>
          <w:szCs w:val="18"/>
          <w:lang w:val="fr-FR"/>
        </w:rPr>
        <w:t xml:space="preserve">, </w:t>
      </w:r>
      <w:proofErr w:type="spellStart"/>
      <w:r w:rsidRPr="000060F8">
        <w:rPr>
          <w:szCs w:val="18"/>
          <w:lang w:val="fr-FR"/>
        </w:rPr>
        <w:t>Shuichi</w:t>
      </w:r>
      <w:proofErr w:type="spellEnd"/>
      <w:r w:rsidRPr="000060F8">
        <w:rPr>
          <w:szCs w:val="18"/>
          <w:lang w:val="fr-FR"/>
        </w:rPr>
        <w:t xml:space="preserve"> </w:t>
      </w:r>
      <w:proofErr w:type="spellStart"/>
      <w:r w:rsidRPr="000060F8">
        <w:rPr>
          <w:szCs w:val="18"/>
          <w:lang w:val="fr-FR"/>
        </w:rPr>
        <w:t>Furuya</w:t>
      </w:r>
      <w:proofErr w:type="spellEnd"/>
      <w:r w:rsidRPr="000060F8">
        <w:rPr>
          <w:szCs w:val="18"/>
          <w:lang w:val="fr-FR"/>
        </w:rPr>
        <w:t xml:space="preserve">, </w:t>
      </w:r>
      <w:proofErr w:type="spellStart"/>
      <w:r w:rsidRPr="000060F8">
        <w:rPr>
          <w:szCs w:val="18"/>
          <w:lang w:val="fr-FR"/>
        </w:rPr>
        <w:t>Bamariam</w:t>
      </w:r>
      <w:proofErr w:type="spellEnd"/>
      <w:r w:rsidRPr="000060F8">
        <w:rPr>
          <w:szCs w:val="18"/>
          <w:lang w:val="fr-FR"/>
        </w:rPr>
        <w:t xml:space="preserve"> </w:t>
      </w:r>
      <w:proofErr w:type="spellStart"/>
      <w:r w:rsidRPr="000060F8">
        <w:rPr>
          <w:szCs w:val="18"/>
          <w:lang w:val="fr-FR"/>
        </w:rPr>
        <w:t>Koita</w:t>
      </w:r>
      <w:proofErr w:type="spellEnd"/>
      <w:r w:rsidRPr="000060F8">
        <w:rPr>
          <w:szCs w:val="18"/>
          <w:lang w:val="fr-FR"/>
        </w:rPr>
        <w:t xml:space="preserve">, Marcia V.J. </w:t>
      </w:r>
      <w:proofErr w:type="spellStart"/>
      <w:r w:rsidRPr="000060F8">
        <w:rPr>
          <w:szCs w:val="18"/>
          <w:lang w:val="fr-FR"/>
        </w:rPr>
        <w:t>Kran</w:t>
      </w:r>
      <w:proofErr w:type="spellEnd"/>
      <w:r w:rsidRPr="000060F8">
        <w:rPr>
          <w:szCs w:val="18"/>
          <w:lang w:val="fr-FR"/>
        </w:rPr>
        <w:t xml:space="preserve">, Duncan Laki </w:t>
      </w:r>
      <w:proofErr w:type="spellStart"/>
      <w:r w:rsidRPr="000060F8">
        <w:rPr>
          <w:szCs w:val="18"/>
          <w:lang w:val="fr-FR"/>
        </w:rPr>
        <w:t>Muhumuza</w:t>
      </w:r>
      <w:proofErr w:type="spellEnd"/>
      <w:r w:rsidRPr="000060F8">
        <w:rPr>
          <w:szCs w:val="18"/>
          <w:lang w:val="fr-FR"/>
        </w:rPr>
        <w:t xml:space="preserve">, </w:t>
      </w:r>
      <w:proofErr w:type="spellStart"/>
      <w:r w:rsidRPr="000060F8">
        <w:rPr>
          <w:szCs w:val="18"/>
          <w:lang w:val="fr-FR"/>
        </w:rPr>
        <w:t>Photini</w:t>
      </w:r>
      <w:proofErr w:type="spellEnd"/>
      <w:r w:rsidRPr="000060F8">
        <w:rPr>
          <w:szCs w:val="18"/>
          <w:lang w:val="fr-FR"/>
        </w:rPr>
        <w:t xml:space="preserve"> </w:t>
      </w:r>
      <w:proofErr w:type="spellStart"/>
      <w:r w:rsidRPr="000060F8">
        <w:rPr>
          <w:szCs w:val="18"/>
          <w:lang w:val="fr-FR"/>
        </w:rPr>
        <w:t>Pazartzis</w:t>
      </w:r>
      <w:proofErr w:type="spellEnd"/>
      <w:r w:rsidRPr="000060F8">
        <w:rPr>
          <w:szCs w:val="18"/>
          <w:lang w:val="fr-FR"/>
        </w:rPr>
        <w:t xml:space="preserve">, Hernán </w:t>
      </w:r>
      <w:proofErr w:type="spellStart"/>
      <w:r w:rsidRPr="000060F8">
        <w:rPr>
          <w:szCs w:val="18"/>
          <w:lang w:val="fr-FR"/>
        </w:rPr>
        <w:t>Quezada</w:t>
      </w:r>
      <w:proofErr w:type="spellEnd"/>
      <w:r w:rsidRPr="000060F8">
        <w:rPr>
          <w:szCs w:val="18"/>
          <w:lang w:val="fr-FR"/>
        </w:rPr>
        <w:t xml:space="preserve"> Cabrera, </w:t>
      </w:r>
      <w:proofErr w:type="spellStart"/>
      <w:r w:rsidRPr="000060F8">
        <w:rPr>
          <w:szCs w:val="18"/>
          <w:lang w:val="fr-FR"/>
        </w:rPr>
        <w:t>Vasilka</w:t>
      </w:r>
      <w:proofErr w:type="spellEnd"/>
      <w:r w:rsidRPr="000060F8">
        <w:rPr>
          <w:szCs w:val="18"/>
          <w:lang w:val="fr-FR"/>
        </w:rPr>
        <w:t xml:space="preserve"> </w:t>
      </w:r>
      <w:proofErr w:type="spellStart"/>
      <w:r w:rsidRPr="000060F8">
        <w:rPr>
          <w:szCs w:val="18"/>
          <w:lang w:val="fr-FR"/>
        </w:rPr>
        <w:t>Sancin</w:t>
      </w:r>
      <w:proofErr w:type="spellEnd"/>
      <w:r w:rsidRPr="000060F8">
        <w:rPr>
          <w:szCs w:val="18"/>
          <w:lang w:val="fr-FR"/>
        </w:rPr>
        <w:t xml:space="preserve">, José Manuel Santos Pais, Yuval </w:t>
      </w:r>
      <w:proofErr w:type="spellStart"/>
      <w:r w:rsidRPr="000060F8">
        <w:rPr>
          <w:szCs w:val="18"/>
          <w:lang w:val="fr-FR"/>
        </w:rPr>
        <w:t>Shany</w:t>
      </w:r>
      <w:proofErr w:type="spellEnd"/>
      <w:r w:rsidRPr="000060F8">
        <w:rPr>
          <w:szCs w:val="18"/>
          <w:lang w:val="fr-FR"/>
        </w:rPr>
        <w:t xml:space="preserve">, Hélène </w:t>
      </w:r>
      <w:proofErr w:type="spellStart"/>
      <w:r w:rsidRPr="000060F8">
        <w:rPr>
          <w:szCs w:val="18"/>
          <w:lang w:val="fr-FR"/>
        </w:rPr>
        <w:t>Tigroudja</w:t>
      </w:r>
      <w:proofErr w:type="spellEnd"/>
      <w:r w:rsidRPr="000060F8">
        <w:rPr>
          <w:szCs w:val="18"/>
          <w:lang w:val="fr-FR"/>
        </w:rPr>
        <w:t xml:space="preserve">, Andreas Zimmermann </w:t>
      </w:r>
      <w:r>
        <w:rPr>
          <w:szCs w:val="18"/>
          <w:lang w:val="fr-FR"/>
        </w:rPr>
        <w:t>et</w:t>
      </w:r>
      <w:r w:rsidRPr="000060F8">
        <w:rPr>
          <w:szCs w:val="18"/>
          <w:lang w:val="fr-FR"/>
        </w:rPr>
        <w:t xml:space="preserve"> </w:t>
      </w:r>
      <w:proofErr w:type="spellStart"/>
      <w:r w:rsidRPr="000060F8">
        <w:rPr>
          <w:szCs w:val="18"/>
          <w:lang w:val="fr-FR"/>
        </w:rPr>
        <w:t>Gentian</w:t>
      </w:r>
      <w:proofErr w:type="spellEnd"/>
      <w:r w:rsidRPr="000060F8">
        <w:rPr>
          <w:szCs w:val="18"/>
          <w:lang w:val="fr-FR"/>
        </w:rPr>
        <w:t xml:space="preserve"> </w:t>
      </w:r>
      <w:proofErr w:type="spellStart"/>
      <w:r w:rsidRPr="000060F8">
        <w:rPr>
          <w:szCs w:val="18"/>
          <w:lang w:val="fr-FR"/>
        </w:rPr>
        <w:t>Zyberi</w:t>
      </w:r>
      <w:proofErr w:type="spellEnd"/>
      <w:r w:rsidRPr="000060F8">
        <w:rPr>
          <w:bCs/>
          <w:szCs w:val="18"/>
          <w:lang w:val="fr-FR"/>
        </w:rPr>
        <w:t>.</w:t>
      </w:r>
    </w:p>
  </w:footnote>
  <w:footnote w:id="4">
    <w:p w:rsidR="00ED435F" w:rsidRPr="000060F8" w:rsidRDefault="00ED435F" w:rsidP="00457C99">
      <w:pPr>
        <w:pStyle w:val="Notedebasdepage"/>
        <w:rPr>
          <w:lang w:val="fr-FR"/>
        </w:rPr>
      </w:pPr>
      <w:r w:rsidRPr="000060F8">
        <w:rPr>
          <w:rStyle w:val="Appelnotedebasdep"/>
          <w:lang w:val="fr-FR"/>
        </w:rPr>
        <w:tab/>
      </w:r>
      <w:r w:rsidRPr="00457C99">
        <w:rPr>
          <w:rStyle w:val="Appelnotedebasdep"/>
          <w:sz w:val="20"/>
          <w:vertAlign w:val="baseline"/>
          <w:lang w:val="fr-FR"/>
        </w:rPr>
        <w:t>***</w:t>
      </w:r>
      <w:r w:rsidRPr="000060F8">
        <w:rPr>
          <w:rStyle w:val="Appelnotedebasdep"/>
          <w:lang w:val="fr-FR"/>
        </w:rPr>
        <w:tab/>
      </w:r>
      <w:r w:rsidRPr="000060F8">
        <w:rPr>
          <w:szCs w:val="18"/>
          <w:lang w:val="fr-FR"/>
        </w:rPr>
        <w:t>Le texte d’</w:t>
      </w:r>
      <w:r>
        <w:rPr>
          <w:szCs w:val="18"/>
          <w:lang w:val="fr-FR"/>
        </w:rPr>
        <w:t>une o</w:t>
      </w:r>
      <w:proofErr w:type="spellStart"/>
      <w:r>
        <w:rPr>
          <w:szCs w:val="18"/>
        </w:rPr>
        <w:t>pinion</w:t>
      </w:r>
      <w:proofErr w:type="spellEnd"/>
      <w:r>
        <w:t xml:space="preserve"> individuelle (dissidente) de </w:t>
      </w:r>
      <w:r w:rsidRPr="00476369">
        <w:rPr>
          <w:szCs w:val="18"/>
          <w:lang w:val="fr-FR"/>
        </w:rPr>
        <w:t xml:space="preserve">Marcia V.J. </w:t>
      </w:r>
      <w:proofErr w:type="spellStart"/>
      <w:r w:rsidRPr="00476369">
        <w:rPr>
          <w:szCs w:val="18"/>
          <w:lang w:val="fr-FR"/>
        </w:rPr>
        <w:t>Kran</w:t>
      </w:r>
      <w:proofErr w:type="spellEnd"/>
      <w:r w:rsidRPr="00476369">
        <w:rPr>
          <w:szCs w:val="18"/>
          <w:lang w:val="fr-FR"/>
        </w:rPr>
        <w:t xml:space="preserve">, </w:t>
      </w:r>
      <w:proofErr w:type="spellStart"/>
      <w:r w:rsidRPr="00476369">
        <w:rPr>
          <w:szCs w:val="18"/>
          <w:lang w:val="fr-FR"/>
        </w:rPr>
        <w:t>Vasilka</w:t>
      </w:r>
      <w:proofErr w:type="spellEnd"/>
      <w:r w:rsidRPr="00476369">
        <w:rPr>
          <w:szCs w:val="18"/>
          <w:lang w:val="fr-FR"/>
        </w:rPr>
        <w:t xml:space="preserve"> </w:t>
      </w:r>
      <w:proofErr w:type="spellStart"/>
      <w:r w:rsidRPr="00476369">
        <w:rPr>
          <w:szCs w:val="18"/>
          <w:lang w:val="fr-FR"/>
        </w:rPr>
        <w:t>Sancin</w:t>
      </w:r>
      <w:proofErr w:type="spellEnd"/>
      <w:r w:rsidRPr="00476369">
        <w:rPr>
          <w:szCs w:val="18"/>
          <w:lang w:val="fr-FR"/>
        </w:rPr>
        <w:t xml:space="preserve"> </w:t>
      </w:r>
      <w:r>
        <w:rPr>
          <w:szCs w:val="18"/>
          <w:lang w:val="fr-FR"/>
        </w:rPr>
        <w:t>et</w:t>
      </w:r>
      <w:r w:rsidRPr="00476369">
        <w:rPr>
          <w:szCs w:val="18"/>
          <w:lang w:val="fr-FR"/>
        </w:rPr>
        <w:t xml:space="preserve"> Yuval </w:t>
      </w:r>
      <w:proofErr w:type="spellStart"/>
      <w:r w:rsidRPr="00476369">
        <w:rPr>
          <w:szCs w:val="18"/>
          <w:lang w:val="fr-FR"/>
        </w:rPr>
        <w:t>Shany</w:t>
      </w:r>
      <w:proofErr w:type="spellEnd"/>
      <w:r>
        <w:t>, membres du Comité, est annexé aux présentes constatations</w:t>
      </w:r>
      <w:r w:rsidRPr="000060F8">
        <w:rPr>
          <w:lang w:val="fr-FR"/>
        </w:rPr>
        <w:t>.</w:t>
      </w:r>
    </w:p>
  </w:footnote>
  <w:footnote w:id="5">
    <w:p w:rsidR="00ED435F" w:rsidRPr="009F0215" w:rsidRDefault="00ED435F" w:rsidP="009D563C">
      <w:pPr>
        <w:pStyle w:val="Notedebasdepage"/>
      </w:pPr>
      <w:r w:rsidRPr="009F0215">
        <w:tab/>
      </w:r>
      <w:r w:rsidRPr="000060F8">
        <w:rPr>
          <w:rStyle w:val="Appelnotedebasdep"/>
        </w:rPr>
        <w:footnoteRef/>
      </w:r>
      <w:r w:rsidRPr="009F0215">
        <w:tab/>
        <w:t xml:space="preserve">L’auteur </w:t>
      </w:r>
      <w:r>
        <w:t xml:space="preserve">a demandé à garder </w:t>
      </w:r>
      <w:r w:rsidRPr="009F0215">
        <w:t>l’anonymat.</w:t>
      </w:r>
    </w:p>
  </w:footnote>
  <w:footnote w:id="6">
    <w:p w:rsidR="00ED435F" w:rsidRPr="009F0215" w:rsidRDefault="00ED435F" w:rsidP="00457C99">
      <w:pPr>
        <w:pStyle w:val="Notedebasdepage"/>
      </w:pPr>
      <w:r w:rsidRPr="009F0215">
        <w:tab/>
      </w:r>
      <w:r w:rsidRPr="000060F8">
        <w:rPr>
          <w:rStyle w:val="Appelnotedebasdep"/>
        </w:rPr>
        <w:footnoteRef/>
      </w:r>
      <w:r w:rsidRPr="009F0215">
        <w:tab/>
      </w:r>
      <w:proofErr w:type="spellStart"/>
      <w:r w:rsidRPr="009F0215">
        <w:t>Troels</w:t>
      </w:r>
      <w:proofErr w:type="spellEnd"/>
      <w:r w:rsidRPr="009F0215">
        <w:t xml:space="preserve"> Peter Koch a été remplacé par </w:t>
      </w:r>
      <w:proofErr w:type="spellStart"/>
      <w:r w:rsidRPr="009F0215">
        <w:t>Dorte</w:t>
      </w:r>
      <w:proofErr w:type="spellEnd"/>
      <w:r w:rsidRPr="009F0215">
        <w:t xml:space="preserve"> </w:t>
      </w:r>
      <w:proofErr w:type="spellStart"/>
      <w:r w:rsidRPr="009F0215">
        <w:t>Smed</w:t>
      </w:r>
      <w:proofErr w:type="spellEnd"/>
      <w:r w:rsidRPr="009F0215">
        <w:t>, du Conseil danois pour les réfugiés.</w:t>
      </w:r>
    </w:p>
  </w:footnote>
  <w:footnote w:id="7">
    <w:p w:rsidR="00ED435F" w:rsidRPr="009F0215" w:rsidRDefault="00ED435F" w:rsidP="00457C99">
      <w:pPr>
        <w:pStyle w:val="Notedebasdepage"/>
      </w:pPr>
      <w:r w:rsidRPr="009F0215">
        <w:tab/>
      </w:r>
      <w:r w:rsidRPr="000060F8">
        <w:rPr>
          <w:rStyle w:val="Appelnotedebasdep"/>
        </w:rPr>
        <w:footnoteRef/>
      </w:r>
      <w:r w:rsidRPr="009F0215">
        <w:tab/>
      </w:r>
      <w:r>
        <w:t xml:space="preserve">L’auteur affirme qu’à </w:t>
      </w:r>
      <w:r w:rsidRPr="009F0215">
        <w:t>cause de</w:t>
      </w:r>
      <w:r>
        <w:t xml:space="preserve"> ce</w:t>
      </w:r>
      <w:r w:rsidRPr="009F0215">
        <w:t xml:space="preserve">s lettres, </w:t>
      </w:r>
      <w:r>
        <w:t xml:space="preserve">il a </w:t>
      </w:r>
      <w:r w:rsidRPr="009F0215">
        <w:t>envisagé de quitter l’armée. Finalement, il a estimé que</w:t>
      </w:r>
      <w:r>
        <w:t> </w:t>
      </w:r>
      <w:r w:rsidRPr="009F0215">
        <w:t xml:space="preserve">les menaces faisaient partie de son métier et </w:t>
      </w:r>
      <w:r>
        <w:t xml:space="preserve">décidé </w:t>
      </w:r>
      <w:r w:rsidRPr="009F0215">
        <w:t>de les ignorer et de rester à l’armée. C’est pourquoi il n’a pas conservé ces lettres.</w:t>
      </w:r>
    </w:p>
  </w:footnote>
  <w:footnote w:id="8">
    <w:p w:rsidR="00ED435F" w:rsidRPr="009F0215" w:rsidRDefault="00ED435F" w:rsidP="00457C99">
      <w:pPr>
        <w:pStyle w:val="Notedebasdepage"/>
      </w:pPr>
      <w:r w:rsidRPr="009F0215">
        <w:tab/>
      </w:r>
      <w:r w:rsidRPr="000060F8">
        <w:rPr>
          <w:rStyle w:val="Appelnotedebasdep"/>
        </w:rPr>
        <w:footnoteRef/>
      </w:r>
      <w:r w:rsidRPr="009F0215">
        <w:tab/>
        <w:t xml:space="preserve">L’auteur a fait des déclarations contradictoires au sujet de sa détention, </w:t>
      </w:r>
      <w:r>
        <w:t xml:space="preserve">s’agissant </w:t>
      </w:r>
      <w:r w:rsidRPr="009F0215">
        <w:t xml:space="preserve">notamment de savoir si </w:t>
      </w:r>
      <w:r>
        <w:t xml:space="preserve">les </w:t>
      </w:r>
      <w:r w:rsidRPr="009F0215">
        <w:t>passagers du taxi emmenés dans les montages par les Taliban</w:t>
      </w:r>
      <w:r>
        <w:t xml:space="preserve"> étaient au nombre de</w:t>
      </w:r>
      <w:r w:rsidRPr="0016598C">
        <w:t xml:space="preserve"> </w:t>
      </w:r>
      <w:r w:rsidRPr="009F0215">
        <w:t xml:space="preserve">trois ou </w:t>
      </w:r>
      <w:r>
        <w:t xml:space="preserve">de </w:t>
      </w:r>
      <w:r w:rsidRPr="009F0215">
        <w:t>quatre et s</w:t>
      </w:r>
      <w:r>
        <w:t>i c’est</w:t>
      </w:r>
      <w:r w:rsidRPr="009F0215">
        <w:t xml:space="preserve"> avec une corde ou avec une chaîne</w:t>
      </w:r>
      <w:r>
        <w:t xml:space="preserve"> que lui-même </w:t>
      </w:r>
      <w:r w:rsidRPr="009F0215">
        <w:t>avait été attaché. La</w:t>
      </w:r>
      <w:r w:rsidR="00905672">
        <w:t> </w:t>
      </w:r>
      <w:r w:rsidRPr="009F0215">
        <w:t xml:space="preserve">Commission a également jugé peu vraisemblable la déclaration de l’auteur selon laquelle les Taliban l’avaient détenu pendant quatre mois sans tenter de vérifier ce qu’il leur disait être son identité </w:t>
      </w:r>
      <w:r>
        <w:t xml:space="preserve">mais </w:t>
      </w:r>
      <w:r w:rsidRPr="009F0215">
        <w:t xml:space="preserve">avaient tenté d’établir </w:t>
      </w:r>
      <w:r>
        <w:t>celle-ci</w:t>
      </w:r>
      <w:r w:rsidRPr="009F0215">
        <w:t xml:space="preserve"> en lui amenant un </w:t>
      </w:r>
      <w:r>
        <w:t>représentant</w:t>
      </w:r>
      <w:r w:rsidRPr="009F0215">
        <w:t xml:space="preserve"> des autorités ou un Taliban qui avait été précédemment arrêté. La Commission a souligné que ce</w:t>
      </w:r>
      <w:r>
        <w:t xml:space="preserve">la </w:t>
      </w:r>
      <w:r w:rsidRPr="009F0215">
        <w:t xml:space="preserve">était </w:t>
      </w:r>
      <w:r>
        <w:t xml:space="preserve">d’autant </w:t>
      </w:r>
      <w:r w:rsidRPr="009F0215">
        <w:t>plus étrange que le requérant ne participait pas aux interrogatoires et qu’il était masqué au moment des arrestations.</w:t>
      </w:r>
    </w:p>
  </w:footnote>
  <w:footnote w:id="9">
    <w:p w:rsidR="00ED435F" w:rsidRPr="009F0215" w:rsidRDefault="00ED435F" w:rsidP="00457C99">
      <w:pPr>
        <w:pStyle w:val="Notedebasdepage"/>
      </w:pPr>
      <w:r w:rsidRPr="009F0215">
        <w:tab/>
      </w:r>
      <w:r w:rsidRPr="000060F8">
        <w:rPr>
          <w:rStyle w:val="Appelnotedebasdep"/>
        </w:rPr>
        <w:footnoteRef/>
      </w:r>
      <w:r w:rsidRPr="009F0215">
        <w:tab/>
        <w:t xml:space="preserve">Haut-Commissariat des Nations Unies pour les réfugiés, </w:t>
      </w:r>
      <w:bookmarkStart w:id="1" w:name="_Hlk8374812"/>
      <w:r w:rsidRPr="000060F8">
        <w:rPr>
          <w:i/>
          <w:iCs/>
        </w:rPr>
        <w:t xml:space="preserve">Principes directeurs du HCR </w:t>
      </w:r>
      <w:bookmarkEnd w:id="1"/>
      <w:r w:rsidRPr="000060F8">
        <w:rPr>
          <w:i/>
          <w:iCs/>
        </w:rPr>
        <w:t>relatifs à l’éligibilité dans le cadre de l’évaluation des besoins de protection internationale des demandeurs d’asile afghans</w:t>
      </w:r>
      <w:r w:rsidRPr="009F0215">
        <w:t>, 6</w:t>
      </w:r>
      <w:r w:rsidR="00905672">
        <w:t> </w:t>
      </w:r>
      <w:r w:rsidRPr="009F0215">
        <w:t xml:space="preserve">août 2013 </w:t>
      </w:r>
      <w:r>
        <w:t>(</w:t>
      </w:r>
      <w:r w:rsidRPr="009F0215">
        <w:t>HCR/EG/AFG/13/01</w:t>
      </w:r>
      <w:r>
        <w:t>)</w:t>
      </w:r>
      <w:r w:rsidRPr="009F0215">
        <w:t xml:space="preserve">. Voir aussi Bureau européen d’appui en matière d’asile, </w:t>
      </w:r>
      <w:r w:rsidRPr="0014213E">
        <w:rPr>
          <w:i/>
          <w:iCs/>
          <w:szCs w:val="18"/>
        </w:rPr>
        <w:t>Afghanistan</w:t>
      </w:r>
      <w:r w:rsidR="00905672">
        <w:rPr>
          <w:i/>
          <w:iCs/>
          <w:szCs w:val="18"/>
        </w:rPr>
        <w:t> </w:t>
      </w:r>
      <w:r w:rsidRPr="0014213E">
        <w:rPr>
          <w:i/>
          <w:iCs/>
          <w:szCs w:val="18"/>
        </w:rPr>
        <w:t xml:space="preserve">: Insurgent </w:t>
      </w:r>
      <w:proofErr w:type="spellStart"/>
      <w:r w:rsidRPr="0014213E">
        <w:rPr>
          <w:i/>
          <w:iCs/>
          <w:szCs w:val="18"/>
        </w:rPr>
        <w:t>Strategies</w:t>
      </w:r>
      <w:proofErr w:type="spellEnd"/>
      <w:r w:rsidRPr="0014213E">
        <w:rPr>
          <w:i/>
          <w:iCs/>
          <w:szCs w:val="18"/>
        </w:rPr>
        <w:t xml:space="preserve"> </w:t>
      </w:r>
      <w:r w:rsidR="00905672">
        <w:rPr>
          <w:i/>
          <w:iCs/>
          <w:szCs w:val="18"/>
        </w:rPr>
        <w:t>−</w:t>
      </w:r>
      <w:r w:rsidRPr="0014213E">
        <w:rPr>
          <w:i/>
          <w:iCs/>
          <w:szCs w:val="18"/>
        </w:rPr>
        <w:t xml:space="preserve"> Intimidation and </w:t>
      </w:r>
      <w:proofErr w:type="spellStart"/>
      <w:r w:rsidRPr="0014213E">
        <w:rPr>
          <w:i/>
          <w:iCs/>
          <w:szCs w:val="18"/>
        </w:rPr>
        <w:t>Targeted</w:t>
      </w:r>
      <w:proofErr w:type="spellEnd"/>
      <w:r w:rsidRPr="0014213E">
        <w:rPr>
          <w:i/>
          <w:iCs/>
          <w:szCs w:val="18"/>
        </w:rPr>
        <w:t xml:space="preserve"> Violence </w:t>
      </w:r>
      <w:proofErr w:type="spellStart"/>
      <w:r w:rsidRPr="0014213E">
        <w:rPr>
          <w:i/>
          <w:iCs/>
          <w:szCs w:val="18"/>
        </w:rPr>
        <w:t>against</w:t>
      </w:r>
      <w:proofErr w:type="spellEnd"/>
      <w:r w:rsidRPr="0014213E">
        <w:rPr>
          <w:i/>
          <w:iCs/>
          <w:szCs w:val="18"/>
        </w:rPr>
        <w:t xml:space="preserve"> Afghans</w:t>
      </w:r>
      <w:r w:rsidRPr="009F0215">
        <w:t>, décembre 2012.</w:t>
      </w:r>
    </w:p>
  </w:footnote>
  <w:footnote w:id="10">
    <w:p w:rsidR="00ED435F" w:rsidRPr="009F0215" w:rsidRDefault="00ED435F" w:rsidP="00457C99">
      <w:pPr>
        <w:pStyle w:val="Notedebasdepage"/>
      </w:pPr>
      <w:r w:rsidRPr="009F0215">
        <w:tab/>
      </w:r>
      <w:r w:rsidRPr="000060F8">
        <w:rPr>
          <w:rStyle w:val="Appelnotedebasdep"/>
        </w:rPr>
        <w:footnoteRef/>
      </w:r>
      <w:r w:rsidRPr="009F0215">
        <w:tab/>
        <w:t>Ibid.</w:t>
      </w:r>
    </w:p>
  </w:footnote>
  <w:footnote w:id="11">
    <w:p w:rsidR="00ED435F" w:rsidRPr="009F0215" w:rsidRDefault="00ED435F" w:rsidP="00457C99">
      <w:pPr>
        <w:pStyle w:val="Notedebasdepage"/>
      </w:pPr>
      <w:r w:rsidRPr="009F0215">
        <w:tab/>
      </w:r>
      <w:r w:rsidRPr="000060F8">
        <w:rPr>
          <w:rStyle w:val="Appelnotedebasdep"/>
        </w:rPr>
        <w:footnoteRef/>
      </w:r>
      <w:r w:rsidRPr="009F0215">
        <w:tab/>
        <w:t xml:space="preserve">L’auteur </w:t>
      </w:r>
      <w:r>
        <w:t>renvoie aux n</w:t>
      </w:r>
      <w:r w:rsidRPr="009F0215">
        <w:t>ote</w:t>
      </w:r>
      <w:r>
        <w:t>s</w:t>
      </w:r>
      <w:r w:rsidRPr="009F0215">
        <w:t xml:space="preserve"> verbale</w:t>
      </w:r>
      <w:r>
        <w:t>s</w:t>
      </w:r>
      <w:r w:rsidRPr="009F0215">
        <w:t xml:space="preserve"> de l’ambassade d’Afghanistan en Norvège datée</w:t>
      </w:r>
      <w:r>
        <w:t>s</w:t>
      </w:r>
      <w:r w:rsidRPr="009F0215">
        <w:t xml:space="preserve"> d</w:t>
      </w:r>
      <w:r>
        <w:t>es</w:t>
      </w:r>
      <w:r w:rsidRPr="009F0215">
        <w:t xml:space="preserve"> 26 février et 2 mars 2015 appelant à l’arrêt de toutes les expulsions vers l’Afghanistan.</w:t>
      </w:r>
    </w:p>
  </w:footnote>
  <w:footnote w:id="12">
    <w:p w:rsidR="00ED435F" w:rsidRPr="009F0215" w:rsidRDefault="00ED435F" w:rsidP="00457C99">
      <w:pPr>
        <w:pStyle w:val="Notedebasdepage"/>
      </w:pPr>
      <w:r w:rsidRPr="009F0215">
        <w:tab/>
      </w:r>
      <w:r w:rsidRPr="000060F8">
        <w:rPr>
          <w:rStyle w:val="Appelnotedebasdep"/>
        </w:rPr>
        <w:footnoteRef/>
      </w:r>
      <w:r w:rsidRPr="009F0215">
        <w:tab/>
        <w:t xml:space="preserve">Voir, par exemple, </w:t>
      </w:r>
      <w:r w:rsidRPr="009F0215">
        <w:rPr>
          <w:i/>
        </w:rPr>
        <w:t>Ahmed</w:t>
      </w:r>
      <w:r w:rsidRPr="009F0215">
        <w:t xml:space="preserve"> </w:t>
      </w:r>
      <w:r w:rsidRPr="009F0215">
        <w:rPr>
          <w:i/>
        </w:rPr>
        <w:t>c.</w:t>
      </w:r>
      <w:r w:rsidRPr="009F0215">
        <w:t xml:space="preserve"> </w:t>
      </w:r>
      <w:r w:rsidRPr="009F0215">
        <w:rPr>
          <w:i/>
        </w:rPr>
        <w:t>Danemark</w:t>
      </w:r>
      <w:r w:rsidRPr="009F0215">
        <w:t xml:space="preserve"> (CCPR/C/117/D/2379/2014), par.</w:t>
      </w:r>
      <w:r w:rsidR="005A5B2F">
        <w:t> </w:t>
      </w:r>
      <w:r w:rsidRPr="009F0215">
        <w:t>4.1 à 4.3.</w:t>
      </w:r>
    </w:p>
  </w:footnote>
  <w:footnote w:id="13">
    <w:p w:rsidR="00ED435F" w:rsidRPr="009F0215" w:rsidRDefault="00ED435F" w:rsidP="00457C99">
      <w:pPr>
        <w:pStyle w:val="Notedebasdepage"/>
      </w:pPr>
      <w:r w:rsidRPr="009F0215">
        <w:tab/>
      </w:r>
      <w:r w:rsidRPr="000060F8">
        <w:rPr>
          <w:rStyle w:val="Appelnotedebasdep"/>
        </w:rPr>
        <w:footnoteRef/>
      </w:r>
      <w:r w:rsidRPr="009F0215">
        <w:rPr>
          <w:rStyle w:val="Appelnotedebasdep"/>
        </w:rPr>
        <w:tab/>
      </w:r>
      <w:r w:rsidRPr="009F0215">
        <w:t>L’État partie informe le Comité qu’</w:t>
      </w:r>
      <w:r>
        <w:t xml:space="preserve">aux termes </w:t>
      </w:r>
      <w:r w:rsidRPr="009F0215">
        <w:t>de l’article</w:t>
      </w:r>
      <w:r w:rsidR="005A5B2F">
        <w:t> </w:t>
      </w:r>
      <w:r w:rsidRPr="009F0215">
        <w:t>7</w:t>
      </w:r>
      <w:r>
        <w:t>, par.</w:t>
      </w:r>
      <w:r w:rsidRPr="009F0215">
        <w:t> 1</w:t>
      </w:r>
      <w:r w:rsidR="005A5B2F">
        <w:t>,</w:t>
      </w:r>
      <w:r w:rsidRPr="009F0215">
        <w:t xml:space="preserve"> de la loi sur les étrangers, un permis de </w:t>
      </w:r>
      <w:r>
        <w:t>séjour</w:t>
      </w:r>
      <w:r w:rsidRPr="009F0215">
        <w:t xml:space="preserve"> est délivré sur demande à un étranger si celui-ci </w:t>
      </w:r>
      <w:r>
        <w:t xml:space="preserve">relève de </w:t>
      </w:r>
      <w:r w:rsidRPr="009F0215">
        <w:t>la Convention relative au statut des réfugiés</w:t>
      </w:r>
      <w:r>
        <w:t xml:space="preserve">. Aux termes du paragraphe 2 </w:t>
      </w:r>
      <w:r w:rsidRPr="009F0215">
        <w:t xml:space="preserve">de l’article 7, un permis de </w:t>
      </w:r>
      <w:r>
        <w:t xml:space="preserve">séjour </w:t>
      </w:r>
      <w:r w:rsidRPr="009F0215">
        <w:t xml:space="preserve">est délivré à un étranger si </w:t>
      </w:r>
      <w:r>
        <w:t xml:space="preserve">celui-ci </w:t>
      </w:r>
      <w:r w:rsidRPr="009F0215">
        <w:t>risque d’être condamné à mort ou soumis à la torture ou à des mauvais traitements.</w:t>
      </w:r>
    </w:p>
  </w:footnote>
  <w:footnote w:id="14">
    <w:p w:rsidR="00ED435F" w:rsidRPr="009F0215" w:rsidRDefault="00ED435F" w:rsidP="00457C99">
      <w:pPr>
        <w:pStyle w:val="Notedebasdepage"/>
      </w:pPr>
      <w:r w:rsidRPr="009F0215">
        <w:tab/>
      </w:r>
      <w:r w:rsidRPr="000060F8">
        <w:rPr>
          <w:rStyle w:val="Appelnotedebasdep"/>
        </w:rPr>
        <w:footnoteRef/>
      </w:r>
      <w:r w:rsidRPr="009F0215">
        <w:tab/>
        <w:t xml:space="preserve">Arrêt du 9 </w:t>
      </w:r>
      <w:r>
        <w:t>avril</w:t>
      </w:r>
      <w:r w:rsidRPr="009F0215">
        <w:t xml:space="preserve"> 2013</w:t>
      </w:r>
      <w:r w:rsidR="006E4422">
        <w:t xml:space="preserve"> (</w:t>
      </w:r>
      <w:r w:rsidRPr="009F0215">
        <w:t xml:space="preserve">requêtes </w:t>
      </w:r>
      <w:r w:rsidRPr="009F0215">
        <w:rPr>
          <w:rFonts w:eastAsia="MS Mincho"/>
        </w:rPr>
        <w:t>n</w:t>
      </w:r>
      <w:r w:rsidRPr="009F0215">
        <w:rPr>
          <w:rFonts w:eastAsia="MS Mincho"/>
          <w:vertAlign w:val="superscript"/>
        </w:rPr>
        <w:t>os</w:t>
      </w:r>
      <w:r w:rsidRPr="009F0215">
        <w:t> 70073/10 et 445</w:t>
      </w:r>
      <w:r>
        <w:t>3</w:t>
      </w:r>
      <w:r w:rsidRPr="009F0215">
        <w:t>9/11</w:t>
      </w:r>
      <w:r w:rsidR="006E4422">
        <w:t>)</w:t>
      </w:r>
      <w:r w:rsidRPr="009F0215">
        <w:t>.</w:t>
      </w:r>
    </w:p>
  </w:footnote>
  <w:footnote w:id="15">
    <w:p w:rsidR="00ED435F" w:rsidRPr="009F0215" w:rsidRDefault="00ED435F" w:rsidP="00457C99">
      <w:pPr>
        <w:pStyle w:val="Notedebasdepage"/>
      </w:pPr>
      <w:r w:rsidRPr="009F0215">
        <w:tab/>
      </w:r>
      <w:r w:rsidRPr="000060F8">
        <w:rPr>
          <w:rStyle w:val="Appelnotedebasdep"/>
        </w:rPr>
        <w:footnoteRef/>
      </w:r>
      <w:r w:rsidRPr="009F0215">
        <w:tab/>
        <w:t xml:space="preserve">Il a été souligné qu’à l’audience de la Commission, le requérant a déclaré que recevoir ce genre de lettres faisait partie </w:t>
      </w:r>
      <w:r>
        <w:t xml:space="preserve">de son </w:t>
      </w:r>
      <w:r w:rsidRPr="009F0215">
        <w:t xml:space="preserve">métier et que c’était un risque qu’il avait accepté. Le fait que sa famille n’ait </w:t>
      </w:r>
      <w:r>
        <w:t xml:space="preserve">pas été contactée ni </w:t>
      </w:r>
      <w:r w:rsidRPr="009F0215">
        <w:t xml:space="preserve">menacée par les Taliban et </w:t>
      </w:r>
      <w:r>
        <w:t>qu’</w:t>
      </w:r>
      <w:r w:rsidRPr="009F0215">
        <w:t xml:space="preserve">après son enlèvement, l’auteur </w:t>
      </w:r>
      <w:r>
        <w:t xml:space="preserve">soit apparu </w:t>
      </w:r>
      <w:r w:rsidRPr="009F0215">
        <w:t>comme un</w:t>
      </w:r>
      <w:r>
        <w:t xml:space="preserve"> individu insignifiant </w:t>
      </w:r>
      <w:r w:rsidRPr="009F0215">
        <w:t>aux yeux des Taliban</w:t>
      </w:r>
      <w:r>
        <w:t>,</w:t>
      </w:r>
      <w:r w:rsidRPr="009F0215">
        <w:t xml:space="preserve"> qui n’ont pas découvert sa véritable identité malgré son travail sur la base </w:t>
      </w:r>
      <w:r>
        <w:rPr>
          <w:lang w:val="fr-FR"/>
        </w:rPr>
        <w:t>des États-Unis</w:t>
      </w:r>
      <w:r w:rsidRPr="009F0215">
        <w:t>, corrobore cette déclaration.</w:t>
      </w:r>
    </w:p>
  </w:footnote>
  <w:footnote w:id="16">
    <w:p w:rsidR="00ED435F" w:rsidRPr="009F0215" w:rsidRDefault="00ED435F" w:rsidP="00457C99">
      <w:pPr>
        <w:pStyle w:val="Notedebasdepage"/>
      </w:pPr>
      <w:r w:rsidRPr="009F0215">
        <w:tab/>
      </w:r>
      <w:r w:rsidRPr="000060F8">
        <w:rPr>
          <w:rStyle w:val="Appelnotedebasdep"/>
        </w:rPr>
        <w:footnoteRef/>
      </w:r>
      <w:r w:rsidRPr="009F0215">
        <w:tab/>
        <w:t xml:space="preserve">La Commission </w:t>
      </w:r>
      <w:r>
        <w:rPr>
          <w:lang w:val="fr-FR"/>
        </w:rPr>
        <w:t xml:space="preserve">de recours des réfugiés </w:t>
      </w:r>
      <w:r w:rsidRPr="009F0215">
        <w:t xml:space="preserve">n’a pu considérer comme établi que le père de l’auteur, après l’entrée de </w:t>
      </w:r>
      <w:r>
        <w:t xml:space="preserve">celui-ci </w:t>
      </w:r>
      <w:r w:rsidRPr="009F0215">
        <w:t xml:space="preserve">au Danemark en 2014, avait reçu une </w:t>
      </w:r>
      <w:r>
        <w:t xml:space="preserve">nouvelle </w:t>
      </w:r>
      <w:r w:rsidRPr="009F0215">
        <w:t>lettre de menace</w:t>
      </w:r>
      <w:r>
        <w:t>s</w:t>
      </w:r>
      <w:r w:rsidRPr="009F0215">
        <w:t xml:space="preserve">, enjoignant au requérant d’arrêter de travailler pour les </w:t>
      </w:r>
      <w:r>
        <w:t xml:space="preserve">forces </w:t>
      </w:r>
      <w:r>
        <w:rPr>
          <w:lang w:val="fr-FR"/>
        </w:rPr>
        <w:t>des États-Unis</w:t>
      </w:r>
      <w:r w:rsidRPr="009F0215">
        <w:t xml:space="preserve">. La Commission a souligné </w:t>
      </w:r>
      <w:r>
        <w:t xml:space="preserve">à cet égard </w:t>
      </w:r>
      <w:r w:rsidRPr="009F0215">
        <w:t xml:space="preserve">qu’il paraissait peu vraisemblable que les Taliban ne sachent pas que le requérant avait arrêté de travailler pour les forces </w:t>
      </w:r>
      <w:r>
        <w:rPr>
          <w:lang w:val="fr-FR"/>
        </w:rPr>
        <w:t xml:space="preserve">des États-Unis </w:t>
      </w:r>
      <w:r w:rsidRPr="009F0215">
        <w:t xml:space="preserve">deux ans </w:t>
      </w:r>
      <w:r>
        <w:t>auparavant</w:t>
      </w:r>
      <w:r w:rsidRPr="009F0215">
        <w:t>.</w:t>
      </w:r>
    </w:p>
  </w:footnote>
  <w:footnote w:id="17">
    <w:p w:rsidR="00ED435F" w:rsidRPr="009F0215" w:rsidRDefault="00ED435F" w:rsidP="00457C99">
      <w:pPr>
        <w:pStyle w:val="Notedebasdepage"/>
      </w:pPr>
      <w:r w:rsidRPr="009F0215">
        <w:tab/>
      </w:r>
      <w:r w:rsidRPr="000060F8">
        <w:rPr>
          <w:rStyle w:val="Appelnotedebasdep"/>
        </w:rPr>
        <w:footnoteRef/>
      </w:r>
      <w:r w:rsidRPr="009F0215">
        <w:tab/>
        <w:t xml:space="preserve">Arrêt du 23 août 2016 </w:t>
      </w:r>
      <w:r>
        <w:t>(</w:t>
      </w:r>
      <w:r w:rsidRPr="009F0215">
        <w:t xml:space="preserve">requête </w:t>
      </w:r>
      <w:r w:rsidRPr="009F0215">
        <w:rPr>
          <w:rFonts w:eastAsia="MS Mincho"/>
        </w:rPr>
        <w:t>n</w:t>
      </w:r>
      <w:r w:rsidRPr="009F0215">
        <w:rPr>
          <w:rFonts w:eastAsia="MS Mincho"/>
          <w:vertAlign w:val="superscript"/>
        </w:rPr>
        <w:t>o</w:t>
      </w:r>
      <w:r w:rsidRPr="009F0215">
        <w:t> 59166/12</w:t>
      </w:r>
      <w:r>
        <w:t>)</w:t>
      </w:r>
      <w:r w:rsidRPr="009F0215">
        <w:t xml:space="preserve">, par. 102 : « La Cour considère que l’existence de mauvais traitements antérieurs </w:t>
      </w:r>
      <w:bookmarkStart w:id="4" w:name="_Hlk8398065"/>
      <w:r w:rsidRPr="009F0215">
        <w:t xml:space="preserve">fournit un indice solide d’un risque réel futur qu’un requérant subisse </w:t>
      </w:r>
      <w:bookmarkEnd w:id="4"/>
      <w:r w:rsidRPr="009F0215">
        <w:t>des traitements contraires à l’article 3, dans le cas où il a livré un récit des faits globalement cohérent et crédible qui concorde avec les informations provenant de sources fiables et objectives sur la situation générale dans le pays concerné. Dans ces conditions, c’est au Gouvernement qu’il incombe de dissiper les doutes éventuels au sujet de ce risque. ».</w:t>
      </w:r>
    </w:p>
  </w:footnote>
  <w:footnote w:id="18">
    <w:p w:rsidR="00ED435F" w:rsidRPr="000060F8" w:rsidRDefault="00ED435F" w:rsidP="00457C99">
      <w:pPr>
        <w:pStyle w:val="Notedebasdepage"/>
        <w:rPr>
          <w:lang w:val="fr-FR"/>
        </w:rPr>
      </w:pPr>
      <w:r w:rsidRPr="009F0215">
        <w:tab/>
      </w:r>
      <w:r w:rsidRPr="000060F8">
        <w:rPr>
          <w:rStyle w:val="Appelnotedebasdep"/>
        </w:rPr>
        <w:footnoteRef/>
      </w:r>
      <w:r w:rsidRPr="000060F8">
        <w:rPr>
          <w:lang w:val="fr-FR"/>
        </w:rPr>
        <w:tab/>
        <w:t xml:space="preserve">Commission de l’immigration et du statut de réfugié du Canada, </w:t>
      </w:r>
      <w:r>
        <w:rPr>
          <w:lang w:val="fr-FR"/>
        </w:rPr>
        <w:t>« A</w:t>
      </w:r>
      <w:r w:rsidRPr="000060F8">
        <w:rPr>
          <w:lang w:val="fr-FR"/>
        </w:rPr>
        <w:t>fghanistan</w:t>
      </w:r>
      <w:r>
        <w:rPr>
          <w:lang w:val="fr-FR"/>
        </w:rPr>
        <w:t> </w:t>
      </w:r>
      <w:r w:rsidRPr="000060F8">
        <w:rPr>
          <w:lang w:val="fr-FR"/>
        </w:rPr>
        <w:t>: information</w:t>
      </w:r>
      <w:r>
        <w:rPr>
          <w:lang w:val="fr-FR"/>
        </w:rPr>
        <w:t>s</w:t>
      </w:r>
      <w:r w:rsidRPr="000060F8">
        <w:rPr>
          <w:lang w:val="fr-FR"/>
        </w:rPr>
        <w:t xml:space="preserve"> indiquant si les </w:t>
      </w:r>
      <w:r w:rsidR="00F27FDC">
        <w:rPr>
          <w:lang w:val="fr-FR"/>
        </w:rPr>
        <w:t>T</w:t>
      </w:r>
      <w:r w:rsidRPr="000060F8">
        <w:rPr>
          <w:lang w:val="fr-FR"/>
        </w:rPr>
        <w:t>aliban ont la capacité de poursuivre des personnes qui ont déménagé dans une autre région</w:t>
      </w:r>
      <w:r>
        <w:rPr>
          <w:lang w:val="fr-FR"/>
        </w:rPr>
        <w:t> </w:t>
      </w:r>
      <w:r w:rsidRPr="000060F8">
        <w:rPr>
          <w:lang w:val="fr-FR"/>
        </w:rPr>
        <w:t>; information</w:t>
      </w:r>
      <w:r>
        <w:rPr>
          <w:lang w:val="fr-FR"/>
        </w:rPr>
        <w:t>s</w:t>
      </w:r>
      <w:r w:rsidRPr="000060F8">
        <w:rPr>
          <w:lang w:val="fr-FR"/>
        </w:rPr>
        <w:t xml:space="preserve"> sur leur capacité de retrouver des personnes à long terme</w:t>
      </w:r>
      <w:r>
        <w:rPr>
          <w:lang w:val="fr-FR"/>
        </w:rPr>
        <w:t> </w:t>
      </w:r>
      <w:r w:rsidRPr="000060F8">
        <w:rPr>
          <w:lang w:val="fr-FR"/>
        </w:rPr>
        <w:t xml:space="preserve">; information sur la capacité des </w:t>
      </w:r>
      <w:r w:rsidR="00F27FDC">
        <w:rPr>
          <w:lang w:val="fr-FR"/>
        </w:rPr>
        <w:t>T</w:t>
      </w:r>
      <w:r w:rsidRPr="000060F8">
        <w:rPr>
          <w:lang w:val="fr-FR"/>
        </w:rPr>
        <w:t xml:space="preserve">aliban </w:t>
      </w:r>
      <w:r>
        <w:rPr>
          <w:lang w:val="fr-FR"/>
        </w:rPr>
        <w:t>de</w:t>
      </w:r>
      <w:r w:rsidRPr="000060F8">
        <w:rPr>
          <w:lang w:val="fr-FR"/>
        </w:rPr>
        <w:t xml:space="preserve"> réaliser des assassinats ciblés (2012-janvier</w:t>
      </w:r>
      <w:r w:rsidR="00F27FDC">
        <w:rPr>
          <w:lang w:val="fr-FR"/>
        </w:rPr>
        <w:t xml:space="preserve"> </w:t>
      </w:r>
      <w:r w:rsidRPr="000060F8">
        <w:rPr>
          <w:lang w:val="fr-FR"/>
        </w:rPr>
        <w:t>2016)</w:t>
      </w:r>
      <w:r>
        <w:rPr>
          <w:lang w:val="fr-FR"/>
        </w:rPr>
        <w:t> »</w:t>
      </w:r>
      <w:r w:rsidRPr="000060F8">
        <w:rPr>
          <w:lang w:val="fr-FR"/>
        </w:rPr>
        <w:t>, 15 février 2016 ; et Bureau européen d’appui en matière d’asile,</w:t>
      </w:r>
      <w:r w:rsidRPr="000060F8">
        <w:rPr>
          <w:rFonts w:eastAsia="MS Mincho"/>
          <w:sz w:val="20"/>
          <w:szCs w:val="18"/>
          <w:lang w:val="fr-FR"/>
        </w:rPr>
        <w:t xml:space="preserve"> </w:t>
      </w:r>
      <w:r w:rsidRPr="000060F8">
        <w:rPr>
          <w:i/>
          <w:iCs/>
          <w:lang w:val="fr-FR"/>
        </w:rPr>
        <w:t>Country of Origin Information Report – Afghanistan Security Situation</w:t>
      </w:r>
      <w:r w:rsidRPr="000060F8">
        <w:rPr>
          <w:lang w:val="fr-FR"/>
        </w:rPr>
        <w:t>, novembre 2016.</w:t>
      </w:r>
    </w:p>
  </w:footnote>
  <w:footnote w:id="19">
    <w:p w:rsidR="00ED435F" w:rsidRPr="009F0215" w:rsidRDefault="00ED435F" w:rsidP="00457C99">
      <w:pPr>
        <w:pStyle w:val="Notedebasdepage"/>
      </w:pPr>
      <w:r w:rsidRPr="000060F8">
        <w:rPr>
          <w:lang w:val="fr-FR"/>
        </w:rPr>
        <w:tab/>
      </w:r>
      <w:r w:rsidRPr="000060F8">
        <w:rPr>
          <w:rStyle w:val="Appelnotedebasdep"/>
        </w:rPr>
        <w:footnoteRef/>
      </w:r>
      <w:r w:rsidRPr="009F0215">
        <w:tab/>
      </w:r>
      <w:r w:rsidRPr="009F0215">
        <w:rPr>
          <w:i/>
        </w:rPr>
        <w:t xml:space="preserve">A. S. M et R. A. H c. Danemark </w:t>
      </w:r>
      <w:r w:rsidRPr="009F0215">
        <w:t>(CCPR/C/11</w:t>
      </w:r>
      <w:r>
        <w:t>7</w:t>
      </w:r>
      <w:r w:rsidRPr="009F0215">
        <w:t>/D/2378/2014), par. 8.3 et 8.6.</w:t>
      </w:r>
    </w:p>
  </w:footnote>
  <w:footnote w:id="20">
    <w:p w:rsidR="00ED435F" w:rsidRPr="009F0215" w:rsidRDefault="00ED435F" w:rsidP="00457C99">
      <w:pPr>
        <w:pStyle w:val="Notedebasdepage"/>
      </w:pPr>
      <w:r w:rsidRPr="009F0215">
        <w:tab/>
      </w:r>
      <w:r w:rsidRPr="000060F8">
        <w:rPr>
          <w:rStyle w:val="Appelnotedebasdep"/>
        </w:rPr>
        <w:footnoteRef/>
      </w:r>
      <w:r w:rsidRPr="009F0215">
        <w:tab/>
      </w:r>
      <w:r>
        <w:t xml:space="preserve">Outre les </w:t>
      </w:r>
      <w:r w:rsidRPr="009F0215">
        <w:t xml:space="preserve">rapports qu’il a invoqués </w:t>
      </w:r>
      <w:r>
        <w:t>précédemment</w:t>
      </w:r>
      <w:r w:rsidRPr="009F0215">
        <w:t xml:space="preserve">, l’auteur s’appuie également sur les rapports </w:t>
      </w:r>
      <w:r>
        <w:t>suivants</w:t>
      </w:r>
      <w:r w:rsidRPr="009F0215">
        <w:t> : « Afghanistan</w:t>
      </w:r>
      <w:r w:rsidR="0079287E">
        <w:t> </w:t>
      </w:r>
      <w:r w:rsidRPr="009F0215">
        <w:t xml:space="preserve">: </w:t>
      </w:r>
      <w:proofErr w:type="spellStart"/>
      <w:r w:rsidRPr="009F0215">
        <w:t>Taliban’s</w:t>
      </w:r>
      <w:proofErr w:type="spellEnd"/>
      <w:r w:rsidRPr="009F0215">
        <w:t xml:space="preserve"> Intelligence and the intimidation </w:t>
      </w:r>
      <w:proofErr w:type="spellStart"/>
      <w:r w:rsidRPr="009F0215">
        <w:t>campaign</w:t>
      </w:r>
      <w:proofErr w:type="spellEnd"/>
      <w:r w:rsidRPr="009F0215">
        <w:t> »</w:t>
      </w:r>
      <w:r>
        <w:t>,</w:t>
      </w:r>
      <w:r w:rsidRPr="009F0215">
        <w:t xml:space="preserve"> Centre norvégien d’information sur les pays d’origine, 23 août 2017, disponible </w:t>
      </w:r>
      <w:r>
        <w:t xml:space="preserve">à l’adresse </w:t>
      </w:r>
      <w:hyperlink r:id="rId1" w:history="1">
        <w:r w:rsidRPr="0079287E">
          <w:rPr>
            <w:rStyle w:val="Lienhypertextesuivivisit"/>
          </w:rPr>
          <w:t>www.landi</w:t>
        </w:r>
        <w:r w:rsidRPr="0079287E">
          <w:rPr>
            <w:rStyle w:val="Lienhypertextesuivivisit"/>
          </w:rPr>
          <w:t>n</w:t>
        </w:r>
        <w:r w:rsidRPr="0079287E">
          <w:rPr>
            <w:rStyle w:val="Lienhypertextesuivivisit"/>
          </w:rPr>
          <w:t>fo.n</w:t>
        </w:r>
        <w:r w:rsidRPr="0079287E">
          <w:rPr>
            <w:rStyle w:val="Lienhypertextesuivivisit"/>
          </w:rPr>
          <w:t>o/asset/35</w:t>
        </w:r>
        <w:r w:rsidRPr="0079287E">
          <w:rPr>
            <w:rStyle w:val="Lienhypertextesuivivisit"/>
          </w:rPr>
          <w:t>9</w:t>
        </w:r>
        <w:r w:rsidRPr="0079287E">
          <w:rPr>
            <w:rStyle w:val="Lienhypertextesuivivisit"/>
          </w:rPr>
          <w:t>0/</w:t>
        </w:r>
        <w:r w:rsidRPr="0079287E">
          <w:rPr>
            <w:rStyle w:val="Lienhypertextesuivivisit"/>
          </w:rPr>
          <w:t>1</w:t>
        </w:r>
        <w:r w:rsidRPr="0079287E">
          <w:rPr>
            <w:rStyle w:val="Lienhypertextesuivivisit"/>
          </w:rPr>
          <w:t>/3</w:t>
        </w:r>
        <w:r w:rsidRPr="0079287E">
          <w:rPr>
            <w:rStyle w:val="Lienhypertextesuivivisit"/>
          </w:rPr>
          <w:t>5</w:t>
        </w:r>
        <w:r w:rsidRPr="0079287E">
          <w:rPr>
            <w:rStyle w:val="Lienhypertextesuivivisit"/>
          </w:rPr>
          <w:t>90_1.pdf</w:t>
        </w:r>
      </w:hyperlink>
      <w:r w:rsidRPr="009F0215">
        <w:rPr>
          <w:szCs w:val="18"/>
        </w:rPr>
        <w:t> </w:t>
      </w:r>
      <w:r w:rsidRPr="009F0215">
        <w:t>; « Afghanistan</w:t>
      </w:r>
      <w:r w:rsidR="0079287E">
        <w:t> </w:t>
      </w:r>
      <w:r w:rsidRPr="009F0215">
        <w:t xml:space="preserve">: </w:t>
      </w:r>
      <w:proofErr w:type="spellStart"/>
      <w:r w:rsidRPr="009F0215">
        <w:t>Taliban’s</w:t>
      </w:r>
      <w:proofErr w:type="spellEnd"/>
      <w:r w:rsidRPr="009F0215">
        <w:t xml:space="preserve"> </w:t>
      </w:r>
      <w:proofErr w:type="spellStart"/>
      <w:r w:rsidRPr="009F0215">
        <w:t>organization</w:t>
      </w:r>
      <w:proofErr w:type="spellEnd"/>
      <w:r w:rsidRPr="009F0215">
        <w:t xml:space="preserve"> and structure »</w:t>
      </w:r>
      <w:r>
        <w:t>,</w:t>
      </w:r>
      <w:r w:rsidRPr="009F0215">
        <w:t xml:space="preserve"> Centre norvégien d’information sur les pays d’origine, 23 août 2017, disponible </w:t>
      </w:r>
      <w:r>
        <w:t xml:space="preserve">à l’adresse </w:t>
      </w:r>
      <w:hyperlink r:id="rId2" w:history="1">
        <w:r w:rsidRPr="0079287E">
          <w:rPr>
            <w:rStyle w:val="Lienhypertextesuivivisit"/>
          </w:rPr>
          <w:t>www.la</w:t>
        </w:r>
        <w:r w:rsidRPr="0079287E">
          <w:rPr>
            <w:rStyle w:val="Lienhypertextesuivivisit"/>
          </w:rPr>
          <w:t>n</w:t>
        </w:r>
        <w:r w:rsidRPr="0079287E">
          <w:rPr>
            <w:rStyle w:val="Lienhypertextesuivivisit"/>
          </w:rPr>
          <w:t>dinfo.no/asset/3589/1/3589_1.pdf</w:t>
        </w:r>
      </w:hyperlink>
      <w:r w:rsidRPr="009F0215">
        <w:rPr>
          <w:szCs w:val="18"/>
        </w:rPr>
        <w:t> </w:t>
      </w:r>
      <w:r w:rsidRPr="009F0215">
        <w:t xml:space="preserve">; </w:t>
      </w:r>
      <w:r>
        <w:t xml:space="preserve">et </w:t>
      </w:r>
      <w:r w:rsidRPr="009F0215">
        <w:t>« </w:t>
      </w:r>
      <w:proofErr w:type="spellStart"/>
      <w:r w:rsidRPr="009F0215">
        <w:t>Rättsligt</w:t>
      </w:r>
      <w:proofErr w:type="spellEnd"/>
      <w:r w:rsidRPr="009F0215">
        <w:t xml:space="preserve"> </w:t>
      </w:r>
      <w:proofErr w:type="spellStart"/>
      <w:r w:rsidRPr="009F0215">
        <w:t>ställningstagande</w:t>
      </w:r>
      <w:proofErr w:type="spellEnd"/>
      <w:r w:rsidRPr="009F0215">
        <w:t xml:space="preserve"> </w:t>
      </w:r>
      <w:proofErr w:type="spellStart"/>
      <w:r w:rsidRPr="009F0215">
        <w:t>angående</w:t>
      </w:r>
      <w:proofErr w:type="spellEnd"/>
      <w:r w:rsidRPr="009F0215">
        <w:t xml:space="preserve"> </w:t>
      </w:r>
      <w:proofErr w:type="spellStart"/>
      <w:r w:rsidRPr="009F0215">
        <w:t>säkerhetsläget</w:t>
      </w:r>
      <w:proofErr w:type="spellEnd"/>
      <w:r w:rsidRPr="009F0215">
        <w:t xml:space="preserve"> i Afghanistan », </w:t>
      </w:r>
      <w:proofErr w:type="spellStart"/>
      <w:r w:rsidRPr="009F0215">
        <w:t>Migrationsverket</w:t>
      </w:r>
      <w:proofErr w:type="spellEnd"/>
      <w:r>
        <w:t>,</w:t>
      </w:r>
      <w:r w:rsidRPr="009F0215">
        <w:t xml:space="preserve"> 29 août 2017, disponible </w:t>
      </w:r>
      <w:r>
        <w:t xml:space="preserve">à l’adresse </w:t>
      </w:r>
      <w:bookmarkStart w:id="5" w:name="_Hlk24645410"/>
      <w:r w:rsidR="00B72E52">
        <w:fldChar w:fldCharType="begin"/>
      </w:r>
      <w:r w:rsidR="00B72E52">
        <w:instrText xml:space="preserve"> HYPERLINK "https://www.ecoi.net/en/file/local/1408296/1226_1505138361_170829550.pdf" </w:instrText>
      </w:r>
      <w:r w:rsidR="00B72E52">
        <w:fldChar w:fldCharType="separate"/>
      </w:r>
      <w:r w:rsidR="00B72E52" w:rsidRPr="00B72E52">
        <w:rPr>
          <w:rStyle w:val="Lienhypertexte"/>
        </w:rPr>
        <w:t>https://www.ecoi.net/en/</w:t>
      </w:r>
      <w:r w:rsidR="00B72E52">
        <w:rPr>
          <w:rStyle w:val="Lienhypertexte"/>
        </w:rPr>
        <w:t xml:space="preserve"> </w:t>
      </w:r>
      <w:r w:rsidR="00B72E52" w:rsidRPr="00B72E52">
        <w:rPr>
          <w:rStyle w:val="Lienhypertexte"/>
        </w:rPr>
        <w:t>file/local/1408296/1226_1505138361_170829550.pdf</w:t>
      </w:r>
      <w:bookmarkEnd w:id="5"/>
      <w:r w:rsidR="00B72E52">
        <w:fldChar w:fldCharType="end"/>
      </w:r>
      <w:r w:rsidRPr="009F0215">
        <w:t>.</w:t>
      </w:r>
    </w:p>
  </w:footnote>
  <w:footnote w:id="21">
    <w:p w:rsidR="00ED435F" w:rsidRPr="009F0215" w:rsidRDefault="00ED435F" w:rsidP="00457C99">
      <w:pPr>
        <w:pStyle w:val="Notedebasdepage"/>
      </w:pPr>
      <w:r w:rsidRPr="009F0215">
        <w:tab/>
      </w:r>
      <w:r w:rsidRPr="000060F8">
        <w:rPr>
          <w:rStyle w:val="Appelnotedebasdep"/>
        </w:rPr>
        <w:footnoteRef/>
      </w:r>
      <w:r w:rsidRPr="009F0215">
        <w:tab/>
      </w:r>
      <w:r>
        <w:t>P</w:t>
      </w:r>
      <w:r w:rsidRPr="009F0215">
        <w:t>ar. 12</w:t>
      </w:r>
      <w:r>
        <w:t xml:space="preserve"> de l’observation générale</w:t>
      </w:r>
      <w:r w:rsidRPr="009F0215">
        <w:t>.</w:t>
      </w:r>
    </w:p>
  </w:footnote>
  <w:footnote w:id="22">
    <w:p w:rsidR="00ED435F" w:rsidRPr="009F0215" w:rsidRDefault="00ED435F" w:rsidP="00457C99">
      <w:pPr>
        <w:pStyle w:val="Notedebasdepage"/>
      </w:pPr>
      <w:r w:rsidRPr="009F0215">
        <w:tab/>
      </w:r>
      <w:r w:rsidRPr="000060F8">
        <w:rPr>
          <w:rStyle w:val="Appelnotedebasdep"/>
        </w:rPr>
        <w:footnoteRef/>
      </w:r>
      <w:r w:rsidRPr="009F0215">
        <w:tab/>
      </w:r>
      <w:r w:rsidRPr="009F0215">
        <w:rPr>
          <w:i/>
        </w:rPr>
        <w:t xml:space="preserve">X c. Danemark </w:t>
      </w:r>
      <w:r w:rsidRPr="009F0215">
        <w:t xml:space="preserve">(CCPR/C/110/D/2007/2010), par. 9.2 ; </w:t>
      </w:r>
      <w:r w:rsidRPr="009F0215">
        <w:rPr>
          <w:i/>
        </w:rPr>
        <w:t xml:space="preserve">A. R. J. c. </w:t>
      </w:r>
      <w:r w:rsidRPr="00B72E52">
        <w:rPr>
          <w:i/>
          <w:iCs/>
        </w:rPr>
        <w:t>Australie</w:t>
      </w:r>
      <w:r w:rsidRPr="009F0215">
        <w:rPr>
          <w:i/>
        </w:rPr>
        <w:t xml:space="preserve"> </w:t>
      </w:r>
      <w:r w:rsidRPr="009F0215">
        <w:rPr>
          <w:iCs/>
        </w:rPr>
        <w:t xml:space="preserve">(CCPR/C/60/D/692/1996), </w:t>
      </w:r>
      <w:r w:rsidRPr="009F0215">
        <w:t>par.</w:t>
      </w:r>
      <w:r w:rsidR="00B72E52">
        <w:t> </w:t>
      </w:r>
      <w:r w:rsidRPr="009F0215">
        <w:t xml:space="preserve">6.6 ; et </w:t>
      </w:r>
      <w:r w:rsidRPr="009F0215">
        <w:rPr>
          <w:i/>
        </w:rPr>
        <w:t>X c. Suède</w:t>
      </w:r>
      <w:r w:rsidRPr="009F0215">
        <w:t xml:space="preserve"> (CCPR/C/103/D/1833/2008), par. 5.18.</w:t>
      </w:r>
    </w:p>
  </w:footnote>
  <w:footnote w:id="23">
    <w:p w:rsidR="00ED435F" w:rsidRPr="009F0215" w:rsidRDefault="00ED435F" w:rsidP="00457C99">
      <w:pPr>
        <w:pStyle w:val="Notedebasdepage"/>
      </w:pPr>
      <w:r w:rsidRPr="009F0215">
        <w:tab/>
      </w:r>
      <w:r w:rsidRPr="000060F8">
        <w:rPr>
          <w:rStyle w:val="Appelnotedebasdep"/>
        </w:rPr>
        <w:footnoteRef/>
      </w:r>
      <w:r w:rsidRPr="009F0215">
        <w:tab/>
      </w:r>
      <w:r w:rsidRPr="009F0215">
        <w:rPr>
          <w:i/>
        </w:rPr>
        <w:t xml:space="preserve">X c. Danemark </w:t>
      </w:r>
      <w:r>
        <w:t>(CCPR/C/110/D/</w:t>
      </w:r>
      <w:r w:rsidRPr="009F0215">
        <w:t>2007/2010</w:t>
      </w:r>
      <w:r>
        <w:t xml:space="preserve">), </w:t>
      </w:r>
      <w:r w:rsidRPr="009F0215">
        <w:t xml:space="preserve">par. 9.2 ; </w:t>
      </w:r>
      <w:r>
        <w:rPr>
          <w:i/>
        </w:rPr>
        <w:t xml:space="preserve">et </w:t>
      </w:r>
      <w:r w:rsidRPr="009F0215">
        <w:rPr>
          <w:i/>
        </w:rPr>
        <w:t>X c. Suède</w:t>
      </w:r>
      <w:r>
        <w:rPr>
          <w:i/>
        </w:rPr>
        <w:t xml:space="preserve"> </w:t>
      </w:r>
      <w:r>
        <w:t>(CCPR/C/103/D/</w:t>
      </w:r>
      <w:r w:rsidRPr="009F0215">
        <w:t>1833/2008</w:t>
      </w:r>
      <w:r>
        <w:t>)</w:t>
      </w:r>
      <w:r w:rsidRPr="009F0215">
        <w:t>,</w:t>
      </w:r>
      <w:r w:rsidRPr="009F0215">
        <w:rPr>
          <w:i/>
        </w:rPr>
        <w:t xml:space="preserve"> </w:t>
      </w:r>
      <w:r w:rsidRPr="009F0215">
        <w:t>par. 5.18</w:t>
      </w:r>
      <w:r w:rsidRPr="009F0215">
        <w:rPr>
          <w:i/>
        </w:rPr>
        <w:t>.</w:t>
      </w:r>
    </w:p>
  </w:footnote>
  <w:footnote w:id="24">
    <w:p w:rsidR="00ED435F" w:rsidRPr="009F0215" w:rsidRDefault="00ED435F" w:rsidP="00457C99">
      <w:pPr>
        <w:pStyle w:val="Notedebasdepage"/>
      </w:pPr>
      <w:r w:rsidRPr="009F0215">
        <w:tab/>
      </w:r>
      <w:r w:rsidRPr="000060F8">
        <w:rPr>
          <w:rStyle w:val="Appelnotedebasdep"/>
        </w:rPr>
        <w:footnoteRef/>
      </w:r>
      <w:r w:rsidRPr="009F0215">
        <w:tab/>
      </w:r>
      <w:r w:rsidRPr="009F0215">
        <w:rPr>
          <w:i/>
        </w:rPr>
        <w:t xml:space="preserve">Lin c. Australie </w:t>
      </w:r>
      <w:r w:rsidRPr="009F0215">
        <w:t>(CCPR/C/107/D/1957/2010), par. 9.3.</w:t>
      </w:r>
    </w:p>
  </w:footnote>
  <w:footnote w:id="25">
    <w:p w:rsidR="00ED435F" w:rsidRPr="009F0215" w:rsidRDefault="00ED435F" w:rsidP="00457C99">
      <w:pPr>
        <w:pStyle w:val="Notedebasdepage"/>
      </w:pPr>
      <w:r w:rsidRPr="009F0215">
        <w:tab/>
      </w:r>
      <w:r w:rsidRPr="000060F8">
        <w:rPr>
          <w:rStyle w:val="Appelnotedebasdep"/>
        </w:rPr>
        <w:footnoteRef/>
      </w:r>
      <w:r w:rsidRPr="009F0215">
        <w:rPr>
          <w:rStyle w:val="Appelnotedebasdep"/>
        </w:rPr>
        <w:t xml:space="preserve"> </w:t>
      </w:r>
      <w:r w:rsidRPr="009F0215">
        <w:rPr>
          <w:rStyle w:val="Appelnotedebasdep"/>
        </w:rPr>
        <w:tab/>
      </w:r>
      <w:r w:rsidRPr="009F0215">
        <w:t xml:space="preserve">Dans </w:t>
      </w:r>
      <w:r>
        <w:t xml:space="preserve">l’affaire </w:t>
      </w:r>
      <w:r w:rsidRPr="009F0215">
        <w:rPr>
          <w:i/>
          <w:iCs/>
        </w:rPr>
        <w:t>K. c. Danemark</w:t>
      </w:r>
      <w:r w:rsidRPr="009F0215">
        <w:t xml:space="preserve"> (CCPR/C/114/D/2393/2014</w:t>
      </w:r>
      <w:r>
        <w:t>)</w:t>
      </w:r>
      <w:r w:rsidRPr="009F0215">
        <w:t>, le Comité a conclu à l’absence de violation, estimant que l’auteur n’avait pas démontré qu’il y avait</w:t>
      </w:r>
      <w:r>
        <w:t>,</w:t>
      </w:r>
      <w:r w:rsidRPr="009F0215">
        <w:t xml:space="preserve"> </w:t>
      </w:r>
      <w:r>
        <w:t xml:space="preserve">pour la seule raison qu’il avait travaillé comme interprète pour les forces </w:t>
      </w:r>
      <w:r>
        <w:rPr>
          <w:lang w:val="fr-FR"/>
        </w:rPr>
        <w:t xml:space="preserve">des États-Unis, </w:t>
      </w:r>
      <w:r w:rsidRPr="009F0215">
        <w:t xml:space="preserve">des motifs sérieux de croire que son expulsion vers l’Afghanistan l’exposerait à un risque personnel. Pour </w:t>
      </w:r>
      <w:r>
        <w:t xml:space="preserve">aboutir </w:t>
      </w:r>
      <w:r w:rsidRPr="009F0215">
        <w:t xml:space="preserve">à cette conclusion, le Comité a considéré comme décisif que les juridictions internes </w:t>
      </w:r>
      <w:r>
        <w:t>av</w:t>
      </w:r>
      <w:r w:rsidRPr="009F0215">
        <w:t xml:space="preserve">aient examiné attentivement chacune des allégations de l’auteur, y compris celle concernant les menaces que l’auteur </w:t>
      </w:r>
      <w:r>
        <w:t xml:space="preserve">alléguait avoir </w:t>
      </w:r>
      <w:r w:rsidRPr="009F0215">
        <w:t xml:space="preserve">reçues, et </w:t>
      </w:r>
      <w:r>
        <w:t xml:space="preserve">les avait </w:t>
      </w:r>
      <w:r w:rsidRPr="009F0215">
        <w:t xml:space="preserve">jugées contradictoires. </w:t>
      </w:r>
      <w:r>
        <w:t xml:space="preserve">Par contre, dans l’affaire </w:t>
      </w:r>
      <w:r w:rsidRPr="009F0215">
        <w:rPr>
          <w:i/>
          <w:iCs/>
        </w:rPr>
        <w:t>A.</w:t>
      </w:r>
      <w:r>
        <w:rPr>
          <w:i/>
          <w:iCs/>
        </w:rPr>
        <w:t> </w:t>
      </w:r>
      <w:r w:rsidRPr="009F0215">
        <w:rPr>
          <w:i/>
          <w:iCs/>
        </w:rPr>
        <w:t>H. c. Danemark</w:t>
      </w:r>
      <w:r w:rsidRPr="009F0215">
        <w:t xml:space="preserve"> </w:t>
      </w:r>
      <w:r>
        <w:t>(</w:t>
      </w:r>
      <w:r w:rsidRPr="009F0215">
        <w:t>CCPR/C/114/D/2370/2014), le Comité a constaté une violation de l’article</w:t>
      </w:r>
      <w:r w:rsidR="00A640A6">
        <w:t> </w:t>
      </w:r>
      <w:r w:rsidRPr="009F0215">
        <w:t xml:space="preserve">7 par le Danemark, estimant que les faits de l’espèce, considérés dans leur ensemble, y compris les informations concernant la situation personnelle de l’auteur, </w:t>
      </w:r>
      <w:r>
        <w:t xml:space="preserve">notamment </w:t>
      </w:r>
      <w:r w:rsidRPr="009F0215">
        <w:t xml:space="preserve">son activité passée de lutte contre les infractions liées </w:t>
      </w:r>
      <w:r>
        <w:t>à la drogue</w:t>
      </w:r>
      <w:r w:rsidRPr="009F0215">
        <w:t xml:space="preserve"> et sa coopération avec plusieurs organismes étrangers à ce titre, associés aux menaces qu’il avait reçues, même si celles-ci n’avaient pas été jugées crédibles par les juridictions nationales, faisaient apparaître un risque réel </w:t>
      </w:r>
      <w:r>
        <w:t xml:space="preserve">que </w:t>
      </w:r>
      <w:r w:rsidRPr="009F0215">
        <w:t>l’auteur</w:t>
      </w:r>
      <w:r>
        <w:t xml:space="preserve"> </w:t>
      </w:r>
      <w:r w:rsidRPr="009F0215">
        <w:t>subi</w:t>
      </w:r>
      <w:r>
        <w:t>sse</w:t>
      </w:r>
      <w:r w:rsidRPr="009F0215">
        <w:t xml:space="preserve"> un traitement contraire </w:t>
      </w:r>
      <w:r>
        <w:t xml:space="preserve">à </w:t>
      </w:r>
      <w:r w:rsidRPr="009F0215">
        <w:t>l’article</w:t>
      </w:r>
      <w:r w:rsidR="00A640A6">
        <w:t> </w:t>
      </w:r>
      <w:r w:rsidRPr="009F0215">
        <w:t>7 du Pacte.</w:t>
      </w:r>
    </w:p>
  </w:footnote>
  <w:footnote w:id="26">
    <w:p w:rsidR="00ED435F" w:rsidRPr="009F0215" w:rsidRDefault="00ED435F" w:rsidP="00457C99">
      <w:pPr>
        <w:pStyle w:val="Notedebasdepage"/>
      </w:pPr>
      <w:r w:rsidRPr="009F0215">
        <w:tab/>
      </w:r>
      <w:r w:rsidRPr="000060F8">
        <w:rPr>
          <w:rStyle w:val="Appelnotedebasdep"/>
        </w:rPr>
        <w:footnoteRef/>
      </w:r>
      <w:r w:rsidRPr="009F0215">
        <w:tab/>
      </w:r>
      <w:r>
        <w:t xml:space="preserve">Cour européenne des droits de l’homme, </w:t>
      </w:r>
      <w:r w:rsidRPr="00844861">
        <w:rPr>
          <w:i/>
          <w:iCs/>
        </w:rPr>
        <w:t>H</w:t>
      </w:r>
      <w:r>
        <w:rPr>
          <w:i/>
          <w:iCs/>
        </w:rPr>
        <w:t>.</w:t>
      </w:r>
      <w:r w:rsidRPr="00844861">
        <w:rPr>
          <w:i/>
          <w:iCs/>
        </w:rPr>
        <w:t xml:space="preserve"> </w:t>
      </w:r>
      <w:r>
        <w:rPr>
          <w:i/>
          <w:iCs/>
        </w:rPr>
        <w:t>et</w:t>
      </w:r>
      <w:r w:rsidRPr="00844861">
        <w:rPr>
          <w:i/>
          <w:iCs/>
        </w:rPr>
        <w:t xml:space="preserve"> B</w:t>
      </w:r>
      <w:r>
        <w:rPr>
          <w:i/>
          <w:iCs/>
        </w:rPr>
        <w:t>.</w:t>
      </w:r>
      <w:r w:rsidRPr="00844861">
        <w:rPr>
          <w:i/>
          <w:iCs/>
        </w:rPr>
        <w:t xml:space="preserve"> </w:t>
      </w:r>
      <w:r w:rsidRPr="00A640A6">
        <w:rPr>
          <w:i/>
          <w:iCs/>
        </w:rPr>
        <w:t>c.</w:t>
      </w:r>
      <w:r w:rsidRPr="00844861">
        <w:rPr>
          <w:i/>
          <w:iCs/>
        </w:rPr>
        <w:t xml:space="preserve"> </w:t>
      </w:r>
      <w:r>
        <w:rPr>
          <w:i/>
          <w:iCs/>
        </w:rPr>
        <w:t xml:space="preserve">Royaume-Uni </w:t>
      </w:r>
      <w:r w:rsidRPr="00DD21E8">
        <w:rPr>
          <w:szCs w:val="18"/>
        </w:rPr>
        <w:t>(</w:t>
      </w:r>
      <w:r>
        <w:rPr>
          <w:szCs w:val="18"/>
        </w:rPr>
        <w:t>requêtes n</w:t>
      </w:r>
      <w:r w:rsidRPr="000060F8">
        <w:rPr>
          <w:szCs w:val="18"/>
          <w:vertAlign w:val="superscript"/>
        </w:rPr>
        <w:t>o</w:t>
      </w:r>
      <w:r>
        <w:rPr>
          <w:szCs w:val="18"/>
        </w:rPr>
        <w:t> </w:t>
      </w:r>
      <w:r w:rsidRPr="00DD21E8">
        <w:rPr>
          <w:szCs w:val="18"/>
        </w:rPr>
        <w:t xml:space="preserve">70073/10 </w:t>
      </w:r>
      <w:r>
        <w:rPr>
          <w:szCs w:val="18"/>
        </w:rPr>
        <w:t>et</w:t>
      </w:r>
      <w:r w:rsidRPr="00DD21E8">
        <w:rPr>
          <w:szCs w:val="18"/>
        </w:rPr>
        <w:t xml:space="preserve"> 445</w:t>
      </w:r>
      <w:r>
        <w:rPr>
          <w:szCs w:val="18"/>
        </w:rPr>
        <w:t>3</w:t>
      </w:r>
      <w:r w:rsidRPr="00DD21E8">
        <w:rPr>
          <w:szCs w:val="18"/>
        </w:rPr>
        <w:t>9/11)</w:t>
      </w:r>
      <w:r>
        <w:rPr>
          <w:szCs w:val="18"/>
        </w:rPr>
        <w:t xml:space="preserve">, arrêt </w:t>
      </w:r>
      <w:r w:rsidRPr="009F0215">
        <w:rPr>
          <w:szCs w:val="18"/>
        </w:rPr>
        <w:t>du 9</w:t>
      </w:r>
      <w:r w:rsidR="00A640A6">
        <w:rPr>
          <w:szCs w:val="18"/>
        </w:rPr>
        <w:t> </w:t>
      </w:r>
      <w:r>
        <w:rPr>
          <w:szCs w:val="18"/>
        </w:rPr>
        <w:t xml:space="preserve">avril </w:t>
      </w:r>
      <w:r w:rsidRPr="009F0215">
        <w:rPr>
          <w:szCs w:val="18"/>
        </w:rPr>
        <w:t>2013</w:t>
      </w:r>
      <w:r>
        <w:rPr>
          <w:szCs w:val="18"/>
        </w:rPr>
        <w:t xml:space="preserve">, par. 100, et </w:t>
      </w:r>
      <w:r w:rsidRPr="00844861">
        <w:rPr>
          <w:i/>
          <w:iCs/>
        </w:rPr>
        <w:t>J.</w:t>
      </w:r>
      <w:r w:rsidR="00A640A6">
        <w:rPr>
          <w:i/>
          <w:iCs/>
        </w:rPr>
        <w:t> </w:t>
      </w:r>
      <w:r w:rsidRPr="00844861">
        <w:rPr>
          <w:i/>
          <w:iCs/>
        </w:rPr>
        <w:t>K.</w:t>
      </w:r>
      <w:r w:rsidRPr="00B9261B">
        <w:rPr>
          <w:i/>
          <w:iCs/>
        </w:rPr>
        <w:t xml:space="preserve"> </w:t>
      </w:r>
      <w:r>
        <w:rPr>
          <w:i/>
          <w:iCs/>
        </w:rPr>
        <w:t xml:space="preserve">et autres </w:t>
      </w:r>
      <w:r w:rsidRPr="00A640A6">
        <w:rPr>
          <w:i/>
          <w:iCs/>
        </w:rPr>
        <w:t>c.</w:t>
      </w:r>
      <w:r w:rsidRPr="00844861">
        <w:rPr>
          <w:i/>
          <w:iCs/>
        </w:rPr>
        <w:t xml:space="preserve"> S</w:t>
      </w:r>
      <w:r>
        <w:rPr>
          <w:i/>
          <w:iCs/>
        </w:rPr>
        <w:t>uède</w:t>
      </w:r>
      <w:r>
        <w:rPr>
          <w:szCs w:val="18"/>
        </w:rPr>
        <w:t xml:space="preserve"> </w:t>
      </w:r>
      <w:r w:rsidRPr="00B9261B">
        <w:rPr>
          <w:szCs w:val="18"/>
        </w:rPr>
        <w:t>(</w:t>
      </w:r>
      <w:r>
        <w:rPr>
          <w:szCs w:val="18"/>
        </w:rPr>
        <w:t>requête n</w:t>
      </w:r>
      <w:r w:rsidRPr="000060F8">
        <w:rPr>
          <w:szCs w:val="18"/>
          <w:vertAlign w:val="superscript"/>
        </w:rPr>
        <w:t>o</w:t>
      </w:r>
      <w:r>
        <w:rPr>
          <w:szCs w:val="18"/>
        </w:rPr>
        <w:t> </w:t>
      </w:r>
      <w:r w:rsidRPr="00B9261B">
        <w:rPr>
          <w:szCs w:val="18"/>
        </w:rPr>
        <w:t>59166/12)</w:t>
      </w:r>
      <w:r>
        <w:rPr>
          <w:szCs w:val="18"/>
        </w:rPr>
        <w:t xml:space="preserve">, arrêt </w:t>
      </w:r>
      <w:r w:rsidRPr="009F0215">
        <w:rPr>
          <w:szCs w:val="18"/>
        </w:rPr>
        <w:t>du 23</w:t>
      </w:r>
      <w:r w:rsidR="00A640A6">
        <w:rPr>
          <w:szCs w:val="18"/>
        </w:rPr>
        <w:t> </w:t>
      </w:r>
      <w:r w:rsidRPr="009F0215">
        <w:rPr>
          <w:szCs w:val="18"/>
        </w:rPr>
        <w:t>août 2016</w:t>
      </w:r>
      <w:r>
        <w:rPr>
          <w:szCs w:val="18"/>
        </w:rPr>
        <w:t>, par. 102 et 103</w:t>
      </w:r>
      <w:r w:rsidRPr="009F0215">
        <w:rPr>
          <w:szCs w:val="18"/>
        </w:rPr>
        <w:t>.</w:t>
      </w:r>
    </w:p>
  </w:footnote>
  <w:footnote w:id="27">
    <w:p w:rsidR="00ED435F" w:rsidRPr="000060F8" w:rsidRDefault="00ED435F" w:rsidP="00457C99">
      <w:pPr>
        <w:pStyle w:val="Notedebasdepage"/>
        <w:rPr>
          <w:lang w:val="en-US"/>
        </w:rPr>
      </w:pPr>
      <w:r w:rsidRPr="009F0215">
        <w:tab/>
      </w:r>
      <w:r w:rsidRPr="000060F8">
        <w:rPr>
          <w:rStyle w:val="Appelnotedebasdep"/>
        </w:rPr>
        <w:footnoteRef/>
      </w:r>
      <w:r w:rsidRPr="000060F8">
        <w:rPr>
          <w:rStyle w:val="Appelnotedebasdep"/>
          <w:lang w:val="en-US"/>
        </w:rPr>
        <w:tab/>
      </w:r>
      <w:r w:rsidRPr="000060F8">
        <w:rPr>
          <w:lang w:val="en-US"/>
        </w:rPr>
        <w:t xml:space="preserve">HCR, </w:t>
      </w:r>
      <w:r w:rsidRPr="000060F8">
        <w:rPr>
          <w:i/>
          <w:iCs/>
          <w:lang w:val="en-US"/>
        </w:rPr>
        <w:t>UNHCR Eligibility Guidelines for assessing the international protection needs of asylum</w:t>
      </w:r>
      <w:r w:rsidR="00A640A6">
        <w:rPr>
          <w:i/>
          <w:iCs/>
          <w:lang w:val="en-US"/>
        </w:rPr>
        <w:noBreakHyphen/>
      </w:r>
      <w:r w:rsidRPr="000060F8">
        <w:rPr>
          <w:i/>
          <w:iCs/>
          <w:lang w:val="en-US"/>
        </w:rPr>
        <w:t>seekers from Afghanistan</w:t>
      </w:r>
      <w:r w:rsidRPr="000060F8">
        <w:rPr>
          <w:lang w:val="en-US"/>
        </w:rPr>
        <w:t>, 30</w:t>
      </w:r>
      <w:r w:rsidR="00A640A6">
        <w:rPr>
          <w:lang w:val="en-US"/>
        </w:rPr>
        <w:t> </w:t>
      </w:r>
      <w:proofErr w:type="spellStart"/>
      <w:r w:rsidRPr="000060F8">
        <w:rPr>
          <w:lang w:val="en-US"/>
        </w:rPr>
        <w:t>août</w:t>
      </w:r>
      <w:proofErr w:type="spellEnd"/>
      <w:r w:rsidRPr="000060F8">
        <w:rPr>
          <w:lang w:val="en-US"/>
        </w:rPr>
        <w:t xml:space="preserve"> 2018 (HCR/EG/AFG/18/02), disponible à </w:t>
      </w:r>
      <w:proofErr w:type="spellStart"/>
      <w:r w:rsidRPr="000060F8">
        <w:rPr>
          <w:lang w:val="en-US"/>
        </w:rPr>
        <w:t>l’adresse</w:t>
      </w:r>
      <w:proofErr w:type="spellEnd"/>
      <w:r w:rsidRPr="000060F8">
        <w:rPr>
          <w:lang w:val="en-US"/>
        </w:rPr>
        <w:t xml:space="preserve"> </w:t>
      </w:r>
      <w:hyperlink r:id="rId3" w:history="1">
        <w:r w:rsidRPr="00A640A6">
          <w:rPr>
            <w:rStyle w:val="Lienhypertextesuivivisit"/>
          </w:rPr>
          <w:t>www.refworld.org/docid/5b8900109.html</w:t>
        </w:r>
      </w:hyperlink>
      <w:r w:rsidRPr="000060F8">
        <w:rPr>
          <w:lang w:val="en-US"/>
        </w:rPr>
        <w:t>.</w:t>
      </w:r>
    </w:p>
  </w:footnote>
  <w:footnote w:id="28">
    <w:p w:rsidR="00ED435F" w:rsidRPr="000060F8" w:rsidRDefault="00ED435F" w:rsidP="00457C99">
      <w:pPr>
        <w:pStyle w:val="Notedebasdepage"/>
        <w:rPr>
          <w:lang w:val="fr-FR"/>
        </w:rPr>
      </w:pPr>
      <w:r w:rsidRPr="000060F8">
        <w:rPr>
          <w:lang w:val="en-US"/>
        </w:rPr>
        <w:tab/>
      </w:r>
      <w:r w:rsidRPr="000060F8">
        <w:rPr>
          <w:rStyle w:val="Appelnotedebasdep"/>
        </w:rPr>
        <w:footnoteRef/>
      </w:r>
      <w:r w:rsidRPr="000060F8">
        <w:rPr>
          <w:lang w:val="fr-FR"/>
        </w:rPr>
        <w:tab/>
      </w:r>
      <w:r w:rsidRPr="000060F8">
        <w:rPr>
          <w:i/>
          <w:lang w:val="fr-FR"/>
        </w:rPr>
        <w:t>A.</w:t>
      </w:r>
      <w:r w:rsidR="00365262">
        <w:rPr>
          <w:i/>
          <w:lang w:val="fr-FR"/>
        </w:rPr>
        <w:t> </w:t>
      </w:r>
      <w:r w:rsidRPr="000060F8">
        <w:rPr>
          <w:i/>
          <w:lang w:val="fr-FR"/>
        </w:rPr>
        <w:t>S.</w:t>
      </w:r>
      <w:r w:rsidR="00365262">
        <w:rPr>
          <w:i/>
          <w:lang w:val="fr-FR"/>
        </w:rPr>
        <w:t> </w:t>
      </w:r>
      <w:r w:rsidRPr="000060F8">
        <w:rPr>
          <w:i/>
          <w:lang w:val="fr-FR"/>
        </w:rPr>
        <w:t>M. et R.</w:t>
      </w:r>
      <w:r w:rsidR="00365262">
        <w:rPr>
          <w:i/>
          <w:lang w:val="fr-FR"/>
        </w:rPr>
        <w:t> </w:t>
      </w:r>
      <w:r w:rsidRPr="000060F8">
        <w:rPr>
          <w:i/>
          <w:lang w:val="fr-FR"/>
        </w:rPr>
        <w:t>A.</w:t>
      </w:r>
      <w:r w:rsidR="00365262">
        <w:rPr>
          <w:i/>
          <w:lang w:val="fr-FR"/>
        </w:rPr>
        <w:t> </w:t>
      </w:r>
      <w:r w:rsidRPr="000060F8">
        <w:rPr>
          <w:i/>
          <w:lang w:val="fr-FR"/>
        </w:rPr>
        <w:t xml:space="preserve">H. </w:t>
      </w:r>
      <w:r w:rsidRPr="00365262">
        <w:rPr>
          <w:i/>
          <w:lang w:val="fr-FR"/>
        </w:rPr>
        <w:t>c</w:t>
      </w:r>
      <w:r>
        <w:rPr>
          <w:iCs/>
          <w:lang w:val="fr-FR"/>
        </w:rPr>
        <w:t>.</w:t>
      </w:r>
      <w:r w:rsidRPr="000060F8">
        <w:rPr>
          <w:iCs/>
          <w:lang w:val="fr-FR"/>
        </w:rPr>
        <w:t xml:space="preserve"> </w:t>
      </w:r>
      <w:r w:rsidRPr="000060F8">
        <w:rPr>
          <w:i/>
          <w:lang w:val="fr-FR"/>
        </w:rPr>
        <w:t>D</w:t>
      </w:r>
      <w:r>
        <w:rPr>
          <w:i/>
          <w:lang w:val="fr-FR"/>
        </w:rPr>
        <w:t>ane</w:t>
      </w:r>
      <w:r w:rsidRPr="000060F8">
        <w:rPr>
          <w:i/>
          <w:lang w:val="fr-FR"/>
        </w:rPr>
        <w:t>mark</w:t>
      </w:r>
      <w:r w:rsidRPr="000060F8">
        <w:rPr>
          <w:iCs/>
          <w:lang w:val="fr-FR"/>
        </w:rPr>
        <w:t xml:space="preserve"> (CCPR</w:t>
      </w:r>
      <w:r w:rsidRPr="000060F8">
        <w:rPr>
          <w:lang w:val="fr-FR"/>
        </w:rPr>
        <w:t>/C/113/D/2378/2014), par.</w:t>
      </w:r>
      <w:r>
        <w:rPr>
          <w:lang w:val="fr-FR"/>
        </w:rPr>
        <w:t> </w:t>
      </w:r>
      <w:r w:rsidRPr="00017669">
        <w:t xml:space="preserve">8.3 </w:t>
      </w:r>
      <w:r>
        <w:t>et </w:t>
      </w:r>
      <w:r w:rsidRPr="00017669">
        <w:t xml:space="preserve">8.6, </w:t>
      </w:r>
      <w:r>
        <w:t>et</w:t>
      </w:r>
      <w:r w:rsidRPr="00017669">
        <w:t xml:space="preserve"> </w:t>
      </w:r>
      <w:r w:rsidRPr="000060F8">
        <w:rPr>
          <w:i/>
          <w:color w:val="000000"/>
        </w:rPr>
        <w:t>E.</w:t>
      </w:r>
      <w:r w:rsidR="00365262">
        <w:rPr>
          <w:i/>
          <w:color w:val="000000"/>
        </w:rPr>
        <w:t> </w:t>
      </w:r>
      <w:r w:rsidRPr="000060F8">
        <w:rPr>
          <w:i/>
          <w:color w:val="000000"/>
        </w:rPr>
        <w:t>U.</w:t>
      </w:r>
      <w:r w:rsidR="00365262">
        <w:rPr>
          <w:i/>
          <w:color w:val="000000"/>
        </w:rPr>
        <w:t> </w:t>
      </w:r>
      <w:r w:rsidRPr="000060F8">
        <w:rPr>
          <w:i/>
          <w:color w:val="000000"/>
        </w:rPr>
        <w:t xml:space="preserve">R. </w:t>
      </w:r>
      <w:r w:rsidRPr="00365262">
        <w:rPr>
          <w:i/>
          <w:color w:val="000000"/>
        </w:rPr>
        <w:t>c</w:t>
      </w:r>
      <w:r>
        <w:rPr>
          <w:iCs/>
          <w:color w:val="000000"/>
        </w:rPr>
        <w:t>.</w:t>
      </w:r>
      <w:r w:rsidR="00365262">
        <w:rPr>
          <w:iCs/>
          <w:color w:val="000000"/>
        </w:rPr>
        <w:t> </w:t>
      </w:r>
      <w:r w:rsidRPr="000060F8">
        <w:rPr>
          <w:i/>
          <w:color w:val="000000"/>
        </w:rPr>
        <w:t>D</w:t>
      </w:r>
      <w:r>
        <w:rPr>
          <w:i/>
          <w:color w:val="000000"/>
        </w:rPr>
        <w:t>ane</w:t>
      </w:r>
      <w:r w:rsidRPr="000060F8">
        <w:rPr>
          <w:i/>
          <w:color w:val="000000"/>
        </w:rPr>
        <w:t>mark</w:t>
      </w:r>
      <w:r w:rsidRPr="000060F8">
        <w:rPr>
          <w:color w:val="000000"/>
        </w:rPr>
        <w:t xml:space="preserve"> (CCPR/C/117/D/2469/2014), par.</w:t>
      </w:r>
      <w:r>
        <w:rPr>
          <w:color w:val="000000"/>
        </w:rPr>
        <w:t> </w:t>
      </w:r>
      <w:r w:rsidRPr="000060F8">
        <w:rPr>
          <w:color w:val="000000"/>
          <w:lang w:val="fr-FR"/>
        </w:rPr>
        <w:t xml:space="preserve">9.7, </w:t>
      </w:r>
      <w:r>
        <w:rPr>
          <w:color w:val="000000"/>
          <w:lang w:val="fr-FR"/>
        </w:rPr>
        <w:t xml:space="preserve">citant </w:t>
      </w:r>
      <w:r w:rsidRPr="000060F8">
        <w:rPr>
          <w:i/>
          <w:lang w:val="fr-FR"/>
        </w:rPr>
        <w:t xml:space="preserve">X </w:t>
      </w:r>
      <w:r w:rsidRPr="00365262">
        <w:rPr>
          <w:i/>
          <w:lang w:val="fr-FR"/>
        </w:rPr>
        <w:t>c.</w:t>
      </w:r>
      <w:r w:rsidRPr="000060F8">
        <w:rPr>
          <w:i/>
          <w:lang w:val="fr-FR"/>
        </w:rPr>
        <w:t xml:space="preserve"> D</w:t>
      </w:r>
      <w:r>
        <w:rPr>
          <w:i/>
          <w:lang w:val="fr-FR"/>
        </w:rPr>
        <w:t>ane</w:t>
      </w:r>
      <w:r w:rsidRPr="000060F8">
        <w:rPr>
          <w:i/>
          <w:lang w:val="fr-FR"/>
        </w:rPr>
        <w:t>mark</w:t>
      </w:r>
      <w:r w:rsidRPr="000060F8">
        <w:rPr>
          <w:lang w:val="fr-FR"/>
        </w:rPr>
        <w:t xml:space="preserve"> (CCPR/C/110/D/2007/2010), par.</w:t>
      </w:r>
      <w:r>
        <w:rPr>
          <w:lang w:val="fr-FR"/>
        </w:rPr>
        <w:t> </w:t>
      </w:r>
      <w:r w:rsidRPr="000060F8">
        <w:rPr>
          <w:lang w:val="fr-FR"/>
        </w:rPr>
        <w:t xml:space="preserve">9.3, </w:t>
      </w:r>
      <w:r w:rsidRPr="000060F8">
        <w:rPr>
          <w:i/>
          <w:lang w:val="fr-FR"/>
        </w:rPr>
        <w:t>X</w:t>
      </w:r>
      <w:r>
        <w:rPr>
          <w:i/>
          <w:lang w:val="fr-FR"/>
        </w:rPr>
        <w:t> </w:t>
      </w:r>
      <w:r w:rsidRPr="00365262">
        <w:rPr>
          <w:i/>
          <w:lang w:val="fr-FR"/>
        </w:rPr>
        <w:t>c</w:t>
      </w:r>
      <w:r>
        <w:rPr>
          <w:iCs/>
          <w:lang w:val="fr-FR"/>
        </w:rPr>
        <w:t>.</w:t>
      </w:r>
      <w:r w:rsidRPr="000060F8">
        <w:rPr>
          <w:i/>
          <w:lang w:val="fr-FR"/>
        </w:rPr>
        <w:t xml:space="preserve"> S</w:t>
      </w:r>
      <w:r>
        <w:rPr>
          <w:i/>
          <w:lang w:val="fr-FR"/>
        </w:rPr>
        <w:t>uède</w:t>
      </w:r>
      <w:r w:rsidRPr="000060F8">
        <w:rPr>
          <w:lang w:val="fr-FR"/>
        </w:rPr>
        <w:t xml:space="preserve"> (CCPR/C/103/D/1833/2008), par.</w:t>
      </w:r>
      <w:r>
        <w:rPr>
          <w:lang w:val="fr-FR"/>
        </w:rPr>
        <w:t> </w:t>
      </w:r>
      <w:r w:rsidRPr="000060F8">
        <w:rPr>
          <w:lang w:val="fr-FR"/>
        </w:rPr>
        <w:t xml:space="preserve">5.18, </w:t>
      </w:r>
      <w:r w:rsidRPr="000060F8">
        <w:rPr>
          <w:i/>
          <w:lang w:val="fr-FR"/>
        </w:rPr>
        <w:t xml:space="preserve">Pillai et </w:t>
      </w:r>
      <w:r>
        <w:rPr>
          <w:i/>
          <w:lang w:val="fr-FR"/>
        </w:rPr>
        <w:t xml:space="preserve">autres </w:t>
      </w:r>
      <w:r w:rsidRPr="00365262">
        <w:rPr>
          <w:i/>
          <w:lang w:val="fr-FR"/>
        </w:rPr>
        <w:t>c.</w:t>
      </w:r>
      <w:r w:rsidRPr="000060F8">
        <w:rPr>
          <w:i/>
          <w:lang w:val="fr-FR"/>
        </w:rPr>
        <w:t xml:space="preserve"> Canada</w:t>
      </w:r>
      <w:r w:rsidRPr="000060F8">
        <w:rPr>
          <w:lang w:val="fr-FR"/>
        </w:rPr>
        <w:t xml:space="preserve"> (CCPR/C/101/D/</w:t>
      </w:r>
      <w:r w:rsidR="00365262">
        <w:rPr>
          <w:lang w:val="fr-FR"/>
        </w:rPr>
        <w:t xml:space="preserve"> </w:t>
      </w:r>
      <w:r w:rsidRPr="000060F8">
        <w:rPr>
          <w:lang w:val="fr-FR"/>
        </w:rPr>
        <w:t>1763/2008), par.</w:t>
      </w:r>
      <w:r>
        <w:rPr>
          <w:lang w:val="fr-FR"/>
        </w:rPr>
        <w:t> </w:t>
      </w:r>
      <w:r w:rsidRPr="000060F8">
        <w:rPr>
          <w:lang w:val="fr-FR"/>
        </w:rPr>
        <w:t xml:space="preserve">11.2 </w:t>
      </w:r>
      <w:r>
        <w:rPr>
          <w:lang w:val="fr-FR"/>
        </w:rPr>
        <w:t>et</w:t>
      </w:r>
      <w:r w:rsidRPr="000060F8">
        <w:rPr>
          <w:lang w:val="fr-FR"/>
        </w:rPr>
        <w:t xml:space="preserve"> 11.4, </w:t>
      </w:r>
      <w:r w:rsidRPr="000060F8">
        <w:rPr>
          <w:i/>
          <w:lang w:val="fr-FR"/>
        </w:rPr>
        <w:t xml:space="preserve">Lin </w:t>
      </w:r>
      <w:r w:rsidRPr="00365262">
        <w:rPr>
          <w:i/>
          <w:lang w:val="fr-FR"/>
        </w:rPr>
        <w:t>c.</w:t>
      </w:r>
      <w:r w:rsidRPr="000060F8">
        <w:rPr>
          <w:i/>
          <w:lang w:val="fr-FR"/>
        </w:rPr>
        <w:t xml:space="preserve"> Australi</w:t>
      </w:r>
      <w:r>
        <w:rPr>
          <w:i/>
          <w:lang w:val="fr-FR"/>
        </w:rPr>
        <w:t>e</w:t>
      </w:r>
      <w:r w:rsidRPr="000060F8">
        <w:rPr>
          <w:lang w:val="fr-FR"/>
        </w:rPr>
        <w:t xml:space="preserve"> (CCPR/C/107/D/1957/2010), par.</w:t>
      </w:r>
      <w:r>
        <w:rPr>
          <w:lang w:val="fr-FR"/>
        </w:rPr>
        <w:t> </w:t>
      </w:r>
      <w:r w:rsidRPr="000060F8">
        <w:rPr>
          <w:lang w:val="fr-FR"/>
        </w:rPr>
        <w:t xml:space="preserve">9.3, </w:t>
      </w:r>
      <w:r w:rsidRPr="000060F8">
        <w:rPr>
          <w:i/>
          <w:lang w:val="fr-FR"/>
        </w:rPr>
        <w:t>A.</w:t>
      </w:r>
      <w:r w:rsidR="00365262">
        <w:rPr>
          <w:i/>
          <w:lang w:val="fr-FR"/>
        </w:rPr>
        <w:t> </w:t>
      </w:r>
      <w:r w:rsidRPr="000060F8">
        <w:rPr>
          <w:i/>
          <w:lang w:val="fr-FR"/>
        </w:rPr>
        <w:t xml:space="preserve">A. </w:t>
      </w:r>
      <w:r w:rsidRPr="00365262">
        <w:rPr>
          <w:i/>
          <w:lang w:val="fr-FR"/>
        </w:rPr>
        <w:t>c</w:t>
      </w:r>
      <w:r>
        <w:rPr>
          <w:iCs/>
          <w:lang w:val="fr-FR"/>
        </w:rPr>
        <w:t>.</w:t>
      </w:r>
      <w:r w:rsidRPr="000060F8">
        <w:rPr>
          <w:i/>
          <w:lang w:val="fr-FR"/>
        </w:rPr>
        <w:t xml:space="preserve"> Canada</w:t>
      </w:r>
      <w:r w:rsidRPr="000060F8">
        <w:rPr>
          <w:lang w:val="fr-FR"/>
        </w:rPr>
        <w:t xml:space="preserve"> (CCPR/C/103/D/1819/2008), par.</w:t>
      </w:r>
      <w:r>
        <w:rPr>
          <w:lang w:val="fr-FR"/>
        </w:rPr>
        <w:t> </w:t>
      </w:r>
      <w:r w:rsidRPr="000060F8">
        <w:rPr>
          <w:lang w:val="fr-FR"/>
        </w:rPr>
        <w:t xml:space="preserve">7.8, </w:t>
      </w:r>
      <w:r>
        <w:rPr>
          <w:lang w:val="fr-FR"/>
        </w:rPr>
        <w:t>et</w:t>
      </w:r>
      <w:r w:rsidRPr="000060F8">
        <w:rPr>
          <w:lang w:val="fr-FR"/>
        </w:rPr>
        <w:t xml:space="preserve"> </w:t>
      </w:r>
      <w:r w:rsidRPr="000060F8">
        <w:rPr>
          <w:i/>
          <w:lang w:val="fr-FR"/>
        </w:rPr>
        <w:t xml:space="preserve">Z. </w:t>
      </w:r>
      <w:r w:rsidRPr="00365262">
        <w:rPr>
          <w:i/>
          <w:lang w:val="fr-FR"/>
        </w:rPr>
        <w:t>c</w:t>
      </w:r>
      <w:r>
        <w:rPr>
          <w:iCs/>
          <w:lang w:val="fr-FR"/>
        </w:rPr>
        <w:t>.</w:t>
      </w:r>
      <w:r w:rsidRPr="000060F8">
        <w:rPr>
          <w:i/>
          <w:lang w:val="fr-FR"/>
        </w:rPr>
        <w:t xml:space="preserve"> Australi</w:t>
      </w:r>
      <w:r>
        <w:rPr>
          <w:i/>
          <w:lang w:val="fr-FR"/>
        </w:rPr>
        <w:t>e</w:t>
      </w:r>
      <w:r w:rsidRPr="000060F8">
        <w:rPr>
          <w:lang w:val="fr-FR"/>
        </w:rPr>
        <w:t xml:space="preserve"> (CCPR/C/111/D/2049/2011), par.</w:t>
      </w:r>
      <w:r>
        <w:rPr>
          <w:lang w:val="fr-FR"/>
        </w:rPr>
        <w:t> </w:t>
      </w:r>
      <w:r w:rsidRPr="000060F8">
        <w:rPr>
          <w:lang w:val="fr-FR"/>
        </w:rPr>
        <w:t xml:space="preserve">9.3. </w:t>
      </w:r>
      <w:r w:rsidRPr="001A39B6">
        <w:rPr>
          <w:lang w:val="fr-FR"/>
        </w:rPr>
        <w:t xml:space="preserve">Voir également </w:t>
      </w:r>
      <w:proofErr w:type="spellStart"/>
      <w:r w:rsidRPr="000060F8">
        <w:rPr>
          <w:i/>
          <w:iCs/>
          <w:lang w:val="fr-FR"/>
        </w:rPr>
        <w:t>Ashby</w:t>
      </w:r>
      <w:proofErr w:type="spellEnd"/>
      <w:r w:rsidRPr="000060F8">
        <w:rPr>
          <w:i/>
          <w:iCs/>
          <w:lang w:val="fr-FR"/>
        </w:rPr>
        <w:t xml:space="preserve"> </w:t>
      </w:r>
      <w:r w:rsidRPr="00365262">
        <w:rPr>
          <w:i/>
          <w:lang w:val="fr-FR"/>
        </w:rPr>
        <w:t>c</w:t>
      </w:r>
      <w:r w:rsidRPr="000060F8">
        <w:rPr>
          <w:lang w:val="fr-FR"/>
        </w:rPr>
        <w:t>.</w:t>
      </w:r>
      <w:r w:rsidRPr="000060F8">
        <w:rPr>
          <w:i/>
          <w:iCs/>
          <w:lang w:val="fr-FR"/>
        </w:rPr>
        <w:t xml:space="preserve"> Trinité-et-Tobago </w:t>
      </w:r>
      <w:r w:rsidRPr="000060F8">
        <w:rPr>
          <w:lang w:val="fr-FR"/>
        </w:rPr>
        <w:t>(CCPR/C/74/D/580/1994),</w:t>
      </w:r>
      <w:r w:rsidRPr="000060F8">
        <w:rPr>
          <w:i/>
          <w:iCs/>
          <w:lang w:val="fr-FR"/>
        </w:rPr>
        <w:t xml:space="preserve"> </w:t>
      </w:r>
      <w:r w:rsidRPr="000060F8">
        <w:rPr>
          <w:lang w:val="fr-FR"/>
        </w:rPr>
        <w:t>par.</w:t>
      </w:r>
      <w:r>
        <w:rPr>
          <w:lang w:val="fr-FR"/>
        </w:rPr>
        <w:t> </w:t>
      </w:r>
      <w:r w:rsidRPr="000060F8">
        <w:rPr>
          <w:lang w:val="fr-FR"/>
        </w:rPr>
        <w:t>10.3.</w:t>
      </w:r>
    </w:p>
  </w:footnote>
  <w:footnote w:id="29">
    <w:p w:rsidR="00ED435F" w:rsidRPr="00365262" w:rsidRDefault="00ED435F" w:rsidP="00457C99">
      <w:pPr>
        <w:pStyle w:val="Notedebasdepage"/>
      </w:pPr>
      <w:r w:rsidRPr="000060F8">
        <w:rPr>
          <w:lang w:val="fr-FR"/>
        </w:rPr>
        <w:tab/>
      </w:r>
      <w:r w:rsidRPr="000060F8">
        <w:rPr>
          <w:rStyle w:val="Appelnotedebasdep"/>
        </w:rPr>
        <w:footnoteRef/>
      </w:r>
      <w:r w:rsidRPr="00365262">
        <w:tab/>
      </w:r>
      <w:r w:rsidRPr="00365262">
        <w:rPr>
          <w:i/>
          <w:iCs/>
        </w:rPr>
        <w:t>A.</w:t>
      </w:r>
      <w:r w:rsidR="00365262" w:rsidRPr="00365262">
        <w:rPr>
          <w:i/>
          <w:iCs/>
        </w:rPr>
        <w:t> </w:t>
      </w:r>
      <w:r w:rsidRPr="00365262">
        <w:rPr>
          <w:i/>
          <w:iCs/>
        </w:rPr>
        <w:t>H. c</w:t>
      </w:r>
      <w:r w:rsidRPr="00365262">
        <w:t>.</w:t>
      </w:r>
      <w:r w:rsidRPr="00365262">
        <w:rPr>
          <w:i/>
          <w:iCs/>
        </w:rPr>
        <w:t xml:space="preserve"> Danemark</w:t>
      </w:r>
      <w:r w:rsidRPr="00365262">
        <w:t xml:space="preserve"> (CCPR/C/114/D/2370/2014).</w:t>
      </w:r>
    </w:p>
  </w:footnote>
  <w:footnote w:id="30">
    <w:p w:rsidR="00ED435F" w:rsidRPr="000060F8" w:rsidRDefault="00ED435F" w:rsidP="00457C99">
      <w:pPr>
        <w:pStyle w:val="Notedebasdepage"/>
        <w:rPr>
          <w:lang w:val="en-US"/>
        </w:rPr>
      </w:pPr>
      <w:r w:rsidRPr="00365262">
        <w:tab/>
      </w:r>
      <w:r w:rsidRPr="000060F8">
        <w:rPr>
          <w:rStyle w:val="Appelnotedebasdep"/>
        </w:rPr>
        <w:footnoteRef/>
      </w:r>
      <w:r w:rsidRPr="000060F8">
        <w:rPr>
          <w:rStyle w:val="Appelnotedebasdep"/>
          <w:lang w:val="fr-FR"/>
        </w:rPr>
        <w:tab/>
      </w:r>
      <w:r w:rsidRPr="000060F8">
        <w:rPr>
          <w:lang w:val="fr-FR"/>
        </w:rPr>
        <w:t>Une telle analyse est conforme à la jurisprudence du Comité, selon laquelle les rapports de caractère général d’organisations non gouvernementales ne suffisent pas à eux seuls à établir l’existence de mauvais traitements et qu’il faut donc faire preuve de prudence lorsque l’on évalue une allégation qu</w:t>
      </w:r>
      <w:r>
        <w:rPr>
          <w:lang w:val="fr-FR"/>
        </w:rPr>
        <w:t xml:space="preserve">i n’est pas étayée par des preuves vérifiables. </w:t>
      </w:r>
      <w:proofErr w:type="spellStart"/>
      <w:r w:rsidRPr="000060F8">
        <w:rPr>
          <w:lang w:val="en-US"/>
        </w:rPr>
        <w:t>Voir</w:t>
      </w:r>
      <w:proofErr w:type="spellEnd"/>
      <w:r w:rsidRPr="000060F8">
        <w:rPr>
          <w:lang w:val="en-US"/>
        </w:rPr>
        <w:t xml:space="preserve"> </w:t>
      </w:r>
      <w:proofErr w:type="spellStart"/>
      <w:r w:rsidRPr="000060F8">
        <w:rPr>
          <w:i/>
          <w:iCs/>
          <w:lang w:val="en-US"/>
        </w:rPr>
        <w:t>Kouidis</w:t>
      </w:r>
      <w:proofErr w:type="spellEnd"/>
      <w:r w:rsidRPr="000060F8">
        <w:rPr>
          <w:i/>
          <w:iCs/>
          <w:lang w:val="en-US"/>
        </w:rPr>
        <w:t xml:space="preserve"> </w:t>
      </w:r>
      <w:r w:rsidRPr="00BE14FE">
        <w:rPr>
          <w:i/>
          <w:iCs/>
          <w:lang w:val="en-US"/>
        </w:rPr>
        <w:t>c</w:t>
      </w:r>
      <w:r>
        <w:rPr>
          <w:lang w:val="en-US"/>
        </w:rPr>
        <w:t>.</w:t>
      </w:r>
      <w:r w:rsidRPr="000060F8">
        <w:rPr>
          <w:i/>
          <w:iCs/>
          <w:lang w:val="en-US"/>
        </w:rPr>
        <w:t xml:space="preserve"> </w:t>
      </w:r>
      <w:proofErr w:type="spellStart"/>
      <w:r w:rsidRPr="000060F8">
        <w:rPr>
          <w:i/>
          <w:iCs/>
          <w:lang w:val="en-US"/>
        </w:rPr>
        <w:t>Gr</w:t>
      </w:r>
      <w:r>
        <w:rPr>
          <w:i/>
          <w:iCs/>
          <w:lang w:val="en-US"/>
        </w:rPr>
        <w:t>è</w:t>
      </w:r>
      <w:r w:rsidRPr="000060F8">
        <w:rPr>
          <w:i/>
          <w:iCs/>
          <w:lang w:val="en-US"/>
        </w:rPr>
        <w:t>ce</w:t>
      </w:r>
      <w:proofErr w:type="spellEnd"/>
      <w:r w:rsidRPr="000060F8">
        <w:rPr>
          <w:lang w:val="en-US"/>
        </w:rPr>
        <w:t xml:space="preserve"> (CCPR/C/86/D/1070/2002), par.</w:t>
      </w:r>
      <w:r>
        <w:rPr>
          <w:lang w:val="en-US"/>
        </w:rPr>
        <w:t> </w:t>
      </w:r>
      <w:r w:rsidRPr="000060F8">
        <w:rPr>
          <w:lang w:val="en-US"/>
        </w:rPr>
        <w:t>7.3</w:t>
      </w:r>
      <w:r w:rsidR="00BE14FE">
        <w:rPr>
          <w:lang w:val="en-US"/>
        </w:rPr>
        <w:t xml:space="preserve"> et </w:t>
      </w:r>
      <w:r w:rsidRPr="000060F8">
        <w:rPr>
          <w:lang w:val="en-US"/>
        </w:rPr>
        <w:t>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35F" w:rsidRDefault="00ED435F" w:rsidP="009D563C">
    <w:pPr>
      <w:pStyle w:val="En-tte"/>
    </w:pPr>
    <w:r>
      <w:t>CCPR/C/126/D/2603/2015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35F" w:rsidRPr="00FA222B" w:rsidRDefault="00ED435F" w:rsidP="009D563C">
    <w:pPr>
      <w:pStyle w:val="En-tte"/>
      <w:jc w:val="right"/>
    </w:pPr>
    <w:r>
      <w:t>CCPR/C/126/D/2603/2015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35F" w:rsidRPr="00DC700E" w:rsidRDefault="00ED435F">
    <w:pPr>
      <w:pStyle w:val="En-tte"/>
    </w:pPr>
    <w:fldSimple w:instr=" TITLE  \* MERGEFORMAT ">
      <w:r>
        <w:t>CCPR/C/126/D/2603/2015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35F" w:rsidRPr="00DC700E" w:rsidRDefault="00ED435F" w:rsidP="00DC700E">
    <w:pPr>
      <w:pStyle w:val="En-tte"/>
      <w:jc w:val="right"/>
    </w:pPr>
    <w:fldSimple w:instr=" TITLE  \* MERGEFORMAT ">
      <w:r>
        <w:t>CCPR/C/126/D/2603/2015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50D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6C251FC"/>
    <w:multiLevelType w:val="hybridMultilevel"/>
    <w:tmpl w:val="5F2A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D5712"/>
    <w:multiLevelType w:val="hybridMultilevel"/>
    <w:tmpl w:val="174C1E3E"/>
    <w:lvl w:ilvl="0" w:tplc="040C000F">
      <w:start w:val="1"/>
      <w:numFmt w:val="decimal"/>
      <w:lvlText w:val="%1."/>
      <w:lvlJc w:val="left"/>
      <w:pPr>
        <w:ind w:left="720" w:hanging="360"/>
      </w:pPr>
    </w:lvl>
    <w:lvl w:ilvl="1" w:tplc="B29ED190">
      <w:start w:val="1"/>
      <w:numFmt w:val="lowerLetter"/>
      <w:lvlText w:val="%2)"/>
      <w:lvlJc w:val="left"/>
      <w:pPr>
        <w:ind w:left="1644" w:hanging="564"/>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5B184A"/>
    <w:multiLevelType w:val="multilevel"/>
    <w:tmpl w:val="0F045DDE"/>
    <w:lvl w:ilvl="0">
      <w:start w:val="2"/>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6907AFA"/>
    <w:multiLevelType w:val="hybridMultilevel"/>
    <w:tmpl w:val="990E4A9E"/>
    <w:lvl w:ilvl="0" w:tplc="7CF2E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9AB66F5"/>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4BDB4B59"/>
    <w:multiLevelType w:val="multilevel"/>
    <w:tmpl w:val="C7685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DC0EDC"/>
    <w:multiLevelType w:val="multilevel"/>
    <w:tmpl w:val="701C5460"/>
    <w:lvl w:ilvl="0">
      <w:start w:val="1"/>
      <w:numFmt w:val="decimal"/>
      <w:lvlText w:val="%1"/>
      <w:lvlJc w:val="left"/>
      <w:pPr>
        <w:ind w:left="555" w:hanging="555"/>
      </w:pPr>
      <w:rPr>
        <w:rFonts w:hint="default"/>
      </w:rPr>
    </w:lvl>
    <w:lvl w:ilvl="1">
      <w:start w:val="1"/>
      <w:numFmt w:val="decimal"/>
      <w:lvlText w:val="%1.%2"/>
      <w:lvlJc w:val="left"/>
      <w:pPr>
        <w:ind w:left="1973"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15:restartNumberingAfterBreak="0">
    <w:nsid w:val="56C913BD"/>
    <w:multiLevelType w:val="multilevel"/>
    <w:tmpl w:val="B8041F34"/>
    <w:lvl w:ilvl="0">
      <w:start w:val="1"/>
      <w:numFmt w:val="decimal"/>
      <w:lvlText w:val="%1"/>
      <w:lvlJc w:val="left"/>
      <w:pPr>
        <w:ind w:left="555" w:hanging="555"/>
      </w:pPr>
      <w:rPr>
        <w:rFonts w:hint="default"/>
      </w:rPr>
    </w:lvl>
    <w:lvl w:ilvl="1">
      <w:start w:val="1"/>
      <w:numFmt w:val="decimal"/>
      <w:lvlText w:val="%1.%2"/>
      <w:lvlJc w:val="left"/>
      <w:pPr>
        <w:ind w:left="1695" w:hanging="55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2" w15:restartNumberingAfterBreak="0">
    <w:nsid w:val="58B26BDF"/>
    <w:multiLevelType w:val="multilevel"/>
    <w:tmpl w:val="54FA7AD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15:restartNumberingAfterBreak="0">
    <w:nsid w:val="62A46B7D"/>
    <w:multiLevelType w:val="multilevel"/>
    <w:tmpl w:val="B6207718"/>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CF757F6"/>
    <w:multiLevelType w:val="multilevel"/>
    <w:tmpl w:val="8B5E2A5C"/>
    <w:lvl w:ilvl="0">
      <w:start w:val="2"/>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25"/>
  </w:num>
  <w:num w:numId="2">
    <w:abstractNumId w:val="17"/>
  </w:num>
  <w:num w:numId="3">
    <w:abstractNumId w:val="12"/>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5"/>
  </w:num>
  <w:num w:numId="15">
    <w:abstractNumId w:val="17"/>
  </w:num>
  <w:num w:numId="16">
    <w:abstractNumId w:val="12"/>
  </w:num>
  <w:num w:numId="17">
    <w:abstractNumId w:val="25"/>
  </w:num>
  <w:num w:numId="18">
    <w:abstractNumId w:val="17"/>
  </w:num>
  <w:num w:numId="19">
    <w:abstractNumId w:val="12"/>
  </w:num>
  <w:num w:numId="20">
    <w:abstractNumId w:val="11"/>
  </w:num>
  <w:num w:numId="21">
    <w:abstractNumId w:val="24"/>
  </w:num>
  <w:num w:numId="22">
    <w:abstractNumId w:val="0"/>
  </w:num>
  <w:num w:numId="23">
    <w:abstractNumId w:val="13"/>
  </w:num>
  <w:num w:numId="24">
    <w:abstractNumId w:val="22"/>
  </w:num>
  <w:num w:numId="25">
    <w:abstractNumId w:val="18"/>
  </w:num>
  <w:num w:numId="26">
    <w:abstractNumId w:val="23"/>
  </w:num>
  <w:num w:numId="27">
    <w:abstractNumId w:val="19"/>
  </w:num>
  <w:num w:numId="28">
    <w:abstractNumId w:val="26"/>
  </w:num>
  <w:num w:numId="29">
    <w:abstractNumId w:val="15"/>
  </w:num>
  <w:num w:numId="30">
    <w:abstractNumId w:val="16"/>
  </w:num>
  <w:num w:numId="31">
    <w:abstractNumId w:val="20"/>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4E46"/>
    <w:rsid w:val="00017F94"/>
    <w:rsid w:val="00023842"/>
    <w:rsid w:val="000334F9"/>
    <w:rsid w:val="0007796D"/>
    <w:rsid w:val="000B7790"/>
    <w:rsid w:val="000C2225"/>
    <w:rsid w:val="00111F2F"/>
    <w:rsid w:val="0014365E"/>
    <w:rsid w:val="00163B4D"/>
    <w:rsid w:val="00176178"/>
    <w:rsid w:val="001B379B"/>
    <w:rsid w:val="001F525A"/>
    <w:rsid w:val="00223272"/>
    <w:rsid w:val="0024779E"/>
    <w:rsid w:val="002751B9"/>
    <w:rsid w:val="002B7BC7"/>
    <w:rsid w:val="002E2D46"/>
    <w:rsid w:val="0032225A"/>
    <w:rsid w:val="003402F1"/>
    <w:rsid w:val="00351332"/>
    <w:rsid w:val="00365262"/>
    <w:rsid w:val="003A6E96"/>
    <w:rsid w:val="00446FE5"/>
    <w:rsid w:val="00452396"/>
    <w:rsid w:val="00457C99"/>
    <w:rsid w:val="005505B7"/>
    <w:rsid w:val="00573BE5"/>
    <w:rsid w:val="00586ED3"/>
    <w:rsid w:val="00596AA9"/>
    <w:rsid w:val="005A5B2F"/>
    <w:rsid w:val="006E4422"/>
    <w:rsid w:val="006F7144"/>
    <w:rsid w:val="006F71EA"/>
    <w:rsid w:val="0071601D"/>
    <w:rsid w:val="0079287E"/>
    <w:rsid w:val="00793E85"/>
    <w:rsid w:val="007A611C"/>
    <w:rsid w:val="007A62E6"/>
    <w:rsid w:val="007E2032"/>
    <w:rsid w:val="0080684C"/>
    <w:rsid w:val="008266D8"/>
    <w:rsid w:val="008560DB"/>
    <w:rsid w:val="00871C75"/>
    <w:rsid w:val="008776DC"/>
    <w:rsid w:val="00905672"/>
    <w:rsid w:val="00941207"/>
    <w:rsid w:val="009705C8"/>
    <w:rsid w:val="009B1E6C"/>
    <w:rsid w:val="009D563C"/>
    <w:rsid w:val="009E2C6A"/>
    <w:rsid w:val="00A640A6"/>
    <w:rsid w:val="00A74E46"/>
    <w:rsid w:val="00A9151D"/>
    <w:rsid w:val="00AA6A35"/>
    <w:rsid w:val="00AC3823"/>
    <w:rsid w:val="00AE323C"/>
    <w:rsid w:val="00B00181"/>
    <w:rsid w:val="00B237B1"/>
    <w:rsid w:val="00B72E52"/>
    <w:rsid w:val="00B73B43"/>
    <w:rsid w:val="00B765F7"/>
    <w:rsid w:val="00BA0CA9"/>
    <w:rsid w:val="00BA2F33"/>
    <w:rsid w:val="00BE14FE"/>
    <w:rsid w:val="00C01ACF"/>
    <w:rsid w:val="00C02897"/>
    <w:rsid w:val="00CA7BC4"/>
    <w:rsid w:val="00D05667"/>
    <w:rsid w:val="00D3439C"/>
    <w:rsid w:val="00D744E5"/>
    <w:rsid w:val="00D83177"/>
    <w:rsid w:val="00DB1831"/>
    <w:rsid w:val="00DC700E"/>
    <w:rsid w:val="00DD3BFD"/>
    <w:rsid w:val="00DF6678"/>
    <w:rsid w:val="00E85C42"/>
    <w:rsid w:val="00EC30D5"/>
    <w:rsid w:val="00ED435F"/>
    <w:rsid w:val="00EE1BD4"/>
    <w:rsid w:val="00F12152"/>
    <w:rsid w:val="00F27FDC"/>
    <w:rsid w:val="00F439FD"/>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1D3078"/>
  <w15:docId w15:val="{96D84396-B699-4DA8-987E-2D563457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457C99"/>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457C9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57C9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457C99"/>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457C99"/>
    <w:pPr>
      <w:spacing w:line="240" w:lineRule="auto"/>
    </w:pPr>
  </w:style>
  <w:style w:type="character" w:customStyle="1" w:styleId="CommentaireCar">
    <w:name w:val="Commentaire Car"/>
    <w:basedOn w:val="Policepardfaut"/>
    <w:link w:val="Commentaire"/>
    <w:uiPriority w:val="99"/>
    <w:semiHidden/>
    <w:rsid w:val="00457C99"/>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rsid w:val="00457C99"/>
    <w:rPr>
      <w:b/>
      <w:bCs/>
    </w:rPr>
  </w:style>
  <w:style w:type="character" w:customStyle="1" w:styleId="ObjetducommentaireCar">
    <w:name w:val="Objet du commentaire Car"/>
    <w:basedOn w:val="CommentaireCar"/>
    <w:link w:val="Objetducommentaire"/>
    <w:rsid w:val="00457C99"/>
    <w:rPr>
      <w:rFonts w:ascii="Times New Roman" w:eastAsiaTheme="minorHAnsi" w:hAnsi="Times New Roman" w:cs="Times New Roman"/>
      <w:b/>
      <w:bCs/>
      <w:sz w:val="20"/>
      <w:szCs w:val="20"/>
      <w:lang w:eastAsia="en-US"/>
    </w:rPr>
  </w:style>
  <w:style w:type="paragraph" w:styleId="Rvision">
    <w:name w:val="Revision"/>
    <w:hidden/>
    <w:uiPriority w:val="99"/>
    <w:unhideWhenUsed/>
    <w:rsid w:val="00457C99"/>
    <w:pPr>
      <w:spacing w:after="0" w:line="240" w:lineRule="auto"/>
    </w:pPr>
    <w:rPr>
      <w:rFonts w:ascii="Times New Roman" w:eastAsia="MS Mincho" w:hAnsi="Times New Roman" w:cs="Times New Roman"/>
      <w:sz w:val="20"/>
      <w:szCs w:val="20"/>
      <w:lang w:val="en-GB" w:eastAsia="en-US"/>
    </w:rPr>
  </w:style>
  <w:style w:type="paragraph" w:styleId="Paragraphedeliste">
    <w:name w:val="List Paragraph"/>
    <w:basedOn w:val="Normal"/>
    <w:uiPriority w:val="34"/>
    <w:qFormat/>
    <w:rsid w:val="00457C99"/>
    <w:pPr>
      <w:ind w:left="720"/>
      <w:contextualSpacing/>
    </w:pPr>
  </w:style>
  <w:style w:type="character" w:styleId="Mentionnonrsolue">
    <w:name w:val="Unresolved Mention"/>
    <w:basedOn w:val="Policepardfaut"/>
    <w:uiPriority w:val="99"/>
    <w:semiHidden/>
    <w:unhideWhenUsed/>
    <w:rsid w:val="00B72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file:///C:\Users\Sylviebenoit\AppData\Roaming\Microsoft\Word\www.refworld.org\docid\5b8900109.html" TargetMode="External"/><Relationship Id="rId2" Type="http://schemas.openxmlformats.org/officeDocument/2006/relationships/hyperlink" Target="http://www.landinfo.no/asset/3589/1/3589_1.pdf" TargetMode="External"/><Relationship Id="rId1" Type="http://schemas.openxmlformats.org/officeDocument/2006/relationships/hyperlink" Target="https://landinfo.no/wp-content/uploads/2018/03/Afghanistan-Taliban%E2%80%99s-Intelligence-and-the-intimidation-campaign-2308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721E-0A45-4A6F-8076-4AF5CE63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6591</Words>
  <Characters>38626</Characters>
  <Application>Microsoft Office Word</Application>
  <DocSecurity>0</DocSecurity>
  <Lines>3511</Lines>
  <Paragraphs>1507</Paragraphs>
  <ScaleCrop>false</ScaleCrop>
  <HeadingPairs>
    <vt:vector size="2" baseType="variant">
      <vt:variant>
        <vt:lpstr>Titre</vt:lpstr>
      </vt:variant>
      <vt:variant>
        <vt:i4>1</vt:i4>
      </vt:variant>
    </vt:vector>
  </HeadingPairs>
  <TitlesOfParts>
    <vt:vector size="1" baseType="lpstr">
      <vt:lpstr>CCPR/C/126/D/2603/2015</vt:lpstr>
    </vt:vector>
  </TitlesOfParts>
  <Company>DCM</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CCPR/C/126/D/2603/2015</dc:title>
  <dc:subject/>
  <dc:creator>Nathalie VITTOZ</dc:creator>
  <cp:keywords/>
  <cp:lastModifiedBy>Nathalie Vittoz</cp:lastModifiedBy>
  <cp:revision>2</cp:revision>
  <cp:lastPrinted>2014-05-14T10:59:00Z</cp:lastPrinted>
  <dcterms:created xsi:type="dcterms:W3CDTF">2020-10-21T10:58:00Z</dcterms:created>
  <dcterms:modified xsi:type="dcterms:W3CDTF">2020-10-21T10:58:00Z</dcterms:modified>
</cp:coreProperties>
</file>