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173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1733C" w:rsidP="0001733C">
            <w:pPr>
              <w:jc w:val="right"/>
            </w:pPr>
            <w:r w:rsidRPr="0001733C">
              <w:rPr>
                <w:sz w:val="40"/>
              </w:rPr>
              <w:t>CERD</w:t>
            </w:r>
            <w:r>
              <w:t>/C/BIH/CO/12-13</w:t>
            </w:r>
          </w:p>
        </w:tc>
      </w:tr>
      <w:tr w:rsidR="002D5AAC" w:rsidRPr="00D833F1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1733C" w:rsidRDefault="0001733C" w:rsidP="008D2AAD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</w:t>
            </w:r>
            <w:r w:rsidRPr="0001733C">
              <w:rPr>
                <w:lang w:val="en-US"/>
              </w:rPr>
              <w:t>al</w:t>
            </w:r>
          </w:p>
          <w:p w:rsidR="0001733C" w:rsidRPr="0001733C" w:rsidRDefault="0001733C" w:rsidP="0001733C">
            <w:pPr>
              <w:spacing w:line="240" w:lineRule="exact"/>
              <w:rPr>
                <w:lang w:val="en-US"/>
              </w:rPr>
            </w:pPr>
            <w:r w:rsidRPr="0001733C">
              <w:rPr>
                <w:lang w:val="en-US"/>
              </w:rPr>
              <w:t>10 September 2018</w:t>
            </w:r>
          </w:p>
          <w:p w:rsidR="0001733C" w:rsidRPr="0001733C" w:rsidRDefault="0001733C" w:rsidP="0001733C">
            <w:pPr>
              <w:spacing w:line="240" w:lineRule="exact"/>
              <w:rPr>
                <w:lang w:val="en-US"/>
              </w:rPr>
            </w:pPr>
            <w:r w:rsidRPr="0001733C">
              <w:rPr>
                <w:lang w:val="en-US"/>
              </w:rPr>
              <w:t>Russian</w:t>
            </w:r>
          </w:p>
          <w:p w:rsidR="0001733C" w:rsidRPr="0001733C" w:rsidRDefault="0001733C" w:rsidP="0001733C">
            <w:pPr>
              <w:spacing w:line="240" w:lineRule="exact"/>
              <w:rPr>
                <w:lang w:val="en-US"/>
              </w:rPr>
            </w:pPr>
            <w:r w:rsidRPr="0001733C">
              <w:rPr>
                <w:lang w:val="en-US"/>
              </w:rPr>
              <w:t>Original: English</w:t>
            </w:r>
          </w:p>
        </w:tc>
      </w:tr>
    </w:tbl>
    <w:p w:rsidR="0001733C" w:rsidRPr="001D05A1" w:rsidRDefault="0001733C" w:rsidP="0001733C">
      <w:pPr>
        <w:spacing w:before="120"/>
        <w:rPr>
          <w:b/>
          <w:sz w:val="24"/>
          <w:szCs w:val="24"/>
        </w:rPr>
      </w:pPr>
      <w:r w:rsidRPr="001D05A1">
        <w:rPr>
          <w:b/>
          <w:sz w:val="24"/>
          <w:szCs w:val="24"/>
        </w:rPr>
        <w:t>Комитет по ликвидации расовой дискриминации</w:t>
      </w:r>
    </w:p>
    <w:p w:rsidR="0001733C" w:rsidRPr="001D05A1" w:rsidRDefault="0001733C" w:rsidP="0001733C">
      <w:pPr>
        <w:pStyle w:val="HChG"/>
        <w:rPr>
          <w:szCs w:val="28"/>
          <w:lang w:val="ru-RU"/>
        </w:rPr>
      </w:pPr>
      <w:r w:rsidRPr="001D05A1">
        <w:rPr>
          <w:lang w:val="ru-RU"/>
        </w:rPr>
        <w:tab/>
      </w:r>
      <w:r w:rsidRPr="001D05A1">
        <w:rPr>
          <w:lang w:val="ru-RU"/>
        </w:rPr>
        <w:tab/>
      </w:r>
      <w:r w:rsidRPr="001D05A1">
        <w:rPr>
          <w:szCs w:val="28"/>
          <w:lang w:val="ru-RU"/>
        </w:rPr>
        <w:t xml:space="preserve">Заключительные замечания по </w:t>
      </w:r>
      <w:r>
        <w:rPr>
          <w:szCs w:val="28"/>
          <w:lang w:val="ru-RU"/>
        </w:rPr>
        <w:t>объединенным двенадцатому и тринадцатому периодическим докладам Боснии и Герцеговины</w:t>
      </w:r>
      <w:r w:rsidRPr="007B5724">
        <w:rPr>
          <w:rStyle w:val="ab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01733C" w:rsidRDefault="0001733C" w:rsidP="0001733C">
      <w:pPr>
        <w:pStyle w:val="SingleTxtGR"/>
      </w:pPr>
      <w:r w:rsidRPr="00FC6C92">
        <w:t>1.</w:t>
      </w:r>
      <w:r w:rsidRPr="00FC6C92">
        <w:tab/>
      </w:r>
      <w:r>
        <w:t>Комитет рассмотрел объединенные двенадцатый и тринадцатый периодические доклады Боснии и Герцеговины (CERD/C/BIH/12-13), представленные в одном документе, на своих 2652-м и 2653-м заседаниях (CERD/C/SR.2652 и 2653), состоявшихся 9 и 10 августа 2018 года. На своем 2670</w:t>
      </w:r>
      <w:r>
        <w:noBreakHyphen/>
        <w:t>м заседании, состоявшемся 23</w:t>
      </w:r>
      <w:r w:rsidR="007B5724">
        <w:rPr>
          <w:lang w:val="en-US"/>
        </w:rPr>
        <w:t> </w:t>
      </w:r>
      <w:r>
        <w:t>августа 2018 года, он принял настоящие заключительные замечания.</w:t>
      </w:r>
    </w:p>
    <w:p w:rsidR="0001733C" w:rsidRPr="00480F2D" w:rsidRDefault="0001733C" w:rsidP="0001733C">
      <w:pPr>
        <w:pStyle w:val="SingleTxtGR"/>
        <w:tabs>
          <w:tab w:val="right" w:pos="1170"/>
        </w:tabs>
        <w:spacing w:before="360" w:after="240"/>
        <w:ind w:left="1138" w:right="1138" w:hanging="418"/>
        <w:rPr>
          <w:b/>
          <w:bCs/>
          <w:sz w:val="24"/>
          <w:szCs w:val="24"/>
        </w:rPr>
      </w:pPr>
      <w:r w:rsidRPr="00480F2D">
        <w:rPr>
          <w:b/>
          <w:bCs/>
          <w:sz w:val="24"/>
          <w:szCs w:val="24"/>
        </w:rPr>
        <w:t>A.</w:t>
      </w:r>
      <w:r w:rsidRPr="00480F2D">
        <w:rPr>
          <w:b/>
          <w:bCs/>
          <w:sz w:val="24"/>
          <w:szCs w:val="24"/>
        </w:rPr>
        <w:tab/>
        <w:t>Введение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2.</w:t>
      </w:r>
      <w:r>
        <w:tab/>
        <w:t>Комитет приветствует представление двенадцатого и тринадцатого периодических докладов государства-участника.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3.</w:t>
      </w:r>
      <w:r>
        <w:tab/>
        <w:t>Комитет выражает признательность за откровенный и конструктивный диалог с крупной делегацией государства-участника. Комитет хотел бы поблагодарить делегацию за информацию, предоставленную в ходе рассмотрения доклада, и за дополнительную информацию, представленную в ходе диалога.</w:t>
      </w:r>
    </w:p>
    <w:p w:rsidR="0001733C" w:rsidRPr="00480F2D" w:rsidRDefault="0001733C" w:rsidP="0001733C">
      <w:pPr>
        <w:pStyle w:val="SingleTxtGR"/>
        <w:tabs>
          <w:tab w:val="right" w:pos="1170"/>
        </w:tabs>
        <w:spacing w:before="360" w:after="240"/>
        <w:ind w:left="1138" w:right="1138" w:hanging="418"/>
        <w:rPr>
          <w:b/>
          <w:bCs/>
          <w:sz w:val="24"/>
          <w:szCs w:val="24"/>
        </w:rPr>
      </w:pPr>
      <w:r w:rsidRPr="00480F2D">
        <w:rPr>
          <w:b/>
          <w:bCs/>
          <w:sz w:val="24"/>
          <w:szCs w:val="24"/>
        </w:rPr>
        <w:t>B.</w:t>
      </w:r>
      <w:r w:rsidRPr="00480F2D">
        <w:rPr>
          <w:b/>
          <w:bCs/>
          <w:sz w:val="24"/>
          <w:szCs w:val="24"/>
        </w:rPr>
        <w:tab/>
        <w:t>Позитивные аспекты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4.</w:t>
      </w:r>
      <w:r>
        <w:tab/>
        <w:t>Комитет приветствует выраженную государством-участником приверженность применению основных принципов Международной конвенции о ликвидации всех форм расовой дискриминации и защите прав человека и основных свобод, закрепленных в его Конституции и законодательстве, а также его усилия по корректировке своих директив, программ и административных мер с целью обеспечить дальнейшую защиту прав человека и осуществление Конвенции, включая:</w:t>
      </w:r>
    </w:p>
    <w:p w:rsidR="0001733C" w:rsidRDefault="0001733C" w:rsidP="0001733C">
      <w:pPr>
        <w:pStyle w:val="SingleTxtGR"/>
        <w:tabs>
          <w:tab w:val="right" w:pos="1170"/>
        </w:tabs>
      </w:pPr>
      <w:r>
        <w:tab/>
      </w:r>
      <w:r>
        <w:tab/>
        <w:t>a)</w:t>
      </w:r>
      <w:r>
        <w:tab/>
        <w:t>новый Закон об убежище – в 2016 году;</w:t>
      </w:r>
    </w:p>
    <w:p w:rsidR="0001733C" w:rsidRDefault="0001733C" w:rsidP="0001733C">
      <w:pPr>
        <w:pStyle w:val="SingleTxtGR"/>
        <w:tabs>
          <w:tab w:val="right" w:pos="1170"/>
        </w:tabs>
      </w:pPr>
      <w:r>
        <w:tab/>
      </w:r>
      <w:r>
        <w:tab/>
        <w:t>b)</w:t>
      </w:r>
      <w:r>
        <w:tab/>
        <w:t>поправки к Закону о запрещении дискриминации – в 2016 году;</w:t>
      </w:r>
    </w:p>
    <w:p w:rsidR="0001733C" w:rsidRDefault="0001733C" w:rsidP="0001733C">
      <w:pPr>
        <w:pStyle w:val="SingleTxtGR"/>
        <w:tabs>
          <w:tab w:val="right" w:pos="1170"/>
        </w:tabs>
      </w:pPr>
      <w:r>
        <w:tab/>
      </w:r>
      <w:r>
        <w:tab/>
        <w:t>c)</w:t>
      </w:r>
      <w:r>
        <w:tab/>
        <w:t>поправки к Закону о гражданстве – в 2016 году;</w:t>
      </w:r>
    </w:p>
    <w:p w:rsidR="0001733C" w:rsidRDefault="0001733C" w:rsidP="0001733C">
      <w:pPr>
        <w:pStyle w:val="SingleTxtGR"/>
        <w:tabs>
          <w:tab w:val="right" w:pos="1170"/>
        </w:tabs>
      </w:pPr>
      <w:r>
        <w:tab/>
      </w:r>
      <w:r>
        <w:tab/>
        <w:t>d)</w:t>
      </w:r>
      <w:r>
        <w:tab/>
        <w:t>поправки к Закону об омбудсмене по правам человека – в 2015 году;</w:t>
      </w:r>
    </w:p>
    <w:p w:rsidR="0001733C" w:rsidRDefault="0001733C" w:rsidP="0001733C">
      <w:pPr>
        <w:pStyle w:val="SingleTxtGR"/>
        <w:tabs>
          <w:tab w:val="right" w:pos="1170"/>
        </w:tabs>
      </w:pPr>
      <w:r>
        <w:tab/>
      </w:r>
      <w:r>
        <w:tab/>
        <w:t>е)</w:t>
      </w:r>
      <w:r>
        <w:tab/>
        <w:t>Закон об иностранцах – в 2015 году;</w:t>
      </w:r>
    </w:p>
    <w:p w:rsidR="0001733C" w:rsidRDefault="0001733C" w:rsidP="007B5724">
      <w:pPr>
        <w:pStyle w:val="SingleTxtGR"/>
        <w:tabs>
          <w:tab w:val="right" w:pos="1170"/>
        </w:tabs>
      </w:pPr>
      <w:r>
        <w:tab/>
      </w:r>
      <w:r>
        <w:tab/>
        <w:t>f)</w:t>
      </w:r>
      <w:r>
        <w:tab/>
        <w:t>пересмотренный План действий по разрешению проблем рома в сфере занятости, жилья и здравоохранения на 2016–2020 годы.</w:t>
      </w:r>
    </w:p>
    <w:p w:rsidR="0001733C" w:rsidRPr="00480F2D" w:rsidRDefault="0001733C" w:rsidP="0001733C">
      <w:pPr>
        <w:pStyle w:val="SingleTxtGR"/>
        <w:tabs>
          <w:tab w:val="right" w:pos="1170"/>
        </w:tabs>
        <w:spacing w:before="360" w:after="240"/>
        <w:ind w:left="1138" w:right="1138" w:hanging="418"/>
        <w:rPr>
          <w:b/>
          <w:bCs/>
          <w:sz w:val="24"/>
          <w:szCs w:val="24"/>
        </w:rPr>
      </w:pPr>
      <w:r w:rsidRPr="00480F2D">
        <w:rPr>
          <w:b/>
          <w:bCs/>
          <w:sz w:val="24"/>
          <w:szCs w:val="24"/>
        </w:rPr>
        <w:lastRenderedPageBreak/>
        <w:t>C.</w:t>
      </w:r>
      <w:r w:rsidRPr="00480F2D">
        <w:rPr>
          <w:b/>
          <w:bCs/>
          <w:sz w:val="24"/>
          <w:szCs w:val="24"/>
        </w:rPr>
        <w:tab/>
        <w:t>Вопросы, вызывающие озабоченность, и рекомендации</w:t>
      </w:r>
    </w:p>
    <w:p w:rsidR="0001733C" w:rsidRPr="007B5724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7B5724">
        <w:rPr>
          <w:lang w:val="ru-RU"/>
        </w:rPr>
        <w:t>Хронические этнические трения, этнорелигиозные раздоры и</w:t>
      </w:r>
      <w:r w:rsidR="0001733C">
        <w:t> </w:t>
      </w:r>
      <w:r w:rsidR="0001733C" w:rsidRPr="007B5724">
        <w:rPr>
          <w:lang w:val="ru-RU"/>
        </w:rPr>
        <w:t>необходимость примирения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5.</w:t>
      </w:r>
      <w:r>
        <w:tab/>
        <w:t>Комитет сознает опустошительные последствия войны 1992–1995 годов и прилагаемые усилия по восстановлению общества, но по-прежнему испытывает озабоченность в связи с тем, что спустя больше 20 лет после окончания войны и заключения Дейтонского мирного соглашения страна остается расколотой по этническим и этнорелигиозным контурам; и, как иллюстрируют повторяющиеся этнические трения, такие расколы стали обыденным явлением, и в том числе на политическом и административном уровнях. Комитет также испытывает озабоченность в связи с тем, что такие расколы пронизывает этнические и национальные группы по всей территории и создают препятствия для процесса принятия решений и усилий в русле выстраивания доверия за счет принятия законов, институциональных средств и стратегий, культивирующих интеграцию и примирение, а следовательно, и препятству</w:t>
      </w:r>
      <w:r w:rsidR="00D833F1">
        <w:t>ю</w:t>
      </w:r>
      <w:r>
        <w:t>т борьбе с расовой дискриминацией (статьи 1, 2 и 7).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6.</w:t>
      </w:r>
      <w:r>
        <w:tab/>
      </w:r>
      <w:r w:rsidRPr="002A0E2E">
        <w:rPr>
          <w:b/>
          <w:bCs/>
        </w:rPr>
        <w:t>Комитет настоятельно призывает государство-участник прин</w:t>
      </w:r>
      <w:r>
        <w:rPr>
          <w:b/>
          <w:bCs/>
        </w:rPr>
        <w:t xml:space="preserve">имать </w:t>
      </w:r>
      <w:r w:rsidRPr="002A0E2E">
        <w:rPr>
          <w:b/>
          <w:bCs/>
        </w:rPr>
        <w:t>в консультации со всеми сторонами по всей территории</w:t>
      </w:r>
      <w:r w:rsidRPr="00723BD9">
        <w:rPr>
          <w:b/>
          <w:bCs/>
        </w:rPr>
        <w:t xml:space="preserve"> </w:t>
      </w:r>
      <w:r w:rsidRPr="002A0E2E">
        <w:rPr>
          <w:b/>
          <w:bCs/>
        </w:rPr>
        <w:t>все необходимые меры</w:t>
      </w:r>
      <w:r>
        <w:rPr>
          <w:b/>
          <w:bCs/>
        </w:rPr>
        <w:t xml:space="preserve"> к тому</w:t>
      </w:r>
      <w:r w:rsidRPr="002A0E2E">
        <w:rPr>
          <w:b/>
          <w:bCs/>
        </w:rPr>
        <w:t>, чтобы преодолеть этнические трения и расколы, которые препятствуют правовому, институциональному и директивному продвижению в русле большей интеграции общества и примирения и увековечивают расовую дискриминацию. Комитет рекомендует государству-участнику принять конкретные меры в поиске решения, поощряющего более интегрированное обществ</w:t>
      </w:r>
      <w:r w:rsidR="00D833F1">
        <w:rPr>
          <w:b/>
          <w:bCs/>
        </w:rPr>
        <w:t>о</w:t>
      </w:r>
      <w:r w:rsidRPr="002A0E2E">
        <w:rPr>
          <w:b/>
          <w:bCs/>
        </w:rPr>
        <w:t xml:space="preserve"> на основе ценностей равенства и недискриминации, в котором участвовали бы все граждане вне зависимости от их этнической, этнорелигиозной или национальной принадлежности</w:t>
      </w:r>
      <w:r>
        <w:t>.</w:t>
      </w:r>
    </w:p>
    <w:p w:rsidR="0001733C" w:rsidRPr="00D833F1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D833F1">
        <w:rPr>
          <w:lang w:val="ru-RU"/>
        </w:rPr>
        <w:t>Статистика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7.</w:t>
      </w:r>
      <w:r>
        <w:tab/>
        <w:t>Комитет приветствует опубликованные в 2015 году</w:t>
      </w:r>
      <w:r w:rsidRPr="00D8371A">
        <w:t xml:space="preserve"> </w:t>
      </w:r>
      <w:r>
        <w:t>результаты переписи 2013</w:t>
      </w:r>
      <w:r w:rsidR="007B5724">
        <w:rPr>
          <w:lang w:val="en-US"/>
        </w:rPr>
        <w:t> </w:t>
      </w:r>
      <w:r>
        <w:t>года, но испытывает сожаление в связи с тем, что доклад государства-участника не приводит обновленную и дезагрегированную статистику об этническом составе своего населения и приводит особенно недостаточные социально</w:t>
      </w:r>
      <w:r w:rsidRPr="007F3404">
        <w:t>-</w:t>
      </w:r>
      <w:r>
        <w:t>экономические показатели по разным этническим и национальным группам, проживающим на его территории, включая рома, возвращенцев, беженцев и просителей убежища. Комитет испытывает озабоченность в связи с полученной им противоречивой информацией относительно численности проживающих в Боснии и Герцеговине рома и возвращенцев. Он далее испытывает озабоченность в связи с предоставленной делегацией государства-участника информацией о том, что статистика о численности рома и возвращенцев не является надежн</w:t>
      </w:r>
      <w:r w:rsidR="00D833F1">
        <w:t>ой</w:t>
      </w:r>
      <w:r>
        <w:t xml:space="preserve"> и с трудом поддается сбору.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8.</w:t>
      </w:r>
      <w:r>
        <w:tab/>
      </w:r>
      <w:r w:rsidRPr="002F32BD">
        <w:rPr>
          <w:b/>
          <w:bCs/>
        </w:rPr>
        <w:t>Комитет рекомендует государству-участнику предоставить надежные, обновленные и дезагрегированных данные об этническом составе своего населения, а также социально-экономические показатели по этническим и национальным группам, проживающим на его территории, и в том числе по рома, возвращенцам, беженцам и просителям убежища, с тем чтобы позволить Комитету оценить, как эти группы пользуются своими правами по Конвенции. Комитет также рекомендует государству-участнику разработать действенные инструменты и процедуры, которые позволяли бы ему собирать надежные данные о численности рома и возвращенцев, проживающих в Боснии и Герцеговине</w:t>
      </w:r>
      <w:r>
        <w:t>.</w:t>
      </w:r>
    </w:p>
    <w:p w:rsidR="0001733C" w:rsidRPr="007B5724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7B5724">
        <w:rPr>
          <w:lang w:val="ru-RU"/>
        </w:rPr>
        <w:t>Соблюдение законодательства в связи со статьей 1 Конвенции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9.</w:t>
      </w:r>
      <w:r>
        <w:tab/>
        <w:t xml:space="preserve">Отмечая, что определение расовой дискриминации, закрепленное в статье 2 Закона о запрещении дискриминации, содержит все признаки, перечисленные в статье 1 Конвенции, Комитет испытывает озабоченность в связи с отсутствием признаков «этническое происхождение», «цвет кожи» и «родовое происхождение» </w:t>
      </w:r>
      <w:r w:rsidR="007B5724">
        <w:br/>
      </w:r>
      <w:r>
        <w:lastRenderedPageBreak/>
        <w:t xml:space="preserve">в статье 145 (1) (а) Уголовного кодекса, которая запрещает и криминализует </w:t>
      </w:r>
      <w:bookmarkStart w:id="0" w:name="_GoBack"/>
      <w:bookmarkEnd w:id="0"/>
      <w:r>
        <w:t>подстрекательство к расовой, этнической и религиозной ненависти (статьи 1, 2 и 4).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10.</w:t>
      </w:r>
      <w:r>
        <w:tab/>
      </w:r>
      <w:r w:rsidRPr="0036355E">
        <w:rPr>
          <w:b/>
          <w:bCs/>
        </w:rPr>
        <w:t xml:space="preserve">Комитет рекомендует государству-участнику включить в статью 145 (1) (а) своего Уголовного кодекса все признаки дискриминации в полном соответствии со статьей 1 Конвенции и обеспечить, чтобы то же самое было сделано и в уголовных кодексах </w:t>
      </w:r>
      <w:r>
        <w:rPr>
          <w:b/>
          <w:bCs/>
        </w:rPr>
        <w:t>(</w:t>
      </w:r>
      <w:r w:rsidRPr="0036355E">
        <w:rPr>
          <w:b/>
          <w:bCs/>
        </w:rPr>
        <w:t>энтитетов</w:t>
      </w:r>
      <w:r>
        <w:rPr>
          <w:b/>
          <w:bCs/>
        </w:rPr>
        <w:t>)</w:t>
      </w:r>
      <w:r>
        <w:t>.</w:t>
      </w:r>
    </w:p>
    <w:p w:rsidR="0001733C" w:rsidRPr="007B5724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7B5724">
        <w:rPr>
          <w:lang w:val="ru-RU"/>
        </w:rPr>
        <w:t>Дискриминация в отношении граждан, не принадлежащих к трем государствообразующим народам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11.</w:t>
      </w:r>
      <w:r>
        <w:tab/>
        <w:t xml:space="preserve">Комитет по-прежнему испытывает озабоченность в связи с тем, что в Конституции и избирательных законах государства-участника и в соответствующих актах на уровне энтитетов, несмотря на предыдущие рекомендации Комитета (CERD/C/BIH/CO/911, пункт 5) и постановление Европейского суда по правам человека по делу </w:t>
      </w:r>
      <w:r w:rsidRPr="0036355E">
        <w:rPr>
          <w:i/>
          <w:iCs/>
        </w:rPr>
        <w:t>Сейдич и Финци против Боснии и Герцеговины</w:t>
      </w:r>
      <w:r>
        <w:t>, все еще содержатся дискриминационные положения, которые не позволяют «другим» баллотироваться в качестве кандидатов на пост председателя Президиума и депутатов Палаты народов. Комитет также испытывает озабоченность в связи с сохранением дискриминационных положений в некоторых местных законах и регламентах, которые дают государствообразующим народам в Федерации Боснии и Герцеговины и Республике Сербской особые привилегии по сравнению с «другими» (статья 2).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12.</w:t>
      </w:r>
      <w:r>
        <w:tab/>
      </w:r>
      <w:r w:rsidRPr="00756509">
        <w:rPr>
          <w:b/>
          <w:bCs/>
        </w:rPr>
        <w:t xml:space="preserve">Комитет настоятельно призывает государство-участник принять конкретные меры по преодолению препятствий к принятию поправок в Конституцию и избирательные законы на всех уровнях. В этом ракурсе Комитет рекомендует государству-участнику побуждать все стороны к консенсусу и наметить и реализовывать </w:t>
      </w:r>
      <w:r>
        <w:rPr>
          <w:b/>
          <w:bCs/>
        </w:rPr>
        <w:t xml:space="preserve">плановый </w:t>
      </w:r>
      <w:r w:rsidRPr="00756509">
        <w:rPr>
          <w:b/>
          <w:bCs/>
        </w:rPr>
        <w:t>график осуществления рекомендаций Комитета и постановления Европейского суда по правам человека. Комитет также рекомендует государству-участнику обеспечить внесение поправок в местные законы и регламенты, чтобы позволить другим этническим и национальным группам и государствообразующим народам пользоваться одинаковыми правами на равной основе</w:t>
      </w:r>
      <w:r>
        <w:t>.</w:t>
      </w:r>
    </w:p>
    <w:p w:rsidR="0001733C" w:rsidRPr="00D833F1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D833F1">
        <w:rPr>
          <w:lang w:val="ru-RU"/>
        </w:rPr>
        <w:t>Омбудсмен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13.</w:t>
      </w:r>
      <w:r>
        <w:tab/>
        <w:t>Комитет приветствует тот факт, что создан и функционирует в полной мере институт омбудсмена Боснии и Герцеговины</w:t>
      </w:r>
      <w:r w:rsidRPr="00756509">
        <w:t xml:space="preserve"> </w:t>
      </w:r>
      <w:r>
        <w:t xml:space="preserve">по правам человека, но он по-прежнему испытывает озабоченность в связи со следующим: a) ограниченная независимость омбудсмена; b) отсутствие в бюджете отдельной строки, которой было бы предусмотрено финансирование работы Департамента по ликвидации всех форм дискриминации; c) недостаточность финансовых ресурсов у омбудсмена; </w:t>
      </w:r>
      <w:r w:rsidR="007B5724">
        <w:br/>
      </w:r>
      <w:r>
        <w:t>и d) предположительно низкий уровень соблюдения рекомендаций омбудсмена (статья 2).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14.</w:t>
      </w:r>
      <w:r>
        <w:tab/>
      </w:r>
      <w:r w:rsidRPr="00550809">
        <w:rPr>
          <w:b/>
          <w:bCs/>
        </w:rPr>
        <w:t>Комитет рекомендует государству-участнику ускорить принятие проекта поправок к Закону о запрещении дискриминации и обеспечить независимость института омбудсмена по правам человека, обеспечить его финансовую автономность и выдел</w:t>
      </w:r>
      <w:r w:rsidR="00D833F1">
        <w:rPr>
          <w:b/>
          <w:bCs/>
        </w:rPr>
        <w:t>я</w:t>
      </w:r>
      <w:r w:rsidRPr="00550809">
        <w:rPr>
          <w:b/>
          <w:bCs/>
        </w:rPr>
        <w:t>ть необходимые финансовые и людские ресурсы для того, чтобы он эффективно выполнял свой мандат, включая антидискриминационную деятельность, в полном соответствии с принципами, касающимися статуса национальных учреждений, занимающихся поощрением и защитой прав человека (Парижские принципы). Комитет также рекомендует государству-участнику осуществлять рекомендации, даваемые омбудсменом, и в том числе рекомендации</w:t>
      </w:r>
      <w:r>
        <w:rPr>
          <w:b/>
          <w:bCs/>
        </w:rPr>
        <w:t xml:space="preserve"> относительно </w:t>
      </w:r>
      <w:r w:rsidRPr="00550809">
        <w:rPr>
          <w:b/>
          <w:bCs/>
        </w:rPr>
        <w:t>частных юридических субъектов</w:t>
      </w:r>
      <w:r>
        <w:t>.</w:t>
      </w:r>
    </w:p>
    <w:p w:rsidR="0001733C" w:rsidRPr="007B5724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7B5724">
        <w:rPr>
          <w:lang w:val="ru-RU"/>
        </w:rPr>
        <w:t>Расистские мотивы как отягчающее обстоятельство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15.</w:t>
      </w:r>
      <w:r>
        <w:tab/>
        <w:t>Комитет испытывает озабоченность в связи с отсутствием в Уголовном кодексе государства-участника положения о расистских мотивах как отягчающем обстоятельстве (статья 4).</w:t>
      </w:r>
    </w:p>
    <w:p w:rsidR="0001733C" w:rsidRDefault="0001733C" w:rsidP="0001733C">
      <w:pPr>
        <w:pStyle w:val="SingleTxtGR"/>
        <w:tabs>
          <w:tab w:val="right" w:pos="1170"/>
        </w:tabs>
      </w:pPr>
      <w:r>
        <w:lastRenderedPageBreak/>
        <w:t>16.</w:t>
      </w:r>
      <w:r>
        <w:tab/>
      </w:r>
      <w:r w:rsidRPr="00DE12C8">
        <w:rPr>
          <w:b/>
          <w:bCs/>
        </w:rPr>
        <w:t>Комитет рекомендует государству-участнику включить в свой Уголовный кодекс положение о расистских мотивах как отягчающем обстоятельстве</w:t>
      </w:r>
      <w:r>
        <w:t>.</w:t>
      </w:r>
    </w:p>
    <w:p w:rsidR="0001733C" w:rsidRPr="00480F2D" w:rsidRDefault="0001733C" w:rsidP="00D833F1">
      <w:pPr>
        <w:pStyle w:val="SingleTxtGR"/>
        <w:tabs>
          <w:tab w:val="right" w:pos="1170"/>
        </w:tabs>
        <w:rPr>
          <w:b/>
          <w:bCs/>
        </w:rPr>
      </w:pPr>
      <w:r w:rsidRPr="00480F2D">
        <w:rPr>
          <w:b/>
          <w:bCs/>
        </w:rPr>
        <w:t>Соблюдение уголовно</w:t>
      </w:r>
      <w:r>
        <w:rPr>
          <w:b/>
          <w:bCs/>
        </w:rPr>
        <w:t>го</w:t>
      </w:r>
      <w:r w:rsidRPr="00480F2D">
        <w:rPr>
          <w:b/>
          <w:bCs/>
        </w:rPr>
        <w:t xml:space="preserve"> законодательства</w:t>
      </w:r>
      <w:r>
        <w:rPr>
          <w:b/>
          <w:bCs/>
        </w:rPr>
        <w:t xml:space="preserve"> в связи со </w:t>
      </w:r>
      <w:r w:rsidRPr="00480F2D">
        <w:rPr>
          <w:b/>
          <w:bCs/>
        </w:rPr>
        <w:t>стать</w:t>
      </w:r>
      <w:r>
        <w:rPr>
          <w:b/>
          <w:bCs/>
        </w:rPr>
        <w:t>ей 4 Конвенции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17.</w:t>
      </w:r>
      <w:r>
        <w:tab/>
        <w:t>Комитету не ясно, криминализует ли государство-участник публичное распространение расистской пропаганды и поощрение идей расового превосходства. Он испытывает озабоченность в связи с тем, что уголовное законодательство государства-участника не криминализует эксплицитно организации, пропагандирующие расовую дискриминацию, предоставление поддержки или помощи таким организациям и участие в их деятельности (статья 4).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18.</w:t>
      </w:r>
      <w:r>
        <w:tab/>
      </w:r>
      <w:r w:rsidRPr="00DE12C8">
        <w:rPr>
          <w:b/>
          <w:bCs/>
        </w:rPr>
        <w:t>Комитет рекомендует государству-участнику скорректировать свое уголовное законодательство, с тем чтобы в полной мере соблюдать положения статьи 4 Конвенции</w:t>
      </w:r>
      <w:r>
        <w:t>.</w:t>
      </w:r>
    </w:p>
    <w:p w:rsidR="0001733C" w:rsidRPr="007B5724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7B5724">
        <w:rPr>
          <w:lang w:val="ru-RU"/>
        </w:rPr>
        <w:t>Ненавистнические расистские высказывания и преступления на почве ненависти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19.</w:t>
      </w:r>
      <w:r>
        <w:tab/>
        <w:t>Комитет испытывает озабоченность в связи с сообщениями о ненавистнических расистских высказываниях и о дискриминационных и уничижительных заявлениях в рамках публичного дискурса общественных и политических деятелей. Комитет также испытывает озабоченность в связи с тем, что ненавистнические расистские высказывания становятся обыденным явлением в средствах массовой информации, включая Интернет, а также выражаются в форме националистической и этнорелигиозной риторики по отношению к возвращенцам. Комитет далее испытывает озабоченность в связи с сообщениями об антисемитских ненавистнических высказываниях в спорте и в связи с распространенностью преступлений на почве ненависти против рома (статья 4).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20.</w:t>
      </w:r>
      <w:r>
        <w:tab/>
      </w:r>
      <w:r w:rsidRPr="003015B7">
        <w:rPr>
          <w:b/>
          <w:bCs/>
        </w:rPr>
        <w:t>Напоминая свою общую рекомендацию № 35 (2013) о борьбе с ненавистническими высказываниями расистского толка, Комитет рекомендует государству-участнику</w:t>
      </w:r>
      <w:r>
        <w:t>:</w:t>
      </w:r>
    </w:p>
    <w:p w:rsidR="0001733C" w:rsidRDefault="0001733C" w:rsidP="0001733C">
      <w:pPr>
        <w:pStyle w:val="SingleTxtGR"/>
        <w:tabs>
          <w:tab w:val="right" w:pos="1170"/>
        </w:tabs>
      </w:pPr>
      <w:r>
        <w:tab/>
      </w:r>
      <w:r>
        <w:tab/>
      </w:r>
      <w:r w:rsidRPr="007B5724">
        <w:rPr>
          <w:b/>
        </w:rPr>
        <w:t>а)</w:t>
      </w:r>
      <w:r>
        <w:tab/>
      </w:r>
      <w:r w:rsidRPr="002A58FA">
        <w:rPr>
          <w:b/>
          <w:bCs/>
        </w:rPr>
        <w:t xml:space="preserve">принять надлежащие меры </w:t>
      </w:r>
      <w:r>
        <w:rPr>
          <w:b/>
          <w:bCs/>
        </w:rPr>
        <w:t>к тому</w:t>
      </w:r>
      <w:r w:rsidRPr="002A58FA">
        <w:rPr>
          <w:b/>
          <w:bCs/>
        </w:rPr>
        <w:t>, чтобы твердо осуждать ненавистнические расистские высказывания и дискриминационные заявления в рамках публичного дискурса, в том числе со стороны общественных деятелей на уровне государства и энтитетов, и дистанцироваться от них</w:t>
      </w:r>
      <w:r>
        <w:t>;</w:t>
      </w:r>
    </w:p>
    <w:p w:rsidR="0001733C" w:rsidRDefault="0001733C" w:rsidP="0001733C">
      <w:pPr>
        <w:pStyle w:val="SingleTxtGR"/>
        <w:tabs>
          <w:tab w:val="right" w:pos="1170"/>
        </w:tabs>
      </w:pPr>
      <w:r>
        <w:tab/>
      </w:r>
      <w:r>
        <w:tab/>
      </w:r>
      <w:r w:rsidRPr="007B5724">
        <w:rPr>
          <w:b/>
        </w:rPr>
        <w:t>b)</w:t>
      </w:r>
      <w:r>
        <w:tab/>
      </w:r>
      <w:r w:rsidRPr="002A58FA">
        <w:rPr>
          <w:b/>
          <w:bCs/>
        </w:rPr>
        <w:t xml:space="preserve">призывать ответственных лиц </w:t>
      </w:r>
      <w:r>
        <w:rPr>
          <w:b/>
          <w:bCs/>
        </w:rPr>
        <w:t>обеспечивать</w:t>
      </w:r>
      <w:r w:rsidRPr="002A58FA">
        <w:rPr>
          <w:b/>
          <w:bCs/>
        </w:rPr>
        <w:t>, чтобы их публичные заявления не способствовали подстрекательству к расовой ненависти</w:t>
      </w:r>
      <w:r>
        <w:t>;</w:t>
      </w:r>
    </w:p>
    <w:p w:rsidR="0001733C" w:rsidRDefault="0001733C" w:rsidP="0001733C">
      <w:pPr>
        <w:pStyle w:val="SingleTxtGR"/>
        <w:tabs>
          <w:tab w:val="right" w:pos="1170"/>
        </w:tabs>
      </w:pPr>
      <w:r>
        <w:tab/>
      </w:r>
      <w:r>
        <w:tab/>
      </w:r>
      <w:r w:rsidRPr="007B5724">
        <w:rPr>
          <w:b/>
        </w:rPr>
        <w:t>c)</w:t>
      </w:r>
      <w:r w:rsidRPr="007B5724">
        <w:rPr>
          <w:b/>
        </w:rPr>
        <w:tab/>
      </w:r>
      <w:r w:rsidRPr="002A58FA">
        <w:rPr>
          <w:b/>
          <w:bCs/>
        </w:rPr>
        <w:t>эффективно применять свое законодательство путем регистрации, расследования, судебного преследования случаев ненавистнических высказываний и преступлений на почве ненависти и наказания виновных надлежащими санкциями</w:t>
      </w:r>
      <w:r>
        <w:t>;</w:t>
      </w:r>
    </w:p>
    <w:p w:rsidR="0001733C" w:rsidRDefault="0001733C" w:rsidP="0001733C">
      <w:pPr>
        <w:pStyle w:val="SingleTxtGR"/>
        <w:tabs>
          <w:tab w:val="right" w:pos="1170"/>
        </w:tabs>
      </w:pPr>
      <w:r>
        <w:tab/>
      </w:r>
      <w:r>
        <w:tab/>
      </w:r>
      <w:r w:rsidRPr="007B5724">
        <w:rPr>
          <w:b/>
        </w:rPr>
        <w:t>d)</w:t>
      </w:r>
      <w:r>
        <w:tab/>
      </w:r>
      <w:r w:rsidRPr="002A58FA">
        <w:rPr>
          <w:b/>
          <w:bCs/>
        </w:rPr>
        <w:t xml:space="preserve">укреплять ресурсы Агентства по регулированию коммуникаций и Совета по делам печати и интенсифицировать разъяснительную работу среди средств массовой информации, в том числе за счет Плана действий по </w:t>
      </w:r>
      <w:r>
        <w:rPr>
          <w:b/>
          <w:bCs/>
        </w:rPr>
        <w:t xml:space="preserve">правозащитному </w:t>
      </w:r>
      <w:r w:rsidRPr="002A58FA">
        <w:rPr>
          <w:b/>
          <w:bCs/>
        </w:rPr>
        <w:t>просвещению журналистов и работников СМИ</w:t>
      </w:r>
      <w:r>
        <w:t>.</w:t>
      </w:r>
    </w:p>
    <w:p w:rsidR="0001733C" w:rsidRPr="00D833F1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D833F1">
        <w:rPr>
          <w:lang w:val="ru-RU"/>
        </w:rPr>
        <w:t>Положение рома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21.</w:t>
      </w:r>
      <w:r>
        <w:tab/>
        <w:t>Отмечая усилия, прилагаемые государством-участником, Комитет испытывает озабоченность в связи с хронической дискриминацией и маргинализацией рома в различных сферах жизни, что мешает их полной интеграции в общество. Комитет испытывает особенную озабоченность в связи со следующим: а) низкий уровень зачисления детей рома, в особенности, на ступенях средней школы и университетов; b) сильная безработица среди рома, в особенности среди женщин, в государственном и частном секторах; c) антисанитарные жилища, в которых проживают некоторые рома, и наличие незавершенных жилищных проектов; d) отсутствие удостоверений личности и неосведомленность рома о системе медико-санитарной помощи, что затрудняет им доступ к медико-санитарному обслуживанию (статья 5).</w:t>
      </w:r>
    </w:p>
    <w:p w:rsidR="0001733C" w:rsidRDefault="0001733C" w:rsidP="007B5724">
      <w:pPr>
        <w:pStyle w:val="SingleTxtGR"/>
        <w:pageBreakBefore/>
        <w:tabs>
          <w:tab w:val="right" w:pos="1170"/>
        </w:tabs>
      </w:pPr>
      <w:r>
        <w:lastRenderedPageBreak/>
        <w:t>22.</w:t>
      </w:r>
      <w:r>
        <w:tab/>
      </w:r>
      <w:r w:rsidRPr="00F2441B">
        <w:rPr>
          <w:b/>
          <w:bCs/>
        </w:rPr>
        <w:t>Комитет рекомендует государству-участнику разработать всеобъемлющую и комплексную национальную стратегию по рома. Ему следует</w:t>
      </w:r>
      <w:r>
        <w:t>:</w:t>
      </w:r>
    </w:p>
    <w:p w:rsidR="0001733C" w:rsidRDefault="007B5724" w:rsidP="0001733C">
      <w:pPr>
        <w:pStyle w:val="SingleTxtGR"/>
        <w:tabs>
          <w:tab w:val="right" w:pos="1170"/>
        </w:tabs>
      </w:pPr>
      <w:r>
        <w:tab/>
      </w:r>
      <w:r w:rsidR="0001733C">
        <w:tab/>
      </w:r>
      <w:r w:rsidR="0001733C" w:rsidRPr="007B5724">
        <w:rPr>
          <w:b/>
        </w:rPr>
        <w:t>а)</w:t>
      </w:r>
      <w:r w:rsidR="0001733C">
        <w:tab/>
      </w:r>
      <w:r w:rsidR="0001733C" w:rsidRPr="00BC6FC2">
        <w:rPr>
          <w:b/>
          <w:bCs/>
        </w:rPr>
        <w:t>укреплять свои меры по повышению зачисления детей рома в школу, в том числе путем предоставления достаточного финансирования с целью эффективного осуществления пересмотренного Плана действий по удовлетворению образовательных потребностей рома</w:t>
      </w:r>
      <w:r w:rsidR="0001733C">
        <w:t>;</w:t>
      </w:r>
    </w:p>
    <w:p w:rsidR="0001733C" w:rsidRDefault="0001733C" w:rsidP="0001733C">
      <w:pPr>
        <w:pStyle w:val="SingleTxtGR"/>
        <w:tabs>
          <w:tab w:val="right" w:pos="1170"/>
        </w:tabs>
      </w:pPr>
      <w:r>
        <w:tab/>
      </w:r>
      <w:r>
        <w:tab/>
      </w:r>
      <w:r w:rsidRPr="007B5724">
        <w:rPr>
          <w:b/>
        </w:rPr>
        <w:t>b)</w:t>
      </w:r>
      <w:r>
        <w:tab/>
      </w:r>
      <w:r w:rsidRPr="00BC6FC2">
        <w:rPr>
          <w:b/>
          <w:bCs/>
        </w:rPr>
        <w:t>подумать о принятии особых мер с целью культивировать трудоустройство рома в государственном и частном секторах и упрочивать свои меры по расширению трудоустраиваемости рома, в особенности женщин из числа рома</w:t>
      </w:r>
      <w:r>
        <w:t>;</w:t>
      </w:r>
    </w:p>
    <w:p w:rsidR="0001733C" w:rsidRDefault="0001733C" w:rsidP="0001733C">
      <w:pPr>
        <w:pStyle w:val="SingleTxtGR"/>
        <w:tabs>
          <w:tab w:val="right" w:pos="1170"/>
        </w:tabs>
      </w:pPr>
      <w:r>
        <w:tab/>
      </w:r>
      <w:r>
        <w:tab/>
      </w:r>
      <w:r w:rsidRPr="007B5724">
        <w:rPr>
          <w:b/>
        </w:rPr>
        <w:t>c)</w:t>
      </w:r>
      <w:r>
        <w:tab/>
      </w:r>
      <w:r w:rsidRPr="00BC6FC2">
        <w:rPr>
          <w:b/>
          <w:bCs/>
        </w:rPr>
        <w:t>ускорить строительные проекты, выделять достаточное финансирование для их завершения и переселять рома в более адекватные жилища</w:t>
      </w:r>
      <w:r>
        <w:t>;</w:t>
      </w:r>
    </w:p>
    <w:p w:rsidR="0001733C" w:rsidRDefault="0001733C" w:rsidP="0001733C">
      <w:pPr>
        <w:pStyle w:val="SingleTxtGR"/>
        <w:tabs>
          <w:tab w:val="right" w:pos="1170"/>
        </w:tabs>
      </w:pPr>
      <w:r>
        <w:tab/>
      </w:r>
      <w:r>
        <w:tab/>
      </w:r>
      <w:r w:rsidRPr="007B5724">
        <w:rPr>
          <w:b/>
        </w:rPr>
        <w:t>d)</w:t>
      </w:r>
      <w:r>
        <w:tab/>
      </w:r>
      <w:r w:rsidRPr="00BC6FC2">
        <w:rPr>
          <w:b/>
          <w:bCs/>
        </w:rPr>
        <w:t>облегчать доступ рома к удостоверениям личности и свидетельствам о рождении</w:t>
      </w:r>
      <w:r>
        <w:t>.</w:t>
      </w:r>
    </w:p>
    <w:p w:rsidR="0001733C" w:rsidRPr="007B5724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7B5724">
        <w:rPr>
          <w:lang w:val="ru-RU"/>
        </w:rPr>
        <w:t>Представленность групп меньшинств в политической и общественной жизни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23.</w:t>
      </w:r>
      <w:r>
        <w:tab/>
        <w:t>Комитет испытывает озабоченность в связи с весьма ограниченной представленностью групп этнических меньшинств, в особенности рома, в директивных органах и на публичных постах на уровне энтитетов и местных администраций (статьи 2 и 5).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24.</w:t>
      </w:r>
      <w:r>
        <w:tab/>
      </w:r>
      <w:r w:rsidRPr="002D13EF">
        <w:rPr>
          <w:b/>
          <w:bCs/>
        </w:rPr>
        <w:t xml:space="preserve">В свете своей общей рекомендации № 32 (2009) о значении и сфере применения специальных мер по Конвенции Комитет рекомендует государству-участнику принять конкретные меры с целью обеспечить, чтобы группы этнических меньшинств, в особенности рома, были адекватно представлены в директивных органах, </w:t>
      </w:r>
      <w:r>
        <w:rPr>
          <w:b/>
          <w:bCs/>
        </w:rPr>
        <w:t xml:space="preserve">на </w:t>
      </w:r>
      <w:r w:rsidRPr="002D13EF">
        <w:rPr>
          <w:b/>
          <w:bCs/>
        </w:rPr>
        <w:t>публичных постах и в гражданской службе на уровне государства, энтитетов и местных администраций</w:t>
      </w:r>
      <w:r>
        <w:t>.</w:t>
      </w:r>
    </w:p>
    <w:p w:rsidR="0001733C" w:rsidRPr="00D833F1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D833F1">
        <w:rPr>
          <w:lang w:val="ru-RU"/>
        </w:rPr>
        <w:t>Положение возвращенцев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25.</w:t>
      </w:r>
      <w:r>
        <w:tab/>
        <w:t>Комитет принимает к сведению различные меры в рамках Пересмотренной стратегии по осуществлению приложения 7 Дейтонского мирного соглашения, такие как «устойчивое возвращение беженцев и перемещенных лиц: реконструкция жилищ». Однако Комитет испытывает озабоченность в связи с тем, что возвращенцы все еще сталкиваются с трудностями в их устойчивой реинтеграции в общество. В частности, в случае изменения своего места жительства они сталкиваются с определенными препятствиями в получении полной реституции своего имущества и в доступе к рынку труда и социальным пособиям (статьи 2 и 5).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26.</w:t>
      </w:r>
      <w:r>
        <w:tab/>
      </w:r>
      <w:r w:rsidRPr="002D13EF">
        <w:rPr>
          <w:b/>
          <w:bCs/>
        </w:rPr>
        <w:t xml:space="preserve">Комитет настоятельно призывает государство-участник крепить свои меры с целью благоприятствовать устойчивому возвращению и реинтеграции возвращенцев. С этой целью Комитет рекомендует государству-участнику </w:t>
      </w:r>
      <w:r>
        <w:rPr>
          <w:b/>
          <w:bCs/>
        </w:rPr>
        <w:t xml:space="preserve">выделять </w:t>
      </w:r>
      <w:r w:rsidRPr="002D13EF">
        <w:rPr>
          <w:b/>
          <w:bCs/>
        </w:rPr>
        <w:t>достаточное финансирование с целью полного осуществления Пересмотренной стратегии по осуществлению приложения 7 Дейтонского мирного соглашения в разных сферах жизни, таких как жилье, занятость и доступ к медико-санитарному обслуживанию и социальным пособиям. Комитет также рекомендует государству-участнику обеспечить, чтобы возвращенцы не ущемлялись в отношении доступа к своим правам вне зависимости от их места жительства на территории государства-участника</w:t>
      </w:r>
      <w:r>
        <w:t>.</w:t>
      </w:r>
    </w:p>
    <w:p w:rsidR="0001733C" w:rsidRPr="00D833F1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D833F1">
        <w:rPr>
          <w:lang w:val="ru-RU"/>
        </w:rPr>
        <w:t>Сегрегация в сфере образования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27.</w:t>
      </w:r>
      <w:r>
        <w:tab/>
        <w:t>Комитет испытывает озабоченность в связи с сохранением в некоторых местностях Среднебоснийского и Герцеговино-Неретвенского кантонов, несмотря на предыдущую рекомендацию Комитета (CERD/C/BIH/CO/911, пункт 11) и решения Мостарского муниципального суда от 2012 года и Верховного суда Боснии и Герцеговины от 2014 года, практики «двух школ под одной крышей» и моноэтнических школ</w:t>
      </w:r>
      <w:r w:rsidR="00D833F1">
        <w:t xml:space="preserve"> (статьи 2 и 5)</w:t>
      </w:r>
      <w:r>
        <w:t>.</w:t>
      </w:r>
    </w:p>
    <w:p w:rsidR="0001733C" w:rsidRDefault="0001733C" w:rsidP="0001733C">
      <w:pPr>
        <w:pStyle w:val="SingleTxtGR"/>
        <w:tabs>
          <w:tab w:val="right" w:pos="1170"/>
        </w:tabs>
      </w:pPr>
      <w:r>
        <w:lastRenderedPageBreak/>
        <w:t>28.</w:t>
      </w:r>
      <w:r>
        <w:tab/>
      </w:r>
      <w:r w:rsidRPr="00253632">
        <w:rPr>
          <w:b/>
          <w:bCs/>
        </w:rPr>
        <w:t>Комитет рекомендует государству-участнику крепить свои усилия по ликвидации всех форм сегрегации в системе образования, включая практику «двух школ под одной крышей» и моноэтнических школ, и еще больше развивать общую базовую учебную программу и более инклюзивную образовательную систему для всех детей с уважением их собственного языка</w:t>
      </w:r>
      <w:r>
        <w:t>.</w:t>
      </w:r>
    </w:p>
    <w:p w:rsidR="0001733C" w:rsidRPr="007B5724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7B5724">
        <w:rPr>
          <w:lang w:val="ru-RU"/>
        </w:rPr>
        <w:t>Мигранты, включая просителей убежища, беженцев и внутренне перемещенных лиц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29.</w:t>
      </w:r>
      <w:r>
        <w:tab/>
        <w:t xml:space="preserve">Комитет ценит прилагаемые усилия государства-участника по удовлетворению потребностей просителей убежища, беженцев и внутренне перемещенных лиц. Однако Комитет по-прежнему испытывает озабоченность в связи с отсутствием потенциала для устройства всех просителей убежища, прибывающих на его территорию, и в связи с ограниченным доступом к нормальным базовым услугам, таким как питание, первичная медико-санитарная помощь и психологическая поддержка для тех, кто проживает вне подведомственных правительству заведений. Комитет испытывает озабоченность в связи с сообщаемыми препятствиями в доступе к процедуре убежища, и в особенности: a) в связи с требованием доказательства регистрации по месту жительства, чтобы ходатайствовать об убежище, чем не в состоянии заручиться многие потенциальные заявители; b) в связи с коротким сроком действия/действительности (14 суток) засвидетельствованного намерения ходатайствовать об убежище и нежеланием властей продлевать его; c) в связи с ограниченным наличием услуг по устному переводу и правовой помощи просителям убежища в ходе процедуры; d) в связи с тем, что несопровождаемым несовершеннолетним не всегда предоставляется опекун; e) в связи с тем, что просители убежища не всегда получают информацию об их правах и обязанностях; f) в связи с сообщениями </w:t>
      </w:r>
      <w:r w:rsidR="00D833F1">
        <w:t xml:space="preserve">о </w:t>
      </w:r>
      <w:r>
        <w:t>задержании просителей убежища на время рассмотрения их ходатайств об убежище; g) в связи с тем, что мигранты и другие меньшинства сталкиваются с риском безгражданства (статья 5).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30.</w:t>
      </w:r>
      <w:r>
        <w:tab/>
      </w:r>
      <w:r w:rsidRPr="00D920AE">
        <w:rPr>
          <w:b/>
          <w:bCs/>
        </w:rPr>
        <w:t>Комитет рекомендует государству-участнику</w:t>
      </w:r>
      <w:r>
        <w:t>:</w:t>
      </w:r>
    </w:p>
    <w:p w:rsidR="0001733C" w:rsidRPr="007B5724" w:rsidRDefault="0001733C" w:rsidP="0001733C">
      <w:pPr>
        <w:pStyle w:val="SingleTxtGR"/>
        <w:tabs>
          <w:tab w:val="right" w:pos="1170"/>
        </w:tabs>
        <w:rPr>
          <w:b/>
        </w:rPr>
      </w:pPr>
      <w:r>
        <w:tab/>
      </w:r>
      <w:r>
        <w:tab/>
      </w:r>
      <w:r w:rsidRPr="007B5724">
        <w:rPr>
          <w:b/>
        </w:rPr>
        <w:t>а)</w:t>
      </w:r>
      <w:r w:rsidRPr="007B5724">
        <w:rPr>
          <w:b/>
        </w:rPr>
        <w:tab/>
      </w:r>
      <w:r w:rsidRPr="007B5724">
        <w:rPr>
          <w:b/>
          <w:bCs/>
        </w:rPr>
        <w:t>наращивать свой приемный потенциал, с тем чтобы устраивать всех просителей убежища и обеспечивать им доступ к основным услугам</w:t>
      </w:r>
      <w:r w:rsidRPr="007B5724">
        <w:rPr>
          <w:b/>
        </w:rPr>
        <w:t>;</w:t>
      </w:r>
    </w:p>
    <w:p w:rsidR="0001733C" w:rsidRPr="007B5724" w:rsidRDefault="0001733C" w:rsidP="0001733C">
      <w:pPr>
        <w:pStyle w:val="SingleTxtGR"/>
        <w:tabs>
          <w:tab w:val="right" w:pos="1170"/>
        </w:tabs>
        <w:rPr>
          <w:b/>
        </w:rPr>
      </w:pPr>
      <w:r w:rsidRPr="007B5724">
        <w:rPr>
          <w:b/>
        </w:rPr>
        <w:tab/>
      </w:r>
      <w:r w:rsidRPr="007B5724">
        <w:rPr>
          <w:b/>
        </w:rPr>
        <w:tab/>
        <w:t>b)</w:t>
      </w:r>
      <w:r w:rsidRPr="007B5724">
        <w:rPr>
          <w:b/>
        </w:rPr>
        <w:tab/>
      </w:r>
      <w:r w:rsidRPr="007B5724">
        <w:rPr>
          <w:b/>
          <w:bCs/>
        </w:rPr>
        <w:t>устранять недостатки в своей процедуре убежища с целью гарантировать, чтобы все лица, намеревающиеся ходатайствовать об убежище, были в состоянии сделать это и востребовать процессуальные правовые гарантии, включая информацию об их правах и предоставление бесплатной юридической помощи и услуг по устному переводу</w:t>
      </w:r>
      <w:r w:rsidRPr="007B5724">
        <w:rPr>
          <w:b/>
        </w:rPr>
        <w:t>;</w:t>
      </w:r>
    </w:p>
    <w:p w:rsidR="0001733C" w:rsidRPr="007B5724" w:rsidRDefault="0001733C" w:rsidP="0001733C">
      <w:pPr>
        <w:pStyle w:val="SingleTxtGR"/>
        <w:tabs>
          <w:tab w:val="right" w:pos="1170"/>
        </w:tabs>
        <w:rPr>
          <w:b/>
        </w:rPr>
      </w:pPr>
      <w:r w:rsidRPr="007B5724">
        <w:rPr>
          <w:b/>
        </w:rPr>
        <w:tab/>
      </w:r>
      <w:r w:rsidRPr="007B5724">
        <w:rPr>
          <w:b/>
        </w:rPr>
        <w:tab/>
        <w:t>c)</w:t>
      </w:r>
      <w:r w:rsidRPr="007B5724">
        <w:rPr>
          <w:b/>
        </w:rPr>
        <w:tab/>
      </w:r>
      <w:r w:rsidRPr="007B5724">
        <w:rPr>
          <w:b/>
          <w:bCs/>
        </w:rPr>
        <w:t>обеспечить, чтобы решение об использовании ускоренной процедуры хорошо оценивалось, уважало все правовые гарантии и не оборачивалось нарушением принципа невыдворения</w:t>
      </w:r>
      <w:r w:rsidRPr="007B5724">
        <w:rPr>
          <w:b/>
        </w:rPr>
        <w:t>;</w:t>
      </w:r>
    </w:p>
    <w:p w:rsidR="0001733C" w:rsidRPr="007B5724" w:rsidRDefault="0001733C" w:rsidP="0001733C">
      <w:pPr>
        <w:pStyle w:val="SingleTxtGR"/>
        <w:tabs>
          <w:tab w:val="right" w:pos="1170"/>
        </w:tabs>
        <w:rPr>
          <w:b/>
        </w:rPr>
      </w:pPr>
      <w:r w:rsidRPr="007B5724">
        <w:rPr>
          <w:b/>
        </w:rPr>
        <w:tab/>
      </w:r>
      <w:r w:rsidRPr="007B5724">
        <w:rPr>
          <w:b/>
        </w:rPr>
        <w:tab/>
        <w:t>d)</w:t>
      </w:r>
      <w:r w:rsidRPr="007B5724">
        <w:rPr>
          <w:b/>
        </w:rPr>
        <w:tab/>
      </w:r>
      <w:r w:rsidRPr="007B5724">
        <w:rPr>
          <w:b/>
          <w:bCs/>
        </w:rPr>
        <w:t>на всех стадиях процедуры убежища предоставлять опекунов несопровождаемым несовершеннолетним</w:t>
      </w:r>
      <w:r w:rsidRPr="007B5724">
        <w:rPr>
          <w:b/>
        </w:rPr>
        <w:t>;</w:t>
      </w:r>
    </w:p>
    <w:p w:rsidR="0001733C" w:rsidRPr="007B5724" w:rsidRDefault="0001733C" w:rsidP="0001733C">
      <w:pPr>
        <w:pStyle w:val="SingleTxtGR"/>
        <w:tabs>
          <w:tab w:val="right" w:pos="1170"/>
        </w:tabs>
        <w:rPr>
          <w:b/>
        </w:rPr>
      </w:pPr>
      <w:r w:rsidRPr="007B5724">
        <w:rPr>
          <w:b/>
        </w:rPr>
        <w:tab/>
      </w:r>
      <w:r w:rsidRPr="007B5724">
        <w:rPr>
          <w:b/>
        </w:rPr>
        <w:tab/>
        <w:t>e)</w:t>
      </w:r>
      <w:r w:rsidRPr="007B5724">
        <w:rPr>
          <w:b/>
        </w:rPr>
        <w:tab/>
      </w:r>
      <w:r w:rsidRPr="007B5724">
        <w:rPr>
          <w:b/>
          <w:bCs/>
        </w:rPr>
        <w:t>предусматривать задержание просителей убежища только в качестве крайней меры</w:t>
      </w:r>
      <w:r w:rsidRPr="007B5724">
        <w:rPr>
          <w:b/>
        </w:rPr>
        <w:t>;</w:t>
      </w:r>
    </w:p>
    <w:p w:rsidR="0001733C" w:rsidRDefault="0001733C" w:rsidP="0001733C">
      <w:pPr>
        <w:pStyle w:val="SingleTxtGR"/>
        <w:tabs>
          <w:tab w:val="right" w:pos="1170"/>
        </w:tabs>
      </w:pPr>
      <w:r w:rsidRPr="007B5724">
        <w:rPr>
          <w:b/>
        </w:rPr>
        <w:tab/>
      </w:r>
      <w:r w:rsidRPr="007B5724">
        <w:rPr>
          <w:b/>
        </w:rPr>
        <w:tab/>
        <w:t>f)</w:t>
      </w:r>
      <w:r w:rsidRPr="007B5724">
        <w:rPr>
          <w:b/>
        </w:rPr>
        <w:tab/>
      </w:r>
      <w:r w:rsidRPr="006256FE">
        <w:rPr>
          <w:b/>
          <w:bCs/>
        </w:rPr>
        <w:t>продолжать свои усилия по осуществлению Конвенции 1954 года о статусе апатридов и Конвенции 1961 года о сокращении безгражданства</w:t>
      </w:r>
      <w:r>
        <w:t>.</w:t>
      </w:r>
    </w:p>
    <w:p w:rsidR="0001733C" w:rsidRPr="007B5724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7B5724">
        <w:rPr>
          <w:lang w:val="ru-RU"/>
        </w:rPr>
        <w:t>Жалобы на акты расовой дискриминации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31.</w:t>
      </w:r>
      <w:r>
        <w:tab/>
        <w:t>Комитет испытывает озабоченность в связи с крайне низким числом зарегистрированных, расследованных и доведенных как до судов, так и до омбудсмена случаев расовой дискриминации (статьи 2, 4 и 7).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32.</w:t>
      </w:r>
      <w:r>
        <w:tab/>
      </w:r>
      <w:r w:rsidRPr="000B3867">
        <w:rPr>
          <w:b/>
          <w:bCs/>
        </w:rPr>
        <w:t xml:space="preserve">Ссылаясь на свою общую рекомендацию № 31 (2005) о предупреждении расовой дискриминации в процессе отправления и функционирования системы уголовного правосудия, Комитет напоминает государству-участнику, что отсутствие жалоб или процессуальных действий, возбужденных жертвами </w:t>
      </w:r>
      <w:r w:rsidRPr="000B3867">
        <w:rPr>
          <w:b/>
          <w:bCs/>
        </w:rPr>
        <w:lastRenderedPageBreak/>
        <w:t>расовой дискриминации, может свидетельствовать о недостаточной конкретности законодательства, об отсутствии осведомленности об имеющихся средствах правовой защиты, о боязни социального осуждения или репрессий или о нежелании компетентных органов возбуждать преследование. Комитет рекомендует государству-участнику предпринять все необходимые шаги с целью облегчить доступ своего населения, и в особенности групп этнических меньшинств, к правосудию, распространять информацию о законодательстве, касающемся расовой дискриминации, и информировать население, проживающее на его территории, обо всех имеющихся у них средствах правовой защиты и о возможности получить правовую помощь</w:t>
      </w:r>
      <w:r>
        <w:t>.</w:t>
      </w:r>
    </w:p>
    <w:p w:rsidR="0001733C" w:rsidRPr="00D833F1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D833F1">
        <w:rPr>
          <w:lang w:val="ru-RU"/>
        </w:rPr>
        <w:t>Торговля людьми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33.</w:t>
      </w:r>
      <w:r>
        <w:tab/>
        <w:t>Комитет испытывает озабоченность в связи с сообщениями об устойчивости торговли людьми, включая детей из числа рома, в целях экономической и сексуальной эксплуатации. Комитет испытывает сожаление в связи с отсутствия информации о помощи и поддержке, предоставляемым жертвам торговли людьми, а также о достигнутых конкретных результатах за счет Национального плана действий по борьбе с торговлей людьми на 2016–2019 годы с точки зрения сокращения торговли людьми в государстве-участнике (статьи 2 и 5).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34.</w:t>
      </w:r>
      <w:r>
        <w:tab/>
      </w:r>
      <w:r w:rsidRPr="00CE1807">
        <w:rPr>
          <w:b/>
          <w:bCs/>
        </w:rPr>
        <w:t xml:space="preserve">Комитет рекомендует государству-участнику твердо правоприменять свое законодательство о борьбе с торговлей людьми путем облегчения подачи жалоб, проведения их расследования, преследования и осуждения виновных. Комитет также рекомендует государству-участнику предоставлять жертвам возмещение, включая компенсацию, а также помощь и все формы поддержки, </w:t>
      </w:r>
      <w:r>
        <w:rPr>
          <w:b/>
          <w:bCs/>
        </w:rPr>
        <w:t xml:space="preserve">и </w:t>
      </w:r>
      <w:r w:rsidRPr="00CE1807">
        <w:rPr>
          <w:b/>
          <w:bCs/>
        </w:rPr>
        <w:t>в особенности доступ к приютам, реабилитации и консультативным услугам. Комитет далее рекомендует государству-участнику эффективно осуществлять свой Национальной план действий по борьбе с торговлей людьми на 2016–2019 годы и провести его оценку</w:t>
      </w:r>
      <w:r>
        <w:t>.</w:t>
      </w:r>
    </w:p>
    <w:p w:rsidR="0001733C" w:rsidRPr="007B5724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7B5724">
        <w:rPr>
          <w:lang w:val="ru-RU"/>
        </w:rPr>
        <w:t>Преследование лиц, ответственных за тяжкие нарушения международного гуманитарного права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35.</w:t>
      </w:r>
      <w:r>
        <w:tab/>
        <w:t xml:space="preserve">Отмечая предоставленную государством-участником информацию, Комитет испытывает озабоченность в связи с тем, что еще не завершено </w:t>
      </w:r>
      <w:r w:rsidRPr="00CB573C">
        <w:t xml:space="preserve">преследование </w:t>
      </w:r>
      <w:r>
        <w:t xml:space="preserve">отечественными судами </w:t>
      </w:r>
      <w:r w:rsidRPr="00CB573C">
        <w:t xml:space="preserve">лиц, ответственных за </w:t>
      </w:r>
      <w:r>
        <w:t xml:space="preserve">тяжкие </w:t>
      </w:r>
      <w:r w:rsidRPr="00CB573C">
        <w:t xml:space="preserve">нарушения международного гуманитарного права </w:t>
      </w:r>
      <w:r>
        <w:t>(статьи 2 и 6).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36.</w:t>
      </w:r>
      <w:r>
        <w:tab/>
      </w:r>
      <w:r w:rsidRPr="00CB573C">
        <w:rPr>
          <w:b/>
          <w:bCs/>
        </w:rPr>
        <w:t>Комитет рекомендует государству-участнику ускорить преследование остающихся лиц, ответственных за тяжкие нарушения международного гуманитарного права. Комитет считает, что правосудие для жертв зверств врем</w:t>
      </w:r>
      <w:r>
        <w:rPr>
          <w:b/>
          <w:bCs/>
        </w:rPr>
        <w:t>ен</w:t>
      </w:r>
      <w:r w:rsidRPr="00CB573C">
        <w:rPr>
          <w:b/>
          <w:bCs/>
        </w:rPr>
        <w:t xml:space="preserve"> во</w:t>
      </w:r>
      <w:r>
        <w:rPr>
          <w:b/>
          <w:bCs/>
        </w:rPr>
        <w:t xml:space="preserve">йны </w:t>
      </w:r>
      <w:r w:rsidRPr="00CB573C">
        <w:rPr>
          <w:b/>
          <w:bCs/>
        </w:rPr>
        <w:t>может культивировать примирение в государстве-участнике</w:t>
      </w:r>
      <w:r w:rsidRPr="00BD7D51">
        <w:rPr>
          <w:b/>
          <w:bCs/>
        </w:rPr>
        <w:t xml:space="preserve"> </w:t>
      </w:r>
      <w:r w:rsidRPr="00CB573C">
        <w:rPr>
          <w:b/>
          <w:bCs/>
        </w:rPr>
        <w:t>среди разных этнических и этнорелигиозных групп</w:t>
      </w:r>
      <w:r>
        <w:t>.</w:t>
      </w:r>
    </w:p>
    <w:p w:rsidR="0001733C" w:rsidRPr="007B5724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7B5724">
        <w:rPr>
          <w:lang w:val="ru-RU"/>
        </w:rPr>
        <w:t>Курсы подготовки и информационно-просветительские кампании по</w:t>
      </w:r>
      <w:r w:rsidR="0001733C">
        <w:t> </w:t>
      </w:r>
      <w:r w:rsidR="0001733C" w:rsidRPr="007B5724">
        <w:rPr>
          <w:lang w:val="ru-RU"/>
        </w:rPr>
        <w:t>антидискриминационному законодательству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37.</w:t>
      </w:r>
      <w:r>
        <w:tab/>
        <w:t>Отмечая предоставленную государством-участником информацию о подготовке судей и прокуроров, Комитет испытывает озабоченность в связи с сообщениями о малоразвитом применении отечественными судами Закона о запрещении дискриминации (статья 7).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38.</w:t>
      </w:r>
      <w:r>
        <w:tab/>
      </w:r>
      <w:r w:rsidRPr="00B83756">
        <w:rPr>
          <w:b/>
          <w:bCs/>
        </w:rPr>
        <w:t xml:space="preserve">Комитет рекомендует государству-участнику интенсифицировать и регулярно проводить курсы </w:t>
      </w:r>
      <w:r>
        <w:rPr>
          <w:b/>
          <w:bCs/>
        </w:rPr>
        <w:t xml:space="preserve">подготовки </w:t>
      </w:r>
      <w:r w:rsidRPr="00B83756">
        <w:rPr>
          <w:b/>
          <w:bCs/>
        </w:rPr>
        <w:t>судей, прокуроров, адвокатов и других правоохранительных работников по Закону о запрещении дискриминации и по другим антидискриминационным законам и регулярно оценивать их, с тем чтобы облегчить применение такого законодательства отечественными судами</w:t>
      </w:r>
      <w:r>
        <w:t>.</w:t>
      </w:r>
    </w:p>
    <w:p w:rsidR="0001733C" w:rsidRPr="00480F2D" w:rsidRDefault="0001733C" w:rsidP="007B5724">
      <w:pPr>
        <w:pStyle w:val="SingleTxtGR"/>
        <w:pageBreakBefore/>
        <w:tabs>
          <w:tab w:val="right" w:pos="1170"/>
        </w:tabs>
        <w:spacing w:before="360" w:after="240"/>
        <w:ind w:left="1140" w:right="1140" w:hanging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D.</w:t>
      </w:r>
      <w:r>
        <w:rPr>
          <w:b/>
          <w:bCs/>
          <w:sz w:val="24"/>
          <w:szCs w:val="24"/>
        </w:rPr>
        <w:tab/>
        <w:t>Другие</w:t>
      </w:r>
      <w:r w:rsidRPr="00480F2D">
        <w:rPr>
          <w:b/>
          <w:bCs/>
          <w:sz w:val="24"/>
          <w:szCs w:val="24"/>
        </w:rPr>
        <w:t xml:space="preserve"> рекомендации</w:t>
      </w:r>
    </w:p>
    <w:p w:rsidR="0001733C" w:rsidRPr="00D833F1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D833F1">
        <w:rPr>
          <w:lang w:val="ru-RU"/>
        </w:rPr>
        <w:t>Ратификация других договоров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39.</w:t>
      </w:r>
      <w:r>
        <w:tab/>
      </w:r>
      <w:r w:rsidRPr="00830FFA">
        <w:rPr>
          <w:b/>
          <w:bCs/>
        </w:rPr>
        <w:t>Памятуя о неделимости всех прав человека, Комитет настоятельно призывает государство-участник подумать о ратификации тех международных правозащитных инструментов, которые оно еще не ратифицировало, и в особенности договоров,</w:t>
      </w:r>
      <w:r>
        <w:rPr>
          <w:b/>
          <w:bCs/>
        </w:rPr>
        <w:t xml:space="preserve"> чьи </w:t>
      </w:r>
      <w:r w:rsidRPr="00830FFA">
        <w:rPr>
          <w:b/>
          <w:bCs/>
        </w:rPr>
        <w:t>положения имеют прямое отношение к общинам, которые могут подвергаться расовой дискриминации, включая Конвенцию Международной организации труда (№ 189) 2011 года о домашних работниках</w:t>
      </w:r>
      <w:r>
        <w:t>.</w:t>
      </w:r>
    </w:p>
    <w:p w:rsidR="0001733C" w:rsidRPr="007B5724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7B5724">
        <w:rPr>
          <w:lang w:val="ru-RU"/>
        </w:rPr>
        <w:t>Последующая деятельность в связи с Дурбанской декларацией и</w:t>
      </w:r>
      <w:r w:rsidR="0001733C">
        <w:t> </w:t>
      </w:r>
      <w:r w:rsidR="0001733C" w:rsidRPr="007B5724">
        <w:rPr>
          <w:lang w:val="ru-RU"/>
        </w:rPr>
        <w:t>Программой действий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40.</w:t>
      </w:r>
      <w:r>
        <w:tab/>
      </w:r>
      <w:r w:rsidRPr="00EE2998">
        <w:rPr>
          <w:b/>
          <w:bCs/>
        </w:rPr>
        <w:t>В свете своей общей рекомендации № 33 (2009) о последующих мерах в связи с Конференцией по обзору Дурбанского процесса Комитет рекомендует, чтобы при реализации Конвенции в своем отечественном правопорядке государство-участник проводило в жизнь Дурбанскую декларацию и Программу действий, принятые в сентябре 2001 года на Всемирной конференции по борьбе против расизма, расовой дискриминации, ксенофобии и связанной с ними нетерпимости, с учетом итогового документа Конференции по обзору Дурбанского процесса, состоявшейся в Женеве в апреле 2009 года. Комитет просит государство-участник включить в свой следующий периодический доклад конкретную информацию о планах действий и других принятых мерах по осуществлению Дурбанской декларации и Программы действий на национальном уровне</w:t>
      </w:r>
      <w:r>
        <w:t>.</w:t>
      </w:r>
    </w:p>
    <w:p w:rsidR="0001733C" w:rsidRPr="007B5724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7B5724">
        <w:rPr>
          <w:lang w:val="ru-RU"/>
        </w:rPr>
        <w:t>Международное десятилетие лиц африканского происхождения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41.</w:t>
      </w:r>
      <w:r>
        <w:tab/>
      </w:r>
      <w:r w:rsidRPr="00EE2998">
        <w:rPr>
          <w:b/>
          <w:bCs/>
        </w:rPr>
        <w:t>В свете резолюции 68/237 Генеральной Ассамблеи, в которой Ассамблея провозгласила 2015–2024 годы Международным десятилетием лиц африканского происхождения, и резолюции 69/16 Ассамблеи о программе мероприятий по проведению Десятилетия Комитет рекомендует государству-участнику подготовить и реализовать соответствующую программу мер и директив. Комитет просит государство-участник включить в свой следующий периодический доклад точную информацию о конкретных мерах, принятых в этих рамках, принимая в расчет его общую рекомендацию № 34 (2011) о дискриминации в отношении лиц африканского происхождения</w:t>
      </w:r>
      <w:r>
        <w:t>.</w:t>
      </w:r>
    </w:p>
    <w:p w:rsidR="0001733C" w:rsidRPr="00D833F1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D833F1">
        <w:rPr>
          <w:lang w:val="ru-RU"/>
        </w:rPr>
        <w:t>Консультации с гражданским обществом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42.</w:t>
      </w:r>
      <w:r>
        <w:tab/>
      </w:r>
      <w:r w:rsidRPr="00391D75">
        <w:rPr>
          <w:b/>
          <w:bCs/>
        </w:rPr>
        <w:t xml:space="preserve">Комитет рекомендует государству-участнику продолжать консультации и расширять диалог с организациями гражданского общества, работающими в сфере защиты прав человека, и в особенности с организациями, ведущими работу по борьбе с расовой дискриминацией, в связи с подготовкой следующего периодического доклада и в связи с последующими мерами по </w:t>
      </w:r>
      <w:r>
        <w:rPr>
          <w:b/>
          <w:bCs/>
        </w:rPr>
        <w:t xml:space="preserve">реализации </w:t>
      </w:r>
      <w:r w:rsidRPr="00391D75">
        <w:rPr>
          <w:b/>
          <w:bCs/>
        </w:rPr>
        <w:t>настоящи</w:t>
      </w:r>
      <w:r>
        <w:rPr>
          <w:b/>
          <w:bCs/>
        </w:rPr>
        <w:t>х</w:t>
      </w:r>
      <w:r w:rsidRPr="00391D75">
        <w:rPr>
          <w:b/>
          <w:bCs/>
        </w:rPr>
        <w:t xml:space="preserve"> заключительны</w:t>
      </w:r>
      <w:r>
        <w:rPr>
          <w:b/>
          <w:bCs/>
        </w:rPr>
        <w:t>х</w:t>
      </w:r>
      <w:r w:rsidRPr="00391D75">
        <w:rPr>
          <w:b/>
          <w:bCs/>
        </w:rPr>
        <w:t xml:space="preserve"> замечани</w:t>
      </w:r>
      <w:r>
        <w:rPr>
          <w:b/>
          <w:bCs/>
        </w:rPr>
        <w:t>й</w:t>
      </w:r>
      <w:r>
        <w:t>.</w:t>
      </w:r>
    </w:p>
    <w:p w:rsidR="0001733C" w:rsidRPr="00D833F1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D833F1">
        <w:rPr>
          <w:lang w:val="ru-RU"/>
        </w:rPr>
        <w:t>Заявление по статье 14 Конвенции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43.</w:t>
      </w:r>
      <w:r>
        <w:tab/>
      </w:r>
      <w:r w:rsidRPr="00391D75">
        <w:rPr>
          <w:b/>
          <w:bCs/>
        </w:rPr>
        <w:t>Комитет побуждает государство-участник сделать предусмотренное в статье 14 Конвенции</w:t>
      </w:r>
      <w:r>
        <w:rPr>
          <w:b/>
          <w:bCs/>
        </w:rPr>
        <w:t xml:space="preserve"> </w:t>
      </w:r>
      <w:r w:rsidRPr="00391D75">
        <w:rPr>
          <w:b/>
          <w:bCs/>
        </w:rPr>
        <w:t>факультативное заявление о признании компетенции Комитета принимать и рассматривать индивидуальные сообщения</w:t>
      </w:r>
      <w:r>
        <w:t>.</w:t>
      </w:r>
    </w:p>
    <w:p w:rsidR="0001733C" w:rsidRPr="00D833F1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D833F1">
        <w:rPr>
          <w:lang w:val="ru-RU"/>
        </w:rPr>
        <w:t>Поправка к статье 8 Конвенции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44.</w:t>
      </w:r>
      <w:r>
        <w:tab/>
      </w:r>
      <w:r w:rsidRPr="00391D75">
        <w:rPr>
          <w:b/>
          <w:bCs/>
        </w:rPr>
        <w:t>Комитет рекомендует государству-участнику ратифицировать поправку к статье 8 (6) Конвенции, принятую 15 января 1992 года на четырнадцатом совещании государств – участников Конвенции и одобренную Генеральной Ассамблеей в ее резолюции 47/111</w:t>
      </w:r>
      <w:r>
        <w:t>.</w:t>
      </w:r>
    </w:p>
    <w:p w:rsidR="0001733C" w:rsidRPr="00D833F1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lastRenderedPageBreak/>
        <w:tab/>
      </w:r>
      <w:r w:rsidRPr="00D833F1">
        <w:rPr>
          <w:lang w:val="ru-RU"/>
        </w:rPr>
        <w:tab/>
      </w:r>
      <w:r w:rsidR="0001733C" w:rsidRPr="00D833F1">
        <w:rPr>
          <w:lang w:val="ru-RU"/>
        </w:rPr>
        <w:t>Общий базовый документ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45.</w:t>
      </w:r>
      <w:r>
        <w:tab/>
      </w:r>
      <w:r w:rsidRPr="00391D75">
        <w:rPr>
          <w:b/>
          <w:bCs/>
        </w:rPr>
        <w:t xml:space="preserve">Комитет побуждает государство-участник обновить свой общий базовый документ, который восходит к 2011 году, в соответствии с согласованными руководящими принципами представления докладов согласно международным договорам о правах человека, и в особенности руководящими принципами подготовки общего базового документа, принятыми на пятом межкомитетском совещании договорных органов по правам человека в июне 2006 года (HRI/GEN/2/Rev.6, глава I). В свете резолюции 68/268 Генеральной Ассамблеи Комитет настоятельно призывает государство-участник соблюдать установленное для объема таких документов ограничение в </w:t>
      </w:r>
      <w:r w:rsidR="00D833F1">
        <w:rPr>
          <w:b/>
          <w:bCs/>
        </w:rPr>
        <w:t xml:space="preserve">размере </w:t>
      </w:r>
      <w:r w:rsidRPr="00391D75">
        <w:rPr>
          <w:b/>
          <w:bCs/>
        </w:rPr>
        <w:t>42 400 слов</w:t>
      </w:r>
      <w:r>
        <w:t>.</w:t>
      </w:r>
    </w:p>
    <w:p w:rsidR="0001733C" w:rsidRPr="007B5724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7B5724">
        <w:rPr>
          <w:lang w:val="ru-RU"/>
        </w:rPr>
        <w:t>Последующие меры по осуществлению настоящих заключительных замечаний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46.</w:t>
      </w:r>
      <w:r>
        <w:tab/>
      </w:r>
      <w:r w:rsidRPr="00391D75">
        <w:rPr>
          <w:b/>
          <w:bCs/>
        </w:rPr>
        <w:t>В соответствии со статьей 9 (1) Конвенции и правилом 65 своих правил процедуры Комитет просит государство-участник представить в течение одного года с принятия настоящих заключительных замечаний информацию об осуществлении им рекомендаций, содержащихся в пунктах 8, 14 и 20 a) и b) выше</w:t>
      </w:r>
      <w:r>
        <w:t>.</w:t>
      </w:r>
    </w:p>
    <w:p w:rsidR="0001733C" w:rsidRPr="007B5724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7B5724">
        <w:rPr>
          <w:lang w:val="ru-RU"/>
        </w:rPr>
        <w:t xml:space="preserve">Пункты, имеющие особенно важное значение 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47.</w:t>
      </w:r>
      <w:r>
        <w:tab/>
      </w:r>
      <w:r w:rsidRPr="00F00D92">
        <w:rPr>
          <w:b/>
          <w:bCs/>
        </w:rPr>
        <w:t>Комитет хотел бы привлечь внимание государства-участника к особенной важности рекомендаций, содержащихся в пунктах 12, 18, 26 и 28 выше, и просит государство-участник предоставить в своем следующем периодическом докладе детальную информацию о принятых конкретных мерах по осуществлению этих рекомендаций</w:t>
      </w:r>
      <w:r>
        <w:t>.</w:t>
      </w:r>
    </w:p>
    <w:p w:rsidR="0001733C" w:rsidRPr="00D833F1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D833F1">
        <w:rPr>
          <w:lang w:val="ru-RU"/>
        </w:rPr>
        <w:t>Распространение информации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48.</w:t>
      </w:r>
      <w:r>
        <w:tab/>
      </w:r>
      <w:r w:rsidRPr="00F00D92">
        <w:rPr>
          <w:b/>
          <w:bCs/>
        </w:rPr>
        <w:t>Комитет рекомендует государству-участнику обеспечить наличие и доступность для общественности своих докладов в момент их представления, а также публикацию аналогичным образом заключительных замечаний Комитета по этим докладам соответственно на официальных и других широко используемых языках</w:t>
      </w:r>
      <w:r>
        <w:t>.</w:t>
      </w:r>
    </w:p>
    <w:p w:rsidR="0001733C" w:rsidRPr="00D833F1" w:rsidRDefault="007B5724" w:rsidP="007B5724">
      <w:pPr>
        <w:pStyle w:val="H23G"/>
        <w:rPr>
          <w:lang w:val="ru-RU"/>
        </w:rPr>
      </w:pPr>
      <w:r w:rsidRPr="00D833F1">
        <w:rPr>
          <w:lang w:val="ru-RU"/>
        </w:rPr>
        <w:tab/>
      </w:r>
      <w:r w:rsidRPr="00D833F1">
        <w:rPr>
          <w:lang w:val="ru-RU"/>
        </w:rPr>
        <w:tab/>
      </w:r>
      <w:r w:rsidR="0001733C" w:rsidRPr="00D833F1">
        <w:rPr>
          <w:lang w:val="ru-RU"/>
        </w:rPr>
        <w:t>Подготовка следующего периодического доклада</w:t>
      </w:r>
    </w:p>
    <w:p w:rsidR="0001733C" w:rsidRDefault="0001733C" w:rsidP="0001733C">
      <w:pPr>
        <w:pStyle w:val="SingleTxtGR"/>
        <w:tabs>
          <w:tab w:val="right" w:pos="1170"/>
        </w:tabs>
      </w:pPr>
      <w:r>
        <w:t>49.</w:t>
      </w:r>
      <w:r>
        <w:tab/>
      </w:r>
      <w:r w:rsidRPr="00F00D92">
        <w:rPr>
          <w:b/>
          <w:bCs/>
        </w:rPr>
        <w:t xml:space="preserve">Комитет рекомендует государству-участнику представить свои объединенные четырнадцатый и пятнадцатый периодические доклады в едином документе к 16 июля 2021 года с учетом руководящих принципов подготовки и представления докладов, принятых Комитетом на его семьдесят первой сессии (CERD/C/2007/1), и отразить в них все </w:t>
      </w:r>
      <w:r>
        <w:rPr>
          <w:b/>
          <w:bCs/>
        </w:rPr>
        <w:t>моменты</w:t>
      </w:r>
      <w:r w:rsidRPr="00F00D92">
        <w:rPr>
          <w:b/>
          <w:bCs/>
        </w:rPr>
        <w:t>, поднятые в настоящих заключительных замечаниях. В свете резолюции 68/268 Генеральной Ассамблеи Комитет настоятельно призывает государство-участник соблюдать установленное ограничение для периодических докладов в размере 21 200 слов</w:t>
      </w:r>
      <w:r>
        <w:t>.</w:t>
      </w:r>
    </w:p>
    <w:p w:rsidR="0001733C" w:rsidRPr="00502305" w:rsidRDefault="0001733C" w:rsidP="0001733C">
      <w:pPr>
        <w:tabs>
          <w:tab w:val="right" w:pos="1170"/>
        </w:tabs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733C" w:rsidRPr="0001733C" w:rsidRDefault="0001733C">
      <w:pPr>
        <w:suppressAutoHyphens w:val="0"/>
        <w:spacing w:line="240" w:lineRule="auto"/>
      </w:pPr>
    </w:p>
    <w:p w:rsidR="00381C24" w:rsidRPr="0001733C" w:rsidRDefault="00381C24" w:rsidP="002E5067"/>
    <w:sectPr w:rsidR="00381C24" w:rsidRPr="0001733C" w:rsidSect="0001733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5F" w:rsidRPr="00A312BC" w:rsidRDefault="00D6415F" w:rsidP="00A312BC"/>
  </w:endnote>
  <w:endnote w:type="continuationSeparator" w:id="0">
    <w:p w:rsidR="00D6415F" w:rsidRPr="00A312BC" w:rsidRDefault="00D641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3C" w:rsidRPr="0001733C" w:rsidRDefault="0001733C">
    <w:pPr>
      <w:pStyle w:val="a9"/>
    </w:pPr>
    <w:r w:rsidRPr="0001733C">
      <w:rPr>
        <w:b/>
        <w:sz w:val="18"/>
      </w:rPr>
      <w:fldChar w:fldCharType="begin"/>
    </w:r>
    <w:r w:rsidRPr="0001733C">
      <w:rPr>
        <w:b/>
        <w:sz w:val="18"/>
      </w:rPr>
      <w:instrText xml:space="preserve"> PAGE  \* MERGEFORMAT </w:instrText>
    </w:r>
    <w:r w:rsidRPr="0001733C">
      <w:rPr>
        <w:b/>
        <w:sz w:val="18"/>
      </w:rPr>
      <w:fldChar w:fldCharType="separate"/>
    </w:r>
    <w:r w:rsidR="00247F9C">
      <w:rPr>
        <w:b/>
        <w:noProof/>
        <w:sz w:val="18"/>
      </w:rPr>
      <w:t>2</w:t>
    </w:r>
    <w:r w:rsidRPr="0001733C">
      <w:rPr>
        <w:b/>
        <w:sz w:val="18"/>
      </w:rPr>
      <w:fldChar w:fldCharType="end"/>
    </w:r>
    <w:r>
      <w:rPr>
        <w:b/>
        <w:sz w:val="18"/>
      </w:rPr>
      <w:tab/>
    </w:r>
    <w:r>
      <w:t>GE.18-14949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3C" w:rsidRPr="0001733C" w:rsidRDefault="0001733C" w:rsidP="0001733C">
    <w:pPr>
      <w:pStyle w:val="a9"/>
      <w:tabs>
        <w:tab w:val="clear" w:pos="9639"/>
        <w:tab w:val="right" w:pos="9638"/>
      </w:tabs>
      <w:rPr>
        <w:b/>
        <w:sz w:val="18"/>
      </w:rPr>
    </w:pPr>
    <w:r>
      <w:t>GE.18-14949</w:t>
    </w:r>
    <w:r>
      <w:tab/>
    </w:r>
    <w:r w:rsidRPr="0001733C">
      <w:rPr>
        <w:b/>
        <w:sz w:val="18"/>
      </w:rPr>
      <w:fldChar w:fldCharType="begin"/>
    </w:r>
    <w:r w:rsidRPr="0001733C">
      <w:rPr>
        <w:b/>
        <w:sz w:val="18"/>
      </w:rPr>
      <w:instrText xml:space="preserve"> PAGE  \* MERGEFORMAT </w:instrText>
    </w:r>
    <w:r w:rsidRPr="0001733C">
      <w:rPr>
        <w:b/>
        <w:sz w:val="18"/>
      </w:rPr>
      <w:fldChar w:fldCharType="separate"/>
    </w:r>
    <w:r w:rsidR="00247F9C">
      <w:rPr>
        <w:b/>
        <w:noProof/>
        <w:sz w:val="18"/>
      </w:rPr>
      <w:t>3</w:t>
    </w:r>
    <w:r w:rsidRPr="000173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1733C" w:rsidRDefault="0001733C" w:rsidP="0001733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18-14949  (R)</w:t>
    </w:r>
    <w:r w:rsidR="007B5724">
      <w:rPr>
        <w:lang w:val="en-US"/>
      </w:rPr>
      <w:t xml:space="preserve">  180918  180918</w:t>
    </w:r>
    <w:r>
      <w:br/>
    </w:r>
    <w:r w:rsidRPr="0001733C">
      <w:rPr>
        <w:rFonts w:ascii="C39T30Lfz" w:hAnsi="C39T30Lfz"/>
        <w:kern w:val="14"/>
        <w:sz w:val="56"/>
      </w:rPr>
      <w:t></w:t>
    </w:r>
    <w:r w:rsidRPr="0001733C">
      <w:rPr>
        <w:rFonts w:ascii="C39T30Lfz" w:hAnsi="C39T30Lfz"/>
        <w:kern w:val="14"/>
        <w:sz w:val="56"/>
      </w:rPr>
      <w:t></w:t>
    </w:r>
    <w:r w:rsidRPr="0001733C">
      <w:rPr>
        <w:rFonts w:ascii="C39T30Lfz" w:hAnsi="C39T30Lfz"/>
        <w:kern w:val="14"/>
        <w:sz w:val="56"/>
      </w:rPr>
      <w:t></w:t>
    </w:r>
    <w:r w:rsidRPr="0001733C">
      <w:rPr>
        <w:rFonts w:ascii="C39T30Lfz" w:hAnsi="C39T30Lfz"/>
        <w:kern w:val="14"/>
        <w:sz w:val="56"/>
      </w:rPr>
      <w:t></w:t>
    </w:r>
    <w:r w:rsidRPr="0001733C">
      <w:rPr>
        <w:rFonts w:ascii="C39T30Lfz" w:hAnsi="C39T30Lfz"/>
        <w:kern w:val="14"/>
        <w:sz w:val="56"/>
      </w:rPr>
      <w:t></w:t>
    </w:r>
    <w:r w:rsidRPr="0001733C">
      <w:rPr>
        <w:rFonts w:ascii="C39T30Lfz" w:hAnsi="C39T30Lfz"/>
        <w:kern w:val="14"/>
        <w:sz w:val="56"/>
      </w:rPr>
      <w:t></w:t>
    </w:r>
    <w:r w:rsidRPr="0001733C">
      <w:rPr>
        <w:rFonts w:ascii="C39T30Lfz" w:hAnsi="C39T30Lfz"/>
        <w:kern w:val="14"/>
        <w:sz w:val="56"/>
      </w:rPr>
      <w:t></w:t>
    </w:r>
    <w:r w:rsidRPr="0001733C">
      <w:rPr>
        <w:rFonts w:ascii="C39T30Lfz" w:hAnsi="C39T30Lfz"/>
        <w:kern w:val="14"/>
        <w:sz w:val="56"/>
      </w:rPr>
      <w:t></w:t>
    </w:r>
    <w:r w:rsidRPr="0001733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RD/C/BIH/CO/12-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BIH/CO/12-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5F" w:rsidRPr="001075E9" w:rsidRDefault="00D641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415F" w:rsidRDefault="00D641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1733C" w:rsidRPr="0030094C" w:rsidRDefault="0001733C" w:rsidP="0001733C">
      <w:pPr>
        <w:pStyle w:val="ae"/>
      </w:pPr>
      <w:r>
        <w:tab/>
      </w:r>
      <w:r w:rsidRPr="007B5724">
        <w:rPr>
          <w:rStyle w:val="ab"/>
          <w:sz w:val="20"/>
          <w:vertAlign w:val="baseline"/>
        </w:rPr>
        <w:t>*</w:t>
      </w:r>
      <w:r w:rsidRPr="0030094C">
        <w:tab/>
      </w:r>
      <w:r>
        <w:t>Принято Комитетом на его девяносто шестой сессии</w:t>
      </w:r>
      <w:r w:rsidRPr="0030094C">
        <w:t xml:space="preserve"> (</w:t>
      </w:r>
      <w:r>
        <w:t>6</w:t>
      </w:r>
      <w:r w:rsidRPr="0030094C">
        <w:t>–</w:t>
      </w:r>
      <w:r>
        <w:t>30</w:t>
      </w:r>
      <w:r w:rsidRPr="0030094C">
        <w:t xml:space="preserve"> </w:t>
      </w:r>
      <w:r>
        <w:t>августа</w:t>
      </w:r>
      <w:r w:rsidRPr="0030094C">
        <w:t xml:space="preserve"> 201</w:t>
      </w:r>
      <w:r>
        <w:t>8 года</w:t>
      </w:r>
      <w:r w:rsidRPr="0030094C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3C" w:rsidRPr="0001733C" w:rsidRDefault="00104FAC">
    <w:pPr>
      <w:pStyle w:val="a6"/>
    </w:pPr>
    <w:fldSimple w:instr=" TITLE  \* MERGEFORMAT ">
      <w:r w:rsidR="00247F9C">
        <w:t>CERD/C/BIH/CO/12-13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3C" w:rsidRPr="0001733C" w:rsidRDefault="00104FAC" w:rsidP="0001733C">
    <w:pPr>
      <w:pStyle w:val="a6"/>
      <w:jc w:val="right"/>
    </w:pPr>
    <w:fldSimple w:instr=" TITLE  \* MERGEFORMAT ">
      <w:r w:rsidR="00247F9C">
        <w:t>CERD/C/BIH/CO/12-13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76EF3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8"/>
  </w:num>
  <w:num w:numId="23">
    <w:abstractNumId w:val="10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F"/>
    <w:rsid w:val="0001733C"/>
    <w:rsid w:val="00033EE1"/>
    <w:rsid w:val="00042B72"/>
    <w:rsid w:val="000558BD"/>
    <w:rsid w:val="000B57E7"/>
    <w:rsid w:val="000B6373"/>
    <w:rsid w:val="000F09DF"/>
    <w:rsid w:val="000F61B2"/>
    <w:rsid w:val="00104FAC"/>
    <w:rsid w:val="001075E9"/>
    <w:rsid w:val="00180183"/>
    <w:rsid w:val="0018024D"/>
    <w:rsid w:val="0018649F"/>
    <w:rsid w:val="00196389"/>
    <w:rsid w:val="001B3EF6"/>
    <w:rsid w:val="001C7A89"/>
    <w:rsid w:val="00247F9C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D11EA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13081"/>
    <w:rsid w:val="00517901"/>
    <w:rsid w:val="00526683"/>
    <w:rsid w:val="00554837"/>
    <w:rsid w:val="0057071C"/>
    <w:rsid w:val="005709E0"/>
    <w:rsid w:val="00572E19"/>
    <w:rsid w:val="005961C8"/>
    <w:rsid w:val="005D7914"/>
    <w:rsid w:val="005E2B41"/>
    <w:rsid w:val="005F0B42"/>
    <w:rsid w:val="006306A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B5724"/>
    <w:rsid w:val="007C46C9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766C6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6415F"/>
    <w:rsid w:val="00D833F1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3C4FE1-88D4-418E-8AC3-2210F11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rsid w:val="00B67B1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0"/>
    <w:next w:val="a0"/>
    <w:link w:val="10"/>
    <w:qFormat/>
    <w:rsid w:val="006306AC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8A316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8A316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8A316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8A316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8A316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8A316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8A316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8A316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0"/>
    <w:next w:val="a0"/>
    <w:link w:val="HMGR0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0"/>
    <w:next w:val="a0"/>
    <w:link w:val="HChGR0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0"/>
    <w:next w:val="a0"/>
    <w:link w:val="H1GR0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0"/>
    <w:next w:val="a0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0"/>
    <w:link w:val="SingleTxtGR0"/>
    <w:qFormat/>
    <w:rsid w:val="006306A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0"/>
    <w:next w:val="a0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0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6306AC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"/>
    <w:basedOn w:val="a0"/>
    <w:next w:val="a0"/>
    <w:link w:val="a7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R Знак"/>
    <w:basedOn w:val="a1"/>
    <w:link w:val="a6"/>
    <w:rsid w:val="006306AC"/>
    <w:rPr>
      <w:b/>
      <w:sz w:val="18"/>
      <w:lang w:val="en-GB" w:eastAsia="ru-RU"/>
    </w:rPr>
  </w:style>
  <w:style w:type="character" w:styleId="a8">
    <w:name w:val="page number"/>
    <w:aliases w:val="7_GR"/>
    <w:basedOn w:val="a1"/>
    <w:qFormat/>
    <w:rsid w:val="006306AC"/>
    <w:rPr>
      <w:rFonts w:ascii="Times New Roman" w:hAnsi="Times New Roman"/>
      <w:b/>
      <w:sz w:val="18"/>
    </w:rPr>
  </w:style>
  <w:style w:type="paragraph" w:styleId="a9">
    <w:name w:val="footer"/>
    <w:aliases w:val="3_GR"/>
    <w:basedOn w:val="a0"/>
    <w:link w:val="aa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R Знак"/>
    <w:basedOn w:val="a1"/>
    <w:link w:val="a9"/>
    <w:rsid w:val="006306AC"/>
    <w:rPr>
      <w:sz w:val="16"/>
      <w:lang w:val="en-GB" w:eastAsia="ru-RU"/>
    </w:rPr>
  </w:style>
  <w:style w:type="character" w:styleId="ab">
    <w:name w:val="footnote reference"/>
    <w:aliases w:val="4_GR,4_G,ftref,Ref,de nota al pie"/>
    <w:basedOn w:val="a1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R"/>
    <w:basedOn w:val="ab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6306A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5_GR,5_G, Char,Footnote Text Blue,EUMC_Lábjegyzetszöveg + 13 pt,Félkövér,Dolt,Középre zárt Char,Középre zárt Char Char,Középre zárt,Märk,Footnote Text Char1,Footnote Text Char Char,Footnote Text Char2 Char Char,fn,f Char Char,f Char"/>
    <w:basedOn w:val="a0"/>
    <w:link w:val="af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R Знак,5_G Знак, Char Знак,Footnote Text Blue Знак,EUMC_Lábjegyzetszöveg + 13 pt Знак,Félkövér Знак,Dolt Знак,Középre zárt Char Знак,Középre zárt Char Char Знак,Középre zárt Знак,Märk Знак,Footnote Text Char1 Знак,fn Знак"/>
    <w:basedOn w:val="a1"/>
    <w:link w:val="ae"/>
    <w:rsid w:val="006306AC"/>
    <w:rPr>
      <w:sz w:val="18"/>
      <w:lang w:val="ru-RU" w:eastAsia="ru-RU"/>
    </w:rPr>
  </w:style>
  <w:style w:type="paragraph" w:styleId="af0">
    <w:name w:val="endnote text"/>
    <w:aliases w:val="2_GR"/>
    <w:basedOn w:val="ae"/>
    <w:link w:val="af1"/>
    <w:qFormat/>
    <w:rsid w:val="006306AC"/>
  </w:style>
  <w:style w:type="character" w:customStyle="1" w:styleId="af1">
    <w:name w:val="Текст концевой сноски Знак"/>
    <w:aliases w:val="2_GR Знак"/>
    <w:basedOn w:val="a1"/>
    <w:link w:val="af0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1"/>
    <w:link w:val="1"/>
    <w:rsid w:val="006306AC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nhideWhenUsed/>
    <w:rsid w:val="006306AC"/>
    <w:rPr>
      <w:color w:val="0000FF" w:themeColor="hyperlink"/>
      <w:u w:val="none"/>
    </w:rPr>
  </w:style>
  <w:style w:type="character" w:styleId="af3">
    <w:name w:val="FollowedHyperlink"/>
    <w:basedOn w:val="a1"/>
    <w:semiHidden/>
    <w:unhideWhenUsed/>
    <w:rsid w:val="006306AC"/>
    <w:rPr>
      <w:color w:val="800080" w:themeColor="followedHyperlink"/>
      <w:u w:val="none"/>
    </w:rPr>
  </w:style>
  <w:style w:type="numbering" w:styleId="111111">
    <w:name w:val="Outline List 2"/>
    <w:basedOn w:val="a3"/>
    <w:semiHidden/>
    <w:rsid w:val="0001733C"/>
    <w:pPr>
      <w:numPr>
        <w:numId w:val="22"/>
      </w:numPr>
    </w:pPr>
  </w:style>
  <w:style w:type="numbering" w:styleId="1ai">
    <w:name w:val="Outline List 1"/>
    <w:basedOn w:val="a3"/>
    <w:semiHidden/>
    <w:rsid w:val="0001733C"/>
    <w:pPr>
      <w:numPr>
        <w:numId w:val="23"/>
      </w:numPr>
    </w:pPr>
  </w:style>
  <w:style w:type="paragraph" w:styleId="HTML">
    <w:name w:val="HTML Address"/>
    <w:basedOn w:val="a0"/>
    <w:link w:val="HTML0"/>
    <w:semiHidden/>
    <w:rsid w:val="0001733C"/>
    <w:pPr>
      <w:suppressAutoHyphens w:val="0"/>
    </w:pPr>
    <w:rPr>
      <w:rFonts w:eastAsia="Times New Roman" w:cs="Times New Roman"/>
      <w:i/>
      <w:iCs/>
      <w:spacing w:val="4"/>
      <w:w w:val="103"/>
      <w:kern w:val="14"/>
      <w:szCs w:val="20"/>
    </w:rPr>
  </w:style>
  <w:style w:type="character" w:customStyle="1" w:styleId="HTML0">
    <w:name w:val="Адрес HTML Знак"/>
    <w:basedOn w:val="a1"/>
    <w:link w:val="HTML"/>
    <w:semiHidden/>
    <w:rsid w:val="0001733C"/>
    <w:rPr>
      <w:i/>
      <w:iCs/>
      <w:spacing w:val="4"/>
      <w:w w:val="103"/>
      <w:kern w:val="14"/>
      <w:lang w:val="ru-RU" w:eastAsia="en-US"/>
    </w:rPr>
  </w:style>
  <w:style w:type="paragraph" w:styleId="af4">
    <w:name w:val="envelope address"/>
    <w:basedOn w:val="a0"/>
    <w:semiHidden/>
    <w:rsid w:val="0001733C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af5">
    <w:name w:val="Date"/>
    <w:basedOn w:val="a0"/>
    <w:next w:val="a0"/>
    <w:link w:val="af6"/>
    <w:rsid w:val="0001733C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6">
    <w:name w:val="Дата Знак"/>
    <w:basedOn w:val="a1"/>
    <w:link w:val="af5"/>
    <w:rsid w:val="0001733C"/>
    <w:rPr>
      <w:spacing w:val="4"/>
      <w:w w:val="103"/>
      <w:kern w:val="14"/>
      <w:lang w:val="ru-RU" w:eastAsia="en-US"/>
    </w:rPr>
  </w:style>
  <w:style w:type="paragraph" w:styleId="50">
    <w:name w:val="List Bullet 5"/>
    <w:basedOn w:val="a0"/>
    <w:semiHidden/>
    <w:rsid w:val="0001733C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table" w:styleId="11">
    <w:name w:val="Table Simple 1"/>
    <w:basedOn w:val="a2"/>
    <w:semiHidden/>
    <w:rsid w:val="0001733C"/>
    <w:pPr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Acronym"/>
    <w:basedOn w:val="a1"/>
    <w:semiHidden/>
    <w:rsid w:val="0001733C"/>
  </w:style>
  <w:style w:type="table" w:styleId="-1">
    <w:name w:val="Table Web 1"/>
    <w:basedOn w:val="a2"/>
    <w:semiHidden/>
    <w:rsid w:val="0001733C"/>
    <w:pPr>
      <w:spacing w:after="120" w:line="20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01733C"/>
    <w:pPr>
      <w:spacing w:after="120" w:line="20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MGR0">
    <w:name w:val="_ H __M_GR Знак"/>
    <w:basedOn w:val="a1"/>
    <w:link w:val="HMGR"/>
    <w:rsid w:val="0001733C"/>
    <w:rPr>
      <w:b/>
      <w:sz w:val="34"/>
      <w:lang w:val="ru-RU" w:eastAsia="ru-RU"/>
    </w:rPr>
  </w:style>
  <w:style w:type="character" w:styleId="af7">
    <w:name w:val="Emphasis"/>
    <w:basedOn w:val="a1"/>
    <w:qFormat/>
    <w:rsid w:val="0001733C"/>
    <w:rPr>
      <w:i/>
      <w:iCs/>
    </w:rPr>
  </w:style>
  <w:style w:type="paragraph" w:styleId="af8">
    <w:name w:val="Note Heading"/>
    <w:basedOn w:val="a0"/>
    <w:next w:val="a0"/>
    <w:link w:val="af9"/>
    <w:semiHidden/>
    <w:rsid w:val="0001733C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9">
    <w:name w:val="Заголовок записки Знак"/>
    <w:basedOn w:val="a1"/>
    <w:link w:val="af8"/>
    <w:semiHidden/>
    <w:rsid w:val="0001733C"/>
    <w:rPr>
      <w:spacing w:val="4"/>
      <w:w w:val="103"/>
      <w:kern w:val="14"/>
      <w:lang w:val="ru-RU" w:eastAsia="en-US"/>
    </w:rPr>
  </w:style>
  <w:style w:type="table" w:styleId="afa">
    <w:name w:val="Table Elegant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semiHidden/>
    <w:rsid w:val="0001733C"/>
    <w:pPr>
      <w:spacing w:after="120" w:line="20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1"/>
    <w:semiHidden/>
    <w:rsid w:val="0001733C"/>
    <w:rPr>
      <w:rFonts w:ascii="Courier New" w:hAnsi="Courier New" w:cs="Courier New"/>
      <w:sz w:val="20"/>
      <w:szCs w:val="20"/>
    </w:rPr>
  </w:style>
  <w:style w:type="table" w:styleId="13">
    <w:name w:val="Table Classic 1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2"/>
    <w:semiHidden/>
    <w:rsid w:val="0001733C"/>
    <w:pPr>
      <w:spacing w:after="120" w:line="20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1"/>
    <w:semiHidden/>
    <w:rsid w:val="0001733C"/>
    <w:rPr>
      <w:rFonts w:ascii="Courier New" w:hAnsi="Courier New" w:cs="Courier New"/>
      <w:sz w:val="20"/>
      <w:szCs w:val="20"/>
    </w:rPr>
  </w:style>
  <w:style w:type="paragraph" w:styleId="afb">
    <w:name w:val="Body Text"/>
    <w:basedOn w:val="a0"/>
    <w:link w:val="afc"/>
    <w:semiHidden/>
    <w:rsid w:val="0001733C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c">
    <w:name w:val="Основной текст Знак"/>
    <w:basedOn w:val="a1"/>
    <w:link w:val="afb"/>
    <w:semiHidden/>
    <w:rsid w:val="0001733C"/>
    <w:rPr>
      <w:spacing w:val="4"/>
      <w:w w:val="103"/>
      <w:kern w:val="14"/>
      <w:lang w:val="ru-RU" w:eastAsia="en-US"/>
    </w:rPr>
  </w:style>
  <w:style w:type="paragraph" w:styleId="afd">
    <w:name w:val="Body Text First Indent"/>
    <w:basedOn w:val="afb"/>
    <w:link w:val="afe"/>
    <w:rsid w:val="0001733C"/>
    <w:pPr>
      <w:ind w:firstLine="210"/>
    </w:pPr>
  </w:style>
  <w:style w:type="character" w:customStyle="1" w:styleId="afe">
    <w:name w:val="Красная строка Знак"/>
    <w:basedOn w:val="afc"/>
    <w:link w:val="afd"/>
    <w:rsid w:val="0001733C"/>
    <w:rPr>
      <w:spacing w:val="4"/>
      <w:w w:val="103"/>
      <w:kern w:val="14"/>
      <w:lang w:val="ru-RU" w:eastAsia="en-US"/>
    </w:rPr>
  </w:style>
  <w:style w:type="paragraph" w:styleId="aff">
    <w:name w:val="Body Text Indent"/>
    <w:basedOn w:val="a0"/>
    <w:link w:val="aff0"/>
    <w:semiHidden/>
    <w:rsid w:val="0001733C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0">
    <w:name w:val="Основной текст с отступом Знак"/>
    <w:basedOn w:val="a1"/>
    <w:link w:val="aff"/>
    <w:semiHidden/>
    <w:rsid w:val="0001733C"/>
    <w:rPr>
      <w:spacing w:val="4"/>
      <w:w w:val="103"/>
      <w:kern w:val="14"/>
      <w:lang w:val="ru-RU" w:eastAsia="en-US"/>
    </w:rPr>
  </w:style>
  <w:style w:type="paragraph" w:styleId="22">
    <w:name w:val="Body Text First Indent 2"/>
    <w:basedOn w:val="aff"/>
    <w:link w:val="23"/>
    <w:semiHidden/>
    <w:rsid w:val="0001733C"/>
    <w:pPr>
      <w:ind w:firstLine="210"/>
    </w:pPr>
  </w:style>
  <w:style w:type="character" w:customStyle="1" w:styleId="23">
    <w:name w:val="Красная строка 2 Знак"/>
    <w:basedOn w:val="aff0"/>
    <w:link w:val="22"/>
    <w:semiHidden/>
    <w:rsid w:val="0001733C"/>
    <w:rPr>
      <w:spacing w:val="4"/>
      <w:w w:val="103"/>
      <w:kern w:val="14"/>
      <w:lang w:val="ru-RU" w:eastAsia="en-US"/>
    </w:rPr>
  </w:style>
  <w:style w:type="paragraph" w:styleId="aff1">
    <w:name w:val="List Bullet"/>
    <w:basedOn w:val="a0"/>
    <w:semiHidden/>
    <w:rsid w:val="0001733C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24">
    <w:name w:val="List Bullet 2"/>
    <w:basedOn w:val="a0"/>
    <w:semiHidden/>
    <w:rsid w:val="0001733C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31">
    <w:name w:val="List Bullet 3"/>
    <w:basedOn w:val="a0"/>
    <w:semiHidden/>
    <w:rsid w:val="0001733C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41">
    <w:name w:val="List Bullet 4"/>
    <w:basedOn w:val="a0"/>
    <w:semiHidden/>
    <w:rsid w:val="0001733C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aff2">
    <w:name w:val="Title"/>
    <w:basedOn w:val="a0"/>
    <w:link w:val="aff3"/>
    <w:qFormat/>
    <w:rsid w:val="0001733C"/>
    <w:pPr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customStyle="1" w:styleId="aff3">
    <w:name w:val="Заголовок Знак"/>
    <w:basedOn w:val="a1"/>
    <w:link w:val="aff2"/>
    <w:rsid w:val="0001733C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aff4">
    <w:name w:val="line number"/>
    <w:basedOn w:val="a1"/>
    <w:semiHidden/>
    <w:rsid w:val="0001733C"/>
  </w:style>
  <w:style w:type="paragraph" w:styleId="aff5">
    <w:name w:val="List Number"/>
    <w:basedOn w:val="a0"/>
    <w:rsid w:val="0001733C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25">
    <w:name w:val="List Number 2"/>
    <w:basedOn w:val="a0"/>
    <w:semiHidden/>
    <w:rsid w:val="0001733C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32">
    <w:name w:val="List Number 3"/>
    <w:basedOn w:val="a0"/>
    <w:semiHidden/>
    <w:rsid w:val="0001733C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42">
    <w:name w:val="List Number 4"/>
    <w:basedOn w:val="a0"/>
    <w:semiHidden/>
    <w:rsid w:val="0001733C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51">
    <w:name w:val="List Number 5"/>
    <w:basedOn w:val="a0"/>
    <w:semiHidden/>
    <w:rsid w:val="0001733C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character" w:styleId="HTML4">
    <w:name w:val="HTML Sample"/>
    <w:basedOn w:val="a1"/>
    <w:semiHidden/>
    <w:rsid w:val="0001733C"/>
    <w:rPr>
      <w:rFonts w:ascii="Courier New" w:hAnsi="Courier New" w:cs="Courier New"/>
    </w:rPr>
  </w:style>
  <w:style w:type="paragraph" w:styleId="26">
    <w:name w:val="envelope return"/>
    <w:basedOn w:val="a0"/>
    <w:semiHidden/>
    <w:rsid w:val="0001733C"/>
    <w:pPr>
      <w:suppressAutoHyphens w:val="0"/>
    </w:pPr>
    <w:rPr>
      <w:rFonts w:ascii="Arial" w:eastAsia="Times New Roman" w:hAnsi="Arial" w:cs="Arial"/>
      <w:spacing w:val="4"/>
      <w:w w:val="103"/>
      <w:kern w:val="14"/>
      <w:szCs w:val="20"/>
    </w:rPr>
  </w:style>
  <w:style w:type="table" w:styleId="14">
    <w:name w:val="Table 3D effects 1"/>
    <w:basedOn w:val="a2"/>
    <w:semiHidden/>
    <w:rsid w:val="0001733C"/>
    <w:pPr>
      <w:spacing w:after="120" w:line="20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2"/>
    <w:semiHidden/>
    <w:rsid w:val="0001733C"/>
    <w:pPr>
      <w:spacing w:after="120" w:line="20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2"/>
    <w:semiHidden/>
    <w:rsid w:val="0001733C"/>
    <w:pPr>
      <w:spacing w:after="120" w:line="20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(Web)"/>
    <w:basedOn w:val="a0"/>
    <w:semiHidden/>
    <w:rsid w:val="0001733C"/>
    <w:pPr>
      <w:suppressAutoHyphens w:val="0"/>
    </w:pPr>
    <w:rPr>
      <w:rFonts w:eastAsia="Times New Roman" w:cs="Times New Roman"/>
      <w:spacing w:val="4"/>
      <w:w w:val="103"/>
      <w:kern w:val="14"/>
      <w:sz w:val="24"/>
      <w:szCs w:val="20"/>
    </w:rPr>
  </w:style>
  <w:style w:type="paragraph" w:styleId="aff7">
    <w:name w:val="Normal Indent"/>
    <w:basedOn w:val="a0"/>
    <w:semiHidden/>
    <w:rsid w:val="0001733C"/>
    <w:pPr>
      <w:suppressAutoHyphens w:val="0"/>
      <w:ind w:left="567"/>
    </w:pPr>
    <w:rPr>
      <w:rFonts w:eastAsia="Times New Roman" w:cs="Times New Roman"/>
      <w:spacing w:val="4"/>
      <w:w w:val="103"/>
      <w:kern w:val="14"/>
      <w:szCs w:val="20"/>
    </w:rPr>
  </w:style>
  <w:style w:type="character" w:styleId="HTML5">
    <w:name w:val="HTML Definition"/>
    <w:basedOn w:val="a1"/>
    <w:semiHidden/>
    <w:rsid w:val="0001733C"/>
    <w:rPr>
      <w:i/>
      <w:iCs/>
    </w:rPr>
  </w:style>
  <w:style w:type="paragraph" w:styleId="28">
    <w:name w:val="Body Text 2"/>
    <w:basedOn w:val="a0"/>
    <w:link w:val="29"/>
    <w:semiHidden/>
    <w:rsid w:val="0001733C"/>
    <w:pPr>
      <w:suppressAutoHyphens w:val="0"/>
      <w:spacing w:line="480" w:lineRule="auto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29">
    <w:name w:val="Основной текст 2 Знак"/>
    <w:basedOn w:val="a1"/>
    <w:link w:val="28"/>
    <w:semiHidden/>
    <w:rsid w:val="0001733C"/>
    <w:rPr>
      <w:spacing w:val="4"/>
      <w:w w:val="103"/>
      <w:kern w:val="14"/>
      <w:lang w:val="ru-RU" w:eastAsia="en-US"/>
    </w:rPr>
  </w:style>
  <w:style w:type="paragraph" w:styleId="34">
    <w:name w:val="Body Text 3"/>
    <w:basedOn w:val="a0"/>
    <w:link w:val="35"/>
    <w:semiHidden/>
    <w:rsid w:val="0001733C"/>
    <w:pPr>
      <w:suppressAutoHyphens w:val="0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35">
    <w:name w:val="Основной текст 3 Знак"/>
    <w:basedOn w:val="a1"/>
    <w:link w:val="34"/>
    <w:semiHidden/>
    <w:rsid w:val="0001733C"/>
    <w:rPr>
      <w:spacing w:val="4"/>
      <w:w w:val="103"/>
      <w:kern w:val="14"/>
      <w:sz w:val="16"/>
      <w:szCs w:val="16"/>
      <w:lang w:val="ru-RU" w:eastAsia="en-US"/>
    </w:rPr>
  </w:style>
  <w:style w:type="paragraph" w:styleId="2a">
    <w:name w:val="Body Text Indent 2"/>
    <w:basedOn w:val="a0"/>
    <w:link w:val="2b"/>
    <w:semiHidden/>
    <w:rsid w:val="0001733C"/>
    <w:pPr>
      <w:suppressAutoHyphens w:val="0"/>
      <w:spacing w:line="480" w:lineRule="auto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2b">
    <w:name w:val="Основной текст с отступом 2 Знак"/>
    <w:basedOn w:val="a1"/>
    <w:link w:val="2a"/>
    <w:semiHidden/>
    <w:rsid w:val="0001733C"/>
    <w:rPr>
      <w:spacing w:val="4"/>
      <w:w w:val="103"/>
      <w:kern w:val="14"/>
      <w:lang w:val="ru-RU" w:eastAsia="en-US"/>
    </w:rPr>
  </w:style>
  <w:style w:type="paragraph" w:styleId="36">
    <w:name w:val="Body Text Indent 3"/>
    <w:basedOn w:val="a0"/>
    <w:link w:val="37"/>
    <w:semiHidden/>
    <w:rsid w:val="0001733C"/>
    <w:pPr>
      <w:suppressAutoHyphens w:val="0"/>
      <w:ind w:left="283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semiHidden/>
    <w:rsid w:val="0001733C"/>
    <w:rPr>
      <w:spacing w:val="4"/>
      <w:w w:val="103"/>
      <w:kern w:val="14"/>
      <w:sz w:val="16"/>
      <w:szCs w:val="16"/>
      <w:lang w:val="ru-RU" w:eastAsia="en-US"/>
    </w:rPr>
  </w:style>
  <w:style w:type="character" w:styleId="HTML6">
    <w:name w:val="HTML Variable"/>
    <w:basedOn w:val="a1"/>
    <w:semiHidden/>
    <w:rsid w:val="0001733C"/>
    <w:rPr>
      <w:i/>
      <w:iCs/>
    </w:rPr>
  </w:style>
  <w:style w:type="character" w:styleId="HTML7">
    <w:name w:val="HTML Typewriter"/>
    <w:basedOn w:val="a1"/>
    <w:semiHidden/>
    <w:rsid w:val="0001733C"/>
    <w:rPr>
      <w:rFonts w:ascii="Courier New" w:hAnsi="Courier New" w:cs="Courier New"/>
      <w:sz w:val="20"/>
      <w:szCs w:val="20"/>
    </w:rPr>
  </w:style>
  <w:style w:type="paragraph" w:styleId="aff8">
    <w:name w:val="Subtitle"/>
    <w:basedOn w:val="a0"/>
    <w:link w:val="aff9"/>
    <w:qFormat/>
    <w:rsid w:val="0001733C"/>
    <w:pPr>
      <w:suppressAutoHyphens w:val="0"/>
      <w:spacing w:after="60"/>
      <w:jc w:val="center"/>
      <w:outlineLvl w:val="1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01733C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affa">
    <w:name w:val="Signature"/>
    <w:basedOn w:val="a0"/>
    <w:link w:val="affb"/>
    <w:semiHidden/>
    <w:rsid w:val="0001733C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b">
    <w:name w:val="Подпись Знак"/>
    <w:basedOn w:val="a1"/>
    <w:link w:val="affa"/>
    <w:semiHidden/>
    <w:rsid w:val="0001733C"/>
    <w:rPr>
      <w:spacing w:val="4"/>
      <w:w w:val="103"/>
      <w:kern w:val="14"/>
      <w:lang w:val="ru-RU" w:eastAsia="en-US"/>
    </w:rPr>
  </w:style>
  <w:style w:type="paragraph" w:styleId="affc">
    <w:name w:val="Salutation"/>
    <w:basedOn w:val="a0"/>
    <w:next w:val="a0"/>
    <w:link w:val="affd"/>
    <w:rsid w:val="0001733C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d">
    <w:name w:val="Приветствие Знак"/>
    <w:basedOn w:val="a1"/>
    <w:link w:val="affc"/>
    <w:rsid w:val="0001733C"/>
    <w:rPr>
      <w:spacing w:val="4"/>
      <w:w w:val="103"/>
      <w:kern w:val="14"/>
      <w:lang w:val="ru-RU" w:eastAsia="en-US"/>
    </w:rPr>
  </w:style>
  <w:style w:type="paragraph" w:styleId="affe">
    <w:name w:val="List Continue"/>
    <w:basedOn w:val="a0"/>
    <w:semiHidden/>
    <w:rsid w:val="0001733C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paragraph" w:styleId="2c">
    <w:name w:val="List Continue 2"/>
    <w:basedOn w:val="a0"/>
    <w:semiHidden/>
    <w:rsid w:val="0001733C"/>
    <w:pPr>
      <w:suppressAutoHyphens w:val="0"/>
      <w:ind w:left="566"/>
    </w:pPr>
    <w:rPr>
      <w:rFonts w:eastAsia="Times New Roman" w:cs="Times New Roman"/>
      <w:spacing w:val="4"/>
      <w:w w:val="103"/>
      <w:kern w:val="14"/>
      <w:szCs w:val="20"/>
    </w:rPr>
  </w:style>
  <w:style w:type="paragraph" w:styleId="38">
    <w:name w:val="List Continue 3"/>
    <w:basedOn w:val="a0"/>
    <w:semiHidden/>
    <w:rsid w:val="0001733C"/>
    <w:pPr>
      <w:suppressAutoHyphens w:val="0"/>
      <w:ind w:left="849"/>
    </w:pPr>
    <w:rPr>
      <w:rFonts w:eastAsia="Times New Roman" w:cs="Times New Roman"/>
      <w:spacing w:val="4"/>
      <w:w w:val="103"/>
      <w:kern w:val="14"/>
      <w:szCs w:val="20"/>
    </w:rPr>
  </w:style>
  <w:style w:type="paragraph" w:styleId="43">
    <w:name w:val="List Continue 4"/>
    <w:basedOn w:val="a0"/>
    <w:semiHidden/>
    <w:rsid w:val="0001733C"/>
    <w:pPr>
      <w:suppressAutoHyphens w:val="0"/>
      <w:ind w:left="1132"/>
    </w:pPr>
    <w:rPr>
      <w:rFonts w:eastAsia="Times New Roman" w:cs="Times New Roman"/>
      <w:spacing w:val="4"/>
      <w:w w:val="103"/>
      <w:kern w:val="14"/>
      <w:szCs w:val="20"/>
    </w:rPr>
  </w:style>
  <w:style w:type="paragraph" w:styleId="52">
    <w:name w:val="List Continue 5"/>
    <w:basedOn w:val="a0"/>
    <w:semiHidden/>
    <w:rsid w:val="0001733C"/>
    <w:pPr>
      <w:suppressAutoHyphens w:val="0"/>
      <w:ind w:left="1415"/>
    </w:pPr>
    <w:rPr>
      <w:rFonts w:eastAsia="Times New Roman" w:cs="Times New Roman"/>
      <w:spacing w:val="4"/>
      <w:w w:val="103"/>
      <w:kern w:val="14"/>
      <w:szCs w:val="20"/>
    </w:rPr>
  </w:style>
  <w:style w:type="table" w:styleId="2d">
    <w:name w:val="Table Simple 2"/>
    <w:basedOn w:val="a2"/>
    <w:semiHidden/>
    <w:rsid w:val="0001733C"/>
    <w:pPr>
      <w:spacing w:after="120" w:line="20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Closing"/>
    <w:basedOn w:val="a0"/>
    <w:link w:val="afff0"/>
    <w:semiHidden/>
    <w:rsid w:val="0001733C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0">
    <w:name w:val="Прощание Знак"/>
    <w:basedOn w:val="a1"/>
    <w:link w:val="afff"/>
    <w:semiHidden/>
    <w:rsid w:val="0001733C"/>
    <w:rPr>
      <w:spacing w:val="4"/>
      <w:w w:val="103"/>
      <w:kern w:val="14"/>
      <w:lang w:val="ru-RU" w:eastAsia="en-US"/>
    </w:rPr>
  </w:style>
  <w:style w:type="table" w:styleId="15">
    <w:name w:val="Table Grid 1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01733C"/>
    <w:pPr>
      <w:spacing w:after="120" w:line="20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2"/>
    <w:semiHidden/>
    <w:rsid w:val="0001733C"/>
    <w:pPr>
      <w:spacing w:after="120" w:line="20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2">
    <w:name w:val="List"/>
    <w:basedOn w:val="a0"/>
    <w:semiHidden/>
    <w:rsid w:val="0001733C"/>
    <w:pPr>
      <w:suppressAutoHyphens w:val="0"/>
      <w:ind w:left="283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2f">
    <w:name w:val="List 2"/>
    <w:basedOn w:val="a0"/>
    <w:semiHidden/>
    <w:rsid w:val="0001733C"/>
    <w:pPr>
      <w:suppressAutoHyphens w:val="0"/>
      <w:ind w:left="566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3b">
    <w:name w:val="List 3"/>
    <w:basedOn w:val="a0"/>
    <w:semiHidden/>
    <w:rsid w:val="0001733C"/>
    <w:pPr>
      <w:suppressAutoHyphens w:val="0"/>
      <w:ind w:left="849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45">
    <w:name w:val="List 4"/>
    <w:basedOn w:val="a0"/>
    <w:rsid w:val="0001733C"/>
    <w:pPr>
      <w:suppressAutoHyphens w:val="0"/>
      <w:ind w:left="1132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54">
    <w:name w:val="List 5"/>
    <w:basedOn w:val="a0"/>
    <w:rsid w:val="0001733C"/>
    <w:pPr>
      <w:suppressAutoHyphens w:val="0"/>
      <w:ind w:left="1415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HTML8">
    <w:name w:val="HTML Preformatted"/>
    <w:basedOn w:val="a0"/>
    <w:link w:val="HTML9"/>
    <w:semiHidden/>
    <w:rsid w:val="0001733C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HTML9">
    <w:name w:val="Стандартный HTML Знак"/>
    <w:basedOn w:val="a1"/>
    <w:link w:val="HTML8"/>
    <w:semiHidden/>
    <w:rsid w:val="0001733C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">
    <w:name w:val="Outline List 3"/>
    <w:basedOn w:val="a3"/>
    <w:semiHidden/>
    <w:rsid w:val="0001733C"/>
    <w:pPr>
      <w:numPr>
        <w:numId w:val="24"/>
      </w:numPr>
    </w:pPr>
  </w:style>
  <w:style w:type="table" w:styleId="16">
    <w:name w:val="Table Columns 1"/>
    <w:basedOn w:val="a2"/>
    <w:semiHidden/>
    <w:rsid w:val="0001733C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2"/>
    <w:semiHidden/>
    <w:rsid w:val="0001733C"/>
    <w:pPr>
      <w:spacing w:after="120" w:line="20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01733C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01733C"/>
    <w:pPr>
      <w:spacing w:after="120" w:line="20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01733C"/>
    <w:pPr>
      <w:spacing w:after="120" w:line="20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3">
    <w:name w:val="Strong"/>
    <w:basedOn w:val="a1"/>
    <w:qFormat/>
    <w:rsid w:val="0001733C"/>
    <w:rPr>
      <w:b/>
      <w:bCs/>
    </w:rPr>
  </w:style>
  <w:style w:type="table" w:styleId="-10">
    <w:name w:val="Table List 1"/>
    <w:basedOn w:val="a2"/>
    <w:semiHidden/>
    <w:rsid w:val="0001733C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01733C"/>
    <w:pPr>
      <w:spacing w:after="120" w:line="20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1733C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1733C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1733C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4">
    <w:name w:val="Table Theme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2"/>
    <w:semiHidden/>
    <w:rsid w:val="0001733C"/>
    <w:pPr>
      <w:spacing w:after="120" w:line="20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2"/>
    <w:semiHidden/>
    <w:rsid w:val="0001733C"/>
    <w:pPr>
      <w:spacing w:after="120" w:line="20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Block Text"/>
    <w:basedOn w:val="a0"/>
    <w:semiHidden/>
    <w:rsid w:val="0001733C"/>
    <w:pPr>
      <w:suppressAutoHyphens w:val="0"/>
      <w:ind w:left="1440" w:right="1440"/>
    </w:pPr>
    <w:rPr>
      <w:rFonts w:eastAsia="Times New Roman" w:cs="Times New Roman"/>
      <w:spacing w:val="4"/>
      <w:w w:val="103"/>
      <w:kern w:val="14"/>
      <w:szCs w:val="20"/>
    </w:rPr>
  </w:style>
  <w:style w:type="character" w:styleId="HTMLa">
    <w:name w:val="HTML Cite"/>
    <w:basedOn w:val="a1"/>
    <w:semiHidden/>
    <w:rsid w:val="0001733C"/>
    <w:rPr>
      <w:i/>
      <w:iCs/>
    </w:rPr>
  </w:style>
  <w:style w:type="paragraph" w:styleId="afff6">
    <w:name w:val="E-mail Signature"/>
    <w:basedOn w:val="a0"/>
    <w:link w:val="afff7"/>
    <w:semiHidden/>
    <w:rsid w:val="0001733C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7">
    <w:name w:val="Электронная подпись Знак"/>
    <w:basedOn w:val="a1"/>
    <w:link w:val="afff6"/>
    <w:semiHidden/>
    <w:rsid w:val="0001733C"/>
    <w:rPr>
      <w:spacing w:val="4"/>
      <w:w w:val="103"/>
      <w:kern w:val="14"/>
      <w:lang w:val="ru-RU" w:eastAsia="en-US"/>
    </w:rPr>
  </w:style>
  <w:style w:type="character" w:customStyle="1" w:styleId="HChGR0">
    <w:name w:val="_ H _Ch_GR Знак"/>
    <w:basedOn w:val="a1"/>
    <w:link w:val="HChGR"/>
    <w:rsid w:val="0001733C"/>
    <w:rPr>
      <w:b/>
      <w:sz w:val="28"/>
      <w:lang w:val="ru-RU" w:eastAsia="ru-RU"/>
    </w:rPr>
  </w:style>
  <w:style w:type="table" w:styleId="afff8">
    <w:name w:val="Table Professional"/>
    <w:basedOn w:val="a2"/>
    <w:semiHidden/>
    <w:rsid w:val="0001733C"/>
    <w:pPr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9">
    <w:name w:val="toa heading"/>
    <w:basedOn w:val="a0"/>
    <w:next w:val="a0"/>
    <w:semiHidden/>
    <w:rsid w:val="0001733C"/>
    <w:pPr>
      <w:suppressAutoHyphens w:val="0"/>
      <w:spacing w:before="120"/>
    </w:pPr>
    <w:rPr>
      <w:rFonts w:ascii="Arial" w:eastAsia="Times New Roman" w:hAnsi="Arial" w:cs="Arial"/>
      <w:b/>
      <w:bCs/>
      <w:spacing w:val="4"/>
      <w:w w:val="103"/>
      <w:kern w:val="14"/>
      <w:sz w:val="24"/>
      <w:szCs w:val="20"/>
    </w:rPr>
  </w:style>
  <w:style w:type="paragraph" w:styleId="afffa">
    <w:name w:val="Plain Text"/>
    <w:basedOn w:val="a0"/>
    <w:link w:val="afffb"/>
    <w:semiHidden/>
    <w:rsid w:val="0001733C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afffb">
    <w:name w:val="Текст Знак"/>
    <w:basedOn w:val="a1"/>
    <w:link w:val="afffa"/>
    <w:semiHidden/>
    <w:rsid w:val="0001733C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afffc">
    <w:name w:val="Message Header"/>
    <w:basedOn w:val="a0"/>
    <w:link w:val="afffd"/>
    <w:semiHidden/>
    <w:rsid w:val="00017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afffd">
    <w:name w:val="Шапка Знак"/>
    <w:basedOn w:val="a1"/>
    <w:link w:val="afffc"/>
    <w:semiHidden/>
    <w:rsid w:val="0001733C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afffe">
    <w:name w:val="annotation reference"/>
    <w:basedOn w:val="a1"/>
    <w:semiHidden/>
    <w:rsid w:val="0001733C"/>
    <w:rPr>
      <w:sz w:val="16"/>
      <w:szCs w:val="16"/>
    </w:rPr>
  </w:style>
  <w:style w:type="character" w:customStyle="1" w:styleId="SingleTxtGR0">
    <w:name w:val="_ Single Txt_GR Знак"/>
    <w:basedOn w:val="a1"/>
    <w:link w:val="SingleTxtGR"/>
    <w:rsid w:val="0001733C"/>
    <w:rPr>
      <w:lang w:val="ru-RU" w:eastAsia="en-US"/>
    </w:rPr>
  </w:style>
  <w:style w:type="character" w:customStyle="1" w:styleId="H1GR0">
    <w:name w:val="_ H_1_GR Знак"/>
    <w:basedOn w:val="a1"/>
    <w:link w:val="H1GR"/>
    <w:rsid w:val="0001733C"/>
    <w:rPr>
      <w:b/>
      <w:sz w:val="24"/>
      <w:lang w:val="ru-RU" w:eastAsia="ru-RU"/>
    </w:rPr>
  </w:style>
  <w:style w:type="paragraph" w:customStyle="1" w:styleId="HChG">
    <w:name w:val="_ H _Ch_G"/>
    <w:basedOn w:val="a0"/>
    <w:next w:val="a0"/>
    <w:rsid w:val="0001733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23G">
    <w:name w:val="_ H_2/3_G"/>
    <w:basedOn w:val="a0"/>
    <w:next w:val="a0"/>
    <w:rsid w:val="0001733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SingleTxtG">
    <w:name w:val="_ Single Txt_G"/>
    <w:basedOn w:val="a0"/>
    <w:rsid w:val="0001733C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2</TotalTime>
  <Pages>9</Pages>
  <Words>3397</Words>
  <Characters>23926</Characters>
  <Application>Microsoft Office Word</Application>
  <DocSecurity>0</DocSecurity>
  <Lines>436</Lines>
  <Paragraphs>110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CERD/C/BIH/CO/12-13</vt:lpstr>
      <vt:lpstr>A/</vt:lpstr>
      <vt:lpstr>A/</vt:lpstr>
    </vt:vector>
  </TitlesOfParts>
  <Company>DCM</Company>
  <LinksUpToDate>false</LinksUpToDate>
  <CharactersWithSpaces>27316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CERD/C/BIH/CO/12-13</dc:title>
  <dc:subject/>
  <dc:creator>Tatiana SHARKINA</dc:creator>
  <cp:keywords/>
  <cp:lastModifiedBy>Tatiana Sharkina</cp:lastModifiedBy>
  <cp:revision>4</cp:revision>
  <cp:lastPrinted>2018-09-18T12:51:00Z</cp:lastPrinted>
  <dcterms:created xsi:type="dcterms:W3CDTF">2018-09-18T12:49:00Z</dcterms:created>
  <dcterms:modified xsi:type="dcterms:W3CDTF">2018-09-18T12:52:00Z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