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C2729" w:rsidRPr="00D2123B" w14:paraId="5B04AC0F" w14:textId="77777777" w:rsidTr="003A4201">
        <w:trPr>
          <w:trHeight w:hRule="exact" w:val="851"/>
        </w:trPr>
        <w:tc>
          <w:tcPr>
            <w:tcW w:w="1277" w:type="dxa"/>
            <w:tcBorders>
              <w:bottom w:val="single" w:sz="4" w:space="0" w:color="auto"/>
            </w:tcBorders>
          </w:tcPr>
          <w:p w14:paraId="3E901415" w14:textId="77777777" w:rsidR="00AC2729" w:rsidRPr="00DB58B5" w:rsidRDefault="00AC2729" w:rsidP="003A4201"/>
        </w:tc>
        <w:tc>
          <w:tcPr>
            <w:tcW w:w="2268" w:type="dxa"/>
            <w:tcBorders>
              <w:bottom w:val="single" w:sz="4" w:space="0" w:color="auto"/>
            </w:tcBorders>
            <w:vAlign w:val="bottom"/>
          </w:tcPr>
          <w:p w14:paraId="385F421F" w14:textId="77777777" w:rsidR="00AC2729" w:rsidRPr="00DB58B5" w:rsidRDefault="00AC2729" w:rsidP="003A4201">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39786698" w14:textId="58090531" w:rsidR="00AC2729" w:rsidRPr="00E575A4" w:rsidRDefault="00112C71" w:rsidP="00912716">
            <w:pPr>
              <w:jc w:val="right"/>
            </w:pPr>
            <w:r w:rsidRPr="00D2123B">
              <w:rPr>
                <w:sz w:val="40"/>
              </w:rPr>
              <w:t>CAT</w:t>
            </w:r>
            <w:r w:rsidR="008F2716" w:rsidRPr="00D2123B">
              <w:t>/OP/BEN/</w:t>
            </w:r>
            <w:r w:rsidR="00D3514F" w:rsidRPr="00E575A4">
              <w:t>3</w:t>
            </w:r>
          </w:p>
        </w:tc>
      </w:tr>
      <w:tr w:rsidR="00AC2729" w:rsidRPr="00DB58B5" w14:paraId="7E649CF1" w14:textId="77777777" w:rsidTr="003A4201">
        <w:trPr>
          <w:trHeight w:hRule="exact" w:val="2835"/>
        </w:trPr>
        <w:tc>
          <w:tcPr>
            <w:tcW w:w="1276" w:type="dxa"/>
            <w:tcBorders>
              <w:top w:val="single" w:sz="4" w:space="0" w:color="auto"/>
              <w:bottom w:val="single" w:sz="12" w:space="0" w:color="auto"/>
            </w:tcBorders>
          </w:tcPr>
          <w:p w14:paraId="5D49A94B" w14:textId="77777777" w:rsidR="00AC2729" w:rsidRPr="00DB58B5" w:rsidRDefault="00D3514F" w:rsidP="003A4201">
            <w:pPr>
              <w:spacing w:before="120"/>
              <w:jc w:val="center"/>
            </w:pPr>
            <w:r>
              <w:rPr>
                <w:noProof/>
                <w:lang w:eastAsia="fr-CH"/>
              </w:rPr>
              <w:drawing>
                <wp:inline distT="0" distB="0" distL="0" distR="0" wp14:anchorId="23DCD0DD" wp14:editId="69456F65">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F08706" w14:textId="77777777" w:rsidR="00AC2729" w:rsidRPr="0089028E" w:rsidRDefault="00AC2729" w:rsidP="003A420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sidR="00972F9F">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3F78D6C8" w14:textId="6D18FDEB" w:rsidR="00112C71" w:rsidRDefault="00112C71" w:rsidP="003A4201">
            <w:pPr>
              <w:spacing w:before="240"/>
            </w:pPr>
            <w:proofErr w:type="spellStart"/>
            <w:r>
              <w:t>Distr</w:t>
            </w:r>
            <w:proofErr w:type="spellEnd"/>
            <w:r>
              <w:t xml:space="preserve">. </w:t>
            </w:r>
            <w:r w:rsidR="00912716" w:rsidRPr="00E575A4">
              <w:t>générale</w:t>
            </w:r>
          </w:p>
          <w:p w14:paraId="19D49C30" w14:textId="24655CDD" w:rsidR="00112C71" w:rsidRDefault="004B4808" w:rsidP="0029699D">
            <w:pPr>
              <w:spacing w:line="240" w:lineRule="exact"/>
            </w:pPr>
            <w:r>
              <w:t>1</w:t>
            </w:r>
            <w:r w:rsidRPr="006C5D31">
              <w:rPr>
                <w:vertAlign w:val="superscript"/>
              </w:rPr>
              <w:t>er</w:t>
            </w:r>
            <w:r>
              <w:t xml:space="preserve"> octobre</w:t>
            </w:r>
            <w:r w:rsidR="00BF0104" w:rsidRPr="0087483B">
              <w:t xml:space="preserve"> </w:t>
            </w:r>
            <w:r w:rsidR="00912716" w:rsidRPr="00E479D4">
              <w:t>2018</w:t>
            </w:r>
          </w:p>
          <w:p w14:paraId="0C7895A3" w14:textId="77777777" w:rsidR="008F2716" w:rsidRDefault="008F2716" w:rsidP="00112C71">
            <w:pPr>
              <w:spacing w:line="240" w:lineRule="exact"/>
            </w:pPr>
          </w:p>
          <w:p w14:paraId="09114A89" w14:textId="5FA85776" w:rsidR="00AC2729" w:rsidRDefault="008F2716" w:rsidP="001F53E9">
            <w:pPr>
              <w:spacing w:line="240" w:lineRule="exact"/>
            </w:pPr>
            <w:r>
              <w:t>Original</w:t>
            </w:r>
            <w:r w:rsidR="001F53E9">
              <w:t xml:space="preserve"> </w:t>
            </w:r>
            <w:r>
              <w:t xml:space="preserve">: </w:t>
            </w:r>
            <w:r w:rsidR="001F53E9">
              <w:t>f</w:t>
            </w:r>
            <w:r>
              <w:t>rançais</w:t>
            </w:r>
          </w:p>
          <w:p w14:paraId="776525B6" w14:textId="58302727" w:rsidR="005145C1" w:rsidRPr="00DB58B5" w:rsidRDefault="005145C1" w:rsidP="001F53E9">
            <w:pPr>
              <w:spacing w:line="240" w:lineRule="exact"/>
            </w:pPr>
            <w:r>
              <w:t xml:space="preserve">Anglais, espagnol </w:t>
            </w:r>
            <w:r w:rsidR="001F53E9">
              <w:t xml:space="preserve">et français </w:t>
            </w:r>
            <w:r>
              <w:t>seulement</w:t>
            </w:r>
          </w:p>
        </w:tc>
      </w:tr>
    </w:tbl>
    <w:p w14:paraId="74E5C40E" w14:textId="4A5AE27A" w:rsidR="00112C71" w:rsidRPr="00112C71" w:rsidRDefault="00112C71" w:rsidP="00E575A4">
      <w:pPr>
        <w:spacing w:before="120"/>
        <w:rPr>
          <w:b/>
          <w:sz w:val="24"/>
          <w:szCs w:val="24"/>
        </w:rPr>
      </w:pPr>
      <w:r w:rsidRPr="00112C71">
        <w:rPr>
          <w:b/>
          <w:sz w:val="24"/>
          <w:szCs w:val="24"/>
        </w:rPr>
        <w:t>Sous-Comité pour la prévention de la torture</w:t>
      </w:r>
      <w:r w:rsidR="00A80F24">
        <w:rPr>
          <w:b/>
          <w:sz w:val="24"/>
          <w:szCs w:val="24"/>
        </w:rPr>
        <w:t xml:space="preserve"> et autres peines</w:t>
      </w:r>
      <w:r w:rsidR="00D2123B">
        <w:rPr>
          <w:b/>
          <w:sz w:val="24"/>
          <w:szCs w:val="24"/>
        </w:rPr>
        <w:br/>
      </w:r>
      <w:r w:rsidR="00A80F24">
        <w:rPr>
          <w:b/>
          <w:sz w:val="24"/>
          <w:szCs w:val="24"/>
        </w:rPr>
        <w:t>ou traitements cruels, inhumains ou dégradants</w:t>
      </w:r>
    </w:p>
    <w:p w14:paraId="534DE2AA" w14:textId="5F8D1273" w:rsidR="00D61948" w:rsidRPr="00DC4C8F" w:rsidRDefault="005D637D" w:rsidP="006C5D31">
      <w:pPr>
        <w:pStyle w:val="HMG"/>
        <w:rPr>
          <w:sz w:val="24"/>
          <w:szCs w:val="24"/>
          <w:lang w:eastAsia="en-GB"/>
        </w:rPr>
      </w:pPr>
      <w:r>
        <w:tab/>
      </w:r>
      <w:r>
        <w:tab/>
      </w:r>
      <w:r w:rsidRPr="005D637D">
        <w:t xml:space="preserve">Visite au Bénin du </w:t>
      </w:r>
      <w:r w:rsidRPr="0081459E">
        <w:t>11 au 15</w:t>
      </w:r>
      <w:r w:rsidR="0005698B">
        <w:t> </w:t>
      </w:r>
      <w:r w:rsidRPr="0081459E">
        <w:t>janvier 2016</w:t>
      </w:r>
      <w:r w:rsidR="00A80F24" w:rsidRPr="0081459E">
        <w:t> </w:t>
      </w:r>
      <w:r w:rsidRPr="0081459E">
        <w:t>:</w:t>
      </w:r>
      <w:r w:rsidRPr="005D637D">
        <w:t xml:space="preserve"> observations et recommandations adressées </w:t>
      </w:r>
      <w:r w:rsidR="00701F10">
        <w:t>au</w:t>
      </w:r>
      <w:r w:rsidR="004B4808">
        <w:t> </w:t>
      </w:r>
      <w:r w:rsidR="00701F10">
        <w:t xml:space="preserve">Bénin </w:t>
      </w:r>
    </w:p>
    <w:p w14:paraId="09B33E8B" w14:textId="05ACAC37" w:rsidR="00701F10" w:rsidRDefault="00701F10" w:rsidP="006C5D31">
      <w:pPr>
        <w:pStyle w:val="HChG"/>
      </w:pPr>
      <w:r>
        <w:tab/>
      </w:r>
      <w:r>
        <w:tab/>
      </w:r>
      <w:r w:rsidR="00D61948" w:rsidRPr="00D61948">
        <w:t xml:space="preserve">Rapport </w:t>
      </w:r>
      <w:r w:rsidR="00A80F24">
        <w:t xml:space="preserve">établi par le </w:t>
      </w:r>
      <w:r w:rsidR="00D61948">
        <w:t>Sous-Comité</w:t>
      </w:r>
      <w:r w:rsidR="005145C1" w:rsidRPr="006C5D31">
        <w:rPr>
          <w:rStyle w:val="Appelnotedebasdep"/>
          <w:b w:val="0"/>
          <w:bCs/>
          <w:sz w:val="20"/>
          <w:vertAlign w:val="baseline"/>
        </w:rPr>
        <w:footnoteReference w:customMarkFollows="1" w:id="2"/>
        <w:t>*</w:t>
      </w:r>
      <w:r w:rsidR="005145C1" w:rsidRPr="006C5D31">
        <w:rPr>
          <w:b w:val="0"/>
          <w:bCs/>
          <w:position w:val="4"/>
          <w:sz w:val="20"/>
        </w:rPr>
        <w:t>,</w:t>
      </w:r>
      <w:r w:rsidR="006C5D31">
        <w:rPr>
          <w:b w:val="0"/>
          <w:bCs/>
          <w:position w:val="4"/>
          <w:sz w:val="20"/>
        </w:rPr>
        <w:t xml:space="preserve"> </w:t>
      </w:r>
      <w:r w:rsidR="005145C1" w:rsidRPr="006C5D31">
        <w:rPr>
          <w:rStyle w:val="Appelnotedebasdep"/>
          <w:b w:val="0"/>
          <w:bCs/>
          <w:sz w:val="20"/>
          <w:vertAlign w:val="baseline"/>
        </w:rPr>
        <w:footnoteReference w:customMarkFollows="1" w:id="3"/>
        <w:t>**</w:t>
      </w:r>
      <w:bookmarkStart w:id="0" w:name="_GoBack"/>
      <w:bookmarkEnd w:id="0"/>
    </w:p>
    <w:p w14:paraId="63534772" w14:textId="77777777" w:rsidR="006C5D31" w:rsidRDefault="00D15C1E" w:rsidP="00D61948">
      <w:pPr>
        <w:spacing w:after="120"/>
        <w:ind w:left="567" w:firstLine="567"/>
        <w:outlineLvl w:val="0"/>
      </w:pPr>
      <w:r>
        <w:br w:type="page"/>
      </w:r>
    </w:p>
    <w:p w14:paraId="4E8BD898" w14:textId="2F16D560" w:rsidR="006C5D31" w:rsidRDefault="006C5D31" w:rsidP="0060322E">
      <w:pPr>
        <w:spacing w:after="120"/>
        <w:rPr>
          <w:sz w:val="28"/>
        </w:rPr>
      </w:pPr>
      <w:r>
        <w:rPr>
          <w:sz w:val="28"/>
        </w:rPr>
        <w:lastRenderedPageBreak/>
        <w:t>Table des matières</w:t>
      </w:r>
    </w:p>
    <w:p w14:paraId="66012A5D" w14:textId="77777777" w:rsidR="006C5D31" w:rsidRDefault="006C5D31" w:rsidP="0060322E">
      <w:pPr>
        <w:tabs>
          <w:tab w:val="right" w:pos="9638"/>
        </w:tabs>
        <w:spacing w:after="120"/>
        <w:ind w:left="283"/>
        <w:rPr>
          <w:sz w:val="18"/>
        </w:rPr>
      </w:pPr>
      <w:r>
        <w:rPr>
          <w:i/>
          <w:sz w:val="18"/>
        </w:rPr>
        <w:tab/>
        <w:t>Page</w:t>
      </w:r>
    </w:p>
    <w:p w14:paraId="2C567A81" w14:textId="77777777" w:rsidR="00FE560E" w:rsidRDefault="00FE560E" w:rsidP="00FE560E">
      <w:pPr>
        <w:tabs>
          <w:tab w:val="right" w:pos="850"/>
          <w:tab w:val="left" w:pos="1134"/>
          <w:tab w:val="left" w:pos="1559"/>
          <w:tab w:val="left" w:pos="1984"/>
          <w:tab w:val="left" w:leader="dot" w:pos="8929"/>
          <w:tab w:val="right" w:pos="9638"/>
        </w:tabs>
        <w:spacing w:after="120"/>
      </w:pPr>
      <w:r>
        <w:tab/>
        <w:t>I.</w:t>
      </w:r>
      <w:r>
        <w:tab/>
        <w:t>Introduction</w:t>
      </w:r>
      <w:r>
        <w:tab/>
      </w:r>
      <w:r w:rsidR="007938EA">
        <w:tab/>
        <w:t>3</w:t>
      </w:r>
    </w:p>
    <w:p w14:paraId="0CA66009" w14:textId="3467AA3C" w:rsidR="00CA1A8A" w:rsidRDefault="00CA1A8A" w:rsidP="00CA1A8A">
      <w:pPr>
        <w:tabs>
          <w:tab w:val="right" w:pos="850"/>
          <w:tab w:val="left" w:pos="1134"/>
          <w:tab w:val="left" w:pos="1559"/>
          <w:tab w:val="left" w:pos="1984"/>
          <w:tab w:val="left" w:leader="dot" w:pos="8929"/>
          <w:tab w:val="right" w:pos="9638"/>
        </w:tabs>
        <w:spacing w:after="120"/>
      </w:pPr>
      <w:r>
        <w:tab/>
        <w:t>II.</w:t>
      </w:r>
      <w:r>
        <w:tab/>
      </w:r>
      <w:r w:rsidR="00A80F24" w:rsidRPr="0087483B">
        <w:t>Bon déroulement</w:t>
      </w:r>
      <w:r w:rsidR="00A80F24">
        <w:t xml:space="preserve"> </w:t>
      </w:r>
      <w:r>
        <w:t>de la visite et coopération</w:t>
      </w:r>
      <w:r>
        <w:tab/>
      </w:r>
      <w:r w:rsidR="007938EA">
        <w:tab/>
      </w:r>
      <w:r w:rsidR="001075E5">
        <w:t>3</w:t>
      </w:r>
    </w:p>
    <w:p w14:paraId="65BF0372" w14:textId="77777777" w:rsidR="00CA1A8A" w:rsidRDefault="00CA1A8A" w:rsidP="00CA1A8A">
      <w:pPr>
        <w:tabs>
          <w:tab w:val="right" w:pos="850"/>
          <w:tab w:val="left" w:pos="1134"/>
          <w:tab w:val="left" w:pos="1559"/>
          <w:tab w:val="left" w:pos="1984"/>
          <w:tab w:val="left" w:leader="dot" w:pos="8929"/>
          <w:tab w:val="right" w:pos="9638"/>
        </w:tabs>
        <w:spacing w:after="120"/>
      </w:pPr>
      <w:r>
        <w:tab/>
        <w:t>III.</w:t>
      </w:r>
      <w:r>
        <w:tab/>
        <w:t xml:space="preserve">Méthodologie et plan du rapport </w:t>
      </w:r>
      <w:r>
        <w:tab/>
      </w:r>
      <w:r w:rsidR="007938EA">
        <w:tab/>
        <w:t>4</w:t>
      </w:r>
    </w:p>
    <w:p w14:paraId="6BF425DF" w14:textId="77777777" w:rsidR="00CA1A8A" w:rsidRDefault="00CA1A8A" w:rsidP="00CA1A8A">
      <w:pPr>
        <w:tabs>
          <w:tab w:val="right" w:pos="850"/>
          <w:tab w:val="left" w:pos="1134"/>
          <w:tab w:val="left" w:pos="1559"/>
          <w:tab w:val="left" w:pos="1984"/>
          <w:tab w:val="left" w:leader="dot" w:pos="8929"/>
          <w:tab w:val="right" w:pos="9638"/>
        </w:tabs>
        <w:spacing w:after="120"/>
      </w:pPr>
      <w:r>
        <w:tab/>
        <w:t>IV.</w:t>
      </w:r>
      <w:r>
        <w:tab/>
        <w:t>Mécanisme national de prévention</w:t>
      </w:r>
      <w:r>
        <w:tab/>
      </w:r>
      <w:r w:rsidR="007938EA">
        <w:tab/>
        <w:t>4</w:t>
      </w:r>
    </w:p>
    <w:p w14:paraId="105DC6B6" w14:textId="77777777" w:rsidR="00CA1A8A" w:rsidRDefault="00CA1A8A" w:rsidP="00CA1A8A">
      <w:pPr>
        <w:tabs>
          <w:tab w:val="right" w:pos="850"/>
          <w:tab w:val="left" w:pos="1134"/>
          <w:tab w:val="left" w:pos="1559"/>
          <w:tab w:val="left" w:pos="1984"/>
          <w:tab w:val="left" w:leader="dot" w:pos="8929"/>
          <w:tab w:val="right" w:pos="9638"/>
        </w:tabs>
        <w:spacing w:after="120"/>
      </w:pPr>
      <w:r>
        <w:tab/>
        <w:t>V.</w:t>
      </w:r>
      <w:r>
        <w:tab/>
        <w:t>Conditions de détention</w:t>
      </w:r>
      <w:r>
        <w:tab/>
      </w:r>
      <w:r w:rsidR="007938EA">
        <w:tab/>
        <w:t>5</w:t>
      </w:r>
    </w:p>
    <w:p w14:paraId="789D00C4" w14:textId="77777777" w:rsidR="00CA1A8A" w:rsidRDefault="00CA1A8A" w:rsidP="00CA1A8A">
      <w:pPr>
        <w:tabs>
          <w:tab w:val="right" w:pos="850"/>
          <w:tab w:val="left" w:pos="1134"/>
          <w:tab w:val="left" w:pos="1559"/>
          <w:tab w:val="left" w:pos="1984"/>
          <w:tab w:val="left" w:leader="dot" w:pos="8929"/>
          <w:tab w:val="right" w:pos="9638"/>
        </w:tabs>
        <w:spacing w:after="120"/>
      </w:pPr>
      <w:r>
        <w:tab/>
      </w:r>
      <w:r>
        <w:tab/>
        <w:t>A.</w:t>
      </w:r>
      <w:r>
        <w:tab/>
        <w:t>Commissariats et gendarmeries</w:t>
      </w:r>
      <w:r>
        <w:tab/>
      </w:r>
      <w:r w:rsidR="007938EA">
        <w:tab/>
        <w:t>5</w:t>
      </w:r>
    </w:p>
    <w:p w14:paraId="3A335870" w14:textId="07FAA208" w:rsidR="00CA1A8A" w:rsidRDefault="00CA1A8A" w:rsidP="00CA1A8A">
      <w:pPr>
        <w:tabs>
          <w:tab w:val="right" w:pos="850"/>
          <w:tab w:val="left" w:pos="1134"/>
          <w:tab w:val="left" w:pos="1559"/>
          <w:tab w:val="left" w:pos="1984"/>
          <w:tab w:val="left" w:leader="dot" w:pos="8929"/>
          <w:tab w:val="right" w:pos="9638"/>
        </w:tabs>
        <w:spacing w:after="120"/>
      </w:pPr>
      <w:r>
        <w:tab/>
      </w:r>
      <w:r>
        <w:tab/>
        <w:t>B</w:t>
      </w:r>
      <w:r>
        <w:tab/>
      </w:r>
      <w:r w:rsidR="00CE7040">
        <w:t>É</w:t>
      </w:r>
      <w:r>
        <w:t>tablissements pénitentiaires</w:t>
      </w:r>
      <w:r>
        <w:tab/>
      </w:r>
      <w:r w:rsidR="007938EA">
        <w:tab/>
        <w:t>8</w:t>
      </w:r>
    </w:p>
    <w:p w14:paraId="5ED496A1" w14:textId="77777777" w:rsidR="00CA1A8A" w:rsidRDefault="00CA1A8A" w:rsidP="00CA1A8A">
      <w:pPr>
        <w:tabs>
          <w:tab w:val="right" w:pos="850"/>
          <w:tab w:val="left" w:pos="1134"/>
          <w:tab w:val="left" w:pos="1559"/>
          <w:tab w:val="left" w:pos="1984"/>
          <w:tab w:val="left" w:leader="dot" w:pos="8929"/>
          <w:tab w:val="right" w:pos="9638"/>
        </w:tabs>
        <w:spacing w:after="120"/>
      </w:pPr>
      <w:r>
        <w:tab/>
      </w:r>
      <w:r>
        <w:tab/>
        <w:t>C.</w:t>
      </w:r>
      <w:r>
        <w:tab/>
        <w:t>Accès aux soins de santé, hygiène, eau et assainissement</w:t>
      </w:r>
      <w:r>
        <w:tab/>
      </w:r>
      <w:r w:rsidR="007938EA">
        <w:tab/>
        <w:t>11</w:t>
      </w:r>
    </w:p>
    <w:p w14:paraId="1CA38571" w14:textId="3526C567" w:rsidR="00CA1A8A" w:rsidRDefault="00CA1A8A" w:rsidP="00CA1A8A">
      <w:pPr>
        <w:tabs>
          <w:tab w:val="right" w:pos="850"/>
          <w:tab w:val="left" w:pos="1134"/>
          <w:tab w:val="left" w:pos="1559"/>
          <w:tab w:val="left" w:pos="1984"/>
          <w:tab w:val="left" w:leader="dot" w:pos="8929"/>
          <w:tab w:val="right" w:pos="9638"/>
        </w:tabs>
        <w:spacing w:after="120"/>
      </w:pPr>
      <w:r>
        <w:tab/>
      </w:r>
      <w:r>
        <w:tab/>
        <w:t>D.</w:t>
      </w:r>
      <w:r>
        <w:tab/>
        <w:t>Mineurs en détention</w:t>
      </w:r>
      <w:r>
        <w:tab/>
      </w:r>
      <w:r w:rsidR="007938EA">
        <w:tab/>
        <w:t>1</w:t>
      </w:r>
      <w:r w:rsidR="001075E5">
        <w:t>2</w:t>
      </w:r>
    </w:p>
    <w:p w14:paraId="4843098E" w14:textId="2B6FD89C" w:rsidR="00CA1A8A" w:rsidRDefault="00CA1A8A" w:rsidP="00CA1A8A">
      <w:pPr>
        <w:tabs>
          <w:tab w:val="right" w:pos="850"/>
          <w:tab w:val="left" w:pos="1134"/>
          <w:tab w:val="left" w:pos="1559"/>
          <w:tab w:val="left" w:pos="1984"/>
          <w:tab w:val="left" w:leader="dot" w:pos="8929"/>
          <w:tab w:val="right" w:pos="9638"/>
        </w:tabs>
        <w:spacing w:after="120"/>
      </w:pPr>
      <w:r>
        <w:tab/>
        <w:t>VI.</w:t>
      </w:r>
      <w:r>
        <w:tab/>
        <w:t xml:space="preserve">Fonctionnement de la justice et politique pénale </w:t>
      </w:r>
      <w:r>
        <w:tab/>
      </w:r>
      <w:r w:rsidR="007938EA">
        <w:tab/>
        <w:t>1</w:t>
      </w:r>
      <w:r w:rsidR="001075E5">
        <w:t>2</w:t>
      </w:r>
    </w:p>
    <w:p w14:paraId="4ED26DB1" w14:textId="7CD5AA7D" w:rsidR="00CA1A8A" w:rsidRDefault="00CA1A8A" w:rsidP="00CA1A8A">
      <w:pPr>
        <w:tabs>
          <w:tab w:val="right" w:pos="850"/>
          <w:tab w:val="left" w:pos="1134"/>
          <w:tab w:val="left" w:pos="1559"/>
          <w:tab w:val="left" w:pos="1984"/>
          <w:tab w:val="left" w:leader="dot" w:pos="8929"/>
          <w:tab w:val="right" w:pos="9638"/>
        </w:tabs>
        <w:spacing w:after="120"/>
      </w:pPr>
      <w:r>
        <w:tab/>
      </w:r>
      <w:r>
        <w:tab/>
        <w:t>A.</w:t>
      </w:r>
      <w:r>
        <w:tab/>
        <w:t xml:space="preserve">Objectifs du système de justice </w:t>
      </w:r>
      <w:r>
        <w:tab/>
      </w:r>
      <w:r w:rsidR="007938EA">
        <w:tab/>
        <w:t>1</w:t>
      </w:r>
      <w:r w:rsidR="001075E5">
        <w:t>2</w:t>
      </w:r>
    </w:p>
    <w:p w14:paraId="79C708B9" w14:textId="2BFA8B1A" w:rsidR="00CA1A8A" w:rsidRDefault="00CA1A8A" w:rsidP="00CA1A8A">
      <w:pPr>
        <w:tabs>
          <w:tab w:val="right" w:pos="850"/>
          <w:tab w:val="left" w:pos="1134"/>
          <w:tab w:val="left" w:pos="1559"/>
          <w:tab w:val="left" w:pos="1984"/>
          <w:tab w:val="left" w:leader="dot" w:pos="8929"/>
          <w:tab w:val="right" w:pos="9638"/>
        </w:tabs>
        <w:spacing w:after="120"/>
      </w:pPr>
      <w:r>
        <w:tab/>
      </w:r>
      <w:r>
        <w:tab/>
        <w:t>B.</w:t>
      </w:r>
      <w:r>
        <w:tab/>
        <w:t>Cadre normatif</w:t>
      </w:r>
      <w:r>
        <w:tab/>
      </w:r>
      <w:r w:rsidR="007938EA">
        <w:tab/>
        <w:t>1</w:t>
      </w:r>
      <w:r w:rsidR="001075E5">
        <w:t>2</w:t>
      </w:r>
    </w:p>
    <w:p w14:paraId="63A690D9" w14:textId="45B72A81" w:rsidR="00CA1A8A" w:rsidRDefault="00CA1A8A" w:rsidP="00CA1A8A">
      <w:pPr>
        <w:tabs>
          <w:tab w:val="right" w:pos="850"/>
          <w:tab w:val="left" w:pos="1134"/>
          <w:tab w:val="left" w:pos="1559"/>
          <w:tab w:val="left" w:pos="1984"/>
          <w:tab w:val="left" w:leader="dot" w:pos="8929"/>
          <w:tab w:val="right" w:pos="9638"/>
        </w:tabs>
        <w:spacing w:after="120"/>
      </w:pPr>
      <w:r>
        <w:tab/>
        <w:t>VII.</w:t>
      </w:r>
      <w:r>
        <w:tab/>
        <w:t>Politique pénitentiaire</w:t>
      </w:r>
      <w:r>
        <w:tab/>
      </w:r>
      <w:r w:rsidR="007938EA">
        <w:tab/>
        <w:t>1</w:t>
      </w:r>
      <w:r w:rsidR="00A8755B">
        <w:t>5</w:t>
      </w:r>
    </w:p>
    <w:p w14:paraId="080FC78D" w14:textId="1EE66A56" w:rsidR="00CA1A8A" w:rsidRDefault="00CA1A8A" w:rsidP="00CA1A8A">
      <w:pPr>
        <w:tabs>
          <w:tab w:val="right" w:pos="850"/>
          <w:tab w:val="left" w:pos="1134"/>
          <w:tab w:val="left" w:pos="1559"/>
          <w:tab w:val="left" w:pos="1984"/>
          <w:tab w:val="left" w:leader="dot" w:pos="8929"/>
          <w:tab w:val="right" w:pos="9638"/>
        </w:tabs>
        <w:spacing w:after="120"/>
      </w:pPr>
      <w:r>
        <w:tab/>
      </w:r>
      <w:r>
        <w:tab/>
        <w:t>A.</w:t>
      </w:r>
      <w:r>
        <w:tab/>
        <w:t>Situation des personnes privées de liberté</w:t>
      </w:r>
      <w:r>
        <w:tab/>
      </w:r>
      <w:r w:rsidR="007938EA">
        <w:tab/>
        <w:t>1</w:t>
      </w:r>
      <w:r w:rsidR="00A8755B">
        <w:t>5</w:t>
      </w:r>
    </w:p>
    <w:p w14:paraId="60672338" w14:textId="088A260F" w:rsidR="00CA1A8A" w:rsidRDefault="00CA1A8A" w:rsidP="00CA1A8A">
      <w:pPr>
        <w:tabs>
          <w:tab w:val="right" w:pos="850"/>
          <w:tab w:val="left" w:pos="1134"/>
          <w:tab w:val="left" w:pos="1559"/>
          <w:tab w:val="left" w:pos="1984"/>
          <w:tab w:val="left" w:leader="dot" w:pos="8929"/>
          <w:tab w:val="right" w:pos="9638"/>
        </w:tabs>
        <w:spacing w:after="120"/>
      </w:pPr>
      <w:r>
        <w:tab/>
      </w:r>
      <w:r>
        <w:tab/>
        <w:t>B.</w:t>
      </w:r>
      <w:r>
        <w:tab/>
        <w:t>Cadre institutionnel</w:t>
      </w:r>
      <w:r>
        <w:tab/>
      </w:r>
      <w:r w:rsidR="007938EA">
        <w:tab/>
        <w:t>1</w:t>
      </w:r>
      <w:r w:rsidR="000A6033">
        <w:t>8</w:t>
      </w:r>
    </w:p>
    <w:p w14:paraId="6FBF019E" w14:textId="36E2C57F" w:rsidR="00CA1A8A" w:rsidRDefault="00CA1A8A" w:rsidP="00CA1A8A">
      <w:pPr>
        <w:tabs>
          <w:tab w:val="right" w:pos="850"/>
          <w:tab w:val="left" w:pos="1134"/>
          <w:tab w:val="left" w:pos="1559"/>
          <w:tab w:val="left" w:pos="1984"/>
          <w:tab w:val="left" w:leader="dot" w:pos="8929"/>
          <w:tab w:val="right" w:pos="9638"/>
        </w:tabs>
        <w:spacing w:after="120"/>
      </w:pPr>
      <w:r>
        <w:tab/>
        <w:t>VIII.</w:t>
      </w:r>
      <w:r>
        <w:tab/>
        <w:t>Répercussion</w:t>
      </w:r>
      <w:r w:rsidR="00F97EBB">
        <w:t>s</w:t>
      </w:r>
      <w:r>
        <w:t xml:space="preserve"> de la visite et conclusion</w:t>
      </w:r>
      <w:r>
        <w:tab/>
      </w:r>
      <w:r w:rsidR="007938EA">
        <w:tab/>
      </w:r>
      <w:r w:rsidR="009C5DC9">
        <w:t>18</w:t>
      </w:r>
    </w:p>
    <w:p w14:paraId="0DAE0848" w14:textId="34BF6DE2" w:rsidR="00CA1A8A" w:rsidRDefault="00CA1A8A" w:rsidP="00CA1A8A">
      <w:pPr>
        <w:tabs>
          <w:tab w:val="right" w:pos="850"/>
          <w:tab w:val="left" w:pos="1134"/>
          <w:tab w:val="left" w:pos="1559"/>
          <w:tab w:val="left" w:pos="1984"/>
          <w:tab w:val="left" w:leader="dot" w:pos="8929"/>
          <w:tab w:val="right" w:pos="9638"/>
        </w:tabs>
        <w:spacing w:after="120"/>
      </w:pPr>
      <w:r>
        <w:tab/>
      </w:r>
      <w:r>
        <w:tab/>
        <w:t>A.</w:t>
      </w:r>
      <w:r>
        <w:tab/>
        <w:t xml:space="preserve">Répercussions de la visite </w:t>
      </w:r>
      <w:r>
        <w:tab/>
      </w:r>
      <w:r w:rsidR="007938EA">
        <w:tab/>
      </w:r>
      <w:r w:rsidR="009C5DC9">
        <w:t>18</w:t>
      </w:r>
    </w:p>
    <w:p w14:paraId="68806BA0" w14:textId="2EE73B4A" w:rsidR="00CA1A8A" w:rsidRDefault="00CA1A8A" w:rsidP="00CA1A8A">
      <w:pPr>
        <w:tabs>
          <w:tab w:val="right" w:pos="850"/>
          <w:tab w:val="left" w:pos="1134"/>
          <w:tab w:val="left" w:pos="1559"/>
          <w:tab w:val="left" w:pos="1984"/>
          <w:tab w:val="left" w:leader="dot" w:pos="8929"/>
          <w:tab w:val="right" w:pos="9638"/>
        </w:tabs>
        <w:spacing w:after="120"/>
      </w:pPr>
      <w:r>
        <w:tab/>
      </w:r>
      <w:r>
        <w:tab/>
        <w:t>B.</w:t>
      </w:r>
      <w:r>
        <w:tab/>
        <w:t>Conclusion</w:t>
      </w:r>
      <w:r>
        <w:tab/>
      </w:r>
      <w:r w:rsidR="007938EA">
        <w:tab/>
      </w:r>
      <w:r w:rsidR="00A56CE7">
        <w:t>19</w:t>
      </w:r>
    </w:p>
    <w:p w14:paraId="21ADBF2E" w14:textId="77777777" w:rsidR="00A80F24" w:rsidRDefault="00A80F24" w:rsidP="00CA1A8A">
      <w:pPr>
        <w:tabs>
          <w:tab w:val="right" w:pos="850"/>
          <w:tab w:val="left" w:pos="1134"/>
          <w:tab w:val="left" w:pos="1559"/>
          <w:tab w:val="left" w:pos="1984"/>
          <w:tab w:val="left" w:leader="dot" w:pos="8929"/>
          <w:tab w:val="right" w:pos="9638"/>
        </w:tabs>
        <w:spacing w:after="120"/>
      </w:pPr>
      <w:r>
        <w:tab/>
        <w:t>Annexes</w:t>
      </w:r>
    </w:p>
    <w:p w14:paraId="218C0A53" w14:textId="0B867CB3" w:rsidR="00CA1A8A" w:rsidRDefault="00CA1A8A" w:rsidP="009C5A67">
      <w:pPr>
        <w:tabs>
          <w:tab w:val="right" w:pos="850"/>
          <w:tab w:val="left" w:pos="1134"/>
          <w:tab w:val="left" w:pos="1559"/>
          <w:tab w:val="left" w:pos="1984"/>
          <w:tab w:val="left" w:leader="dot" w:pos="8929"/>
          <w:tab w:val="right" w:pos="9638"/>
        </w:tabs>
        <w:spacing w:after="120"/>
      </w:pPr>
      <w:r>
        <w:tab/>
      </w:r>
      <w:r>
        <w:tab/>
        <w:t>I</w:t>
      </w:r>
      <w:r w:rsidR="00A80F24">
        <w:t>.</w:t>
      </w:r>
      <w:r>
        <w:tab/>
      </w:r>
      <w:r w:rsidR="00A80F24">
        <w:t xml:space="preserve">Liste des personnes rencontrées par le </w:t>
      </w:r>
      <w:r w:rsidR="009C5A67">
        <w:t>SPT</w:t>
      </w:r>
      <w:r>
        <w:tab/>
      </w:r>
      <w:r w:rsidR="007938EA">
        <w:tab/>
        <w:t>2</w:t>
      </w:r>
      <w:r w:rsidR="00A56CE7">
        <w:t>0</w:t>
      </w:r>
    </w:p>
    <w:p w14:paraId="1474D7FD" w14:textId="58F5D324" w:rsidR="00FE560E" w:rsidRDefault="00CA1A8A" w:rsidP="006C5D31">
      <w:pPr>
        <w:tabs>
          <w:tab w:val="right" w:pos="850"/>
          <w:tab w:val="left" w:pos="1134"/>
          <w:tab w:val="left" w:pos="1559"/>
          <w:tab w:val="left" w:pos="1984"/>
          <w:tab w:val="left" w:leader="dot" w:pos="8929"/>
          <w:tab w:val="right" w:pos="9638"/>
        </w:tabs>
        <w:spacing w:after="120"/>
      </w:pPr>
      <w:r>
        <w:tab/>
      </w:r>
      <w:r>
        <w:tab/>
        <w:t>II</w:t>
      </w:r>
      <w:r w:rsidR="00A80F24">
        <w:t>.</w:t>
      </w:r>
      <w:r w:rsidR="002F7DB0">
        <w:tab/>
      </w:r>
      <w:r w:rsidR="00A80F24">
        <w:t xml:space="preserve">Lieux de privation de liberté visités par le </w:t>
      </w:r>
      <w:r w:rsidR="009C5A67">
        <w:t>SPT</w:t>
      </w:r>
      <w:r>
        <w:tab/>
      </w:r>
      <w:r w:rsidR="007938EA">
        <w:tab/>
        <w:t>2</w:t>
      </w:r>
      <w:r w:rsidR="00D758B0">
        <w:t>2</w:t>
      </w:r>
    </w:p>
    <w:p w14:paraId="618EC379" w14:textId="77777777" w:rsidR="00FE560E" w:rsidRPr="00FE560E" w:rsidRDefault="00D15C1E" w:rsidP="00FE560E">
      <w:pPr>
        <w:pStyle w:val="HChG"/>
      </w:pPr>
      <w:r>
        <w:br w:type="page"/>
      </w:r>
      <w:r w:rsidR="00FE560E" w:rsidRPr="00FE560E">
        <w:lastRenderedPageBreak/>
        <w:tab/>
        <w:t>I.</w:t>
      </w:r>
      <w:r w:rsidR="00FE560E" w:rsidRPr="00FE560E">
        <w:tab/>
        <w:t>Introduction</w:t>
      </w:r>
    </w:p>
    <w:p w14:paraId="3CEDEC7F" w14:textId="4A191CF5" w:rsidR="00FE560E" w:rsidRPr="00A700EC" w:rsidRDefault="00FE560E" w:rsidP="00A700EC">
      <w:pPr>
        <w:pStyle w:val="SingleTxtG"/>
      </w:pPr>
      <w:r w:rsidRPr="00A700EC">
        <w:t>1.</w:t>
      </w:r>
      <w:r w:rsidRPr="00A700EC">
        <w:tab/>
        <w:t>En application de l’article 11 et du paragraphe 4 de l’article 13 du Protocole facultatif se rapportant à la Convention contre la torture et autres peines ou traitements cruels, inhumains ou dégradants</w:t>
      </w:r>
      <w:r w:rsidR="00CE7040">
        <w:t xml:space="preserve">, </w:t>
      </w:r>
      <w:r w:rsidRPr="00A700EC">
        <w:t>le Sous-Comité pour la prévention de la torture et autres peines ou traitements cruels, inhumains ou dégradants</w:t>
      </w:r>
      <w:r w:rsidR="00A2475A">
        <w:t xml:space="preserve"> </w:t>
      </w:r>
      <w:r w:rsidRPr="00A700EC">
        <w:t xml:space="preserve">a effectué sa </w:t>
      </w:r>
      <w:r w:rsidRPr="00F97EBB">
        <w:t>deuxième</w:t>
      </w:r>
      <w:r w:rsidRPr="00A700EC">
        <w:t xml:space="preserve"> visite</w:t>
      </w:r>
      <w:r w:rsidR="00D85A95" w:rsidRPr="00A700EC">
        <w:t xml:space="preserve"> </w:t>
      </w:r>
      <w:r w:rsidRPr="00A700EC">
        <w:t xml:space="preserve">au Bénin </w:t>
      </w:r>
      <w:r w:rsidRPr="0081459E">
        <w:t>du 11 au 15 janvier 2016.</w:t>
      </w:r>
    </w:p>
    <w:p w14:paraId="0E96A16D" w14:textId="3637931D" w:rsidR="00FE560E" w:rsidRPr="00E20F18" w:rsidRDefault="00FE560E" w:rsidP="00C16601">
      <w:pPr>
        <w:pStyle w:val="SingleTxtG"/>
      </w:pPr>
      <w:r w:rsidRPr="00A700EC">
        <w:t>2.</w:t>
      </w:r>
      <w:r w:rsidRPr="00A700EC">
        <w:tab/>
        <w:t xml:space="preserve">La délégation était composée </w:t>
      </w:r>
      <w:r w:rsidRPr="003455EF">
        <w:t xml:space="preserve">des membres suivants du </w:t>
      </w:r>
      <w:r w:rsidR="00456F42" w:rsidRPr="00E20F18">
        <w:t>Sous-Comité</w:t>
      </w:r>
      <w:r w:rsidR="0002101F" w:rsidRPr="00E20F18">
        <w:t> </w:t>
      </w:r>
      <w:r w:rsidRPr="00E20F18">
        <w:t>: Victor Madrigal-</w:t>
      </w:r>
      <w:proofErr w:type="spellStart"/>
      <w:r w:rsidRPr="00E20F18">
        <w:t>Borloz</w:t>
      </w:r>
      <w:proofErr w:type="spellEnd"/>
      <w:r w:rsidRPr="00E20F18">
        <w:t xml:space="preserve"> (chef de la délégation), </w:t>
      </w:r>
      <w:proofErr w:type="spellStart"/>
      <w:r w:rsidRPr="00E20F18">
        <w:t>Gnambi</w:t>
      </w:r>
      <w:proofErr w:type="spellEnd"/>
      <w:r w:rsidRPr="00E20F18">
        <w:t xml:space="preserve"> </w:t>
      </w:r>
      <w:proofErr w:type="spellStart"/>
      <w:r w:rsidRPr="00E20F18">
        <w:t>Garba</w:t>
      </w:r>
      <w:proofErr w:type="spellEnd"/>
      <w:r w:rsidRPr="00E20F18">
        <w:t xml:space="preserve"> </w:t>
      </w:r>
      <w:proofErr w:type="spellStart"/>
      <w:r w:rsidRPr="00E20F18">
        <w:t>Kodjo</w:t>
      </w:r>
      <w:proofErr w:type="spellEnd"/>
      <w:r w:rsidRPr="00E20F18">
        <w:t xml:space="preserve">, Paul </w:t>
      </w:r>
      <w:proofErr w:type="spellStart"/>
      <w:r w:rsidRPr="00E20F18">
        <w:t>Lam</w:t>
      </w:r>
      <w:proofErr w:type="spellEnd"/>
      <w:r w:rsidRPr="00E20F18">
        <w:t xml:space="preserve"> Shang </w:t>
      </w:r>
      <w:proofErr w:type="spellStart"/>
      <w:r w:rsidRPr="00E20F18">
        <w:t>Leen</w:t>
      </w:r>
      <w:proofErr w:type="spellEnd"/>
      <w:r w:rsidRPr="00E20F18">
        <w:t xml:space="preserve">, </w:t>
      </w:r>
      <w:proofErr w:type="spellStart"/>
      <w:r w:rsidRPr="00E20F18">
        <w:t>Radhia</w:t>
      </w:r>
      <w:proofErr w:type="spellEnd"/>
      <w:r w:rsidRPr="00E20F18">
        <w:t xml:space="preserve"> </w:t>
      </w:r>
      <w:proofErr w:type="spellStart"/>
      <w:r w:rsidRPr="00E20F18">
        <w:t>Nasraoui</w:t>
      </w:r>
      <w:proofErr w:type="spellEnd"/>
      <w:r w:rsidRPr="00E20F18">
        <w:t xml:space="preserve"> et Cath</w:t>
      </w:r>
      <w:r w:rsidR="00C16601" w:rsidRPr="00E20F18">
        <w:t>e</w:t>
      </w:r>
      <w:r w:rsidRPr="00E20F18">
        <w:t xml:space="preserve">rine </w:t>
      </w:r>
      <w:proofErr w:type="spellStart"/>
      <w:r w:rsidRPr="00E20F18">
        <w:t>Paulet</w:t>
      </w:r>
      <w:proofErr w:type="spellEnd"/>
      <w:r w:rsidRPr="00E20F18">
        <w:t xml:space="preserve">. </w:t>
      </w:r>
    </w:p>
    <w:p w14:paraId="43BB8B8B" w14:textId="4251DC2C" w:rsidR="00FE560E" w:rsidRPr="00E20F18" w:rsidRDefault="00FE560E" w:rsidP="00A700EC">
      <w:pPr>
        <w:pStyle w:val="SingleTxtG"/>
      </w:pPr>
      <w:r w:rsidRPr="00E20F18">
        <w:t>3.</w:t>
      </w:r>
      <w:r w:rsidRPr="00E20F18">
        <w:tab/>
        <w:t xml:space="preserve">Les membres du </w:t>
      </w:r>
      <w:r w:rsidR="00456F42" w:rsidRPr="00E20F18">
        <w:t>Sous-Comité</w:t>
      </w:r>
      <w:r w:rsidRPr="00E20F18">
        <w:t xml:space="preserve"> ont bénéficié de l’assistance de quatre membres du personnel du Haut-Commissariat des Nations Unies aux droits de l’homme, dont deux fonctionnaires chargés de la</w:t>
      </w:r>
      <w:r w:rsidR="00D85A95" w:rsidRPr="00E20F18">
        <w:t xml:space="preserve"> </w:t>
      </w:r>
      <w:r w:rsidRPr="00E20F18">
        <w:t>sécurité.</w:t>
      </w:r>
    </w:p>
    <w:p w14:paraId="0CE52F23" w14:textId="76951D46" w:rsidR="00FE560E" w:rsidRPr="00E20F18" w:rsidRDefault="00FE560E" w:rsidP="00A700EC">
      <w:pPr>
        <w:pStyle w:val="SingleTxtG"/>
      </w:pPr>
      <w:r w:rsidRPr="00E20F18">
        <w:t>4.</w:t>
      </w:r>
      <w:r w:rsidRPr="00E20F18">
        <w:tab/>
        <w:t xml:space="preserve">Le </w:t>
      </w:r>
      <w:r w:rsidR="00456F42" w:rsidRPr="00E20F18">
        <w:t>Sous-Comité</w:t>
      </w:r>
      <w:r w:rsidRPr="00E20F18">
        <w:t xml:space="preserve"> a effectué des visites dans </w:t>
      </w:r>
      <w:r w:rsidR="00D61948" w:rsidRPr="00E20F18">
        <w:t>plusieurs typ</w:t>
      </w:r>
      <w:r w:rsidR="006D4A2D" w:rsidRPr="00E20F18">
        <w:t>es</w:t>
      </w:r>
      <w:r w:rsidR="00D61948" w:rsidRPr="00E20F18">
        <w:t xml:space="preserve"> de </w:t>
      </w:r>
      <w:r w:rsidRPr="00E20F18">
        <w:t>lieux de privation de liberté</w:t>
      </w:r>
      <w:r w:rsidRPr="003455EF">
        <w:rPr>
          <w:vertAlign w:val="superscript"/>
        </w:rPr>
        <w:footnoteReference w:id="4"/>
      </w:r>
      <w:r w:rsidR="0002101F" w:rsidRPr="003455EF">
        <w:t>.</w:t>
      </w:r>
      <w:r w:rsidR="00D85A95" w:rsidRPr="003455EF">
        <w:rPr>
          <w:vertAlign w:val="superscript"/>
        </w:rPr>
        <w:t xml:space="preserve"> </w:t>
      </w:r>
    </w:p>
    <w:p w14:paraId="4F4E0ACF" w14:textId="7232471D" w:rsidR="00FE560E" w:rsidRPr="00E20F18" w:rsidRDefault="00FE560E" w:rsidP="00E575A4">
      <w:pPr>
        <w:pStyle w:val="SingleTxtG"/>
      </w:pPr>
      <w:r w:rsidRPr="00E20F18">
        <w:t>5.</w:t>
      </w:r>
      <w:r w:rsidRPr="00E20F18">
        <w:tab/>
        <w:t xml:space="preserve">Le </w:t>
      </w:r>
      <w:r w:rsidR="00456F42" w:rsidRPr="00E20F18">
        <w:t>Sous-Comité</w:t>
      </w:r>
      <w:r w:rsidRPr="00E20F18">
        <w:t xml:space="preserve"> a rencontré et s’est entretenu avec les autorités </w:t>
      </w:r>
      <w:r w:rsidR="00EE6C9B" w:rsidRPr="00E20F18">
        <w:t xml:space="preserve">béninoises </w:t>
      </w:r>
      <w:r w:rsidRPr="00E20F18">
        <w:t xml:space="preserve">compétentes, le Conseil consultatif des droits de l’homme, les organisations de la société civile et le </w:t>
      </w:r>
      <w:r w:rsidR="00E575A4" w:rsidRPr="00E20F18">
        <w:t>b</w:t>
      </w:r>
      <w:r w:rsidRPr="00E20F18">
        <w:t xml:space="preserve">arreau de Cotonou ainsi qu’avec les représentants du Programme des Nations Unies pour le </w:t>
      </w:r>
      <w:r w:rsidR="0002101F" w:rsidRPr="00E20F18">
        <w:t>d</w:t>
      </w:r>
      <w:r w:rsidRPr="00E20F18">
        <w:t>éveloppement. Il tient à les remercier pour les informations précieuses qu’ils lui ont communiquées.</w:t>
      </w:r>
    </w:p>
    <w:p w14:paraId="000190C7" w14:textId="3FD900AA" w:rsidR="00FE560E" w:rsidRPr="00A700EC" w:rsidRDefault="00FE560E" w:rsidP="00135D7A">
      <w:pPr>
        <w:pStyle w:val="SingleTxtG"/>
      </w:pPr>
      <w:r w:rsidRPr="00E20F18">
        <w:t>6.</w:t>
      </w:r>
      <w:r w:rsidRPr="00E20F18">
        <w:tab/>
        <w:t>La visite avait pour objet de suivre l’application des</w:t>
      </w:r>
      <w:r w:rsidR="00D85A95" w:rsidRPr="00E20F18">
        <w:t xml:space="preserve"> </w:t>
      </w:r>
      <w:r w:rsidRPr="00E20F18">
        <w:t>recommandations formulées</w:t>
      </w:r>
      <w:r w:rsidR="00D85A95" w:rsidRPr="00E20F18">
        <w:t xml:space="preserve"> </w:t>
      </w:r>
      <w:r w:rsidRPr="00E20F18">
        <w:t xml:space="preserve">par le </w:t>
      </w:r>
      <w:r w:rsidR="00456F42" w:rsidRPr="00E20F18">
        <w:t>Sous-Comité</w:t>
      </w:r>
      <w:r w:rsidRPr="00E20F18">
        <w:t xml:space="preserve"> à l’issue de sa première visite régulière dans le pays, réalisée du 17 au 26 mai 2008</w:t>
      </w:r>
      <w:r w:rsidRPr="006C5D31">
        <w:rPr>
          <w:vertAlign w:val="superscript"/>
        </w:rPr>
        <w:footnoteReference w:id="5"/>
      </w:r>
      <w:r w:rsidR="00C47E7E" w:rsidRPr="003455EF">
        <w:t xml:space="preserve">. </w:t>
      </w:r>
      <w:r w:rsidRPr="003455EF">
        <w:t xml:space="preserve">La visite a permis au </w:t>
      </w:r>
      <w:r w:rsidR="00456F42" w:rsidRPr="00E20F18">
        <w:t>Sous-Comité</w:t>
      </w:r>
      <w:r w:rsidRPr="00E20F18">
        <w:t xml:space="preserve"> d</w:t>
      </w:r>
      <w:r w:rsidR="00393FA9" w:rsidRPr="00E20F18">
        <w:t xml:space="preserve">e se rendre compte </w:t>
      </w:r>
      <w:r w:rsidRPr="00E20F18">
        <w:t>des</w:t>
      </w:r>
      <w:r w:rsidRPr="00A700EC">
        <w:t xml:space="preserve"> progrès réalisés dans la mise en œuvre des recommandations formulées dans le précédent rapport</w:t>
      </w:r>
      <w:r w:rsidR="00D85A95" w:rsidRPr="00A700EC">
        <w:t xml:space="preserve"> </w:t>
      </w:r>
      <w:r w:rsidRPr="00A700EC">
        <w:t xml:space="preserve">et des efforts </w:t>
      </w:r>
      <w:r w:rsidRPr="00135D7A">
        <w:t>qu</w:t>
      </w:r>
      <w:r w:rsidR="00135D7A">
        <w:t>’il</w:t>
      </w:r>
      <w:r w:rsidRPr="00135D7A">
        <w:t xml:space="preserve"> reste</w:t>
      </w:r>
      <w:r w:rsidRPr="00A700EC">
        <w:t xml:space="preserve"> à accomplir par l’</w:t>
      </w:r>
      <w:r w:rsidR="00DC5639">
        <w:t>État</w:t>
      </w:r>
      <w:r w:rsidRPr="00A700EC">
        <w:t xml:space="preserve"> partie.</w:t>
      </w:r>
      <w:r w:rsidR="00D85A95" w:rsidRPr="00A700EC">
        <w:t xml:space="preserve"> </w:t>
      </w:r>
    </w:p>
    <w:p w14:paraId="571BD325" w14:textId="0DBD6CEC" w:rsidR="00FE560E" w:rsidRPr="00A700EC" w:rsidRDefault="00FE560E" w:rsidP="00A700EC">
      <w:pPr>
        <w:pStyle w:val="SingleTxtG"/>
      </w:pPr>
      <w:r w:rsidRPr="00A700EC">
        <w:t>7.</w:t>
      </w:r>
      <w:r w:rsidRPr="00A700EC">
        <w:tab/>
      </w:r>
      <w:r w:rsidR="00393FA9">
        <w:t>À</w:t>
      </w:r>
      <w:r w:rsidRPr="00A700EC">
        <w:t xml:space="preserve"> l</w:t>
      </w:r>
      <w:r w:rsidR="00393FA9">
        <w:t>’</w:t>
      </w:r>
      <w:r w:rsidRPr="00A700EC">
        <w:t xml:space="preserve">issue de la visite, le </w:t>
      </w:r>
      <w:r w:rsidR="00456F42">
        <w:t>Sous-Comité</w:t>
      </w:r>
      <w:r w:rsidRPr="00A700EC">
        <w:t xml:space="preserve"> a, au cours d’une réunion tenue </w:t>
      </w:r>
      <w:r w:rsidR="00393FA9">
        <w:t>le</w:t>
      </w:r>
      <w:r w:rsidRPr="00A700EC">
        <w:t xml:space="preserve"> 15 janvier 2016, présenté oralement aux autorités nationales </w:t>
      </w:r>
      <w:r w:rsidR="00393FA9">
        <w:t xml:space="preserve">béninoises </w:t>
      </w:r>
      <w:r w:rsidRPr="00A700EC">
        <w:t>ses observations préliminaires et confidentielles. Ce</w:t>
      </w:r>
      <w:r w:rsidR="00393FA9">
        <w:t xml:space="preserve">s dernières </w:t>
      </w:r>
      <w:r w:rsidRPr="00A700EC">
        <w:t>ont pu présenter des réponses liminaires à certaines</w:t>
      </w:r>
      <w:r w:rsidR="00D85A95" w:rsidRPr="00A700EC">
        <w:t xml:space="preserve"> </w:t>
      </w:r>
      <w:r w:rsidRPr="00A700EC">
        <w:t xml:space="preserve">préoccupations du </w:t>
      </w:r>
      <w:r w:rsidR="00456F42">
        <w:t>Sous-Comité</w:t>
      </w:r>
      <w:r w:rsidRPr="00A700EC">
        <w:t xml:space="preserve">. </w:t>
      </w:r>
    </w:p>
    <w:p w14:paraId="61801CC4" w14:textId="77777777" w:rsidR="00FE560E" w:rsidRPr="00A700EC" w:rsidRDefault="00FE560E" w:rsidP="00A700EC">
      <w:pPr>
        <w:pStyle w:val="SingleTxtG"/>
      </w:pPr>
      <w:r w:rsidRPr="00A700EC">
        <w:t>8.</w:t>
      </w:r>
      <w:r w:rsidRPr="00A700EC">
        <w:tab/>
        <w:t xml:space="preserve">Dans le présent rapport, l’expression « mauvais traitements » est utilisée au sens générique et vise toutes les formes de peines ou traitements cruels, inhumains ou dégradants. </w:t>
      </w:r>
    </w:p>
    <w:p w14:paraId="0ADC693E" w14:textId="37083F20" w:rsidR="00FE560E" w:rsidRPr="00E20F18" w:rsidRDefault="00FE560E" w:rsidP="00A700EC">
      <w:pPr>
        <w:pStyle w:val="SingleTxtG"/>
      </w:pPr>
      <w:r w:rsidRPr="00A700EC">
        <w:t>9.</w:t>
      </w:r>
      <w:r w:rsidRPr="00A700EC">
        <w:tab/>
      </w:r>
      <w:r w:rsidR="001D66AE" w:rsidRPr="003455EF">
        <w:t>A</w:t>
      </w:r>
      <w:r w:rsidRPr="003455EF">
        <w:t>u vu du peu</w:t>
      </w:r>
      <w:r w:rsidRPr="00E20F18">
        <w:t xml:space="preserve"> de progrès réalisé, les observations et recommandations formulées dans le précédent rapport du </w:t>
      </w:r>
      <w:r w:rsidR="00456F42" w:rsidRPr="00E20F18">
        <w:t>Sous-Comité</w:t>
      </w:r>
      <w:r w:rsidRPr="00E20F18">
        <w:t xml:space="preserve"> restent pleinement valables et applicables. Ledit rapport reste, par conséquent, en vigueur.</w:t>
      </w:r>
    </w:p>
    <w:p w14:paraId="44BE216D" w14:textId="6E59F595" w:rsidR="00FE560E" w:rsidRPr="00E20F18" w:rsidRDefault="00FE560E" w:rsidP="00A700EC">
      <w:pPr>
        <w:pStyle w:val="SingleTxtG"/>
      </w:pPr>
      <w:r w:rsidRPr="00E20F18">
        <w:t>10.</w:t>
      </w:r>
      <w:r w:rsidRPr="00E20F18">
        <w:tab/>
        <w:t xml:space="preserve">Le rapport du </w:t>
      </w:r>
      <w:r w:rsidR="00456F42" w:rsidRPr="00E20F18">
        <w:t>Sous-Comité</w:t>
      </w:r>
      <w:r w:rsidRPr="00E20F18">
        <w:t xml:space="preserve"> demeurera confidentiel jusqu’à ce que les autorités béninoises décident de le rendre public, en conformité avec </w:t>
      </w:r>
      <w:r w:rsidR="00A2475A" w:rsidRPr="00E20F18">
        <w:t xml:space="preserve">le paragraphe 2 de </w:t>
      </w:r>
      <w:r w:rsidRPr="00E20F18">
        <w:t>l’article 16 du Protocole facultatif.</w:t>
      </w:r>
      <w:r w:rsidR="00D85A95" w:rsidRPr="00E20F18">
        <w:t xml:space="preserve"> </w:t>
      </w:r>
      <w:r w:rsidRPr="00E20F18">
        <w:t xml:space="preserve">Le </w:t>
      </w:r>
      <w:r w:rsidR="00456F42" w:rsidRPr="00E20F18">
        <w:t>Sous-Comité</w:t>
      </w:r>
      <w:r w:rsidRPr="00E20F18">
        <w:t xml:space="preserve"> tient à attirer l’attention de l’</w:t>
      </w:r>
      <w:r w:rsidR="00DC5639" w:rsidRPr="00E20F18">
        <w:t>État</w:t>
      </w:r>
      <w:r w:rsidRPr="00E20F18">
        <w:t xml:space="preserve"> partie sur la possibilité de solliciter un financement du Fonds spécial établi conformément à l’article 26 du Protocole facultatif pour des projets spécifiques visant à mettre en œuvre les recommandations contenues dans le présent rapport, à la condition que ce dernier ait été rendu public.</w:t>
      </w:r>
      <w:r w:rsidR="00D85A95" w:rsidRPr="00E20F18">
        <w:t xml:space="preserve"> </w:t>
      </w:r>
    </w:p>
    <w:p w14:paraId="4D152B63" w14:textId="0C2F557C" w:rsidR="00FE560E" w:rsidRPr="00A700EC" w:rsidRDefault="00FE560E" w:rsidP="00A700EC">
      <w:pPr>
        <w:pStyle w:val="SingleTxtG"/>
        <w:rPr>
          <w:b/>
        </w:rPr>
      </w:pPr>
      <w:r w:rsidRPr="00E20F18">
        <w:t>11.</w:t>
      </w:r>
      <w:r w:rsidRPr="00E20F18">
        <w:rPr>
          <w:b/>
        </w:rPr>
        <w:tab/>
        <w:t xml:space="preserve">Le </w:t>
      </w:r>
      <w:r w:rsidR="00456F42" w:rsidRPr="00E20F18">
        <w:rPr>
          <w:b/>
        </w:rPr>
        <w:t>Sous-Comité</w:t>
      </w:r>
      <w:r w:rsidRPr="00E20F18">
        <w:rPr>
          <w:b/>
        </w:rPr>
        <w:t xml:space="preserve"> recommande au Bénin d’envisager la publication du présent rapport conformément au paragraphe 2 de l’article 16 du</w:t>
      </w:r>
      <w:r w:rsidRPr="00A700EC">
        <w:rPr>
          <w:b/>
        </w:rPr>
        <w:t xml:space="preserve"> Protocole facultatif.</w:t>
      </w:r>
    </w:p>
    <w:p w14:paraId="402E582C" w14:textId="0EEF2F5F" w:rsidR="00FE560E" w:rsidRPr="00A700EC" w:rsidRDefault="00FE560E" w:rsidP="00A700EC">
      <w:pPr>
        <w:pStyle w:val="HChG"/>
      </w:pPr>
      <w:r w:rsidRPr="00A700EC">
        <w:tab/>
        <w:t>II.</w:t>
      </w:r>
      <w:r w:rsidRPr="00A700EC">
        <w:tab/>
      </w:r>
      <w:r w:rsidR="00A80F24">
        <w:t>Bon déroulement</w:t>
      </w:r>
      <w:r w:rsidR="00A80F24" w:rsidRPr="00A700EC">
        <w:t xml:space="preserve"> </w:t>
      </w:r>
      <w:r w:rsidRPr="00A700EC">
        <w:t>de la visite et coopération</w:t>
      </w:r>
    </w:p>
    <w:p w14:paraId="4CF95657" w14:textId="36AD4622" w:rsidR="00FE560E" w:rsidRPr="00A700EC" w:rsidRDefault="00FE560E" w:rsidP="00A700EC">
      <w:pPr>
        <w:pStyle w:val="SingleTxtG"/>
      </w:pPr>
      <w:r w:rsidRPr="00A700EC">
        <w:t>12.</w:t>
      </w:r>
      <w:r w:rsidRPr="00A700EC">
        <w:tab/>
        <w:t xml:space="preserve">Le </w:t>
      </w:r>
      <w:r w:rsidR="00456F42">
        <w:t>Sous-Comité</w:t>
      </w:r>
      <w:r w:rsidRPr="00A700EC">
        <w:t xml:space="preserve"> tient à remercier les autorités béninoises de leur excellente coopération et de leur contribution au bon déroulement de sa visite. Il tient, tout spécialement, à remercier le Gouvernement béninois </w:t>
      </w:r>
      <w:r w:rsidR="00484BA9">
        <w:t xml:space="preserve">pour </w:t>
      </w:r>
      <w:r w:rsidRPr="00A700EC">
        <w:t xml:space="preserve">lui avoir accordé l’accès sans restriction aux lieux de détention </w:t>
      </w:r>
      <w:r w:rsidRPr="00E575A4">
        <w:t>conformément au</w:t>
      </w:r>
      <w:r w:rsidR="00484BA9" w:rsidRPr="00E575A4">
        <w:t>x dispositions du</w:t>
      </w:r>
      <w:r w:rsidRPr="00E575A4">
        <w:t xml:space="preserve"> Protocole</w:t>
      </w:r>
      <w:r w:rsidRPr="00A700EC">
        <w:t xml:space="preserve"> et pour avoir désigné Boris </w:t>
      </w:r>
      <w:proofErr w:type="spellStart"/>
      <w:r w:rsidRPr="00A700EC">
        <w:t>Tokpanou</w:t>
      </w:r>
      <w:proofErr w:type="spellEnd"/>
      <w:r w:rsidRPr="00A700EC">
        <w:t xml:space="preserve"> comme son agent de liaison et interlocuteur dont la diligence a contribué à faciliter </w:t>
      </w:r>
      <w:r w:rsidRPr="00A700EC">
        <w:lastRenderedPageBreak/>
        <w:t xml:space="preserve">la visite sur place. Il remercie également la Mission permanente du Bénin auprès de l’Office des Nations Unies à Genève avec laquelle le </w:t>
      </w:r>
      <w:r w:rsidR="00456F42">
        <w:t>Sous-Comité</w:t>
      </w:r>
      <w:r w:rsidRPr="00A700EC">
        <w:t xml:space="preserve"> a eu un dialogue constructif. </w:t>
      </w:r>
    </w:p>
    <w:p w14:paraId="147236F4" w14:textId="1B63C9F0" w:rsidR="00FE560E" w:rsidRPr="00A700EC" w:rsidRDefault="00FE560E" w:rsidP="00A700EC">
      <w:pPr>
        <w:pStyle w:val="SingleTxtG"/>
      </w:pPr>
      <w:r w:rsidRPr="00A700EC">
        <w:t>13.</w:t>
      </w:r>
      <w:r w:rsidRPr="00A700EC">
        <w:tab/>
        <w:t xml:space="preserve">Le </w:t>
      </w:r>
      <w:r w:rsidR="00456F42">
        <w:t>Sous-Comité</w:t>
      </w:r>
      <w:r w:rsidRPr="00A700EC">
        <w:t xml:space="preserve"> regrette néanmoins que les informations et documents qu’il avait requis préalablement à la visite n’aient été fournis que très tardivement</w:t>
      </w:r>
      <w:r w:rsidR="008A34A5">
        <w:t>,</w:t>
      </w:r>
      <w:r w:rsidRPr="00A700EC">
        <w:t xml:space="preserve"> ce qui n’a pas permis de préparer </w:t>
      </w:r>
      <w:r w:rsidR="00F97EBB">
        <w:t>l</w:t>
      </w:r>
      <w:r w:rsidRPr="00A700EC">
        <w:t>a visite de manière totalement satisfaisante.</w:t>
      </w:r>
      <w:r w:rsidR="00D85A95" w:rsidRPr="00A700EC">
        <w:t xml:space="preserve"> </w:t>
      </w:r>
    </w:p>
    <w:p w14:paraId="7CB2DEF7" w14:textId="68AFDBE6" w:rsidR="00FE560E" w:rsidRPr="00A700EC" w:rsidRDefault="00FE560E" w:rsidP="00E479D4">
      <w:pPr>
        <w:pStyle w:val="SingleTxtG"/>
      </w:pPr>
      <w:r w:rsidRPr="00A700EC">
        <w:t>14.</w:t>
      </w:r>
      <w:r w:rsidRPr="00A700EC">
        <w:tab/>
        <w:t xml:space="preserve">Le </w:t>
      </w:r>
      <w:r w:rsidR="00456F42">
        <w:t>Sous-Comité</w:t>
      </w:r>
      <w:r w:rsidRPr="00A700EC">
        <w:t xml:space="preserve"> note avec satisfaction que les chefs d’établissements pénitentiaires et les autorités des commissariats de police et des gendarmeries, y compris au niveau des agents d’encadrement de base, ont été dûment informés de sa visite et ont donné total accès aux lieux de privation de liberté et aux détenus. Il note aussi le niveau de professionnalisme, de courtoisie et </w:t>
      </w:r>
      <w:r w:rsidRPr="00E575A4">
        <w:t>d’effic</w:t>
      </w:r>
      <w:r w:rsidR="00E575A4">
        <w:t xml:space="preserve">acité </w:t>
      </w:r>
      <w:r w:rsidRPr="00E575A4">
        <w:t>d</w:t>
      </w:r>
      <w:r w:rsidRPr="00A700EC">
        <w:t>u personnel d’encadrement ainsi qu’un</w:t>
      </w:r>
      <w:r w:rsidR="00E479D4">
        <w:t xml:space="preserve"> soutien aux principes </w:t>
      </w:r>
      <w:r w:rsidRPr="00E479D4">
        <w:t>des droits de l’homme c</w:t>
      </w:r>
      <w:r w:rsidRPr="0087483B">
        <w:t>hez</w:t>
      </w:r>
      <w:r w:rsidRPr="00A700EC">
        <w:t xml:space="preserve"> ces derniers, qui est, probablement, le résultat des formations reçues en matière des droits de l’homme. </w:t>
      </w:r>
    </w:p>
    <w:p w14:paraId="7520B000" w14:textId="667B92E1" w:rsidR="00FE560E" w:rsidRPr="00A700EC" w:rsidRDefault="00FE560E" w:rsidP="00A700EC">
      <w:pPr>
        <w:pStyle w:val="SingleTxtG"/>
      </w:pPr>
      <w:r w:rsidRPr="00A700EC">
        <w:t>15.</w:t>
      </w:r>
      <w:r w:rsidRPr="00A700EC">
        <w:tab/>
      </w:r>
      <w:r w:rsidR="001D66AE" w:rsidRPr="00A700EC">
        <w:t>C</w:t>
      </w:r>
      <w:r w:rsidRPr="00A700EC">
        <w:t>ette coopération et cette attitude positive constituent une</w:t>
      </w:r>
      <w:r w:rsidR="00D85A95" w:rsidRPr="00A700EC">
        <w:t xml:space="preserve"> </w:t>
      </w:r>
      <w:r w:rsidRPr="00A700EC">
        <w:t xml:space="preserve">amélioration sensible par rapport à </w:t>
      </w:r>
      <w:r w:rsidR="008A34A5">
        <w:t>l</w:t>
      </w:r>
      <w:r w:rsidRPr="00A700EC">
        <w:t xml:space="preserve">a visite de 2008, durant laquelle le </w:t>
      </w:r>
      <w:r w:rsidR="00456F42">
        <w:t>Sous-Comité</w:t>
      </w:r>
      <w:r w:rsidRPr="00A700EC">
        <w:t xml:space="preserve"> avait été confronté à des problèmes d’accès à certains lieux de détention </w:t>
      </w:r>
      <w:r w:rsidR="00F97EBB">
        <w:t>et</w:t>
      </w:r>
      <w:r w:rsidRPr="00A700EC">
        <w:t xml:space="preserve"> à des détenus.</w:t>
      </w:r>
    </w:p>
    <w:p w14:paraId="020CDD06" w14:textId="77777777" w:rsidR="00FE560E" w:rsidRPr="00A700EC" w:rsidRDefault="00FE560E" w:rsidP="00A700EC">
      <w:pPr>
        <w:pStyle w:val="HChG"/>
      </w:pPr>
      <w:r w:rsidRPr="00A700EC">
        <w:tab/>
        <w:t>III.</w:t>
      </w:r>
      <w:r w:rsidRPr="00A700EC">
        <w:tab/>
        <w:t xml:space="preserve">Méthodologie et plan du rapport </w:t>
      </w:r>
    </w:p>
    <w:p w14:paraId="4287EDBF" w14:textId="3AD049DA" w:rsidR="00FE560E" w:rsidRPr="00A700EC" w:rsidRDefault="00FE560E" w:rsidP="007B7DC4">
      <w:pPr>
        <w:pStyle w:val="SingleTxtG"/>
      </w:pPr>
      <w:r w:rsidRPr="00A700EC">
        <w:t>1</w:t>
      </w:r>
      <w:r w:rsidR="00F97EBB">
        <w:t>6</w:t>
      </w:r>
      <w:r w:rsidRPr="00A700EC">
        <w:t>.</w:t>
      </w:r>
      <w:r w:rsidRPr="00A700EC">
        <w:tab/>
        <w:t xml:space="preserve">Le </w:t>
      </w:r>
      <w:r w:rsidR="00456F42">
        <w:t>Sous-Comité</w:t>
      </w:r>
      <w:r w:rsidRPr="00A700EC">
        <w:t xml:space="preserve"> souligne qu’en dépit de certaines améliorations très limitées dans leur portée, la situation n’a pas beaucoup évolué dans l’</w:t>
      </w:r>
      <w:r w:rsidR="00DC5639">
        <w:t>État</w:t>
      </w:r>
      <w:r w:rsidRPr="00A700EC">
        <w:t xml:space="preserve"> partie et que, dans certains cas, elle s’est dégradée. Les observations et recommandations du </w:t>
      </w:r>
      <w:r w:rsidR="00456F42">
        <w:t>Sous-Comité</w:t>
      </w:r>
      <w:r w:rsidRPr="00A700EC">
        <w:t xml:space="preserve"> ne visent donc pas à reprendre le catalogue de celles déjà formulées dans le précédent rapport, mais à permettre une réflexion de l’</w:t>
      </w:r>
      <w:r w:rsidR="00DC5639">
        <w:t>État</w:t>
      </w:r>
      <w:r w:rsidRPr="00A700EC">
        <w:t xml:space="preserve"> partie sur la prévention de la torture en ce qu’elle requiert quant aux buts et objectifs du système judiciaire et pénal </w:t>
      </w:r>
      <w:r w:rsidR="00F172C7" w:rsidRPr="00E575A4">
        <w:t>ainsi que</w:t>
      </w:r>
      <w:r w:rsidRPr="00E575A4">
        <w:t xml:space="preserve"> du</w:t>
      </w:r>
      <w:r w:rsidRPr="00A700EC">
        <w:t xml:space="preserve"> système pénitentiaire. </w:t>
      </w:r>
    </w:p>
    <w:p w14:paraId="73B88590" w14:textId="015A50A8" w:rsidR="00FE560E" w:rsidRPr="00A700EC" w:rsidRDefault="00FE560E" w:rsidP="00A700EC">
      <w:pPr>
        <w:pStyle w:val="SingleTxtG"/>
      </w:pPr>
      <w:r w:rsidRPr="00A700EC">
        <w:t>1</w:t>
      </w:r>
      <w:r w:rsidR="00F97EBB">
        <w:t>7</w:t>
      </w:r>
      <w:r w:rsidRPr="00A700EC">
        <w:t>.</w:t>
      </w:r>
      <w:r w:rsidRPr="00A700EC">
        <w:tab/>
        <w:t xml:space="preserve">Ainsi, le rapport du </w:t>
      </w:r>
      <w:r w:rsidR="00456F42">
        <w:t>Sous-Comité</w:t>
      </w:r>
      <w:r w:rsidRPr="00A700EC">
        <w:t xml:space="preserve"> comporte quatre parties principales : la première revient sur la question du </w:t>
      </w:r>
      <w:r w:rsidR="00456F42">
        <w:t>mécanisme national de prévention</w:t>
      </w:r>
      <w:r w:rsidRPr="00A700EC">
        <w:t xml:space="preserve"> que l’</w:t>
      </w:r>
      <w:r w:rsidR="00DC5639">
        <w:t>État</w:t>
      </w:r>
      <w:r w:rsidRPr="00A700EC">
        <w:t xml:space="preserve"> partie n’a toujours pas mis en place ; la deuxième se concentre sur les conditions de détention sous ses différents aspe</w:t>
      </w:r>
      <w:r w:rsidR="0026463D" w:rsidRPr="00A700EC">
        <w:t>c</w:t>
      </w:r>
      <w:r w:rsidR="006D4A2D" w:rsidRPr="00A700EC">
        <w:t>ts ;</w:t>
      </w:r>
      <w:r w:rsidRPr="00A700EC">
        <w:t xml:space="preserve"> la troisième traite du fonctionnement de la justice et de la politique pénale</w:t>
      </w:r>
      <w:r w:rsidR="002508B9">
        <w:t> ;</w:t>
      </w:r>
      <w:r w:rsidRPr="00A700EC">
        <w:t xml:space="preserve"> et la quatrième porte sur la politique pénitentiaire. Fort du constat qu’il y a peu d’améliorations, le </w:t>
      </w:r>
      <w:r w:rsidR="00456F42">
        <w:t>Sous-Comité</w:t>
      </w:r>
      <w:r w:rsidRPr="00A700EC">
        <w:t xml:space="preserve"> estime que ces chapitres traitent de problèmes structurels intrinsèquement liés et que leur examen commun est de nature à faire avancer la prévention contre les mauvais traitements. </w:t>
      </w:r>
    </w:p>
    <w:p w14:paraId="08E8D99B" w14:textId="77777777" w:rsidR="00FE560E" w:rsidRPr="00FE560E" w:rsidRDefault="00FE560E" w:rsidP="001D1C14">
      <w:pPr>
        <w:pStyle w:val="HChG"/>
        <w:outlineLvl w:val="0"/>
      </w:pPr>
      <w:r w:rsidRPr="00FE560E">
        <w:tab/>
        <w:t>IV.</w:t>
      </w:r>
      <w:r w:rsidRPr="00FE560E">
        <w:tab/>
        <w:t>Mécanisme national de prévention</w:t>
      </w:r>
    </w:p>
    <w:p w14:paraId="67F0BF30" w14:textId="1979C3B3" w:rsidR="00FE560E" w:rsidRPr="00A700EC" w:rsidRDefault="00013787" w:rsidP="00E575A4">
      <w:pPr>
        <w:pStyle w:val="SingleTxtG"/>
      </w:pPr>
      <w:r w:rsidRPr="00A700EC">
        <w:t>1</w:t>
      </w:r>
      <w:r w:rsidR="00F97EBB">
        <w:t>8</w:t>
      </w:r>
      <w:r w:rsidRPr="00A700EC">
        <w:t>.</w:t>
      </w:r>
      <w:r w:rsidRPr="00A700EC">
        <w:tab/>
      </w:r>
      <w:r w:rsidR="00C47E7E" w:rsidRPr="00A700EC">
        <w:t xml:space="preserve">Le </w:t>
      </w:r>
      <w:r w:rsidR="00456F42">
        <w:t>Sous-Comité</w:t>
      </w:r>
      <w:r w:rsidR="00C47E7E" w:rsidRPr="00A700EC">
        <w:t xml:space="preserve"> rappelle que l’</w:t>
      </w:r>
      <w:r w:rsidR="00DC5639">
        <w:t>État</w:t>
      </w:r>
      <w:r w:rsidR="00C47E7E" w:rsidRPr="00A700EC">
        <w:t xml:space="preserve"> partie a ratifié </w:t>
      </w:r>
      <w:r w:rsidR="00C47E7E" w:rsidRPr="00E20F18">
        <w:t xml:space="preserve">le </w:t>
      </w:r>
      <w:r w:rsidR="00C47E7E" w:rsidRPr="003455EF">
        <w:t>Protocole facultatif en 2006</w:t>
      </w:r>
      <w:r w:rsidR="00C47E7E" w:rsidRPr="00A700EC">
        <w:t xml:space="preserve"> et qu</w:t>
      </w:r>
      <w:r w:rsidR="0082669F">
        <w:t xml:space="preserve">e, </w:t>
      </w:r>
      <w:r w:rsidR="00C47E7E" w:rsidRPr="00A700EC">
        <w:t xml:space="preserve">en vertu de l’article 17 dudit </w:t>
      </w:r>
      <w:r w:rsidR="0082669F">
        <w:t>P</w:t>
      </w:r>
      <w:r w:rsidR="00C47E7E" w:rsidRPr="00A700EC">
        <w:t>rotocole, il s’engageait à mettre en place dans un délai d’un an un mécanisme national de prévention</w:t>
      </w:r>
      <w:r w:rsidR="00456F42">
        <w:t> </w:t>
      </w:r>
      <w:r w:rsidR="00FE560E" w:rsidRPr="00A700EC">
        <w:t xml:space="preserve">; </w:t>
      </w:r>
      <w:r w:rsidR="0082669F">
        <w:t xml:space="preserve">or, </w:t>
      </w:r>
      <w:r w:rsidR="00FE560E" w:rsidRPr="00A700EC">
        <w:t>celui-ci n’a</w:t>
      </w:r>
      <w:r w:rsidR="0082669F">
        <w:t xml:space="preserve"> </w:t>
      </w:r>
      <w:r w:rsidR="00FE560E" w:rsidRPr="00A700EC">
        <w:t xml:space="preserve">toujours </w:t>
      </w:r>
      <w:r w:rsidR="0082669F">
        <w:t xml:space="preserve">pas </w:t>
      </w:r>
      <w:r w:rsidR="00FE560E" w:rsidRPr="00A700EC">
        <w:t xml:space="preserve">été mis en place. </w:t>
      </w:r>
      <w:r w:rsidR="0082669F">
        <w:t>Le Sous</w:t>
      </w:r>
      <w:r w:rsidR="0082669F">
        <w:rPr>
          <w:lang w:val="fr-FR"/>
        </w:rPr>
        <w:t xml:space="preserve">-Comité </w:t>
      </w:r>
      <w:r w:rsidR="00FE560E" w:rsidRPr="00A700EC">
        <w:t>regrette</w:t>
      </w:r>
      <w:r w:rsidR="0082669F">
        <w:t xml:space="preserve"> </w:t>
      </w:r>
      <w:r w:rsidR="00FE560E" w:rsidRPr="00A700EC">
        <w:t xml:space="preserve">de ne pas avoir pu rencontrer les membres </w:t>
      </w:r>
      <w:r w:rsidR="00FE560E" w:rsidRPr="00E575A4">
        <w:t xml:space="preserve">du </w:t>
      </w:r>
      <w:r w:rsidR="00E575A4">
        <w:t>g</w:t>
      </w:r>
      <w:r w:rsidR="00FE560E" w:rsidRPr="00E575A4">
        <w:t xml:space="preserve">roupe de travail ad hoc sur le </w:t>
      </w:r>
      <w:r w:rsidR="00456F42" w:rsidRPr="00E575A4">
        <w:t>mécanisme national de prévention</w:t>
      </w:r>
      <w:r w:rsidR="0082669F" w:rsidRPr="00E575A4">
        <w:t xml:space="preserve"> alors qu’il avait exp</w:t>
      </w:r>
      <w:r w:rsidR="0082669F">
        <w:t>ressément formulé une demande en ce sens</w:t>
      </w:r>
      <w:r w:rsidR="00C47E7E" w:rsidRPr="00A700EC">
        <w:t>.</w:t>
      </w:r>
    </w:p>
    <w:p w14:paraId="19E370E7" w14:textId="7ED4D863" w:rsidR="00FE560E" w:rsidRPr="00E20F18" w:rsidRDefault="00F97EBB" w:rsidP="00A700EC">
      <w:pPr>
        <w:pStyle w:val="SingleTxtG"/>
      </w:pPr>
      <w:r>
        <w:t>19</w:t>
      </w:r>
      <w:r w:rsidR="00013787" w:rsidRPr="00A700EC">
        <w:t>.</w:t>
      </w:r>
      <w:r w:rsidR="00013787" w:rsidRPr="00A700EC">
        <w:tab/>
      </w:r>
      <w:r w:rsidR="001D1C14" w:rsidRPr="00A700EC">
        <w:t>L’</w:t>
      </w:r>
      <w:r w:rsidR="00DC5639">
        <w:t>État</w:t>
      </w:r>
      <w:r w:rsidR="001D1C14" w:rsidRPr="00A700EC">
        <w:t xml:space="preserve"> partie semble avoir opté pour la création d’un </w:t>
      </w:r>
      <w:r w:rsidR="00456F42">
        <w:t>mécanisme national de prévention</w:t>
      </w:r>
      <w:r w:rsidR="001D1C14" w:rsidRPr="00A700EC">
        <w:t xml:space="preserve"> au sein de la Commission béninoise des droits de l’homme, notamment pour des motifs liés à l’insuffisance de ressources. </w:t>
      </w:r>
      <w:r w:rsidR="00FE560E" w:rsidRPr="00A700EC">
        <w:t xml:space="preserve">Le </w:t>
      </w:r>
      <w:r w:rsidR="00456F42">
        <w:t>Sous-Comité</w:t>
      </w:r>
      <w:r w:rsidR="00FE560E" w:rsidRPr="00A700EC">
        <w:t xml:space="preserve"> prend note </w:t>
      </w:r>
      <w:r w:rsidR="00FE560E" w:rsidRPr="003455EF">
        <w:t xml:space="preserve">de la </w:t>
      </w:r>
      <w:r w:rsidR="00BB4AEC" w:rsidRPr="00E20F18">
        <w:t>l</w:t>
      </w:r>
      <w:r w:rsidR="00FE560E" w:rsidRPr="00E20F18">
        <w:t>oi n</w:t>
      </w:r>
      <w:r w:rsidR="00FE560E" w:rsidRPr="006C5D31">
        <w:rPr>
          <w:vertAlign w:val="superscript"/>
        </w:rPr>
        <w:t>o</w:t>
      </w:r>
      <w:r w:rsidR="00BB4AEC" w:rsidRPr="003455EF">
        <w:t> </w:t>
      </w:r>
      <w:r w:rsidR="00FE560E" w:rsidRPr="00E20F18">
        <w:t>2012-36 portant création de la Commission béninoise des droits de l’homme, dont le texte lui a été transmis par les autorités de l’</w:t>
      </w:r>
      <w:r w:rsidR="00DC5639" w:rsidRPr="00E20F18">
        <w:t>État</w:t>
      </w:r>
      <w:r w:rsidR="00FE560E" w:rsidRPr="00E20F18">
        <w:t xml:space="preserve"> partie. Il prend également note de ce que</w:t>
      </w:r>
      <w:r w:rsidR="00F172C7" w:rsidRPr="00E20F18">
        <w:t>,</w:t>
      </w:r>
      <w:r w:rsidR="001D66AE" w:rsidRPr="00E20F18">
        <w:t xml:space="preserve"> </w:t>
      </w:r>
      <w:r w:rsidR="00FE560E" w:rsidRPr="00E20F18">
        <w:t>aux termes de l’article 4 de cette loi, la Commission béninoise des droits de l’homme est habilitée à «</w:t>
      </w:r>
      <w:r w:rsidR="00BB4AEC" w:rsidRPr="00E20F18">
        <w:t> </w:t>
      </w:r>
      <w:r w:rsidR="00FE560E" w:rsidRPr="00E20F18">
        <w:t xml:space="preserve">effectuer des visites régulières, inopinées ou notifiées, dans les lieux de détention ou de rétention aux fins de prévenir toutes violations des droits de l’homme » ; ce qui est au cœur du mandat d’un </w:t>
      </w:r>
      <w:r w:rsidR="00456F42" w:rsidRPr="00E20F18">
        <w:t>mécanisme national de prévention</w:t>
      </w:r>
      <w:r w:rsidR="00FE560E" w:rsidRPr="00E20F18">
        <w:t>.</w:t>
      </w:r>
      <w:r w:rsidR="00D85A95" w:rsidRPr="00E20F18">
        <w:t xml:space="preserve"> </w:t>
      </w:r>
    </w:p>
    <w:p w14:paraId="456F06F0" w14:textId="29E0C2CA" w:rsidR="00FE560E" w:rsidRPr="00E20F18" w:rsidRDefault="00013787" w:rsidP="00A700EC">
      <w:pPr>
        <w:pStyle w:val="SingleTxtG"/>
      </w:pPr>
      <w:r w:rsidRPr="00E20F18">
        <w:t>2</w:t>
      </w:r>
      <w:r w:rsidR="00F97EBB" w:rsidRPr="00E20F18">
        <w:t>0</w:t>
      </w:r>
      <w:r w:rsidRPr="00E20F18">
        <w:t>.</w:t>
      </w:r>
      <w:r w:rsidRPr="00E20F18">
        <w:tab/>
      </w:r>
      <w:r w:rsidR="00FE560E" w:rsidRPr="00E20F18">
        <w:t xml:space="preserve">Si le </w:t>
      </w:r>
      <w:r w:rsidR="00456F42" w:rsidRPr="00E20F18">
        <w:t>Sous-Comité</w:t>
      </w:r>
      <w:r w:rsidR="00FE560E" w:rsidRPr="00E20F18">
        <w:t xml:space="preserve"> note que l’</w:t>
      </w:r>
      <w:r w:rsidR="00DC5639" w:rsidRPr="00E20F18">
        <w:t>État</w:t>
      </w:r>
      <w:r w:rsidR="00FE560E" w:rsidRPr="00E20F18">
        <w:t xml:space="preserve"> partie a lié la mise en place d’un </w:t>
      </w:r>
      <w:r w:rsidR="00456F42" w:rsidRPr="00E20F18">
        <w:t>mécanisme national de prévention</w:t>
      </w:r>
      <w:r w:rsidR="00FE560E" w:rsidRPr="00E20F18">
        <w:t xml:space="preserve"> au fonctionnement de la Commission béninoise des droits de l’homme et qu’un décret devrait instituer le </w:t>
      </w:r>
      <w:r w:rsidR="00456F42" w:rsidRPr="00E20F18">
        <w:t>mécanisme national de prévention</w:t>
      </w:r>
      <w:r w:rsidR="00FE560E" w:rsidRPr="00E20F18">
        <w:t xml:space="preserve">, il remarque néanmoins que la Commission n’est pas encore fonctionnelle et se heurte, d’après les informations fournies par les autorités elles-mêmes et les organisations de la société civile, à un certain nombre </w:t>
      </w:r>
      <w:r w:rsidR="00FE560E" w:rsidRPr="00E20F18">
        <w:lastRenderedPageBreak/>
        <w:t xml:space="preserve">d’obstacles. Cette difficulté freine, de toute évidence, la création du </w:t>
      </w:r>
      <w:r w:rsidR="00456F42" w:rsidRPr="00E20F18">
        <w:t>mécanisme national de prévention</w:t>
      </w:r>
      <w:r w:rsidR="00FE560E" w:rsidRPr="00E20F18">
        <w:t xml:space="preserve">, dont l’urgence se fait pressante. </w:t>
      </w:r>
    </w:p>
    <w:p w14:paraId="4F6A07CB" w14:textId="3A52AFFE" w:rsidR="00FE560E" w:rsidRPr="00A700EC" w:rsidRDefault="00013787" w:rsidP="00A700EC">
      <w:pPr>
        <w:pStyle w:val="SingleTxtG"/>
      </w:pPr>
      <w:r w:rsidRPr="00E20F18">
        <w:t>2</w:t>
      </w:r>
      <w:r w:rsidR="00F97EBB" w:rsidRPr="00E20F18">
        <w:t>1</w:t>
      </w:r>
      <w:r w:rsidRPr="00E20F18">
        <w:t>.</w:t>
      </w:r>
      <w:r w:rsidRPr="00E20F18">
        <w:tab/>
      </w:r>
      <w:r w:rsidR="00FE560E" w:rsidRPr="00E20F18">
        <w:t xml:space="preserve">Le </w:t>
      </w:r>
      <w:r w:rsidR="00456F42" w:rsidRPr="00E20F18">
        <w:t>Sous-Comité</w:t>
      </w:r>
      <w:r w:rsidR="00FE560E" w:rsidRPr="00E20F18">
        <w:t xml:space="preserve"> ne se prononce pas sur l’opportunité de créer un </w:t>
      </w:r>
      <w:r w:rsidR="00456F42" w:rsidRPr="00E20F18">
        <w:t>mécanisme national de prévention</w:t>
      </w:r>
      <w:r w:rsidR="00FE560E" w:rsidRPr="00E20F18">
        <w:t xml:space="preserve"> qui soit un organe distinct ou intégré au sein d’une institution nationale des droits de l’homme. Il note, cependant, que les dispositions de l’article 4 de la loi portant création de la Commission béninoise des droits de l’homme ne suffisent pas</w:t>
      </w:r>
      <w:r w:rsidR="00826B5B" w:rsidRPr="00E20F18">
        <w:t xml:space="preserve"> </w:t>
      </w:r>
      <w:r w:rsidR="00FE560E" w:rsidRPr="00E20F18">
        <w:t>à satisfaire les garanties requises à l’article 18 du Protocole facultatif</w:t>
      </w:r>
      <w:r w:rsidR="001D1C14" w:rsidRPr="00A700EC">
        <w:t>.</w:t>
      </w:r>
      <w:r w:rsidRPr="00A700EC">
        <w:t xml:space="preserve"> </w:t>
      </w:r>
    </w:p>
    <w:p w14:paraId="31B9D216" w14:textId="5EB37C31" w:rsidR="00FE560E" w:rsidRPr="00A700EC" w:rsidRDefault="00D43F72" w:rsidP="00D05097">
      <w:pPr>
        <w:pStyle w:val="SingleTxtG"/>
      </w:pPr>
      <w:r w:rsidRPr="00A700EC">
        <w:t>2</w:t>
      </w:r>
      <w:r w:rsidR="00F97EBB">
        <w:t>2</w:t>
      </w:r>
      <w:r w:rsidR="00013787" w:rsidRPr="00A700EC">
        <w:t>.</w:t>
      </w:r>
      <w:r w:rsidR="00013787" w:rsidRPr="00A700EC">
        <w:tab/>
      </w:r>
      <w:r w:rsidR="00FE560E" w:rsidRPr="00A700EC">
        <w:t xml:space="preserve">Le </w:t>
      </w:r>
      <w:r w:rsidR="00456F42">
        <w:t>Sous-Comité</w:t>
      </w:r>
      <w:r w:rsidR="00FE560E" w:rsidRPr="00A700EC">
        <w:t xml:space="preserve"> considère que le fait de ne pas mettre en place, désigner ou maintenir un mécanisme national de prévention conformément aux dispositions du Protocole facultatif constitue un manquement grave aux obligations internationales découlant de cet instrument. </w:t>
      </w:r>
    </w:p>
    <w:p w14:paraId="40BD5994" w14:textId="05B104ED" w:rsidR="00FE560E" w:rsidRPr="00FE560E" w:rsidRDefault="00D43F72" w:rsidP="00013787">
      <w:pPr>
        <w:pStyle w:val="SingleTxtG"/>
        <w:rPr>
          <w:b/>
        </w:rPr>
      </w:pPr>
      <w:r>
        <w:t>2</w:t>
      </w:r>
      <w:r w:rsidR="00F97EBB">
        <w:t>3</w:t>
      </w:r>
      <w:r w:rsidR="00013787" w:rsidRPr="00013787">
        <w:t>.</w:t>
      </w:r>
      <w:r w:rsidR="00013787">
        <w:rPr>
          <w:b/>
        </w:rPr>
        <w:tab/>
      </w:r>
      <w:r w:rsidR="00FE560E" w:rsidRPr="00FE560E">
        <w:rPr>
          <w:b/>
        </w:rPr>
        <w:t xml:space="preserve">Le </w:t>
      </w:r>
      <w:r w:rsidR="00456F42">
        <w:rPr>
          <w:b/>
        </w:rPr>
        <w:t>Sous-Comité</w:t>
      </w:r>
      <w:r w:rsidR="00FE560E" w:rsidRPr="00FE560E">
        <w:rPr>
          <w:b/>
        </w:rPr>
        <w:t xml:space="preserve"> recommande que l’</w:t>
      </w:r>
      <w:r w:rsidR="00DC5639">
        <w:rPr>
          <w:b/>
        </w:rPr>
        <w:t>État</w:t>
      </w:r>
      <w:r w:rsidR="00FE560E" w:rsidRPr="00FE560E">
        <w:rPr>
          <w:b/>
        </w:rPr>
        <w:t xml:space="preserve"> partie fasse de la mise en place d’un </w:t>
      </w:r>
      <w:r w:rsidR="00456F42">
        <w:rPr>
          <w:b/>
        </w:rPr>
        <w:t>mécanisme national de prévention</w:t>
      </w:r>
      <w:r w:rsidR="00FE560E" w:rsidRPr="00FE560E">
        <w:rPr>
          <w:b/>
        </w:rPr>
        <w:t xml:space="preserve"> une priorité. Il recommande également que l’</w:t>
      </w:r>
      <w:r w:rsidR="00DC5639">
        <w:rPr>
          <w:b/>
        </w:rPr>
        <w:t>État</w:t>
      </w:r>
      <w:r w:rsidR="00FE560E" w:rsidRPr="00FE560E">
        <w:rPr>
          <w:b/>
        </w:rPr>
        <w:t xml:space="preserve"> partie </w:t>
      </w:r>
      <w:r w:rsidR="00F87930">
        <w:rPr>
          <w:b/>
        </w:rPr>
        <w:t xml:space="preserve">veille à ce </w:t>
      </w:r>
      <w:r w:rsidR="00FE560E" w:rsidRPr="00FE560E">
        <w:rPr>
          <w:b/>
        </w:rPr>
        <w:t xml:space="preserve">que le </w:t>
      </w:r>
      <w:r w:rsidR="00456F42">
        <w:rPr>
          <w:b/>
        </w:rPr>
        <w:t>mécanisme national de prévention</w:t>
      </w:r>
      <w:r w:rsidR="00FE560E" w:rsidRPr="00FE560E">
        <w:rPr>
          <w:b/>
        </w:rPr>
        <w:t xml:space="preserve"> respecte toutes </w:t>
      </w:r>
      <w:r w:rsidR="00F172C7">
        <w:rPr>
          <w:b/>
        </w:rPr>
        <w:t xml:space="preserve">les </w:t>
      </w:r>
      <w:r w:rsidR="00FE560E" w:rsidRPr="00FE560E">
        <w:rPr>
          <w:b/>
        </w:rPr>
        <w:t xml:space="preserve">garanties prévues dans le Protocole facultatif, en particulier à l’article 18. Il recommande enfin que le processus de mise en place du </w:t>
      </w:r>
      <w:r w:rsidR="00456F42">
        <w:rPr>
          <w:b/>
        </w:rPr>
        <w:t>mécanisme national de prévention</w:t>
      </w:r>
      <w:r w:rsidR="00FE560E" w:rsidRPr="00FE560E">
        <w:rPr>
          <w:b/>
        </w:rPr>
        <w:t xml:space="preserve"> soit inclusif et se fasse en consultation avec toutes les organisations de la société civile intéressées. </w:t>
      </w:r>
    </w:p>
    <w:p w14:paraId="3B225676" w14:textId="77777777" w:rsidR="00FE560E" w:rsidRPr="00FE560E" w:rsidRDefault="00FE560E" w:rsidP="001D1C14">
      <w:pPr>
        <w:pStyle w:val="HChG"/>
        <w:outlineLvl w:val="0"/>
      </w:pPr>
      <w:r w:rsidRPr="00FE560E">
        <w:tab/>
        <w:t>V.</w:t>
      </w:r>
      <w:r w:rsidRPr="00FE560E">
        <w:tab/>
        <w:t>Conditions de détention</w:t>
      </w:r>
    </w:p>
    <w:p w14:paraId="2F5BC296" w14:textId="77777777" w:rsidR="00FE560E" w:rsidRPr="00FE560E" w:rsidRDefault="00FE560E" w:rsidP="00013787">
      <w:pPr>
        <w:pStyle w:val="H1G"/>
      </w:pPr>
      <w:r w:rsidRPr="00FE560E">
        <w:tab/>
      </w:r>
      <w:r w:rsidR="00D85A95">
        <w:t>A.</w:t>
      </w:r>
      <w:r w:rsidRPr="00FE560E">
        <w:tab/>
        <w:t>Commissariats et gendarmeries</w:t>
      </w:r>
    </w:p>
    <w:p w14:paraId="6E44C689" w14:textId="77777777" w:rsidR="00FE560E" w:rsidRPr="00FE560E" w:rsidRDefault="00D85A95" w:rsidP="001D1C14">
      <w:pPr>
        <w:pStyle w:val="H23G"/>
        <w:outlineLvl w:val="0"/>
      </w:pPr>
      <w:r>
        <w:tab/>
        <w:t>1</w:t>
      </w:r>
      <w:r w:rsidR="00013787">
        <w:t>.</w:t>
      </w:r>
      <w:r w:rsidR="00013787">
        <w:tab/>
      </w:r>
      <w:r w:rsidR="00FE560E" w:rsidRPr="00FE560E">
        <w:t>Conditions matérielles et sanitaires de détention </w:t>
      </w:r>
    </w:p>
    <w:p w14:paraId="5F817200" w14:textId="42180FC6" w:rsidR="00FE560E" w:rsidRPr="00FE560E" w:rsidRDefault="00D43F72" w:rsidP="00E030FB">
      <w:pPr>
        <w:pStyle w:val="SingleTxtG"/>
      </w:pPr>
      <w:r>
        <w:t>2</w:t>
      </w:r>
      <w:r w:rsidR="00F97EBB">
        <w:t>4</w:t>
      </w:r>
      <w:r w:rsidR="00013787">
        <w:t>.</w:t>
      </w:r>
      <w:r w:rsidR="00013787">
        <w:tab/>
      </w:r>
      <w:r w:rsidR="00FE560E" w:rsidRPr="00FE560E">
        <w:t xml:space="preserve">Le </w:t>
      </w:r>
      <w:r w:rsidR="00456F42">
        <w:t>Sous-Comité</w:t>
      </w:r>
      <w:r w:rsidR="00FE560E" w:rsidRPr="00FE560E">
        <w:t xml:space="preserve"> a constaté que les personnes détenues dans les commissariats et </w:t>
      </w:r>
      <w:r w:rsidR="009A26A4">
        <w:t>dans les b</w:t>
      </w:r>
      <w:r w:rsidR="00FE560E" w:rsidRPr="00FE560E">
        <w:t>rigade</w:t>
      </w:r>
      <w:r w:rsidR="009A26A4">
        <w:t>s</w:t>
      </w:r>
      <w:r w:rsidR="00FE560E" w:rsidRPr="00FE560E">
        <w:t xml:space="preserve"> de gendarmerie territoriale l’étaient dans </w:t>
      </w:r>
      <w:r w:rsidR="001D66AE">
        <w:t>d</w:t>
      </w:r>
      <w:r w:rsidR="001D66AE" w:rsidRPr="00FE560E">
        <w:t xml:space="preserve">es </w:t>
      </w:r>
      <w:r w:rsidR="00FE560E" w:rsidRPr="00FE560E">
        <w:t>conditions ne satisf</w:t>
      </w:r>
      <w:r w:rsidR="00C57D9B">
        <w:t>aisa</w:t>
      </w:r>
      <w:r w:rsidR="00FE560E" w:rsidRPr="00FE560E">
        <w:t xml:space="preserve">nt pas à l’Ensemble de règles minima des Nations Unies pour le traitement des détenus (Règles Nelson </w:t>
      </w:r>
      <w:r w:rsidR="00FE560E" w:rsidRPr="0087483B">
        <w:t>Mandela)</w:t>
      </w:r>
      <w:r w:rsidR="00FE560E" w:rsidRPr="0087483B">
        <w:rPr>
          <w:sz w:val="18"/>
          <w:vertAlign w:val="superscript"/>
        </w:rPr>
        <w:footnoteReference w:id="6"/>
      </w:r>
      <w:r w:rsidR="00FE560E" w:rsidRPr="0087483B">
        <w:t>.</w:t>
      </w:r>
      <w:r w:rsidR="00FE560E" w:rsidRPr="00FE560E">
        <w:t xml:space="preserve"> </w:t>
      </w:r>
      <w:r w:rsidR="001D66AE">
        <w:t>L</w:t>
      </w:r>
      <w:r w:rsidR="00FE560E" w:rsidRPr="00FE560E">
        <w:t>a majorité des cellules de garde à vue étaient étroites,</w:t>
      </w:r>
      <w:r w:rsidR="00D85A95">
        <w:t xml:space="preserve"> </w:t>
      </w:r>
      <w:r w:rsidR="00FE560E" w:rsidRPr="00FE560E">
        <w:t>manquant de lumière à l’intérieur ou mal éclairées</w:t>
      </w:r>
      <w:r w:rsidR="002508B9">
        <w:t>,</w:t>
      </w:r>
      <w:r w:rsidR="00FE560E" w:rsidRPr="00FE560E">
        <w:t xml:space="preserve"> et n’étaient équipées ni en eau, ni de toilettes, à l’exception du commissariat central de Cotonou où la cellule pour hommes disposait d’un coin WC</w:t>
      </w:r>
      <w:r w:rsidR="00F172C7">
        <w:t xml:space="preserve">, d’une </w:t>
      </w:r>
      <w:r w:rsidR="00FE560E" w:rsidRPr="00FE560E">
        <w:t xml:space="preserve">douche et d’un robinet d’eau </w:t>
      </w:r>
      <w:r w:rsidR="00E030FB">
        <w:t>en état de marche</w:t>
      </w:r>
      <w:r w:rsidR="00FE560E" w:rsidRPr="00E030FB">
        <w:t>.</w:t>
      </w:r>
      <w:r w:rsidR="00FE560E" w:rsidRPr="00FE560E">
        <w:t xml:space="preserve"> Les détenus dormaient sur le sol. Les cellules n’étaient pas souvent propres à l’exemple de la cellule des femmes du commissariat central, qui était dans un</w:t>
      </w:r>
      <w:r w:rsidR="009A26A4">
        <w:t xml:space="preserve"> état d’</w:t>
      </w:r>
      <w:r w:rsidR="00FE560E" w:rsidRPr="00FE560E">
        <w:t>extrême insalubrité (avec</w:t>
      </w:r>
      <w:r w:rsidR="00D85A95">
        <w:t xml:space="preserve"> </w:t>
      </w:r>
      <w:r w:rsidR="00FE560E" w:rsidRPr="00FE560E">
        <w:t xml:space="preserve">un monceau de déchets ainsi qu’un dépôt de matières fécales). </w:t>
      </w:r>
    </w:p>
    <w:p w14:paraId="03FF4A23" w14:textId="4A49224E" w:rsidR="00FE560E" w:rsidRPr="00FE560E" w:rsidRDefault="00D43F72" w:rsidP="00013787">
      <w:pPr>
        <w:pStyle w:val="SingleTxtG"/>
      </w:pPr>
      <w:r>
        <w:t>2</w:t>
      </w:r>
      <w:r w:rsidR="00F97EBB">
        <w:t>5</w:t>
      </w:r>
      <w:r w:rsidR="00013787">
        <w:t>.</w:t>
      </w:r>
      <w:r w:rsidR="00013787">
        <w:tab/>
      </w:r>
      <w:r w:rsidR="00FE560E" w:rsidRPr="00FE560E">
        <w:t xml:space="preserve">Il ressort des entretiens que le </w:t>
      </w:r>
      <w:r w:rsidR="00456F42">
        <w:t>Sous-Comité</w:t>
      </w:r>
      <w:r w:rsidR="00FE560E" w:rsidRPr="00FE560E">
        <w:t xml:space="preserve"> a eus que la plupart des commissariats et gendarmerie visités n’avaient pas de budget pour nourrir les personnes </w:t>
      </w:r>
      <w:r w:rsidR="0032135E">
        <w:t xml:space="preserve">placées </w:t>
      </w:r>
      <w:r w:rsidR="00FE560E" w:rsidRPr="00FE560E">
        <w:t>en garde à</w:t>
      </w:r>
      <w:r w:rsidR="004B4808">
        <w:t> </w:t>
      </w:r>
      <w:r w:rsidR="00FE560E" w:rsidRPr="00FE560E">
        <w:t>vue.</w:t>
      </w:r>
      <w:r w:rsidR="00D85A95">
        <w:t xml:space="preserve"> </w:t>
      </w:r>
    </w:p>
    <w:p w14:paraId="73CBD5E9" w14:textId="2E03D13D" w:rsidR="00FE560E" w:rsidRPr="00FE560E" w:rsidRDefault="00D43F72" w:rsidP="004A5C2A">
      <w:pPr>
        <w:pStyle w:val="SingleTxtG"/>
        <w:rPr>
          <w:b/>
        </w:rPr>
      </w:pPr>
      <w:r>
        <w:t>2</w:t>
      </w:r>
      <w:r w:rsidR="00F97EBB">
        <w:t>6</w:t>
      </w:r>
      <w:r w:rsidR="00013787" w:rsidRPr="00013787">
        <w:t>.</w:t>
      </w:r>
      <w:r w:rsidR="00013787">
        <w:rPr>
          <w:b/>
        </w:rPr>
        <w:tab/>
      </w:r>
      <w:r w:rsidR="00FE560E" w:rsidRPr="00FE560E">
        <w:rPr>
          <w:b/>
        </w:rPr>
        <w:t xml:space="preserve">Le </w:t>
      </w:r>
      <w:r w:rsidR="00456F42">
        <w:rPr>
          <w:b/>
        </w:rPr>
        <w:t>Sous-Comité</w:t>
      </w:r>
      <w:r w:rsidR="00FE560E" w:rsidRPr="00FE560E">
        <w:rPr>
          <w:b/>
        </w:rPr>
        <w:t xml:space="preserve"> recommande aux autorités béninoises d’améliorer les conditions de détention dans les commissariats et les gendarmeries</w:t>
      </w:r>
      <w:r w:rsidR="007E216E">
        <w:rPr>
          <w:b/>
        </w:rPr>
        <w:t xml:space="preserve"> et</w:t>
      </w:r>
      <w:r w:rsidR="00FE560E" w:rsidRPr="00FE560E">
        <w:rPr>
          <w:b/>
        </w:rPr>
        <w:t xml:space="preserve"> de</w:t>
      </w:r>
      <w:r w:rsidR="00660C9A">
        <w:rPr>
          <w:b/>
        </w:rPr>
        <w:t xml:space="preserve"> </w:t>
      </w:r>
      <w:r w:rsidR="00FE560E" w:rsidRPr="00FE560E">
        <w:rPr>
          <w:b/>
        </w:rPr>
        <w:t xml:space="preserve">prendre les mesures </w:t>
      </w:r>
      <w:r w:rsidR="00660C9A">
        <w:rPr>
          <w:b/>
        </w:rPr>
        <w:t xml:space="preserve">nécessaires </w:t>
      </w:r>
      <w:r w:rsidR="00FE560E" w:rsidRPr="00FE560E">
        <w:rPr>
          <w:b/>
        </w:rPr>
        <w:t>pour</w:t>
      </w:r>
      <w:r w:rsidR="00660C9A">
        <w:rPr>
          <w:b/>
        </w:rPr>
        <w:t> </w:t>
      </w:r>
      <w:r w:rsidR="00FE560E" w:rsidRPr="00FE560E">
        <w:rPr>
          <w:b/>
        </w:rPr>
        <w:t xml:space="preserve">: a) que les cellules de garde à vue soient suffisamment </w:t>
      </w:r>
      <w:r w:rsidR="00660C9A">
        <w:rPr>
          <w:b/>
        </w:rPr>
        <w:t xml:space="preserve">éclairées </w:t>
      </w:r>
      <w:r w:rsidR="00FE560E" w:rsidRPr="00FE560E">
        <w:rPr>
          <w:b/>
        </w:rPr>
        <w:t>à la lumière naturelle ou artificielle ; b) améliorer les conditions d’hygiène et de salubrité dans les locaux de garde</w:t>
      </w:r>
      <w:r w:rsidR="00660C9A">
        <w:rPr>
          <w:b/>
        </w:rPr>
        <w:t xml:space="preserve"> </w:t>
      </w:r>
      <w:r w:rsidR="00FE560E" w:rsidRPr="00FE560E">
        <w:rPr>
          <w:b/>
        </w:rPr>
        <w:t>à</w:t>
      </w:r>
      <w:r w:rsidR="00660C9A">
        <w:rPr>
          <w:b/>
        </w:rPr>
        <w:t xml:space="preserve"> </w:t>
      </w:r>
      <w:r w:rsidR="00FE560E" w:rsidRPr="00FE560E">
        <w:rPr>
          <w:b/>
        </w:rPr>
        <w:t xml:space="preserve">vue; c) fournir des couchages et </w:t>
      </w:r>
      <w:r w:rsidR="0032135E">
        <w:rPr>
          <w:b/>
        </w:rPr>
        <w:t>d</w:t>
      </w:r>
      <w:r w:rsidR="00FE560E" w:rsidRPr="00FE560E">
        <w:rPr>
          <w:b/>
        </w:rPr>
        <w:t>es moustiquaires aux personnes en garde</w:t>
      </w:r>
      <w:r w:rsidR="00660C9A">
        <w:rPr>
          <w:b/>
        </w:rPr>
        <w:t xml:space="preserve"> </w:t>
      </w:r>
      <w:r w:rsidR="00FE560E" w:rsidRPr="00FE560E">
        <w:rPr>
          <w:b/>
        </w:rPr>
        <w:t>à</w:t>
      </w:r>
      <w:r w:rsidR="00660C9A">
        <w:rPr>
          <w:b/>
        </w:rPr>
        <w:t xml:space="preserve"> </w:t>
      </w:r>
      <w:r w:rsidR="00FE560E" w:rsidRPr="00FE560E">
        <w:rPr>
          <w:b/>
        </w:rPr>
        <w:t>vue</w:t>
      </w:r>
      <w:r w:rsidR="0032135E">
        <w:rPr>
          <w:b/>
        </w:rPr>
        <w:t>,</w:t>
      </w:r>
      <w:r w:rsidR="00FE560E" w:rsidRPr="00FE560E">
        <w:rPr>
          <w:b/>
        </w:rPr>
        <w:t xml:space="preserve"> et </w:t>
      </w:r>
      <w:r w:rsidR="00FE560E" w:rsidRPr="003455EF">
        <w:rPr>
          <w:b/>
        </w:rPr>
        <w:t>démoustiquer</w:t>
      </w:r>
      <w:r w:rsidR="00FE560E" w:rsidRPr="00FE560E">
        <w:rPr>
          <w:b/>
        </w:rPr>
        <w:t xml:space="preserve"> les cellules et les lieux; d) doter les commissariats et les gendarmeries d’un budget pour l’achat de nourriture</w:t>
      </w:r>
      <w:r w:rsidR="0032135E">
        <w:rPr>
          <w:b/>
        </w:rPr>
        <w:t> ;</w:t>
      </w:r>
      <w:r w:rsidR="00FE560E" w:rsidRPr="00FE560E">
        <w:rPr>
          <w:b/>
        </w:rPr>
        <w:t xml:space="preserve"> et</w:t>
      </w:r>
      <w:r w:rsidR="008C78FC">
        <w:rPr>
          <w:b/>
        </w:rPr>
        <w:t xml:space="preserve"> </w:t>
      </w:r>
      <w:r w:rsidR="00FE560E" w:rsidRPr="00FE560E">
        <w:rPr>
          <w:b/>
        </w:rPr>
        <w:t>e)</w:t>
      </w:r>
      <w:r w:rsidR="008C78FC">
        <w:rPr>
          <w:b/>
        </w:rPr>
        <w:t> </w:t>
      </w:r>
      <w:r w:rsidR="00FE560E" w:rsidRPr="00FE560E">
        <w:rPr>
          <w:b/>
        </w:rPr>
        <w:t>s’assurer que les personnes en garde</w:t>
      </w:r>
      <w:r w:rsidR="00660C9A">
        <w:rPr>
          <w:b/>
        </w:rPr>
        <w:t xml:space="preserve"> </w:t>
      </w:r>
      <w:r w:rsidR="00FE560E" w:rsidRPr="00FE560E">
        <w:rPr>
          <w:b/>
        </w:rPr>
        <w:t>à</w:t>
      </w:r>
      <w:r w:rsidR="00660C9A">
        <w:rPr>
          <w:b/>
        </w:rPr>
        <w:t xml:space="preserve"> </w:t>
      </w:r>
      <w:r w:rsidR="00FE560E" w:rsidRPr="00FE560E">
        <w:rPr>
          <w:b/>
        </w:rPr>
        <w:t xml:space="preserve">vue </w:t>
      </w:r>
      <w:r w:rsidR="004A5C2A">
        <w:rPr>
          <w:b/>
        </w:rPr>
        <w:t>o</w:t>
      </w:r>
      <w:r w:rsidR="00FE560E" w:rsidRPr="00FE560E">
        <w:rPr>
          <w:b/>
        </w:rPr>
        <w:t>nt accès à l’intérieur des lieux</w:t>
      </w:r>
      <w:r w:rsidR="00660C9A">
        <w:rPr>
          <w:b/>
        </w:rPr>
        <w:t xml:space="preserve"> de détention</w:t>
      </w:r>
      <w:r w:rsidR="00FE560E" w:rsidRPr="00FE560E">
        <w:rPr>
          <w:b/>
        </w:rPr>
        <w:t xml:space="preserve">, </w:t>
      </w:r>
      <w:r w:rsidR="00660C9A">
        <w:rPr>
          <w:b/>
        </w:rPr>
        <w:t xml:space="preserve">à l’eau potable, </w:t>
      </w:r>
      <w:r w:rsidR="0032135E">
        <w:rPr>
          <w:b/>
        </w:rPr>
        <w:t xml:space="preserve">à des </w:t>
      </w:r>
      <w:r w:rsidR="00FE560E" w:rsidRPr="00FE560E">
        <w:rPr>
          <w:b/>
        </w:rPr>
        <w:t xml:space="preserve">toilettes et </w:t>
      </w:r>
      <w:r w:rsidR="0032135E">
        <w:rPr>
          <w:b/>
        </w:rPr>
        <w:t xml:space="preserve">à des </w:t>
      </w:r>
      <w:r w:rsidR="00FE560E" w:rsidRPr="00FE560E">
        <w:rPr>
          <w:b/>
        </w:rPr>
        <w:t xml:space="preserve">douches. </w:t>
      </w:r>
    </w:p>
    <w:p w14:paraId="6DDA4A7F" w14:textId="77777777" w:rsidR="00FE560E" w:rsidRPr="00FE560E" w:rsidRDefault="00F862BF" w:rsidP="001D1C14">
      <w:pPr>
        <w:pStyle w:val="H23G"/>
        <w:outlineLvl w:val="0"/>
      </w:pPr>
      <w:r>
        <w:tab/>
        <w:t>2</w:t>
      </w:r>
      <w:r w:rsidR="00013787">
        <w:t>.</w:t>
      </w:r>
      <w:r w:rsidR="00013787">
        <w:tab/>
      </w:r>
      <w:r w:rsidR="00FE560E" w:rsidRPr="00FE560E">
        <w:t>Garanties juridiques fondamentales</w:t>
      </w:r>
      <w:r w:rsidR="00D85A95">
        <w:t xml:space="preserve"> </w:t>
      </w:r>
    </w:p>
    <w:p w14:paraId="6A68D7E8" w14:textId="68C39FF8" w:rsidR="00FE560E" w:rsidRPr="00FE560E" w:rsidRDefault="00D43F72" w:rsidP="00013787">
      <w:pPr>
        <w:pStyle w:val="SingleTxtG"/>
      </w:pPr>
      <w:r>
        <w:t>2</w:t>
      </w:r>
      <w:r w:rsidR="00F97EBB">
        <w:t>7</w:t>
      </w:r>
      <w:r w:rsidR="00013787">
        <w:t>.</w:t>
      </w:r>
      <w:r w:rsidR="00013787">
        <w:tab/>
      </w:r>
      <w:r w:rsidR="001D66AE">
        <w:t>L</w:t>
      </w:r>
      <w:r w:rsidR="00FE560E" w:rsidRPr="00FE560E">
        <w:t>’adoption</w:t>
      </w:r>
      <w:r w:rsidR="0032135E">
        <w:t xml:space="preserve"> et</w:t>
      </w:r>
      <w:r w:rsidR="00FE560E" w:rsidRPr="00FE560E">
        <w:t xml:space="preserve"> l’entrée en vigueur </w:t>
      </w:r>
      <w:r w:rsidR="0032135E">
        <w:t xml:space="preserve">du nouveau Code de procédure pénale </w:t>
      </w:r>
      <w:r w:rsidR="00FE560E" w:rsidRPr="00FE560E">
        <w:t xml:space="preserve">et la sensibilisation des agents de police et de gendarmerie </w:t>
      </w:r>
      <w:r w:rsidR="0032135E">
        <w:t xml:space="preserve">à ce </w:t>
      </w:r>
      <w:r w:rsidR="00FE560E" w:rsidRPr="00FE560E">
        <w:t xml:space="preserve">nouveau Code ont eu un effet positif sur le respect des garanties juridiques fondamentales. Le </w:t>
      </w:r>
      <w:r w:rsidR="00456F42">
        <w:t>Sous-Comité</w:t>
      </w:r>
      <w:r w:rsidR="00FE560E" w:rsidRPr="00FE560E">
        <w:t xml:space="preserve"> estime que cela </w:t>
      </w:r>
      <w:r w:rsidR="00FE560E" w:rsidRPr="00FE560E">
        <w:lastRenderedPageBreak/>
        <w:t xml:space="preserve">constitue une évolution très positive. </w:t>
      </w:r>
      <w:r w:rsidR="00F172C7">
        <w:t xml:space="preserve">Il </w:t>
      </w:r>
      <w:r w:rsidR="00FE560E" w:rsidRPr="00FE560E">
        <w:t>relève néanmoins que l’application systématique et concrète de ces dispositions pose encore quelques défis.</w:t>
      </w:r>
    </w:p>
    <w:p w14:paraId="532FBD2A" w14:textId="77777777" w:rsidR="00FE560E" w:rsidRPr="00FE560E" w:rsidRDefault="00FE560E" w:rsidP="001D1C14">
      <w:pPr>
        <w:pStyle w:val="H4G"/>
        <w:outlineLvl w:val="0"/>
        <w:rPr>
          <w:b/>
        </w:rPr>
      </w:pPr>
      <w:r w:rsidRPr="00FE560E">
        <w:tab/>
        <w:t>a)</w:t>
      </w:r>
      <w:r w:rsidRPr="00FE560E">
        <w:tab/>
        <w:t xml:space="preserve">Le </w:t>
      </w:r>
      <w:r w:rsidRPr="00925CEA">
        <w:t>droit à être</w:t>
      </w:r>
      <w:r w:rsidRPr="00FE560E">
        <w:t xml:space="preserve"> informé de ses droits et des motifs de son arrestation</w:t>
      </w:r>
    </w:p>
    <w:p w14:paraId="6978E4F3" w14:textId="67B533D5" w:rsidR="00FE560E" w:rsidRPr="00E20F18" w:rsidRDefault="00F97EBB" w:rsidP="00013787">
      <w:pPr>
        <w:pStyle w:val="SingleTxtG"/>
      </w:pPr>
      <w:r>
        <w:t>28</w:t>
      </w:r>
      <w:r w:rsidR="00013787">
        <w:t>.</w:t>
      </w:r>
      <w:r w:rsidR="00013787">
        <w:tab/>
      </w:r>
      <w:r w:rsidR="00FE560E" w:rsidRPr="00FE560E">
        <w:t xml:space="preserve">Le </w:t>
      </w:r>
      <w:r w:rsidR="00456F42">
        <w:t>Sous-Comité</w:t>
      </w:r>
      <w:r w:rsidR="00FE560E" w:rsidRPr="00FE560E">
        <w:t xml:space="preserve"> note que les dispositions de </w:t>
      </w:r>
      <w:r w:rsidR="00FE560E" w:rsidRPr="003455EF">
        <w:t>l’article 59 du nouveau Code de procédure pénale garanti</w:t>
      </w:r>
      <w:r w:rsidR="00D05097">
        <w:t>ssen</w:t>
      </w:r>
      <w:r w:rsidR="00FE560E" w:rsidRPr="003455EF">
        <w:t xml:space="preserve">t le droit de la personne gardée à vue à être informée </w:t>
      </w:r>
      <w:r w:rsidR="00FE560E" w:rsidRPr="00E20F18">
        <w:t>des motifs de son arrestation</w:t>
      </w:r>
      <w:r w:rsidR="00CE2B45" w:rsidRPr="00E20F18">
        <w:t xml:space="preserve"> et de ses droits</w:t>
      </w:r>
      <w:r w:rsidR="00680940" w:rsidRPr="00E20F18">
        <w:t xml:space="preserve"> à </w:t>
      </w:r>
      <w:r w:rsidR="00FE560E" w:rsidRPr="00E20F18">
        <w:t xml:space="preserve">se constituer un avocat, </w:t>
      </w:r>
      <w:r w:rsidR="00680940" w:rsidRPr="0087483B">
        <w:t xml:space="preserve">à </w:t>
      </w:r>
      <w:r w:rsidR="00CE2B45" w:rsidRPr="003455EF">
        <w:t xml:space="preserve">se </w:t>
      </w:r>
      <w:r w:rsidR="00FE560E" w:rsidRPr="00E20F18">
        <w:t>faire examiner par un médecin de son choix</w:t>
      </w:r>
      <w:r w:rsidR="00CE2B45" w:rsidRPr="00E20F18">
        <w:t>,</w:t>
      </w:r>
      <w:r w:rsidR="00FE560E" w:rsidRPr="00E20F18">
        <w:t xml:space="preserve"> et </w:t>
      </w:r>
      <w:r w:rsidR="00680940" w:rsidRPr="0087483B">
        <w:t xml:space="preserve">à </w:t>
      </w:r>
      <w:r w:rsidR="00FE560E" w:rsidRPr="003455EF">
        <w:t>inf</w:t>
      </w:r>
      <w:r w:rsidR="00FE560E" w:rsidRPr="00E20F18">
        <w:t xml:space="preserve">ormer et recevoir un membre de sa famille. Le </w:t>
      </w:r>
      <w:r w:rsidR="00456F42" w:rsidRPr="00E20F18">
        <w:t>Sous-Comité</w:t>
      </w:r>
      <w:r w:rsidR="00FE560E" w:rsidRPr="00E20F18">
        <w:t xml:space="preserve"> a constaté que les policiers et les gendarmes</w:t>
      </w:r>
      <w:r w:rsidR="00680940" w:rsidRPr="00E20F18">
        <w:t>,</w:t>
      </w:r>
      <w:r w:rsidR="00D85A95" w:rsidRPr="00E20F18">
        <w:t xml:space="preserve"> </w:t>
      </w:r>
      <w:r w:rsidR="00680940" w:rsidRPr="00E20F18">
        <w:t xml:space="preserve">de manière générale, </w:t>
      </w:r>
      <w:r w:rsidR="00FE560E" w:rsidRPr="00E20F18">
        <w:t xml:space="preserve">respectaient ce droit. Néanmoins, le </w:t>
      </w:r>
      <w:r w:rsidR="00456F42" w:rsidRPr="00E20F18">
        <w:t>Sous-Comité</w:t>
      </w:r>
      <w:r w:rsidR="00FE560E" w:rsidRPr="00E20F18">
        <w:t xml:space="preserve"> a constaté que ce droit n’était pas appliqué partout et en toutes circonstances de manière systématique. </w:t>
      </w:r>
    </w:p>
    <w:p w14:paraId="5DF41F4F" w14:textId="3B682BCF" w:rsidR="00FE560E" w:rsidRPr="00E20F18" w:rsidRDefault="00F97EBB" w:rsidP="00013787">
      <w:pPr>
        <w:pStyle w:val="SingleTxtG"/>
      </w:pPr>
      <w:r w:rsidRPr="00E20F18">
        <w:t>29</w:t>
      </w:r>
      <w:r w:rsidR="00013787" w:rsidRPr="00E20F18">
        <w:t>.</w:t>
      </w:r>
      <w:r w:rsidR="00013787" w:rsidRPr="00E20F18">
        <w:rPr>
          <w:b/>
        </w:rPr>
        <w:tab/>
      </w:r>
      <w:r w:rsidR="00FE560E" w:rsidRPr="00E20F18">
        <w:rPr>
          <w:b/>
        </w:rPr>
        <w:t xml:space="preserve">Le </w:t>
      </w:r>
      <w:r w:rsidR="00456F42" w:rsidRPr="00E20F18">
        <w:rPr>
          <w:b/>
        </w:rPr>
        <w:t>Sous-Comité</w:t>
      </w:r>
      <w:r w:rsidR="00FE560E" w:rsidRPr="00E20F18">
        <w:rPr>
          <w:b/>
        </w:rPr>
        <w:t xml:space="preserve"> recommande à l’</w:t>
      </w:r>
      <w:r w:rsidR="00DC5639" w:rsidRPr="00E20F18">
        <w:rPr>
          <w:b/>
        </w:rPr>
        <w:t>État</w:t>
      </w:r>
      <w:r w:rsidR="00FE560E" w:rsidRPr="00E20F18">
        <w:rPr>
          <w:b/>
        </w:rPr>
        <w:t xml:space="preserve"> partie de renforcer la formation et la sensibilisation du personnel de police et de gendarmerie afin qu’en tous lieux et en toutes circonstances les personnes gardées à vue soient informées de tous leurs droits.</w:t>
      </w:r>
      <w:r w:rsidR="00FE560E" w:rsidRPr="00E20F18">
        <w:t xml:space="preserve"> </w:t>
      </w:r>
    </w:p>
    <w:p w14:paraId="7961FC27" w14:textId="77777777" w:rsidR="00FE560E" w:rsidRPr="00E20F18" w:rsidRDefault="00FE560E" w:rsidP="001D1C14">
      <w:pPr>
        <w:pStyle w:val="H4G"/>
        <w:outlineLvl w:val="0"/>
      </w:pPr>
      <w:r w:rsidRPr="00E20F18">
        <w:tab/>
        <w:t>b)</w:t>
      </w:r>
      <w:r w:rsidRPr="00E20F18">
        <w:tab/>
        <w:t>Le droit d’accès à un avocat</w:t>
      </w:r>
    </w:p>
    <w:p w14:paraId="3F1357EF" w14:textId="31B9C07B" w:rsidR="00FE560E" w:rsidRPr="00FE560E" w:rsidRDefault="00D43F72" w:rsidP="00013787">
      <w:pPr>
        <w:pStyle w:val="SingleTxtG"/>
        <w:rPr>
          <w:b/>
        </w:rPr>
      </w:pPr>
      <w:r w:rsidRPr="00E20F18">
        <w:t>3</w:t>
      </w:r>
      <w:r w:rsidR="00F97EBB" w:rsidRPr="00E20F18">
        <w:t>0</w:t>
      </w:r>
      <w:r w:rsidR="00013787" w:rsidRPr="00E20F18">
        <w:t>.</w:t>
      </w:r>
      <w:r w:rsidR="00013787" w:rsidRPr="00E20F18">
        <w:tab/>
      </w:r>
      <w:r w:rsidR="00FE560E" w:rsidRPr="00E20F18">
        <w:t>Le droit d’accès à un avocat figure de manière explicite aux articles 59, 72</w:t>
      </w:r>
      <w:r w:rsidR="00AC2EBC" w:rsidRPr="00E20F18">
        <w:t xml:space="preserve"> et</w:t>
      </w:r>
      <w:r w:rsidR="00FE560E" w:rsidRPr="00E20F18">
        <w:t xml:space="preserve"> 78 du nouveau Code de procédure pénale. Le </w:t>
      </w:r>
      <w:r w:rsidR="00456F42" w:rsidRPr="00E20F18">
        <w:t>Sous-Comité</w:t>
      </w:r>
      <w:r w:rsidR="00FE560E" w:rsidRPr="00E20F18">
        <w:t xml:space="preserve"> a recueilli des informations selon lesquelles</w:t>
      </w:r>
      <w:r w:rsidR="00990176" w:rsidRPr="00E20F18">
        <w:t>,</w:t>
      </w:r>
      <w:r w:rsidR="00FE560E" w:rsidRPr="00E20F18">
        <w:t xml:space="preserve"> dans la majorité des cas, les personnes avaient été informées de leur droit </w:t>
      </w:r>
      <w:r w:rsidR="00AC2EBC" w:rsidRPr="0087483B">
        <w:t>à</w:t>
      </w:r>
      <w:r w:rsidR="00FE560E" w:rsidRPr="003455EF">
        <w:t xml:space="preserve"> se constituer un avocat</w:t>
      </w:r>
      <w:r w:rsidR="00FE560E" w:rsidRPr="00E20F18">
        <w:t xml:space="preserve">. Cependant, le </w:t>
      </w:r>
      <w:r w:rsidR="00456F42" w:rsidRPr="00E20F18">
        <w:t>Sous-Comité</w:t>
      </w:r>
      <w:r w:rsidR="00FE560E" w:rsidRPr="00E20F18">
        <w:t xml:space="preserve"> est préoccupé par les informations </w:t>
      </w:r>
      <w:r w:rsidR="00990176" w:rsidRPr="00E20F18">
        <w:t>communiquées par l</w:t>
      </w:r>
      <w:r w:rsidR="00FE560E" w:rsidRPr="00E20F18">
        <w:t xml:space="preserve">es autorités nationales et </w:t>
      </w:r>
      <w:r w:rsidR="00990176" w:rsidRPr="00E20F18">
        <w:t>l</w:t>
      </w:r>
      <w:r w:rsidR="00FE560E" w:rsidRPr="00E20F18">
        <w:t>es commissariats et gendarmeries</w:t>
      </w:r>
      <w:r w:rsidR="00990176" w:rsidRPr="00E20F18">
        <w:t xml:space="preserve"> selon lesquelles </w:t>
      </w:r>
      <w:r w:rsidR="00FE560E" w:rsidRPr="00E20F18">
        <w:t xml:space="preserve">près de la moitié des personnes en garde à vue se trouvaient dans l’impossibilité financière de faire recours à un avocat. </w:t>
      </w:r>
      <w:r w:rsidR="00990176" w:rsidRPr="00E20F18">
        <w:t>Il est également ressorti d</w:t>
      </w:r>
      <w:r w:rsidR="00FE560E" w:rsidRPr="00E20F18">
        <w:t xml:space="preserve">’autres informations recueillies par le </w:t>
      </w:r>
      <w:r w:rsidR="00456F42" w:rsidRPr="00E20F18">
        <w:t>Sous-Comité</w:t>
      </w:r>
      <w:r w:rsidR="00FE560E" w:rsidRPr="00E20F18">
        <w:t xml:space="preserve"> auprès des autorités</w:t>
      </w:r>
      <w:r w:rsidR="00990176" w:rsidRPr="00E20F18">
        <w:t xml:space="preserve"> et</w:t>
      </w:r>
      <w:r w:rsidR="00FE560E" w:rsidRPr="00E20F18">
        <w:t xml:space="preserve"> des commissariats et gendarmerie</w:t>
      </w:r>
      <w:r w:rsidR="00990176" w:rsidRPr="00E20F18">
        <w:t xml:space="preserve">s </w:t>
      </w:r>
      <w:r w:rsidR="00FE560E" w:rsidRPr="00E20F18">
        <w:t>que, lors des gardes à vue et de</w:t>
      </w:r>
      <w:r w:rsidR="00990176" w:rsidRPr="00E20F18">
        <w:t>s</w:t>
      </w:r>
      <w:r w:rsidR="00FE560E" w:rsidRPr="00E20F18">
        <w:t xml:space="preserve"> enquête</w:t>
      </w:r>
      <w:r w:rsidR="00990176" w:rsidRPr="00E20F18">
        <w:t>s</w:t>
      </w:r>
      <w:r w:rsidR="00FE560E" w:rsidRPr="00E20F18">
        <w:t xml:space="preserve"> préliminaire</w:t>
      </w:r>
      <w:r w:rsidR="00990176" w:rsidRPr="00E20F18">
        <w:t>s</w:t>
      </w:r>
      <w:r w:rsidR="00FE560E" w:rsidRPr="00E20F18">
        <w:t xml:space="preserve">, les personnes assistées </w:t>
      </w:r>
      <w:r w:rsidR="00990176" w:rsidRPr="00E20F18">
        <w:t xml:space="preserve">d’un </w:t>
      </w:r>
      <w:r w:rsidR="00FE560E" w:rsidRPr="00E20F18">
        <w:t>avocat pouvaient le faire venir dans la limite de temps imparti avant le début de l’audition. Les avocats pouvaient assister leurs clients lors de l’interrogatoire et faire toute observation nécessaire. Dans les cas où une audition était conduite en l’absence d’un avocat, cette situation était consignée dans le procès-verbal d’audition</w:t>
      </w:r>
      <w:r w:rsidR="00FE560E" w:rsidRPr="00FE560E">
        <w:t xml:space="preserve">. Le </w:t>
      </w:r>
      <w:r w:rsidR="00456F42">
        <w:t>Sous-Comité</w:t>
      </w:r>
      <w:r w:rsidR="00FE560E" w:rsidRPr="00FE560E">
        <w:t xml:space="preserve"> tient à souligner qu’il s’agit là d’une amélioration par rapport aux constatations qu’il avait faites dans </w:t>
      </w:r>
      <w:r w:rsidR="00FE560E" w:rsidRPr="003F15EF">
        <w:t>son</w:t>
      </w:r>
      <w:r w:rsidR="00FE560E" w:rsidRPr="00FE560E">
        <w:t xml:space="preserve"> précédent rapport</w:t>
      </w:r>
      <w:r w:rsidR="00FE560E" w:rsidRPr="00FE560E">
        <w:rPr>
          <w:sz w:val="18"/>
          <w:vertAlign w:val="superscript"/>
        </w:rPr>
        <w:footnoteReference w:id="7"/>
      </w:r>
      <w:r w:rsidR="00FE560E" w:rsidRPr="00FE560E">
        <w:t>.</w:t>
      </w:r>
      <w:r w:rsidR="00D85A95">
        <w:t xml:space="preserve"> </w:t>
      </w:r>
    </w:p>
    <w:p w14:paraId="642137BA" w14:textId="478F7547" w:rsidR="00FE560E" w:rsidRPr="00FE560E" w:rsidRDefault="00D43F72" w:rsidP="00384A9E">
      <w:pPr>
        <w:pStyle w:val="SingleTxtG"/>
        <w:rPr>
          <w:b/>
        </w:rPr>
      </w:pPr>
      <w:r>
        <w:t>3</w:t>
      </w:r>
      <w:r w:rsidR="00F97EBB">
        <w:t>1</w:t>
      </w:r>
      <w:r w:rsidR="00013787" w:rsidRPr="00013787">
        <w:t>.</w:t>
      </w:r>
      <w:r w:rsidR="00013787" w:rsidRPr="00013787">
        <w:tab/>
      </w:r>
      <w:r w:rsidR="00FE560E" w:rsidRPr="00FE560E">
        <w:rPr>
          <w:b/>
        </w:rPr>
        <w:t xml:space="preserve">Le </w:t>
      </w:r>
      <w:r w:rsidR="00456F42">
        <w:rPr>
          <w:b/>
        </w:rPr>
        <w:t>Sous-Comité</w:t>
      </w:r>
      <w:r w:rsidR="00FE560E" w:rsidRPr="00FE560E">
        <w:rPr>
          <w:b/>
        </w:rPr>
        <w:t xml:space="preserve"> recommande à l’</w:t>
      </w:r>
      <w:r w:rsidR="00DC5639">
        <w:rPr>
          <w:b/>
        </w:rPr>
        <w:t>État</w:t>
      </w:r>
      <w:r w:rsidR="00FE560E" w:rsidRPr="00FE560E">
        <w:rPr>
          <w:b/>
        </w:rPr>
        <w:t xml:space="preserve"> partie de veiller à une pleine application des dispositions du Code de procédure pénale et des </w:t>
      </w:r>
      <w:r w:rsidR="00FE560E" w:rsidRPr="00384A9E">
        <w:rPr>
          <w:b/>
        </w:rPr>
        <w:t xml:space="preserve">Règles </w:t>
      </w:r>
      <w:r w:rsidR="00384A9E" w:rsidRPr="003F15EF">
        <w:rPr>
          <w:b/>
        </w:rPr>
        <w:t>Nelson Mandela</w:t>
      </w:r>
      <w:r w:rsidR="00FE560E" w:rsidRPr="00FE560E">
        <w:rPr>
          <w:b/>
        </w:rPr>
        <w:t xml:space="preserve">, </w:t>
      </w:r>
      <w:r w:rsidR="00D91A75">
        <w:rPr>
          <w:b/>
        </w:rPr>
        <w:t xml:space="preserve">afin </w:t>
      </w:r>
      <w:r w:rsidR="00FE560E" w:rsidRPr="00FE560E">
        <w:rPr>
          <w:b/>
        </w:rPr>
        <w:t xml:space="preserve">que les personnes gardées </w:t>
      </w:r>
      <w:r w:rsidR="00D91A75">
        <w:rPr>
          <w:b/>
        </w:rPr>
        <w:t>à</w:t>
      </w:r>
      <w:r w:rsidR="00FE560E" w:rsidRPr="00FE560E">
        <w:rPr>
          <w:b/>
        </w:rPr>
        <w:t xml:space="preserve"> vue puissent dans tous les cas avoir accès à un avocat dès les premiers instants </w:t>
      </w:r>
      <w:r w:rsidR="00013787">
        <w:rPr>
          <w:b/>
        </w:rPr>
        <w:t>de leur détention.</w:t>
      </w:r>
    </w:p>
    <w:p w14:paraId="6963B47B" w14:textId="77777777" w:rsidR="00FE560E" w:rsidRPr="00FE560E" w:rsidRDefault="00FE560E" w:rsidP="001D1C14">
      <w:pPr>
        <w:pStyle w:val="H4G"/>
        <w:outlineLvl w:val="0"/>
      </w:pPr>
      <w:r w:rsidRPr="00FE560E">
        <w:tab/>
        <w:t>c)</w:t>
      </w:r>
      <w:r w:rsidRPr="00FE560E">
        <w:tab/>
        <w:t>Le droit à un examen médical</w:t>
      </w:r>
    </w:p>
    <w:p w14:paraId="310FD1B0" w14:textId="777550A0" w:rsidR="00FE560E" w:rsidRPr="00FE560E" w:rsidRDefault="00D43F72" w:rsidP="00013787">
      <w:pPr>
        <w:pStyle w:val="SingleTxtG"/>
      </w:pPr>
      <w:r>
        <w:t>3</w:t>
      </w:r>
      <w:r w:rsidR="00F97EBB">
        <w:t>2</w:t>
      </w:r>
      <w:r w:rsidR="00013787">
        <w:t>.</w:t>
      </w:r>
      <w:r w:rsidR="00013787">
        <w:tab/>
      </w:r>
      <w:r w:rsidR="00FE560E" w:rsidRPr="00FE560E">
        <w:t xml:space="preserve">Le droit à un examen médical est garanti </w:t>
      </w:r>
      <w:r w:rsidR="00FE560E" w:rsidRPr="003F15EF">
        <w:t>aux articles 59 et 63 du nouveau Code de procédure pénale.</w:t>
      </w:r>
      <w:r w:rsidR="00FE560E" w:rsidRPr="00FE560E">
        <w:t xml:space="preserve"> Le </w:t>
      </w:r>
      <w:r w:rsidR="00456F42">
        <w:t>Sous-Comité</w:t>
      </w:r>
      <w:r w:rsidR="00FE560E" w:rsidRPr="00FE560E">
        <w:t xml:space="preserve"> est préoccupé par le fait que, comme en 2008, ces dispositions du Code </w:t>
      </w:r>
      <w:r w:rsidR="00DA7960">
        <w:t xml:space="preserve">sont </w:t>
      </w:r>
      <w:r w:rsidR="00FE560E" w:rsidRPr="00FE560E">
        <w:t xml:space="preserve">peu appliquées. Des entretiens que le </w:t>
      </w:r>
      <w:r w:rsidR="00456F42">
        <w:t>Sous-Comité</w:t>
      </w:r>
      <w:r w:rsidR="00FE560E" w:rsidRPr="00FE560E">
        <w:t xml:space="preserve"> a eus, il est ressorti que la plupart des personnes gardées à vue n’avaient pas été informées de leur droit à un examen médical</w:t>
      </w:r>
      <w:r w:rsidR="001D1C14">
        <w:t xml:space="preserve"> et</w:t>
      </w:r>
      <w:r w:rsidR="00FE560E" w:rsidRPr="00FE560E">
        <w:t xml:space="preserve"> qu’un </w:t>
      </w:r>
      <w:r w:rsidR="00DA7960">
        <w:t xml:space="preserve">tel </w:t>
      </w:r>
      <w:r w:rsidR="00FE560E" w:rsidRPr="00FE560E">
        <w:t xml:space="preserve">examen </w:t>
      </w:r>
      <w:r w:rsidR="00DA7960">
        <w:t xml:space="preserve">ne leur </w:t>
      </w:r>
      <w:r w:rsidR="00FE560E" w:rsidRPr="00FE560E">
        <w:t>était pas systématique</w:t>
      </w:r>
      <w:r w:rsidR="00DA7960">
        <w:t xml:space="preserve">ment proposé au début de </w:t>
      </w:r>
      <w:r w:rsidR="00FE560E" w:rsidRPr="00FE560E">
        <w:t>l</w:t>
      </w:r>
      <w:r w:rsidR="00F172C7">
        <w:t xml:space="preserve">eur </w:t>
      </w:r>
      <w:r w:rsidR="00FE560E" w:rsidRPr="00FE560E">
        <w:t xml:space="preserve">garde à vue. Il a été, néanmoins, indiqué au </w:t>
      </w:r>
      <w:r w:rsidR="00456F42">
        <w:t>Sous-Comité</w:t>
      </w:r>
      <w:r w:rsidR="00FE560E" w:rsidRPr="00FE560E">
        <w:t xml:space="preserve"> qu’il était demandé aux personnes malades si elles désiraient voir un médecin ou avoir un examen médical dans le centre de santé le plus proche. De plus, le </w:t>
      </w:r>
      <w:r w:rsidR="00456F42">
        <w:t>Sous-Comité</w:t>
      </w:r>
      <w:r w:rsidR="00FE560E" w:rsidRPr="00FE560E">
        <w:t xml:space="preserve"> a été informé que le recours aux premiers soins pour les personnes malades était à leurs frais</w:t>
      </w:r>
      <w:r w:rsidR="00F172C7">
        <w:t>,</w:t>
      </w:r>
      <w:r w:rsidR="00FE560E" w:rsidRPr="00FE560E">
        <w:t xml:space="preserve"> ce qui avait eu pour conséquence que certain</w:t>
      </w:r>
      <w:r w:rsidR="00DA7960">
        <w:t>e</w:t>
      </w:r>
      <w:r w:rsidR="00FE560E" w:rsidRPr="00FE560E">
        <w:t xml:space="preserve">s </w:t>
      </w:r>
      <w:r w:rsidR="00DA7960">
        <w:t xml:space="preserve">personnes </w:t>
      </w:r>
      <w:r w:rsidR="00FE560E" w:rsidRPr="00FE560E">
        <w:t>rest</w:t>
      </w:r>
      <w:r w:rsidR="00DA7960">
        <w:t>aient</w:t>
      </w:r>
      <w:r w:rsidR="00FE560E" w:rsidRPr="00FE560E">
        <w:t xml:space="preserve"> sans soins. </w:t>
      </w:r>
    </w:p>
    <w:p w14:paraId="46EC2235" w14:textId="2B857D2A" w:rsidR="00FE560E" w:rsidRPr="00FE560E" w:rsidRDefault="00D43F72" w:rsidP="00013787">
      <w:pPr>
        <w:pStyle w:val="SingleTxtG"/>
        <w:rPr>
          <w:b/>
        </w:rPr>
      </w:pPr>
      <w:r>
        <w:t>3</w:t>
      </w:r>
      <w:r w:rsidR="00F97EBB">
        <w:t>3</w:t>
      </w:r>
      <w:r w:rsidR="00013787" w:rsidRPr="006C5D31">
        <w:t>.</w:t>
      </w:r>
      <w:r w:rsidR="00013787">
        <w:rPr>
          <w:b/>
        </w:rPr>
        <w:tab/>
      </w:r>
      <w:r w:rsidR="00FE560E" w:rsidRPr="00FE560E">
        <w:rPr>
          <w:b/>
        </w:rPr>
        <w:t xml:space="preserve">Le </w:t>
      </w:r>
      <w:r w:rsidR="00456F42">
        <w:rPr>
          <w:b/>
        </w:rPr>
        <w:t>Sous-Comité</w:t>
      </w:r>
      <w:r w:rsidR="00FE560E" w:rsidRPr="00FE560E">
        <w:rPr>
          <w:b/>
        </w:rPr>
        <w:t xml:space="preserve"> recommande qu’un examen médical soit prévu de manière systématique pour</w:t>
      </w:r>
      <w:r w:rsidR="00D85A95">
        <w:rPr>
          <w:b/>
        </w:rPr>
        <w:t xml:space="preserve"> </w:t>
      </w:r>
      <w:r w:rsidR="00FE560E" w:rsidRPr="00FE560E">
        <w:rPr>
          <w:b/>
        </w:rPr>
        <w:t>toute personne arrêtée le plus tôt possible après son placement en garde à vue, notamment lorsqu’elle présente des problèmes de santé</w:t>
      </w:r>
      <w:r w:rsidR="00B17E65">
        <w:rPr>
          <w:b/>
        </w:rPr>
        <w:t>,</w:t>
      </w:r>
      <w:r w:rsidR="00FE560E" w:rsidRPr="00FE560E">
        <w:rPr>
          <w:b/>
        </w:rPr>
        <w:t xml:space="preserve"> liés ou non, à son arrestation. Le </w:t>
      </w:r>
      <w:r w:rsidR="00456F42">
        <w:rPr>
          <w:b/>
        </w:rPr>
        <w:t>Sous-Comité</w:t>
      </w:r>
      <w:r w:rsidR="00FE560E" w:rsidRPr="00FE560E">
        <w:rPr>
          <w:b/>
        </w:rPr>
        <w:t xml:space="preserve"> recommande également à l’</w:t>
      </w:r>
      <w:r w:rsidR="00DC5639">
        <w:rPr>
          <w:b/>
        </w:rPr>
        <w:t>État</w:t>
      </w:r>
      <w:r w:rsidR="00FE560E" w:rsidRPr="00FE560E">
        <w:rPr>
          <w:b/>
        </w:rPr>
        <w:t xml:space="preserve"> partie de mettre en place de manière systématique des registres </w:t>
      </w:r>
      <w:r w:rsidR="0042021D">
        <w:rPr>
          <w:b/>
        </w:rPr>
        <w:t xml:space="preserve">dans lesquels seraient </w:t>
      </w:r>
      <w:r w:rsidR="00FE560E" w:rsidRPr="00FE560E">
        <w:rPr>
          <w:b/>
        </w:rPr>
        <w:t>consign</w:t>
      </w:r>
      <w:r w:rsidR="0042021D">
        <w:rPr>
          <w:b/>
        </w:rPr>
        <w:t xml:space="preserve">és </w:t>
      </w:r>
      <w:r w:rsidR="00FE560E" w:rsidRPr="00FE560E">
        <w:rPr>
          <w:b/>
        </w:rPr>
        <w:t>l’examen médical et le recours aux soins des personnes gardées à vue.</w:t>
      </w:r>
    </w:p>
    <w:p w14:paraId="6BE919DA" w14:textId="469B9137" w:rsidR="00FE560E" w:rsidRPr="00FE560E" w:rsidRDefault="00FE560E" w:rsidP="001D1C14">
      <w:pPr>
        <w:pStyle w:val="H4G"/>
        <w:outlineLvl w:val="0"/>
      </w:pPr>
      <w:r w:rsidRPr="00FE560E">
        <w:lastRenderedPageBreak/>
        <w:tab/>
        <w:t>d)</w:t>
      </w:r>
      <w:r w:rsidRPr="00FE560E">
        <w:tab/>
      </w:r>
      <w:r w:rsidR="00290597">
        <w:t>Le droit à i</w:t>
      </w:r>
      <w:r w:rsidRPr="00FE560E">
        <w:t>nform</w:t>
      </w:r>
      <w:r w:rsidR="00290597">
        <w:t>er s</w:t>
      </w:r>
      <w:r w:rsidRPr="00FE560E">
        <w:t xml:space="preserve">a famille </w:t>
      </w:r>
    </w:p>
    <w:p w14:paraId="6891AECA" w14:textId="5DBFBCDC" w:rsidR="00FE560E" w:rsidRPr="00FE560E" w:rsidRDefault="00D43F72" w:rsidP="00013787">
      <w:pPr>
        <w:pStyle w:val="SingleTxtG"/>
      </w:pPr>
      <w:r>
        <w:t>3</w:t>
      </w:r>
      <w:r w:rsidR="00F97EBB">
        <w:t>4</w:t>
      </w:r>
      <w:r w:rsidR="00013787">
        <w:t>.</w:t>
      </w:r>
      <w:r w:rsidR="00013787">
        <w:tab/>
      </w:r>
      <w:r w:rsidR="00FE560E" w:rsidRPr="00FE560E">
        <w:t xml:space="preserve">Ce droit est prévu à </w:t>
      </w:r>
      <w:r w:rsidR="00FE560E" w:rsidRPr="003F15EF">
        <w:t>l’article 59</w:t>
      </w:r>
      <w:r w:rsidR="00FE560E" w:rsidRPr="00FE560E">
        <w:t xml:space="preserve"> du nouveau Code de procédure pénale. Dans son précédent rapport, le </w:t>
      </w:r>
      <w:r w:rsidR="00456F42">
        <w:t>Sous-Comité</w:t>
      </w:r>
      <w:r w:rsidR="00FE560E" w:rsidRPr="00FE560E">
        <w:t xml:space="preserve"> avait noté que plusieurs personnes avaient indiqué n’avoir pas été en mesure d’informer leur famille, malgré des demandes répétées. Le </w:t>
      </w:r>
      <w:r w:rsidR="00456F42">
        <w:t>Sous-Comité</w:t>
      </w:r>
      <w:r w:rsidR="00FE560E" w:rsidRPr="00FE560E">
        <w:t xml:space="preserve"> a constaté une amélioration évidente </w:t>
      </w:r>
      <w:r w:rsidR="00290597">
        <w:t xml:space="preserve">du </w:t>
      </w:r>
      <w:r w:rsidR="00FE560E" w:rsidRPr="00FE560E">
        <w:t xml:space="preserve">respect de </w:t>
      </w:r>
      <w:r w:rsidR="00735C98">
        <w:t xml:space="preserve">ce </w:t>
      </w:r>
      <w:r w:rsidR="00FE560E" w:rsidRPr="00FE560E">
        <w:t xml:space="preserve">droit. La plupart des personnes gardées à vue </w:t>
      </w:r>
      <w:r w:rsidR="00290597">
        <w:t xml:space="preserve">ont </w:t>
      </w:r>
      <w:r w:rsidR="00FE560E" w:rsidRPr="00FE560E">
        <w:t xml:space="preserve">indiqué avoir été informées du droit de contacter leur famille et avaient pu le faire. </w:t>
      </w:r>
    </w:p>
    <w:p w14:paraId="37EB591E" w14:textId="315C8E5E" w:rsidR="00FE560E" w:rsidRPr="00FE560E" w:rsidRDefault="00D43F72" w:rsidP="00013787">
      <w:pPr>
        <w:pStyle w:val="SingleTxtG"/>
      </w:pPr>
      <w:r>
        <w:t>3</w:t>
      </w:r>
      <w:r w:rsidR="00F97EBB">
        <w:t>5</w:t>
      </w:r>
      <w:r w:rsidR="00013787" w:rsidRPr="00013787">
        <w:t>.</w:t>
      </w:r>
      <w:r w:rsidR="00013787">
        <w:rPr>
          <w:b/>
        </w:rPr>
        <w:tab/>
      </w:r>
      <w:r w:rsidR="00FE560E" w:rsidRPr="00FE560E">
        <w:rPr>
          <w:b/>
        </w:rPr>
        <w:t xml:space="preserve">Le </w:t>
      </w:r>
      <w:r w:rsidR="00456F42">
        <w:rPr>
          <w:b/>
        </w:rPr>
        <w:t>Sous-Comité</w:t>
      </w:r>
      <w:r w:rsidR="00FE560E" w:rsidRPr="00FE560E">
        <w:rPr>
          <w:b/>
        </w:rPr>
        <w:t xml:space="preserve"> </w:t>
      </w:r>
      <w:r w:rsidR="00013787">
        <w:rPr>
          <w:b/>
        </w:rPr>
        <w:t xml:space="preserve">recommande </w:t>
      </w:r>
      <w:r w:rsidR="00FE560E" w:rsidRPr="00FE560E">
        <w:rPr>
          <w:b/>
        </w:rPr>
        <w:t>à l’</w:t>
      </w:r>
      <w:r w:rsidR="00DC5639">
        <w:rPr>
          <w:b/>
        </w:rPr>
        <w:t>État</w:t>
      </w:r>
      <w:r w:rsidR="00FE560E" w:rsidRPr="00FE560E">
        <w:rPr>
          <w:b/>
        </w:rPr>
        <w:t xml:space="preserve"> partie </w:t>
      </w:r>
      <w:r w:rsidR="00735C98">
        <w:rPr>
          <w:b/>
        </w:rPr>
        <w:t>de</w:t>
      </w:r>
      <w:r w:rsidR="00FE560E" w:rsidRPr="00FE560E">
        <w:rPr>
          <w:b/>
        </w:rPr>
        <w:t xml:space="preserve"> garantir que, dans tous les cas et en toutes circonstances, les personnes placées en garde à vue puissent contacter leur famille et de mettre</w:t>
      </w:r>
      <w:r w:rsidR="0076720D">
        <w:rPr>
          <w:b/>
        </w:rPr>
        <w:t>, à cette fin, des moyens de communication</w:t>
      </w:r>
      <w:r w:rsidR="00FE560E" w:rsidRPr="00FE560E">
        <w:rPr>
          <w:b/>
        </w:rPr>
        <w:t xml:space="preserve"> à </w:t>
      </w:r>
      <w:r w:rsidR="00D22E06">
        <w:rPr>
          <w:b/>
        </w:rPr>
        <w:t xml:space="preserve">la </w:t>
      </w:r>
      <w:r w:rsidR="00FE560E" w:rsidRPr="00FE560E">
        <w:rPr>
          <w:b/>
        </w:rPr>
        <w:t xml:space="preserve">disposition </w:t>
      </w:r>
      <w:r w:rsidR="00D22E06">
        <w:rPr>
          <w:b/>
        </w:rPr>
        <w:t xml:space="preserve">de </w:t>
      </w:r>
      <w:r w:rsidR="00D22E06" w:rsidRPr="00FE560E">
        <w:rPr>
          <w:b/>
        </w:rPr>
        <w:t>ce</w:t>
      </w:r>
      <w:r w:rsidR="00D22E06">
        <w:rPr>
          <w:b/>
        </w:rPr>
        <w:t xml:space="preserve">lles </w:t>
      </w:r>
      <w:r w:rsidR="00D22E06" w:rsidRPr="00FE560E">
        <w:rPr>
          <w:b/>
        </w:rPr>
        <w:t>qui n’en ont pas les moyens</w:t>
      </w:r>
      <w:r w:rsidR="00FE560E" w:rsidRPr="00FE560E">
        <w:rPr>
          <w:b/>
        </w:rPr>
        <w:t xml:space="preserve">. </w:t>
      </w:r>
    </w:p>
    <w:p w14:paraId="5AC6B6A7" w14:textId="46CE841D" w:rsidR="00FE560E" w:rsidRPr="00FE560E" w:rsidRDefault="00FE560E" w:rsidP="001D1C14">
      <w:pPr>
        <w:pStyle w:val="H4G"/>
        <w:outlineLvl w:val="0"/>
      </w:pPr>
      <w:r w:rsidRPr="00FE560E">
        <w:tab/>
        <w:t>e)</w:t>
      </w:r>
      <w:r w:rsidRPr="00FE560E">
        <w:tab/>
        <w:t>La durée de la garde à vue</w:t>
      </w:r>
    </w:p>
    <w:p w14:paraId="145A0DF2" w14:textId="13325B16" w:rsidR="00FE560E" w:rsidRPr="00FE560E" w:rsidRDefault="00D43F72" w:rsidP="00013787">
      <w:pPr>
        <w:pStyle w:val="SingleTxtG"/>
        <w:rPr>
          <w:b/>
        </w:rPr>
      </w:pPr>
      <w:r>
        <w:t>3</w:t>
      </w:r>
      <w:r w:rsidR="00F97EBB">
        <w:t>6</w:t>
      </w:r>
      <w:r w:rsidR="00013787">
        <w:t>.</w:t>
      </w:r>
      <w:r w:rsidR="00013787">
        <w:tab/>
      </w:r>
      <w:r w:rsidR="00FE560E" w:rsidRPr="00FE560E">
        <w:t xml:space="preserve">Aux termes </w:t>
      </w:r>
      <w:r w:rsidR="00FE560E" w:rsidRPr="003F15EF">
        <w:t>des articles 57, 61 et 62 du Code de</w:t>
      </w:r>
      <w:r w:rsidR="00FE560E" w:rsidRPr="00FE560E">
        <w:t xml:space="preserve"> procédure pénale, la durée</w:t>
      </w:r>
      <w:r w:rsidR="00D85A95">
        <w:t xml:space="preserve"> </w:t>
      </w:r>
      <w:r w:rsidR="00FE560E" w:rsidRPr="00FE560E">
        <w:t xml:space="preserve">de la garde à vue est </w:t>
      </w:r>
      <w:r w:rsidR="00FE560E" w:rsidRPr="00E20F18">
        <w:t xml:space="preserve">de </w:t>
      </w:r>
      <w:r w:rsidR="0076720D" w:rsidRPr="003455EF">
        <w:t>quarante-huit heures</w:t>
      </w:r>
      <w:r w:rsidR="00FE560E" w:rsidRPr="00E20F18">
        <w:t>.</w:t>
      </w:r>
      <w:r w:rsidR="00FE560E" w:rsidRPr="00FE560E">
        <w:t xml:space="preserve"> Elle peut être prolongée sur autorisation du Procureur de la République, mais ne peut pas excéder </w:t>
      </w:r>
      <w:r w:rsidR="0076720D">
        <w:t>huit</w:t>
      </w:r>
      <w:r w:rsidR="00FE560E" w:rsidRPr="00FE560E">
        <w:t xml:space="preserve"> jours. Le </w:t>
      </w:r>
      <w:r w:rsidR="00456F42">
        <w:t>Sous-Comité</w:t>
      </w:r>
      <w:r w:rsidR="00FE560E" w:rsidRPr="00FE560E">
        <w:t xml:space="preserve"> a constaté que le délai de garde à vue de </w:t>
      </w:r>
      <w:r w:rsidR="0076720D">
        <w:t xml:space="preserve">quarante-huit heures </w:t>
      </w:r>
      <w:r w:rsidR="00FE560E" w:rsidRPr="00FE560E">
        <w:t xml:space="preserve">était respecté de manière générale et que, dans la pratique, les prolongations se faisaient sur autorisation du Procureur. Le </w:t>
      </w:r>
      <w:r w:rsidR="00456F42">
        <w:t>Sous-Comité</w:t>
      </w:r>
      <w:r w:rsidR="00FE560E" w:rsidRPr="00FE560E">
        <w:t xml:space="preserve"> estime qu’il y a eu des progrès et des efforts afin que ce délai soit respecté</w:t>
      </w:r>
      <w:r w:rsidR="00735C98">
        <w:t>,</w:t>
      </w:r>
      <w:r w:rsidR="00447836">
        <w:t xml:space="preserve"> mais </w:t>
      </w:r>
      <w:r w:rsidR="00FE560E" w:rsidRPr="00FE560E">
        <w:t>il reste des améliorations à apporter</w:t>
      </w:r>
      <w:r w:rsidR="00735C98">
        <w:t>. D</w:t>
      </w:r>
      <w:r w:rsidR="00FE560E" w:rsidRPr="00FE560E">
        <w:t>ans certains cas</w:t>
      </w:r>
      <w:r w:rsidR="0050707C">
        <w:t>,</w:t>
      </w:r>
      <w:r w:rsidR="00FE560E" w:rsidRPr="00FE560E">
        <w:t xml:space="preserve"> </w:t>
      </w:r>
      <w:r w:rsidR="0050707C">
        <w:t xml:space="preserve">ce délai </w:t>
      </w:r>
      <w:r w:rsidR="00FE560E" w:rsidRPr="00FE560E">
        <w:t>avait été dépassé</w:t>
      </w:r>
      <w:r w:rsidR="0050707C">
        <w:t>,</w:t>
      </w:r>
      <w:r w:rsidR="00FE560E" w:rsidRPr="00FE560E">
        <w:t xml:space="preserve"> donnant lieu à des gardes à vue abusives. </w:t>
      </w:r>
    </w:p>
    <w:p w14:paraId="5DD5B841" w14:textId="110C0534" w:rsidR="00FE560E" w:rsidRPr="00FE560E" w:rsidRDefault="00D43F72" w:rsidP="00013787">
      <w:pPr>
        <w:pStyle w:val="SingleTxtG"/>
        <w:rPr>
          <w:b/>
        </w:rPr>
      </w:pPr>
      <w:r>
        <w:t>3</w:t>
      </w:r>
      <w:r w:rsidR="00F97EBB">
        <w:t>7</w:t>
      </w:r>
      <w:r w:rsidR="00013787" w:rsidRPr="00013787">
        <w:t>.</w:t>
      </w:r>
      <w:r w:rsidR="00013787">
        <w:rPr>
          <w:b/>
        </w:rPr>
        <w:tab/>
      </w:r>
      <w:r w:rsidR="00FE560E" w:rsidRPr="00FE560E">
        <w:rPr>
          <w:b/>
        </w:rPr>
        <w:t xml:space="preserve">Le </w:t>
      </w:r>
      <w:r w:rsidR="00456F42">
        <w:rPr>
          <w:b/>
        </w:rPr>
        <w:t>Sous-Comité</w:t>
      </w:r>
      <w:r w:rsidR="00FE560E" w:rsidRPr="00FE560E">
        <w:rPr>
          <w:b/>
        </w:rPr>
        <w:t xml:space="preserve"> recommande à</w:t>
      </w:r>
      <w:r w:rsidR="00D85A95">
        <w:rPr>
          <w:b/>
        </w:rPr>
        <w:t xml:space="preserve"> </w:t>
      </w:r>
      <w:r w:rsidR="00FE560E" w:rsidRPr="00FE560E">
        <w:rPr>
          <w:b/>
        </w:rPr>
        <w:t>l’</w:t>
      </w:r>
      <w:r w:rsidR="00DC5639">
        <w:rPr>
          <w:b/>
        </w:rPr>
        <w:t>État</w:t>
      </w:r>
      <w:r w:rsidR="00FE560E" w:rsidRPr="00FE560E">
        <w:rPr>
          <w:b/>
        </w:rPr>
        <w:t xml:space="preserve"> partie </w:t>
      </w:r>
      <w:r w:rsidR="0076720D">
        <w:rPr>
          <w:b/>
        </w:rPr>
        <w:t>de</w:t>
      </w:r>
      <w:r w:rsidR="00FE560E" w:rsidRPr="00FE560E">
        <w:rPr>
          <w:b/>
        </w:rPr>
        <w:t xml:space="preserve"> redoubler de vigilance afin que </w:t>
      </w:r>
      <w:r w:rsidR="00FE560E" w:rsidRPr="007F00B0">
        <w:rPr>
          <w:b/>
        </w:rPr>
        <w:t xml:space="preserve">dans </w:t>
      </w:r>
      <w:r w:rsidR="0076720D" w:rsidRPr="007F00B0">
        <w:rPr>
          <w:b/>
        </w:rPr>
        <w:t xml:space="preserve">tous </w:t>
      </w:r>
      <w:r w:rsidR="00FE560E" w:rsidRPr="007F00B0">
        <w:rPr>
          <w:b/>
        </w:rPr>
        <w:t>les cas le</w:t>
      </w:r>
      <w:r w:rsidR="00FE560E" w:rsidRPr="00FE560E">
        <w:rPr>
          <w:b/>
        </w:rPr>
        <w:t xml:space="preserve"> délai de la garde à vue soit</w:t>
      </w:r>
      <w:r w:rsidR="00D85A95">
        <w:rPr>
          <w:b/>
        </w:rPr>
        <w:t xml:space="preserve"> </w:t>
      </w:r>
      <w:r w:rsidR="00FE560E" w:rsidRPr="00FE560E">
        <w:rPr>
          <w:b/>
        </w:rPr>
        <w:t>pleinement et effectivement respecté.</w:t>
      </w:r>
      <w:r w:rsidR="00D85A95">
        <w:rPr>
          <w:b/>
        </w:rPr>
        <w:t xml:space="preserve"> </w:t>
      </w:r>
    </w:p>
    <w:p w14:paraId="6B0A906B" w14:textId="77777777" w:rsidR="00FE560E" w:rsidRPr="00FE560E" w:rsidRDefault="00F862BF" w:rsidP="001D1C14">
      <w:pPr>
        <w:pStyle w:val="H23G"/>
        <w:outlineLvl w:val="0"/>
      </w:pPr>
      <w:r>
        <w:tab/>
        <w:t>3</w:t>
      </w:r>
      <w:r w:rsidR="00013787">
        <w:t>.</w:t>
      </w:r>
      <w:r w:rsidR="00013787">
        <w:tab/>
      </w:r>
      <w:r w:rsidR="00FE560E" w:rsidRPr="00FE560E">
        <w:t>Registres</w:t>
      </w:r>
    </w:p>
    <w:p w14:paraId="0F534DEA" w14:textId="7A92C309" w:rsidR="00FE560E" w:rsidRPr="00FE560E" w:rsidRDefault="00F97EBB" w:rsidP="00013787">
      <w:pPr>
        <w:pStyle w:val="SingleTxtG"/>
        <w:rPr>
          <w:b/>
        </w:rPr>
      </w:pPr>
      <w:r>
        <w:t>38</w:t>
      </w:r>
      <w:r w:rsidR="00013787">
        <w:t>.</w:t>
      </w:r>
      <w:r w:rsidR="00013787">
        <w:tab/>
      </w:r>
      <w:r w:rsidR="00FE560E" w:rsidRPr="00FE560E">
        <w:t xml:space="preserve">Le </w:t>
      </w:r>
      <w:r w:rsidR="00456F42">
        <w:t>Sous-Comité</w:t>
      </w:r>
      <w:r w:rsidR="00FE560E" w:rsidRPr="00FE560E">
        <w:t xml:space="preserve"> a noté les efforts déployés par l’</w:t>
      </w:r>
      <w:r w:rsidR="00DC5639">
        <w:t>État</w:t>
      </w:r>
      <w:r w:rsidR="00FE560E" w:rsidRPr="00FE560E">
        <w:t xml:space="preserve"> partie pour mettre en place une méthodologie pour un registre unifié dans les commissariats et les gendarmeries et former un personnel </w:t>
      </w:r>
      <w:r w:rsidR="00FE560E" w:rsidRPr="007F00B0">
        <w:t>en capacité de se mobiliser afin de</w:t>
      </w:r>
      <w:r w:rsidR="00FE560E" w:rsidRPr="00FE560E">
        <w:t xml:space="preserve"> mettre en </w:t>
      </w:r>
      <w:r w:rsidR="00447836" w:rsidRPr="00FE560E">
        <w:t>œuvre</w:t>
      </w:r>
      <w:r w:rsidR="00FE560E" w:rsidRPr="00FE560E">
        <w:t xml:space="preserve"> un tel registre</w:t>
      </w:r>
      <w:r w:rsidR="00735C98">
        <w:t>. L</w:t>
      </w:r>
      <w:r w:rsidR="00FE560E" w:rsidRPr="00FE560E">
        <w:t>es</w:t>
      </w:r>
      <w:r w:rsidR="004B4808">
        <w:t> </w:t>
      </w:r>
      <w:r w:rsidR="00FE560E" w:rsidRPr="00FE560E">
        <w:t xml:space="preserve">commissariats et gendarmeries visités avaient des registres qui étaient assez bien tenus. Le </w:t>
      </w:r>
      <w:r w:rsidR="00456F42">
        <w:t>Sous-Comité</w:t>
      </w:r>
      <w:r w:rsidR="00FE560E" w:rsidRPr="00FE560E">
        <w:t xml:space="preserve"> considère cette évolution comme un point positif. Il rappelle que l’uniformisation des registres devrait permettre de recueillir et consigner les données relatives aux motifs de l’arrestation, l’heure et le jour exacts du début de la garde à vue, sa durée, sa fin, l’identité de la personne détenue et celle de l’agent qui a autorisé la garde à vue, des indications quant au lieu de détention, le moment de la première comparution devant une autorité judiciaire, la prolongation de la garde à vue, </w:t>
      </w:r>
      <w:r w:rsidR="00B17E65">
        <w:t xml:space="preserve">et </w:t>
      </w:r>
      <w:r w:rsidR="00FE560E" w:rsidRPr="00FE560E">
        <w:t>l’autorité qui l’a décidée ainsi que sa durée.</w:t>
      </w:r>
    </w:p>
    <w:p w14:paraId="09E0B2FF" w14:textId="550913E1" w:rsidR="00FE560E" w:rsidRPr="00FE560E" w:rsidRDefault="00F97EBB" w:rsidP="00013787">
      <w:pPr>
        <w:pStyle w:val="SingleTxtG"/>
        <w:rPr>
          <w:b/>
        </w:rPr>
      </w:pPr>
      <w:r>
        <w:t>39</w:t>
      </w:r>
      <w:r w:rsidR="00013787">
        <w:t>.</w:t>
      </w:r>
      <w:r w:rsidR="00013787">
        <w:tab/>
      </w:r>
      <w:r w:rsidR="00FE560E" w:rsidRPr="00FE560E">
        <w:t xml:space="preserve">Le </w:t>
      </w:r>
      <w:r w:rsidR="00456F42">
        <w:t>Sous-Comité</w:t>
      </w:r>
      <w:r w:rsidR="00FE560E" w:rsidRPr="00FE560E">
        <w:t xml:space="preserve"> a constaté avec préoccupation</w:t>
      </w:r>
      <w:r w:rsidR="00D85A95">
        <w:t xml:space="preserve"> </w:t>
      </w:r>
      <w:r w:rsidR="00FE560E" w:rsidRPr="00FE560E">
        <w:t xml:space="preserve">des défaillances dans la tenue des registres et que ceux-ci n’étaient pas uniformes dans tous les lieux visités. Dans les commissariats et la gendarmerie visités, les registres ne </w:t>
      </w:r>
      <w:r w:rsidR="00F438B0">
        <w:t xml:space="preserve">comportaient </w:t>
      </w:r>
      <w:r w:rsidR="00FE560E" w:rsidRPr="00FE560E">
        <w:t>pas des données relatives soit à l’âge, à la libération ou à l’heure de libération d’une personne gardée à vue, soit à la date même du début de la garde à vue.</w:t>
      </w:r>
      <w:r w:rsidR="00D85A95">
        <w:t xml:space="preserve"> </w:t>
      </w:r>
      <w:r w:rsidR="00FE560E" w:rsidRPr="00FE560E">
        <w:t>Les défaillances concernaient aussi la non-consignation</w:t>
      </w:r>
      <w:r w:rsidR="00D85A95">
        <w:t xml:space="preserve"> </w:t>
      </w:r>
      <w:r w:rsidR="00FE560E" w:rsidRPr="00FE560E">
        <w:t>des données</w:t>
      </w:r>
      <w:r w:rsidR="00D85A95">
        <w:t xml:space="preserve"> </w:t>
      </w:r>
      <w:r w:rsidR="00FE560E" w:rsidRPr="00FE560E">
        <w:t xml:space="preserve">en temps réel. Dans un des commissariats visités, seul le registre de main courante était utilisé en temps réel tandis que le registre de la garde à vue était rempli </w:t>
      </w:r>
      <w:r w:rsidR="007C7F6A" w:rsidRPr="006C5D31">
        <w:t xml:space="preserve">a </w:t>
      </w:r>
      <w:r w:rsidR="00FE560E" w:rsidRPr="006C5D31">
        <w:t>post</w:t>
      </w:r>
      <w:r w:rsidR="00F438B0" w:rsidRPr="006C5D31">
        <w:t>e</w:t>
      </w:r>
      <w:r w:rsidR="00FE560E" w:rsidRPr="006C5D31">
        <w:t xml:space="preserve">riori, </w:t>
      </w:r>
      <w:r w:rsidR="00735C98" w:rsidRPr="00735C98">
        <w:t>notamment</w:t>
      </w:r>
      <w:r w:rsidR="00F438B0">
        <w:t xml:space="preserve">, le jour de la visite, </w:t>
      </w:r>
      <w:r w:rsidR="00FE560E" w:rsidRPr="00FE560E">
        <w:t xml:space="preserve">avec deux mois de retard. Le </w:t>
      </w:r>
      <w:r w:rsidR="00456F42">
        <w:t>Sous-Comité</w:t>
      </w:r>
      <w:r w:rsidR="00FE560E" w:rsidRPr="00FE560E">
        <w:t xml:space="preserve"> reste préoccupé par l’absence de rigueur et de systématisation dans la consignation des données relatives aux personnes détenues dans les commissariats et les gendarmeries.</w:t>
      </w:r>
      <w:r w:rsidR="00FE560E" w:rsidRPr="00FE560E">
        <w:rPr>
          <w:b/>
        </w:rPr>
        <w:t xml:space="preserve"> </w:t>
      </w:r>
    </w:p>
    <w:p w14:paraId="0C3FA1D4" w14:textId="77F102BA" w:rsidR="00FE560E" w:rsidRPr="00FE560E" w:rsidRDefault="00D43F72" w:rsidP="00013787">
      <w:pPr>
        <w:pStyle w:val="SingleTxtG"/>
        <w:rPr>
          <w:b/>
        </w:rPr>
      </w:pPr>
      <w:r>
        <w:t>4</w:t>
      </w:r>
      <w:r w:rsidR="00F97EBB">
        <w:t>0</w:t>
      </w:r>
      <w:r w:rsidR="00013787" w:rsidRPr="00013787">
        <w:t>.</w:t>
      </w:r>
      <w:r w:rsidR="00013787">
        <w:rPr>
          <w:b/>
        </w:rPr>
        <w:tab/>
      </w:r>
      <w:r w:rsidR="00447836">
        <w:rPr>
          <w:b/>
        </w:rPr>
        <w:t xml:space="preserve">Le </w:t>
      </w:r>
      <w:r w:rsidR="00456F42">
        <w:rPr>
          <w:b/>
        </w:rPr>
        <w:t>Sous-Comité</w:t>
      </w:r>
      <w:r w:rsidR="00447836" w:rsidRPr="00FE560E">
        <w:rPr>
          <w:b/>
        </w:rPr>
        <w:t xml:space="preserve"> </w:t>
      </w:r>
      <w:r w:rsidR="00FE560E" w:rsidRPr="00FE560E">
        <w:rPr>
          <w:b/>
        </w:rPr>
        <w:t>recommande à l’</w:t>
      </w:r>
      <w:r w:rsidR="00DC5639">
        <w:rPr>
          <w:b/>
        </w:rPr>
        <w:t>État</w:t>
      </w:r>
      <w:r w:rsidR="00FE560E" w:rsidRPr="00FE560E">
        <w:rPr>
          <w:b/>
        </w:rPr>
        <w:t xml:space="preserve"> partie de poursuivre ses efforts en vue de mettre en place un système uniformisé </w:t>
      </w:r>
      <w:r w:rsidR="00F438B0">
        <w:rPr>
          <w:b/>
        </w:rPr>
        <w:t xml:space="preserve">pour </w:t>
      </w:r>
      <w:r w:rsidR="00FE560E" w:rsidRPr="00FE560E">
        <w:rPr>
          <w:b/>
        </w:rPr>
        <w:t>consign</w:t>
      </w:r>
      <w:r w:rsidR="00F438B0">
        <w:rPr>
          <w:b/>
        </w:rPr>
        <w:t xml:space="preserve">er </w:t>
      </w:r>
      <w:r w:rsidR="00FE560E" w:rsidRPr="00FE560E">
        <w:rPr>
          <w:b/>
        </w:rPr>
        <w:t>avec rigueur les données concernant les personnes placées en garde à vue, de manière systématique et complète,</w:t>
      </w:r>
      <w:r w:rsidR="00013787">
        <w:rPr>
          <w:b/>
        </w:rPr>
        <w:t xml:space="preserve"> </w:t>
      </w:r>
      <w:r w:rsidR="00FE560E" w:rsidRPr="00FE560E">
        <w:rPr>
          <w:b/>
        </w:rPr>
        <w:t xml:space="preserve">dans tous les commissariats et les gendarmeries. </w:t>
      </w:r>
    </w:p>
    <w:p w14:paraId="002FF68B" w14:textId="74029E44" w:rsidR="00FE560E" w:rsidRPr="00FE560E" w:rsidRDefault="00F862BF" w:rsidP="001D1C14">
      <w:pPr>
        <w:pStyle w:val="H23G"/>
        <w:outlineLvl w:val="0"/>
      </w:pPr>
      <w:r>
        <w:tab/>
        <w:t>4</w:t>
      </w:r>
      <w:r w:rsidR="00013787">
        <w:t>.</w:t>
      </w:r>
      <w:r w:rsidR="00013787">
        <w:tab/>
      </w:r>
      <w:r w:rsidR="00FE560E" w:rsidRPr="00FE560E">
        <w:t>Allégations de torture et de mauvais traitements</w:t>
      </w:r>
    </w:p>
    <w:p w14:paraId="0A961D47" w14:textId="70C7101F" w:rsidR="00FE560E" w:rsidRPr="00FE560E" w:rsidRDefault="00D43F72" w:rsidP="00013787">
      <w:pPr>
        <w:pStyle w:val="SingleTxtG"/>
      </w:pPr>
      <w:r>
        <w:t>4</w:t>
      </w:r>
      <w:r w:rsidR="00F97EBB">
        <w:t>1</w:t>
      </w:r>
      <w:r w:rsidR="00013787">
        <w:t>.</w:t>
      </w:r>
      <w:r w:rsidR="00013787">
        <w:tab/>
      </w:r>
      <w:r w:rsidR="006D16E2">
        <w:t>L</w:t>
      </w:r>
      <w:r w:rsidR="00FE560E" w:rsidRPr="00FE560E">
        <w:t xml:space="preserve">e </w:t>
      </w:r>
      <w:r w:rsidR="00456F42">
        <w:t>Sous-Comité</w:t>
      </w:r>
      <w:r w:rsidR="00FE560E" w:rsidRPr="00FE560E">
        <w:t xml:space="preserve"> n’a été informé que de peu d’allégations de torture ou de mauvais traitements à l’égard des personnes </w:t>
      </w:r>
      <w:r w:rsidR="00735C98">
        <w:t>placées</w:t>
      </w:r>
      <w:r w:rsidR="00FE560E" w:rsidRPr="00FE560E">
        <w:t xml:space="preserve"> en garde à vue. Le </w:t>
      </w:r>
      <w:r w:rsidR="00456F42">
        <w:t>Sous-Comité</w:t>
      </w:r>
      <w:r w:rsidR="00FE560E" w:rsidRPr="00FE560E">
        <w:t xml:space="preserve"> n’a pas constaté, ni rencontré de personnes en garde à vue qui présentaient des signes corporels</w:t>
      </w:r>
      <w:r w:rsidR="00D85A95">
        <w:t xml:space="preserve"> </w:t>
      </w:r>
      <w:r w:rsidR="00FE560E" w:rsidRPr="00FE560E">
        <w:t>pouvant donner lieu de croire qu’elles avaient subi des</w:t>
      </w:r>
      <w:r w:rsidR="00D85A95">
        <w:t xml:space="preserve"> </w:t>
      </w:r>
      <w:r w:rsidR="00FE560E" w:rsidRPr="00FE560E">
        <w:t xml:space="preserve">mauvais traitements. Toutefois, le </w:t>
      </w:r>
      <w:r w:rsidR="00456F42">
        <w:t>Sous-Comité</w:t>
      </w:r>
      <w:r w:rsidR="00FE560E" w:rsidRPr="00FE560E">
        <w:t xml:space="preserve"> reste </w:t>
      </w:r>
      <w:r w:rsidR="00FE560E" w:rsidRPr="00FE560E">
        <w:lastRenderedPageBreak/>
        <w:t xml:space="preserve">préoccupé par les informations fournies par quelques détenus de la prison </w:t>
      </w:r>
      <w:r w:rsidR="00FE560E" w:rsidRPr="00E20F18">
        <w:t>d’Abomey</w:t>
      </w:r>
      <w:r w:rsidR="00FE560E" w:rsidRPr="003455EF">
        <w:t>,</w:t>
      </w:r>
      <w:r w:rsidR="00FE560E" w:rsidRPr="00FE560E">
        <w:t xml:space="preserve"> selon lesquelles ils avaient subi des violences lors de leur garde à vue. </w:t>
      </w:r>
    </w:p>
    <w:p w14:paraId="3BEDE849" w14:textId="24E3E504" w:rsidR="00FE560E" w:rsidRPr="00FE560E" w:rsidRDefault="00D43F72" w:rsidP="00013787">
      <w:pPr>
        <w:pStyle w:val="SingleTxtG"/>
      </w:pPr>
      <w:r>
        <w:t>4</w:t>
      </w:r>
      <w:r w:rsidR="00F97EBB">
        <w:t>2</w:t>
      </w:r>
      <w:r w:rsidR="00013787" w:rsidRPr="00013787">
        <w:t>.</w:t>
      </w:r>
      <w:r w:rsidR="00013787">
        <w:rPr>
          <w:b/>
        </w:rPr>
        <w:tab/>
      </w:r>
      <w:r w:rsidR="00FE560E" w:rsidRPr="00FE560E">
        <w:rPr>
          <w:b/>
        </w:rPr>
        <w:t xml:space="preserve">Le </w:t>
      </w:r>
      <w:r w:rsidR="00456F42">
        <w:rPr>
          <w:b/>
        </w:rPr>
        <w:t>Sous-Comité</w:t>
      </w:r>
      <w:r w:rsidR="00FE560E" w:rsidRPr="00FE560E">
        <w:rPr>
          <w:b/>
        </w:rPr>
        <w:t xml:space="preserve"> considère qu’il s’agit d’une évolution positive et d’une amélioration notable. Il encourage l’</w:t>
      </w:r>
      <w:r w:rsidR="00DC5639">
        <w:rPr>
          <w:b/>
        </w:rPr>
        <w:t>État</w:t>
      </w:r>
      <w:r w:rsidR="00FE560E" w:rsidRPr="00FE560E">
        <w:rPr>
          <w:b/>
        </w:rPr>
        <w:t xml:space="preserve"> partie à redoubler de vigilance pour veiller à ce que, en tous lieux, les personnes en garde à vue ne soient pas soumises à des mauvais traitements</w:t>
      </w:r>
      <w:r w:rsidR="009B37BF">
        <w:rPr>
          <w:b/>
        </w:rPr>
        <w:t xml:space="preserve">, à ce que, </w:t>
      </w:r>
      <w:r w:rsidR="00FE560E" w:rsidRPr="00FE560E">
        <w:rPr>
          <w:b/>
        </w:rPr>
        <w:t>en cas de mauvais traitements, elles aient la possibilité de porter plainte</w:t>
      </w:r>
      <w:r w:rsidR="009B37BF">
        <w:rPr>
          <w:b/>
        </w:rPr>
        <w:t>,</w:t>
      </w:r>
      <w:r w:rsidR="00FE560E" w:rsidRPr="00FE560E">
        <w:rPr>
          <w:b/>
        </w:rPr>
        <w:t xml:space="preserve"> et </w:t>
      </w:r>
      <w:r w:rsidR="009B37BF">
        <w:rPr>
          <w:b/>
        </w:rPr>
        <w:t xml:space="preserve">à ce </w:t>
      </w:r>
      <w:r w:rsidR="00FE560E" w:rsidRPr="00FE560E">
        <w:rPr>
          <w:b/>
        </w:rPr>
        <w:t>que des enquêtes</w:t>
      </w:r>
      <w:r w:rsidR="00D85A95">
        <w:rPr>
          <w:b/>
        </w:rPr>
        <w:t xml:space="preserve"> </w:t>
      </w:r>
      <w:r w:rsidR="00FE560E" w:rsidRPr="00FE560E">
        <w:rPr>
          <w:b/>
        </w:rPr>
        <w:t>immédiates et impartiales soient ouvertes sur ces violations (articles</w:t>
      </w:r>
      <w:r w:rsidR="00EF5227">
        <w:rPr>
          <w:b/>
        </w:rPr>
        <w:t> </w:t>
      </w:r>
      <w:r w:rsidR="00FE560E" w:rsidRPr="00FE560E">
        <w:rPr>
          <w:b/>
        </w:rPr>
        <w:t>12 et 13 de la Convention)</w:t>
      </w:r>
      <w:r w:rsidR="009B37BF">
        <w:rPr>
          <w:b/>
        </w:rPr>
        <w:t>,</w:t>
      </w:r>
      <w:r w:rsidR="00FE560E" w:rsidRPr="00FE560E">
        <w:rPr>
          <w:b/>
        </w:rPr>
        <w:t xml:space="preserve"> et </w:t>
      </w:r>
      <w:r w:rsidR="009B37BF">
        <w:rPr>
          <w:b/>
        </w:rPr>
        <w:t xml:space="preserve">à ce que </w:t>
      </w:r>
      <w:r w:rsidR="00FE560E" w:rsidRPr="00FE560E">
        <w:rPr>
          <w:b/>
        </w:rPr>
        <w:t xml:space="preserve">leurs auteurs </w:t>
      </w:r>
      <w:r w:rsidR="009B37BF">
        <w:rPr>
          <w:b/>
        </w:rPr>
        <w:t xml:space="preserve">soient </w:t>
      </w:r>
      <w:r w:rsidR="00FE560E" w:rsidRPr="00FE560E">
        <w:rPr>
          <w:b/>
        </w:rPr>
        <w:t xml:space="preserve">sanctionnés, </w:t>
      </w:r>
      <w:r w:rsidR="00FE560E" w:rsidRPr="00F45999">
        <w:rPr>
          <w:b/>
        </w:rPr>
        <w:t>s</w:t>
      </w:r>
      <w:r w:rsidR="00B17E65" w:rsidRPr="0087483B">
        <w:rPr>
          <w:b/>
        </w:rPr>
        <w:t>’ils sont reconnus</w:t>
      </w:r>
      <w:r w:rsidR="00FE560E" w:rsidRPr="0087483B">
        <w:rPr>
          <w:b/>
        </w:rPr>
        <w:t xml:space="preserve"> coupables.</w:t>
      </w:r>
    </w:p>
    <w:p w14:paraId="30F51AE7" w14:textId="55D5A2DE" w:rsidR="00FE560E" w:rsidRPr="00F862BF" w:rsidRDefault="00FE560E" w:rsidP="00F862BF">
      <w:pPr>
        <w:pStyle w:val="H1G"/>
      </w:pPr>
      <w:r w:rsidRPr="00F862BF">
        <w:tab/>
      </w:r>
      <w:r w:rsidR="00F862BF" w:rsidRPr="00F862BF">
        <w:t>B</w:t>
      </w:r>
      <w:r w:rsidR="004B4808">
        <w:t>.</w:t>
      </w:r>
      <w:r w:rsidRPr="00F862BF">
        <w:tab/>
      </w:r>
      <w:r w:rsidR="009B37BF">
        <w:t>É</w:t>
      </w:r>
      <w:r w:rsidRPr="00F862BF">
        <w:t>tablissements pénitentiaires</w:t>
      </w:r>
    </w:p>
    <w:p w14:paraId="4615D65A" w14:textId="77777777" w:rsidR="00FE560E" w:rsidRPr="00FE560E" w:rsidRDefault="00F862BF" w:rsidP="001D1C14">
      <w:pPr>
        <w:pStyle w:val="H23G"/>
        <w:outlineLvl w:val="0"/>
      </w:pPr>
      <w:r>
        <w:tab/>
        <w:t>1</w:t>
      </w:r>
      <w:r w:rsidR="00F92E5E">
        <w:t>.</w:t>
      </w:r>
      <w:r w:rsidR="00F92E5E">
        <w:tab/>
      </w:r>
      <w:r w:rsidR="00FE560E" w:rsidRPr="00FE560E">
        <w:t>Surpopulation carcérale et conditions matérielles de détention</w:t>
      </w:r>
    </w:p>
    <w:p w14:paraId="4ECD0AA5" w14:textId="1ADB155D" w:rsidR="00FE560E" w:rsidRPr="00FE560E" w:rsidRDefault="00D43F72" w:rsidP="00F92E5E">
      <w:pPr>
        <w:pStyle w:val="SingleTxtG"/>
      </w:pPr>
      <w:r>
        <w:t>4</w:t>
      </w:r>
      <w:r w:rsidR="00F97EBB">
        <w:t>3</w:t>
      </w:r>
      <w:r w:rsidR="00F92E5E">
        <w:t>.</w:t>
      </w:r>
      <w:r w:rsidR="00F92E5E">
        <w:tab/>
      </w:r>
      <w:r w:rsidR="00FE560E" w:rsidRPr="00FE560E">
        <w:t xml:space="preserve">Au moment de la visite du </w:t>
      </w:r>
      <w:r w:rsidR="00456F42">
        <w:t>Sous-Comité</w:t>
      </w:r>
      <w:r w:rsidR="00FE560E" w:rsidRPr="00FE560E">
        <w:t xml:space="preserve">, les prisons civiles d’Abomey et de Cotonou restaient surpeuplées. Les </w:t>
      </w:r>
      <w:r w:rsidR="00735C98">
        <w:t xml:space="preserve">précédentes </w:t>
      </w:r>
      <w:r w:rsidR="00FE560E" w:rsidRPr="00FE560E">
        <w:t xml:space="preserve">recommandations du </w:t>
      </w:r>
      <w:r w:rsidR="00456F42">
        <w:t>Sous-Comité</w:t>
      </w:r>
      <w:r w:rsidR="00FE560E" w:rsidRPr="00FE560E">
        <w:t xml:space="preserve"> </w:t>
      </w:r>
      <w:r w:rsidR="00AA6D29">
        <w:t xml:space="preserve">n’ont </w:t>
      </w:r>
      <w:r w:rsidR="00FE560E" w:rsidRPr="00FE560E">
        <w:t>donc pas été suivies d’effet.</w:t>
      </w:r>
    </w:p>
    <w:p w14:paraId="2B1E2E84" w14:textId="77777777" w:rsidR="00FE560E" w:rsidRPr="00FE560E" w:rsidRDefault="00F92E5E" w:rsidP="001D1C14">
      <w:pPr>
        <w:pStyle w:val="H4G"/>
        <w:outlineLvl w:val="0"/>
      </w:pPr>
      <w:r>
        <w:tab/>
        <w:t>a)</w:t>
      </w:r>
      <w:r>
        <w:tab/>
      </w:r>
      <w:r w:rsidR="00FE560E" w:rsidRPr="00FE560E">
        <w:t>Prison civile d’Abomey </w:t>
      </w:r>
    </w:p>
    <w:p w14:paraId="3FEB37DF" w14:textId="2F43498A" w:rsidR="00FE560E" w:rsidRPr="00FE560E" w:rsidRDefault="00D43F72" w:rsidP="00F92E5E">
      <w:pPr>
        <w:pStyle w:val="SingleTxtG"/>
      </w:pPr>
      <w:r>
        <w:t>4</w:t>
      </w:r>
      <w:r w:rsidR="00F97EBB">
        <w:t>4</w:t>
      </w:r>
      <w:r w:rsidR="00F92E5E">
        <w:t>.</w:t>
      </w:r>
      <w:r w:rsidR="00F92E5E">
        <w:tab/>
      </w:r>
      <w:r w:rsidR="00FE560E" w:rsidRPr="00FE560E">
        <w:t>La prison d’Abomey abritait 912 détenus pour une capacité maximale de 200 places, dont 832 hommes</w:t>
      </w:r>
      <w:r w:rsidR="00F364FB">
        <w:t>,</w:t>
      </w:r>
      <w:r w:rsidR="00FE560E" w:rsidRPr="00FE560E">
        <w:t xml:space="preserve"> 72 femmes et 8 mineurs. Selon le directeur-adjoint, le personnel était composé de 12 personnes auxquelles s’ajoutait une équipe de militaires pour assurer la sécurité à l’extérieur de la prison. Le </w:t>
      </w:r>
      <w:r w:rsidR="00456F42">
        <w:t>Sous-Comité</w:t>
      </w:r>
      <w:r w:rsidR="00FE560E" w:rsidRPr="00FE560E">
        <w:t xml:space="preserve"> est très préoccupé par les conditions de détention déplorables à la prison d’Abomey</w:t>
      </w:r>
      <w:r w:rsidR="00DB02F1">
        <w:t xml:space="preserve">, </w:t>
      </w:r>
      <w:r w:rsidR="00FE560E" w:rsidRPr="00FE560E">
        <w:t>qui</w:t>
      </w:r>
      <w:r w:rsidR="00D85A95">
        <w:t xml:space="preserve"> </w:t>
      </w:r>
      <w:r w:rsidR="00FE560E" w:rsidRPr="00FE560E">
        <w:t xml:space="preserve">s’étaient dégradées depuis la visite du </w:t>
      </w:r>
      <w:r w:rsidR="00456F42">
        <w:t>Sous-Comité</w:t>
      </w:r>
      <w:r w:rsidR="00FE560E" w:rsidRPr="00FE560E">
        <w:t xml:space="preserve"> en 2008. </w:t>
      </w:r>
      <w:r w:rsidR="006D16E2">
        <w:t>La</w:t>
      </w:r>
      <w:r w:rsidR="00FE560E" w:rsidRPr="00FE560E">
        <w:t xml:space="preserve"> surpopulation chronique affectait tous les bâtiments, à l’exception du bâtiment pour mineurs. La situation du bâtiment 8 a particulièrement retenu l’attention du </w:t>
      </w:r>
      <w:r w:rsidR="00456F42">
        <w:t>Sous-Comité</w:t>
      </w:r>
      <w:r w:rsidR="00735C98">
        <w:t>,</w:t>
      </w:r>
      <w:r w:rsidR="00FE560E" w:rsidRPr="00FE560E">
        <w:t xml:space="preserve"> car ce bâtiment abritait 91 détenus pour une surface de 38 mètres carrés</w:t>
      </w:r>
      <w:r w:rsidR="00735C98">
        <w:t> ;</w:t>
      </w:r>
      <w:r w:rsidR="00FE560E" w:rsidRPr="00FE560E">
        <w:t xml:space="preserve"> ce qui revenait à un </w:t>
      </w:r>
      <w:r w:rsidR="00FE560E" w:rsidRPr="006C5D31">
        <w:t>ratio</w:t>
      </w:r>
      <w:r w:rsidR="00FE560E" w:rsidRPr="00FE560E">
        <w:t xml:space="preserve"> de 2,4 personnes par mètre carré. Le taux élevé de la surpopulation entraînait une promiscuité </w:t>
      </w:r>
      <w:r w:rsidR="00DB02F1">
        <w:t xml:space="preserve">qui venait s’ajouter </w:t>
      </w:r>
      <w:r w:rsidR="00FE560E" w:rsidRPr="00FE560E">
        <w:t xml:space="preserve">à la vétusté et au délabrement des bâtiments. Le </w:t>
      </w:r>
      <w:r w:rsidR="00456F42">
        <w:t>Sous-Comité</w:t>
      </w:r>
      <w:r w:rsidR="00FE560E" w:rsidRPr="00FE560E">
        <w:t xml:space="preserve"> a relevé avec préoccupation l’état déplorable des latrines et </w:t>
      </w:r>
      <w:r w:rsidR="00735C98">
        <w:t>l</w:t>
      </w:r>
      <w:r w:rsidR="00FE560E" w:rsidRPr="00FE560E">
        <w:t>es cond</w:t>
      </w:r>
      <w:r w:rsidR="00F92E5E">
        <w:t xml:space="preserve">itions d’hygiène inquiétantes. </w:t>
      </w:r>
    </w:p>
    <w:p w14:paraId="3DCB4F83" w14:textId="77777777" w:rsidR="00FE560E" w:rsidRPr="00FE560E" w:rsidRDefault="00F92E5E" w:rsidP="001D1C14">
      <w:pPr>
        <w:pStyle w:val="H4G"/>
        <w:outlineLvl w:val="0"/>
      </w:pPr>
      <w:r>
        <w:tab/>
        <w:t>b)</w:t>
      </w:r>
      <w:r>
        <w:tab/>
      </w:r>
      <w:r w:rsidR="00FE560E" w:rsidRPr="00FE560E">
        <w:t xml:space="preserve">Prison civile de Cotonou </w:t>
      </w:r>
    </w:p>
    <w:p w14:paraId="3BB624D7" w14:textId="2F5B9651" w:rsidR="00FE560E" w:rsidRPr="00FE560E" w:rsidRDefault="00D43F72" w:rsidP="00766C4E">
      <w:pPr>
        <w:pStyle w:val="SingleTxtG"/>
      </w:pPr>
      <w:r>
        <w:t>4</w:t>
      </w:r>
      <w:r w:rsidR="00F97EBB">
        <w:t>5</w:t>
      </w:r>
      <w:r w:rsidR="00F92E5E">
        <w:t>.</w:t>
      </w:r>
      <w:r w:rsidR="00F92E5E">
        <w:tab/>
      </w:r>
      <w:r w:rsidR="006D16E2">
        <w:t>A</w:t>
      </w:r>
      <w:r w:rsidR="00FE560E" w:rsidRPr="00FE560E">
        <w:t>u moment de la visite,</w:t>
      </w:r>
      <w:r w:rsidR="006D16E2">
        <w:t xml:space="preserve"> la prison comptait</w:t>
      </w:r>
      <w:r w:rsidR="00FE560E" w:rsidRPr="00FE560E">
        <w:t xml:space="preserve"> 14 bâtiments et abritait </w:t>
      </w:r>
      <w:r w:rsidR="00FE560E" w:rsidRPr="00766C4E">
        <w:t>1</w:t>
      </w:r>
      <w:r w:rsidR="004B4808">
        <w:t> </w:t>
      </w:r>
      <w:r w:rsidR="00FE560E" w:rsidRPr="00766C4E">
        <w:t>14</w:t>
      </w:r>
      <w:r w:rsidR="00766C4E" w:rsidRPr="0087483B">
        <w:t>0</w:t>
      </w:r>
      <w:r w:rsidR="00FE560E" w:rsidRPr="0087483B">
        <w:t xml:space="preserve"> détenus</w:t>
      </w:r>
      <w:r w:rsidR="00FE560E" w:rsidRPr="00FE560E">
        <w:t xml:space="preserve"> pour une capacité de 400 places, dont 316 condamnés, 398 inculpés et 426 prévenus. La prison logeait aussi 66 femmes avec 3 bébés et une mineure ainsi que 18 mineurs de sexe masculin. Le personnel affecté était de 26 gendarmes répartis en une équipe opérationnelle et une réserve qui se relayaient. Ce personnel était renforcé par 50 militaires en rotation qui assuraient la sécurité extérieure. Un personnel soignant de 4/5 personnes s’occupait de l’infirmerie </w:t>
      </w:r>
      <w:r w:rsidR="00DB02F1">
        <w:t xml:space="preserve">et </w:t>
      </w:r>
      <w:r w:rsidR="00FE560E" w:rsidRPr="00FE560E">
        <w:t xml:space="preserve">était dirigé par un chef infirmier. </w:t>
      </w:r>
    </w:p>
    <w:p w14:paraId="55B0142F" w14:textId="07318BCC" w:rsidR="00FE560E" w:rsidRPr="00FE560E" w:rsidRDefault="00D43F72" w:rsidP="00384A9E">
      <w:pPr>
        <w:pStyle w:val="SingleTxtG"/>
      </w:pPr>
      <w:r>
        <w:t>4</w:t>
      </w:r>
      <w:r w:rsidR="00F97EBB">
        <w:t>6</w:t>
      </w:r>
      <w:r w:rsidR="00F92E5E">
        <w:t>.</w:t>
      </w:r>
      <w:r w:rsidR="00F92E5E">
        <w:tab/>
      </w:r>
      <w:r w:rsidR="00FE560E" w:rsidRPr="00FE560E">
        <w:t xml:space="preserve">Le </w:t>
      </w:r>
      <w:r w:rsidR="00456F42">
        <w:t>Sous-Comité</w:t>
      </w:r>
      <w:r w:rsidR="00FE560E" w:rsidRPr="00FE560E">
        <w:t xml:space="preserve"> a constaté avec préoccupation que si la surpopulation carcérale avait diminué par rapport à 2008, elle</w:t>
      </w:r>
      <w:r w:rsidR="00D85A95">
        <w:t xml:space="preserve"> </w:t>
      </w:r>
      <w:r w:rsidR="00FE560E" w:rsidRPr="00FE560E">
        <w:t xml:space="preserve">restait encore très élevée avec un taux d’occupation de </w:t>
      </w:r>
      <w:r w:rsidR="00AA6D29">
        <w:t>près</w:t>
      </w:r>
      <w:r w:rsidR="00AA6D29" w:rsidRPr="00FE560E">
        <w:t xml:space="preserve"> </w:t>
      </w:r>
      <w:r w:rsidR="00FE560E" w:rsidRPr="00FE560E">
        <w:t xml:space="preserve">de </w:t>
      </w:r>
      <w:r w:rsidR="00AA6D29">
        <w:t>3</w:t>
      </w:r>
      <w:r w:rsidR="00FE560E" w:rsidRPr="00FE560E">
        <w:t>00</w:t>
      </w:r>
      <w:r w:rsidR="004305D6">
        <w:t> </w:t>
      </w:r>
      <w:r w:rsidR="00FE560E" w:rsidRPr="00FE560E">
        <w:t xml:space="preserve">%. Le </w:t>
      </w:r>
      <w:r w:rsidR="00456F42">
        <w:t>Sous-Comité</w:t>
      </w:r>
      <w:r w:rsidR="00FE560E" w:rsidRPr="00FE560E">
        <w:t xml:space="preserve"> a constaté avec préoccupation que la prison était divisée en deux parties</w:t>
      </w:r>
      <w:r w:rsidR="004305D6">
        <w:t>,</w:t>
      </w:r>
      <w:r w:rsidR="00FE560E" w:rsidRPr="00FE560E">
        <w:t xml:space="preserve"> la « grande cour » et la « petite cour ». </w:t>
      </w:r>
      <w:r w:rsidR="006D16E2">
        <w:t>Si l</w:t>
      </w:r>
      <w:r w:rsidR="00FE560E" w:rsidRPr="00FE560E">
        <w:t>es conditions de détention au sein de cette dernière étaient</w:t>
      </w:r>
      <w:r w:rsidR="006D16E2">
        <w:t xml:space="preserve"> sup</w:t>
      </w:r>
      <w:r w:rsidR="006D16E2" w:rsidRPr="009177FD">
        <w:t>érieures</w:t>
      </w:r>
      <w:r w:rsidR="006D16E2">
        <w:t xml:space="preserve">, </w:t>
      </w:r>
      <w:r w:rsidR="00FE560E" w:rsidRPr="00FE560E">
        <w:t>au sein de la « grande cour »</w:t>
      </w:r>
      <w:r w:rsidR="0050707C">
        <w:t>,</w:t>
      </w:r>
      <w:r w:rsidR="00FE560E" w:rsidRPr="00FE560E">
        <w:t xml:space="preserve"> </w:t>
      </w:r>
      <w:r w:rsidR="006D16E2">
        <w:t xml:space="preserve">elles </w:t>
      </w:r>
      <w:r w:rsidR="00FE560E" w:rsidRPr="00FE560E">
        <w:t xml:space="preserve">étaient inadéquates et ne remplissaient pas les exigences fixées par les </w:t>
      </w:r>
      <w:r w:rsidR="00FE560E" w:rsidRPr="00384A9E">
        <w:t xml:space="preserve">Règles </w:t>
      </w:r>
      <w:r w:rsidR="00384A9E" w:rsidRPr="006C5D31">
        <w:rPr>
          <w:bCs/>
        </w:rPr>
        <w:t>Nelson Mandela</w:t>
      </w:r>
      <w:r w:rsidR="00FE560E" w:rsidRPr="00384A9E">
        <w:t>. Le</w:t>
      </w:r>
      <w:r w:rsidR="00FE560E" w:rsidRPr="00FE560E">
        <w:t xml:space="preserve"> </w:t>
      </w:r>
      <w:r w:rsidR="00456F42">
        <w:t>Sous-Comité</w:t>
      </w:r>
      <w:r w:rsidR="00FE560E" w:rsidRPr="00FE560E">
        <w:t xml:space="preserve"> a relevé que certaines cellules des bâtiments de la gran</w:t>
      </w:r>
      <w:r w:rsidR="008C78FC">
        <w:t>de cour étaient surpeuplées. Le </w:t>
      </w:r>
      <w:r w:rsidR="00FE560E" w:rsidRPr="00FE560E">
        <w:t>bâtiment</w:t>
      </w:r>
      <w:r w:rsidR="00D20453">
        <w:t> </w:t>
      </w:r>
      <w:r w:rsidR="00FE560E" w:rsidRPr="00FE560E">
        <w:t>G était en état de surpopulation chronique et de grande insalubrité. Certains détenus n’avaient pas de matelas et dormaient sur des nattes. Les toilettes étaient également insalubre</w:t>
      </w:r>
      <w:r w:rsidR="00D20453">
        <w:t>s</w:t>
      </w:r>
      <w:r w:rsidR="00FE560E" w:rsidRPr="00FE560E">
        <w:t xml:space="preserve">. </w:t>
      </w:r>
      <w:r w:rsidR="004305D6">
        <w:t xml:space="preserve">Il est ressorti des </w:t>
      </w:r>
      <w:r w:rsidR="00FE560E" w:rsidRPr="00FE560E">
        <w:t xml:space="preserve">entretiens </w:t>
      </w:r>
      <w:r w:rsidR="004305D6">
        <w:t xml:space="preserve">que le Sous-Comité a eus </w:t>
      </w:r>
      <w:r w:rsidR="00FE560E" w:rsidRPr="00FE560E">
        <w:t>avec les détenus</w:t>
      </w:r>
      <w:r w:rsidR="004305D6">
        <w:t xml:space="preserve"> </w:t>
      </w:r>
      <w:r w:rsidR="00FE560E" w:rsidRPr="00FE560E">
        <w:t xml:space="preserve">que la nourriture était insuffisante en quantité et en qualité. Le </w:t>
      </w:r>
      <w:r w:rsidR="00456F42">
        <w:t>Sous-Comité</w:t>
      </w:r>
      <w:r w:rsidR="00FE560E" w:rsidRPr="00FE560E">
        <w:t xml:space="preserve"> reste préoccupé par les mauvaises conditions de détention dans cette prison. </w:t>
      </w:r>
    </w:p>
    <w:p w14:paraId="5F03453C" w14:textId="1703982F" w:rsidR="00FE560E" w:rsidRPr="00FE560E" w:rsidRDefault="00F92E5E" w:rsidP="001D1C14">
      <w:pPr>
        <w:pStyle w:val="H4G"/>
        <w:outlineLvl w:val="0"/>
      </w:pPr>
      <w:r>
        <w:tab/>
        <w:t>c)</w:t>
      </w:r>
      <w:r>
        <w:tab/>
      </w:r>
      <w:r w:rsidR="00FE560E" w:rsidRPr="00FE560E">
        <w:t>Prison civile d</w:t>
      </w:r>
      <w:r w:rsidR="00F94E26">
        <w:t>’</w:t>
      </w:r>
      <w:proofErr w:type="spellStart"/>
      <w:r w:rsidR="00FE560E" w:rsidRPr="00FE560E">
        <w:t>Akpro-Miss</w:t>
      </w:r>
      <w:r w:rsidR="00F94E26">
        <w:t>é</w:t>
      </w:r>
      <w:r w:rsidR="00FE560E" w:rsidRPr="00FE560E">
        <w:t>r</w:t>
      </w:r>
      <w:r w:rsidR="00F94E26">
        <w:t>é</w:t>
      </w:r>
      <w:r w:rsidR="00FE560E" w:rsidRPr="00FE560E">
        <w:t>t</w:t>
      </w:r>
      <w:r w:rsidR="00F94E26">
        <w:t>é</w:t>
      </w:r>
      <w:proofErr w:type="spellEnd"/>
    </w:p>
    <w:p w14:paraId="1B83F9CC" w14:textId="5F8A101D" w:rsidR="00FE560E" w:rsidRPr="00FE560E" w:rsidRDefault="00D43F72" w:rsidP="00F92E5E">
      <w:pPr>
        <w:pStyle w:val="SingleTxtG"/>
      </w:pPr>
      <w:r>
        <w:t>4</w:t>
      </w:r>
      <w:r w:rsidR="00F97EBB">
        <w:t>7</w:t>
      </w:r>
      <w:r w:rsidR="00F92E5E">
        <w:t>.</w:t>
      </w:r>
      <w:r w:rsidR="00F92E5E">
        <w:tab/>
      </w:r>
      <w:r w:rsidR="00FE560E" w:rsidRPr="00FE560E">
        <w:t xml:space="preserve">Au moment de la visite du </w:t>
      </w:r>
      <w:r w:rsidR="00456F42">
        <w:t>Sous-Comité</w:t>
      </w:r>
      <w:r w:rsidR="00FE560E" w:rsidRPr="00FE560E">
        <w:t>, la prison civile d’</w:t>
      </w:r>
      <w:proofErr w:type="spellStart"/>
      <w:r w:rsidR="00FE560E" w:rsidRPr="00FE560E">
        <w:t>Akpro-Missérété</w:t>
      </w:r>
      <w:proofErr w:type="spellEnd"/>
      <w:r w:rsidR="00FE560E" w:rsidRPr="00FE560E">
        <w:t xml:space="preserve"> abritait </w:t>
      </w:r>
      <w:r w:rsidR="00FE560E" w:rsidRPr="0087483B">
        <w:t>581</w:t>
      </w:r>
      <w:r w:rsidR="00FE560E" w:rsidRPr="00FE560E">
        <w:t xml:space="preserve"> détenus pour</w:t>
      </w:r>
      <w:r w:rsidR="00D85A95">
        <w:t xml:space="preserve"> </w:t>
      </w:r>
      <w:r w:rsidR="00FE560E" w:rsidRPr="00FE560E">
        <w:t>une capacité de 1</w:t>
      </w:r>
      <w:r w:rsidR="004B4808">
        <w:t> </w:t>
      </w:r>
      <w:r w:rsidR="00FE560E" w:rsidRPr="00FE560E">
        <w:t>000 places</w:t>
      </w:r>
      <w:r w:rsidR="00FE560E" w:rsidRPr="003455EF">
        <w:t>, dont 64 inculpés et 517</w:t>
      </w:r>
      <w:r w:rsidR="00FE560E" w:rsidRPr="00E20F18">
        <w:t xml:space="preserve"> condamnés parmi </w:t>
      </w:r>
      <w:r w:rsidR="00FE560E" w:rsidRPr="00E20F18">
        <w:lastRenderedPageBreak/>
        <w:t xml:space="preserve">lesquels se trouvaient 14 condamnés à mort ainsi que 12 détenus du Tribunal pénal international pour le Rwanda. Selon les autorités de la prison, le personnel était composé de 16 surveillants et cette équipe était renforcée par 10 militaires qui assuraient la sécurité extérieure de la prison. S’y ajoutait un personnel civil composé d’un infirmier permanent, d’un greffier et d’une secrétaire. </w:t>
      </w:r>
      <w:r w:rsidR="006D16E2" w:rsidRPr="00E20F18">
        <w:t>C</w:t>
      </w:r>
      <w:r w:rsidR="00FE560E" w:rsidRPr="00E20F18">
        <w:t xml:space="preserve">ertains bâtiments étaient déjà dans un certain état de délabrement. </w:t>
      </w:r>
      <w:r w:rsidR="006D16E2" w:rsidRPr="00E20F18">
        <w:t>L</w:t>
      </w:r>
      <w:r w:rsidR="00FE560E" w:rsidRPr="00E20F18">
        <w:t xml:space="preserve">e quartier abritant les détenus </w:t>
      </w:r>
      <w:r w:rsidR="00C32A56" w:rsidRPr="00E20F18">
        <w:t xml:space="preserve">du Tribunal pénal international pour le Rwanda </w:t>
      </w:r>
      <w:r w:rsidR="00FE560E" w:rsidRPr="00E20F18">
        <w:t>offrait de très bonnes conditions de détention</w:t>
      </w:r>
      <w:r w:rsidR="00F362ED" w:rsidRPr="00E20F18">
        <w:t>.</w:t>
      </w:r>
      <w:r w:rsidR="006D16E2" w:rsidRPr="00E20F18">
        <w:t xml:space="preserve"> </w:t>
      </w:r>
      <w:r w:rsidR="00F362ED" w:rsidRPr="00E20F18">
        <w:t>D</w:t>
      </w:r>
      <w:r w:rsidR="00FE560E" w:rsidRPr="00E20F18">
        <w:t>ans les autres</w:t>
      </w:r>
      <w:r w:rsidR="00FE560E" w:rsidRPr="00FE560E">
        <w:t xml:space="preserve"> quartiers, les détenus vivaient dans une certaine salubrité et avaient accès à l’eau, </w:t>
      </w:r>
      <w:r w:rsidR="00D20453">
        <w:t xml:space="preserve">à des </w:t>
      </w:r>
      <w:r w:rsidR="00FE560E" w:rsidRPr="00FE560E">
        <w:t xml:space="preserve">toilettes et </w:t>
      </w:r>
      <w:r w:rsidR="00D20453">
        <w:t xml:space="preserve">à des </w:t>
      </w:r>
      <w:r w:rsidR="00FE560E" w:rsidRPr="00FE560E">
        <w:t>douches</w:t>
      </w:r>
      <w:r w:rsidR="00F362ED">
        <w:t>,</w:t>
      </w:r>
      <w:r w:rsidR="00FC280D">
        <w:t xml:space="preserve"> à </w:t>
      </w:r>
      <w:r w:rsidR="00FE560E" w:rsidRPr="00FE560E">
        <w:t xml:space="preserve">l’intérieur des bâtiments. </w:t>
      </w:r>
    </w:p>
    <w:p w14:paraId="3112C946" w14:textId="77777777" w:rsidR="00FE560E" w:rsidRPr="00FE560E" w:rsidRDefault="00F862BF" w:rsidP="001D1C14">
      <w:pPr>
        <w:pStyle w:val="H23G"/>
        <w:outlineLvl w:val="0"/>
      </w:pPr>
      <w:r>
        <w:tab/>
        <w:t>2</w:t>
      </w:r>
      <w:r w:rsidR="00F92E5E">
        <w:t>.</w:t>
      </w:r>
      <w:r w:rsidR="00F92E5E">
        <w:tab/>
      </w:r>
      <w:r w:rsidR="00FE560E" w:rsidRPr="00FE560E">
        <w:t>Séparation des détenus</w:t>
      </w:r>
    </w:p>
    <w:p w14:paraId="38C044D1" w14:textId="3C767B1B" w:rsidR="00FE560E" w:rsidRPr="00F92E5E" w:rsidRDefault="00F97EBB" w:rsidP="00F92E5E">
      <w:pPr>
        <w:pStyle w:val="SingleTxtG"/>
        <w:rPr>
          <w:rStyle w:val="SingleTxtGChar"/>
        </w:rPr>
      </w:pPr>
      <w:r>
        <w:rPr>
          <w:rStyle w:val="SingleTxtGChar"/>
        </w:rPr>
        <w:t>48</w:t>
      </w:r>
      <w:r w:rsidR="007F507D">
        <w:rPr>
          <w:rStyle w:val="SingleTxtGChar"/>
        </w:rPr>
        <w:t>.</w:t>
      </w:r>
      <w:r w:rsidR="007F507D">
        <w:rPr>
          <w:rStyle w:val="SingleTxtGChar"/>
        </w:rPr>
        <w:tab/>
      </w:r>
      <w:r w:rsidR="00FE560E" w:rsidRPr="00F92E5E">
        <w:rPr>
          <w:rStyle w:val="SingleTxtGChar"/>
        </w:rPr>
        <w:t xml:space="preserve">Le </w:t>
      </w:r>
      <w:r w:rsidR="00456F42">
        <w:rPr>
          <w:rStyle w:val="SingleTxtGChar"/>
        </w:rPr>
        <w:t>Sous-Comité</w:t>
      </w:r>
      <w:r w:rsidR="00FE560E" w:rsidRPr="00F92E5E">
        <w:rPr>
          <w:rStyle w:val="SingleTxtGChar"/>
        </w:rPr>
        <w:t xml:space="preserve"> a constaté</w:t>
      </w:r>
      <w:r w:rsidR="00D85A95">
        <w:rPr>
          <w:rStyle w:val="SingleTxtGChar"/>
        </w:rPr>
        <w:t xml:space="preserve"> </w:t>
      </w:r>
      <w:r w:rsidR="00FE560E" w:rsidRPr="00F92E5E">
        <w:rPr>
          <w:rStyle w:val="SingleTxtGChar"/>
        </w:rPr>
        <w:t xml:space="preserve">que la séparation des détenus selon l’âge et le sexe était respectée dans les prisons d’Abomey et de Cotonou. Le </w:t>
      </w:r>
      <w:r w:rsidR="00456F42">
        <w:rPr>
          <w:rStyle w:val="SingleTxtGChar"/>
        </w:rPr>
        <w:t>Sous-Comité</w:t>
      </w:r>
      <w:r w:rsidR="00FE560E" w:rsidRPr="00F92E5E">
        <w:rPr>
          <w:rStyle w:val="SingleTxtGChar"/>
        </w:rPr>
        <w:t xml:space="preserve"> reste préoccupé de ce que l’</w:t>
      </w:r>
      <w:r w:rsidR="00DC5639">
        <w:rPr>
          <w:rStyle w:val="SingleTxtGChar"/>
        </w:rPr>
        <w:t>État</w:t>
      </w:r>
      <w:r w:rsidR="00FE560E" w:rsidRPr="00F92E5E">
        <w:rPr>
          <w:rStyle w:val="SingleTxtGChar"/>
        </w:rPr>
        <w:t xml:space="preserve"> partie n’a pas encore assuré dans la pratique le principe de la séparation selon le statut de la détention au sein des prisons visitées. Néanmoins, à la prison d’</w:t>
      </w:r>
      <w:proofErr w:type="spellStart"/>
      <w:r w:rsidR="00FE560E" w:rsidRPr="00F92E5E">
        <w:rPr>
          <w:rStyle w:val="SingleTxtGChar"/>
        </w:rPr>
        <w:t>Akpro-Missérété</w:t>
      </w:r>
      <w:proofErr w:type="spellEnd"/>
      <w:r w:rsidR="00FE560E" w:rsidRPr="00F92E5E">
        <w:rPr>
          <w:rStyle w:val="SingleTxtGChar"/>
        </w:rPr>
        <w:t xml:space="preserve">, </w:t>
      </w:r>
      <w:r w:rsidR="00F362ED">
        <w:rPr>
          <w:rStyle w:val="SingleTxtGChar"/>
        </w:rPr>
        <w:t>l</w:t>
      </w:r>
      <w:r w:rsidR="00FE560E" w:rsidRPr="00F92E5E">
        <w:rPr>
          <w:rStyle w:val="SingleTxtGChar"/>
        </w:rPr>
        <w:t xml:space="preserve">e </w:t>
      </w:r>
      <w:r w:rsidR="00456F42">
        <w:rPr>
          <w:rStyle w:val="SingleTxtGChar"/>
        </w:rPr>
        <w:t>Sous-Comité</w:t>
      </w:r>
      <w:r w:rsidR="00FE560E" w:rsidRPr="00F92E5E">
        <w:rPr>
          <w:rStyle w:val="SingleTxtGChar"/>
        </w:rPr>
        <w:t xml:space="preserve"> a constaté que les condamnés à mort étaient séparés des autres détenus. </w:t>
      </w:r>
    </w:p>
    <w:p w14:paraId="431CDD38" w14:textId="77777777" w:rsidR="00FE560E" w:rsidRPr="00FE560E" w:rsidRDefault="00F862BF" w:rsidP="001D1C14">
      <w:pPr>
        <w:pStyle w:val="H23G"/>
        <w:outlineLvl w:val="0"/>
      </w:pPr>
      <w:r>
        <w:tab/>
        <w:t>3</w:t>
      </w:r>
      <w:r w:rsidR="00F92E5E">
        <w:t>.</w:t>
      </w:r>
      <w:r w:rsidR="00F92E5E">
        <w:tab/>
      </w:r>
      <w:r w:rsidR="00FE560E" w:rsidRPr="00FE560E">
        <w:t>Registres</w:t>
      </w:r>
      <w:r w:rsidR="00D85A95">
        <w:t xml:space="preserve"> </w:t>
      </w:r>
    </w:p>
    <w:p w14:paraId="455F7846" w14:textId="0C25863C" w:rsidR="00FE560E" w:rsidRPr="00FE560E" w:rsidRDefault="00F97EBB" w:rsidP="008918FC">
      <w:pPr>
        <w:pStyle w:val="SingleTxtG"/>
      </w:pPr>
      <w:r>
        <w:t>49</w:t>
      </w:r>
      <w:r w:rsidR="007F507D">
        <w:t>.</w:t>
      </w:r>
      <w:r w:rsidR="007F507D">
        <w:tab/>
      </w:r>
      <w:r w:rsidR="00FE560E" w:rsidRPr="00FE560E">
        <w:t xml:space="preserve">Le </w:t>
      </w:r>
      <w:r w:rsidR="00456F42">
        <w:t>Sous-Comité</w:t>
      </w:r>
      <w:r w:rsidR="00FE560E" w:rsidRPr="00FE560E">
        <w:t xml:space="preserve"> a constaté que les prisons disposaient de plusieurs registres qui étaient bien tenus de manière générale et qui contenaient d</w:t>
      </w:r>
      <w:r w:rsidR="00FC280D">
        <w:t>es informations pertinentes. Le </w:t>
      </w:r>
      <w:r w:rsidR="00456F42">
        <w:t>Sous-Comité</w:t>
      </w:r>
      <w:r w:rsidR="00FE560E" w:rsidRPr="00FE560E">
        <w:t xml:space="preserve"> reste préoccupé par la mauvaise tenue des registres à la prison civile d’Abomey, où il a constaté qu</w:t>
      </w:r>
      <w:r w:rsidR="00F362ED">
        <w:t>’ils étaient</w:t>
      </w:r>
      <w:r w:rsidR="00D85A95">
        <w:t xml:space="preserve"> </w:t>
      </w:r>
      <w:r w:rsidR="00FE560E" w:rsidRPr="00FE560E">
        <w:t>fortement</w:t>
      </w:r>
      <w:r w:rsidR="00D85A95">
        <w:t xml:space="preserve"> </w:t>
      </w:r>
      <w:r w:rsidR="00FE560E" w:rsidRPr="00FE560E">
        <w:t>délabrés avec des feuilles arrachées et ne pouvai</w:t>
      </w:r>
      <w:r w:rsidR="00F362ED">
        <w:t>en</w:t>
      </w:r>
      <w:r w:rsidR="00FE560E" w:rsidRPr="00FE560E">
        <w:t xml:space="preserve">t constituer une véritable garantie de protection. </w:t>
      </w:r>
      <w:r w:rsidR="00393FA9">
        <w:t>À</w:t>
      </w:r>
      <w:r w:rsidR="00FE560E" w:rsidRPr="00FE560E">
        <w:t xml:space="preserve"> la prison civile de Cotonou, le </w:t>
      </w:r>
      <w:r w:rsidR="00456F42">
        <w:t>Sous-Comité</w:t>
      </w:r>
      <w:r w:rsidR="00FE560E" w:rsidRPr="00FE560E">
        <w:t xml:space="preserve"> a noté l’existence de registres </w:t>
      </w:r>
      <w:r w:rsidR="00F40065">
        <w:t xml:space="preserve">des </w:t>
      </w:r>
      <w:r w:rsidR="008918FC">
        <w:t>admissions</w:t>
      </w:r>
      <w:r w:rsidR="008918FC" w:rsidRPr="008918FC">
        <w:t xml:space="preserve">, </w:t>
      </w:r>
      <w:r w:rsidR="00FE560E" w:rsidRPr="008918FC">
        <w:t>d</w:t>
      </w:r>
      <w:r w:rsidR="008918FC" w:rsidRPr="0087483B">
        <w:t xml:space="preserve">es </w:t>
      </w:r>
      <w:r w:rsidR="00FE560E" w:rsidRPr="008918FC">
        <w:t>envoi</w:t>
      </w:r>
      <w:r w:rsidR="008918FC" w:rsidRPr="008918FC">
        <w:t>s</w:t>
      </w:r>
      <w:r w:rsidR="00FE560E" w:rsidRPr="008918FC">
        <w:t xml:space="preserve"> à l’hôpital </w:t>
      </w:r>
      <w:r w:rsidR="008918FC">
        <w:t xml:space="preserve">et </w:t>
      </w:r>
      <w:r w:rsidR="00FE560E" w:rsidRPr="008918FC">
        <w:t>de</w:t>
      </w:r>
      <w:r w:rsidR="008918FC">
        <w:t>s</w:t>
      </w:r>
      <w:r w:rsidR="00FE560E" w:rsidRPr="008918FC">
        <w:t xml:space="preserve"> décès à l’infirme</w:t>
      </w:r>
      <w:r w:rsidR="00FE560E" w:rsidRPr="00FE560E">
        <w:t>rie de la prison.</w:t>
      </w:r>
      <w:r w:rsidR="00FE560E" w:rsidRPr="00FE560E">
        <w:rPr>
          <w:b/>
        </w:rPr>
        <w:t xml:space="preserve"> </w:t>
      </w:r>
      <w:r w:rsidR="00393FA9">
        <w:t>À</w:t>
      </w:r>
      <w:r w:rsidR="00FE560E" w:rsidRPr="00FE560E">
        <w:t xml:space="preserve"> la prison civile d’</w:t>
      </w:r>
      <w:proofErr w:type="spellStart"/>
      <w:r w:rsidR="00FE560E" w:rsidRPr="00FE560E">
        <w:t>Akpro-Missérété</w:t>
      </w:r>
      <w:proofErr w:type="spellEnd"/>
      <w:r w:rsidR="00FE560E" w:rsidRPr="00FE560E">
        <w:t xml:space="preserve">, le </w:t>
      </w:r>
      <w:r w:rsidR="00456F42">
        <w:t>Sous-Comité</w:t>
      </w:r>
      <w:r w:rsidR="00FE560E" w:rsidRPr="00FE560E">
        <w:t xml:space="preserve"> a étudié les registres de l’infirmerie notamment les registres de consultations où étaient également consignés les décès survenus à la prison, les </w:t>
      </w:r>
      <w:r w:rsidR="00FE560E" w:rsidRPr="003455EF">
        <w:t xml:space="preserve">registres </w:t>
      </w:r>
      <w:r w:rsidR="00FE560E" w:rsidRPr="00E20F18">
        <w:t>d</w:t>
      </w:r>
      <w:r w:rsidR="00F362ED" w:rsidRPr="00E20F18">
        <w:t>’</w:t>
      </w:r>
      <w:r w:rsidR="00FE560E" w:rsidRPr="00E20F18">
        <w:t xml:space="preserve">extractions médicales et les registres de consultations médicales des détenus du </w:t>
      </w:r>
      <w:r w:rsidR="00F40065" w:rsidRPr="00E20F18">
        <w:t>Tribunal pénal international pour le Rwanda</w:t>
      </w:r>
      <w:r w:rsidR="00FE560E" w:rsidRPr="00E20F18">
        <w:t>.</w:t>
      </w:r>
      <w:r w:rsidR="00FE560E" w:rsidRPr="00FE560E">
        <w:t xml:space="preserve"> </w:t>
      </w:r>
      <w:r w:rsidR="00FC280D">
        <w:t>Le </w:t>
      </w:r>
      <w:r w:rsidR="00F40065">
        <w:t xml:space="preserve">Sous-Comité </w:t>
      </w:r>
      <w:r w:rsidR="00FE560E" w:rsidRPr="00FE560E">
        <w:t xml:space="preserve">a noté que l’infirmerie ne disposait </w:t>
      </w:r>
      <w:r w:rsidR="00F362ED">
        <w:t xml:space="preserve">pas </w:t>
      </w:r>
      <w:r w:rsidR="00FE560E" w:rsidRPr="00FE560E">
        <w:t xml:space="preserve">de registres </w:t>
      </w:r>
      <w:r w:rsidR="008918FC">
        <w:t>des admissions</w:t>
      </w:r>
      <w:r w:rsidR="00FE560E" w:rsidRPr="008918FC">
        <w:t>,</w:t>
      </w:r>
      <w:r w:rsidR="00FE560E" w:rsidRPr="00FE560E">
        <w:t xml:space="preserve"> ni de registres de</w:t>
      </w:r>
      <w:r w:rsidR="00B44208">
        <w:t>s</w:t>
      </w:r>
      <w:r w:rsidR="00FE560E" w:rsidRPr="00FE560E">
        <w:t xml:space="preserve"> décès</w:t>
      </w:r>
      <w:r w:rsidR="00F362ED">
        <w:t>.</w:t>
      </w:r>
      <w:r w:rsidR="00FE560E" w:rsidRPr="00FE560E">
        <w:t xml:space="preserve"> Le </w:t>
      </w:r>
      <w:r w:rsidR="00456F42">
        <w:t>Sous-Comité</w:t>
      </w:r>
      <w:r w:rsidR="00FE560E" w:rsidRPr="00FE560E">
        <w:t xml:space="preserve"> est </w:t>
      </w:r>
      <w:r w:rsidR="00F362ED">
        <w:t xml:space="preserve">aussi </w:t>
      </w:r>
      <w:r w:rsidR="00FE560E" w:rsidRPr="00FE560E">
        <w:t>préoccupé par l’absence de registres de plaintes dans les lieux visités.</w:t>
      </w:r>
      <w:r w:rsidR="00D85A95">
        <w:t xml:space="preserve"> </w:t>
      </w:r>
    </w:p>
    <w:p w14:paraId="7A95E17B" w14:textId="25C311D5" w:rsidR="00FE560E" w:rsidRPr="00FE560E" w:rsidRDefault="00D43F72" w:rsidP="007F507D">
      <w:pPr>
        <w:pStyle w:val="SingleTxtG"/>
        <w:rPr>
          <w:b/>
        </w:rPr>
      </w:pPr>
      <w:r>
        <w:t>5</w:t>
      </w:r>
      <w:r w:rsidR="00F97EBB">
        <w:t>0</w:t>
      </w:r>
      <w:r w:rsidR="007F507D" w:rsidRPr="007F507D">
        <w:t>.</w:t>
      </w:r>
      <w:r w:rsidR="007F507D">
        <w:rPr>
          <w:b/>
        </w:rPr>
        <w:tab/>
      </w:r>
      <w:r w:rsidR="00FE560E" w:rsidRPr="00FE560E">
        <w:rPr>
          <w:b/>
        </w:rPr>
        <w:t xml:space="preserve">Le </w:t>
      </w:r>
      <w:r w:rsidR="00456F42">
        <w:rPr>
          <w:b/>
        </w:rPr>
        <w:t>Sous-Comité</w:t>
      </w:r>
      <w:r w:rsidR="00FE560E" w:rsidRPr="00FE560E">
        <w:rPr>
          <w:b/>
        </w:rPr>
        <w:t xml:space="preserve"> recommande</w:t>
      </w:r>
      <w:r w:rsidR="00223B78">
        <w:rPr>
          <w:b/>
        </w:rPr>
        <w:t xml:space="preserve"> </w:t>
      </w:r>
      <w:r w:rsidR="00FE560E" w:rsidRPr="00FE560E">
        <w:rPr>
          <w:b/>
        </w:rPr>
        <w:t>à l’</w:t>
      </w:r>
      <w:r w:rsidR="00DC5639">
        <w:rPr>
          <w:b/>
        </w:rPr>
        <w:t>État</w:t>
      </w:r>
      <w:r w:rsidR="00FE560E" w:rsidRPr="00FE560E">
        <w:rPr>
          <w:b/>
        </w:rPr>
        <w:t xml:space="preserve"> partie </w:t>
      </w:r>
      <w:r w:rsidR="00F362ED">
        <w:rPr>
          <w:b/>
        </w:rPr>
        <w:t>de</w:t>
      </w:r>
      <w:r w:rsidR="00FE560E" w:rsidRPr="00FE560E">
        <w:rPr>
          <w:b/>
        </w:rPr>
        <w:t xml:space="preserve"> prendre des mesures fortes afin de réduire la surpopulation carcérale constatée dans la prison de Cotonou et d’améliorer les conditions de détention dans les quartiers de la « grande cour » notamment en </w:t>
      </w:r>
      <w:r w:rsidR="00223B78">
        <w:rPr>
          <w:b/>
        </w:rPr>
        <w:t xml:space="preserve">veillant à ce </w:t>
      </w:r>
      <w:r w:rsidR="00FE560E" w:rsidRPr="00FE560E">
        <w:rPr>
          <w:b/>
        </w:rPr>
        <w:t xml:space="preserve">que les détenus </w:t>
      </w:r>
      <w:r w:rsidR="00223B78">
        <w:rPr>
          <w:b/>
        </w:rPr>
        <w:t>aie</w:t>
      </w:r>
      <w:r w:rsidR="00FE560E" w:rsidRPr="00FE560E">
        <w:rPr>
          <w:b/>
        </w:rPr>
        <w:t>nt un espace raisonnable et disposent de matelas pour dormir. Il recommande aussi à l’</w:t>
      </w:r>
      <w:r w:rsidR="00DC5639">
        <w:rPr>
          <w:b/>
        </w:rPr>
        <w:t>État</w:t>
      </w:r>
      <w:r w:rsidR="00FE560E" w:rsidRPr="00FE560E">
        <w:rPr>
          <w:b/>
        </w:rPr>
        <w:t xml:space="preserve"> partie de faire </w:t>
      </w:r>
      <w:r w:rsidR="00F362ED">
        <w:rPr>
          <w:b/>
        </w:rPr>
        <w:t xml:space="preserve">un </w:t>
      </w:r>
      <w:r w:rsidR="00FE560E" w:rsidRPr="00FE560E">
        <w:rPr>
          <w:b/>
        </w:rPr>
        <w:t xml:space="preserve">recours fréquent aux différentes mesures alternatives à la privation de liberté. </w:t>
      </w:r>
    </w:p>
    <w:p w14:paraId="62F81388" w14:textId="5AC21654" w:rsidR="00FE560E" w:rsidRPr="00FE560E" w:rsidRDefault="00D43F72" w:rsidP="004A5C2A">
      <w:pPr>
        <w:pStyle w:val="SingleTxtG"/>
        <w:rPr>
          <w:b/>
        </w:rPr>
      </w:pPr>
      <w:r>
        <w:t>5</w:t>
      </w:r>
      <w:r w:rsidR="00F97EBB">
        <w:t>1</w:t>
      </w:r>
      <w:r w:rsidR="007F507D" w:rsidRPr="007F507D">
        <w:t>.</w:t>
      </w:r>
      <w:r w:rsidR="007F507D">
        <w:rPr>
          <w:b/>
        </w:rPr>
        <w:tab/>
      </w:r>
      <w:r w:rsidR="00FE560E" w:rsidRPr="00FE560E">
        <w:rPr>
          <w:b/>
        </w:rPr>
        <w:t xml:space="preserve">Le </w:t>
      </w:r>
      <w:r w:rsidR="00456F42">
        <w:rPr>
          <w:b/>
        </w:rPr>
        <w:t>Sous-Comité</w:t>
      </w:r>
      <w:r w:rsidR="00FE560E" w:rsidRPr="00FE560E">
        <w:rPr>
          <w:b/>
        </w:rPr>
        <w:t xml:space="preserve"> recommande, en urgence, à l’</w:t>
      </w:r>
      <w:r w:rsidR="00DC5639">
        <w:rPr>
          <w:b/>
        </w:rPr>
        <w:t>État</w:t>
      </w:r>
      <w:r w:rsidR="00FE560E" w:rsidRPr="00FE560E">
        <w:rPr>
          <w:b/>
        </w:rPr>
        <w:t xml:space="preserve"> partie de finaliser les travaux des nouvelles prisons, d’y transférer les détenus de la prison d’Abomey et de fermer </w:t>
      </w:r>
      <w:r w:rsidR="00F362ED">
        <w:rPr>
          <w:b/>
        </w:rPr>
        <w:t>cette dernière</w:t>
      </w:r>
      <w:r w:rsidR="00FE560E" w:rsidRPr="00FE560E">
        <w:rPr>
          <w:b/>
        </w:rPr>
        <w:t>.</w:t>
      </w:r>
      <w:r w:rsidR="00D85A95">
        <w:rPr>
          <w:b/>
        </w:rPr>
        <w:t xml:space="preserve"> </w:t>
      </w:r>
      <w:r w:rsidR="00FE560E" w:rsidRPr="00FE560E">
        <w:rPr>
          <w:b/>
        </w:rPr>
        <w:t xml:space="preserve">Le </w:t>
      </w:r>
      <w:r w:rsidR="00456F42">
        <w:rPr>
          <w:b/>
        </w:rPr>
        <w:t>Sous-Comité</w:t>
      </w:r>
      <w:r w:rsidR="00FE560E" w:rsidRPr="00FE560E">
        <w:rPr>
          <w:b/>
        </w:rPr>
        <w:t xml:space="preserve"> </w:t>
      </w:r>
      <w:r w:rsidR="00223B78">
        <w:rPr>
          <w:b/>
        </w:rPr>
        <w:t xml:space="preserve">demande </w:t>
      </w:r>
      <w:r w:rsidR="00FE560E" w:rsidRPr="00FE560E">
        <w:rPr>
          <w:b/>
        </w:rPr>
        <w:t xml:space="preserve">aussi </w:t>
      </w:r>
      <w:r w:rsidR="00190367">
        <w:rPr>
          <w:b/>
        </w:rPr>
        <w:t xml:space="preserve">à </w:t>
      </w:r>
      <w:r w:rsidR="00FE560E" w:rsidRPr="00FE560E">
        <w:rPr>
          <w:b/>
        </w:rPr>
        <w:t>l’</w:t>
      </w:r>
      <w:r w:rsidR="00DC5639">
        <w:rPr>
          <w:b/>
        </w:rPr>
        <w:t>État</w:t>
      </w:r>
      <w:r w:rsidR="00FE560E" w:rsidRPr="00FE560E">
        <w:rPr>
          <w:b/>
        </w:rPr>
        <w:t xml:space="preserve"> partie</w:t>
      </w:r>
      <w:r w:rsidR="008C78FC">
        <w:rPr>
          <w:b/>
        </w:rPr>
        <w:t xml:space="preserve"> </w:t>
      </w:r>
      <w:r w:rsidR="004A5C2A">
        <w:rPr>
          <w:b/>
        </w:rPr>
        <w:t xml:space="preserve">de </w:t>
      </w:r>
      <w:r w:rsidR="00FE560E" w:rsidRPr="00B44208">
        <w:rPr>
          <w:b/>
        </w:rPr>
        <w:t>s’assurer</w:t>
      </w:r>
      <w:r w:rsidR="00FE560E" w:rsidRPr="00FE560E">
        <w:rPr>
          <w:b/>
        </w:rPr>
        <w:t xml:space="preserve"> que les autorités abolissent les différences de conditions de détention au sein de la prison de Cotonou et </w:t>
      </w:r>
      <w:r w:rsidR="00B44208">
        <w:rPr>
          <w:b/>
        </w:rPr>
        <w:t xml:space="preserve">de </w:t>
      </w:r>
      <w:r w:rsidR="00FE560E" w:rsidRPr="00B44208">
        <w:rPr>
          <w:b/>
        </w:rPr>
        <w:t>faire</w:t>
      </w:r>
      <w:r w:rsidR="00FE560E" w:rsidRPr="00FE560E">
        <w:rPr>
          <w:b/>
        </w:rPr>
        <w:t xml:space="preserve"> de sorte que tous les détenus soient traités sur un pied d’égalité. L’</w:t>
      </w:r>
      <w:r w:rsidR="00DC5639">
        <w:rPr>
          <w:b/>
        </w:rPr>
        <w:t>État</w:t>
      </w:r>
      <w:r w:rsidR="00FE560E" w:rsidRPr="00FE560E">
        <w:rPr>
          <w:b/>
        </w:rPr>
        <w:t xml:space="preserve"> partie devrait</w:t>
      </w:r>
      <w:r w:rsidR="00F362ED">
        <w:rPr>
          <w:b/>
        </w:rPr>
        <w:t>, en outre,</w:t>
      </w:r>
      <w:r w:rsidR="00F362ED" w:rsidRPr="00FE560E">
        <w:rPr>
          <w:b/>
        </w:rPr>
        <w:t xml:space="preserve"> </w:t>
      </w:r>
      <w:r w:rsidR="00FE560E" w:rsidRPr="00FE560E">
        <w:rPr>
          <w:b/>
        </w:rPr>
        <w:t xml:space="preserve">garantir la séparation des différentes catégories de détenus, en </w:t>
      </w:r>
      <w:r w:rsidR="00F362ED">
        <w:rPr>
          <w:b/>
        </w:rPr>
        <w:t xml:space="preserve">observant en </w:t>
      </w:r>
      <w:r w:rsidR="00FE560E" w:rsidRPr="00FE560E">
        <w:rPr>
          <w:b/>
        </w:rPr>
        <w:t>particulier une stricte séparation</w:t>
      </w:r>
      <w:r w:rsidR="00223B78">
        <w:rPr>
          <w:b/>
        </w:rPr>
        <w:t>, d’une part,</w:t>
      </w:r>
      <w:r w:rsidR="00FE560E" w:rsidRPr="00FE560E">
        <w:rPr>
          <w:b/>
        </w:rPr>
        <w:t xml:space="preserve"> </w:t>
      </w:r>
      <w:r w:rsidR="00223B78">
        <w:rPr>
          <w:b/>
        </w:rPr>
        <w:t xml:space="preserve">entre </w:t>
      </w:r>
      <w:r w:rsidR="00FE560E" w:rsidRPr="00FE560E">
        <w:rPr>
          <w:b/>
        </w:rPr>
        <w:t>mineurs et adultes</w:t>
      </w:r>
      <w:r w:rsidR="00F362ED">
        <w:rPr>
          <w:b/>
        </w:rPr>
        <w:t xml:space="preserve">, </w:t>
      </w:r>
      <w:r w:rsidR="00FE560E" w:rsidRPr="00FE560E">
        <w:rPr>
          <w:b/>
        </w:rPr>
        <w:t>et</w:t>
      </w:r>
      <w:r w:rsidR="00223B78">
        <w:rPr>
          <w:b/>
        </w:rPr>
        <w:t>, d’autre part,</w:t>
      </w:r>
      <w:r w:rsidR="00FE560E" w:rsidRPr="00FE560E">
        <w:rPr>
          <w:b/>
        </w:rPr>
        <w:t xml:space="preserve"> selon le statut de détention, conformément aux Règles </w:t>
      </w:r>
      <w:r w:rsidR="00384A9E" w:rsidRPr="006C5D31">
        <w:rPr>
          <w:b/>
        </w:rPr>
        <w:t>Nelson Mandela</w:t>
      </w:r>
      <w:r w:rsidR="00FE560E" w:rsidRPr="00FE560E">
        <w:rPr>
          <w:b/>
        </w:rPr>
        <w:t xml:space="preserve">. Il devrait veiller à ce que les registres des prisons soient bien tenus et uniformisés afin </w:t>
      </w:r>
      <w:r w:rsidR="00547E04">
        <w:rPr>
          <w:b/>
        </w:rPr>
        <w:t xml:space="preserve">de </w:t>
      </w:r>
      <w:r w:rsidR="00FE560E" w:rsidRPr="00FE560E">
        <w:rPr>
          <w:b/>
        </w:rPr>
        <w:t>constitue</w:t>
      </w:r>
      <w:r w:rsidR="00547E04">
        <w:rPr>
          <w:b/>
        </w:rPr>
        <w:t xml:space="preserve">r </w:t>
      </w:r>
      <w:r w:rsidR="00FE560E" w:rsidRPr="00FE560E">
        <w:rPr>
          <w:b/>
        </w:rPr>
        <w:t>une v</w:t>
      </w:r>
      <w:r w:rsidR="00F362ED">
        <w:rPr>
          <w:b/>
        </w:rPr>
        <w:t>éritable</w:t>
      </w:r>
      <w:r w:rsidR="00FE560E" w:rsidRPr="00FE560E">
        <w:rPr>
          <w:b/>
        </w:rPr>
        <w:t xml:space="preserve"> garantie contre les mauvais traitements. Les autorités des prisons devraient établir des registres de plaintes de détenus. </w:t>
      </w:r>
    </w:p>
    <w:p w14:paraId="62123F51" w14:textId="77777777" w:rsidR="00FE560E" w:rsidRPr="00FE560E" w:rsidRDefault="00F862BF" w:rsidP="001D1C14">
      <w:pPr>
        <w:pStyle w:val="H23G"/>
        <w:outlineLvl w:val="0"/>
        <w:rPr>
          <w:sz w:val="24"/>
        </w:rPr>
      </w:pPr>
      <w:r>
        <w:tab/>
        <w:t>4</w:t>
      </w:r>
      <w:r w:rsidR="007F507D">
        <w:t>.</w:t>
      </w:r>
      <w:r w:rsidR="007F507D">
        <w:tab/>
      </w:r>
      <w:r w:rsidR="00FE560E" w:rsidRPr="00FE560E">
        <w:t>Isolement</w:t>
      </w:r>
    </w:p>
    <w:p w14:paraId="7113EA61" w14:textId="7BDA8A18" w:rsidR="00FE560E" w:rsidRPr="00FE560E" w:rsidRDefault="00D43F72" w:rsidP="007F507D">
      <w:pPr>
        <w:pStyle w:val="SingleTxtG"/>
      </w:pPr>
      <w:r>
        <w:t>5</w:t>
      </w:r>
      <w:r w:rsidR="00F97EBB">
        <w:t>2</w:t>
      </w:r>
      <w:r w:rsidR="007F507D">
        <w:t>.</w:t>
      </w:r>
      <w:r w:rsidR="007F507D">
        <w:tab/>
      </w:r>
      <w:r w:rsidR="00FE560E" w:rsidRPr="00FE560E">
        <w:t xml:space="preserve">Le </w:t>
      </w:r>
      <w:r w:rsidR="00456F42">
        <w:t>Sous-Comité</w:t>
      </w:r>
      <w:r w:rsidR="00FE560E" w:rsidRPr="00FE560E">
        <w:t xml:space="preserve"> a constaté que les trois prisons visitées disposaient de cellules d’isolement. Le Comité est préoccupé par le fait que des détenus ont été placés en cellules d’isolement dans les prisons de Cotonou et d’</w:t>
      </w:r>
      <w:proofErr w:type="spellStart"/>
      <w:r w:rsidR="00FE560E" w:rsidRPr="00FE560E">
        <w:t>Akpro-Missérété</w:t>
      </w:r>
      <w:proofErr w:type="spellEnd"/>
      <w:r w:rsidR="00FE560E" w:rsidRPr="00FE560E">
        <w:t xml:space="preserve"> dans des conditions matérielles qui ne respe</w:t>
      </w:r>
      <w:r w:rsidR="00FE560E" w:rsidRPr="00A936AA">
        <w:t>ctent</w:t>
      </w:r>
      <w:r w:rsidR="00FE560E" w:rsidRPr="00FE560E">
        <w:t xml:space="preserve"> pas les normes. </w:t>
      </w:r>
      <w:r w:rsidR="00393FA9">
        <w:t>À</w:t>
      </w:r>
      <w:r w:rsidR="00FE560E" w:rsidRPr="00FE560E">
        <w:t xml:space="preserve"> la prison de Cotonou où le </w:t>
      </w:r>
      <w:r w:rsidR="00456F42">
        <w:t>Sous-Comité</w:t>
      </w:r>
      <w:r w:rsidR="00FE560E" w:rsidRPr="00FE560E">
        <w:t xml:space="preserve"> a visité deux cellules, il a constaté qu</w:t>
      </w:r>
      <w:r w:rsidR="004A4356">
        <w:t>e l</w:t>
      </w:r>
      <w:r w:rsidR="00FE560E" w:rsidRPr="00FE560E">
        <w:t>’une d’elles était sans ouverture</w:t>
      </w:r>
      <w:r w:rsidR="00871609">
        <w:t>,</w:t>
      </w:r>
      <w:r w:rsidR="00FE560E" w:rsidRPr="00FE560E">
        <w:t xml:space="preserve"> ni aération</w:t>
      </w:r>
      <w:r w:rsidR="004A4356">
        <w:t xml:space="preserve">, ni </w:t>
      </w:r>
      <w:r w:rsidR="00FE560E" w:rsidRPr="00FE560E">
        <w:t xml:space="preserve">ventilation et </w:t>
      </w:r>
      <w:r w:rsidR="004A4356">
        <w:t xml:space="preserve">que </w:t>
      </w:r>
      <w:r w:rsidR="00FE560E" w:rsidRPr="00FE560E">
        <w:t xml:space="preserve">la température y était inadéquate, tandis que l’autre était étroite et d’une </w:t>
      </w:r>
      <w:r w:rsidR="00FE560E" w:rsidRPr="00FE560E">
        <w:lastRenderedPageBreak/>
        <w:t>superficie de 2 mètres sur 6 sans ouverture et abritait 5 personnes. Cette cellule</w:t>
      </w:r>
      <w:r w:rsidR="00D85A95">
        <w:t xml:space="preserve"> </w:t>
      </w:r>
      <w:r w:rsidR="00FE560E" w:rsidRPr="00FE560E">
        <w:t xml:space="preserve">était dépourvue </w:t>
      </w:r>
      <w:r w:rsidR="004A4356">
        <w:t xml:space="preserve">de </w:t>
      </w:r>
      <w:r w:rsidR="00FE560E" w:rsidRPr="00FE560E">
        <w:t>point d’eau et il s’en dégageait une mauvaise odeur</w:t>
      </w:r>
      <w:r w:rsidR="004A4356">
        <w:t>.</w:t>
      </w:r>
    </w:p>
    <w:p w14:paraId="241370EB" w14:textId="017AB618" w:rsidR="00FE560E" w:rsidRPr="00FE560E" w:rsidRDefault="00D43F72" w:rsidP="007F507D">
      <w:pPr>
        <w:pStyle w:val="SingleTxtG"/>
      </w:pPr>
      <w:r>
        <w:t>5</w:t>
      </w:r>
      <w:r w:rsidR="00F97EBB">
        <w:t>3</w:t>
      </w:r>
      <w:r w:rsidR="007F507D">
        <w:t>.</w:t>
      </w:r>
      <w:r w:rsidR="007F507D">
        <w:tab/>
      </w:r>
      <w:r w:rsidR="00FE560E" w:rsidRPr="00FE560E">
        <w:t xml:space="preserve">Les autorités ont expliqué au </w:t>
      </w:r>
      <w:r w:rsidR="00456F42">
        <w:t>Sous-Comité</w:t>
      </w:r>
      <w:r w:rsidR="00FE560E" w:rsidRPr="00FE560E">
        <w:t xml:space="preserve"> que les détenus étaient placés </w:t>
      </w:r>
      <w:r w:rsidR="004A4356">
        <w:t>à l’</w:t>
      </w:r>
      <w:r w:rsidR="00FE560E" w:rsidRPr="00FE560E">
        <w:t>isolement</w:t>
      </w:r>
      <w:r w:rsidR="00D85A95">
        <w:t xml:space="preserve"> </w:t>
      </w:r>
      <w:r w:rsidR="00FE560E" w:rsidRPr="00FE560E">
        <w:t xml:space="preserve">pour des motifs de discipline et </w:t>
      </w:r>
      <w:r w:rsidR="00F362ED">
        <w:t xml:space="preserve">pour </w:t>
      </w:r>
      <w:r w:rsidR="004A4356">
        <w:t xml:space="preserve">des </w:t>
      </w:r>
      <w:r w:rsidR="00FE560E" w:rsidRPr="00FE560E">
        <w:t>infractions pénales graves</w:t>
      </w:r>
      <w:r w:rsidR="006D16E2">
        <w:t>,</w:t>
      </w:r>
      <w:r w:rsidR="00FE560E" w:rsidRPr="00FE560E">
        <w:t xml:space="preserve"> </w:t>
      </w:r>
      <w:r w:rsidR="006D16E2">
        <w:t>par</w:t>
      </w:r>
      <w:r w:rsidR="006D16E2" w:rsidRPr="00FE560E">
        <w:t xml:space="preserve"> </w:t>
      </w:r>
      <w:r w:rsidR="00FE560E" w:rsidRPr="00FE560E">
        <w:t xml:space="preserve">décision </w:t>
      </w:r>
      <w:r w:rsidR="006D16E2">
        <w:t>du</w:t>
      </w:r>
      <w:r w:rsidR="00FE560E" w:rsidRPr="00FE560E">
        <w:t xml:space="preserve"> Procureur général ou </w:t>
      </w:r>
      <w:r w:rsidR="0050707C">
        <w:t>du</w:t>
      </w:r>
      <w:r w:rsidR="00FE560E" w:rsidRPr="00FE560E">
        <w:t xml:space="preserve"> régisseur</w:t>
      </w:r>
      <w:r w:rsidR="0050707C">
        <w:t>,</w:t>
      </w:r>
      <w:r w:rsidR="00FE560E" w:rsidRPr="00FE560E">
        <w:t xml:space="preserve"> en vertu d’un décret et pour une durée maximale de </w:t>
      </w:r>
      <w:r w:rsidR="004A4356">
        <w:t xml:space="preserve">huit </w:t>
      </w:r>
      <w:r w:rsidR="00FE560E" w:rsidRPr="00FE560E">
        <w:t xml:space="preserve">jours. </w:t>
      </w:r>
      <w:r w:rsidR="00393FA9">
        <w:t>À</w:t>
      </w:r>
      <w:r w:rsidR="00FE560E" w:rsidRPr="00FE560E">
        <w:t xml:space="preserve"> la prison d’</w:t>
      </w:r>
      <w:proofErr w:type="spellStart"/>
      <w:r w:rsidR="00FE560E" w:rsidRPr="00FE560E">
        <w:t>Akpro-Missérété</w:t>
      </w:r>
      <w:proofErr w:type="spellEnd"/>
      <w:r w:rsidR="00FE560E" w:rsidRPr="00FE560E">
        <w:t xml:space="preserve">, les autorités ont indiqué que les décisions étaient prises en vertu du règlement de la prison. Le </w:t>
      </w:r>
      <w:r w:rsidR="00456F42">
        <w:t>Sous-Comité</w:t>
      </w:r>
      <w:r w:rsidR="00FE560E" w:rsidRPr="00FE560E">
        <w:t xml:space="preserve"> est préoccupé </w:t>
      </w:r>
      <w:r w:rsidR="004A4356">
        <w:t>par l</w:t>
      </w:r>
      <w:r w:rsidR="00FE560E" w:rsidRPr="00FE560E">
        <w:t xml:space="preserve">es informations qu’il a reçues indiquant que le délai de </w:t>
      </w:r>
      <w:r w:rsidR="004A4356">
        <w:t xml:space="preserve">huit </w:t>
      </w:r>
      <w:r w:rsidR="00FE560E" w:rsidRPr="00FE560E">
        <w:t>jours n’était pas toujours respecté</w:t>
      </w:r>
      <w:r w:rsidR="004A4356">
        <w:t xml:space="preserve">, par exemple, à </w:t>
      </w:r>
      <w:r w:rsidR="00FE560E" w:rsidRPr="00FE560E">
        <w:t xml:space="preserve">la prison de Cotonou où un </w:t>
      </w:r>
      <w:r w:rsidR="00FE560E" w:rsidRPr="004A4356">
        <w:t xml:space="preserve">détenu </w:t>
      </w:r>
      <w:r w:rsidR="00FE560E" w:rsidRPr="00FE560E">
        <w:t>a confié être resté</w:t>
      </w:r>
      <w:r w:rsidR="00D85A95">
        <w:t xml:space="preserve"> </w:t>
      </w:r>
      <w:r w:rsidR="00FE560E" w:rsidRPr="00FE560E">
        <w:t>plus d’un mois</w:t>
      </w:r>
      <w:r w:rsidR="004A4356">
        <w:t xml:space="preserve"> à l’isolement</w:t>
      </w:r>
      <w:r w:rsidR="00FE560E" w:rsidRPr="00FE560E">
        <w:t xml:space="preserve">. Le </w:t>
      </w:r>
      <w:r w:rsidR="00456F42">
        <w:t>Sous-Comité</w:t>
      </w:r>
      <w:r w:rsidR="00FE560E" w:rsidRPr="00FE560E">
        <w:t xml:space="preserve"> a également été informé que certains détenus étaient placés </w:t>
      </w:r>
      <w:r w:rsidR="004A4356">
        <w:t xml:space="preserve">à l’isolement </w:t>
      </w:r>
      <w:r w:rsidR="00FE560E" w:rsidRPr="00FE560E">
        <w:t xml:space="preserve">pour des motifs mineurs. </w:t>
      </w:r>
    </w:p>
    <w:p w14:paraId="18DFAD95" w14:textId="54468E75" w:rsidR="00FE560E" w:rsidRPr="00FE560E" w:rsidRDefault="00D43F72" w:rsidP="007F507D">
      <w:pPr>
        <w:pStyle w:val="SingleTxtG"/>
      </w:pPr>
      <w:r>
        <w:t>5</w:t>
      </w:r>
      <w:r w:rsidR="00F97EBB">
        <w:t>4</w:t>
      </w:r>
      <w:r w:rsidR="007F507D">
        <w:t>.</w:t>
      </w:r>
      <w:r w:rsidR="007F507D">
        <w:tab/>
      </w:r>
      <w:r w:rsidR="00FE560E" w:rsidRPr="00FE560E">
        <w:t xml:space="preserve">Le </w:t>
      </w:r>
      <w:r w:rsidR="00456F42">
        <w:t>Sous-Comité</w:t>
      </w:r>
      <w:r w:rsidR="00FE560E" w:rsidRPr="00FE560E">
        <w:t xml:space="preserve"> souligne qu’à la prison d’</w:t>
      </w:r>
      <w:proofErr w:type="spellStart"/>
      <w:r w:rsidR="00FE560E" w:rsidRPr="00FE560E">
        <w:t>Akpro-Missérété</w:t>
      </w:r>
      <w:proofErr w:type="spellEnd"/>
      <w:r w:rsidR="00FE560E" w:rsidRPr="00FE560E">
        <w:t>, il a découvert un détenu</w:t>
      </w:r>
      <w:r w:rsidR="00D85A95">
        <w:t xml:space="preserve"> </w:t>
      </w:r>
      <w:r w:rsidR="004A4356">
        <w:t>à l’</w:t>
      </w:r>
      <w:r w:rsidR="00FE560E" w:rsidRPr="00FE560E">
        <w:t>isolement depuis plus d’un mois environ dans une cellule du bâtiment C1 (</w:t>
      </w:r>
      <w:r w:rsidR="00871609" w:rsidRPr="0087483B">
        <w:t>réservé aux</w:t>
      </w:r>
      <w:r w:rsidR="00871609">
        <w:t xml:space="preserve"> détenus du </w:t>
      </w:r>
      <w:r w:rsidR="00871609" w:rsidRPr="003455EF">
        <w:t>Tribunal pénal international pour le Rwanda</w:t>
      </w:r>
      <w:r w:rsidR="00FE560E" w:rsidRPr="003455EF">
        <w:t>).</w:t>
      </w:r>
      <w:r w:rsidR="00FE560E" w:rsidRPr="00FE560E">
        <w:t xml:space="preserve"> Il</w:t>
      </w:r>
      <w:r w:rsidR="00D85A95">
        <w:t xml:space="preserve"> </w:t>
      </w:r>
      <w:r w:rsidR="00FE560E" w:rsidRPr="00FE560E">
        <w:t>a été informé qu’il s’agissait d’un acte administratif pris à cause de</w:t>
      </w:r>
      <w:r w:rsidR="00D85A95">
        <w:t xml:space="preserve"> </w:t>
      </w:r>
      <w:r w:rsidR="00FE560E" w:rsidRPr="00FE560E">
        <w:t>la dangerosité de la personne.</w:t>
      </w:r>
      <w:r w:rsidR="00D85A95">
        <w:t xml:space="preserve"> </w:t>
      </w:r>
    </w:p>
    <w:p w14:paraId="5812E82C" w14:textId="74EE7287" w:rsidR="00FE560E" w:rsidRPr="00FE560E" w:rsidRDefault="00D43F72" w:rsidP="007C1926">
      <w:pPr>
        <w:pStyle w:val="SingleTxtG"/>
      </w:pPr>
      <w:r>
        <w:t>5</w:t>
      </w:r>
      <w:r w:rsidR="00F97EBB">
        <w:t>5</w:t>
      </w:r>
      <w:r w:rsidR="007F507D">
        <w:t>.</w:t>
      </w:r>
      <w:r w:rsidR="007F507D">
        <w:tab/>
      </w:r>
      <w:r w:rsidR="00FE560E" w:rsidRPr="00FE560E">
        <w:t xml:space="preserve">Le </w:t>
      </w:r>
      <w:r w:rsidR="00456F42">
        <w:t>Sous-Comité</w:t>
      </w:r>
      <w:r w:rsidR="00FE560E" w:rsidRPr="00FE560E">
        <w:t xml:space="preserve"> constate avec préoccupation que</w:t>
      </w:r>
      <w:r w:rsidR="00D85A95">
        <w:t xml:space="preserve"> </w:t>
      </w:r>
      <w:r w:rsidR="00FE560E" w:rsidRPr="00FE560E">
        <w:t xml:space="preserve">les cas d’isolement cellulaire </w:t>
      </w:r>
      <w:r w:rsidR="007C1926">
        <w:t xml:space="preserve">mentionnés ci-dessus </w:t>
      </w:r>
      <w:r w:rsidR="00FE560E" w:rsidRPr="00FE560E">
        <w:t xml:space="preserve">n’étaient pas conformes aux Règles </w:t>
      </w:r>
      <w:r w:rsidR="00384A9E" w:rsidRPr="00F30FA9">
        <w:rPr>
          <w:bCs/>
        </w:rPr>
        <w:t>Nelson Mandela</w:t>
      </w:r>
      <w:r w:rsidR="00FE560E" w:rsidRPr="00FE560E">
        <w:rPr>
          <w:sz w:val="18"/>
          <w:vertAlign w:val="superscript"/>
        </w:rPr>
        <w:footnoteReference w:id="8"/>
      </w:r>
      <w:r w:rsidR="00FE560E" w:rsidRPr="00FE560E">
        <w:t xml:space="preserve">, dans la mesure où le placement </w:t>
      </w:r>
      <w:r w:rsidR="004A4356">
        <w:t>à l’</w:t>
      </w:r>
      <w:r w:rsidR="00FE560E" w:rsidRPr="00FE560E">
        <w:t xml:space="preserve">isolement avait duré de </w:t>
      </w:r>
      <w:r w:rsidR="00FE560E" w:rsidRPr="0087483B">
        <w:t>longues périodes</w:t>
      </w:r>
      <w:r w:rsidR="00202484" w:rsidRPr="0087483B">
        <w:t>,</w:t>
      </w:r>
      <w:r w:rsidR="00FE560E" w:rsidRPr="0087483B">
        <w:t xml:space="preserve"> </w:t>
      </w:r>
      <w:r w:rsidR="00FE560E" w:rsidRPr="008E26BC">
        <w:t xml:space="preserve">sans garantie d’une procédure régulière </w:t>
      </w:r>
      <w:r w:rsidR="00202484" w:rsidRPr="008E26BC">
        <w:t>ni d’</w:t>
      </w:r>
      <w:r w:rsidR="00FE560E" w:rsidRPr="008E26BC">
        <w:t>un contrôle indépendant. Le</w:t>
      </w:r>
      <w:r w:rsidR="00FE560E" w:rsidRPr="00FE560E">
        <w:t xml:space="preserve"> </w:t>
      </w:r>
      <w:r w:rsidR="00456F42">
        <w:t>Sous-Comité</w:t>
      </w:r>
      <w:r w:rsidR="00FE560E" w:rsidRPr="00FE560E">
        <w:t xml:space="preserve"> rappelle qu’il</w:t>
      </w:r>
      <w:r w:rsidR="00FE560E" w:rsidRPr="00FE560E">
        <w:rPr>
          <w:lang w:val="fr-FR"/>
        </w:rPr>
        <w:t xml:space="preserve"> doit donc y avoir des procédures juridiques efficaces à la disposition de tous les détenus pour leur permettre de contester des actes ou omissions du personnel ou des autorités pénitentiaires qu’ils estiment aller au-delà de ce qui a été sanctionné par le droit.</w:t>
      </w:r>
      <w:r w:rsidR="00FE560E" w:rsidRPr="00FE560E">
        <w:t xml:space="preserve"> </w:t>
      </w:r>
      <w:r w:rsidR="006D16E2">
        <w:t>E</w:t>
      </w:r>
      <w:r w:rsidR="00FE560E" w:rsidRPr="00FE560E">
        <w:t xml:space="preserve">n vertu des Règles </w:t>
      </w:r>
      <w:r w:rsidR="00384A9E" w:rsidRPr="00F30FA9">
        <w:rPr>
          <w:bCs/>
        </w:rPr>
        <w:t>Nelson Mandela</w:t>
      </w:r>
      <w:r w:rsidR="00FE560E" w:rsidRPr="00FE560E">
        <w:t xml:space="preserve">, l’isolement </w:t>
      </w:r>
      <w:r w:rsidR="00624866">
        <w:t xml:space="preserve">en tant que </w:t>
      </w:r>
      <w:r w:rsidR="00FE560E" w:rsidRPr="00FE560E">
        <w:t>mesure disciplin</w:t>
      </w:r>
      <w:r w:rsidR="00624866">
        <w:t>aire</w:t>
      </w:r>
      <w:r w:rsidR="00FE560E" w:rsidRPr="00FE560E">
        <w:t xml:space="preserve"> ou sanction signifie l’isolement d’un détenu sans contact humain réel pendant </w:t>
      </w:r>
      <w:r w:rsidR="005310A4">
        <w:t xml:space="preserve">vingt-deux </w:t>
      </w:r>
      <w:r w:rsidR="00FE560E" w:rsidRPr="00FE560E">
        <w:t xml:space="preserve">heures par jour </w:t>
      </w:r>
      <w:r w:rsidR="00FE560E" w:rsidRPr="00E20F18">
        <w:t>ou plus</w:t>
      </w:r>
      <w:r w:rsidR="00FE560E" w:rsidRPr="003455EF">
        <w:t>,</w:t>
      </w:r>
      <w:r w:rsidR="00FE560E" w:rsidRPr="00FE560E">
        <w:t xml:space="preserve"> et peut être prolongé seulement jusqu’à </w:t>
      </w:r>
      <w:r w:rsidR="005310A4">
        <w:t xml:space="preserve">quinze </w:t>
      </w:r>
      <w:r w:rsidR="00FE560E" w:rsidRPr="00FE560E">
        <w:t>jours</w:t>
      </w:r>
      <w:r w:rsidR="009177FD">
        <w:t>,</w:t>
      </w:r>
      <w:r w:rsidR="006D16E2">
        <w:t xml:space="preserve"> et</w:t>
      </w:r>
      <w:r w:rsidR="00FE560E" w:rsidRPr="00FE560E">
        <w:t xml:space="preserve"> ne doit être utilisé qu’en dernier ressort dans des cas exceptionnels, pour une durée aussi brève que possible, sous contrôle indépendant et uniquement avec l’autorisation d’une autorité compétente</w:t>
      </w:r>
      <w:r w:rsidR="00624866">
        <w:t>.</w:t>
      </w:r>
      <w:r w:rsidR="00D85A95">
        <w:t xml:space="preserve"> </w:t>
      </w:r>
      <w:r w:rsidR="00FE560E" w:rsidRPr="00FE560E">
        <w:t>Il rappelle également à l’</w:t>
      </w:r>
      <w:r w:rsidR="00DC5639">
        <w:t>État</w:t>
      </w:r>
      <w:r w:rsidR="00FE560E" w:rsidRPr="00FE560E">
        <w:t xml:space="preserve"> partie que l’absence d’une procédure régulière expose le détenu à un risque de se voir appliquer une décision arbitraire d’isolement.</w:t>
      </w:r>
      <w:r w:rsidR="00D85A95">
        <w:t xml:space="preserve"> </w:t>
      </w:r>
    </w:p>
    <w:p w14:paraId="6861BEEB" w14:textId="4852F4BA" w:rsidR="00FE560E" w:rsidRPr="00FE560E" w:rsidRDefault="00D43F72" w:rsidP="007F507D">
      <w:pPr>
        <w:pStyle w:val="SingleTxtG"/>
      </w:pPr>
      <w:r>
        <w:t>5</w:t>
      </w:r>
      <w:r w:rsidR="00F97EBB">
        <w:t>6</w:t>
      </w:r>
      <w:r w:rsidR="007F507D">
        <w:t>.</w:t>
      </w:r>
      <w:r w:rsidR="007F507D">
        <w:tab/>
      </w:r>
      <w:r w:rsidR="00FE560E" w:rsidRPr="00FE560E">
        <w:t xml:space="preserve">Le </w:t>
      </w:r>
      <w:r w:rsidR="00456F42">
        <w:t>Sous-Comité</w:t>
      </w:r>
      <w:r w:rsidR="00FE560E" w:rsidRPr="00FE560E">
        <w:t xml:space="preserve"> a, par conséquent, formulé la demande au régisseur de cette prison de régulariser la situation du détenu </w:t>
      </w:r>
      <w:r w:rsidR="004A4356">
        <w:t>à l’</w:t>
      </w:r>
      <w:r w:rsidR="00FE560E" w:rsidRPr="00FE560E">
        <w:t>isolement, demande qui a été suivie d’effet</w:t>
      </w:r>
      <w:r w:rsidR="005310A4">
        <w:t>,</w:t>
      </w:r>
      <w:r w:rsidR="00FE560E" w:rsidRPr="00FE560E">
        <w:t xml:space="preserve"> ce dont se félicite le </w:t>
      </w:r>
      <w:r w:rsidR="00456F42">
        <w:t>Sous-Comité</w:t>
      </w:r>
      <w:r w:rsidR="00FE560E" w:rsidRPr="00FE560E">
        <w:t>.</w:t>
      </w:r>
      <w:r w:rsidR="00D85A95">
        <w:t xml:space="preserve"> </w:t>
      </w:r>
    </w:p>
    <w:p w14:paraId="08E61C89" w14:textId="651C80BC" w:rsidR="00FE560E" w:rsidRPr="00FE560E" w:rsidRDefault="00D43F72" w:rsidP="00384A9E">
      <w:pPr>
        <w:pStyle w:val="SingleTxtG"/>
        <w:rPr>
          <w:b/>
        </w:rPr>
      </w:pPr>
      <w:r>
        <w:t>5</w:t>
      </w:r>
      <w:r w:rsidR="00F97EBB">
        <w:t>7</w:t>
      </w:r>
      <w:r w:rsidR="007F507D" w:rsidRPr="007F507D">
        <w:t>.</w:t>
      </w:r>
      <w:r w:rsidR="007F507D">
        <w:rPr>
          <w:b/>
        </w:rPr>
        <w:tab/>
      </w:r>
      <w:r w:rsidR="00FE560E" w:rsidRPr="00FE560E">
        <w:rPr>
          <w:b/>
        </w:rPr>
        <w:t xml:space="preserve">Le </w:t>
      </w:r>
      <w:r w:rsidR="00456F42">
        <w:rPr>
          <w:b/>
        </w:rPr>
        <w:t>Sous-Comité</w:t>
      </w:r>
      <w:r w:rsidR="00FE560E" w:rsidRPr="00FE560E">
        <w:rPr>
          <w:b/>
        </w:rPr>
        <w:t xml:space="preserve"> recommande </w:t>
      </w:r>
      <w:r w:rsidR="00104D05">
        <w:rPr>
          <w:b/>
        </w:rPr>
        <w:t xml:space="preserve">aux </w:t>
      </w:r>
      <w:r w:rsidR="00FE560E" w:rsidRPr="00FE560E">
        <w:rPr>
          <w:b/>
        </w:rPr>
        <w:t>autorités des prisons de l’</w:t>
      </w:r>
      <w:r w:rsidR="00DC5639">
        <w:rPr>
          <w:b/>
        </w:rPr>
        <w:t>État</w:t>
      </w:r>
      <w:r w:rsidR="00FE560E" w:rsidRPr="00FE560E">
        <w:rPr>
          <w:b/>
        </w:rPr>
        <w:t xml:space="preserve"> partie </w:t>
      </w:r>
      <w:r w:rsidR="00104D05">
        <w:rPr>
          <w:b/>
        </w:rPr>
        <w:t xml:space="preserve">de </w:t>
      </w:r>
      <w:r w:rsidR="00FE560E" w:rsidRPr="00FE560E">
        <w:rPr>
          <w:b/>
        </w:rPr>
        <w:t>ne recour</w:t>
      </w:r>
      <w:r w:rsidR="00104D05">
        <w:rPr>
          <w:b/>
        </w:rPr>
        <w:t xml:space="preserve">ir </w:t>
      </w:r>
      <w:r w:rsidR="00FE560E" w:rsidRPr="00FE560E">
        <w:rPr>
          <w:b/>
        </w:rPr>
        <w:t xml:space="preserve">à l’isolement que dans les cas nécessaires et </w:t>
      </w:r>
      <w:r w:rsidR="00202484">
        <w:rPr>
          <w:b/>
        </w:rPr>
        <w:t>en</w:t>
      </w:r>
      <w:r w:rsidR="00FE560E" w:rsidRPr="00FE560E">
        <w:rPr>
          <w:b/>
        </w:rPr>
        <w:t xml:space="preserve"> dernier recours</w:t>
      </w:r>
      <w:r w:rsidR="00D85A95">
        <w:rPr>
          <w:b/>
        </w:rPr>
        <w:t xml:space="preserve"> </w:t>
      </w:r>
      <w:r w:rsidR="00FE560E" w:rsidRPr="00FE560E">
        <w:rPr>
          <w:b/>
        </w:rPr>
        <w:t xml:space="preserve">pour des périodes les plus brèves possibles en conformité avec </w:t>
      </w:r>
      <w:r w:rsidR="00FE560E" w:rsidRPr="00871609">
        <w:rPr>
          <w:b/>
        </w:rPr>
        <w:t xml:space="preserve">les Règles </w:t>
      </w:r>
      <w:r w:rsidR="00384A9E" w:rsidRPr="006C5D31">
        <w:rPr>
          <w:b/>
        </w:rPr>
        <w:t>Nelson Mandela</w:t>
      </w:r>
      <w:r w:rsidR="00FE560E" w:rsidRPr="00FE560E">
        <w:rPr>
          <w:b/>
        </w:rPr>
        <w:t xml:space="preserve">. </w:t>
      </w:r>
      <w:r w:rsidR="006D16E2">
        <w:rPr>
          <w:b/>
        </w:rPr>
        <w:t>T</w:t>
      </w:r>
      <w:r w:rsidR="00FE560E" w:rsidRPr="00FE560E">
        <w:rPr>
          <w:b/>
        </w:rPr>
        <w:t xml:space="preserve">oute décision de placement </w:t>
      </w:r>
      <w:r w:rsidR="00104D05">
        <w:rPr>
          <w:b/>
        </w:rPr>
        <w:t xml:space="preserve">à </w:t>
      </w:r>
      <w:r w:rsidR="00104D05" w:rsidRPr="00104D05">
        <w:rPr>
          <w:b/>
        </w:rPr>
        <w:t>l’</w:t>
      </w:r>
      <w:r w:rsidR="00FE560E" w:rsidRPr="00104D05">
        <w:rPr>
          <w:b/>
        </w:rPr>
        <w:t xml:space="preserve">isolement </w:t>
      </w:r>
      <w:r w:rsidR="00104D05">
        <w:rPr>
          <w:b/>
        </w:rPr>
        <w:t xml:space="preserve">doit </w:t>
      </w:r>
      <w:r w:rsidR="00FE560E" w:rsidRPr="00104D05">
        <w:rPr>
          <w:b/>
        </w:rPr>
        <w:t>faire l’objet d’une procédure régulière</w:t>
      </w:r>
      <w:r w:rsidR="00D85A95" w:rsidRPr="00104D05">
        <w:rPr>
          <w:b/>
        </w:rPr>
        <w:t xml:space="preserve"> </w:t>
      </w:r>
      <w:r w:rsidR="00FE560E" w:rsidRPr="00104D05">
        <w:rPr>
          <w:b/>
        </w:rPr>
        <w:t>afin d’établir les fai</w:t>
      </w:r>
      <w:r w:rsidR="00FE560E" w:rsidRPr="00FE560E">
        <w:rPr>
          <w:b/>
        </w:rPr>
        <w:t xml:space="preserve">ts et de donner la possibilité au détenu de se défendre lors d’un examen indépendant. Pour ce faire, le </w:t>
      </w:r>
      <w:r w:rsidR="00456F42">
        <w:rPr>
          <w:b/>
        </w:rPr>
        <w:t>Sous-Comité</w:t>
      </w:r>
      <w:r w:rsidR="00FE560E" w:rsidRPr="00FE560E">
        <w:rPr>
          <w:b/>
        </w:rPr>
        <w:t xml:space="preserve"> recommande que soient adoptés des règlements connus des détenus, sur la base desquels </w:t>
      </w:r>
      <w:r w:rsidR="00104D05">
        <w:rPr>
          <w:b/>
        </w:rPr>
        <w:t xml:space="preserve">sera prise </w:t>
      </w:r>
      <w:r w:rsidR="00FE560E" w:rsidRPr="00FE560E">
        <w:rPr>
          <w:b/>
        </w:rPr>
        <w:t>toute décision de placement</w:t>
      </w:r>
      <w:r w:rsidR="00104D05">
        <w:rPr>
          <w:b/>
        </w:rPr>
        <w:t xml:space="preserve"> à </w:t>
      </w:r>
      <w:r w:rsidR="00104D05" w:rsidRPr="00104D05">
        <w:rPr>
          <w:b/>
        </w:rPr>
        <w:t>l’</w:t>
      </w:r>
      <w:r w:rsidR="00FE560E" w:rsidRPr="00104D05">
        <w:rPr>
          <w:b/>
        </w:rPr>
        <w:t>isolement</w:t>
      </w:r>
      <w:r w:rsidR="00104D05">
        <w:rPr>
          <w:b/>
        </w:rPr>
        <w:t xml:space="preserve"> ; ces règlements devront être </w:t>
      </w:r>
      <w:r w:rsidR="00FE560E" w:rsidRPr="00FE560E">
        <w:rPr>
          <w:b/>
        </w:rPr>
        <w:t xml:space="preserve">pleinement conformes aux normes internationales et aux Règles </w:t>
      </w:r>
      <w:r w:rsidR="00384A9E" w:rsidRPr="006C5D31">
        <w:rPr>
          <w:b/>
        </w:rPr>
        <w:t>Nelson Mandela</w:t>
      </w:r>
      <w:r w:rsidR="00FE560E" w:rsidRPr="00871609">
        <w:rPr>
          <w:b/>
        </w:rPr>
        <w:t>.</w:t>
      </w:r>
      <w:r w:rsidR="00D85A95" w:rsidRPr="00871609">
        <w:rPr>
          <w:b/>
        </w:rPr>
        <w:t xml:space="preserve"> </w:t>
      </w:r>
      <w:r w:rsidR="00FE560E" w:rsidRPr="00871609">
        <w:rPr>
          <w:b/>
        </w:rPr>
        <w:t>Il invite</w:t>
      </w:r>
      <w:r w:rsidR="00FE560E" w:rsidRPr="00FE560E">
        <w:rPr>
          <w:b/>
        </w:rPr>
        <w:t xml:space="preserve"> également</w:t>
      </w:r>
      <w:r w:rsidR="00D85A95">
        <w:rPr>
          <w:b/>
        </w:rPr>
        <w:t xml:space="preserve"> </w:t>
      </w:r>
      <w:r w:rsidR="00FE560E" w:rsidRPr="00FE560E">
        <w:rPr>
          <w:b/>
        </w:rPr>
        <w:t>l’</w:t>
      </w:r>
      <w:r w:rsidR="00DC5639">
        <w:rPr>
          <w:b/>
        </w:rPr>
        <w:t>État</w:t>
      </w:r>
      <w:r w:rsidR="00FE560E" w:rsidRPr="00FE560E">
        <w:rPr>
          <w:b/>
        </w:rPr>
        <w:t xml:space="preserve"> partie </w:t>
      </w:r>
      <w:r w:rsidR="00A2475A">
        <w:rPr>
          <w:b/>
        </w:rPr>
        <w:t>à</w:t>
      </w:r>
      <w:r w:rsidR="00A2475A" w:rsidRPr="00FE560E">
        <w:rPr>
          <w:b/>
        </w:rPr>
        <w:t xml:space="preserve"> </w:t>
      </w:r>
      <w:r w:rsidR="00FE560E" w:rsidRPr="00FE560E">
        <w:rPr>
          <w:b/>
        </w:rPr>
        <w:t>veiller à ce que les cellules d’isolement de la prison de Cotonou soient réaménagé</w:t>
      </w:r>
      <w:r w:rsidR="00A2475A">
        <w:rPr>
          <w:b/>
        </w:rPr>
        <w:t>e</w:t>
      </w:r>
      <w:r w:rsidR="00FE560E" w:rsidRPr="00FE560E">
        <w:rPr>
          <w:b/>
        </w:rPr>
        <w:t>s de sorte qu’elles soient exposé</w:t>
      </w:r>
      <w:r w:rsidR="00A2475A">
        <w:rPr>
          <w:b/>
        </w:rPr>
        <w:t>e</w:t>
      </w:r>
      <w:r w:rsidR="00FE560E" w:rsidRPr="00FE560E">
        <w:rPr>
          <w:b/>
        </w:rPr>
        <w:t xml:space="preserve">s à la lumière et à une température adéquate, </w:t>
      </w:r>
      <w:r w:rsidR="00104D05">
        <w:rPr>
          <w:b/>
        </w:rPr>
        <w:t xml:space="preserve">et qu’elles </w:t>
      </w:r>
      <w:r w:rsidR="00FE560E" w:rsidRPr="00FE560E">
        <w:rPr>
          <w:b/>
        </w:rPr>
        <w:t xml:space="preserve">aient des toilettes et un accès à l’eau. </w:t>
      </w:r>
    </w:p>
    <w:p w14:paraId="7EE15B1A" w14:textId="77777777" w:rsidR="00FE560E" w:rsidRPr="00FE560E" w:rsidRDefault="00FE560E" w:rsidP="001D1C14">
      <w:pPr>
        <w:pStyle w:val="H23G"/>
        <w:outlineLvl w:val="0"/>
      </w:pPr>
      <w:r w:rsidRPr="00FE560E">
        <w:rPr>
          <w:sz w:val="24"/>
        </w:rPr>
        <w:tab/>
      </w:r>
      <w:r w:rsidR="00F862BF">
        <w:t>5</w:t>
      </w:r>
      <w:r w:rsidRPr="00FE560E">
        <w:t>.</w:t>
      </w:r>
      <w:r w:rsidRPr="00FE560E">
        <w:tab/>
        <w:t>Torture et mauvais traitements</w:t>
      </w:r>
    </w:p>
    <w:p w14:paraId="26710283" w14:textId="5FFCCFB5" w:rsidR="00FE560E" w:rsidRPr="00E20F18" w:rsidRDefault="00F97EBB" w:rsidP="00110DF0">
      <w:pPr>
        <w:pStyle w:val="SingleTxtG"/>
      </w:pPr>
      <w:r>
        <w:t>58</w:t>
      </w:r>
      <w:r w:rsidR="007F507D">
        <w:t>.</w:t>
      </w:r>
      <w:r w:rsidR="007F507D">
        <w:tab/>
      </w:r>
      <w:r w:rsidR="006D16E2">
        <w:t>L</w:t>
      </w:r>
      <w:r w:rsidR="00FE560E" w:rsidRPr="00FE560E">
        <w:t xml:space="preserve">e </w:t>
      </w:r>
      <w:r w:rsidR="00456F42">
        <w:t>Sous-Comité</w:t>
      </w:r>
      <w:r w:rsidR="00FE560E" w:rsidRPr="00FE560E">
        <w:t xml:space="preserve"> n’a constaté et n’a été informé</w:t>
      </w:r>
      <w:r w:rsidR="00D85A95">
        <w:t xml:space="preserve"> </w:t>
      </w:r>
      <w:r w:rsidR="00FE560E" w:rsidRPr="00FE560E">
        <w:t xml:space="preserve">que de peu d’allégations de mauvais traitements lors des entretiens qu’il a eus. Il s’inquiète néanmoins d’allégations de la part de certains mineurs détenus à la prison d’Abomey </w:t>
      </w:r>
      <w:r w:rsidR="00624866">
        <w:t xml:space="preserve">selon lesquelles </w:t>
      </w:r>
      <w:r w:rsidR="00624866" w:rsidRPr="00FE560E">
        <w:t xml:space="preserve">ils </w:t>
      </w:r>
      <w:r w:rsidR="00FE560E" w:rsidRPr="00FE560E">
        <w:t xml:space="preserve">pouvaient recevoir des coups </w:t>
      </w:r>
      <w:r w:rsidR="00FE560E" w:rsidRPr="00E20F18">
        <w:t>en guise</w:t>
      </w:r>
      <w:r w:rsidR="00FE560E" w:rsidRPr="003455EF">
        <w:t xml:space="preserve"> de punition lorsqu’ils avaient commis une faute</w:t>
      </w:r>
      <w:r w:rsidR="0039435E" w:rsidRPr="003455EF">
        <w:t>,</w:t>
      </w:r>
      <w:r w:rsidR="00FE560E" w:rsidRPr="003455EF">
        <w:t xml:space="preserve"> et </w:t>
      </w:r>
      <w:r w:rsidR="0039435E" w:rsidRPr="003455EF">
        <w:t xml:space="preserve">celles </w:t>
      </w:r>
      <w:r w:rsidR="00624866" w:rsidRPr="00E20F18">
        <w:t xml:space="preserve">de la part </w:t>
      </w:r>
      <w:r w:rsidR="00FE560E" w:rsidRPr="00E20F18">
        <w:t>d’un détenu adulte de la même prison</w:t>
      </w:r>
      <w:r w:rsidR="00624866" w:rsidRPr="00E20F18">
        <w:t>,</w:t>
      </w:r>
      <w:r w:rsidR="00FE560E" w:rsidRPr="00E20F18">
        <w:t xml:space="preserve"> qui a indiqué au </w:t>
      </w:r>
      <w:r w:rsidR="00456F42" w:rsidRPr="00E20F18">
        <w:t>Sous-Comité</w:t>
      </w:r>
      <w:r w:rsidR="00FE560E" w:rsidRPr="00E20F18">
        <w:t xml:space="preserve"> qu’il avait été battu par le </w:t>
      </w:r>
      <w:r w:rsidR="00DF5754" w:rsidRPr="00E20F18">
        <w:t>c</w:t>
      </w:r>
      <w:r w:rsidR="00FE560E" w:rsidRPr="00E20F18">
        <w:t xml:space="preserve">hef de </w:t>
      </w:r>
      <w:r w:rsidR="00DF5754" w:rsidRPr="00E20F18">
        <w:t>c</w:t>
      </w:r>
      <w:r w:rsidR="00FE560E" w:rsidRPr="00E20F18">
        <w:t xml:space="preserve">our au sein du Bloc 8 </w:t>
      </w:r>
      <w:r w:rsidR="00624866" w:rsidRPr="00E20F18">
        <w:t>à l’aide</w:t>
      </w:r>
      <w:r w:rsidR="00FE560E" w:rsidRPr="00E20F18">
        <w:t xml:space="preserve"> </w:t>
      </w:r>
      <w:r w:rsidR="00624866" w:rsidRPr="00E20F18">
        <w:t>d’</w:t>
      </w:r>
      <w:r w:rsidR="00FE560E" w:rsidRPr="00E20F18">
        <w:t xml:space="preserve">une lanière et </w:t>
      </w:r>
      <w:r w:rsidR="00624866" w:rsidRPr="00E20F18">
        <w:t>d’</w:t>
      </w:r>
      <w:r w:rsidR="00FE560E" w:rsidRPr="00E20F18">
        <w:t xml:space="preserve">un tuyau. </w:t>
      </w:r>
      <w:r w:rsidR="00DF5754" w:rsidRPr="00E20F18">
        <w:t xml:space="preserve">Il est également ressorti </w:t>
      </w:r>
      <w:r w:rsidR="00DF5754" w:rsidRPr="00E20F18">
        <w:lastRenderedPageBreak/>
        <w:t>d</w:t>
      </w:r>
      <w:r w:rsidR="00FE560E" w:rsidRPr="00E20F18">
        <w:t xml:space="preserve">es entretiens </w:t>
      </w:r>
      <w:r w:rsidR="00DF5754" w:rsidRPr="00E20F18">
        <w:t xml:space="preserve">que, </w:t>
      </w:r>
      <w:r w:rsidR="00FE560E" w:rsidRPr="00E20F18">
        <w:t xml:space="preserve">à la prison d’Abomey, des </w:t>
      </w:r>
      <w:r w:rsidR="00110DF0" w:rsidRPr="00E20F18">
        <w:t xml:space="preserve">entraves étaient mises aux </w:t>
      </w:r>
      <w:r w:rsidR="00FE560E" w:rsidRPr="00E20F18">
        <w:t>détenus</w:t>
      </w:r>
      <w:r w:rsidR="00FE560E" w:rsidRPr="003455EF">
        <w:t xml:space="preserve">, parfois pendant toute une nuit, </w:t>
      </w:r>
      <w:r w:rsidR="00FE560E" w:rsidRPr="00E20F18">
        <w:t xml:space="preserve">en guise de punition. </w:t>
      </w:r>
    </w:p>
    <w:p w14:paraId="587A1E0D" w14:textId="55411C5B" w:rsidR="00FE560E" w:rsidRPr="00FE560E" w:rsidRDefault="00F97EBB" w:rsidP="009E790C">
      <w:pPr>
        <w:pStyle w:val="SingleTxtG"/>
      </w:pPr>
      <w:r w:rsidRPr="00E20F18">
        <w:t>59</w:t>
      </w:r>
      <w:r w:rsidR="007F507D" w:rsidRPr="00E20F18">
        <w:t>.</w:t>
      </w:r>
      <w:r w:rsidR="007F507D" w:rsidRPr="00E20F18">
        <w:tab/>
      </w:r>
      <w:r w:rsidR="00FE560E" w:rsidRPr="00E20F18">
        <w:rPr>
          <w:b/>
        </w:rPr>
        <w:t xml:space="preserve">Le </w:t>
      </w:r>
      <w:r w:rsidR="00456F42" w:rsidRPr="00E20F18">
        <w:rPr>
          <w:b/>
        </w:rPr>
        <w:t>Sous-Comité</w:t>
      </w:r>
      <w:r w:rsidR="00FE560E" w:rsidRPr="00E20F18">
        <w:rPr>
          <w:b/>
        </w:rPr>
        <w:t xml:space="preserve"> recommande à l’</w:t>
      </w:r>
      <w:r w:rsidR="00DC5639" w:rsidRPr="00E20F18">
        <w:rPr>
          <w:b/>
        </w:rPr>
        <w:t>État</w:t>
      </w:r>
      <w:r w:rsidR="00FE560E" w:rsidRPr="00E20F18">
        <w:rPr>
          <w:b/>
        </w:rPr>
        <w:t xml:space="preserve"> partie</w:t>
      </w:r>
      <w:r w:rsidR="00FE560E" w:rsidRPr="00E20F18">
        <w:t xml:space="preserve"> </w:t>
      </w:r>
      <w:r w:rsidR="00FE560E" w:rsidRPr="00E20F18">
        <w:rPr>
          <w:b/>
        </w:rPr>
        <w:t>de poursuivre la sensibilisation du personnel pénitentiaire afin de prévenir tout mauvais traitement envers les détenus et de faciliter le dépô</w:t>
      </w:r>
      <w:r w:rsidR="007F507D" w:rsidRPr="00E20F18">
        <w:rPr>
          <w:b/>
        </w:rPr>
        <w:t>t de plainte par les détenus.</w:t>
      </w:r>
      <w:r w:rsidR="007F507D">
        <w:rPr>
          <w:b/>
        </w:rPr>
        <w:t xml:space="preserve"> </w:t>
      </w:r>
    </w:p>
    <w:p w14:paraId="5FDFB6FB" w14:textId="77777777" w:rsidR="00FE560E" w:rsidRPr="00FE560E" w:rsidRDefault="00FE560E" w:rsidP="00123B15">
      <w:pPr>
        <w:pStyle w:val="H1G"/>
      </w:pPr>
      <w:r w:rsidRPr="00FE560E">
        <w:tab/>
      </w:r>
      <w:r w:rsidR="00F862BF">
        <w:t>C.</w:t>
      </w:r>
      <w:r w:rsidR="007F507D">
        <w:tab/>
      </w:r>
      <w:r w:rsidRPr="00FE560E">
        <w:t>Accès aux soins de santé, hygiène, eau et assainissement</w:t>
      </w:r>
    </w:p>
    <w:p w14:paraId="247BA85B" w14:textId="77777777" w:rsidR="00FE560E" w:rsidRPr="00FE560E" w:rsidRDefault="00F862BF" w:rsidP="001D1C14">
      <w:pPr>
        <w:pStyle w:val="H23G"/>
        <w:outlineLvl w:val="0"/>
      </w:pPr>
      <w:r>
        <w:tab/>
        <w:t>1</w:t>
      </w:r>
      <w:r w:rsidR="007F507D">
        <w:t>.</w:t>
      </w:r>
      <w:r w:rsidR="007F507D">
        <w:tab/>
      </w:r>
      <w:r w:rsidR="00FE560E" w:rsidRPr="00FE560E">
        <w:t xml:space="preserve">Accès aux soins en milieu carcéral </w:t>
      </w:r>
    </w:p>
    <w:p w14:paraId="36F6777D" w14:textId="10FDF948" w:rsidR="00FE560E" w:rsidRPr="00FE560E" w:rsidRDefault="00D43F72" w:rsidP="00384A9E">
      <w:pPr>
        <w:pStyle w:val="SingleTxtG"/>
      </w:pPr>
      <w:r w:rsidRPr="00BE5127">
        <w:t>6</w:t>
      </w:r>
      <w:r w:rsidR="00F97EBB">
        <w:t>0</w:t>
      </w:r>
      <w:r w:rsidR="007F507D" w:rsidRPr="00BE5127">
        <w:t>.</w:t>
      </w:r>
      <w:r w:rsidR="006D16E2" w:rsidRPr="00BE5127">
        <w:tab/>
      </w:r>
      <w:r w:rsidR="00891B80">
        <w:t>Dans les prisons visitées par le Sous-Comité, à</w:t>
      </w:r>
      <w:r w:rsidR="00FE560E" w:rsidRPr="00BE5127">
        <w:t xml:space="preserve"> l’exception de </w:t>
      </w:r>
      <w:r w:rsidR="00891B80">
        <w:t xml:space="preserve">celle </w:t>
      </w:r>
      <w:r w:rsidR="00FE560E" w:rsidRPr="00BE5127">
        <w:t xml:space="preserve">d’Abomey, les détenus passaient </w:t>
      </w:r>
      <w:r w:rsidR="00891B80">
        <w:t xml:space="preserve">systématiquement </w:t>
      </w:r>
      <w:r w:rsidR="00FE560E" w:rsidRPr="00BE5127">
        <w:t xml:space="preserve">un examen médical à leur arrivée. Le </w:t>
      </w:r>
      <w:r w:rsidR="00456F42">
        <w:t>Sous-Comité</w:t>
      </w:r>
      <w:r w:rsidR="00FE560E" w:rsidRPr="00BE5127">
        <w:t xml:space="preserve"> regrette qu’un tel examen ne soit pas fait par un médecin et que</w:t>
      </w:r>
      <w:r w:rsidR="00D85A95" w:rsidRPr="00BE5127">
        <w:t xml:space="preserve"> </w:t>
      </w:r>
      <w:r w:rsidR="00FE560E" w:rsidRPr="00BE5127">
        <w:t xml:space="preserve">les équipes de soins ne soient composées que du personnel infirmier. </w:t>
      </w:r>
      <w:r w:rsidR="00891B80">
        <w:t xml:space="preserve">Le Sous-Comité </w:t>
      </w:r>
      <w:r w:rsidR="00FE560E" w:rsidRPr="00BE5127">
        <w:t>est préoccupé par le fait que</w:t>
      </w:r>
      <w:r w:rsidR="00D85A95" w:rsidRPr="00BE5127">
        <w:t xml:space="preserve"> </w:t>
      </w:r>
      <w:r w:rsidR="00FE560E" w:rsidRPr="00BE5127">
        <w:t>les infirmeries n’offraient pas toujours des conditions d’hygiène maximale</w:t>
      </w:r>
      <w:r w:rsidR="00891B80">
        <w:t>s</w:t>
      </w:r>
      <w:r w:rsidR="00FE560E" w:rsidRPr="00BE5127">
        <w:t xml:space="preserve"> et que le personnel était en nombre insuffisant. Le système de soins de sa</w:t>
      </w:r>
      <w:r w:rsidR="00E57C63" w:rsidRPr="00BE5127">
        <w:t>nté dans les prisons continuait de présenter des insuffisances</w:t>
      </w:r>
      <w:r w:rsidR="00FE560E" w:rsidRPr="00BE5127">
        <w:t xml:space="preserve"> qui méritaient d’être corrigées afin d’être </w:t>
      </w:r>
      <w:r w:rsidR="00FE560E" w:rsidRPr="00384A9E">
        <w:t xml:space="preserve">pleinement conformes aux Règles </w:t>
      </w:r>
      <w:r w:rsidR="00384A9E" w:rsidRPr="0087483B">
        <w:t>Nelson Mandela</w:t>
      </w:r>
      <w:r w:rsidR="00FE560E" w:rsidRPr="00384A9E">
        <w:rPr>
          <w:sz w:val="18"/>
          <w:vertAlign w:val="superscript"/>
        </w:rPr>
        <w:footnoteReference w:id="9"/>
      </w:r>
      <w:r w:rsidR="00FE560E" w:rsidRPr="00384A9E">
        <w:t>.</w:t>
      </w:r>
      <w:r w:rsidR="00D85A95">
        <w:t xml:space="preserve"> </w:t>
      </w:r>
    </w:p>
    <w:p w14:paraId="2852B461" w14:textId="2988F820" w:rsidR="00FE560E" w:rsidRPr="00FE560E" w:rsidRDefault="00D43F72" w:rsidP="00F61EE8">
      <w:pPr>
        <w:pStyle w:val="SingleTxtG"/>
      </w:pPr>
      <w:r>
        <w:t>6</w:t>
      </w:r>
      <w:r w:rsidR="00F97EBB">
        <w:t>1</w:t>
      </w:r>
      <w:r w:rsidR="007F507D">
        <w:t>.</w:t>
      </w:r>
      <w:r w:rsidR="007F507D">
        <w:tab/>
      </w:r>
      <w:r w:rsidR="00FE560E" w:rsidRPr="00FE560E">
        <w:t xml:space="preserve">En particulier, le </w:t>
      </w:r>
      <w:r w:rsidR="00456F42">
        <w:t>Sous-Comité</w:t>
      </w:r>
      <w:r w:rsidR="00FE560E" w:rsidRPr="00FE560E">
        <w:t xml:space="preserve"> a relevé avec préoccupation : a) la </w:t>
      </w:r>
      <w:proofErr w:type="spellStart"/>
      <w:r w:rsidR="00FE560E" w:rsidRPr="00FE560E">
        <w:t>sous</w:t>
      </w:r>
      <w:r w:rsidR="00F61EE8">
        <w:t>-</w:t>
      </w:r>
      <w:r w:rsidR="00FE560E" w:rsidRPr="00FE560E">
        <w:t>dotation</w:t>
      </w:r>
      <w:proofErr w:type="spellEnd"/>
      <w:r w:rsidR="00FE560E" w:rsidRPr="00FE560E">
        <w:t xml:space="preserve"> des infirmeries en médicaments et en matériel médical notamment depuis 2014, en particulier à la prison d’Abomey, l’infirmerie ne disposait plus que d</w:t>
      </w:r>
      <w:r w:rsidR="00891B80">
        <w:t>e</w:t>
      </w:r>
      <w:r w:rsidR="00FE560E" w:rsidRPr="00FE560E">
        <w:t xml:space="preserve"> paracétamol ; b) le fait que l’absence de médicaments a eu pour conséquence une baisse des consultations de la part des détenus ; c) l’absence de dossier médical personnalisé et de suivi spécifique de</w:t>
      </w:r>
      <w:r w:rsidR="00891B80">
        <w:t>s</w:t>
      </w:r>
      <w:r w:rsidR="00FE560E" w:rsidRPr="00FE560E">
        <w:t xml:space="preserve"> femmes enceintes, d</w:t>
      </w:r>
      <w:r w:rsidR="00891B80">
        <w:t xml:space="preserve">es </w:t>
      </w:r>
      <w:r w:rsidR="00FE560E" w:rsidRPr="00FE560E">
        <w:t>enfants, de</w:t>
      </w:r>
      <w:r w:rsidR="00891B80">
        <w:t>s</w:t>
      </w:r>
      <w:r w:rsidR="00FE560E" w:rsidRPr="00FE560E">
        <w:t xml:space="preserve"> mineurs et de</w:t>
      </w:r>
      <w:r w:rsidR="00891B80">
        <w:t>s</w:t>
      </w:r>
      <w:r w:rsidR="00FE560E" w:rsidRPr="00FE560E">
        <w:t xml:space="preserve"> personnes âgées</w:t>
      </w:r>
      <w:r w:rsidR="00891B80">
        <w:t>,</w:t>
      </w:r>
      <w:r w:rsidR="00FE560E" w:rsidRPr="00FE560E">
        <w:t xml:space="preserve"> notamment dans les prisons de Cotonou et d’Abomey ; d) l’absence de spécialiste et le fait que les psychologues et psychiatres ne venaient qu’en tant qu’experts en cas de procès aux assises ; e) l’absence de moyens roulants pour les extractions médicales</w:t>
      </w:r>
      <w:r w:rsidR="00891B80">
        <w:t xml:space="preserve"> ; </w:t>
      </w:r>
      <w:r w:rsidR="00FE560E" w:rsidRPr="00FE560E">
        <w:t xml:space="preserve">et f) l’absence d’une véritable politique de santé pénitentiaire. </w:t>
      </w:r>
    </w:p>
    <w:p w14:paraId="07DEA909" w14:textId="76C21C12" w:rsidR="00FE560E" w:rsidRPr="00FE560E" w:rsidRDefault="00D43F72" w:rsidP="007F507D">
      <w:pPr>
        <w:pStyle w:val="SingleTxtG"/>
        <w:rPr>
          <w:i/>
        </w:rPr>
      </w:pPr>
      <w:r>
        <w:t>6</w:t>
      </w:r>
      <w:r w:rsidR="00F97EBB">
        <w:t>2</w:t>
      </w:r>
      <w:r w:rsidR="007F507D">
        <w:t>.</w:t>
      </w:r>
      <w:r w:rsidR="007F507D">
        <w:tab/>
      </w:r>
      <w:r w:rsidR="00FE560E" w:rsidRPr="00FE560E">
        <w:t xml:space="preserve">Le </w:t>
      </w:r>
      <w:r w:rsidR="00456F42">
        <w:t>Sous-Comité</w:t>
      </w:r>
      <w:r w:rsidR="00FE560E" w:rsidRPr="00FE560E">
        <w:t xml:space="preserve"> est également préoccupé d’avoir</w:t>
      </w:r>
      <w:r w:rsidR="00D85A95">
        <w:t xml:space="preserve"> </w:t>
      </w:r>
      <w:r w:rsidR="00FE560E" w:rsidRPr="00FE560E">
        <w:t>constaté que les registres</w:t>
      </w:r>
      <w:r w:rsidR="00D85A95">
        <w:t xml:space="preserve"> </w:t>
      </w:r>
      <w:r w:rsidR="00FE560E" w:rsidRPr="00FE560E">
        <w:t xml:space="preserve">sur les consultations ne permettaient pas d’avoir toutes </w:t>
      </w:r>
      <w:r w:rsidR="00A54F0C">
        <w:t xml:space="preserve">les </w:t>
      </w:r>
      <w:r w:rsidR="00FE560E" w:rsidRPr="00FE560E">
        <w:t xml:space="preserve">informations sur les soins et les problèmes de santé dans ces prisons. Il a été informé que les extractions médicales étaient possibles auprès des hôpitaux les plus proches pour les urgences notamment. Le </w:t>
      </w:r>
      <w:r w:rsidR="00456F42">
        <w:t>Sous-Comité</w:t>
      </w:r>
      <w:r w:rsidR="00FE560E" w:rsidRPr="00FE560E">
        <w:t xml:space="preserve"> a été informé qu’à la prison d’Abomey, </w:t>
      </w:r>
      <w:r w:rsidR="00A54F0C">
        <w:t xml:space="preserve">deux </w:t>
      </w:r>
      <w:r w:rsidR="00FE560E" w:rsidRPr="00FE560E">
        <w:t xml:space="preserve">ou </w:t>
      </w:r>
      <w:r w:rsidR="00A54F0C">
        <w:t>trois</w:t>
      </w:r>
      <w:r w:rsidR="00FE560E" w:rsidRPr="00FE560E">
        <w:t xml:space="preserve"> détenus porteurs d</w:t>
      </w:r>
      <w:r w:rsidR="00A54F0C">
        <w:t>u</w:t>
      </w:r>
      <w:r w:rsidR="00FE560E" w:rsidRPr="00FE560E">
        <w:t xml:space="preserve"> VIH étaient sans traitement et que </w:t>
      </w:r>
      <w:r w:rsidR="00A54F0C">
        <w:t xml:space="preserve">quatre </w:t>
      </w:r>
      <w:r w:rsidR="00FE560E" w:rsidRPr="00FE560E">
        <w:t xml:space="preserve">ou </w:t>
      </w:r>
      <w:r w:rsidR="00A54F0C">
        <w:t xml:space="preserve">cinq </w:t>
      </w:r>
      <w:r w:rsidR="00FE560E" w:rsidRPr="00FE560E">
        <w:t xml:space="preserve">personnes atteintes de tuberculose étaient prises en charge par le Centre de santé dans le cadre d’un programme national, tandis que le suivi des </w:t>
      </w:r>
      <w:r w:rsidR="00A54F0C">
        <w:t xml:space="preserve">personnes </w:t>
      </w:r>
      <w:r w:rsidR="00A54F0C" w:rsidRPr="009E790C">
        <w:t>atteinte</w:t>
      </w:r>
      <w:r w:rsidR="009E790C" w:rsidRPr="0087483B">
        <w:t>s</w:t>
      </w:r>
      <w:r w:rsidR="00A54F0C" w:rsidRPr="009E790C">
        <w:t xml:space="preserve"> d’une </w:t>
      </w:r>
      <w:r w:rsidR="00FE560E" w:rsidRPr="009E790C">
        <w:t>hépatite était</w:t>
      </w:r>
      <w:r w:rsidR="00FE560E" w:rsidRPr="00FE560E">
        <w:t xml:space="preserve"> assuré par une </w:t>
      </w:r>
      <w:r w:rsidR="00A54F0C">
        <w:t>organisation non gouvernementale</w:t>
      </w:r>
      <w:r w:rsidR="00FE560E" w:rsidRPr="00FE560E">
        <w:t xml:space="preserve">. </w:t>
      </w:r>
    </w:p>
    <w:p w14:paraId="04076FCD" w14:textId="72455F7A" w:rsidR="00FE560E" w:rsidRPr="00FE560E" w:rsidRDefault="00D43F72" w:rsidP="00B576A6">
      <w:pPr>
        <w:pStyle w:val="SingleTxtG"/>
        <w:rPr>
          <w:b/>
        </w:rPr>
      </w:pPr>
      <w:r>
        <w:t>6</w:t>
      </w:r>
      <w:r w:rsidR="00F97EBB">
        <w:t>3</w:t>
      </w:r>
      <w:r w:rsidR="007F507D" w:rsidRPr="007F507D">
        <w:t>.</w:t>
      </w:r>
      <w:r w:rsidR="007F507D">
        <w:rPr>
          <w:b/>
        </w:rPr>
        <w:tab/>
      </w:r>
      <w:r w:rsidR="00FE560E" w:rsidRPr="00BE5127">
        <w:rPr>
          <w:b/>
        </w:rPr>
        <w:t xml:space="preserve">Le </w:t>
      </w:r>
      <w:r w:rsidR="00456F42">
        <w:rPr>
          <w:b/>
        </w:rPr>
        <w:t>Sous-Comité</w:t>
      </w:r>
      <w:r w:rsidR="00FE560E" w:rsidRPr="00BE5127">
        <w:rPr>
          <w:b/>
        </w:rPr>
        <w:t xml:space="preserve"> recommande à l’</w:t>
      </w:r>
      <w:r w:rsidR="00DC5639">
        <w:rPr>
          <w:b/>
        </w:rPr>
        <w:t>État</w:t>
      </w:r>
      <w:r w:rsidR="00FE560E" w:rsidRPr="00BE5127">
        <w:rPr>
          <w:b/>
        </w:rPr>
        <w:t xml:space="preserve"> partie de </w:t>
      </w:r>
      <w:r w:rsidR="009D0B1F">
        <w:rPr>
          <w:b/>
        </w:rPr>
        <w:t xml:space="preserve">veiller à ce </w:t>
      </w:r>
      <w:r w:rsidR="00FE560E" w:rsidRPr="00BE5127">
        <w:rPr>
          <w:b/>
        </w:rPr>
        <w:t xml:space="preserve">qu’un examen médical systématique soit mis en place à la prison d’Abomey et qu’il soit effectué </w:t>
      </w:r>
      <w:r w:rsidR="006F1AC0">
        <w:rPr>
          <w:b/>
        </w:rPr>
        <w:t xml:space="preserve">dans </w:t>
      </w:r>
      <w:r w:rsidR="00FE560E" w:rsidRPr="00BE5127">
        <w:rPr>
          <w:b/>
        </w:rPr>
        <w:t xml:space="preserve">toutes </w:t>
      </w:r>
      <w:r w:rsidR="006F1AC0">
        <w:rPr>
          <w:b/>
        </w:rPr>
        <w:t xml:space="preserve">les </w:t>
      </w:r>
      <w:r w:rsidR="00FE560E" w:rsidRPr="00BE5127">
        <w:rPr>
          <w:b/>
        </w:rPr>
        <w:t xml:space="preserve">prisons par un médecin. </w:t>
      </w:r>
      <w:r w:rsidR="00393FA9">
        <w:rPr>
          <w:b/>
        </w:rPr>
        <w:t>À</w:t>
      </w:r>
      <w:r w:rsidR="00FE560E" w:rsidRPr="00BE5127">
        <w:rPr>
          <w:b/>
        </w:rPr>
        <w:t xml:space="preserve"> défaut, l’</w:t>
      </w:r>
      <w:r w:rsidR="00DC5639">
        <w:rPr>
          <w:b/>
        </w:rPr>
        <w:t>État</w:t>
      </w:r>
      <w:r w:rsidR="00FE560E" w:rsidRPr="00BE5127">
        <w:rPr>
          <w:b/>
        </w:rPr>
        <w:t xml:space="preserve"> partie devrait s’assurer qu’une consultation par un médecin peut se faire dans </w:t>
      </w:r>
      <w:r w:rsidR="006F1AC0">
        <w:rPr>
          <w:b/>
        </w:rPr>
        <w:t xml:space="preserve">de </w:t>
      </w:r>
      <w:r w:rsidR="00FE560E" w:rsidRPr="00BE5127">
        <w:rPr>
          <w:b/>
        </w:rPr>
        <w:t xml:space="preserve">brefs délais à la demande de l’infirmier. Le </w:t>
      </w:r>
      <w:r w:rsidR="00456F42">
        <w:rPr>
          <w:b/>
        </w:rPr>
        <w:t>Sous-Comité</w:t>
      </w:r>
      <w:r w:rsidR="00FE560E" w:rsidRPr="00BE5127">
        <w:rPr>
          <w:b/>
        </w:rPr>
        <w:t xml:space="preserve"> recommande</w:t>
      </w:r>
      <w:r w:rsidR="006F1AC0">
        <w:rPr>
          <w:b/>
        </w:rPr>
        <w:t xml:space="preserve"> à l’État partie</w:t>
      </w:r>
      <w:r w:rsidR="00B576A6">
        <w:rPr>
          <w:b/>
        </w:rPr>
        <w:t> : a) </w:t>
      </w:r>
      <w:r w:rsidR="00FE560E" w:rsidRPr="00BE5127">
        <w:rPr>
          <w:b/>
        </w:rPr>
        <w:t>d’assurer une dotation suffisante en médicaments et en matériel médical dans toutes les prisons visité</w:t>
      </w:r>
      <w:r w:rsidR="006F1AC0">
        <w:rPr>
          <w:b/>
        </w:rPr>
        <w:t>e</w:t>
      </w:r>
      <w:r w:rsidR="00FE560E" w:rsidRPr="00BE5127">
        <w:rPr>
          <w:b/>
        </w:rPr>
        <w:t>s</w:t>
      </w:r>
      <w:r w:rsidR="00F61EE8">
        <w:rPr>
          <w:b/>
        </w:rPr>
        <w:t>,</w:t>
      </w:r>
      <w:r w:rsidR="00FE560E" w:rsidRPr="00BE5127">
        <w:rPr>
          <w:b/>
        </w:rPr>
        <w:t xml:space="preserve"> </w:t>
      </w:r>
      <w:r w:rsidR="006F1AC0">
        <w:rPr>
          <w:b/>
        </w:rPr>
        <w:t xml:space="preserve">ce qui permettra </w:t>
      </w:r>
      <w:r w:rsidR="00FE560E" w:rsidRPr="00BE5127">
        <w:rPr>
          <w:b/>
        </w:rPr>
        <w:t>de susciter la confiance des détenus</w:t>
      </w:r>
      <w:r w:rsidR="00B576A6">
        <w:rPr>
          <w:b/>
        </w:rPr>
        <w:t xml:space="preserve"> malades à venir consulter ; b) </w:t>
      </w:r>
      <w:r w:rsidR="006F1AC0">
        <w:rPr>
          <w:b/>
        </w:rPr>
        <w:t xml:space="preserve">de </w:t>
      </w:r>
      <w:r w:rsidR="00FE560E" w:rsidRPr="00BE5127">
        <w:rPr>
          <w:b/>
        </w:rPr>
        <w:t>formaliser sous forme de convention l</w:t>
      </w:r>
      <w:r w:rsidR="00E92FC0">
        <w:rPr>
          <w:b/>
        </w:rPr>
        <w:t xml:space="preserve">’accès à la Couverture santé universelle </w:t>
      </w:r>
      <w:r w:rsidR="00FE560E" w:rsidRPr="00BE5127">
        <w:rPr>
          <w:b/>
        </w:rPr>
        <w:t xml:space="preserve">et </w:t>
      </w:r>
      <w:r w:rsidR="006F1AC0">
        <w:rPr>
          <w:b/>
        </w:rPr>
        <w:t xml:space="preserve">aux </w:t>
      </w:r>
      <w:r w:rsidR="00B576A6">
        <w:rPr>
          <w:b/>
        </w:rPr>
        <w:t>hôpitaux de proximité ; c) </w:t>
      </w:r>
      <w:r w:rsidR="006F1AC0">
        <w:rPr>
          <w:b/>
        </w:rPr>
        <w:t xml:space="preserve">de </w:t>
      </w:r>
      <w:r w:rsidR="00FE560E" w:rsidRPr="00BE5127">
        <w:rPr>
          <w:b/>
        </w:rPr>
        <w:t>doter les prisons de véhicule</w:t>
      </w:r>
      <w:r w:rsidR="006F1AC0">
        <w:rPr>
          <w:b/>
        </w:rPr>
        <w:t>s</w:t>
      </w:r>
      <w:r w:rsidR="00FE560E" w:rsidRPr="00BE5127">
        <w:rPr>
          <w:b/>
        </w:rPr>
        <w:t xml:space="preserve"> de transport </w:t>
      </w:r>
      <w:r w:rsidR="006F1AC0">
        <w:rPr>
          <w:b/>
        </w:rPr>
        <w:t xml:space="preserve">pour </w:t>
      </w:r>
      <w:r w:rsidR="00FE560E" w:rsidRPr="00BE5127">
        <w:rPr>
          <w:b/>
        </w:rPr>
        <w:t>assurer</w:t>
      </w:r>
      <w:r w:rsidR="00B576A6">
        <w:rPr>
          <w:b/>
        </w:rPr>
        <w:t xml:space="preserve"> les extractions médicales ; d) </w:t>
      </w:r>
      <w:r w:rsidR="006F1AC0">
        <w:rPr>
          <w:b/>
        </w:rPr>
        <w:t xml:space="preserve">de </w:t>
      </w:r>
      <w:r w:rsidR="00FE560E" w:rsidRPr="00BE5127">
        <w:rPr>
          <w:b/>
        </w:rPr>
        <w:t xml:space="preserve">pourvoir, dans les plus brefs délais, les </w:t>
      </w:r>
      <w:r w:rsidR="006F1AC0">
        <w:rPr>
          <w:b/>
        </w:rPr>
        <w:t xml:space="preserve">deux </w:t>
      </w:r>
      <w:r w:rsidR="00FE560E" w:rsidRPr="00BE5127">
        <w:rPr>
          <w:b/>
        </w:rPr>
        <w:t>postes vacants d’infirmiers à l</w:t>
      </w:r>
      <w:r w:rsidR="00B576A6">
        <w:rPr>
          <w:b/>
        </w:rPr>
        <w:t>a prison d’</w:t>
      </w:r>
      <w:proofErr w:type="spellStart"/>
      <w:r w:rsidR="00B576A6">
        <w:rPr>
          <w:b/>
        </w:rPr>
        <w:t>Akpro-Missérété</w:t>
      </w:r>
      <w:proofErr w:type="spellEnd"/>
      <w:r w:rsidR="00B576A6">
        <w:rPr>
          <w:b/>
        </w:rPr>
        <w:t> ; e) </w:t>
      </w:r>
      <w:r w:rsidR="006F1AC0">
        <w:rPr>
          <w:b/>
        </w:rPr>
        <w:t>d’</w:t>
      </w:r>
      <w:r w:rsidR="00FE560E" w:rsidRPr="00BE5127">
        <w:rPr>
          <w:b/>
        </w:rPr>
        <w:t>assurer une formation continue du personnel médical en lien avec les pathologies ou les public</w:t>
      </w:r>
      <w:r w:rsidR="006F1AC0">
        <w:rPr>
          <w:b/>
        </w:rPr>
        <w:t>s</w:t>
      </w:r>
      <w:r w:rsidR="00FE560E" w:rsidRPr="00BE5127">
        <w:rPr>
          <w:b/>
        </w:rPr>
        <w:t xml:space="preserve"> représe</w:t>
      </w:r>
      <w:r w:rsidR="00B576A6">
        <w:rPr>
          <w:b/>
        </w:rPr>
        <w:t>ntés ; f) </w:t>
      </w:r>
      <w:r w:rsidR="006F1AC0">
        <w:rPr>
          <w:b/>
        </w:rPr>
        <w:t xml:space="preserve">de </w:t>
      </w:r>
      <w:r w:rsidR="00E57C63" w:rsidRPr="00BE5127">
        <w:rPr>
          <w:b/>
        </w:rPr>
        <w:t>disposer d’un dossier</w:t>
      </w:r>
      <w:r w:rsidR="00FE560E" w:rsidRPr="00BE5127">
        <w:rPr>
          <w:b/>
        </w:rPr>
        <w:t xml:space="preserve"> médical individuel pour chaque patient et </w:t>
      </w:r>
      <w:r w:rsidR="006F1AC0">
        <w:rPr>
          <w:b/>
        </w:rPr>
        <w:t xml:space="preserve">de mettre en place </w:t>
      </w:r>
      <w:r w:rsidR="00FE560E" w:rsidRPr="00BE5127">
        <w:rPr>
          <w:b/>
        </w:rPr>
        <w:t>des registres de visites médicales des arrivants, des consultations, des extractions médicales et des décès.</w:t>
      </w:r>
      <w:r w:rsidR="00D85A95">
        <w:rPr>
          <w:b/>
        </w:rPr>
        <w:t xml:space="preserve"> </w:t>
      </w:r>
    </w:p>
    <w:p w14:paraId="2C58C16C" w14:textId="77777777" w:rsidR="00FE560E" w:rsidRPr="00FE560E" w:rsidRDefault="00F862BF" w:rsidP="001D1C14">
      <w:pPr>
        <w:pStyle w:val="H23G"/>
        <w:outlineLvl w:val="0"/>
      </w:pPr>
      <w:r>
        <w:lastRenderedPageBreak/>
        <w:tab/>
        <w:t>2</w:t>
      </w:r>
      <w:r w:rsidR="007F507D">
        <w:t>.</w:t>
      </w:r>
      <w:r w:rsidR="007F507D">
        <w:tab/>
      </w:r>
      <w:r w:rsidR="00FE560E" w:rsidRPr="00FE560E">
        <w:t>Hygiène, eau et assainissement</w:t>
      </w:r>
    </w:p>
    <w:p w14:paraId="64011DAE" w14:textId="46CB06E5" w:rsidR="00FE560E" w:rsidRPr="00FE560E" w:rsidRDefault="00D43F72" w:rsidP="009F2B56">
      <w:pPr>
        <w:pStyle w:val="SingleTxtG"/>
        <w:spacing w:line="220" w:lineRule="atLeast"/>
      </w:pPr>
      <w:r>
        <w:t>6</w:t>
      </w:r>
      <w:r w:rsidR="00F97EBB">
        <w:t>4</w:t>
      </w:r>
      <w:r w:rsidR="007F507D">
        <w:t>.</w:t>
      </w:r>
      <w:r w:rsidR="007F507D">
        <w:tab/>
      </w:r>
      <w:r w:rsidR="00FE560E" w:rsidRPr="00BE5127">
        <w:t>Dans les prisons de Cotonou et d’</w:t>
      </w:r>
      <w:proofErr w:type="spellStart"/>
      <w:r w:rsidR="00FE560E" w:rsidRPr="00BE5127">
        <w:t>Akpro-Missérété</w:t>
      </w:r>
      <w:proofErr w:type="spellEnd"/>
      <w:r w:rsidR="00FE560E" w:rsidRPr="00BE5127">
        <w:t xml:space="preserve">, le </w:t>
      </w:r>
      <w:r w:rsidR="00456F42">
        <w:t>Sous-Comité</w:t>
      </w:r>
      <w:r w:rsidR="00FE560E" w:rsidRPr="00BE5127">
        <w:t xml:space="preserve"> a constaté que les conditio</w:t>
      </w:r>
      <w:r w:rsidR="00E57C63" w:rsidRPr="00BE5127">
        <w:t>ns d’hygiène étaient convenables</w:t>
      </w:r>
      <w:r w:rsidR="00FE560E" w:rsidRPr="00BE5127">
        <w:t xml:space="preserve">, à part dans certains bâtiments situés dans la « grande cour » de la prison de Cotonou. Néanmoins, </w:t>
      </w:r>
      <w:r w:rsidR="006F1AC0">
        <w:t xml:space="preserve">il est ressorti </w:t>
      </w:r>
      <w:r w:rsidR="00FE560E" w:rsidRPr="00BE5127">
        <w:t>de certains entretiens avec les détenus</w:t>
      </w:r>
      <w:r w:rsidR="006F1AC0">
        <w:t xml:space="preserve"> </w:t>
      </w:r>
      <w:r w:rsidR="00FE560E" w:rsidRPr="00BE5127">
        <w:t xml:space="preserve">que certains détenus de la « grande cour » se trouvaient dans l’obligation de payer </w:t>
      </w:r>
      <w:r w:rsidR="006F1AC0">
        <w:t xml:space="preserve">pour </w:t>
      </w:r>
      <w:r w:rsidR="00FE560E" w:rsidRPr="00BE5127">
        <w:t>avoir accès à des toilettes</w:t>
      </w:r>
      <w:r w:rsidR="006F1AC0">
        <w:t xml:space="preserve"> </w:t>
      </w:r>
      <w:r w:rsidR="00FE560E" w:rsidRPr="00BE5127">
        <w:t xml:space="preserve">plus salubres. Le </w:t>
      </w:r>
      <w:r w:rsidR="00456F42">
        <w:t>Sous-Comité</w:t>
      </w:r>
      <w:r w:rsidR="00FE560E" w:rsidRPr="00BE5127">
        <w:t xml:space="preserve"> est particulièrement préoccupé par la situation d</w:t>
      </w:r>
      <w:r w:rsidR="0039435E">
        <w:t>e l</w:t>
      </w:r>
      <w:r w:rsidR="00FE560E" w:rsidRPr="00BE5127">
        <w:t>’hygiène et d</w:t>
      </w:r>
      <w:r w:rsidR="0039435E">
        <w:t>e l</w:t>
      </w:r>
      <w:r w:rsidR="00FE560E" w:rsidRPr="00BE5127">
        <w:t>’assainissement au sein de la prison d’Abomey qu</w:t>
      </w:r>
      <w:r w:rsidR="0039435E">
        <w:t xml:space="preserve">’il </w:t>
      </w:r>
      <w:r w:rsidR="00FE560E" w:rsidRPr="00BE5127">
        <w:t>considère comme déplorable et de nature à mettre en risque la santé des détenus. Il est également préoccupé par la difficulté majeure d’accès à l’e</w:t>
      </w:r>
      <w:r w:rsidR="00E57C63" w:rsidRPr="00BE5127">
        <w:t xml:space="preserve">au et </w:t>
      </w:r>
      <w:r w:rsidR="006F1AC0">
        <w:t xml:space="preserve">par </w:t>
      </w:r>
      <w:r w:rsidR="00E57C63" w:rsidRPr="00BE5127">
        <w:t xml:space="preserve">l’état </w:t>
      </w:r>
      <w:r w:rsidR="006F1AC0">
        <w:t xml:space="preserve">particulièrement </w:t>
      </w:r>
      <w:r w:rsidR="00E57C63" w:rsidRPr="00BE5127">
        <w:t>déplorable</w:t>
      </w:r>
      <w:r w:rsidR="00FE560E" w:rsidRPr="00BE5127">
        <w:t xml:space="preserve"> des latrines</w:t>
      </w:r>
      <w:r w:rsidR="00D85A95" w:rsidRPr="00BE5127">
        <w:t xml:space="preserve"> </w:t>
      </w:r>
      <w:r w:rsidR="00FE560E" w:rsidRPr="00BE5127">
        <w:t>qui dégageaient une odeur nauséabonde.</w:t>
      </w:r>
      <w:r w:rsidR="00FE560E" w:rsidRPr="00FE560E">
        <w:t xml:space="preserve"> </w:t>
      </w:r>
    </w:p>
    <w:p w14:paraId="19DC8710" w14:textId="3088BC2E" w:rsidR="00FE560E" w:rsidRPr="00E57C63" w:rsidRDefault="00D43F72" w:rsidP="009F2B56">
      <w:pPr>
        <w:pStyle w:val="SingleTxtG"/>
        <w:spacing w:line="220" w:lineRule="atLeast"/>
        <w:rPr>
          <w:b/>
        </w:rPr>
      </w:pPr>
      <w:r>
        <w:t>6</w:t>
      </w:r>
      <w:r w:rsidR="00F97EBB">
        <w:t>5</w:t>
      </w:r>
      <w:r w:rsidR="007F507D" w:rsidRPr="00123B15">
        <w:t>.</w:t>
      </w:r>
      <w:r w:rsidR="007F507D">
        <w:rPr>
          <w:b/>
        </w:rPr>
        <w:tab/>
      </w:r>
      <w:r w:rsidR="00FE560E" w:rsidRPr="00BE5127">
        <w:rPr>
          <w:b/>
        </w:rPr>
        <w:t xml:space="preserve">Le </w:t>
      </w:r>
      <w:r w:rsidR="00456F42">
        <w:rPr>
          <w:b/>
        </w:rPr>
        <w:t>Sous-Comité</w:t>
      </w:r>
      <w:r w:rsidR="00FE560E" w:rsidRPr="00BE5127">
        <w:rPr>
          <w:b/>
        </w:rPr>
        <w:t xml:space="preserve"> recommande </w:t>
      </w:r>
      <w:r w:rsidR="00787750" w:rsidRPr="00BE5127">
        <w:rPr>
          <w:b/>
        </w:rPr>
        <w:t>à</w:t>
      </w:r>
      <w:r w:rsidR="00FE560E" w:rsidRPr="00BE5127">
        <w:rPr>
          <w:b/>
        </w:rPr>
        <w:t xml:space="preserve"> l’</w:t>
      </w:r>
      <w:r w:rsidR="00DC5639">
        <w:rPr>
          <w:b/>
        </w:rPr>
        <w:t>État</w:t>
      </w:r>
      <w:r w:rsidR="008C0CAF">
        <w:rPr>
          <w:b/>
        </w:rPr>
        <w:t xml:space="preserve"> partie : a) </w:t>
      </w:r>
      <w:r w:rsidR="00FE560E" w:rsidRPr="00BE5127">
        <w:rPr>
          <w:b/>
        </w:rPr>
        <w:t xml:space="preserve">d’assurer un approvisionnement en eau courante potable à la prison d’Abomey et que celle-ci leur soit accessible </w:t>
      </w:r>
      <w:r w:rsidR="008C0CAF">
        <w:rPr>
          <w:b/>
        </w:rPr>
        <w:t>sans frais ; b) </w:t>
      </w:r>
      <w:r w:rsidR="00FE560E" w:rsidRPr="00BE5127">
        <w:rPr>
          <w:b/>
        </w:rPr>
        <w:t>d’assurer des travaux d’hygiène et d’assainissement</w:t>
      </w:r>
      <w:r w:rsidR="0039435E">
        <w:rPr>
          <w:b/>
        </w:rPr>
        <w:t>,</w:t>
      </w:r>
      <w:r w:rsidR="00FE560E" w:rsidRPr="00BE5127">
        <w:rPr>
          <w:b/>
        </w:rPr>
        <w:t xml:space="preserve"> en particulier d’y aménager des latrines convenables ; </w:t>
      </w:r>
      <w:r w:rsidR="00787750" w:rsidRPr="00BE5127">
        <w:rPr>
          <w:b/>
        </w:rPr>
        <w:t>c)</w:t>
      </w:r>
      <w:r w:rsidR="008C0CAF">
        <w:rPr>
          <w:b/>
        </w:rPr>
        <w:t> </w:t>
      </w:r>
      <w:r w:rsidR="00E57C63" w:rsidRPr="00BE5127">
        <w:rPr>
          <w:b/>
        </w:rPr>
        <w:t>d’assainir</w:t>
      </w:r>
      <w:r w:rsidR="00FE560E" w:rsidRPr="00BE5127">
        <w:rPr>
          <w:b/>
        </w:rPr>
        <w:t xml:space="preserve"> la prison d’Abomey et de </w:t>
      </w:r>
      <w:r w:rsidR="00802B8A">
        <w:rPr>
          <w:b/>
        </w:rPr>
        <w:t>mettre à la disposition d</w:t>
      </w:r>
      <w:r w:rsidR="00FE560E" w:rsidRPr="00BE5127">
        <w:rPr>
          <w:b/>
        </w:rPr>
        <w:t xml:space="preserve">es détenus </w:t>
      </w:r>
      <w:r w:rsidR="00802B8A">
        <w:rPr>
          <w:b/>
        </w:rPr>
        <w:t xml:space="preserve">des </w:t>
      </w:r>
      <w:r w:rsidR="00FE560E" w:rsidRPr="00BE5127">
        <w:rPr>
          <w:b/>
        </w:rPr>
        <w:t xml:space="preserve">produits d’hygiène ; </w:t>
      </w:r>
      <w:r w:rsidR="008C0CAF">
        <w:rPr>
          <w:b/>
        </w:rPr>
        <w:t>d) </w:t>
      </w:r>
      <w:r w:rsidR="00FE560E" w:rsidRPr="00BE5127">
        <w:rPr>
          <w:b/>
        </w:rPr>
        <w:t xml:space="preserve">de prendre des mesures </w:t>
      </w:r>
      <w:r w:rsidR="00E57C63" w:rsidRPr="00BE5127">
        <w:rPr>
          <w:b/>
        </w:rPr>
        <w:t>de collecte et d’évacuation des</w:t>
      </w:r>
      <w:r w:rsidR="00D85A95" w:rsidRPr="00BE5127">
        <w:rPr>
          <w:b/>
        </w:rPr>
        <w:t xml:space="preserve"> </w:t>
      </w:r>
      <w:r w:rsidR="00FE560E" w:rsidRPr="00BE5127">
        <w:rPr>
          <w:b/>
        </w:rPr>
        <w:t xml:space="preserve">déchets liquides et solides ainsi que </w:t>
      </w:r>
      <w:r w:rsidR="00BB31E6">
        <w:rPr>
          <w:b/>
        </w:rPr>
        <w:t>d</w:t>
      </w:r>
      <w:r w:rsidR="00FE560E" w:rsidRPr="00BE5127">
        <w:rPr>
          <w:b/>
        </w:rPr>
        <w:t>es excréments non pas par les détenus mais par des entreprises spécialisées afin de prévenir la propagation de maladies.</w:t>
      </w:r>
      <w:r w:rsidR="00FE560E" w:rsidRPr="00FE560E">
        <w:rPr>
          <w:b/>
        </w:rPr>
        <w:t xml:space="preserve"> </w:t>
      </w:r>
    </w:p>
    <w:p w14:paraId="3C36250A" w14:textId="77777777" w:rsidR="00FE560E" w:rsidRPr="00F862BF" w:rsidRDefault="00FE560E" w:rsidP="00F862BF">
      <w:pPr>
        <w:pStyle w:val="H1G"/>
      </w:pPr>
      <w:r w:rsidRPr="00F862BF">
        <w:tab/>
      </w:r>
      <w:r w:rsidR="00F862BF" w:rsidRPr="00F862BF">
        <w:t>D.</w:t>
      </w:r>
      <w:r w:rsidRPr="00F862BF">
        <w:tab/>
        <w:t>Mineurs en détention</w:t>
      </w:r>
    </w:p>
    <w:p w14:paraId="0437BB44" w14:textId="2D67B4CA" w:rsidR="00FE560E" w:rsidRPr="00FE560E" w:rsidRDefault="00D43F72" w:rsidP="00123B15">
      <w:pPr>
        <w:pStyle w:val="SingleTxtG"/>
      </w:pPr>
      <w:r>
        <w:t>6</w:t>
      </w:r>
      <w:r w:rsidR="00F97EBB">
        <w:t>6</w:t>
      </w:r>
      <w:r w:rsidR="00123B15">
        <w:t>.</w:t>
      </w:r>
      <w:r w:rsidR="00123B15">
        <w:tab/>
      </w:r>
      <w:r w:rsidR="00FE560E" w:rsidRPr="00FE560E">
        <w:t xml:space="preserve">Le </w:t>
      </w:r>
      <w:r w:rsidR="00456F42">
        <w:t>Sous-Comité</w:t>
      </w:r>
      <w:r w:rsidR="00FE560E" w:rsidRPr="00FE560E">
        <w:t xml:space="preserve"> a visité le Centre de </w:t>
      </w:r>
      <w:r w:rsidR="00E97F02">
        <w:t>s</w:t>
      </w:r>
      <w:r w:rsidR="00FE560E" w:rsidRPr="00FE560E">
        <w:t>auvegarde de l’</w:t>
      </w:r>
      <w:r w:rsidR="00E97F02">
        <w:t>e</w:t>
      </w:r>
      <w:r w:rsidR="00FE560E" w:rsidRPr="00FE560E">
        <w:t>nfance et de l’</w:t>
      </w:r>
      <w:r w:rsidR="00E97F02">
        <w:t>a</w:t>
      </w:r>
      <w:r w:rsidR="00FE560E" w:rsidRPr="00FE560E">
        <w:t>dolescence d’</w:t>
      </w:r>
      <w:proofErr w:type="spellStart"/>
      <w:r w:rsidR="00FE560E" w:rsidRPr="00FE560E">
        <w:t>Agblangandan</w:t>
      </w:r>
      <w:proofErr w:type="spellEnd"/>
      <w:r w:rsidR="00FE560E" w:rsidRPr="00FE560E">
        <w:t>, à Cotonou</w:t>
      </w:r>
      <w:r w:rsidR="00F61EE8">
        <w:t>,</w:t>
      </w:r>
      <w:r w:rsidR="00FE560E" w:rsidRPr="00FE560E">
        <w:t xml:space="preserve"> où séjournaient des mineurs en conflit avec la loi et placés sous la tutelle du juge des mineurs. Il a également rencontré les mineurs en détention dans les prisons d’Abomey et de Cotonou. S’il souligne positivement la politique développée par l’</w:t>
      </w:r>
      <w:r w:rsidR="00DC5639">
        <w:t>État</w:t>
      </w:r>
      <w:r w:rsidR="00FE560E" w:rsidRPr="00FE560E">
        <w:t xml:space="preserve"> partie tendant à éviter la détention des mineurs, le </w:t>
      </w:r>
      <w:r w:rsidR="00456F42">
        <w:t>Sous-Comité</w:t>
      </w:r>
      <w:r w:rsidR="00FE560E" w:rsidRPr="00FE560E">
        <w:t xml:space="preserve"> a</w:t>
      </w:r>
      <w:r w:rsidR="00D85A95">
        <w:t xml:space="preserve"> </w:t>
      </w:r>
      <w:r w:rsidR="00FE560E" w:rsidRPr="00FE560E">
        <w:t xml:space="preserve">constaté avec préoccupation que leurs conditions de détention n’étaient pas très adéquates </w:t>
      </w:r>
      <w:r w:rsidR="00E97F02">
        <w:t xml:space="preserve">ni </w:t>
      </w:r>
      <w:r w:rsidR="00FE560E" w:rsidRPr="00FE560E">
        <w:t xml:space="preserve">conformes aux normes internationales. D’une part, le </w:t>
      </w:r>
      <w:r w:rsidR="00456F42">
        <w:t>Sous-Comité</w:t>
      </w:r>
      <w:r w:rsidR="00FE560E" w:rsidRPr="00FE560E">
        <w:t xml:space="preserve"> est préoccupé par le fait que certains mineurs n’avaient accès à aucune activité scolaire </w:t>
      </w:r>
      <w:r w:rsidR="00E97F02">
        <w:t xml:space="preserve">ni </w:t>
      </w:r>
      <w:r w:rsidR="00FE560E" w:rsidRPr="00FE560E">
        <w:t>à de vraies formations qualifiantes.</w:t>
      </w:r>
      <w:r w:rsidR="00D85A95">
        <w:t xml:space="preserve"> </w:t>
      </w:r>
    </w:p>
    <w:p w14:paraId="6917CFE1" w14:textId="2C30C772" w:rsidR="00FE560E" w:rsidRPr="00FE560E" w:rsidRDefault="00D43F72" w:rsidP="00123B15">
      <w:pPr>
        <w:pStyle w:val="SingleTxtG"/>
      </w:pPr>
      <w:r>
        <w:t>6</w:t>
      </w:r>
      <w:r w:rsidR="00F97EBB">
        <w:t>7</w:t>
      </w:r>
      <w:r w:rsidR="00123B15" w:rsidRPr="00123B15">
        <w:t>.</w:t>
      </w:r>
      <w:r w:rsidR="00123B15">
        <w:rPr>
          <w:b/>
        </w:rPr>
        <w:tab/>
      </w:r>
      <w:r w:rsidR="00FE560E" w:rsidRPr="00BE5127">
        <w:rPr>
          <w:b/>
        </w:rPr>
        <w:t xml:space="preserve">Le </w:t>
      </w:r>
      <w:r w:rsidR="00456F42">
        <w:rPr>
          <w:b/>
        </w:rPr>
        <w:t>Sous-Comité</w:t>
      </w:r>
      <w:r w:rsidR="00FE560E" w:rsidRPr="00BE5127">
        <w:rPr>
          <w:b/>
        </w:rPr>
        <w:t xml:space="preserve"> appelle l’</w:t>
      </w:r>
      <w:r w:rsidR="00DC5639">
        <w:rPr>
          <w:b/>
        </w:rPr>
        <w:t>État</w:t>
      </w:r>
      <w:r w:rsidR="00FE560E" w:rsidRPr="00BE5127">
        <w:rPr>
          <w:b/>
        </w:rPr>
        <w:t xml:space="preserve"> partie à veiller à une meilleure salubrité des locaux du Centre et à augmenter les ressources </w:t>
      </w:r>
      <w:r w:rsidR="00E97F02">
        <w:rPr>
          <w:b/>
        </w:rPr>
        <w:t xml:space="preserve">qui lui sont </w:t>
      </w:r>
      <w:r w:rsidR="00FE560E" w:rsidRPr="00BE5127">
        <w:rPr>
          <w:b/>
        </w:rPr>
        <w:t xml:space="preserve">allouées afin de garantir un meilleur suivi </w:t>
      </w:r>
      <w:proofErr w:type="spellStart"/>
      <w:r w:rsidR="00FE560E" w:rsidRPr="00BE5127">
        <w:rPr>
          <w:b/>
        </w:rPr>
        <w:t>socioéducatif</w:t>
      </w:r>
      <w:proofErr w:type="spellEnd"/>
      <w:r w:rsidR="00FE560E" w:rsidRPr="00BE5127">
        <w:rPr>
          <w:b/>
        </w:rPr>
        <w:t xml:space="preserve"> des mineurs en </w:t>
      </w:r>
      <w:r w:rsidR="00E97F02">
        <w:rPr>
          <w:b/>
        </w:rPr>
        <w:t xml:space="preserve">veillant à ce </w:t>
      </w:r>
      <w:r w:rsidR="00FE560E" w:rsidRPr="00BE5127">
        <w:rPr>
          <w:b/>
        </w:rPr>
        <w:t xml:space="preserve">que </w:t>
      </w:r>
      <w:r w:rsidR="00E97F02">
        <w:rPr>
          <w:b/>
        </w:rPr>
        <w:t>d</w:t>
      </w:r>
      <w:r w:rsidR="00FE560E" w:rsidRPr="00BE5127">
        <w:rPr>
          <w:b/>
        </w:rPr>
        <w:t>es activités de formation so</w:t>
      </w:r>
      <w:r w:rsidR="00E97F02">
        <w:rPr>
          <w:b/>
        </w:rPr>
        <w:t>ie</w:t>
      </w:r>
      <w:r w:rsidR="00FE560E" w:rsidRPr="00BE5127">
        <w:rPr>
          <w:b/>
        </w:rPr>
        <w:t>nt proposées à tous pour préparer leur réinsertion dans la société. Il recommande aussi à l’</w:t>
      </w:r>
      <w:r w:rsidR="00DC5639">
        <w:rPr>
          <w:b/>
        </w:rPr>
        <w:t>État</w:t>
      </w:r>
      <w:r w:rsidR="00FE560E" w:rsidRPr="00BE5127">
        <w:rPr>
          <w:b/>
        </w:rPr>
        <w:t xml:space="preserve"> partie d’améliorer</w:t>
      </w:r>
      <w:r w:rsidR="00E97F02">
        <w:rPr>
          <w:b/>
        </w:rPr>
        <w:t xml:space="preserve"> en quantité et en qualité</w:t>
      </w:r>
      <w:r w:rsidR="00FE560E" w:rsidRPr="00BE5127">
        <w:rPr>
          <w:b/>
        </w:rPr>
        <w:t xml:space="preserve"> l’alimentation </w:t>
      </w:r>
      <w:r w:rsidR="00E97F02">
        <w:rPr>
          <w:b/>
        </w:rPr>
        <w:t xml:space="preserve">proposée </w:t>
      </w:r>
      <w:r w:rsidR="00FE560E" w:rsidRPr="00BE5127">
        <w:rPr>
          <w:b/>
        </w:rPr>
        <w:t>dans le Centre</w:t>
      </w:r>
      <w:r w:rsidR="00E97F02">
        <w:rPr>
          <w:b/>
        </w:rPr>
        <w:t>.</w:t>
      </w:r>
    </w:p>
    <w:p w14:paraId="518EE313" w14:textId="77777777" w:rsidR="00FE560E" w:rsidRPr="00FE560E" w:rsidRDefault="00FE560E" w:rsidP="001D1C14">
      <w:pPr>
        <w:pStyle w:val="HChG"/>
        <w:outlineLvl w:val="0"/>
      </w:pPr>
      <w:r w:rsidRPr="00FE560E">
        <w:tab/>
        <w:t>VI.</w:t>
      </w:r>
      <w:r w:rsidRPr="00FE560E">
        <w:tab/>
        <w:t xml:space="preserve">Fonctionnement de la justice et politique pénale </w:t>
      </w:r>
    </w:p>
    <w:p w14:paraId="71AA1ECD" w14:textId="77777777" w:rsidR="00FE560E" w:rsidRPr="00FE560E" w:rsidRDefault="00FE560E" w:rsidP="00123B15">
      <w:pPr>
        <w:pStyle w:val="H1G"/>
      </w:pPr>
      <w:r w:rsidRPr="00FE560E">
        <w:tab/>
        <w:t>A.</w:t>
      </w:r>
      <w:r w:rsidRPr="00FE560E">
        <w:tab/>
        <w:t xml:space="preserve">Objectifs du système de justice </w:t>
      </w:r>
    </w:p>
    <w:p w14:paraId="266C8294" w14:textId="06495764" w:rsidR="00FE560E" w:rsidRPr="00FE560E" w:rsidRDefault="00F97EBB" w:rsidP="00123B15">
      <w:pPr>
        <w:pStyle w:val="SingleTxtG"/>
      </w:pPr>
      <w:r>
        <w:t>68</w:t>
      </w:r>
      <w:r w:rsidR="00123B15">
        <w:t>.</w:t>
      </w:r>
      <w:r w:rsidR="00123B15">
        <w:tab/>
      </w:r>
      <w:r w:rsidR="00FE560E" w:rsidRPr="00FE560E">
        <w:t xml:space="preserve">Le système de justice pénale du Bénin a amorcé un pas décisif avec l’adoption et l’entrée en vigueur du nouveau Code de procédure pénale qui doit encore être mis en œuvre dans toutes ses dispositions, mais cette architecture restera incomplète </w:t>
      </w:r>
      <w:r w:rsidR="00FE560E" w:rsidRPr="00E20F18">
        <w:t>tant que</w:t>
      </w:r>
      <w:r w:rsidR="00FE560E" w:rsidRPr="003455EF">
        <w:t xml:space="preserve"> le</w:t>
      </w:r>
      <w:r w:rsidR="00FE560E" w:rsidRPr="00FE560E">
        <w:t xml:space="preserve"> projet de Code pénal ne sera pas adopté afin d’offrir à l’</w:t>
      </w:r>
      <w:r w:rsidR="00DC5639">
        <w:t>État</w:t>
      </w:r>
      <w:r w:rsidR="00FE560E" w:rsidRPr="00FE560E">
        <w:t xml:space="preserve"> partie un cadre complet, propice à une bonne administration de la justice</w:t>
      </w:r>
      <w:r w:rsidR="004A560F">
        <w:t>,</w:t>
      </w:r>
      <w:r w:rsidR="00FE560E" w:rsidRPr="00FE560E">
        <w:t xml:space="preserve"> et une vision de sa </w:t>
      </w:r>
      <w:r w:rsidR="00FE560E" w:rsidRPr="00271986">
        <w:t>poli</w:t>
      </w:r>
      <w:r w:rsidR="00271986">
        <w:t xml:space="preserve">tique </w:t>
      </w:r>
      <w:r w:rsidR="00FE560E" w:rsidRPr="003B6C1F">
        <w:t>pénale</w:t>
      </w:r>
      <w:r w:rsidR="00FE560E" w:rsidRPr="00271986">
        <w:t>.</w:t>
      </w:r>
      <w:r w:rsidR="00FE560E" w:rsidRPr="00FE560E">
        <w:t xml:space="preserve"> </w:t>
      </w:r>
    </w:p>
    <w:p w14:paraId="2BDA3505" w14:textId="0FAB440E" w:rsidR="00FE560E" w:rsidRPr="00FE560E" w:rsidRDefault="00F97EBB" w:rsidP="00123B15">
      <w:pPr>
        <w:pStyle w:val="SingleTxtG"/>
      </w:pPr>
      <w:r>
        <w:t>69</w:t>
      </w:r>
      <w:r w:rsidR="00123B15" w:rsidRPr="00123B15">
        <w:t>.</w:t>
      </w:r>
      <w:r w:rsidR="00123B15">
        <w:rPr>
          <w:b/>
        </w:rPr>
        <w:tab/>
      </w:r>
      <w:r w:rsidR="00FE560E" w:rsidRPr="00FE560E">
        <w:rPr>
          <w:b/>
        </w:rPr>
        <w:t xml:space="preserve">Le </w:t>
      </w:r>
      <w:r w:rsidR="00456F42">
        <w:rPr>
          <w:b/>
        </w:rPr>
        <w:t>Sous-Comité</w:t>
      </w:r>
      <w:r w:rsidR="00FE560E" w:rsidRPr="00FE560E">
        <w:rPr>
          <w:b/>
        </w:rPr>
        <w:t xml:space="preserve"> invite l’</w:t>
      </w:r>
      <w:r w:rsidR="00DC5639">
        <w:rPr>
          <w:b/>
        </w:rPr>
        <w:t>État</w:t>
      </w:r>
      <w:r w:rsidR="00FE560E" w:rsidRPr="00FE560E">
        <w:rPr>
          <w:b/>
        </w:rPr>
        <w:t xml:space="preserve"> partie à mener une réflexion d’ensemble sur les objectifs de sa justice pénale sur les points </w:t>
      </w:r>
      <w:r w:rsidR="00271986">
        <w:rPr>
          <w:b/>
        </w:rPr>
        <w:t xml:space="preserve">traités </w:t>
      </w:r>
      <w:r w:rsidR="00FE560E" w:rsidRPr="00FE560E">
        <w:rPr>
          <w:b/>
        </w:rPr>
        <w:t xml:space="preserve">ci-dessus et </w:t>
      </w:r>
      <w:r w:rsidR="00271986">
        <w:rPr>
          <w:b/>
        </w:rPr>
        <w:t xml:space="preserve">à </w:t>
      </w:r>
      <w:r w:rsidR="00FE560E" w:rsidRPr="00FE560E">
        <w:rPr>
          <w:b/>
        </w:rPr>
        <w:t>lui donn</w:t>
      </w:r>
      <w:r w:rsidR="00271986">
        <w:rPr>
          <w:b/>
        </w:rPr>
        <w:t xml:space="preserve">er </w:t>
      </w:r>
      <w:r w:rsidR="00FE560E" w:rsidRPr="00FE560E">
        <w:rPr>
          <w:b/>
        </w:rPr>
        <w:t>les moyens nécessaires à sa réalisation.</w:t>
      </w:r>
      <w:r w:rsidR="00D85A95">
        <w:rPr>
          <w:b/>
        </w:rPr>
        <w:t xml:space="preserve"> </w:t>
      </w:r>
    </w:p>
    <w:p w14:paraId="6D30BEB4" w14:textId="77777777" w:rsidR="00FE560E" w:rsidRPr="00FE560E" w:rsidRDefault="00FE560E" w:rsidP="00123B15">
      <w:pPr>
        <w:pStyle w:val="H1G"/>
      </w:pPr>
      <w:r w:rsidRPr="00FE560E">
        <w:tab/>
        <w:t>B.</w:t>
      </w:r>
      <w:r w:rsidRPr="00FE560E">
        <w:tab/>
        <w:t>Cadre normatif</w:t>
      </w:r>
    </w:p>
    <w:p w14:paraId="021100F2" w14:textId="65183062" w:rsidR="00FE560E" w:rsidRPr="00D1165E" w:rsidRDefault="00D1165E" w:rsidP="001D1C14">
      <w:pPr>
        <w:pStyle w:val="H23G"/>
        <w:outlineLvl w:val="0"/>
      </w:pPr>
      <w:r>
        <w:tab/>
        <w:t>1.</w:t>
      </w:r>
      <w:r w:rsidR="009F2B56">
        <w:tab/>
        <w:t>Le Code pénal</w:t>
      </w:r>
    </w:p>
    <w:p w14:paraId="615DF9A3" w14:textId="77C646CE" w:rsidR="00FE560E" w:rsidRPr="00FE560E" w:rsidRDefault="008C6560" w:rsidP="00123B15">
      <w:pPr>
        <w:pStyle w:val="SingleTxtG"/>
      </w:pPr>
      <w:r>
        <w:t>7</w:t>
      </w:r>
      <w:r w:rsidR="00F97EBB">
        <w:t>0</w:t>
      </w:r>
      <w:r w:rsidR="00123B15">
        <w:t>.</w:t>
      </w:r>
      <w:r w:rsidR="00123B15">
        <w:tab/>
      </w:r>
      <w:r w:rsidR="00FE560E" w:rsidRPr="00FE560E">
        <w:t xml:space="preserve">Dans son précédent rapport, le </w:t>
      </w:r>
      <w:r w:rsidR="00456F42">
        <w:t>Sous-Comité</w:t>
      </w:r>
      <w:r w:rsidR="00FE560E" w:rsidRPr="00FE560E">
        <w:t xml:space="preserve"> avait recommandé que l’</w:t>
      </w:r>
      <w:r w:rsidR="00DC5639">
        <w:t>État</w:t>
      </w:r>
      <w:r w:rsidR="00FE560E" w:rsidRPr="00FE560E">
        <w:t xml:space="preserve"> partie adopte le projet de</w:t>
      </w:r>
      <w:r w:rsidR="00D85A95">
        <w:t xml:space="preserve"> </w:t>
      </w:r>
      <w:r w:rsidR="00FE560E" w:rsidRPr="00FE560E">
        <w:t>Code pénal.</w:t>
      </w:r>
      <w:r w:rsidR="00D85A95">
        <w:t xml:space="preserve"> </w:t>
      </w:r>
      <w:r w:rsidR="00FE560E" w:rsidRPr="00FE560E">
        <w:t xml:space="preserve">Le </w:t>
      </w:r>
      <w:r w:rsidR="00456F42">
        <w:t>Sous-Comité</w:t>
      </w:r>
      <w:r w:rsidR="00D85A95">
        <w:t xml:space="preserve"> </w:t>
      </w:r>
      <w:r w:rsidR="00FE560E" w:rsidRPr="00FE560E">
        <w:t xml:space="preserve">prend note des informations </w:t>
      </w:r>
      <w:r w:rsidR="00265BE3">
        <w:t>que lui ont communiqué</w:t>
      </w:r>
      <w:r w:rsidR="00303776">
        <w:t>es</w:t>
      </w:r>
      <w:r w:rsidR="00265BE3">
        <w:t xml:space="preserve"> l</w:t>
      </w:r>
      <w:r w:rsidR="00FE560E" w:rsidRPr="00FE560E">
        <w:t>es autorités nationales</w:t>
      </w:r>
      <w:r w:rsidR="00D85A95">
        <w:t xml:space="preserve"> </w:t>
      </w:r>
      <w:r w:rsidR="00265BE3">
        <w:t xml:space="preserve">selon lesquelles </w:t>
      </w:r>
      <w:r w:rsidR="00FE560E" w:rsidRPr="00FE560E">
        <w:t xml:space="preserve">le projet de Code pénal était toujours </w:t>
      </w:r>
      <w:r w:rsidR="00FE560E" w:rsidRPr="00FE560E">
        <w:lastRenderedPageBreak/>
        <w:t xml:space="preserve">en procédure d’adoption au niveau de l’Assemblée nationale. </w:t>
      </w:r>
      <w:r w:rsidR="00447836">
        <w:t xml:space="preserve">Le </w:t>
      </w:r>
      <w:r w:rsidR="00456F42">
        <w:t>Sous-Comité</w:t>
      </w:r>
      <w:r w:rsidR="00FE560E" w:rsidRPr="00FE560E">
        <w:t xml:space="preserve"> s’interroge sur les obstacles qui empêchent son adoption.</w:t>
      </w:r>
      <w:r w:rsidR="00D85A95">
        <w:t xml:space="preserve"> </w:t>
      </w:r>
    </w:p>
    <w:p w14:paraId="6D3EC51F" w14:textId="78EE8B71" w:rsidR="00FE560E" w:rsidRPr="00FE560E" w:rsidRDefault="008C6560" w:rsidP="00687439">
      <w:pPr>
        <w:pStyle w:val="SingleTxtG"/>
        <w:spacing w:line="220" w:lineRule="atLeast"/>
      </w:pPr>
      <w:r>
        <w:t>7</w:t>
      </w:r>
      <w:r w:rsidR="00F97EBB">
        <w:t>1</w:t>
      </w:r>
      <w:r w:rsidR="00123B15">
        <w:t>.</w:t>
      </w:r>
      <w:r w:rsidR="00123B15">
        <w:tab/>
      </w:r>
      <w:r w:rsidR="00FE560E" w:rsidRPr="00FE560E">
        <w:t xml:space="preserve">Le </w:t>
      </w:r>
      <w:r w:rsidR="00456F42">
        <w:t>Sous-Comité</w:t>
      </w:r>
      <w:r w:rsidR="00FE560E" w:rsidRPr="00FE560E">
        <w:t xml:space="preserve"> est préoccupé par le fait que le Code pénal actuel ne contient pas de disposition définissant et incriminant expressément la torture. </w:t>
      </w:r>
      <w:r w:rsidR="00447836">
        <w:t>L</w:t>
      </w:r>
      <w:r w:rsidR="00FE560E" w:rsidRPr="00FE560E">
        <w:t>’inclusion de l’interdiction de</w:t>
      </w:r>
      <w:r w:rsidR="00D85A95">
        <w:t xml:space="preserve"> </w:t>
      </w:r>
      <w:r w:rsidR="003C36E5">
        <w:t xml:space="preserve">la </w:t>
      </w:r>
      <w:r w:rsidR="00FE560E" w:rsidRPr="00FE560E">
        <w:t xml:space="preserve">torture dans </w:t>
      </w:r>
      <w:r w:rsidR="00265BE3">
        <w:t>l</w:t>
      </w:r>
      <w:r w:rsidR="00FE560E" w:rsidRPr="00FE560E">
        <w:t xml:space="preserve">a législation pénale </w:t>
      </w:r>
      <w:r w:rsidR="00265BE3">
        <w:t xml:space="preserve">de l’État partie </w:t>
      </w:r>
      <w:r w:rsidR="00FE560E" w:rsidRPr="00FE560E">
        <w:t>est non seulement une garantie de prévention contre la torture mais aussi contre l’impunité dans la mesure où elle permet aux victimes de porter plainte et aux organes judiciaires d</w:t>
      </w:r>
      <w:r w:rsidR="000D0E2A">
        <w:t>’</w:t>
      </w:r>
      <w:r w:rsidR="00FE560E" w:rsidRPr="00FE560E">
        <w:t>établir et statuer sur des faits définis par le Code pénal.</w:t>
      </w:r>
    </w:p>
    <w:p w14:paraId="1C1D1E1D" w14:textId="5FA7DDD7" w:rsidR="00FE560E" w:rsidRPr="00FE560E" w:rsidRDefault="008C6560" w:rsidP="00687439">
      <w:pPr>
        <w:pStyle w:val="SingleTxtG"/>
        <w:spacing w:line="220" w:lineRule="atLeast"/>
      </w:pPr>
      <w:r>
        <w:t>7</w:t>
      </w:r>
      <w:r w:rsidR="00F97EBB">
        <w:t>2</w:t>
      </w:r>
      <w:r w:rsidR="00123B15">
        <w:t>.</w:t>
      </w:r>
      <w:r w:rsidR="00123B15">
        <w:tab/>
      </w:r>
      <w:r w:rsidR="00FE560E" w:rsidRPr="00FE560E">
        <w:t xml:space="preserve">Le </w:t>
      </w:r>
      <w:r w:rsidR="00456F42">
        <w:t>Sous-Comité</w:t>
      </w:r>
      <w:r w:rsidR="00FE560E" w:rsidRPr="00FE560E">
        <w:t xml:space="preserve"> se félicite que le Bénin </w:t>
      </w:r>
      <w:r w:rsidR="00FE560E" w:rsidRPr="003455EF">
        <w:t>ait accédé, le 5 juillet 2012</w:t>
      </w:r>
      <w:r w:rsidR="00FE560E" w:rsidRPr="00E20F18">
        <w:t xml:space="preserve">, au </w:t>
      </w:r>
      <w:r w:rsidR="009E790C" w:rsidRPr="0087483B">
        <w:t xml:space="preserve">Deuxième </w:t>
      </w:r>
      <w:r w:rsidR="00FE560E" w:rsidRPr="003455EF">
        <w:t>Protocole facultatif se rapportant au Pacte international relatif aux droits civils et politiques, visant à abolir la peine de mort.</w:t>
      </w:r>
      <w:r w:rsidR="00FE560E" w:rsidRPr="00E20F18">
        <w:t xml:space="preserve"> Cependant, le</w:t>
      </w:r>
      <w:r w:rsidR="00FE560E" w:rsidRPr="00FE560E">
        <w:t xml:space="preserve"> </w:t>
      </w:r>
      <w:r w:rsidR="00456F42">
        <w:t>Sous-Comité</w:t>
      </w:r>
      <w:r w:rsidR="00FE560E" w:rsidRPr="00FE560E">
        <w:t xml:space="preserve"> a noté que l’accession </w:t>
      </w:r>
      <w:r w:rsidR="00265BE3">
        <w:t xml:space="preserve">à ce </w:t>
      </w:r>
      <w:r w:rsidR="00FE560E" w:rsidRPr="00FE560E">
        <w:t>Protocole ne s’</w:t>
      </w:r>
      <w:r w:rsidR="003C36E5">
        <w:t xml:space="preserve">était </w:t>
      </w:r>
      <w:r w:rsidR="00FE560E" w:rsidRPr="00FE560E">
        <w:t xml:space="preserve">pas accompagnée d’une abolition expresse de cette peine de la </w:t>
      </w:r>
      <w:r w:rsidR="00123B15">
        <w:t xml:space="preserve">législation pénale béninoise. </w:t>
      </w:r>
      <w:r w:rsidR="003C36E5">
        <w:t xml:space="preserve">Il est ressorti </w:t>
      </w:r>
      <w:r w:rsidR="00FE560E" w:rsidRPr="00FE560E">
        <w:t xml:space="preserve">des entretiens </w:t>
      </w:r>
      <w:r w:rsidR="003C36E5">
        <w:t xml:space="preserve">du Sous-Comité </w:t>
      </w:r>
      <w:r w:rsidR="00FE560E" w:rsidRPr="00FE560E">
        <w:t>avec les autorités nationales et les personnes condamnées à mort</w:t>
      </w:r>
      <w:r w:rsidR="003C36E5">
        <w:t xml:space="preserve"> </w:t>
      </w:r>
      <w:r w:rsidR="00FE560E" w:rsidRPr="00FE560E">
        <w:t>que les peines de mort préalablement prononcées à l’encontre des 14 personnes en détention à la prison d’</w:t>
      </w:r>
      <w:proofErr w:type="spellStart"/>
      <w:r w:rsidR="00FE560E" w:rsidRPr="00FE560E">
        <w:t>Akpro-</w:t>
      </w:r>
      <w:r w:rsidR="00C01B24">
        <w:t>Missérété</w:t>
      </w:r>
      <w:proofErr w:type="spellEnd"/>
      <w:r w:rsidR="00C01B24">
        <w:t xml:space="preserve"> n’</w:t>
      </w:r>
      <w:r w:rsidR="00AC57E2">
        <w:t xml:space="preserve">avaient </w:t>
      </w:r>
      <w:r w:rsidR="00C01B24">
        <w:t>pas été aménagées</w:t>
      </w:r>
      <w:r w:rsidR="00FE560E" w:rsidRPr="00FE560E">
        <w:t xml:space="preserve"> au regard de cette nouvelle situation</w:t>
      </w:r>
      <w:r w:rsidR="00265BE3">
        <w:t>.</w:t>
      </w:r>
    </w:p>
    <w:p w14:paraId="24190F16" w14:textId="6F1020F6" w:rsidR="00FE560E" w:rsidRPr="00FE560E" w:rsidRDefault="008C6560" w:rsidP="00123B15">
      <w:pPr>
        <w:pStyle w:val="SingleTxtG"/>
        <w:rPr>
          <w:b/>
          <w:bCs/>
        </w:rPr>
      </w:pPr>
      <w:r>
        <w:t>7</w:t>
      </w:r>
      <w:r w:rsidR="00F97EBB">
        <w:t>3</w:t>
      </w:r>
      <w:r w:rsidR="00123B15" w:rsidRPr="00123B15">
        <w:t>.</w:t>
      </w:r>
      <w:r w:rsidR="00123B15">
        <w:rPr>
          <w:b/>
        </w:rPr>
        <w:tab/>
      </w:r>
      <w:r w:rsidR="00FE560E" w:rsidRPr="00FE560E">
        <w:rPr>
          <w:b/>
        </w:rPr>
        <w:t xml:space="preserve">Le </w:t>
      </w:r>
      <w:r w:rsidR="00456F42">
        <w:rPr>
          <w:b/>
        </w:rPr>
        <w:t>Sous-Comité</w:t>
      </w:r>
      <w:r w:rsidR="00FE560E" w:rsidRPr="00FE560E">
        <w:rPr>
          <w:b/>
        </w:rPr>
        <w:t xml:space="preserve"> recommande aux autorités béninoises : a) d’adopter dans les </w:t>
      </w:r>
      <w:r w:rsidR="00AC57E2">
        <w:rPr>
          <w:b/>
        </w:rPr>
        <w:t xml:space="preserve">plus </w:t>
      </w:r>
      <w:r w:rsidR="00FE560E" w:rsidRPr="00FE560E">
        <w:rPr>
          <w:b/>
        </w:rPr>
        <w:t>brefs délais le projet de Code pénal et</w:t>
      </w:r>
      <w:r w:rsidR="00D85A95">
        <w:rPr>
          <w:b/>
        </w:rPr>
        <w:t xml:space="preserve"> </w:t>
      </w:r>
      <w:r w:rsidR="00AC57E2">
        <w:rPr>
          <w:b/>
        </w:rPr>
        <w:t xml:space="preserve">de </w:t>
      </w:r>
      <w:r w:rsidR="00FE560E" w:rsidRPr="00FE560E">
        <w:rPr>
          <w:b/>
        </w:rPr>
        <w:t xml:space="preserve">sensibiliser les différents acteurs de la justice à sa mise en œuvre ; b) d’inclure </w:t>
      </w:r>
      <w:r w:rsidR="00AC57E2">
        <w:rPr>
          <w:b/>
        </w:rPr>
        <w:t xml:space="preserve">dans ce projet </w:t>
      </w:r>
      <w:r w:rsidR="00FE560E" w:rsidRPr="00FE560E">
        <w:rPr>
          <w:b/>
        </w:rPr>
        <w:t>des dispositions définissant et criminalisant la torture ; c)</w:t>
      </w:r>
      <w:r w:rsidR="00D85A95">
        <w:rPr>
          <w:b/>
        </w:rPr>
        <w:t xml:space="preserve"> </w:t>
      </w:r>
      <w:r w:rsidR="00FE560E" w:rsidRPr="00FE560E">
        <w:rPr>
          <w:b/>
        </w:rPr>
        <w:t>d’</w:t>
      </w:r>
      <w:r w:rsidR="00FE560E" w:rsidRPr="00FE560E">
        <w:rPr>
          <w:b/>
          <w:bCs/>
        </w:rPr>
        <w:t xml:space="preserve">abolir la peine de mort de son droit pénal afin de donner plein effet aux dispositions du </w:t>
      </w:r>
      <w:r w:rsidR="00265BE3">
        <w:rPr>
          <w:b/>
          <w:bCs/>
        </w:rPr>
        <w:t xml:space="preserve">Deuxième </w:t>
      </w:r>
      <w:r w:rsidR="00FE560E" w:rsidRPr="00FE560E">
        <w:rPr>
          <w:b/>
          <w:bCs/>
        </w:rPr>
        <w:t xml:space="preserve">Protocole ; d) </w:t>
      </w:r>
      <w:r w:rsidR="00AC57E2">
        <w:rPr>
          <w:b/>
          <w:bCs/>
        </w:rPr>
        <w:t xml:space="preserve">de </w:t>
      </w:r>
      <w:r w:rsidR="00FE560E" w:rsidRPr="00FE560E">
        <w:rPr>
          <w:b/>
          <w:bCs/>
        </w:rPr>
        <w:t>réviser/réexaminer la situation juridique des personnes condamnées à mort eu égard à l’accession de l’</w:t>
      </w:r>
      <w:r w:rsidR="00DC5639">
        <w:rPr>
          <w:b/>
          <w:bCs/>
        </w:rPr>
        <w:t>État</w:t>
      </w:r>
      <w:r w:rsidR="00FE560E" w:rsidRPr="00FE560E">
        <w:rPr>
          <w:b/>
          <w:bCs/>
        </w:rPr>
        <w:t xml:space="preserve"> partie à ce Protocole. </w:t>
      </w:r>
    </w:p>
    <w:p w14:paraId="70647C95" w14:textId="60C6C7E6" w:rsidR="00FE560E" w:rsidRPr="00FE560E" w:rsidRDefault="008C6560" w:rsidP="00020FD7">
      <w:pPr>
        <w:pStyle w:val="SingleTxtG"/>
      </w:pPr>
      <w:r>
        <w:t>7</w:t>
      </w:r>
      <w:r w:rsidR="00F97EBB">
        <w:t>4</w:t>
      </w:r>
      <w:r w:rsidR="00123B15">
        <w:t>.</w:t>
      </w:r>
      <w:r w:rsidR="00123B15">
        <w:tab/>
      </w:r>
      <w:r w:rsidR="00FE560E" w:rsidRPr="00FE560E">
        <w:t xml:space="preserve">Le </w:t>
      </w:r>
      <w:r w:rsidR="00456F42">
        <w:t>Sous-Comité</w:t>
      </w:r>
      <w:r w:rsidR="00FE560E" w:rsidRPr="00FE560E">
        <w:t xml:space="preserve"> a été frappé par la présence en détention de personnes très âgées (</w:t>
      </w:r>
      <w:r w:rsidR="004A6DDF">
        <w:t xml:space="preserve">certaines ayant </w:t>
      </w:r>
      <w:r w:rsidR="00FE560E" w:rsidRPr="00FE560E">
        <w:t>plus de 80 ans) et qui purgeaient des peines assez longues souvent</w:t>
      </w:r>
      <w:r w:rsidR="00D85A95">
        <w:t xml:space="preserve"> </w:t>
      </w:r>
      <w:r w:rsidR="00FE560E" w:rsidRPr="00FE560E">
        <w:t xml:space="preserve">pour faits de sorcellerie. </w:t>
      </w:r>
      <w:r w:rsidR="00265BE3">
        <w:t xml:space="preserve">Le Sous-Comité note </w:t>
      </w:r>
      <w:r w:rsidR="00020FD7">
        <w:t>e</w:t>
      </w:r>
      <w:r w:rsidR="00FE560E" w:rsidRPr="00FE560E">
        <w:t>n plus la grande vulnérabilité de ces personnes</w:t>
      </w:r>
      <w:r w:rsidR="00265BE3">
        <w:t>. Il</w:t>
      </w:r>
      <w:r w:rsidR="00FE560E" w:rsidRPr="00FE560E">
        <w:t xml:space="preserve"> estime que la qualification de faits </w:t>
      </w:r>
      <w:r w:rsidR="004A6DDF">
        <w:t xml:space="preserve">de </w:t>
      </w:r>
      <w:r w:rsidR="00FE560E" w:rsidRPr="00FE560E">
        <w:t xml:space="preserve">sorcellerie et </w:t>
      </w:r>
      <w:r w:rsidR="004A6DDF">
        <w:t xml:space="preserve">de </w:t>
      </w:r>
      <w:r w:rsidR="00FE560E" w:rsidRPr="00FE560E">
        <w:t xml:space="preserve">charlatanisme en infraction </w:t>
      </w:r>
      <w:r w:rsidR="00FE560E" w:rsidRPr="002F2629">
        <w:t xml:space="preserve">pénale peut poser un problème </w:t>
      </w:r>
      <w:r w:rsidR="004A6DDF" w:rsidRPr="002F2629">
        <w:t xml:space="preserve">s’agissant </w:t>
      </w:r>
      <w:r w:rsidR="00FE560E" w:rsidRPr="002F2629">
        <w:t>de déterminer d</w:t>
      </w:r>
      <w:r w:rsidR="004A6DDF" w:rsidRPr="002F2629">
        <w:t xml:space="preserve">es </w:t>
      </w:r>
      <w:r w:rsidR="00FE560E" w:rsidRPr="002F2629">
        <w:t>éléments de preuves matérielles relati</w:t>
      </w:r>
      <w:r w:rsidR="004A6DDF" w:rsidRPr="002F2629">
        <w:t>fs</w:t>
      </w:r>
      <w:r w:rsidR="00FE560E" w:rsidRPr="002F2629">
        <w:t xml:space="preserve"> à la constitution d’une infraction pénale</w:t>
      </w:r>
      <w:r w:rsidR="00FE560E" w:rsidRPr="00FE560E">
        <w:t xml:space="preserve">. </w:t>
      </w:r>
    </w:p>
    <w:p w14:paraId="5A0C45CE" w14:textId="40EB22FF" w:rsidR="00FE560E" w:rsidRPr="00FE560E" w:rsidRDefault="008C6560" w:rsidP="00123B15">
      <w:pPr>
        <w:pStyle w:val="SingleTxtG"/>
      </w:pPr>
      <w:r>
        <w:t>7</w:t>
      </w:r>
      <w:r w:rsidR="00F97EBB">
        <w:t>5</w:t>
      </w:r>
      <w:r w:rsidR="00123B15">
        <w:t>.</w:t>
      </w:r>
      <w:r w:rsidR="00123B15">
        <w:tab/>
      </w:r>
      <w:r w:rsidR="00FE560E" w:rsidRPr="00FE560E">
        <w:t xml:space="preserve">Le </w:t>
      </w:r>
      <w:r w:rsidR="00456F42">
        <w:t>Sous-Comité</w:t>
      </w:r>
      <w:r w:rsidR="00FE560E" w:rsidRPr="00FE560E">
        <w:t xml:space="preserve"> a également constaté que des personnes avaient été placées en garde à vue ou condamnées pour des faits mineurs ou pour </w:t>
      </w:r>
      <w:r w:rsidR="004A6DDF">
        <w:t xml:space="preserve">des </w:t>
      </w:r>
      <w:r w:rsidR="00FE560E" w:rsidRPr="00FE560E">
        <w:t>dettes. Il a été informé par diverses sources que</w:t>
      </w:r>
      <w:r w:rsidR="00D85A95">
        <w:t xml:space="preserve"> </w:t>
      </w:r>
      <w:r w:rsidR="00FE560E" w:rsidRPr="00FE560E">
        <w:t xml:space="preserve">les dettes étaient souvent qualifiées plus tard </w:t>
      </w:r>
      <w:r w:rsidR="004A6DDF">
        <w:t>d’</w:t>
      </w:r>
      <w:r w:rsidR="00FE560E" w:rsidRPr="00FE560E">
        <w:t xml:space="preserve">abus de confiance ou </w:t>
      </w:r>
      <w:r w:rsidR="004A6DDF">
        <w:t>d’</w:t>
      </w:r>
      <w:r w:rsidR="00FE560E" w:rsidRPr="00FE560E">
        <w:t xml:space="preserve">escroquerie pour justifier leur caractère pénal. Le </w:t>
      </w:r>
      <w:r w:rsidR="00456F42">
        <w:t>Sous-Comité</w:t>
      </w:r>
      <w:r w:rsidR="00FE560E" w:rsidRPr="00FE560E">
        <w:t xml:space="preserve"> rappelle à l’</w:t>
      </w:r>
      <w:r w:rsidR="00DC5639">
        <w:t>État</w:t>
      </w:r>
      <w:r w:rsidR="00FE560E" w:rsidRPr="00FE560E">
        <w:t xml:space="preserve"> partie qu’en vertu des normes internationales</w:t>
      </w:r>
      <w:r w:rsidR="00FE560E" w:rsidRPr="00FE560E">
        <w:rPr>
          <w:sz w:val="18"/>
          <w:vertAlign w:val="superscript"/>
        </w:rPr>
        <w:footnoteReference w:id="10"/>
      </w:r>
      <w:r w:rsidR="00FE560E" w:rsidRPr="00FE560E">
        <w:t>, une personne ne peut être détenue pour dettes civiles.</w:t>
      </w:r>
    </w:p>
    <w:p w14:paraId="23DEDC69" w14:textId="44023869" w:rsidR="00FE560E" w:rsidRPr="00BE5127" w:rsidRDefault="008C6560" w:rsidP="00BE5127">
      <w:pPr>
        <w:pStyle w:val="SingleTxtG"/>
        <w:rPr>
          <w:b/>
        </w:rPr>
      </w:pPr>
      <w:r w:rsidRPr="00BE5127">
        <w:t>7</w:t>
      </w:r>
      <w:r w:rsidR="00F97EBB">
        <w:t>6</w:t>
      </w:r>
      <w:r w:rsidR="00123B15" w:rsidRPr="00BE5127">
        <w:t>.</w:t>
      </w:r>
      <w:r w:rsidR="00123B15" w:rsidRPr="00BE5127">
        <w:rPr>
          <w:b/>
        </w:rPr>
        <w:tab/>
      </w:r>
      <w:r w:rsidR="00FE560E" w:rsidRPr="00BE5127">
        <w:rPr>
          <w:b/>
        </w:rPr>
        <w:t xml:space="preserve">Le </w:t>
      </w:r>
      <w:r w:rsidR="00456F42">
        <w:rPr>
          <w:b/>
        </w:rPr>
        <w:t>Sous-Comité</w:t>
      </w:r>
      <w:r w:rsidR="00FE560E" w:rsidRPr="00BE5127">
        <w:rPr>
          <w:b/>
        </w:rPr>
        <w:t xml:space="preserve"> recommande à l’</w:t>
      </w:r>
      <w:r w:rsidR="00DC5639">
        <w:rPr>
          <w:b/>
        </w:rPr>
        <w:t>État</w:t>
      </w:r>
      <w:r w:rsidR="00FE560E" w:rsidRPr="00BE5127">
        <w:rPr>
          <w:b/>
        </w:rPr>
        <w:t xml:space="preserve"> partie </w:t>
      </w:r>
      <w:r w:rsidR="00536A7D">
        <w:rPr>
          <w:b/>
        </w:rPr>
        <w:t>de</w:t>
      </w:r>
      <w:r w:rsidR="00FE560E" w:rsidRPr="00BE5127">
        <w:rPr>
          <w:b/>
        </w:rPr>
        <w:t xml:space="preserve"> mener une réflexion sur sa justice pénale </w:t>
      </w:r>
      <w:r w:rsidR="00FE560E" w:rsidRPr="00E20F18">
        <w:rPr>
          <w:b/>
        </w:rPr>
        <w:t>quant</w:t>
      </w:r>
      <w:r w:rsidR="00FE560E" w:rsidRPr="003455EF">
        <w:rPr>
          <w:b/>
        </w:rPr>
        <w:t xml:space="preserve"> </w:t>
      </w:r>
      <w:r w:rsidR="00A2475A" w:rsidRPr="00E20F18">
        <w:rPr>
          <w:b/>
        </w:rPr>
        <w:t>à</w:t>
      </w:r>
      <w:r w:rsidR="00A850FA" w:rsidRPr="00BE5127">
        <w:rPr>
          <w:b/>
        </w:rPr>
        <w:t xml:space="preserve"> la sorcellerie et le </w:t>
      </w:r>
      <w:r w:rsidR="00370CFD" w:rsidRPr="00BE5127">
        <w:rPr>
          <w:b/>
        </w:rPr>
        <w:t>charlatanisme</w:t>
      </w:r>
      <w:r w:rsidR="00A850FA" w:rsidRPr="00BE5127">
        <w:rPr>
          <w:b/>
        </w:rPr>
        <w:t xml:space="preserve"> comme infraction pénale. En ce qui conc</w:t>
      </w:r>
      <w:r w:rsidR="00203B6D" w:rsidRPr="00BE5127">
        <w:rPr>
          <w:b/>
        </w:rPr>
        <w:t>erne les</w:t>
      </w:r>
      <w:r w:rsidR="00A850FA" w:rsidRPr="00BE5127">
        <w:rPr>
          <w:b/>
        </w:rPr>
        <w:t xml:space="preserve"> dettes civiles, le </w:t>
      </w:r>
      <w:r w:rsidR="00456F42">
        <w:rPr>
          <w:b/>
        </w:rPr>
        <w:t>Sous-Comité</w:t>
      </w:r>
      <w:r w:rsidR="00A850FA" w:rsidRPr="00BE5127">
        <w:rPr>
          <w:b/>
        </w:rPr>
        <w:t xml:space="preserve"> recommande à l’</w:t>
      </w:r>
      <w:r w:rsidR="00DC5639">
        <w:rPr>
          <w:b/>
        </w:rPr>
        <w:t>État</w:t>
      </w:r>
      <w:r w:rsidR="00A850FA" w:rsidRPr="00BE5127">
        <w:rPr>
          <w:b/>
        </w:rPr>
        <w:t xml:space="preserve"> partie de </w:t>
      </w:r>
      <w:r w:rsidR="00203B6D" w:rsidRPr="00BE5127">
        <w:rPr>
          <w:b/>
        </w:rPr>
        <w:t>s’assurer que la</w:t>
      </w:r>
      <w:r w:rsidR="00A850FA" w:rsidRPr="00BE5127">
        <w:rPr>
          <w:b/>
        </w:rPr>
        <w:t xml:space="preserve"> pratique</w:t>
      </w:r>
      <w:r w:rsidR="00203B6D" w:rsidRPr="00BE5127">
        <w:rPr>
          <w:b/>
        </w:rPr>
        <w:t xml:space="preserve"> en matière de qualification pénale</w:t>
      </w:r>
      <w:r w:rsidR="00A850FA" w:rsidRPr="00BE5127">
        <w:rPr>
          <w:b/>
        </w:rPr>
        <w:t xml:space="preserve"> </w:t>
      </w:r>
      <w:r w:rsidR="00203B6D" w:rsidRPr="00BE5127">
        <w:rPr>
          <w:b/>
        </w:rPr>
        <w:t>est</w:t>
      </w:r>
      <w:r w:rsidR="00A850FA" w:rsidRPr="00BE5127">
        <w:rPr>
          <w:b/>
        </w:rPr>
        <w:t xml:space="preserve"> conform</w:t>
      </w:r>
      <w:r w:rsidR="00203B6D" w:rsidRPr="00BE5127">
        <w:rPr>
          <w:b/>
        </w:rPr>
        <w:t>e</w:t>
      </w:r>
      <w:r w:rsidR="00A850FA" w:rsidRPr="00BE5127">
        <w:rPr>
          <w:b/>
        </w:rPr>
        <w:t xml:space="preserve"> </w:t>
      </w:r>
      <w:r w:rsidR="00203B6D" w:rsidRPr="00BE5127">
        <w:rPr>
          <w:b/>
        </w:rPr>
        <w:t>aux</w:t>
      </w:r>
      <w:r w:rsidR="00A850FA" w:rsidRPr="00BE5127">
        <w:rPr>
          <w:b/>
        </w:rPr>
        <w:t xml:space="preserve"> dispositions internationales pertinentes</w:t>
      </w:r>
      <w:r w:rsidR="00FE560E" w:rsidRPr="00BE5127">
        <w:rPr>
          <w:b/>
        </w:rPr>
        <w:t xml:space="preserve">. </w:t>
      </w:r>
    </w:p>
    <w:p w14:paraId="37BA6330" w14:textId="77777777" w:rsidR="00FE560E" w:rsidRPr="00123B15" w:rsidRDefault="00123B15" w:rsidP="001D1C14">
      <w:pPr>
        <w:pStyle w:val="H23G"/>
        <w:outlineLvl w:val="0"/>
      </w:pPr>
      <w:r w:rsidRPr="00123B15">
        <w:tab/>
      </w:r>
      <w:r w:rsidR="00D1165E">
        <w:t>2.</w:t>
      </w:r>
      <w:r w:rsidRPr="00123B15">
        <w:tab/>
      </w:r>
      <w:r w:rsidR="00FE560E" w:rsidRPr="00123B15">
        <w:t xml:space="preserve">Une politique pénale adaptée à des groupes spécifiques </w:t>
      </w:r>
    </w:p>
    <w:p w14:paraId="047C0760" w14:textId="3F1C8188" w:rsidR="00FE560E" w:rsidRPr="00BE5127" w:rsidRDefault="008C6560" w:rsidP="00BE5127">
      <w:pPr>
        <w:pStyle w:val="SingleTxtG"/>
      </w:pPr>
      <w:r w:rsidRPr="00BE5127">
        <w:t>7</w:t>
      </w:r>
      <w:r w:rsidR="00F97EBB">
        <w:t>7</w:t>
      </w:r>
      <w:r w:rsidR="00470BBD" w:rsidRPr="00BE5127">
        <w:t>.</w:t>
      </w:r>
      <w:r w:rsidR="00470BBD" w:rsidRPr="00BE5127">
        <w:tab/>
      </w:r>
      <w:r w:rsidR="00FE560E" w:rsidRPr="00BE5127">
        <w:rPr>
          <w:b/>
        </w:rPr>
        <w:t>Les personnes âgées</w:t>
      </w:r>
      <w:r w:rsidR="00FE560E" w:rsidRPr="00BE5127">
        <w:t xml:space="preserve">. </w:t>
      </w:r>
      <w:r w:rsidR="000306C3" w:rsidRPr="00BE5127">
        <w:t xml:space="preserve">Le </w:t>
      </w:r>
      <w:r w:rsidR="00456F42">
        <w:t>Sous-Comité</w:t>
      </w:r>
      <w:r w:rsidR="000306C3" w:rsidRPr="00BE5127">
        <w:t xml:space="preserve"> a constaté que le Code de procédure pénale ne prévoit pas de dispositions spécifiques sur la vulnérabilité des personnes âgées dans les procédures judiciaires et dans l’exécution des peines infligées à cette catégorie de personnes. À la prison d’Abomey, u</w:t>
      </w:r>
      <w:r w:rsidR="003722FA" w:rsidRPr="00BE5127">
        <w:t xml:space="preserve">n </w:t>
      </w:r>
      <w:r w:rsidR="0050707C" w:rsidRPr="00BE5127">
        <w:t xml:space="preserve">certain </w:t>
      </w:r>
      <w:r w:rsidR="003722FA" w:rsidRPr="00BE5127">
        <w:t>nombre de f</w:t>
      </w:r>
      <w:r w:rsidR="00FE560E" w:rsidRPr="00BE5127">
        <w:t xml:space="preserve">emmes très âgées </w:t>
      </w:r>
      <w:r w:rsidR="00BC3720">
        <w:t xml:space="preserve">ayant </w:t>
      </w:r>
      <w:r w:rsidR="00FE560E" w:rsidRPr="00BE5127">
        <w:t>entre 70 et plus de 80</w:t>
      </w:r>
      <w:r w:rsidR="00E1155B">
        <w:t> </w:t>
      </w:r>
      <w:r w:rsidR="00FE560E" w:rsidRPr="00BE5127">
        <w:t>ans</w:t>
      </w:r>
      <w:r w:rsidR="00BC3720">
        <w:t xml:space="preserve"> </w:t>
      </w:r>
      <w:r w:rsidR="000306C3" w:rsidRPr="00BE5127">
        <w:t xml:space="preserve">étaient incarcérées de longue date </w:t>
      </w:r>
      <w:r w:rsidR="00FE560E" w:rsidRPr="00BE5127">
        <w:t>dans des conditions matérielles très déplorables</w:t>
      </w:r>
      <w:r w:rsidR="00BC3720">
        <w:t>,</w:t>
      </w:r>
      <w:r w:rsidR="00FE560E" w:rsidRPr="00BE5127">
        <w:t xml:space="preserve"> décrites</w:t>
      </w:r>
      <w:r w:rsidR="00BC3720">
        <w:t xml:space="preserve"> précédemment, </w:t>
      </w:r>
      <w:r w:rsidR="000306C3" w:rsidRPr="00BE5127">
        <w:t xml:space="preserve">certaines </w:t>
      </w:r>
      <w:r w:rsidR="00BC3720">
        <w:t xml:space="preserve">d’entre elles étant </w:t>
      </w:r>
      <w:r w:rsidR="000306C3" w:rsidRPr="00BE5127">
        <w:t xml:space="preserve">en détention préventive. </w:t>
      </w:r>
    </w:p>
    <w:p w14:paraId="2533A6AC" w14:textId="2740D2F4" w:rsidR="00FE560E" w:rsidRPr="00BE5127" w:rsidRDefault="00F97EBB" w:rsidP="00BE5127">
      <w:pPr>
        <w:pStyle w:val="SingleTxtG"/>
        <w:rPr>
          <w:b/>
        </w:rPr>
      </w:pPr>
      <w:r>
        <w:t>7</w:t>
      </w:r>
      <w:r w:rsidR="008C6560" w:rsidRPr="00BE5127">
        <w:t>8</w:t>
      </w:r>
      <w:r w:rsidR="00470BBD" w:rsidRPr="00BE5127">
        <w:t>.</w:t>
      </w:r>
      <w:r w:rsidR="00470BBD" w:rsidRPr="00BE5127">
        <w:rPr>
          <w:b/>
        </w:rPr>
        <w:tab/>
      </w:r>
      <w:r w:rsidR="00FE560E" w:rsidRPr="00BE5127">
        <w:rPr>
          <w:b/>
        </w:rPr>
        <w:t xml:space="preserve">Le </w:t>
      </w:r>
      <w:r w:rsidR="00456F42">
        <w:rPr>
          <w:b/>
        </w:rPr>
        <w:t>Sous-Comité</w:t>
      </w:r>
      <w:r w:rsidR="00FE560E" w:rsidRPr="00BE5127">
        <w:rPr>
          <w:b/>
        </w:rPr>
        <w:t xml:space="preserve"> appelle l’</w:t>
      </w:r>
      <w:r w:rsidR="00DC5639">
        <w:rPr>
          <w:b/>
        </w:rPr>
        <w:t>État</w:t>
      </w:r>
      <w:r w:rsidR="00FE560E" w:rsidRPr="00BE5127">
        <w:rPr>
          <w:b/>
        </w:rPr>
        <w:t xml:space="preserve"> partie à entamer une réflexion sur la vulnérabilité des personnes âgées dans les procédures judiciaires et l’individualisation dans l’exécution des peines. Il recommande</w:t>
      </w:r>
      <w:r w:rsidR="000306C3" w:rsidRPr="00BE5127">
        <w:rPr>
          <w:b/>
        </w:rPr>
        <w:t xml:space="preserve"> à l’</w:t>
      </w:r>
      <w:r w:rsidR="00DC5639">
        <w:rPr>
          <w:b/>
        </w:rPr>
        <w:t>État</w:t>
      </w:r>
      <w:r w:rsidR="000306C3" w:rsidRPr="00BE5127">
        <w:rPr>
          <w:b/>
        </w:rPr>
        <w:t xml:space="preserve"> partie de réexaminer</w:t>
      </w:r>
      <w:r w:rsidR="00FE560E" w:rsidRPr="00BE5127">
        <w:rPr>
          <w:b/>
        </w:rPr>
        <w:t>, en urg</w:t>
      </w:r>
      <w:r w:rsidR="00C01B24" w:rsidRPr="00BE5127">
        <w:rPr>
          <w:b/>
        </w:rPr>
        <w:t xml:space="preserve">ence, </w:t>
      </w:r>
      <w:r w:rsidR="000306C3" w:rsidRPr="00BE5127">
        <w:rPr>
          <w:b/>
        </w:rPr>
        <w:t xml:space="preserve">les situations individuelles des </w:t>
      </w:r>
      <w:r w:rsidR="00FE560E" w:rsidRPr="00BE5127">
        <w:rPr>
          <w:b/>
        </w:rPr>
        <w:t xml:space="preserve">personnes âgées </w:t>
      </w:r>
      <w:r w:rsidR="000306C3" w:rsidRPr="00BE5127">
        <w:rPr>
          <w:b/>
        </w:rPr>
        <w:t>privées de liberté dans le système béninois</w:t>
      </w:r>
      <w:r w:rsidR="00FE560E" w:rsidRPr="00BE5127">
        <w:rPr>
          <w:b/>
        </w:rPr>
        <w:t xml:space="preserve">. </w:t>
      </w:r>
    </w:p>
    <w:p w14:paraId="498DE22F" w14:textId="7CA74D8D" w:rsidR="00FE560E" w:rsidRPr="00BE5127" w:rsidRDefault="00F97EBB" w:rsidP="008F019D">
      <w:pPr>
        <w:pStyle w:val="SingleTxtG"/>
      </w:pPr>
      <w:r>
        <w:lastRenderedPageBreak/>
        <w:t>79</w:t>
      </w:r>
      <w:r w:rsidR="00BE5127">
        <w:t>.</w:t>
      </w:r>
      <w:r w:rsidR="00BE5127">
        <w:tab/>
      </w:r>
      <w:r w:rsidR="00FE560E" w:rsidRPr="00BE5127">
        <w:rPr>
          <w:b/>
        </w:rPr>
        <w:t>Mineurs.</w:t>
      </w:r>
      <w:r w:rsidR="00FE560E" w:rsidRPr="00BE5127">
        <w:t xml:space="preserve"> Contrairement au constat fait lors de sa visite </w:t>
      </w:r>
      <w:r w:rsidR="008F019D">
        <w:t>en</w:t>
      </w:r>
      <w:r w:rsidR="00FE560E" w:rsidRPr="00BE5127">
        <w:t xml:space="preserve"> 2008, le </w:t>
      </w:r>
      <w:r w:rsidR="00456F42">
        <w:t>Sous-Comité</w:t>
      </w:r>
      <w:r w:rsidR="00FE560E" w:rsidRPr="00BE5127">
        <w:t xml:space="preserve"> n’a pas rencontré de mineurs placés en garde à vue. Dans le Centre de l’</w:t>
      </w:r>
      <w:r w:rsidR="004D3406">
        <w:t>e</w:t>
      </w:r>
      <w:r w:rsidR="00FE560E" w:rsidRPr="00BE5127">
        <w:t>nfance et de l’</w:t>
      </w:r>
      <w:r w:rsidR="004D3406">
        <w:t>a</w:t>
      </w:r>
      <w:r w:rsidR="00FE560E" w:rsidRPr="00BE5127">
        <w:t xml:space="preserve">dolescence de Cotonou, le </w:t>
      </w:r>
      <w:r w:rsidR="00456F42">
        <w:t>Sous-Comité</w:t>
      </w:r>
      <w:r w:rsidR="00FE560E" w:rsidRPr="00BE5127">
        <w:t xml:space="preserve"> a constaté la présence de mineurs placés dans ce Centre sous le contrôle du juge des mineurs. Le </w:t>
      </w:r>
      <w:r w:rsidR="00456F42">
        <w:t>Sous-Comité</w:t>
      </w:r>
      <w:r w:rsidR="00FE560E" w:rsidRPr="00BE5127">
        <w:t xml:space="preserve"> a noté, néanmoins, qu’aux termes de l’article 60 du </w:t>
      </w:r>
      <w:r w:rsidR="004D3406">
        <w:t>Code de procédure pénale</w:t>
      </w:r>
      <w:r w:rsidR="00FE560E" w:rsidRPr="00BE5127">
        <w:t>, des mineurs de 18</w:t>
      </w:r>
      <w:r w:rsidR="008F019D">
        <w:t> </w:t>
      </w:r>
      <w:r w:rsidR="00FE560E" w:rsidRPr="00BE5127">
        <w:t>ans p</w:t>
      </w:r>
      <w:r w:rsidR="008F019D">
        <w:t>o</w:t>
      </w:r>
      <w:r w:rsidR="00FE560E" w:rsidRPr="00BE5127">
        <w:t>uv</w:t>
      </w:r>
      <w:r w:rsidR="008F019D">
        <w:t>ai</w:t>
      </w:r>
      <w:r w:rsidR="00FE560E" w:rsidRPr="00BE5127">
        <w:t>ent être placés en garde à vue</w:t>
      </w:r>
      <w:r w:rsidR="00D85A95" w:rsidRPr="00BE5127">
        <w:t xml:space="preserve"> </w:t>
      </w:r>
      <w:r w:rsidR="00FE560E" w:rsidRPr="00BE5127">
        <w:t>sous le contrôle effectif du Procureur de la République. Des mineurs ont également informé le</w:t>
      </w:r>
      <w:r w:rsidR="00D85A95" w:rsidRPr="00BE5127">
        <w:t xml:space="preserve"> </w:t>
      </w:r>
      <w:r w:rsidR="00456F42">
        <w:t>Sous-Comité</w:t>
      </w:r>
      <w:r w:rsidR="00FE560E" w:rsidRPr="00BE5127">
        <w:t xml:space="preserve"> qu’ils étaient restés en garde à vue parfois au-delà du délai maximum prévu par le Code de procédure pénale. </w:t>
      </w:r>
    </w:p>
    <w:p w14:paraId="632B0CC6" w14:textId="47C3FB68" w:rsidR="00FE560E" w:rsidRPr="00BE5127" w:rsidRDefault="008C6560">
      <w:pPr>
        <w:pStyle w:val="SingleTxtG"/>
      </w:pPr>
      <w:r w:rsidRPr="00BE5127">
        <w:t>8</w:t>
      </w:r>
      <w:r w:rsidR="00F97EBB">
        <w:t>0</w:t>
      </w:r>
      <w:r w:rsidR="00470BBD" w:rsidRPr="00BE5127">
        <w:t>.</w:t>
      </w:r>
      <w:r w:rsidR="00470BBD" w:rsidRPr="00BE5127">
        <w:tab/>
      </w:r>
      <w:r w:rsidR="00FE560E" w:rsidRPr="00BE5127">
        <w:t xml:space="preserve">Le </w:t>
      </w:r>
      <w:r w:rsidR="00456F42">
        <w:t>Sous-Comité</w:t>
      </w:r>
      <w:r w:rsidR="00FE560E" w:rsidRPr="00BE5127">
        <w:t xml:space="preserve"> reste préoccupé par le fait que certains mineurs n’avaient pas bénéficié de leurs garanties juridiques fondamentales, notamment le droit d’être informé de </w:t>
      </w:r>
      <w:r w:rsidR="004D3406">
        <w:t xml:space="preserve">leurs </w:t>
      </w:r>
      <w:r w:rsidR="00FE560E" w:rsidRPr="00BE5127">
        <w:t xml:space="preserve">droits et des motifs de </w:t>
      </w:r>
      <w:r w:rsidR="004D3406">
        <w:t xml:space="preserve">leur </w:t>
      </w:r>
      <w:r w:rsidR="00FE560E" w:rsidRPr="00BE5127">
        <w:t xml:space="preserve">détention, le droit à </w:t>
      </w:r>
      <w:r w:rsidR="004D3406">
        <w:t xml:space="preserve">un </w:t>
      </w:r>
      <w:r w:rsidR="00FE560E" w:rsidRPr="00BE5127">
        <w:t>avocat, le droit à un examen médical, et que certains avaient</w:t>
      </w:r>
      <w:r w:rsidR="00D85A95" w:rsidRPr="00BE5127">
        <w:t xml:space="preserve"> </w:t>
      </w:r>
      <w:r w:rsidR="00FE560E" w:rsidRPr="00BE5127">
        <w:t xml:space="preserve">été auditionnés par un juge en </w:t>
      </w:r>
      <w:r w:rsidR="004D3406">
        <w:t>l’</w:t>
      </w:r>
      <w:r w:rsidR="00FE560E" w:rsidRPr="00BE5127">
        <w:t>absence d’</w:t>
      </w:r>
      <w:r w:rsidR="004D3406">
        <w:t xml:space="preserve">un </w:t>
      </w:r>
      <w:r w:rsidR="00FE560E" w:rsidRPr="00BE5127">
        <w:t xml:space="preserve">avocat ou d’une personne adulte de confiance. Le </w:t>
      </w:r>
      <w:r w:rsidR="00456F42">
        <w:t>Sous-Comité</w:t>
      </w:r>
      <w:r w:rsidR="00FE560E" w:rsidRPr="00BE5127">
        <w:t xml:space="preserve"> a noté, par ailleurs, qu’il rest</w:t>
      </w:r>
      <w:r w:rsidR="004D3406">
        <w:t xml:space="preserve">ait </w:t>
      </w:r>
      <w:r w:rsidR="00FE560E" w:rsidRPr="00BE5127">
        <w:t>possible</w:t>
      </w:r>
      <w:r w:rsidR="004D3406">
        <w:t>, dans certains cas,</w:t>
      </w:r>
      <w:r w:rsidR="00FE560E" w:rsidRPr="00BE5127">
        <w:t xml:space="preserve"> de placer de</w:t>
      </w:r>
      <w:r w:rsidR="004D3406">
        <w:t>s</w:t>
      </w:r>
      <w:r w:rsidR="00FE560E" w:rsidRPr="00BE5127">
        <w:t xml:space="preserve"> mineurs en détention provisoire. Il note, cependant, que l’</w:t>
      </w:r>
      <w:r w:rsidR="00DC5639">
        <w:t>État</w:t>
      </w:r>
      <w:r w:rsidR="00FE560E" w:rsidRPr="00BE5127">
        <w:t xml:space="preserve"> partie a adopté des dispositions relatives à la justice des mineurs aux </w:t>
      </w:r>
      <w:r w:rsidR="00FE560E" w:rsidRPr="003F15EF">
        <w:t>articles 651 à 720</w:t>
      </w:r>
      <w:r w:rsidR="00FE560E" w:rsidRPr="00BE5127">
        <w:t xml:space="preserve"> de son nouveau </w:t>
      </w:r>
      <w:r w:rsidR="004D3406">
        <w:t>Code de procédure pénale</w:t>
      </w:r>
      <w:r w:rsidR="00FE560E" w:rsidRPr="00BE5127">
        <w:t xml:space="preserve">. </w:t>
      </w:r>
    </w:p>
    <w:p w14:paraId="0595F0C2" w14:textId="52CC8A46" w:rsidR="00FE560E" w:rsidRPr="00FE560E" w:rsidRDefault="008C6560" w:rsidP="004A5C2A">
      <w:pPr>
        <w:pStyle w:val="SingleTxtG"/>
        <w:rPr>
          <w:b/>
        </w:rPr>
      </w:pPr>
      <w:r>
        <w:t>8</w:t>
      </w:r>
      <w:r w:rsidR="00F97EBB">
        <w:t>1</w:t>
      </w:r>
      <w:r w:rsidR="00470BBD" w:rsidRPr="00470BBD">
        <w:t>.</w:t>
      </w:r>
      <w:r w:rsidR="00470BBD">
        <w:rPr>
          <w:b/>
        </w:rPr>
        <w:tab/>
      </w:r>
      <w:r w:rsidR="00FE560E" w:rsidRPr="00BE5127">
        <w:rPr>
          <w:b/>
        </w:rPr>
        <w:t xml:space="preserve">Le </w:t>
      </w:r>
      <w:r w:rsidR="00456F42">
        <w:rPr>
          <w:b/>
        </w:rPr>
        <w:t>Sous-Comité</w:t>
      </w:r>
      <w:r w:rsidR="00FE560E" w:rsidRPr="00BE5127">
        <w:rPr>
          <w:b/>
        </w:rPr>
        <w:t xml:space="preserve"> réaffirme que la détention de mineurs devrait être une mesure </w:t>
      </w:r>
      <w:r w:rsidR="007F083B">
        <w:rPr>
          <w:b/>
        </w:rPr>
        <w:t xml:space="preserve">exceptionnelle </w:t>
      </w:r>
      <w:r w:rsidR="00FE560E" w:rsidRPr="00BE5127">
        <w:rPr>
          <w:b/>
        </w:rPr>
        <w:t>de dernier recours</w:t>
      </w:r>
      <w:r w:rsidR="00FE560E" w:rsidRPr="006C5D31">
        <w:rPr>
          <w:bCs/>
          <w:vertAlign w:val="superscript"/>
        </w:rPr>
        <w:footnoteReference w:id="11"/>
      </w:r>
      <w:r w:rsidR="00FE560E" w:rsidRPr="00BE5127">
        <w:rPr>
          <w:b/>
        </w:rPr>
        <w:t>. Il recommande à l’</w:t>
      </w:r>
      <w:r w:rsidR="00DC5639">
        <w:rPr>
          <w:b/>
        </w:rPr>
        <w:t>État</w:t>
      </w:r>
      <w:r w:rsidR="00FE560E" w:rsidRPr="00BE5127">
        <w:rPr>
          <w:b/>
        </w:rPr>
        <w:t xml:space="preserve"> partie</w:t>
      </w:r>
      <w:r w:rsidR="008B5751">
        <w:rPr>
          <w:b/>
        </w:rPr>
        <w:t> : a) </w:t>
      </w:r>
      <w:r w:rsidR="007F083B">
        <w:rPr>
          <w:b/>
        </w:rPr>
        <w:t xml:space="preserve">de </w:t>
      </w:r>
      <w:r w:rsidR="00FE560E" w:rsidRPr="00BE5127">
        <w:rPr>
          <w:b/>
        </w:rPr>
        <w:t xml:space="preserve">favoriser des mesures alternatives </w:t>
      </w:r>
      <w:r w:rsidR="008B5751">
        <w:rPr>
          <w:b/>
        </w:rPr>
        <w:t>à la détention des mineurs ; b) </w:t>
      </w:r>
      <w:r w:rsidR="007F083B">
        <w:rPr>
          <w:b/>
        </w:rPr>
        <w:t xml:space="preserve">de </w:t>
      </w:r>
      <w:r w:rsidR="00FE560E" w:rsidRPr="00BE5127">
        <w:rPr>
          <w:b/>
        </w:rPr>
        <w:t>ne recourir au placement des mineurs en garde à vue que</w:t>
      </w:r>
      <w:r w:rsidR="008B5751">
        <w:rPr>
          <w:b/>
        </w:rPr>
        <w:t xml:space="preserve"> de manière exceptionnelle ; c) </w:t>
      </w:r>
      <w:r w:rsidR="004A5C2A">
        <w:rPr>
          <w:b/>
        </w:rPr>
        <w:t xml:space="preserve">de </w:t>
      </w:r>
      <w:r w:rsidR="00FE560E" w:rsidRPr="00BE5127">
        <w:rPr>
          <w:b/>
        </w:rPr>
        <w:t>s’assurer que</w:t>
      </w:r>
      <w:r w:rsidR="00D85A95" w:rsidRPr="00BE5127">
        <w:rPr>
          <w:b/>
        </w:rPr>
        <w:t xml:space="preserve"> </w:t>
      </w:r>
      <w:r w:rsidR="00FE560E" w:rsidRPr="00BE5127">
        <w:rPr>
          <w:b/>
        </w:rPr>
        <w:t>les garanties juridiques fondamentales des mineurs en garde à vue</w:t>
      </w:r>
      <w:r w:rsidR="007F083B">
        <w:rPr>
          <w:b/>
        </w:rPr>
        <w:t xml:space="preserve"> so</w:t>
      </w:r>
      <w:r w:rsidR="004A5C2A">
        <w:rPr>
          <w:b/>
        </w:rPr>
        <w:t>n</w:t>
      </w:r>
      <w:r w:rsidR="007F083B">
        <w:rPr>
          <w:b/>
        </w:rPr>
        <w:t>t respectées</w:t>
      </w:r>
      <w:r w:rsidR="008B5751">
        <w:rPr>
          <w:b/>
        </w:rPr>
        <w:t> ; d) </w:t>
      </w:r>
      <w:r w:rsidR="007F083B">
        <w:rPr>
          <w:b/>
        </w:rPr>
        <w:t xml:space="preserve">de veiller à ce </w:t>
      </w:r>
      <w:r w:rsidR="00FE560E" w:rsidRPr="00BE5127">
        <w:rPr>
          <w:b/>
        </w:rPr>
        <w:t xml:space="preserve">qu’aucun mineur ne soit auditionné et ne signe de procès-verbal d’audition en </w:t>
      </w:r>
      <w:r w:rsidR="007F083B">
        <w:rPr>
          <w:b/>
        </w:rPr>
        <w:t>l’</w:t>
      </w:r>
      <w:r w:rsidR="00FE560E" w:rsidRPr="00BE5127">
        <w:rPr>
          <w:b/>
        </w:rPr>
        <w:t xml:space="preserve">absence d’un avocat, d’un adulte de confiance ou d’un parent ; </w:t>
      </w:r>
      <w:r w:rsidR="007F083B">
        <w:rPr>
          <w:b/>
        </w:rPr>
        <w:t xml:space="preserve">et </w:t>
      </w:r>
      <w:r w:rsidR="008B5751">
        <w:rPr>
          <w:b/>
        </w:rPr>
        <w:t>e) </w:t>
      </w:r>
      <w:r w:rsidR="007F083B">
        <w:rPr>
          <w:b/>
        </w:rPr>
        <w:t xml:space="preserve">de </w:t>
      </w:r>
      <w:r w:rsidR="00FE560E" w:rsidRPr="00BE5127">
        <w:rPr>
          <w:b/>
        </w:rPr>
        <w:t>garantir l’assistance d’un conseil dans tous les cas où les mineurs doivent être jugés en matière correctionnelle ou criminelle.</w:t>
      </w:r>
      <w:r w:rsidR="00D85A95" w:rsidRPr="00BE5127">
        <w:rPr>
          <w:b/>
        </w:rPr>
        <w:t xml:space="preserve"> </w:t>
      </w:r>
    </w:p>
    <w:p w14:paraId="6441FA5F" w14:textId="77777777" w:rsidR="00FE560E" w:rsidRPr="00FE560E" w:rsidRDefault="00470BBD" w:rsidP="001D1C14">
      <w:pPr>
        <w:pStyle w:val="H23G"/>
        <w:outlineLvl w:val="0"/>
      </w:pPr>
      <w:r>
        <w:tab/>
      </w:r>
      <w:r w:rsidR="00D1165E">
        <w:t>3.</w:t>
      </w:r>
      <w:r>
        <w:tab/>
      </w:r>
      <w:r w:rsidR="00FE560E" w:rsidRPr="00FE560E">
        <w:t>L’aide juridictionnelle</w:t>
      </w:r>
    </w:p>
    <w:p w14:paraId="522EFBAE" w14:textId="29F0B337" w:rsidR="00FE560E" w:rsidRPr="00FE560E" w:rsidRDefault="008C6560" w:rsidP="00F61EE8">
      <w:pPr>
        <w:pStyle w:val="SingleTxtG"/>
        <w:rPr>
          <w:i/>
        </w:rPr>
      </w:pPr>
      <w:r>
        <w:t>8</w:t>
      </w:r>
      <w:r w:rsidR="00F97EBB">
        <w:t>2</w:t>
      </w:r>
      <w:r w:rsidR="00470BBD">
        <w:t>.</w:t>
      </w:r>
      <w:r w:rsidR="00470BBD">
        <w:tab/>
      </w:r>
      <w:r w:rsidR="00FE560E" w:rsidRPr="00FE560E">
        <w:t xml:space="preserve">Le </w:t>
      </w:r>
      <w:r w:rsidR="00456F42">
        <w:t>Sous-Comité</w:t>
      </w:r>
      <w:r w:rsidR="00FE560E" w:rsidRPr="00FE560E">
        <w:t xml:space="preserve"> a constaté que l’</w:t>
      </w:r>
      <w:r w:rsidR="00DC5639">
        <w:t>État</w:t>
      </w:r>
      <w:r w:rsidR="00FE560E" w:rsidRPr="00FE560E">
        <w:t xml:space="preserve"> partie n’a</w:t>
      </w:r>
      <w:r w:rsidR="003B6C1F">
        <w:t>vait</w:t>
      </w:r>
      <w:r w:rsidR="00FE560E" w:rsidRPr="00FE560E">
        <w:t xml:space="preserve"> pas pleinement mis en œuvre la recommandation faite par le </w:t>
      </w:r>
      <w:r w:rsidR="00456F42">
        <w:t>Sous-Comité</w:t>
      </w:r>
      <w:r w:rsidR="00FE560E" w:rsidRPr="00FE560E">
        <w:t xml:space="preserve"> dans son précédent rapport sur l’assistance juridique. Le nouveau Code de procédure pénale de l’</w:t>
      </w:r>
      <w:r w:rsidR="00DC5639">
        <w:t>État</w:t>
      </w:r>
      <w:r w:rsidR="00FE560E" w:rsidRPr="00FE560E">
        <w:t xml:space="preserve"> partie contient des dispositions relatives à </w:t>
      </w:r>
      <w:r w:rsidR="00FE560E" w:rsidRPr="001E463C">
        <w:t xml:space="preserve">l’assistance </w:t>
      </w:r>
      <w:r w:rsidR="00F61EE8">
        <w:t>d’</w:t>
      </w:r>
      <w:r w:rsidR="00FE560E" w:rsidRPr="001E463C">
        <w:t>un</w:t>
      </w:r>
      <w:r w:rsidR="00FE560E" w:rsidRPr="00FE560E">
        <w:t xml:space="preserve"> avocat aux différentes étapes de la procédure judiciaire. </w:t>
      </w:r>
      <w:r w:rsidR="003B6C1F">
        <w:t xml:space="preserve">Le Sous-Comité </w:t>
      </w:r>
      <w:r w:rsidR="00FE560E" w:rsidRPr="00FE560E">
        <w:t xml:space="preserve">a néanmoins constaté qu’un nombre important de personnes n’avaient pas eu accès à </w:t>
      </w:r>
      <w:r w:rsidR="003B6C1F">
        <w:t xml:space="preserve">un </w:t>
      </w:r>
      <w:r w:rsidR="00FE560E" w:rsidRPr="00FE560E">
        <w:t xml:space="preserve">avocat lors de leur garde à vue ou lors de leur présentation à un juge. </w:t>
      </w:r>
      <w:r w:rsidR="003B6C1F">
        <w:t>Il est ressorti d</w:t>
      </w:r>
      <w:r w:rsidR="00FE560E" w:rsidRPr="00FE560E">
        <w:t>e</w:t>
      </w:r>
      <w:r w:rsidR="003B6C1F">
        <w:t xml:space="preserve"> différent</w:t>
      </w:r>
      <w:r w:rsidR="00FE560E" w:rsidRPr="00FE560E">
        <w:t xml:space="preserve">s entretiens que le </w:t>
      </w:r>
      <w:r w:rsidR="00456F42">
        <w:t>Sous-Comité</w:t>
      </w:r>
      <w:r w:rsidR="00FE560E" w:rsidRPr="00FE560E">
        <w:t xml:space="preserve"> a eus</w:t>
      </w:r>
      <w:r w:rsidR="003B6C1F">
        <w:t xml:space="preserve"> </w:t>
      </w:r>
      <w:r w:rsidR="00FE560E" w:rsidRPr="00FE560E">
        <w:t xml:space="preserve">que l’assistance juridique gratuite par la désignation d’avocats d’office se faisait surtout en matière criminelle et </w:t>
      </w:r>
      <w:r w:rsidR="003B6C1F">
        <w:t xml:space="preserve">le </w:t>
      </w:r>
      <w:r w:rsidR="00FE560E" w:rsidRPr="00FE560E">
        <w:t>plus souvent lors de procès d’</w:t>
      </w:r>
      <w:r w:rsidR="003B6C1F">
        <w:t>a</w:t>
      </w:r>
      <w:r w:rsidR="00FE560E" w:rsidRPr="00FE560E">
        <w:t xml:space="preserve">ssises, mais </w:t>
      </w:r>
      <w:r w:rsidR="003B6C1F">
        <w:t xml:space="preserve">que </w:t>
      </w:r>
      <w:r w:rsidR="00FE560E" w:rsidRPr="00FE560E">
        <w:t>cette assistance</w:t>
      </w:r>
      <w:r w:rsidR="00D85A95">
        <w:t xml:space="preserve"> </w:t>
      </w:r>
      <w:r w:rsidR="00FE560E" w:rsidRPr="00FE560E">
        <w:t xml:space="preserve">restait souvent très sommaire. Le </w:t>
      </w:r>
      <w:r w:rsidR="00456F42">
        <w:t>Sous-Comité</w:t>
      </w:r>
      <w:r w:rsidR="00FE560E" w:rsidRPr="00FE560E">
        <w:t xml:space="preserve"> a aussi </w:t>
      </w:r>
      <w:r w:rsidR="003B6C1F">
        <w:t xml:space="preserve">été </w:t>
      </w:r>
      <w:r w:rsidR="00FE560E" w:rsidRPr="00FE560E">
        <w:t xml:space="preserve">informé de l’existence d’un mécanisme d’aide </w:t>
      </w:r>
      <w:r w:rsidR="00FE560E" w:rsidRPr="003455EF">
        <w:t>juridictionnelle organisée</w:t>
      </w:r>
      <w:r w:rsidR="00FE560E" w:rsidRPr="00E20F18">
        <w:t xml:space="preserve"> par le </w:t>
      </w:r>
      <w:r w:rsidR="001E463C" w:rsidRPr="00E20F18">
        <w:t>b</w:t>
      </w:r>
      <w:r w:rsidR="00FE560E" w:rsidRPr="00E20F18">
        <w:t>arreau</w:t>
      </w:r>
      <w:r w:rsidR="003B6C1F" w:rsidRPr="00E20F18">
        <w:t>, m</w:t>
      </w:r>
      <w:r w:rsidR="00FE560E" w:rsidRPr="00E20F18">
        <w:t xml:space="preserve">ais, selon les entretiens qu’il a eus avec les membres du </w:t>
      </w:r>
      <w:r w:rsidR="001E463C" w:rsidRPr="00E20F18">
        <w:t>b</w:t>
      </w:r>
      <w:r w:rsidR="00FE560E" w:rsidRPr="00E20F18">
        <w:t>arreau, celle-ci n’est ni généralisée, ni systématique.</w:t>
      </w:r>
      <w:r w:rsidR="00D85A95" w:rsidRPr="00E20F18">
        <w:t xml:space="preserve"> </w:t>
      </w:r>
      <w:r w:rsidR="00FE560E" w:rsidRPr="00E20F18">
        <w:t>L’adoption d’un texte sur l’aide juridi</w:t>
      </w:r>
      <w:r w:rsidR="00FE560E" w:rsidRPr="00FE560E">
        <w:t xml:space="preserve">ctionnelle </w:t>
      </w:r>
      <w:r w:rsidR="00DC4C8F" w:rsidRPr="00FE560E">
        <w:t xml:space="preserve">gratuite </w:t>
      </w:r>
      <w:r w:rsidR="00FE560E" w:rsidRPr="00FE560E">
        <w:t>faciliter</w:t>
      </w:r>
      <w:r w:rsidR="00DC4C8F">
        <w:t>ait</w:t>
      </w:r>
      <w:r w:rsidR="00FE560E" w:rsidRPr="00FE560E">
        <w:t xml:space="preserve"> le travail des avocats </w:t>
      </w:r>
      <w:r w:rsidR="00DC4C8F">
        <w:t>ainsi que sa mise en œuvre</w:t>
      </w:r>
      <w:r w:rsidR="00FE560E" w:rsidRPr="00FE560E">
        <w:rPr>
          <w:sz w:val="18"/>
          <w:vertAlign w:val="superscript"/>
        </w:rPr>
        <w:footnoteReference w:id="12"/>
      </w:r>
      <w:r w:rsidR="003B6C1F">
        <w:t>.</w:t>
      </w:r>
      <w:r w:rsidR="00D85A95">
        <w:t xml:space="preserve"> </w:t>
      </w:r>
    </w:p>
    <w:p w14:paraId="6F7A3500" w14:textId="2AC14BC9" w:rsidR="00FE560E" w:rsidRPr="00FE560E" w:rsidRDefault="008C6560" w:rsidP="00470BBD">
      <w:pPr>
        <w:pStyle w:val="SingleTxtG"/>
        <w:rPr>
          <w:b/>
        </w:rPr>
      </w:pPr>
      <w:r>
        <w:t>8</w:t>
      </w:r>
      <w:r w:rsidR="00F97EBB">
        <w:t>3</w:t>
      </w:r>
      <w:r w:rsidR="00470BBD">
        <w:t>.</w:t>
      </w:r>
      <w:r w:rsidR="00470BBD">
        <w:tab/>
      </w:r>
      <w:r w:rsidR="00FE560E" w:rsidRPr="006C5D31">
        <w:rPr>
          <w:b/>
          <w:bCs/>
        </w:rPr>
        <w:t>L</w:t>
      </w:r>
      <w:r w:rsidR="00FE560E" w:rsidRPr="00FE560E">
        <w:rPr>
          <w:b/>
        </w:rPr>
        <w:t xml:space="preserve">e </w:t>
      </w:r>
      <w:r w:rsidR="00456F42">
        <w:rPr>
          <w:b/>
        </w:rPr>
        <w:t>Sous-Comité</w:t>
      </w:r>
      <w:r w:rsidR="00FE560E" w:rsidRPr="00FE560E">
        <w:rPr>
          <w:b/>
        </w:rPr>
        <w:t xml:space="preserve"> recommande à l’</w:t>
      </w:r>
      <w:r w:rsidR="00DC5639">
        <w:rPr>
          <w:b/>
        </w:rPr>
        <w:t>État</w:t>
      </w:r>
      <w:r w:rsidR="00FE560E" w:rsidRPr="00FE560E">
        <w:rPr>
          <w:b/>
        </w:rPr>
        <w:t xml:space="preserve"> partie d’adopter un texte de loi ou </w:t>
      </w:r>
      <w:r w:rsidR="003B6C1F">
        <w:rPr>
          <w:b/>
        </w:rPr>
        <w:t xml:space="preserve">un </w:t>
      </w:r>
      <w:r w:rsidR="00FE560E" w:rsidRPr="00FE560E">
        <w:rPr>
          <w:b/>
        </w:rPr>
        <w:t xml:space="preserve">décret qui mette en place un mécanisme d’aide juridictionnelle, gratuite et accessible à tous et </w:t>
      </w:r>
      <w:r w:rsidR="003B6C1F">
        <w:rPr>
          <w:b/>
        </w:rPr>
        <w:t xml:space="preserve">de </w:t>
      </w:r>
      <w:r w:rsidR="00FE560E" w:rsidRPr="00FE560E">
        <w:rPr>
          <w:b/>
        </w:rPr>
        <w:t>le doter d’un budget adéquat. Les autorités devraient envisager des mesures pour accro</w:t>
      </w:r>
      <w:r w:rsidR="0099251B">
        <w:rPr>
          <w:b/>
        </w:rPr>
        <w:t>î</w:t>
      </w:r>
      <w:r w:rsidR="00FE560E" w:rsidRPr="00FE560E">
        <w:rPr>
          <w:b/>
        </w:rPr>
        <w:t xml:space="preserve">tre le nombre d’avocats formés dans le pays chaque année et pour les inciter à s’installer dans les différentes régions du pays. </w:t>
      </w:r>
    </w:p>
    <w:p w14:paraId="3E502554" w14:textId="77777777" w:rsidR="00FE560E" w:rsidRPr="00FE560E" w:rsidRDefault="00D1165E" w:rsidP="001D1C14">
      <w:pPr>
        <w:pStyle w:val="H23G"/>
        <w:outlineLvl w:val="0"/>
      </w:pPr>
      <w:r>
        <w:tab/>
        <w:t>4.</w:t>
      </w:r>
      <w:r w:rsidR="00470BBD">
        <w:tab/>
      </w:r>
      <w:r w:rsidR="00FE560E" w:rsidRPr="00FE560E">
        <w:t xml:space="preserve">Le recours à la détention provisoire </w:t>
      </w:r>
    </w:p>
    <w:p w14:paraId="23B4E9C0" w14:textId="1EB6CD68" w:rsidR="00FE560E" w:rsidRPr="00FE560E" w:rsidRDefault="008C6560" w:rsidP="00396A43">
      <w:pPr>
        <w:pStyle w:val="SingleTxtG"/>
      </w:pPr>
      <w:r>
        <w:t>8</w:t>
      </w:r>
      <w:r w:rsidR="00F97EBB">
        <w:t>4</w:t>
      </w:r>
      <w:r w:rsidR="00470BBD">
        <w:t>.</w:t>
      </w:r>
      <w:r w:rsidR="00470BBD">
        <w:tab/>
      </w:r>
      <w:r w:rsidR="00FE560E" w:rsidRPr="00FE560E">
        <w:t>Le nouveau Code de procédure pénale (art</w:t>
      </w:r>
      <w:r w:rsidR="00687439">
        <w:t>. </w:t>
      </w:r>
      <w:r w:rsidR="00FE560E" w:rsidRPr="00FE560E">
        <w:t xml:space="preserve">145, 147 et 149) encadre la détention provisoire dont </w:t>
      </w:r>
      <w:r w:rsidR="0099251B">
        <w:t xml:space="preserve">la </w:t>
      </w:r>
      <w:r w:rsidR="00FE560E" w:rsidRPr="00FE560E">
        <w:t xml:space="preserve">durée maximale est de </w:t>
      </w:r>
      <w:r w:rsidR="0099251B">
        <w:t xml:space="preserve">dix-huit </w:t>
      </w:r>
      <w:r w:rsidR="00FE560E" w:rsidRPr="00FE560E">
        <w:t xml:space="preserve">mois en matière correctionnelle et de </w:t>
      </w:r>
      <w:r w:rsidR="0099251B">
        <w:t xml:space="preserve">vingt-quatre </w:t>
      </w:r>
      <w:r w:rsidR="00FE560E" w:rsidRPr="00FE560E">
        <w:t>mois en matière criminelle. Le</w:t>
      </w:r>
      <w:r w:rsidR="00D85A95">
        <w:t xml:space="preserve"> </w:t>
      </w:r>
      <w:r w:rsidR="00456F42">
        <w:t>Sous-Comité</w:t>
      </w:r>
      <w:r w:rsidR="00FE560E" w:rsidRPr="00FE560E">
        <w:t xml:space="preserve"> est préoccupé par le fait qu</w:t>
      </w:r>
      <w:r w:rsidR="0066081D">
        <w:t xml:space="preserve">’il est ressorti </w:t>
      </w:r>
      <w:r w:rsidR="00FE560E" w:rsidRPr="00FE560E">
        <w:t>de diverses sources et entretiens</w:t>
      </w:r>
      <w:r w:rsidR="0066081D">
        <w:t xml:space="preserve"> que </w:t>
      </w:r>
      <w:r w:rsidR="00FE560E" w:rsidRPr="00FE560E">
        <w:t xml:space="preserve">des détenus avaient passé de longues années en détention </w:t>
      </w:r>
      <w:r w:rsidR="00FE560E" w:rsidRPr="00FE560E">
        <w:lastRenderedPageBreak/>
        <w:t>sans jugement. Dans les prisons d’Abomey</w:t>
      </w:r>
      <w:r w:rsidR="00FE560E" w:rsidRPr="00FE560E" w:rsidDel="001962D6">
        <w:t xml:space="preserve"> </w:t>
      </w:r>
      <w:r w:rsidR="00FE560E" w:rsidRPr="00FE560E">
        <w:t>et de Cotonou, des détenus ont</w:t>
      </w:r>
      <w:r w:rsidR="00D85A95">
        <w:t xml:space="preserve"> </w:t>
      </w:r>
      <w:r w:rsidR="00FE560E" w:rsidRPr="00FE560E">
        <w:t xml:space="preserve">indiqué au </w:t>
      </w:r>
      <w:r w:rsidR="00456F42">
        <w:t>Sous-Comité</w:t>
      </w:r>
      <w:r w:rsidR="00FE560E" w:rsidRPr="00FE560E">
        <w:t xml:space="preserve"> que les cautions fixées pour bénéficier d’une décision de liberté provisoire étaient hors de portée des capacités financières de la majorité des détenus, ce qui avait pour conséquence de les maintenir en détention.</w:t>
      </w:r>
      <w:r w:rsidR="00D85A95">
        <w:t xml:space="preserve"> </w:t>
      </w:r>
      <w:r w:rsidR="00FE560E" w:rsidRPr="00FE560E">
        <w:t xml:space="preserve">Dans ses réponses au </w:t>
      </w:r>
      <w:r w:rsidR="00456F42">
        <w:t>Sous-Comité</w:t>
      </w:r>
      <w:r w:rsidR="00D1165E">
        <w:rPr>
          <w:rStyle w:val="Appelnotedebasdep"/>
        </w:rPr>
        <w:footnoteReference w:id="13"/>
      </w:r>
      <w:r w:rsidR="00F862BF">
        <w:rPr>
          <w:sz w:val="18"/>
        </w:rPr>
        <w:t>,</w:t>
      </w:r>
      <w:r w:rsidR="00FE560E" w:rsidRPr="00FE560E">
        <w:t xml:space="preserve"> l’</w:t>
      </w:r>
      <w:r w:rsidR="00DC5639">
        <w:t>État</w:t>
      </w:r>
      <w:r w:rsidR="00FE560E" w:rsidRPr="00FE560E">
        <w:t xml:space="preserve"> partie avait indiqué que la situation financière de l’individu n’était pas prise en compte dans </w:t>
      </w:r>
      <w:r w:rsidR="00FE560E" w:rsidRPr="00020FD7">
        <w:t xml:space="preserve">la </w:t>
      </w:r>
      <w:r w:rsidR="00FE560E" w:rsidRPr="0087483B">
        <w:t xml:space="preserve">fixation du </w:t>
      </w:r>
      <w:r w:rsidR="00396A43" w:rsidRPr="0087483B">
        <w:t>montant des cautions</w:t>
      </w:r>
      <w:r w:rsidR="00FE560E" w:rsidRPr="00FE560E">
        <w:t xml:space="preserve">. </w:t>
      </w:r>
    </w:p>
    <w:p w14:paraId="6E78233E" w14:textId="4D384478" w:rsidR="00FE560E" w:rsidRPr="00FE560E" w:rsidRDefault="008C6560" w:rsidP="00470BBD">
      <w:pPr>
        <w:pStyle w:val="SingleTxtG"/>
      </w:pPr>
      <w:r>
        <w:t>8</w:t>
      </w:r>
      <w:r w:rsidR="00F97EBB">
        <w:t>5</w:t>
      </w:r>
      <w:r w:rsidR="00470BBD">
        <w:t>.</w:t>
      </w:r>
      <w:r w:rsidR="00470BBD">
        <w:tab/>
      </w:r>
      <w:r w:rsidR="00FE560E" w:rsidRPr="00FE560E">
        <w:t xml:space="preserve">Le </w:t>
      </w:r>
      <w:r w:rsidR="00456F42">
        <w:t>Sous-Comité</w:t>
      </w:r>
      <w:r w:rsidR="00FE560E" w:rsidRPr="00FE560E">
        <w:t xml:space="preserve"> s’alarme du fait que la détention provisoire</w:t>
      </w:r>
      <w:r w:rsidR="00D85A95">
        <w:t xml:space="preserve"> </w:t>
      </w:r>
      <w:r w:rsidR="00FE560E" w:rsidRPr="00FE560E">
        <w:t>semble être la règle au lieu d’être l’exception en matière de détention.</w:t>
      </w:r>
      <w:r w:rsidR="00D85A95">
        <w:t xml:space="preserve"> </w:t>
      </w:r>
      <w:r w:rsidR="00FE560E" w:rsidRPr="00FE560E">
        <w:t xml:space="preserve">Le </w:t>
      </w:r>
      <w:r w:rsidR="00456F42">
        <w:t>Sous-Comité</w:t>
      </w:r>
      <w:r w:rsidR="00FE560E" w:rsidRPr="00FE560E">
        <w:t xml:space="preserve"> est d’autant plus préoccupé qu’il a recueilli des informations d’après lesquelles, dans certaines situations, des personnes avaient passé en détention plus de temps que les sanctions encourues. Le </w:t>
      </w:r>
      <w:r w:rsidR="00456F42">
        <w:t>Sous-Comité</w:t>
      </w:r>
      <w:r w:rsidR="00FE560E" w:rsidRPr="00FE560E">
        <w:t xml:space="preserve"> estime que le recours systématique à la détention provisoire </w:t>
      </w:r>
      <w:r w:rsidR="0066081D">
        <w:t xml:space="preserve">outre qu’il </w:t>
      </w:r>
      <w:r w:rsidR="00FE560E" w:rsidRPr="00FE560E">
        <w:t>contribue fortement à la surpopulation carcérale</w:t>
      </w:r>
      <w:r w:rsidR="0066081D">
        <w:t xml:space="preserve"> </w:t>
      </w:r>
      <w:r w:rsidR="00FE560E" w:rsidRPr="00FE560E">
        <w:t>semble être le symptôme de dysfonctio</w:t>
      </w:r>
      <w:r w:rsidR="00BE5127">
        <w:t>nnements du système judiciaire.</w:t>
      </w:r>
    </w:p>
    <w:p w14:paraId="11ED0015" w14:textId="7B77EA49" w:rsidR="00FE560E" w:rsidRPr="00BE5127" w:rsidRDefault="008C6560" w:rsidP="00BE5127">
      <w:pPr>
        <w:pStyle w:val="SingleTxtG"/>
        <w:rPr>
          <w:b/>
        </w:rPr>
      </w:pPr>
      <w:r w:rsidRPr="00BE5127">
        <w:t>8</w:t>
      </w:r>
      <w:r w:rsidR="00F97EBB">
        <w:t>6</w:t>
      </w:r>
      <w:r w:rsidR="00470BBD" w:rsidRPr="00BE5127">
        <w:t>.</w:t>
      </w:r>
      <w:r w:rsidR="00470BBD" w:rsidRPr="00BE5127">
        <w:tab/>
      </w:r>
      <w:r w:rsidR="00FE560E" w:rsidRPr="00BE5127">
        <w:rPr>
          <w:b/>
        </w:rPr>
        <w:t xml:space="preserve">Le </w:t>
      </w:r>
      <w:r w:rsidR="00456F42">
        <w:rPr>
          <w:b/>
        </w:rPr>
        <w:t>Sous-Comité</w:t>
      </w:r>
      <w:r w:rsidR="00FE560E" w:rsidRPr="00BE5127">
        <w:rPr>
          <w:b/>
        </w:rPr>
        <w:t xml:space="preserve"> recommande à l’</w:t>
      </w:r>
      <w:r w:rsidR="00DC5639">
        <w:rPr>
          <w:b/>
        </w:rPr>
        <w:t>État</w:t>
      </w:r>
      <w:r w:rsidR="00FE560E" w:rsidRPr="00BE5127">
        <w:rPr>
          <w:b/>
        </w:rPr>
        <w:t xml:space="preserve"> partie : a) d’éviter </w:t>
      </w:r>
      <w:r w:rsidR="00E109CE" w:rsidRPr="00BE5127">
        <w:rPr>
          <w:b/>
        </w:rPr>
        <w:t>de recourir systématiquement</w:t>
      </w:r>
      <w:r w:rsidR="00FE560E" w:rsidRPr="00BE5127">
        <w:rPr>
          <w:b/>
        </w:rPr>
        <w:t xml:space="preserve"> à la détention provisoire; b) </w:t>
      </w:r>
      <w:r w:rsidR="00E109CE" w:rsidRPr="00BE5127">
        <w:rPr>
          <w:b/>
        </w:rPr>
        <w:t>d’accéder autant que possible</w:t>
      </w:r>
      <w:r w:rsidR="00FE560E" w:rsidRPr="00BE5127">
        <w:rPr>
          <w:b/>
        </w:rPr>
        <w:t xml:space="preserve"> aux demandes de libération provisoire </w:t>
      </w:r>
      <w:r w:rsidR="00E109CE" w:rsidRPr="009C5A67">
        <w:rPr>
          <w:b/>
        </w:rPr>
        <w:t>de droit</w:t>
      </w:r>
      <w:r w:rsidR="00E109CE" w:rsidRPr="00BE5127">
        <w:rPr>
          <w:b/>
        </w:rPr>
        <w:t xml:space="preserve"> </w:t>
      </w:r>
      <w:r w:rsidR="00FE560E" w:rsidRPr="00BE5127">
        <w:rPr>
          <w:b/>
        </w:rPr>
        <w:t xml:space="preserve">ou sous cautionnement et de fixer ces cautions en tenant compte de la capacité financière des </w:t>
      </w:r>
      <w:r w:rsidR="0066081D">
        <w:rPr>
          <w:b/>
        </w:rPr>
        <w:t xml:space="preserve">personnes </w:t>
      </w:r>
      <w:r w:rsidR="00FE560E" w:rsidRPr="00BE5127">
        <w:rPr>
          <w:b/>
        </w:rPr>
        <w:t>mis</w:t>
      </w:r>
      <w:r w:rsidR="0066081D">
        <w:rPr>
          <w:b/>
        </w:rPr>
        <w:t>es</w:t>
      </w:r>
      <w:r w:rsidR="00FE560E" w:rsidRPr="00BE5127">
        <w:rPr>
          <w:b/>
        </w:rPr>
        <w:t xml:space="preserve"> en cause; c) de libérer immédiatement toutes les personnes placées en détention provisoire qui ont déjà passé en détention plus de temps que ne le justifierait la peine de prison maximale dont est passible l’infraction qui leur est reprochée ; </w:t>
      </w:r>
      <w:r w:rsidR="0066081D">
        <w:rPr>
          <w:b/>
        </w:rPr>
        <w:t xml:space="preserve">et </w:t>
      </w:r>
      <w:r w:rsidR="00FE560E" w:rsidRPr="00BE5127">
        <w:rPr>
          <w:b/>
        </w:rPr>
        <w:t xml:space="preserve">d) de veiller à ce que les autorités judiciaires appliquent pleinement les dispositions du Code de procédure pénale relatives au délai maximum de la détention provisoire. </w:t>
      </w:r>
    </w:p>
    <w:p w14:paraId="4C28D129" w14:textId="77777777" w:rsidR="00FE560E" w:rsidRPr="00FE560E" w:rsidRDefault="00FE560E" w:rsidP="001D1C14">
      <w:pPr>
        <w:pStyle w:val="HChG"/>
        <w:outlineLvl w:val="0"/>
      </w:pPr>
      <w:r w:rsidRPr="00FE560E">
        <w:tab/>
        <w:t>VII.</w:t>
      </w:r>
      <w:r w:rsidRPr="00FE560E">
        <w:tab/>
        <w:t>Politique pénitentiaire</w:t>
      </w:r>
    </w:p>
    <w:p w14:paraId="54ED0030" w14:textId="77777777" w:rsidR="00FE560E" w:rsidRPr="00FE560E" w:rsidRDefault="00FE560E" w:rsidP="00BC1BFF">
      <w:pPr>
        <w:pStyle w:val="H1G"/>
      </w:pPr>
      <w:r w:rsidRPr="00FE560E">
        <w:tab/>
      </w:r>
      <w:r w:rsidR="00D1165E">
        <w:t>A.</w:t>
      </w:r>
      <w:r w:rsidRPr="00FE560E">
        <w:tab/>
        <w:t>Situation des personnes privées de liberté</w:t>
      </w:r>
    </w:p>
    <w:p w14:paraId="232D19AA" w14:textId="77777777" w:rsidR="00FE560E" w:rsidRPr="00FE560E" w:rsidRDefault="00FE560E" w:rsidP="001D1C14">
      <w:pPr>
        <w:pStyle w:val="H23G"/>
        <w:outlineLvl w:val="0"/>
      </w:pPr>
      <w:r w:rsidRPr="00FE560E">
        <w:tab/>
        <w:t>1.</w:t>
      </w:r>
      <w:r w:rsidRPr="00FE560E">
        <w:tab/>
        <w:t>Autogestion et inégalités</w:t>
      </w:r>
    </w:p>
    <w:p w14:paraId="143E5BA3" w14:textId="0F1E7810" w:rsidR="00FE560E" w:rsidRPr="00BE5127" w:rsidRDefault="008C6560" w:rsidP="00BE5127">
      <w:pPr>
        <w:pStyle w:val="SingleTxtG"/>
      </w:pPr>
      <w:r w:rsidRPr="00BE5127">
        <w:t>8</w:t>
      </w:r>
      <w:r w:rsidR="00F97EBB">
        <w:t>7</w:t>
      </w:r>
      <w:r w:rsidR="00BC1BFF" w:rsidRPr="00BE5127">
        <w:t>.</w:t>
      </w:r>
      <w:r w:rsidR="00BC1BFF" w:rsidRPr="00BE5127">
        <w:tab/>
      </w:r>
      <w:r w:rsidR="00FE560E" w:rsidRPr="00BE5127">
        <w:t xml:space="preserve">Le </w:t>
      </w:r>
      <w:r w:rsidR="00456F42">
        <w:t>Sous-Comité</w:t>
      </w:r>
      <w:r w:rsidR="00FE560E" w:rsidRPr="00BE5127">
        <w:t xml:space="preserve"> a jugé important de se pencher dans le présent rapport en particulier</w:t>
      </w:r>
      <w:r w:rsidR="00D85A95" w:rsidRPr="00BE5127">
        <w:t xml:space="preserve"> </w:t>
      </w:r>
      <w:r w:rsidR="00FE560E" w:rsidRPr="00BE5127">
        <w:t xml:space="preserve">sur le système d’autogestion dans la prison de Cotonou. </w:t>
      </w:r>
    </w:p>
    <w:p w14:paraId="374E3DA1" w14:textId="69EC17E3" w:rsidR="00FE560E" w:rsidRPr="00BE5127" w:rsidRDefault="00F97EBB" w:rsidP="00396A43">
      <w:pPr>
        <w:pStyle w:val="SingleTxtG"/>
      </w:pPr>
      <w:r>
        <w:t>88</w:t>
      </w:r>
      <w:r w:rsidR="00BC1BFF" w:rsidRPr="00BE5127">
        <w:t>.</w:t>
      </w:r>
      <w:r w:rsidR="00BC1BFF" w:rsidRPr="00BE5127">
        <w:tab/>
      </w:r>
      <w:r w:rsidR="00AD19D4" w:rsidRPr="00BE5127">
        <w:t>La</w:t>
      </w:r>
      <w:r w:rsidR="00FE560E" w:rsidRPr="00BE5127">
        <w:t xml:space="preserve"> réduction </w:t>
      </w:r>
      <w:r w:rsidR="00AD19D4" w:rsidRPr="00BE5127">
        <w:t xml:space="preserve">de la surpopulation carcérale </w:t>
      </w:r>
      <w:r w:rsidR="00C45B87" w:rsidRPr="00BE5127">
        <w:t>à</w:t>
      </w:r>
      <w:r w:rsidR="00AD19D4" w:rsidRPr="00BE5127">
        <w:t xml:space="preserve"> la prison de Cotonou </w:t>
      </w:r>
      <w:r w:rsidR="00FE560E" w:rsidRPr="00BE5127">
        <w:t xml:space="preserve">semble avoir laissé place à un système d’autogestion ayant engendré d’importantes inégalités se déclinant en privilèges fondés sur la capacité financière. </w:t>
      </w:r>
      <w:r w:rsidR="00AD19D4" w:rsidRPr="00BE5127">
        <w:t>L</w:t>
      </w:r>
      <w:r w:rsidR="00FE560E" w:rsidRPr="00BE5127">
        <w:t>a gestion interne de la prison impliquait fortement les détenus eux-mêmes et présentait une organisation interne pour chaque bâtiment et chaque division de la prison. Les « chefs » avaient certaines prérogatives</w:t>
      </w:r>
      <w:r w:rsidR="00396A43">
        <w:t>,</w:t>
      </w:r>
      <w:r w:rsidR="00FE560E" w:rsidRPr="00BE5127">
        <w:t xml:space="preserve"> y compris en matière de sanction disciplinaire sur les autres détenus</w:t>
      </w:r>
      <w:r w:rsidR="00AD19D4" w:rsidRPr="00BE5127">
        <w:t>,</w:t>
      </w:r>
      <w:r w:rsidR="00FE560E" w:rsidRPr="00BE5127">
        <w:t xml:space="preserve"> chaque bâtiment avait son propre règlement interne</w:t>
      </w:r>
      <w:r w:rsidR="00AD19D4" w:rsidRPr="00BE5127">
        <w:t> et</w:t>
      </w:r>
      <w:r w:rsidR="00FE560E" w:rsidRPr="00BE5127">
        <w:t xml:space="preserve"> les détenus étaient également impliqués dans la sécurité et donnaient des informations aux autorités de la prison. Le </w:t>
      </w:r>
      <w:r w:rsidR="00456F42">
        <w:t>Sous-Comité</w:t>
      </w:r>
      <w:r w:rsidR="00FE560E" w:rsidRPr="00BE5127">
        <w:t xml:space="preserve"> a recueilli des informations contredisant celles des autorités de la prison et d’après lesquelles les « chefs » étaient désignés par les autorités et non pas élus par les détenus. </w:t>
      </w:r>
    </w:p>
    <w:p w14:paraId="4F9F12EB" w14:textId="1C5B06CC" w:rsidR="00FE560E" w:rsidRPr="00BE5127" w:rsidRDefault="00F97EBB" w:rsidP="00396A43">
      <w:pPr>
        <w:pStyle w:val="SingleTxtG"/>
      </w:pPr>
      <w:r>
        <w:t>8</w:t>
      </w:r>
      <w:r w:rsidR="008C6560" w:rsidRPr="00BE5127">
        <w:t>9</w:t>
      </w:r>
      <w:r w:rsidR="00BC1BFF" w:rsidRPr="00BE5127">
        <w:t>.</w:t>
      </w:r>
      <w:r w:rsidR="00BC1BFF" w:rsidRPr="00BE5127">
        <w:tab/>
      </w:r>
      <w:r w:rsidR="00FE560E" w:rsidRPr="00BE5127">
        <w:t xml:space="preserve">Le </w:t>
      </w:r>
      <w:r w:rsidR="00456F42">
        <w:t>Sous-Comité</w:t>
      </w:r>
      <w:r w:rsidR="00FE560E" w:rsidRPr="00BE5127">
        <w:t xml:space="preserve"> a constaté lui-même qu’il existait une division de facto de la prison en deux parties, à savoir « la grande cour » et la « petite cour »</w:t>
      </w:r>
      <w:r w:rsidR="00CF23AA">
        <w:t>,</w:t>
      </w:r>
      <w:r w:rsidR="00FE560E" w:rsidRPr="00BE5127">
        <w:t xml:space="preserve"> qui traduisait les inégalités en termes de conditions de détention. </w:t>
      </w:r>
      <w:r w:rsidR="00CF23AA">
        <w:t>L</w:t>
      </w:r>
      <w:r w:rsidR="00FE560E" w:rsidRPr="00BE5127">
        <w:t xml:space="preserve">’affectation dans les bâtiments de la « petite cour » se faisait sur la base de la capacité financière des détenus et de la rétribution financière par des sommes d’argent assez importantes. </w:t>
      </w:r>
      <w:r w:rsidR="00AB2F57">
        <w:t xml:space="preserve">Il est ressorti de différents entretiens avec le Sous-Comité que, </w:t>
      </w:r>
      <w:r w:rsidR="00FE560E" w:rsidRPr="00BE5127">
        <w:t>à l’arrivée d</w:t>
      </w:r>
      <w:r w:rsidR="00AB2F57">
        <w:t>’un</w:t>
      </w:r>
      <w:r w:rsidR="00FE560E" w:rsidRPr="00BE5127">
        <w:t xml:space="preserve"> détenu à la prison, il lui était proposé de loger dans le quartier de la « petite cour » s’il en a</w:t>
      </w:r>
      <w:r w:rsidR="00AB2F57">
        <w:t>vait</w:t>
      </w:r>
      <w:r w:rsidR="00FE560E" w:rsidRPr="00BE5127">
        <w:t xml:space="preserve"> la capacité financière. Différents chiffres ont été avancés allant jusqu’à un million de francs CFA. Le </w:t>
      </w:r>
      <w:r w:rsidR="00456F42">
        <w:t>Sous-Comité</w:t>
      </w:r>
      <w:r w:rsidR="00FE560E" w:rsidRPr="00BE5127">
        <w:t xml:space="preserve"> estime</w:t>
      </w:r>
      <w:r w:rsidR="00D85A95" w:rsidRPr="00BE5127">
        <w:t xml:space="preserve"> </w:t>
      </w:r>
      <w:r w:rsidR="00FE560E" w:rsidRPr="00BE5127">
        <w:t xml:space="preserve">que cette </w:t>
      </w:r>
      <w:r w:rsidR="00FE560E" w:rsidRPr="00E20F18">
        <w:t xml:space="preserve">situation </w:t>
      </w:r>
      <w:r w:rsidR="00FE560E" w:rsidRPr="003455EF">
        <w:t>crée un</w:t>
      </w:r>
      <w:r w:rsidR="00FE560E" w:rsidRPr="00BE5127">
        <w:t xml:space="preserve"> système qui distingue les nantis des indigents et provoque la servitude de ces derniers logés à la grande cour qui effectue</w:t>
      </w:r>
      <w:r w:rsidR="00EF387E">
        <w:t>nt</w:t>
      </w:r>
      <w:r w:rsidR="00FE560E" w:rsidRPr="00BE5127">
        <w:t xml:space="preserve"> des petits services</w:t>
      </w:r>
      <w:r w:rsidR="00396A43">
        <w:t xml:space="preserve">, </w:t>
      </w:r>
      <w:r w:rsidR="00FE560E" w:rsidRPr="00BE5127">
        <w:t>tels que le nettoyage de vêtements</w:t>
      </w:r>
      <w:r w:rsidR="00396A43">
        <w:t>,</w:t>
      </w:r>
      <w:r w:rsidR="00FE560E" w:rsidRPr="00BE5127">
        <w:t xml:space="preserve"> rétribués en retour</w:t>
      </w:r>
      <w:r w:rsidR="00396A43">
        <w:t>,</w:t>
      </w:r>
      <w:r w:rsidR="00FE560E" w:rsidRPr="00BE5127">
        <w:t xml:space="preserve"> pour les détenus de la petite cour. </w:t>
      </w:r>
    </w:p>
    <w:p w14:paraId="24A59B83" w14:textId="165CD3EE" w:rsidR="00FE560E" w:rsidRPr="00FE560E" w:rsidRDefault="008C6560" w:rsidP="00BC1BFF">
      <w:pPr>
        <w:pStyle w:val="SingleTxtG"/>
      </w:pPr>
      <w:r>
        <w:lastRenderedPageBreak/>
        <w:t>9</w:t>
      </w:r>
      <w:r w:rsidR="002508B9">
        <w:t>0</w:t>
      </w:r>
      <w:r w:rsidR="00BC1BFF">
        <w:t>.</w:t>
      </w:r>
      <w:r w:rsidR="00BC1BFF">
        <w:tab/>
      </w:r>
      <w:r w:rsidR="00FE560E" w:rsidRPr="00FE560E">
        <w:t xml:space="preserve">Le </w:t>
      </w:r>
      <w:r w:rsidR="00456F42">
        <w:t>Sous-Comité</w:t>
      </w:r>
      <w:r w:rsidR="00FE560E" w:rsidRPr="00FE560E">
        <w:t xml:space="preserve"> est préoccupé par le fait que ce système d’autogestion semble avoir généré une corruption</w:t>
      </w:r>
      <w:r w:rsidR="00FE560E" w:rsidRPr="00FE560E">
        <w:rPr>
          <w:sz w:val="18"/>
          <w:vertAlign w:val="superscript"/>
        </w:rPr>
        <w:footnoteReference w:id="14"/>
      </w:r>
      <w:r w:rsidR="00FE560E" w:rsidRPr="00FE560E">
        <w:t xml:space="preserve"> </w:t>
      </w:r>
      <w:r w:rsidR="00FE560E" w:rsidRPr="00BE5127">
        <w:t>institutionnalisée, systématique, généralisée et encouragée par les autori</w:t>
      </w:r>
      <w:r w:rsidR="00DB3801" w:rsidRPr="00BE5127">
        <w:t>tés de la prison, et qui résulterait de facto</w:t>
      </w:r>
      <w:r w:rsidR="00FE560E" w:rsidRPr="00BE5127">
        <w:t xml:space="preserve"> de la démission de l’</w:t>
      </w:r>
      <w:r w:rsidR="00DC5639">
        <w:t>État</w:t>
      </w:r>
      <w:r w:rsidR="00FE560E" w:rsidRPr="00BE5127">
        <w:t xml:space="preserve"> partie.</w:t>
      </w:r>
      <w:r w:rsidR="00FE560E" w:rsidRPr="00FE560E">
        <w:t xml:space="preserve"> </w:t>
      </w:r>
    </w:p>
    <w:p w14:paraId="004BB7C7" w14:textId="16DB23F3" w:rsidR="00FE560E" w:rsidRPr="00FE560E" w:rsidRDefault="008C6560" w:rsidP="00BC1BFF">
      <w:pPr>
        <w:pStyle w:val="SingleTxtG"/>
      </w:pPr>
      <w:r>
        <w:t>9</w:t>
      </w:r>
      <w:r w:rsidR="002508B9">
        <w:t>1</w:t>
      </w:r>
      <w:r w:rsidR="00BC1BFF" w:rsidRPr="00BC1BFF">
        <w:t>.</w:t>
      </w:r>
      <w:r w:rsidR="00BC1BFF">
        <w:rPr>
          <w:b/>
        </w:rPr>
        <w:tab/>
      </w:r>
      <w:r w:rsidR="00FE560E" w:rsidRPr="00BE5127">
        <w:rPr>
          <w:b/>
        </w:rPr>
        <w:t xml:space="preserve">Le </w:t>
      </w:r>
      <w:r w:rsidR="00456F42">
        <w:rPr>
          <w:b/>
        </w:rPr>
        <w:t>Sous-Comité</w:t>
      </w:r>
      <w:r w:rsidR="00FE560E" w:rsidRPr="00BE5127">
        <w:rPr>
          <w:b/>
        </w:rPr>
        <w:t xml:space="preserve"> invite l’</w:t>
      </w:r>
      <w:r w:rsidR="00DC5639">
        <w:rPr>
          <w:b/>
        </w:rPr>
        <w:t>État</w:t>
      </w:r>
      <w:r w:rsidR="00FE560E" w:rsidRPr="00BE5127">
        <w:rPr>
          <w:b/>
        </w:rPr>
        <w:t xml:space="preserve"> partie à s’engager plus activement dans la gestion de la prison de Cotonou afin d’y reprendre le contrôle. Les tâches fondées sur l’exercice d’un pouvoir officiel devraient par ailleurs être accomplies par le personnel. Les autorités devraient faire </w:t>
      </w:r>
      <w:r w:rsidR="00EF387E">
        <w:rPr>
          <w:b/>
        </w:rPr>
        <w:t>en</w:t>
      </w:r>
      <w:r w:rsidR="00FE560E" w:rsidRPr="00BE5127">
        <w:rPr>
          <w:b/>
        </w:rPr>
        <w:t xml:space="preserve"> sorte que tous les détenus soient traités sur un pied d’égalité et revoir les différences en matière de détention établies entre la grande cour et la petite cour.</w:t>
      </w:r>
      <w:r w:rsidR="00D85A95" w:rsidRPr="00BE5127">
        <w:rPr>
          <w:b/>
        </w:rPr>
        <w:t xml:space="preserve"> </w:t>
      </w:r>
      <w:r w:rsidR="00FE560E" w:rsidRPr="00BE5127">
        <w:rPr>
          <w:b/>
        </w:rPr>
        <w:t>L’</w:t>
      </w:r>
      <w:r w:rsidR="00DC5639">
        <w:rPr>
          <w:b/>
        </w:rPr>
        <w:t>État</w:t>
      </w:r>
      <w:r w:rsidR="00FE560E" w:rsidRPr="00BE5127">
        <w:rPr>
          <w:b/>
        </w:rPr>
        <w:t xml:space="preserve"> partie devrait par ailleurs éradiquer la corruption en sanctionnant les auteurs et en informant les détenus et les familles de leurs droits.</w:t>
      </w:r>
      <w:r w:rsidR="00FE560E" w:rsidRPr="00FE560E">
        <w:rPr>
          <w:b/>
          <w:lang w:val="fr-FR"/>
        </w:rPr>
        <w:t xml:space="preserve"> </w:t>
      </w:r>
    </w:p>
    <w:p w14:paraId="73D5EFD5" w14:textId="77777777" w:rsidR="00FE560E" w:rsidRPr="00FE560E" w:rsidRDefault="00BC1BFF" w:rsidP="001D1C14">
      <w:pPr>
        <w:pStyle w:val="H23G"/>
        <w:outlineLvl w:val="0"/>
      </w:pPr>
      <w:r>
        <w:tab/>
      </w:r>
      <w:r w:rsidR="00FE560E" w:rsidRPr="00FE560E">
        <w:t>2.</w:t>
      </w:r>
      <w:r>
        <w:tab/>
      </w:r>
      <w:r w:rsidR="00FE560E" w:rsidRPr="00FE560E">
        <w:t xml:space="preserve">Système de plainte </w:t>
      </w:r>
    </w:p>
    <w:p w14:paraId="715EB477" w14:textId="7A836535" w:rsidR="00FE560E" w:rsidRPr="00BE5127" w:rsidRDefault="008C6560" w:rsidP="001872BE">
      <w:pPr>
        <w:pStyle w:val="SingleTxtG"/>
      </w:pPr>
      <w:r w:rsidRPr="00BE5127">
        <w:t>9</w:t>
      </w:r>
      <w:r w:rsidR="002508B9">
        <w:t>2</w:t>
      </w:r>
      <w:r w:rsidR="00BC1BFF" w:rsidRPr="00BE5127">
        <w:t>.</w:t>
      </w:r>
      <w:r w:rsidR="00BC1BFF" w:rsidRPr="00BE5127">
        <w:tab/>
      </w:r>
      <w:r w:rsidR="00FE560E" w:rsidRPr="00BE5127">
        <w:t xml:space="preserve">Le </w:t>
      </w:r>
      <w:r w:rsidR="00456F42">
        <w:t>Sous-Comité</w:t>
      </w:r>
      <w:r w:rsidR="00FE560E" w:rsidRPr="00BE5127">
        <w:t xml:space="preserve"> prend note des informations fournies par l’</w:t>
      </w:r>
      <w:r w:rsidR="00DC5639">
        <w:t>État</w:t>
      </w:r>
      <w:r w:rsidR="00FE560E" w:rsidRPr="00BE5127">
        <w:t xml:space="preserve"> partie dans ses réponses</w:t>
      </w:r>
      <w:r w:rsidR="00FE560E" w:rsidRPr="006C5D31">
        <w:rPr>
          <w:vertAlign w:val="superscript"/>
        </w:rPr>
        <w:footnoteReference w:id="15"/>
      </w:r>
      <w:r w:rsidR="00FE560E" w:rsidRPr="00BE5127">
        <w:t>.</w:t>
      </w:r>
      <w:r w:rsidR="00D85A95" w:rsidRPr="00BE5127">
        <w:t xml:space="preserve"> </w:t>
      </w:r>
      <w:r w:rsidR="00FE560E" w:rsidRPr="00BE5127">
        <w:t>Il note, par ailleurs, qu’il</w:t>
      </w:r>
      <w:r w:rsidR="00D85A95" w:rsidRPr="00BE5127">
        <w:t xml:space="preserve"> </w:t>
      </w:r>
      <w:r w:rsidR="00FE560E" w:rsidRPr="00BE5127">
        <w:t xml:space="preserve">n’a pas été informé de l’existence d’un mécanisme de plainte au sein des trois prisons visitées. Le </w:t>
      </w:r>
      <w:r w:rsidR="00456F42">
        <w:t>Sous-Comité</w:t>
      </w:r>
      <w:r w:rsidR="00FE560E" w:rsidRPr="00BE5127">
        <w:t xml:space="preserve"> est également préoccupé par l’absence</w:t>
      </w:r>
      <w:r w:rsidR="00D85A95" w:rsidRPr="00BE5127">
        <w:t xml:space="preserve"> </w:t>
      </w:r>
      <w:r w:rsidR="00FE560E" w:rsidRPr="00BE5127">
        <w:t>de registres de plaintes dans ces prisons et par le fait que</w:t>
      </w:r>
      <w:r w:rsidR="00D85A95" w:rsidRPr="00BE5127">
        <w:t xml:space="preserve"> </w:t>
      </w:r>
      <w:r w:rsidR="00FE560E" w:rsidRPr="00BE5127">
        <w:t xml:space="preserve">certains détenus n’avaient pas été informés de la possibilité de porter plainte s’ils étaient victimes de mauvais traitements. Le </w:t>
      </w:r>
      <w:r w:rsidR="00456F42">
        <w:t>Sous-Comité</w:t>
      </w:r>
      <w:r w:rsidR="00FE560E" w:rsidRPr="00BE5127">
        <w:t xml:space="preserve"> note que le </w:t>
      </w:r>
      <w:r w:rsidR="00FE560E" w:rsidRPr="003455EF">
        <w:t xml:space="preserve">décret </w:t>
      </w:r>
      <w:r w:rsidR="00014286" w:rsidRPr="003455EF">
        <w:t>n</w:t>
      </w:r>
      <w:r w:rsidR="00FE560E" w:rsidRPr="006C5D31">
        <w:rPr>
          <w:vertAlign w:val="superscript"/>
        </w:rPr>
        <w:t>o</w:t>
      </w:r>
      <w:r w:rsidR="00014286" w:rsidRPr="003455EF">
        <w:t> </w:t>
      </w:r>
      <w:r w:rsidR="00FE560E" w:rsidRPr="00E20F18">
        <w:t>73-293 du 15</w:t>
      </w:r>
      <w:r w:rsidR="00014286" w:rsidRPr="00E20F18">
        <w:t> </w:t>
      </w:r>
      <w:r w:rsidR="001872BE" w:rsidRPr="0087483B">
        <w:t xml:space="preserve">septembre </w:t>
      </w:r>
      <w:r w:rsidR="00FE560E" w:rsidRPr="00E20F18">
        <w:t>1973 portant régime pénitentiaire ne contient aucune dispo</w:t>
      </w:r>
      <w:r w:rsidR="00FE560E" w:rsidRPr="00BE5127">
        <w:t xml:space="preserve">sition explicite relative aux plaintes des détenus. </w:t>
      </w:r>
    </w:p>
    <w:p w14:paraId="593E2BA5" w14:textId="228BDBB1" w:rsidR="00FE560E" w:rsidRPr="00FE560E" w:rsidRDefault="008C6560" w:rsidP="00014286">
      <w:pPr>
        <w:pStyle w:val="SingleTxtG"/>
      </w:pPr>
      <w:r>
        <w:t>9</w:t>
      </w:r>
      <w:r w:rsidR="002508B9">
        <w:t>3</w:t>
      </w:r>
      <w:r w:rsidR="00BC1BFF" w:rsidRPr="00BC1BFF">
        <w:t>.</w:t>
      </w:r>
      <w:r w:rsidR="00BC1BFF">
        <w:rPr>
          <w:b/>
        </w:rPr>
        <w:tab/>
      </w:r>
      <w:r w:rsidR="00FE560E" w:rsidRPr="00FE560E">
        <w:rPr>
          <w:b/>
        </w:rPr>
        <w:t xml:space="preserve">Le </w:t>
      </w:r>
      <w:r w:rsidR="00456F42">
        <w:rPr>
          <w:b/>
        </w:rPr>
        <w:t>Sous-Comité</w:t>
      </w:r>
      <w:r w:rsidR="00FE560E" w:rsidRPr="00FE560E">
        <w:t xml:space="preserve"> </w:t>
      </w:r>
      <w:r w:rsidR="00FE560E" w:rsidRPr="00FE560E">
        <w:rPr>
          <w:b/>
        </w:rPr>
        <w:t>recommande aux autorités béninoises de mettre en place des mécanismes de plaintes formels et efficaces</w:t>
      </w:r>
      <w:r w:rsidR="00FE560E" w:rsidRPr="006C5D31">
        <w:rPr>
          <w:bCs/>
          <w:sz w:val="18"/>
          <w:vertAlign w:val="superscript"/>
        </w:rPr>
        <w:footnoteReference w:id="16"/>
      </w:r>
      <w:r w:rsidR="00FE560E" w:rsidRPr="00FE560E">
        <w:rPr>
          <w:b/>
        </w:rPr>
        <w:t>. Les autorités des prisons devraient informer systématiquement les détenus à leur arrivée de l’existence de ces mécanismes. Elles devraient également</w:t>
      </w:r>
      <w:r w:rsidR="00D85A95">
        <w:rPr>
          <w:b/>
        </w:rPr>
        <w:t xml:space="preserve"> </w:t>
      </w:r>
      <w:r w:rsidR="00FE560E" w:rsidRPr="00FE560E">
        <w:rPr>
          <w:b/>
        </w:rPr>
        <w:t xml:space="preserve">tenir un registre de plaintes dans chaque prison. </w:t>
      </w:r>
    </w:p>
    <w:p w14:paraId="411D40DE" w14:textId="6A77D6DC" w:rsidR="00FE560E" w:rsidRPr="00FE560E" w:rsidRDefault="00BC1BFF" w:rsidP="00396A43">
      <w:pPr>
        <w:pStyle w:val="H23G"/>
        <w:outlineLvl w:val="0"/>
      </w:pPr>
      <w:r>
        <w:tab/>
      </w:r>
      <w:r w:rsidR="00FE560E" w:rsidRPr="00FE560E">
        <w:t>3</w:t>
      </w:r>
      <w:r w:rsidR="00396A43">
        <w:t>.</w:t>
      </w:r>
      <w:r>
        <w:tab/>
      </w:r>
      <w:r w:rsidR="00FE560E" w:rsidRPr="00FE560E">
        <w:t>Libération conditionnelle</w:t>
      </w:r>
    </w:p>
    <w:p w14:paraId="1A4E5C04" w14:textId="5AFC4766" w:rsidR="00FE560E" w:rsidRPr="00FE560E" w:rsidRDefault="008C6560" w:rsidP="00396A43">
      <w:pPr>
        <w:pStyle w:val="SingleTxtG"/>
      </w:pPr>
      <w:r>
        <w:t>9</w:t>
      </w:r>
      <w:r w:rsidR="002508B9">
        <w:t>4</w:t>
      </w:r>
      <w:r w:rsidR="00BC1BFF">
        <w:t>.</w:t>
      </w:r>
      <w:r w:rsidR="00BC1BFF">
        <w:tab/>
      </w:r>
      <w:r w:rsidR="00FE560E" w:rsidRPr="00FE560E">
        <w:t xml:space="preserve">Le </w:t>
      </w:r>
      <w:r w:rsidR="00456F42">
        <w:t>Sous-Comité</w:t>
      </w:r>
      <w:r w:rsidR="00FE560E" w:rsidRPr="00FE560E">
        <w:t xml:space="preserve"> note que</w:t>
      </w:r>
      <w:r w:rsidR="00D85A95">
        <w:t xml:space="preserve"> </w:t>
      </w:r>
      <w:r w:rsidR="00FE560E" w:rsidRPr="00FE560E">
        <w:t>la libération conditionnelle</w:t>
      </w:r>
      <w:r w:rsidR="00D85A95">
        <w:t xml:space="preserve"> </w:t>
      </w:r>
      <w:r w:rsidR="00FE560E" w:rsidRPr="00FE560E">
        <w:t xml:space="preserve">est encadrée par les dispositions des articles </w:t>
      </w:r>
      <w:r w:rsidR="00FE560E" w:rsidRPr="009C5A67">
        <w:t>808 à 812 du nouveau Code de procédure pénale</w:t>
      </w:r>
      <w:r w:rsidR="00FE560E" w:rsidRPr="00FE560E">
        <w:t xml:space="preserve">. Le </w:t>
      </w:r>
      <w:r w:rsidR="00456F42">
        <w:t>Sous-Comité</w:t>
      </w:r>
      <w:r w:rsidR="00FE560E" w:rsidRPr="00FE560E">
        <w:t xml:space="preserve"> a été informé par les autorités de l’</w:t>
      </w:r>
      <w:r w:rsidR="00DC5639">
        <w:t>État</w:t>
      </w:r>
      <w:r w:rsidR="00FE560E" w:rsidRPr="00FE560E">
        <w:t xml:space="preserve"> partie que des libérations conditionnelles avaient eu lieu en 2015. </w:t>
      </w:r>
      <w:r w:rsidR="00393FA9">
        <w:t>À</w:t>
      </w:r>
      <w:r w:rsidR="00FE560E" w:rsidRPr="00FE560E">
        <w:t xml:space="preserve"> la prison de Cotonou, les autorités ont fait état d’une soixantaine de libérations conditionnelles en 2015. Cependant, la consultation des registres des prisons visitées n’a pas permis au </w:t>
      </w:r>
      <w:r w:rsidR="00456F42">
        <w:t>Sous-Comité</w:t>
      </w:r>
      <w:r w:rsidR="00D85A95">
        <w:t xml:space="preserve"> </w:t>
      </w:r>
      <w:r w:rsidR="00FE560E" w:rsidRPr="00FE560E">
        <w:t xml:space="preserve">de confirmer </w:t>
      </w:r>
      <w:r w:rsidR="00396A43">
        <w:t xml:space="preserve">ni </w:t>
      </w:r>
      <w:r w:rsidR="00FE560E" w:rsidRPr="00FE560E">
        <w:t xml:space="preserve">d’estimer le nombre de personnes ayant bénéficié d’une telle mesure depuis l’entrée en vigueur du nouveau Code de procédure pénale. Le </w:t>
      </w:r>
      <w:r w:rsidR="00456F42">
        <w:t>Sous-Comité</w:t>
      </w:r>
      <w:r w:rsidR="00FE560E" w:rsidRPr="00FE560E">
        <w:t xml:space="preserve"> a reçu </w:t>
      </w:r>
      <w:r w:rsidR="004B5D1C">
        <w:t xml:space="preserve">des informations </w:t>
      </w:r>
      <w:r w:rsidR="00FE560E" w:rsidRPr="00FE560E">
        <w:t xml:space="preserve">faisant état d’un recours moins régulier à la libération conditionnelle et de la lenteur dans le traitement des demandes de libération conditionnelle, </w:t>
      </w:r>
      <w:r w:rsidR="004B5D1C">
        <w:t xml:space="preserve">ce </w:t>
      </w:r>
      <w:r w:rsidR="00FE560E" w:rsidRPr="00FE560E">
        <w:t xml:space="preserve">que lui ont attesté des détenus de la prison d’Abomey. Le </w:t>
      </w:r>
      <w:r w:rsidR="00456F42">
        <w:t>Sous-Comité</w:t>
      </w:r>
      <w:r w:rsidR="00FE560E" w:rsidRPr="00FE560E">
        <w:t xml:space="preserve"> </w:t>
      </w:r>
      <w:r w:rsidR="004B5D1C">
        <w:t xml:space="preserve">regrette </w:t>
      </w:r>
      <w:r w:rsidR="00FE560E" w:rsidRPr="00FE560E">
        <w:t xml:space="preserve">que, malgré l’entrée en vigueur du </w:t>
      </w:r>
      <w:r w:rsidR="00C502D6">
        <w:t xml:space="preserve">nouveau </w:t>
      </w:r>
      <w:r w:rsidR="00FE560E" w:rsidRPr="00FE560E">
        <w:t>Code de procédure pénale, l’</w:t>
      </w:r>
      <w:r w:rsidR="00DC5639">
        <w:t>État</w:t>
      </w:r>
      <w:r w:rsidR="00FE560E" w:rsidRPr="00FE560E">
        <w:t xml:space="preserve"> partie n’ait pas</w:t>
      </w:r>
      <w:r w:rsidR="00D85A95">
        <w:t xml:space="preserve"> </w:t>
      </w:r>
      <w:r w:rsidR="00FE560E" w:rsidRPr="00FE560E">
        <w:t xml:space="preserve">fait un recours plus régulier à la libération conditionnelle pour </w:t>
      </w:r>
      <w:r w:rsidR="004B5D1C">
        <w:t xml:space="preserve">les </w:t>
      </w:r>
      <w:r w:rsidR="00FE560E" w:rsidRPr="00FE560E">
        <w:t xml:space="preserve">détenus qui pourraient y avoir droit. </w:t>
      </w:r>
    </w:p>
    <w:p w14:paraId="4B2CD759" w14:textId="652E9AFC" w:rsidR="00FE560E" w:rsidRPr="00FE560E" w:rsidRDefault="008C6560" w:rsidP="004B5D1C">
      <w:pPr>
        <w:pStyle w:val="SingleTxtG"/>
      </w:pPr>
      <w:r>
        <w:t>9</w:t>
      </w:r>
      <w:r w:rsidR="002508B9">
        <w:t>5</w:t>
      </w:r>
      <w:r w:rsidR="00BC1BFF" w:rsidRPr="00BC1BFF">
        <w:t>.</w:t>
      </w:r>
      <w:r w:rsidR="00BC1BFF" w:rsidRPr="00BC1BFF">
        <w:tab/>
      </w:r>
      <w:r w:rsidR="00FE560E" w:rsidRPr="00FE560E">
        <w:rPr>
          <w:b/>
        </w:rPr>
        <w:t xml:space="preserve">Le </w:t>
      </w:r>
      <w:r w:rsidR="00456F42">
        <w:rPr>
          <w:b/>
        </w:rPr>
        <w:t>Sous-Comité</w:t>
      </w:r>
      <w:r w:rsidR="00FE560E" w:rsidRPr="00FE560E">
        <w:rPr>
          <w:b/>
        </w:rPr>
        <w:t xml:space="preserve"> recommande à l’</w:t>
      </w:r>
      <w:r w:rsidR="00DC5639">
        <w:rPr>
          <w:b/>
        </w:rPr>
        <w:t>État</w:t>
      </w:r>
      <w:r w:rsidR="00FE560E" w:rsidRPr="00FE560E">
        <w:rPr>
          <w:b/>
        </w:rPr>
        <w:t xml:space="preserve"> partie de prendre </w:t>
      </w:r>
      <w:r w:rsidR="004B5D1C">
        <w:rPr>
          <w:b/>
        </w:rPr>
        <w:t>l</w:t>
      </w:r>
      <w:r w:rsidR="00FE560E" w:rsidRPr="00FE560E">
        <w:rPr>
          <w:b/>
        </w:rPr>
        <w:t>es mesures nécessaires afin d’encourager le recours plus fréquent à la libération conditionnelle pour les détenus qui en</w:t>
      </w:r>
      <w:r w:rsidR="00D85A95">
        <w:rPr>
          <w:b/>
        </w:rPr>
        <w:t xml:space="preserve"> </w:t>
      </w:r>
      <w:r w:rsidR="00FE560E" w:rsidRPr="00FE560E">
        <w:rPr>
          <w:b/>
        </w:rPr>
        <w:t>remplissent les conditions. L’</w:t>
      </w:r>
      <w:r w:rsidR="00DC5639">
        <w:rPr>
          <w:b/>
        </w:rPr>
        <w:t>État</w:t>
      </w:r>
      <w:r w:rsidR="00FE560E" w:rsidRPr="00FE560E">
        <w:rPr>
          <w:b/>
        </w:rPr>
        <w:t xml:space="preserve"> partie devrait, de manière systématique et régulière, évaluer la situation des détenus remplissant les conditions fixées aux articles pertinents du Code de procédure </w:t>
      </w:r>
      <w:r w:rsidR="004B5D1C">
        <w:rPr>
          <w:b/>
        </w:rPr>
        <w:t xml:space="preserve">pénale </w:t>
      </w:r>
      <w:r w:rsidR="00FE560E" w:rsidRPr="00FE560E">
        <w:rPr>
          <w:b/>
        </w:rPr>
        <w:t xml:space="preserve">et les encourager à faire une demande de libération conditionnelle, s’ils en remplissent les conditions, et les libérer, le cas échéant. </w:t>
      </w:r>
    </w:p>
    <w:p w14:paraId="124E5FA1" w14:textId="47FC9A40" w:rsidR="00FE560E" w:rsidRPr="00FE560E" w:rsidRDefault="00BC1BFF" w:rsidP="00396A43">
      <w:pPr>
        <w:pStyle w:val="H23G"/>
        <w:outlineLvl w:val="0"/>
      </w:pPr>
      <w:r>
        <w:lastRenderedPageBreak/>
        <w:tab/>
      </w:r>
      <w:r w:rsidR="00FE560E" w:rsidRPr="00FE560E">
        <w:t>4</w:t>
      </w:r>
      <w:r w:rsidR="00396A43">
        <w:t>.</w:t>
      </w:r>
      <w:r>
        <w:tab/>
      </w:r>
      <w:r w:rsidR="00FE560E" w:rsidRPr="00FE560E">
        <w:t>Politique de réinsertion</w:t>
      </w:r>
    </w:p>
    <w:p w14:paraId="63B76559" w14:textId="3CFEAE01" w:rsidR="00FE560E" w:rsidRPr="00FE560E" w:rsidRDefault="008C6560" w:rsidP="001872BE">
      <w:pPr>
        <w:pStyle w:val="SingleTxtG"/>
      </w:pPr>
      <w:r>
        <w:t>9</w:t>
      </w:r>
      <w:r w:rsidR="002508B9">
        <w:t>6</w:t>
      </w:r>
      <w:r w:rsidR="00BC1BFF">
        <w:t>.</w:t>
      </w:r>
      <w:r w:rsidR="00BC1BFF">
        <w:tab/>
      </w:r>
      <w:r w:rsidR="00FE560E" w:rsidRPr="00FE560E">
        <w:t xml:space="preserve">Le </w:t>
      </w:r>
      <w:r w:rsidR="00456F42">
        <w:t>Sous-Comité</w:t>
      </w:r>
      <w:r w:rsidR="00FE560E" w:rsidRPr="00FE560E">
        <w:t xml:space="preserve"> note que le</w:t>
      </w:r>
      <w:r w:rsidR="00D85A95">
        <w:t xml:space="preserve"> </w:t>
      </w:r>
      <w:r w:rsidR="00FE560E" w:rsidRPr="00FE560E">
        <w:t xml:space="preserve">nouveau Code de </w:t>
      </w:r>
      <w:r w:rsidR="00FE560E" w:rsidRPr="003455EF">
        <w:t>procédure pénal</w:t>
      </w:r>
      <w:r w:rsidR="00D119EA" w:rsidRPr="003455EF">
        <w:t>e</w:t>
      </w:r>
      <w:r w:rsidR="00FE560E" w:rsidRPr="00E20F18">
        <w:t xml:space="preserve"> (art.</w:t>
      </w:r>
      <w:r w:rsidR="001872BE" w:rsidRPr="00E20F18">
        <w:t> </w:t>
      </w:r>
      <w:r w:rsidR="00FE560E" w:rsidRPr="00E20F18">
        <w:t>807) et le</w:t>
      </w:r>
      <w:r w:rsidR="00D85A95" w:rsidRPr="00E20F18">
        <w:t xml:space="preserve"> </w:t>
      </w:r>
      <w:r w:rsidR="00FE560E" w:rsidRPr="00E20F18">
        <w:t xml:space="preserve">décret </w:t>
      </w:r>
      <w:r w:rsidR="00D119EA" w:rsidRPr="00E20F18">
        <w:t>n</w:t>
      </w:r>
      <w:r w:rsidR="00FE560E" w:rsidRPr="006C5D31">
        <w:rPr>
          <w:vertAlign w:val="superscript"/>
        </w:rPr>
        <w:t>o</w:t>
      </w:r>
      <w:r w:rsidR="00D119EA" w:rsidRPr="003455EF">
        <w:t> </w:t>
      </w:r>
      <w:r w:rsidR="00FE560E" w:rsidRPr="00E20F18">
        <w:t>73-293 portant régime pénitentiaire (art.</w:t>
      </w:r>
      <w:r w:rsidR="001872BE" w:rsidRPr="00E20F18">
        <w:t> </w:t>
      </w:r>
      <w:r w:rsidR="00FE560E" w:rsidRPr="00E20F18">
        <w:t>70 à 72</w:t>
      </w:r>
      <w:r w:rsidR="00FE560E" w:rsidRPr="003455EF">
        <w:t>)</w:t>
      </w:r>
      <w:r w:rsidR="00FE560E" w:rsidRPr="00E20F18">
        <w:t xml:space="preserve"> prévoien</w:t>
      </w:r>
      <w:r w:rsidR="00FE560E" w:rsidRPr="00FE560E">
        <w:t>t des activités de « rééducation sociale » en vue de la réinsertion des détenus</w:t>
      </w:r>
      <w:r w:rsidR="001872BE">
        <w:t>,</w:t>
      </w:r>
      <w:r w:rsidR="00FE560E" w:rsidRPr="00FE560E">
        <w:t xml:space="preserve"> de même que</w:t>
      </w:r>
      <w:r w:rsidR="00D85A95">
        <w:t xml:space="preserve"> </w:t>
      </w:r>
      <w:r w:rsidR="00FE560E" w:rsidRPr="00FE560E">
        <w:t>le règlement intérieur de la prison d’</w:t>
      </w:r>
      <w:proofErr w:type="spellStart"/>
      <w:r w:rsidR="00FE560E" w:rsidRPr="00FE560E">
        <w:t>Akpro-Missérété</w:t>
      </w:r>
      <w:proofErr w:type="spellEnd"/>
      <w:r w:rsidR="001872BE">
        <w:t xml:space="preserve"> (art. 18)</w:t>
      </w:r>
      <w:r w:rsidR="00FE560E" w:rsidRPr="00FE560E">
        <w:t xml:space="preserve">. </w:t>
      </w:r>
    </w:p>
    <w:p w14:paraId="0DB7FA93" w14:textId="510EFF85" w:rsidR="00FE560E" w:rsidRPr="00FE560E" w:rsidRDefault="008C6560" w:rsidP="001872BE">
      <w:pPr>
        <w:pStyle w:val="SingleTxtG"/>
      </w:pPr>
      <w:r>
        <w:t>9</w:t>
      </w:r>
      <w:r w:rsidR="002508B9">
        <w:t>7</w:t>
      </w:r>
      <w:r w:rsidR="00BC1BFF">
        <w:t>.</w:t>
      </w:r>
      <w:r w:rsidR="00BC1BFF">
        <w:tab/>
      </w:r>
      <w:r w:rsidR="00FE560E" w:rsidRPr="00FE560E">
        <w:t xml:space="preserve">Le </w:t>
      </w:r>
      <w:r w:rsidR="00456F42">
        <w:t>Sous-Comité</w:t>
      </w:r>
      <w:r w:rsidR="00FE560E" w:rsidRPr="00FE560E">
        <w:t xml:space="preserve"> reste préoccupé de constater que, de manière générale, les activités en vue de la réinsertion (cours, ateliers de formation) dont il avait fait état dans son précédent rapport</w:t>
      </w:r>
      <w:r w:rsidR="00FE560E" w:rsidRPr="00FE560E">
        <w:rPr>
          <w:sz w:val="18"/>
          <w:vertAlign w:val="superscript"/>
        </w:rPr>
        <w:footnoteReference w:id="17"/>
      </w:r>
      <w:r w:rsidR="00FE560E" w:rsidRPr="00FE560E">
        <w:t xml:space="preserve"> avaient soit cessé, soit fortement diminué dans les prisons visité</w:t>
      </w:r>
      <w:r w:rsidR="001872BE">
        <w:t>e</w:t>
      </w:r>
      <w:r w:rsidR="00FE560E" w:rsidRPr="00FE560E">
        <w:t>s,</w:t>
      </w:r>
      <w:r w:rsidR="00D85A95">
        <w:t xml:space="preserve"> </w:t>
      </w:r>
      <w:r w:rsidR="00FE560E" w:rsidRPr="00FE560E">
        <w:t>à l’exception de la prison</w:t>
      </w:r>
      <w:r w:rsidR="00D85A95">
        <w:t xml:space="preserve"> </w:t>
      </w:r>
      <w:r w:rsidR="00FE560E" w:rsidRPr="00FE560E">
        <w:t>d’</w:t>
      </w:r>
      <w:proofErr w:type="spellStart"/>
      <w:r w:rsidR="00FE560E" w:rsidRPr="00FE560E">
        <w:t>Akpro-Missérété</w:t>
      </w:r>
      <w:proofErr w:type="spellEnd"/>
      <w:r w:rsidR="00FE560E" w:rsidRPr="00FE560E">
        <w:t xml:space="preserve">, où il existait des activités de couture et de jardinage. Le </w:t>
      </w:r>
      <w:r w:rsidR="00456F42">
        <w:t>Sous-Comité</w:t>
      </w:r>
      <w:r w:rsidR="00FE560E" w:rsidRPr="00FE560E">
        <w:t xml:space="preserve"> a aussi constaté que</w:t>
      </w:r>
      <w:r w:rsidR="001872BE">
        <w:t>,</w:t>
      </w:r>
      <w:r w:rsidR="00FE560E" w:rsidRPr="00FE560E">
        <w:t xml:space="preserve"> dans les prisons de Cotonou </w:t>
      </w:r>
      <w:r w:rsidR="00FE560E" w:rsidRPr="003455EF">
        <w:t xml:space="preserve">et </w:t>
      </w:r>
      <w:r w:rsidR="00FE560E" w:rsidRPr="00E20F18">
        <w:t>d’Abomey,</w:t>
      </w:r>
      <w:r w:rsidR="00FE560E" w:rsidRPr="00FE560E">
        <w:t xml:space="preserve"> les activités</w:t>
      </w:r>
      <w:r w:rsidR="003B75D6">
        <w:t xml:space="preserve"> </w:t>
      </w:r>
      <w:r w:rsidR="001872BE">
        <w:t>permettant d’</w:t>
      </w:r>
      <w:r w:rsidR="00FE560E" w:rsidRPr="00FE560E">
        <w:t>apprendre un métier</w:t>
      </w:r>
      <w:r w:rsidR="001872BE">
        <w:t xml:space="preserve"> ou de </w:t>
      </w:r>
      <w:r w:rsidR="00FE560E" w:rsidRPr="00FE560E">
        <w:t>s’instruire</w:t>
      </w:r>
      <w:r w:rsidR="001872BE">
        <w:t xml:space="preserve"> ou </w:t>
      </w:r>
      <w:r w:rsidR="00FE560E" w:rsidRPr="00FE560E">
        <w:t>des activités d’artisanat</w:t>
      </w:r>
      <w:r w:rsidR="001872BE">
        <w:t xml:space="preserve"> </w:t>
      </w:r>
      <w:r w:rsidR="001872BE" w:rsidRPr="00FE560E">
        <w:t>n’étaient pas systématiquement proposées aux détenus</w:t>
      </w:r>
      <w:r w:rsidR="00FE560E" w:rsidRPr="00FE560E">
        <w:t>. Il a pris note de l’existence d’ateliers de métallurgie et de chaudronnerie au niveau du bâtiment E de la prison de Cotonou.</w:t>
      </w:r>
    </w:p>
    <w:p w14:paraId="66149AD0" w14:textId="4A9DDBBF" w:rsidR="00FE560E" w:rsidRPr="00FE560E" w:rsidRDefault="002508B9" w:rsidP="00BC1BFF">
      <w:pPr>
        <w:pStyle w:val="SingleTxtG"/>
      </w:pPr>
      <w:r>
        <w:t>98</w:t>
      </w:r>
      <w:r w:rsidR="00BC1BFF">
        <w:t>.</w:t>
      </w:r>
      <w:r w:rsidR="00BC1BFF">
        <w:tab/>
      </w:r>
      <w:r w:rsidR="00FE560E" w:rsidRPr="00FE560E">
        <w:rPr>
          <w:b/>
        </w:rPr>
        <w:t xml:space="preserve">Le </w:t>
      </w:r>
      <w:r w:rsidR="00456F42">
        <w:rPr>
          <w:b/>
        </w:rPr>
        <w:t>Sous-Comité</w:t>
      </w:r>
      <w:r w:rsidR="00FE560E" w:rsidRPr="00FE560E">
        <w:rPr>
          <w:b/>
        </w:rPr>
        <w:t xml:space="preserve"> invite les autorités béninoises à prévoir un budget et </w:t>
      </w:r>
      <w:r w:rsidR="001872BE">
        <w:rPr>
          <w:b/>
        </w:rPr>
        <w:t xml:space="preserve">à </w:t>
      </w:r>
      <w:r w:rsidR="00FE560E" w:rsidRPr="00FE560E">
        <w:rPr>
          <w:b/>
        </w:rPr>
        <w:t>allouer les ressources nécessaires pour que des activités diverses</w:t>
      </w:r>
      <w:r w:rsidR="001872BE">
        <w:rPr>
          <w:b/>
        </w:rPr>
        <w:t>,</w:t>
      </w:r>
      <w:r w:rsidR="00FE560E" w:rsidRPr="00FE560E">
        <w:rPr>
          <w:b/>
        </w:rPr>
        <w:t xml:space="preserve"> notamment de formation </w:t>
      </w:r>
      <w:r w:rsidR="001872BE">
        <w:rPr>
          <w:b/>
        </w:rPr>
        <w:t xml:space="preserve">à </w:t>
      </w:r>
      <w:r w:rsidR="00FE560E" w:rsidRPr="00FE560E">
        <w:rPr>
          <w:b/>
        </w:rPr>
        <w:t>de</w:t>
      </w:r>
      <w:r w:rsidR="001872BE">
        <w:rPr>
          <w:b/>
        </w:rPr>
        <w:t>s</w:t>
      </w:r>
      <w:r w:rsidR="00FE560E" w:rsidRPr="00FE560E">
        <w:rPr>
          <w:b/>
        </w:rPr>
        <w:t xml:space="preserve"> métiers, d’apprentissage et d’instruction puissent être proposées à tous les détenus en vue de leur réinsertion dans la société. </w:t>
      </w:r>
    </w:p>
    <w:p w14:paraId="3F840D5B" w14:textId="29152FB7" w:rsidR="00FE560E" w:rsidRPr="00FE560E" w:rsidRDefault="00BC1BFF" w:rsidP="00396A43">
      <w:pPr>
        <w:pStyle w:val="H23G"/>
        <w:outlineLvl w:val="0"/>
      </w:pPr>
      <w:r>
        <w:tab/>
        <w:t>5</w:t>
      </w:r>
      <w:r w:rsidR="00396A43">
        <w:t>.</w:t>
      </w:r>
      <w:r>
        <w:tab/>
      </w:r>
      <w:r w:rsidR="00FE560E" w:rsidRPr="00FE560E">
        <w:t>Visites dans les prisons par les autorités habilitées et effets</w:t>
      </w:r>
      <w:r w:rsidR="001872BE">
        <w:t xml:space="preserve"> de ces visites</w:t>
      </w:r>
    </w:p>
    <w:p w14:paraId="48013632" w14:textId="102BD6F0" w:rsidR="00FE560E" w:rsidRPr="00FE560E" w:rsidRDefault="002508B9" w:rsidP="003A3BFC">
      <w:pPr>
        <w:pStyle w:val="SingleTxtG"/>
      </w:pPr>
      <w:r>
        <w:t>99</w:t>
      </w:r>
      <w:r w:rsidR="00BC1BFF">
        <w:t>.</w:t>
      </w:r>
      <w:r w:rsidR="00BC1BFF">
        <w:tab/>
      </w:r>
      <w:r w:rsidR="00FE560E" w:rsidRPr="00FE560E">
        <w:t xml:space="preserve">Le </w:t>
      </w:r>
      <w:r w:rsidR="00456F42">
        <w:t>Sous-Comité</w:t>
      </w:r>
      <w:r w:rsidR="00FE560E" w:rsidRPr="00FE560E">
        <w:t xml:space="preserve"> note que </w:t>
      </w:r>
      <w:r w:rsidR="00FE560E" w:rsidRPr="003455EF">
        <w:t xml:space="preserve">le décret </w:t>
      </w:r>
      <w:r w:rsidR="001872BE" w:rsidRPr="00E20F18">
        <w:t>n</w:t>
      </w:r>
      <w:r w:rsidR="001872BE" w:rsidRPr="006C5D31">
        <w:rPr>
          <w:vertAlign w:val="superscript"/>
        </w:rPr>
        <w:t>o</w:t>
      </w:r>
      <w:r w:rsidR="001872BE" w:rsidRPr="003455EF">
        <w:t xml:space="preserve"> </w:t>
      </w:r>
      <w:r w:rsidR="00FE560E" w:rsidRPr="00E20F18">
        <w:t>73-293 portant régime pénitentiaire</w:t>
      </w:r>
      <w:r w:rsidR="00FE560E" w:rsidRPr="00FE560E">
        <w:t xml:space="preserve"> (</w:t>
      </w:r>
      <w:r w:rsidR="00FE560E" w:rsidRPr="00063A96">
        <w:t>art</w:t>
      </w:r>
      <w:r w:rsidR="00FE560E" w:rsidRPr="0087483B">
        <w:t>.</w:t>
      </w:r>
      <w:r w:rsidR="007925E1" w:rsidRPr="0087483B">
        <w:t> </w:t>
      </w:r>
      <w:r w:rsidR="00FE560E" w:rsidRPr="00063A96">
        <w:t>79</w:t>
      </w:r>
      <w:r w:rsidR="007925E1" w:rsidRPr="00063A96">
        <w:t xml:space="preserve"> à </w:t>
      </w:r>
      <w:r w:rsidR="00FE560E" w:rsidRPr="00063A96">
        <w:t>81)</w:t>
      </w:r>
      <w:r w:rsidR="00FE560E" w:rsidRPr="00FE560E">
        <w:t xml:space="preserve"> et le nouveau Code de procédure pénale (</w:t>
      </w:r>
      <w:r w:rsidR="00FE560E" w:rsidRPr="009C5A67">
        <w:t>art.</w:t>
      </w:r>
      <w:r w:rsidR="007925E1" w:rsidRPr="009C5A67">
        <w:t> </w:t>
      </w:r>
      <w:r w:rsidR="00FE560E" w:rsidRPr="009C5A67">
        <w:t>241</w:t>
      </w:r>
      <w:r w:rsidR="00396A43">
        <w:t xml:space="preserve"> </w:t>
      </w:r>
      <w:r w:rsidR="00FE560E" w:rsidRPr="009C5A67">
        <w:t>et 806</w:t>
      </w:r>
      <w:r w:rsidR="00FE560E" w:rsidRPr="00FE560E">
        <w:t>) prévoient des inspections des lieux de privation de liberté par différentes autorités judiciaires ainsi que</w:t>
      </w:r>
      <w:r w:rsidR="00D85A95">
        <w:t xml:space="preserve"> </w:t>
      </w:r>
      <w:r w:rsidR="00FE560E" w:rsidRPr="00FE560E">
        <w:t xml:space="preserve">la possibilité de visites par des autorités administratives que le </w:t>
      </w:r>
      <w:r w:rsidR="00456F42">
        <w:t>Sous-Comité</w:t>
      </w:r>
      <w:r w:rsidR="00FE560E" w:rsidRPr="00FE560E">
        <w:t xml:space="preserve"> a décrites dans son précédent rapport</w:t>
      </w:r>
      <w:r w:rsidR="00063A96">
        <w:rPr>
          <w:rStyle w:val="Appelnotedebasdep"/>
        </w:rPr>
        <w:footnoteReference w:id="18"/>
      </w:r>
      <w:r w:rsidR="00FE560E" w:rsidRPr="00FE560E">
        <w:t xml:space="preserve">. Le </w:t>
      </w:r>
      <w:r w:rsidR="00456F42">
        <w:t>Sous-Comité</w:t>
      </w:r>
      <w:r w:rsidR="00FE560E" w:rsidRPr="00FE560E">
        <w:t xml:space="preserve"> relève que des organisations non gouvernementales ont la possibilité de visiter les lieux de privation de liberté</w:t>
      </w:r>
      <w:r w:rsidR="003A3BFC">
        <w:t>,</w:t>
      </w:r>
      <w:r w:rsidR="00FE560E" w:rsidRPr="00FE560E">
        <w:t xml:space="preserve"> notamment les prisons</w:t>
      </w:r>
      <w:r w:rsidR="003A3BFC">
        <w:t>,</w:t>
      </w:r>
      <w:r w:rsidR="00FE560E" w:rsidRPr="00FE560E">
        <w:t xml:space="preserve"> à condition qu’elles obtiennent un agrément.</w:t>
      </w:r>
      <w:r w:rsidR="00D85A95">
        <w:t xml:space="preserve"> </w:t>
      </w:r>
    </w:p>
    <w:p w14:paraId="718909B5" w14:textId="3DC31891" w:rsidR="00FE560E" w:rsidRPr="00FE560E" w:rsidRDefault="008C6560" w:rsidP="005D7F7E">
      <w:pPr>
        <w:pStyle w:val="SingleTxtG"/>
      </w:pPr>
      <w:r>
        <w:t>10</w:t>
      </w:r>
      <w:r w:rsidR="002508B9">
        <w:t>0</w:t>
      </w:r>
      <w:r w:rsidR="00BC1BFF">
        <w:t>.</w:t>
      </w:r>
      <w:r w:rsidR="00BC1BFF">
        <w:tab/>
      </w:r>
      <w:r w:rsidR="00FE560E" w:rsidRPr="00FE560E">
        <w:t xml:space="preserve">Lors de ses entretiens avec les autorités, le </w:t>
      </w:r>
      <w:r w:rsidR="00456F42">
        <w:t>Sous-Comité</w:t>
      </w:r>
      <w:r w:rsidR="00FE560E" w:rsidRPr="00FE560E">
        <w:t xml:space="preserve"> a été informé que certaines visites avaient </w:t>
      </w:r>
      <w:r w:rsidR="00C57D9B">
        <w:t xml:space="preserve">été effectuées, </w:t>
      </w:r>
      <w:r w:rsidR="00FE560E" w:rsidRPr="00FE560E">
        <w:t>notamment par le Procureur général et le Ministre de la justice</w:t>
      </w:r>
      <w:r w:rsidR="00C57D9B">
        <w:t>,</w:t>
      </w:r>
      <w:r w:rsidR="00FE560E" w:rsidRPr="00FE560E">
        <w:t xml:space="preserve"> depuis </w:t>
      </w:r>
      <w:r w:rsidR="00C57D9B">
        <w:t xml:space="preserve">la </w:t>
      </w:r>
      <w:r w:rsidR="00FE560E" w:rsidRPr="00FE560E">
        <w:t xml:space="preserve">dernière visite du </w:t>
      </w:r>
      <w:r w:rsidR="00456F42">
        <w:t>Sous-Comité</w:t>
      </w:r>
      <w:r w:rsidR="00FE560E" w:rsidRPr="00FE560E">
        <w:t xml:space="preserve"> </w:t>
      </w:r>
      <w:r w:rsidR="00C57D9B">
        <w:t xml:space="preserve">en </w:t>
      </w:r>
      <w:r w:rsidR="00FE560E" w:rsidRPr="00FE560E">
        <w:t xml:space="preserve">2008. Des entretiens que le </w:t>
      </w:r>
      <w:r w:rsidR="00456F42">
        <w:t>Sous-Comité</w:t>
      </w:r>
      <w:r w:rsidR="00FE560E" w:rsidRPr="00FE560E">
        <w:t xml:space="preserve"> a eus avec d’autres sources ont corroboré les visites du Ministre de la justice des 26, 27 et 28 août 2015 dans les prisons d’Abomey et de Cotonou ainsi que celles du Procureur général dans les prisons d’Abomey et d’</w:t>
      </w:r>
      <w:proofErr w:type="spellStart"/>
      <w:r w:rsidR="00FE560E" w:rsidRPr="00FE560E">
        <w:t>Akpro-Missérété</w:t>
      </w:r>
      <w:proofErr w:type="spellEnd"/>
      <w:r w:rsidR="00FE560E" w:rsidRPr="00FE560E">
        <w:t xml:space="preserve">. Le </w:t>
      </w:r>
      <w:r w:rsidR="00456F42">
        <w:t>Sous-Comité</w:t>
      </w:r>
      <w:r w:rsidR="00FE560E" w:rsidRPr="00FE560E">
        <w:t xml:space="preserve"> n’a cependant pas reçu des autorités les constatations faites lors de ces visites, les recommandations formulées </w:t>
      </w:r>
      <w:r w:rsidR="00C57D9B">
        <w:t xml:space="preserve">ni </w:t>
      </w:r>
      <w:r w:rsidR="00FE560E" w:rsidRPr="00FE560E">
        <w:t>les décisions prises.</w:t>
      </w:r>
      <w:r w:rsidR="00D85A95">
        <w:t xml:space="preserve"> </w:t>
      </w:r>
    </w:p>
    <w:p w14:paraId="31465406" w14:textId="5FBF051C" w:rsidR="00FE560E" w:rsidRPr="00FE560E" w:rsidRDefault="008C6560" w:rsidP="006C3693">
      <w:pPr>
        <w:pStyle w:val="SingleTxtG"/>
      </w:pPr>
      <w:r>
        <w:t>10</w:t>
      </w:r>
      <w:r w:rsidR="002508B9">
        <w:t>1</w:t>
      </w:r>
      <w:r w:rsidR="00BC1BFF">
        <w:t>.</w:t>
      </w:r>
      <w:r w:rsidR="00BC1BFF">
        <w:tab/>
      </w:r>
      <w:r w:rsidR="00FE560E" w:rsidRPr="00FE560E">
        <w:t>Le</w:t>
      </w:r>
      <w:r w:rsidR="00D85A95">
        <w:t xml:space="preserve"> </w:t>
      </w:r>
      <w:r w:rsidR="00456F42">
        <w:t>Sous-Comité</w:t>
      </w:r>
      <w:r w:rsidR="00FE560E" w:rsidRPr="00FE560E">
        <w:t xml:space="preserve"> note qu’il n’a pas trouv</w:t>
      </w:r>
      <w:r w:rsidR="006C3693">
        <w:t>é</w:t>
      </w:r>
      <w:r w:rsidR="00FE560E" w:rsidRPr="00FE560E">
        <w:t xml:space="preserve"> trace de ces visites dans les registres, ce qui ne lui a pas permis d’en vérifier la régularité </w:t>
      </w:r>
      <w:r w:rsidR="006C3693">
        <w:t xml:space="preserve">ni </w:t>
      </w:r>
      <w:r w:rsidR="00FE560E" w:rsidRPr="00FE560E">
        <w:t xml:space="preserve">la périodicité. Le </w:t>
      </w:r>
      <w:r w:rsidR="00456F42">
        <w:t>Sous-Comité</w:t>
      </w:r>
      <w:r w:rsidR="00FE560E" w:rsidRPr="00FE560E">
        <w:t xml:space="preserve"> reste préoccupé par les informations qu</w:t>
      </w:r>
      <w:r w:rsidR="006C3693">
        <w:t xml:space="preserve">’il </w:t>
      </w:r>
      <w:r w:rsidR="00FE560E" w:rsidRPr="00FE560E">
        <w:t xml:space="preserve">a recueillies selon lesquelles les inspections faites par les autorités dans les lieux de privation de liberté ne sont pas très fréquentes au Bénin. Le </w:t>
      </w:r>
      <w:r w:rsidR="00456F42">
        <w:t>Sous-Comité</w:t>
      </w:r>
      <w:r w:rsidR="00FE560E" w:rsidRPr="00FE560E">
        <w:t xml:space="preserve"> rappelle l’importance de telles inspections dans la prévention des mauvais traitements et le contrôle de la régularité de la détention des personnes.</w:t>
      </w:r>
      <w:r w:rsidR="00D85A95">
        <w:t xml:space="preserve"> </w:t>
      </w:r>
    </w:p>
    <w:p w14:paraId="721239FA" w14:textId="532C3B75" w:rsidR="00FE560E" w:rsidRPr="00FE560E" w:rsidRDefault="0059742E" w:rsidP="0087483B">
      <w:pPr>
        <w:pStyle w:val="SingleTxtG"/>
      </w:pPr>
      <w:r w:rsidRPr="006C5D31">
        <w:rPr>
          <w:bCs/>
        </w:rPr>
        <w:t>10</w:t>
      </w:r>
      <w:r w:rsidR="002508B9" w:rsidRPr="006C5D31">
        <w:rPr>
          <w:bCs/>
        </w:rPr>
        <w:t>2</w:t>
      </w:r>
      <w:r w:rsidR="00BC1BFF" w:rsidRPr="006C5D31">
        <w:rPr>
          <w:bCs/>
        </w:rPr>
        <w:t>.</w:t>
      </w:r>
      <w:r w:rsidR="00BC1BFF" w:rsidRPr="006C5D31">
        <w:rPr>
          <w:bCs/>
        </w:rPr>
        <w:tab/>
      </w:r>
      <w:r w:rsidR="00FE560E" w:rsidRPr="00FE560E">
        <w:rPr>
          <w:b/>
        </w:rPr>
        <w:t xml:space="preserve">Le </w:t>
      </w:r>
      <w:r w:rsidR="00456F42">
        <w:rPr>
          <w:b/>
        </w:rPr>
        <w:t>Sous-Comité</w:t>
      </w:r>
      <w:r w:rsidR="00FE560E" w:rsidRPr="00FE560E">
        <w:rPr>
          <w:b/>
        </w:rPr>
        <w:t xml:space="preserve"> recommande à l’</w:t>
      </w:r>
      <w:r w:rsidR="00DC5639">
        <w:rPr>
          <w:b/>
        </w:rPr>
        <w:t>État</w:t>
      </w:r>
      <w:r w:rsidR="00FE560E" w:rsidRPr="00FE560E">
        <w:rPr>
          <w:b/>
        </w:rPr>
        <w:t xml:space="preserve"> partie, en tenant compte de son Code de procédure pénale, de veiller à ce que des visites soient </w:t>
      </w:r>
      <w:r w:rsidR="00C57D9B">
        <w:rPr>
          <w:b/>
        </w:rPr>
        <w:t xml:space="preserve">effectuées </w:t>
      </w:r>
      <w:r w:rsidR="00FE560E" w:rsidRPr="00FE560E">
        <w:rPr>
          <w:b/>
        </w:rPr>
        <w:t>de manière régulière dans les prisons</w:t>
      </w:r>
      <w:r w:rsidR="00C57D9B" w:rsidRPr="00C57D9B">
        <w:rPr>
          <w:b/>
        </w:rPr>
        <w:t xml:space="preserve"> </w:t>
      </w:r>
      <w:r w:rsidR="00C57D9B">
        <w:rPr>
          <w:b/>
        </w:rPr>
        <w:t>par les autorités</w:t>
      </w:r>
      <w:r w:rsidR="00FE560E" w:rsidRPr="006C5D31">
        <w:rPr>
          <w:bCs/>
          <w:sz w:val="18"/>
          <w:vertAlign w:val="superscript"/>
        </w:rPr>
        <w:footnoteReference w:id="19"/>
      </w:r>
      <w:r w:rsidR="00FE560E" w:rsidRPr="00FE560E">
        <w:rPr>
          <w:b/>
        </w:rPr>
        <w:t xml:space="preserve">, de faire connaître les rapports </w:t>
      </w:r>
      <w:r w:rsidR="006C3693">
        <w:rPr>
          <w:b/>
        </w:rPr>
        <w:t xml:space="preserve">auxquels ont donné lieu ces visites </w:t>
      </w:r>
      <w:r w:rsidR="00FE560E" w:rsidRPr="00FE560E">
        <w:rPr>
          <w:b/>
        </w:rPr>
        <w:t xml:space="preserve">ainsi </w:t>
      </w:r>
      <w:r w:rsidR="006C3693">
        <w:rPr>
          <w:b/>
        </w:rPr>
        <w:t>que l</w:t>
      </w:r>
      <w:r w:rsidR="00FE560E" w:rsidRPr="00FE560E">
        <w:rPr>
          <w:b/>
        </w:rPr>
        <w:t xml:space="preserve">es mesures prises en vue de </w:t>
      </w:r>
      <w:r w:rsidR="006C3693" w:rsidRPr="00FE560E">
        <w:rPr>
          <w:b/>
        </w:rPr>
        <w:t>l</w:t>
      </w:r>
      <w:r w:rsidR="006C3693">
        <w:rPr>
          <w:b/>
        </w:rPr>
        <w:t>’</w:t>
      </w:r>
      <w:r w:rsidR="00FE560E" w:rsidRPr="00FE560E">
        <w:rPr>
          <w:b/>
        </w:rPr>
        <w:t xml:space="preserve">amélioration </w:t>
      </w:r>
      <w:r w:rsidR="006C3693">
        <w:rPr>
          <w:b/>
        </w:rPr>
        <w:t>de</w:t>
      </w:r>
      <w:r w:rsidR="005602ED">
        <w:rPr>
          <w:b/>
        </w:rPr>
        <w:t xml:space="preserve"> ce</w:t>
      </w:r>
      <w:r w:rsidR="006C3693">
        <w:rPr>
          <w:b/>
        </w:rPr>
        <w:t xml:space="preserve">s </w:t>
      </w:r>
      <w:r w:rsidR="005602ED">
        <w:rPr>
          <w:b/>
        </w:rPr>
        <w:t>visites</w:t>
      </w:r>
      <w:r w:rsidR="006C3693">
        <w:rPr>
          <w:b/>
        </w:rPr>
        <w:t xml:space="preserve">, et </w:t>
      </w:r>
      <w:r w:rsidR="00FE560E" w:rsidRPr="00FE560E">
        <w:rPr>
          <w:b/>
        </w:rPr>
        <w:t xml:space="preserve">de prendre </w:t>
      </w:r>
      <w:r w:rsidR="006C3693">
        <w:rPr>
          <w:b/>
        </w:rPr>
        <w:t>l</w:t>
      </w:r>
      <w:r w:rsidR="00FE560E" w:rsidRPr="00FE560E">
        <w:rPr>
          <w:b/>
        </w:rPr>
        <w:t>es décisions de libération qui s’imposent concernant les détentions illégales.</w:t>
      </w:r>
      <w:r w:rsidR="00D85A95">
        <w:rPr>
          <w:b/>
        </w:rPr>
        <w:t xml:space="preserve"> </w:t>
      </w:r>
    </w:p>
    <w:p w14:paraId="404716D1" w14:textId="77777777" w:rsidR="00FE560E" w:rsidRPr="00FE560E" w:rsidRDefault="00D1165E" w:rsidP="00BC1BFF">
      <w:pPr>
        <w:pStyle w:val="H1G"/>
      </w:pPr>
      <w:r>
        <w:lastRenderedPageBreak/>
        <w:tab/>
        <w:t>B</w:t>
      </w:r>
      <w:r w:rsidR="00FE560E" w:rsidRPr="00FE560E">
        <w:t>.</w:t>
      </w:r>
      <w:r w:rsidR="00FE560E" w:rsidRPr="00FE560E">
        <w:tab/>
        <w:t>Cadre institutionnel</w:t>
      </w:r>
    </w:p>
    <w:p w14:paraId="02433874" w14:textId="77777777" w:rsidR="00FE560E" w:rsidRPr="00FE560E" w:rsidRDefault="00FE560E" w:rsidP="001D1C14">
      <w:pPr>
        <w:pStyle w:val="H23G"/>
        <w:outlineLvl w:val="0"/>
      </w:pPr>
      <w:r w:rsidRPr="00FE560E">
        <w:tab/>
      </w:r>
      <w:r w:rsidR="00D1165E">
        <w:t>1.</w:t>
      </w:r>
      <w:r w:rsidR="00BC1BFF">
        <w:tab/>
      </w:r>
      <w:r w:rsidRPr="00FE560E">
        <w:t xml:space="preserve">Nécessité d’un corps pénitentiaire spécialisé et formation </w:t>
      </w:r>
    </w:p>
    <w:p w14:paraId="67D97C86" w14:textId="460002FA" w:rsidR="00FE560E" w:rsidRPr="00FE560E" w:rsidRDefault="0059742E" w:rsidP="00917666">
      <w:pPr>
        <w:pStyle w:val="SingleTxtG"/>
      </w:pPr>
      <w:r>
        <w:t>10</w:t>
      </w:r>
      <w:r w:rsidR="002508B9">
        <w:t>3</w:t>
      </w:r>
      <w:r w:rsidR="00BC1BFF">
        <w:t>.</w:t>
      </w:r>
      <w:r w:rsidR="00BC1BFF">
        <w:tab/>
      </w:r>
      <w:r w:rsidR="00FE560E" w:rsidRPr="00FE560E">
        <w:t xml:space="preserve">Dans les établissements pénitentiaires, le </w:t>
      </w:r>
      <w:r w:rsidR="00456F42">
        <w:t>Sous-Comité</w:t>
      </w:r>
      <w:r w:rsidR="00FE560E" w:rsidRPr="00FE560E">
        <w:t xml:space="preserve"> a constaté l’insuffisance chronique de personnel et le manque de formation de ce dernier. Le </w:t>
      </w:r>
      <w:r w:rsidR="00456F42">
        <w:t>Sous-Comité</w:t>
      </w:r>
      <w:r w:rsidR="00FE560E" w:rsidRPr="00FE560E">
        <w:t xml:space="preserve"> a aussi noté qu’il n’existait pas un corps pénitentiaire spécialisé mais que le personnel de surveillance était composé de gendarmes détachés pour assurer les fonctions pénitentiaires. Le </w:t>
      </w:r>
      <w:r w:rsidR="00456F42">
        <w:t>Sous-Comité</w:t>
      </w:r>
      <w:r w:rsidR="00FE560E" w:rsidRPr="00FE560E">
        <w:t xml:space="preserve"> n’a pas reçu d’information concernant la formation de ce personnel aux sujets et </w:t>
      </w:r>
      <w:r w:rsidR="00917666">
        <w:t xml:space="preserve">aux </w:t>
      </w:r>
      <w:r w:rsidR="00FE560E" w:rsidRPr="00FE560E">
        <w:t>normes spécifiques relatifs à la gestion et à la surveillance des personnes privées de liberté.</w:t>
      </w:r>
      <w:r w:rsidR="00D85A95">
        <w:t xml:space="preserve"> </w:t>
      </w:r>
      <w:r w:rsidR="00FE560E" w:rsidRPr="00FE560E">
        <w:t xml:space="preserve">En outre, le </w:t>
      </w:r>
      <w:r w:rsidR="00456F42">
        <w:t>Sous-Comité</w:t>
      </w:r>
      <w:r w:rsidR="00FE560E" w:rsidRPr="00FE560E">
        <w:t xml:space="preserve"> estime que disposer d’un nombre suffisant d’agents pénitentiaires peut être de nature à assurer un meilleur contrôle des détenus au sein des établissements pénitentiaires. Le </w:t>
      </w:r>
      <w:r w:rsidR="00456F42">
        <w:t>Sous-Comité</w:t>
      </w:r>
      <w:r w:rsidR="00FE560E" w:rsidRPr="00FE560E">
        <w:t xml:space="preserve"> regrette donc l’absence d’un corps pénitentiaire spécialement formé pour la surveillance et la gestion des détenus. Le </w:t>
      </w:r>
      <w:r w:rsidR="00456F42">
        <w:t>Sous-Comité</w:t>
      </w:r>
      <w:r w:rsidR="00FE560E" w:rsidRPr="00FE560E">
        <w:t xml:space="preserve"> a pris note d</w:t>
      </w:r>
      <w:r w:rsidR="00917666">
        <w:t>e</w:t>
      </w:r>
      <w:r w:rsidR="00FE560E" w:rsidRPr="00FE560E">
        <w:t xml:space="preserve"> l’avant-projet de loi portant statut spécial des personnels de l’administration pénitentiaire</w:t>
      </w:r>
      <w:r w:rsidR="00917666">
        <w:t>,</w:t>
      </w:r>
      <w:r w:rsidR="00FE560E" w:rsidRPr="00FE560E">
        <w:t xml:space="preserve"> qui lui a été transmis</w:t>
      </w:r>
      <w:r w:rsidR="00D85A95">
        <w:t xml:space="preserve"> </w:t>
      </w:r>
      <w:r w:rsidR="00FE560E" w:rsidRPr="00FE560E">
        <w:t>par les autorités nationales de l’</w:t>
      </w:r>
      <w:r w:rsidR="00DC5639">
        <w:t>État</w:t>
      </w:r>
      <w:r w:rsidR="00FE560E" w:rsidRPr="00FE560E">
        <w:t xml:space="preserve"> partie</w:t>
      </w:r>
      <w:r w:rsidR="00917666">
        <w:t>,</w:t>
      </w:r>
      <w:r w:rsidR="00FE560E" w:rsidRPr="00FE560E">
        <w:t xml:space="preserve"> et</w:t>
      </w:r>
      <w:r w:rsidR="00D85A95">
        <w:t xml:space="preserve"> </w:t>
      </w:r>
      <w:r w:rsidR="00FE560E" w:rsidRPr="00FE560E">
        <w:t>note qu’il</w:t>
      </w:r>
      <w:r w:rsidR="00D85A95">
        <w:t xml:space="preserve"> </w:t>
      </w:r>
      <w:r w:rsidR="00FE560E" w:rsidRPr="00FE560E">
        <w:t>comporte des dispositions</w:t>
      </w:r>
      <w:r w:rsidR="00D85A95">
        <w:t xml:space="preserve"> </w:t>
      </w:r>
      <w:r w:rsidR="00FE560E" w:rsidRPr="00FE560E">
        <w:t xml:space="preserve">pour le recrutement, la formation et l’exercice des différentes fonctions </w:t>
      </w:r>
      <w:r w:rsidR="00FE560E" w:rsidRPr="00E20F18">
        <w:t>afférentes</w:t>
      </w:r>
      <w:r w:rsidR="00FE560E" w:rsidRPr="003455EF">
        <w:t xml:space="preserve"> à</w:t>
      </w:r>
      <w:r w:rsidR="00FE560E" w:rsidRPr="00FE560E">
        <w:t xml:space="preserve"> l’administration d’une prison qui se rapprochent des exigences fixées par les Règles </w:t>
      </w:r>
      <w:r w:rsidR="00384A9E" w:rsidRPr="00F30FA9">
        <w:t>Nelson Mandela</w:t>
      </w:r>
      <w:r w:rsidR="00FE560E" w:rsidRPr="00FE560E">
        <w:rPr>
          <w:sz w:val="18"/>
          <w:vertAlign w:val="superscript"/>
        </w:rPr>
        <w:footnoteReference w:id="20"/>
      </w:r>
      <w:r w:rsidR="00FE560E" w:rsidRPr="00FE560E">
        <w:t xml:space="preserve">. Cependant, le </w:t>
      </w:r>
      <w:r w:rsidR="00456F42">
        <w:t>Sous-Comité</w:t>
      </w:r>
      <w:r w:rsidR="00FE560E" w:rsidRPr="00FE560E">
        <w:t xml:space="preserve"> n’a pas été informé du calendrier de finalisation de cet avant-projet et </w:t>
      </w:r>
      <w:r w:rsidR="00917666">
        <w:t xml:space="preserve">de </w:t>
      </w:r>
      <w:r w:rsidR="00FE560E" w:rsidRPr="00FE560E">
        <w:t>son adoption par le Parlement.</w:t>
      </w:r>
    </w:p>
    <w:p w14:paraId="1D8B1E57" w14:textId="4FFEDB78" w:rsidR="00FE560E" w:rsidRPr="00FE560E" w:rsidRDefault="0059742E" w:rsidP="00D8456D">
      <w:pPr>
        <w:pStyle w:val="SingleTxtG"/>
      </w:pPr>
      <w:r w:rsidRPr="006C5D31">
        <w:rPr>
          <w:bCs/>
        </w:rPr>
        <w:t>10</w:t>
      </w:r>
      <w:r w:rsidR="002508B9" w:rsidRPr="006C5D31">
        <w:rPr>
          <w:bCs/>
        </w:rPr>
        <w:t>4</w:t>
      </w:r>
      <w:r w:rsidR="00BC1BFF" w:rsidRPr="006C5D31">
        <w:rPr>
          <w:bCs/>
        </w:rPr>
        <w:t>.</w:t>
      </w:r>
      <w:r w:rsidR="00BC1BFF" w:rsidRPr="006C5D31">
        <w:rPr>
          <w:bCs/>
        </w:rPr>
        <w:tab/>
      </w:r>
      <w:r w:rsidR="00FE560E" w:rsidRPr="00FE560E">
        <w:rPr>
          <w:b/>
        </w:rPr>
        <w:t xml:space="preserve">Le </w:t>
      </w:r>
      <w:r w:rsidR="00456F42">
        <w:rPr>
          <w:b/>
        </w:rPr>
        <w:t>Sous-Comité</w:t>
      </w:r>
      <w:r w:rsidR="00FE560E" w:rsidRPr="00FE560E">
        <w:rPr>
          <w:b/>
        </w:rPr>
        <w:t xml:space="preserve"> recommande à l’</w:t>
      </w:r>
      <w:r w:rsidR="00DC5639">
        <w:rPr>
          <w:b/>
        </w:rPr>
        <w:t>État</w:t>
      </w:r>
      <w:r w:rsidR="00FE560E" w:rsidRPr="00FE560E">
        <w:rPr>
          <w:b/>
        </w:rPr>
        <w:t xml:space="preserve"> partie</w:t>
      </w:r>
      <w:r w:rsidR="00917666">
        <w:rPr>
          <w:b/>
        </w:rPr>
        <w:t xml:space="preserve"> </w:t>
      </w:r>
      <w:r w:rsidR="00FE560E" w:rsidRPr="00FE560E">
        <w:rPr>
          <w:b/>
        </w:rPr>
        <w:t>: a) d’accroître de façon significative le nombre du personnel chargé de la garde des détenus dans toutes les prisons visitées ; b)</w:t>
      </w:r>
      <w:r w:rsidR="00D85A95">
        <w:rPr>
          <w:b/>
        </w:rPr>
        <w:t xml:space="preserve"> </w:t>
      </w:r>
      <w:r w:rsidR="00917666">
        <w:rPr>
          <w:b/>
        </w:rPr>
        <w:t xml:space="preserve">de </w:t>
      </w:r>
      <w:r w:rsidR="00FE560E" w:rsidRPr="00FE560E">
        <w:rPr>
          <w:b/>
        </w:rPr>
        <w:t>finaliser et de faire adopter l’avant-projet de loi sur la création d’un corps pénitentiaire</w:t>
      </w:r>
      <w:r w:rsidR="00917666">
        <w:rPr>
          <w:b/>
        </w:rPr>
        <w:t xml:space="preserve"> </w:t>
      </w:r>
      <w:r w:rsidR="00CC3012" w:rsidRPr="00FE560E">
        <w:rPr>
          <w:b/>
        </w:rPr>
        <w:t>spécialisé ;</w:t>
      </w:r>
      <w:r w:rsidR="00FE560E" w:rsidRPr="00FE560E">
        <w:rPr>
          <w:b/>
        </w:rPr>
        <w:t xml:space="preserve"> </w:t>
      </w:r>
      <w:r w:rsidR="00917666">
        <w:rPr>
          <w:b/>
        </w:rPr>
        <w:t xml:space="preserve">et </w:t>
      </w:r>
      <w:r w:rsidR="00FE560E" w:rsidRPr="00FE560E">
        <w:rPr>
          <w:b/>
        </w:rPr>
        <w:t xml:space="preserve">c) </w:t>
      </w:r>
      <w:r w:rsidR="00917666">
        <w:rPr>
          <w:b/>
        </w:rPr>
        <w:t xml:space="preserve">de </w:t>
      </w:r>
      <w:r w:rsidR="00FE560E" w:rsidRPr="00FE560E">
        <w:rPr>
          <w:b/>
        </w:rPr>
        <w:t>veiller à ce que l</w:t>
      </w:r>
      <w:r w:rsidR="00393FA9">
        <w:rPr>
          <w:b/>
        </w:rPr>
        <w:t>’</w:t>
      </w:r>
      <w:r w:rsidR="00FE560E" w:rsidRPr="00FE560E">
        <w:rPr>
          <w:b/>
        </w:rPr>
        <w:t>enseignement et l</w:t>
      </w:r>
      <w:r w:rsidR="00393FA9">
        <w:rPr>
          <w:b/>
        </w:rPr>
        <w:t>’</w:t>
      </w:r>
      <w:r w:rsidR="00FE560E" w:rsidRPr="00FE560E">
        <w:rPr>
          <w:b/>
        </w:rPr>
        <w:t>information concernant l</w:t>
      </w:r>
      <w:r w:rsidR="00393FA9">
        <w:rPr>
          <w:b/>
        </w:rPr>
        <w:t>’</w:t>
      </w:r>
      <w:r w:rsidR="00FE560E" w:rsidRPr="00FE560E">
        <w:rPr>
          <w:b/>
        </w:rPr>
        <w:t xml:space="preserve">interdiction de la torture et des mauvais traitements fassent partie intégrante de la formation du personnel pénitentiaire. Le </w:t>
      </w:r>
      <w:r w:rsidR="00456F42">
        <w:rPr>
          <w:b/>
        </w:rPr>
        <w:t>Sous-Comité</w:t>
      </w:r>
      <w:r w:rsidR="00FE560E" w:rsidRPr="00FE560E">
        <w:rPr>
          <w:b/>
        </w:rPr>
        <w:t xml:space="preserve"> invite les autorités à encourager le recrutement d</w:t>
      </w:r>
      <w:r w:rsidR="00D8456D">
        <w:rPr>
          <w:b/>
        </w:rPr>
        <w:t>e</w:t>
      </w:r>
      <w:r w:rsidR="00FE560E" w:rsidRPr="00FE560E">
        <w:rPr>
          <w:b/>
        </w:rPr>
        <w:t xml:space="preserve"> personnel pénitentiaire de sexe féminin. </w:t>
      </w:r>
    </w:p>
    <w:p w14:paraId="7D17AB2C" w14:textId="77777777" w:rsidR="00FE560E" w:rsidRPr="00FE560E" w:rsidRDefault="00FE560E" w:rsidP="001D1C14">
      <w:pPr>
        <w:pStyle w:val="H23G"/>
        <w:outlineLvl w:val="0"/>
      </w:pPr>
      <w:r w:rsidRPr="00FE560E">
        <w:tab/>
      </w:r>
      <w:r w:rsidR="00D1165E">
        <w:t>2.</w:t>
      </w:r>
      <w:r w:rsidRPr="00FE560E">
        <w:tab/>
        <w:t xml:space="preserve">Ressources </w:t>
      </w:r>
    </w:p>
    <w:p w14:paraId="100EA056" w14:textId="49AB56AB" w:rsidR="00FE560E" w:rsidRPr="00FE560E" w:rsidRDefault="0059742E" w:rsidP="00D8456D">
      <w:pPr>
        <w:pStyle w:val="SingleTxtG"/>
      </w:pPr>
      <w:r>
        <w:t>10</w:t>
      </w:r>
      <w:r w:rsidR="002508B9">
        <w:t>5</w:t>
      </w:r>
      <w:r w:rsidR="00BC1BFF">
        <w:t>.</w:t>
      </w:r>
      <w:r w:rsidR="00BC1BFF">
        <w:tab/>
      </w:r>
      <w:r w:rsidR="00FE560E" w:rsidRPr="00FE560E">
        <w:t xml:space="preserve">Le </w:t>
      </w:r>
      <w:r w:rsidR="00456F42">
        <w:t>Sous-Comité</w:t>
      </w:r>
      <w:r w:rsidR="00FE560E" w:rsidRPr="00FE560E">
        <w:t xml:space="preserve"> est préoccupé par le manque chronique de ressources qu’il a pu constater dans les prisons visitées. </w:t>
      </w:r>
      <w:r w:rsidR="00321752">
        <w:t>L</w:t>
      </w:r>
      <w:r w:rsidR="00FE560E" w:rsidRPr="00FE560E">
        <w:t xml:space="preserve">e </w:t>
      </w:r>
      <w:r w:rsidR="00456F42">
        <w:t>Sous-Comité</w:t>
      </w:r>
      <w:r w:rsidR="00FE560E" w:rsidRPr="00FE560E">
        <w:t xml:space="preserve"> a constaté, comme soulevé plus haut, le manque de médicaments et de matériel médical dans les infirmeries. De même, le </w:t>
      </w:r>
      <w:r w:rsidR="00456F42">
        <w:t>Sous-Comité</w:t>
      </w:r>
      <w:r w:rsidR="00FE560E" w:rsidRPr="00FE560E">
        <w:t xml:space="preserve"> a été informé que les prisons manquaient de matériel roulant afin d’effectuer des </w:t>
      </w:r>
      <w:r w:rsidR="00FE560E" w:rsidRPr="00E20F18">
        <w:t>extractions médicales</w:t>
      </w:r>
      <w:r w:rsidR="00FE560E" w:rsidRPr="003455EF">
        <w:t xml:space="preserve"> </w:t>
      </w:r>
      <w:r w:rsidR="009A6BCE" w:rsidRPr="003455EF">
        <w:t>vers d</w:t>
      </w:r>
      <w:r w:rsidR="00FE560E" w:rsidRPr="00E20F18">
        <w:t>es</w:t>
      </w:r>
      <w:r w:rsidR="00FE560E" w:rsidRPr="00FE560E">
        <w:t xml:space="preserve"> hôpitaux. Le </w:t>
      </w:r>
      <w:r w:rsidR="00456F42">
        <w:t>Sous-Comité</w:t>
      </w:r>
      <w:r w:rsidR="00FE560E" w:rsidRPr="00FE560E">
        <w:t xml:space="preserve"> a aussi été informé que les autorités de surveillance des prisons manquaient de ressources pour mener des inspections régulières dans les lieux de privation de liberté. Le </w:t>
      </w:r>
      <w:r w:rsidR="00456F42">
        <w:t>Sous-Comité</w:t>
      </w:r>
      <w:r w:rsidR="00FE560E" w:rsidRPr="00FE560E">
        <w:t xml:space="preserve"> a été informé du fait que le budget prévu pour la nourriture au sein des prisons ne permettait pas de donner de la nourriture en quantité et qualité suffisantes. </w:t>
      </w:r>
      <w:r w:rsidR="00321752">
        <w:t>Concernant l</w:t>
      </w:r>
      <w:r w:rsidR="00FE560E" w:rsidRPr="00FE560E">
        <w:t xml:space="preserve">’hygiène et la santé des détenus, il manquait des ressources pour donner à chaque détenu les produits </w:t>
      </w:r>
      <w:r w:rsidR="00321752">
        <w:t>d</w:t>
      </w:r>
      <w:r w:rsidR="00FE560E" w:rsidRPr="00FE560E">
        <w:t>’hygiène corporelle</w:t>
      </w:r>
      <w:r w:rsidR="00321752">
        <w:t xml:space="preserve"> nécessaires</w:t>
      </w:r>
      <w:r w:rsidR="000F71FA">
        <w:t>. Le </w:t>
      </w:r>
      <w:r w:rsidR="00456F42">
        <w:t>Sous-Comité</w:t>
      </w:r>
      <w:r w:rsidR="00FE560E" w:rsidRPr="00FE560E">
        <w:t xml:space="preserve"> re</w:t>
      </w:r>
      <w:r w:rsidR="00321752">
        <w:t xml:space="preserve">tire </w:t>
      </w:r>
      <w:r w:rsidR="00FE560E" w:rsidRPr="00FE560E">
        <w:t>de ses entretiens avec les autorités des prisons que le manque de moyens gén</w:t>
      </w:r>
      <w:r w:rsidR="00321752">
        <w:t xml:space="preserve">ère </w:t>
      </w:r>
      <w:r w:rsidR="00FE560E" w:rsidRPr="00FE560E">
        <w:t>un impact négatif sur les conditions de détention.</w:t>
      </w:r>
    </w:p>
    <w:p w14:paraId="1C29C5B5" w14:textId="3D67108B" w:rsidR="00FE560E" w:rsidRPr="00FE560E" w:rsidRDefault="0059742E" w:rsidP="00321752">
      <w:pPr>
        <w:pStyle w:val="SingleTxtG"/>
      </w:pPr>
      <w:r>
        <w:t>10</w:t>
      </w:r>
      <w:r w:rsidR="002508B9">
        <w:t>6</w:t>
      </w:r>
      <w:r w:rsidR="00BC1BFF" w:rsidRPr="00BC1BFF">
        <w:t>.</w:t>
      </w:r>
      <w:r w:rsidR="00BC1BFF">
        <w:rPr>
          <w:b/>
        </w:rPr>
        <w:tab/>
      </w:r>
      <w:r w:rsidR="00FE560E" w:rsidRPr="00FE560E">
        <w:rPr>
          <w:b/>
        </w:rPr>
        <w:t xml:space="preserve">Le </w:t>
      </w:r>
      <w:r w:rsidR="00456F42">
        <w:rPr>
          <w:b/>
        </w:rPr>
        <w:t>Sous-Comité</w:t>
      </w:r>
      <w:r w:rsidR="00FE560E" w:rsidRPr="00FE560E">
        <w:rPr>
          <w:b/>
        </w:rPr>
        <w:t xml:space="preserve"> recommande à l’</w:t>
      </w:r>
      <w:r w:rsidR="00DC5639">
        <w:rPr>
          <w:b/>
        </w:rPr>
        <w:t>État</w:t>
      </w:r>
      <w:r w:rsidR="00FE560E" w:rsidRPr="00FE560E">
        <w:rPr>
          <w:b/>
        </w:rPr>
        <w:t xml:space="preserve"> partie d’accroître le budget alloué aux prisons visitées afin d’assurer une dotation suffisante </w:t>
      </w:r>
      <w:r w:rsidR="00321752">
        <w:rPr>
          <w:b/>
        </w:rPr>
        <w:t xml:space="preserve">pour la </w:t>
      </w:r>
      <w:r w:rsidR="00FE560E" w:rsidRPr="00FE560E">
        <w:rPr>
          <w:b/>
        </w:rPr>
        <w:t xml:space="preserve">nourriture, </w:t>
      </w:r>
      <w:r w:rsidR="00321752">
        <w:rPr>
          <w:b/>
        </w:rPr>
        <w:t xml:space="preserve">les </w:t>
      </w:r>
      <w:r w:rsidR="00FE560E" w:rsidRPr="00FE560E">
        <w:rPr>
          <w:b/>
        </w:rPr>
        <w:t>médicaments</w:t>
      </w:r>
      <w:r w:rsidR="00321752">
        <w:rPr>
          <w:b/>
        </w:rPr>
        <w:t>, le</w:t>
      </w:r>
      <w:r w:rsidR="00FE560E" w:rsidRPr="00FE560E">
        <w:rPr>
          <w:b/>
        </w:rPr>
        <w:t xml:space="preserve"> matériel médical, </w:t>
      </w:r>
      <w:r w:rsidR="00321752">
        <w:rPr>
          <w:b/>
        </w:rPr>
        <w:t>les produits d’</w:t>
      </w:r>
      <w:r w:rsidR="00FE560E" w:rsidRPr="00FE560E">
        <w:rPr>
          <w:b/>
        </w:rPr>
        <w:t>hygiène</w:t>
      </w:r>
      <w:r w:rsidR="00321752">
        <w:rPr>
          <w:b/>
        </w:rPr>
        <w:t>,</w:t>
      </w:r>
      <w:r w:rsidR="00FE560E" w:rsidRPr="00FE560E">
        <w:rPr>
          <w:b/>
        </w:rPr>
        <w:t xml:space="preserve"> </w:t>
      </w:r>
      <w:r w:rsidR="00321752">
        <w:rPr>
          <w:b/>
        </w:rPr>
        <w:t xml:space="preserve">la </w:t>
      </w:r>
      <w:r w:rsidR="00FE560E" w:rsidRPr="00FE560E">
        <w:rPr>
          <w:b/>
        </w:rPr>
        <w:t xml:space="preserve">salubrité des lieux et d’autres domaines. Le </w:t>
      </w:r>
      <w:r w:rsidR="00456F42">
        <w:rPr>
          <w:b/>
        </w:rPr>
        <w:t>Sous-Comité</w:t>
      </w:r>
      <w:r w:rsidR="00FE560E" w:rsidRPr="00FE560E">
        <w:rPr>
          <w:b/>
        </w:rPr>
        <w:t xml:space="preserve"> invite l’</w:t>
      </w:r>
      <w:r w:rsidR="00DC5639">
        <w:rPr>
          <w:b/>
        </w:rPr>
        <w:t>État</w:t>
      </w:r>
      <w:r w:rsidR="00FE560E" w:rsidRPr="00FE560E">
        <w:rPr>
          <w:b/>
        </w:rPr>
        <w:t xml:space="preserve"> </w:t>
      </w:r>
      <w:r w:rsidR="00321752">
        <w:rPr>
          <w:b/>
        </w:rPr>
        <w:t xml:space="preserve">partie </w:t>
      </w:r>
      <w:r w:rsidR="00FE560E" w:rsidRPr="00FE560E">
        <w:rPr>
          <w:b/>
        </w:rPr>
        <w:t xml:space="preserve">à doter toutes les prisons d’un matériel roulant pour les extractions médicales. </w:t>
      </w:r>
    </w:p>
    <w:p w14:paraId="099268A7" w14:textId="0AE4AA64" w:rsidR="00FE560E" w:rsidRPr="00FE560E" w:rsidRDefault="00FE560E" w:rsidP="001D1C14">
      <w:pPr>
        <w:pStyle w:val="HChG"/>
        <w:outlineLvl w:val="0"/>
      </w:pPr>
      <w:r w:rsidRPr="00FE560E">
        <w:tab/>
        <w:t>VIII.</w:t>
      </w:r>
      <w:r w:rsidRPr="00FE560E">
        <w:tab/>
        <w:t>Répercussion</w:t>
      </w:r>
      <w:r w:rsidR="005142FA">
        <w:t>s</w:t>
      </w:r>
      <w:r w:rsidRPr="00FE560E">
        <w:t xml:space="preserve"> de la visite et conclusion</w:t>
      </w:r>
    </w:p>
    <w:p w14:paraId="50C59579" w14:textId="77777777" w:rsidR="00FE560E" w:rsidRPr="00FE560E" w:rsidRDefault="00FE560E" w:rsidP="00BC1BFF">
      <w:pPr>
        <w:pStyle w:val="H1G"/>
      </w:pPr>
      <w:r w:rsidRPr="00FE560E">
        <w:tab/>
      </w:r>
      <w:r w:rsidR="00D1165E">
        <w:t>A.</w:t>
      </w:r>
      <w:r w:rsidRPr="00FE560E">
        <w:tab/>
        <w:t xml:space="preserve">Répercussions de la visite </w:t>
      </w:r>
    </w:p>
    <w:p w14:paraId="470435BF" w14:textId="05385B99" w:rsidR="00FE560E" w:rsidRPr="00FE560E" w:rsidRDefault="0059742E" w:rsidP="0089324D">
      <w:pPr>
        <w:pStyle w:val="SingleTxtG"/>
      </w:pPr>
      <w:r>
        <w:t>10</w:t>
      </w:r>
      <w:r w:rsidR="002508B9">
        <w:t>7</w:t>
      </w:r>
      <w:r w:rsidR="00BC1BFF">
        <w:t>.</w:t>
      </w:r>
      <w:r w:rsidR="00BC1BFF">
        <w:tab/>
      </w:r>
      <w:r w:rsidR="00FE560E" w:rsidRPr="00FE560E">
        <w:t xml:space="preserve">Dans certains lieux visités, certains détenus ont </w:t>
      </w:r>
      <w:r w:rsidR="005142FA">
        <w:t xml:space="preserve">dit redouter </w:t>
      </w:r>
      <w:r w:rsidR="00FE560E" w:rsidRPr="00FE560E">
        <w:t>de</w:t>
      </w:r>
      <w:r w:rsidR="005142FA">
        <w:t>s</w:t>
      </w:r>
      <w:r w:rsidR="00FE560E" w:rsidRPr="00FE560E">
        <w:t xml:space="preserve"> représailles. Le </w:t>
      </w:r>
      <w:r w:rsidR="00456F42">
        <w:t>Sous-Comité</w:t>
      </w:r>
      <w:r w:rsidR="00FE560E" w:rsidRPr="00FE560E">
        <w:t xml:space="preserve"> a constaté à plusieurs reprises que des détenus craignaient de s’</w:t>
      </w:r>
      <w:r w:rsidR="0089324D">
        <w:t xml:space="preserve">entretenir </w:t>
      </w:r>
      <w:r w:rsidR="00FE560E" w:rsidRPr="00FE560E">
        <w:t>librement avec la délégation</w:t>
      </w:r>
      <w:r w:rsidR="005142FA">
        <w:t>,</w:t>
      </w:r>
      <w:r w:rsidR="00FE560E" w:rsidRPr="00FE560E">
        <w:t xml:space="preserve"> notamment à la </w:t>
      </w:r>
      <w:r w:rsidR="005142FA">
        <w:t>b</w:t>
      </w:r>
      <w:r w:rsidR="00FE560E" w:rsidRPr="00FE560E">
        <w:t xml:space="preserve">rigade de </w:t>
      </w:r>
      <w:r w:rsidR="00FE560E" w:rsidRPr="00E20F18">
        <w:t xml:space="preserve">gendarmerie </w:t>
      </w:r>
      <w:r w:rsidR="00C45B87" w:rsidRPr="003455EF">
        <w:t>d’</w:t>
      </w:r>
      <w:proofErr w:type="spellStart"/>
      <w:r w:rsidR="00C45B87" w:rsidRPr="003455EF">
        <w:t>Agblangandan</w:t>
      </w:r>
      <w:proofErr w:type="spellEnd"/>
      <w:r w:rsidR="00FE560E" w:rsidRPr="00FE560E">
        <w:t xml:space="preserve"> où des personnes </w:t>
      </w:r>
      <w:r w:rsidR="00FE560E" w:rsidRPr="00FE560E">
        <w:lastRenderedPageBreak/>
        <w:t xml:space="preserve">en garde à vue ont refusé de parler aux membres de la délégation du </w:t>
      </w:r>
      <w:r w:rsidR="00456F42">
        <w:t>Sous-Comité</w:t>
      </w:r>
      <w:r w:rsidR="00FE560E" w:rsidRPr="00FE560E">
        <w:t xml:space="preserve">. </w:t>
      </w:r>
      <w:r w:rsidR="00393FA9">
        <w:t>À</w:t>
      </w:r>
      <w:r w:rsidR="00FE560E" w:rsidRPr="00FE560E">
        <w:t xml:space="preserve"> la prison de Cotonou</w:t>
      </w:r>
      <w:r w:rsidR="00624866">
        <w:t>,</w:t>
      </w:r>
      <w:r w:rsidR="00FE560E" w:rsidRPr="00FE560E">
        <w:t xml:space="preserve"> par exemple, certains détenus ont exprimé la même inquiétude. Le </w:t>
      </w:r>
      <w:r w:rsidR="00456F42">
        <w:t>Sous-Comité</w:t>
      </w:r>
      <w:r w:rsidR="00FE560E" w:rsidRPr="00FE560E">
        <w:t xml:space="preserve"> prend note des assurances données par les autorités de l’</w:t>
      </w:r>
      <w:r w:rsidR="00DC5639">
        <w:t>État</w:t>
      </w:r>
      <w:r w:rsidR="00FE560E" w:rsidRPr="00FE560E">
        <w:t xml:space="preserve"> partie lors de la réunion de clôture et des autorités des lieux visités, </w:t>
      </w:r>
      <w:r w:rsidR="0089324D">
        <w:t xml:space="preserve">selon lesquelles </w:t>
      </w:r>
      <w:r w:rsidR="00FE560E" w:rsidRPr="00FE560E">
        <w:t>aucune mesure de représailles ne sera exercé</w:t>
      </w:r>
      <w:r w:rsidR="00140F4C" w:rsidRPr="006C5D31">
        <w:t>e</w:t>
      </w:r>
      <w:r w:rsidR="00FE560E" w:rsidRPr="00FE560E">
        <w:t xml:space="preserve"> sur des détenus ayant coopéré avec le </w:t>
      </w:r>
      <w:r w:rsidR="00456F42">
        <w:t>Sous-Comité</w:t>
      </w:r>
      <w:r w:rsidR="00FE560E" w:rsidRPr="00FE560E">
        <w:t>.</w:t>
      </w:r>
    </w:p>
    <w:p w14:paraId="078EC4B8" w14:textId="582C798A" w:rsidR="00FE560E" w:rsidRPr="00FE560E" w:rsidRDefault="0059742E" w:rsidP="00BC1BFF">
      <w:pPr>
        <w:pStyle w:val="SingleTxtG"/>
      </w:pPr>
      <w:r>
        <w:t>1</w:t>
      </w:r>
      <w:r w:rsidR="002508B9">
        <w:t>08</w:t>
      </w:r>
      <w:r w:rsidR="00BC1BFF">
        <w:t>.</w:t>
      </w:r>
      <w:r w:rsidR="00BC1BFF">
        <w:tab/>
      </w:r>
      <w:r w:rsidR="00FE560E" w:rsidRPr="00FE560E">
        <w:t xml:space="preserve">Le </w:t>
      </w:r>
      <w:r w:rsidR="00456F42">
        <w:t>Sous-Comité</w:t>
      </w:r>
      <w:r w:rsidR="00FE560E" w:rsidRPr="00FE560E">
        <w:t xml:space="preserve"> tient à souligner que toute forme d’intimidation ou de représailles contre les personnes privées de liberté constitue une violation de l’obligation de coopération qui incombe à l’</w:t>
      </w:r>
      <w:r w:rsidR="00DC5639">
        <w:t>État</w:t>
      </w:r>
      <w:r w:rsidR="00FE560E" w:rsidRPr="00FE560E">
        <w:t xml:space="preserve"> partie en vertu du Protocole facultatif. Le </w:t>
      </w:r>
      <w:r w:rsidR="00456F42">
        <w:t>Sous-Comité</w:t>
      </w:r>
      <w:r w:rsidR="00FE560E" w:rsidRPr="00FE560E">
        <w:t xml:space="preserve"> demande aux autorités béninoises de faire en sorte qu’aucune mesure de représailles ne soit exercée à la suite de sa visite et de lui fournir des informations détaillées sur ce qui a été entrepris afin de prévenir et empêcher les représailles à l’encontre du personnel et des détenus qui se sont entretenus avec les membres du </w:t>
      </w:r>
      <w:r w:rsidR="00456F42">
        <w:t>Sous-Comité</w:t>
      </w:r>
      <w:r w:rsidR="00F61EE8">
        <w:t>.</w:t>
      </w:r>
    </w:p>
    <w:p w14:paraId="0B1D82A4" w14:textId="77777777" w:rsidR="00FE560E" w:rsidRPr="00FE560E" w:rsidRDefault="00FE560E" w:rsidP="006C5D31">
      <w:pPr>
        <w:pStyle w:val="H1G"/>
      </w:pPr>
      <w:r w:rsidRPr="00FE560E">
        <w:tab/>
      </w:r>
      <w:r w:rsidR="00D1165E">
        <w:t>B.</w:t>
      </w:r>
      <w:r w:rsidRPr="00FE560E">
        <w:tab/>
        <w:t>Conclusion</w:t>
      </w:r>
    </w:p>
    <w:p w14:paraId="06297F1C" w14:textId="50F2E8ED" w:rsidR="00FE560E" w:rsidRPr="00FE560E" w:rsidRDefault="0059742E" w:rsidP="004478E4">
      <w:pPr>
        <w:pStyle w:val="SingleTxtG"/>
      </w:pPr>
      <w:r>
        <w:t>1</w:t>
      </w:r>
      <w:r w:rsidR="002508B9">
        <w:t>09</w:t>
      </w:r>
      <w:r w:rsidR="00195117">
        <w:t>.</w:t>
      </w:r>
      <w:r w:rsidR="00195117">
        <w:tab/>
      </w:r>
      <w:r w:rsidR="00FE560E" w:rsidRPr="00FE560E">
        <w:t xml:space="preserve">Le </w:t>
      </w:r>
      <w:r w:rsidR="00456F42">
        <w:t>Sous-Comité</w:t>
      </w:r>
      <w:r w:rsidR="00FE560E" w:rsidRPr="00FE560E">
        <w:t xml:space="preserve"> rappelle que ce rapport ne constitue que la poursuite du dialogue constructif de coopération avec les autorités béninoises en ce qui concerne les problèmes énumérés</w:t>
      </w:r>
      <w:r w:rsidR="004478E4">
        <w:t xml:space="preserve"> ci-dessus</w:t>
      </w:r>
      <w:r w:rsidR="00FE560E" w:rsidRPr="00FE560E">
        <w:t xml:space="preserve">. </w:t>
      </w:r>
    </w:p>
    <w:p w14:paraId="00FE0B20" w14:textId="272327C1" w:rsidR="00D15C1E" w:rsidRPr="00FE560E" w:rsidRDefault="0059742E" w:rsidP="00195117">
      <w:pPr>
        <w:pStyle w:val="SingleTxtG"/>
      </w:pPr>
      <w:r w:rsidRPr="006C5D31">
        <w:rPr>
          <w:bCs/>
          <w:lang w:val="fr-FR"/>
        </w:rPr>
        <w:t>11</w:t>
      </w:r>
      <w:r w:rsidR="002508B9" w:rsidRPr="006C5D31">
        <w:rPr>
          <w:bCs/>
          <w:lang w:val="fr-FR"/>
        </w:rPr>
        <w:t>0</w:t>
      </w:r>
      <w:r w:rsidRPr="006C5D31">
        <w:rPr>
          <w:bCs/>
          <w:lang w:val="fr-FR"/>
        </w:rPr>
        <w:t>.</w:t>
      </w:r>
      <w:r w:rsidR="00195117" w:rsidRPr="006C5D31">
        <w:rPr>
          <w:bCs/>
          <w:lang w:val="fr-FR"/>
        </w:rPr>
        <w:tab/>
      </w:r>
      <w:r w:rsidR="00FE560E" w:rsidRPr="00FE560E">
        <w:rPr>
          <w:b/>
          <w:lang w:val="fr-FR"/>
        </w:rPr>
        <w:t xml:space="preserve">Le </w:t>
      </w:r>
      <w:r w:rsidR="00456F42">
        <w:rPr>
          <w:b/>
          <w:lang w:val="fr-FR"/>
        </w:rPr>
        <w:t>Sous-Comité</w:t>
      </w:r>
      <w:r w:rsidR="00FE560E" w:rsidRPr="00FE560E">
        <w:rPr>
          <w:b/>
          <w:lang w:val="fr-FR"/>
        </w:rPr>
        <w:t xml:space="preserve"> demande au Gouvernement béninois de lui adresser, dans un délai de six mois à compter de la date de transmission du présent rapport, une réponse avec une description détaillée de</w:t>
      </w:r>
      <w:r w:rsidR="004478E4">
        <w:rPr>
          <w:b/>
          <w:lang w:val="fr-FR"/>
        </w:rPr>
        <w:t>s</w:t>
      </w:r>
      <w:r w:rsidR="00FE560E" w:rsidRPr="00FE560E">
        <w:rPr>
          <w:b/>
          <w:lang w:val="fr-FR"/>
        </w:rPr>
        <w:t xml:space="preserve"> mesures prises par l’État partie pour donner suite à ses recommandations.</w:t>
      </w:r>
      <w:r w:rsidR="00D85A95">
        <w:rPr>
          <w:b/>
          <w:lang w:val="fr-FR"/>
        </w:rPr>
        <w:t xml:space="preserve"> </w:t>
      </w:r>
    </w:p>
    <w:p w14:paraId="12998B9B" w14:textId="77777777" w:rsidR="00FF1DBD" w:rsidRDefault="00350F4D" w:rsidP="0039068E">
      <w:pPr>
        <w:pStyle w:val="SingleTxtG"/>
        <w:spacing w:before="240" w:after="0"/>
        <w:jc w:val="center"/>
        <w:rPr>
          <w:u w:val="single"/>
        </w:rPr>
      </w:pPr>
      <w:r>
        <w:rPr>
          <w:u w:val="single"/>
        </w:rPr>
        <w:br w:type="page"/>
      </w:r>
    </w:p>
    <w:p w14:paraId="4005A7B9" w14:textId="73B5D5AC" w:rsidR="0078355F" w:rsidRPr="0059742E" w:rsidRDefault="0078355F" w:rsidP="0078355F">
      <w:pPr>
        <w:pStyle w:val="HChG"/>
      </w:pPr>
      <w:r w:rsidRPr="0059742E">
        <w:lastRenderedPageBreak/>
        <w:tab/>
        <w:t>Annexe</w:t>
      </w:r>
      <w:r>
        <w:t>s</w:t>
      </w:r>
    </w:p>
    <w:p w14:paraId="278D7909" w14:textId="77777777" w:rsidR="0059742E" w:rsidRPr="0059742E" w:rsidRDefault="0059742E" w:rsidP="0059742E">
      <w:pPr>
        <w:pStyle w:val="HChG"/>
      </w:pPr>
      <w:r w:rsidRPr="0059742E">
        <w:tab/>
      </w:r>
      <w:r w:rsidRPr="0059742E">
        <w:tab/>
        <w:t>Annexe I</w:t>
      </w:r>
    </w:p>
    <w:p w14:paraId="7969278B" w14:textId="77777777" w:rsidR="0059742E" w:rsidRPr="0059742E" w:rsidRDefault="0059742E" w:rsidP="0059742E">
      <w:pPr>
        <w:keepNext/>
        <w:keepLines/>
        <w:tabs>
          <w:tab w:val="right" w:pos="851"/>
          <w:tab w:val="left" w:pos="4320"/>
          <w:tab w:val="left" w:pos="5040"/>
          <w:tab w:val="left" w:pos="6600"/>
          <w:tab w:val="left" w:pos="7200"/>
        </w:tabs>
        <w:spacing w:before="240" w:after="120" w:line="240" w:lineRule="exact"/>
        <w:ind w:left="1134" w:right="1133" w:hanging="1134"/>
        <w:jc w:val="right"/>
        <w:rPr>
          <w:i/>
          <w:lang w:val="fr-FR"/>
        </w:rPr>
      </w:pPr>
      <w:r w:rsidRPr="0059742E">
        <w:rPr>
          <w:lang w:val="fr-FR"/>
        </w:rPr>
        <w:t>[</w:t>
      </w:r>
      <w:r w:rsidRPr="0059742E">
        <w:rPr>
          <w:i/>
          <w:lang w:val="fr-FR"/>
        </w:rPr>
        <w:t>Français uniquement</w:t>
      </w:r>
      <w:r w:rsidRPr="0059742E">
        <w:rPr>
          <w:lang w:val="fr-FR" w:eastAsia="es-ES"/>
        </w:rPr>
        <w:t>]</w:t>
      </w:r>
    </w:p>
    <w:p w14:paraId="521EFCD0" w14:textId="122B1DDE" w:rsidR="0059742E" w:rsidRPr="0059742E" w:rsidRDefault="0059742E" w:rsidP="0059742E">
      <w:pPr>
        <w:pStyle w:val="H1G"/>
      </w:pPr>
      <w:r w:rsidRPr="0059742E">
        <w:tab/>
      </w:r>
      <w:r w:rsidRPr="0059742E">
        <w:tab/>
        <w:t>Liste des personnes rencontrées par le SPT</w:t>
      </w:r>
    </w:p>
    <w:p w14:paraId="09D59CCB" w14:textId="21D31F4C" w:rsidR="0059742E" w:rsidRPr="0059742E" w:rsidRDefault="0059742E" w:rsidP="00E72689">
      <w:pPr>
        <w:pStyle w:val="H1G"/>
      </w:pPr>
      <w:r>
        <w:tab/>
      </w:r>
      <w:r w:rsidRPr="0059742E">
        <w:t>I.</w:t>
      </w:r>
      <w:r w:rsidR="00E72689">
        <w:tab/>
      </w:r>
      <w:r w:rsidRPr="0059742E">
        <w:t>Autorités</w:t>
      </w:r>
    </w:p>
    <w:p w14:paraId="62ECDA6E" w14:textId="3B646B2B" w:rsidR="0059742E" w:rsidRPr="0059742E" w:rsidRDefault="0059742E" w:rsidP="0059742E">
      <w:pPr>
        <w:pStyle w:val="H23G"/>
      </w:pPr>
      <w:r>
        <w:tab/>
      </w:r>
      <w:r>
        <w:tab/>
      </w:r>
      <w:r w:rsidRPr="0059742E">
        <w:t xml:space="preserve">Ministère des Affaires </w:t>
      </w:r>
      <w:proofErr w:type="spellStart"/>
      <w:r w:rsidRPr="0059742E">
        <w:t>Etrangères</w:t>
      </w:r>
      <w:proofErr w:type="spellEnd"/>
      <w:r w:rsidRPr="0059742E">
        <w:t>, de l’Intégration Africaine, de la Francophonie et</w:t>
      </w:r>
      <w:r w:rsidR="00401048">
        <w:t> </w:t>
      </w:r>
      <w:r w:rsidRPr="0059742E">
        <w:t>des Béninois de l’Extérieur</w:t>
      </w:r>
    </w:p>
    <w:p w14:paraId="3384A120" w14:textId="77777777" w:rsidR="0059742E" w:rsidRPr="0059742E" w:rsidRDefault="0059742E" w:rsidP="0059742E">
      <w:pPr>
        <w:pStyle w:val="SingleTxtG"/>
        <w:rPr>
          <w:rStyle w:val="SingleTxtGChar"/>
        </w:rPr>
      </w:pPr>
      <w:r w:rsidRPr="0059742E">
        <w:rPr>
          <w:rStyle w:val="SingleTxtGChar"/>
          <w:lang w:val="fr-FR"/>
        </w:rPr>
        <w:t xml:space="preserve">S.E.M. Le Ministre des Affaires </w:t>
      </w:r>
      <w:proofErr w:type="spellStart"/>
      <w:r w:rsidRPr="0059742E">
        <w:rPr>
          <w:rStyle w:val="SingleTxtGChar"/>
          <w:lang w:val="fr-FR"/>
        </w:rPr>
        <w:t>Etrangères</w:t>
      </w:r>
      <w:proofErr w:type="spellEnd"/>
      <w:r w:rsidRPr="0059742E">
        <w:rPr>
          <w:rStyle w:val="SingleTxtGChar"/>
          <w:lang w:val="fr-FR"/>
        </w:rPr>
        <w:t xml:space="preserve"> </w:t>
      </w:r>
    </w:p>
    <w:p w14:paraId="02262970" w14:textId="77777777" w:rsidR="0059742E" w:rsidRPr="00D61948" w:rsidRDefault="0059742E" w:rsidP="0059742E">
      <w:pPr>
        <w:pStyle w:val="SingleTxtG"/>
        <w:rPr>
          <w:rStyle w:val="SingleTxtGChar"/>
          <w:lang w:val="en-GB"/>
        </w:rPr>
      </w:pPr>
      <w:r w:rsidRPr="00D61948">
        <w:rPr>
          <w:rStyle w:val="SingleTxtGChar"/>
          <w:lang w:val="en-GB"/>
        </w:rPr>
        <w:t xml:space="preserve">M. </w:t>
      </w:r>
      <w:proofErr w:type="spellStart"/>
      <w:r w:rsidRPr="00D61948">
        <w:rPr>
          <w:rStyle w:val="SingleTxtGChar"/>
          <w:lang w:val="en-GB"/>
        </w:rPr>
        <w:t>Simplice</w:t>
      </w:r>
      <w:proofErr w:type="spellEnd"/>
      <w:r w:rsidRPr="00D61948">
        <w:rPr>
          <w:rStyle w:val="SingleTxtGChar"/>
          <w:lang w:val="en-GB"/>
        </w:rPr>
        <w:t xml:space="preserve"> </w:t>
      </w:r>
      <w:proofErr w:type="spellStart"/>
      <w:r w:rsidRPr="00D61948">
        <w:rPr>
          <w:rStyle w:val="SingleTxtGChar"/>
          <w:lang w:val="en-GB"/>
        </w:rPr>
        <w:t>Gnanguessy</w:t>
      </w:r>
      <w:proofErr w:type="spellEnd"/>
    </w:p>
    <w:p w14:paraId="0D1054E1" w14:textId="77777777" w:rsidR="0059742E" w:rsidRPr="00D61948" w:rsidRDefault="0059742E" w:rsidP="0059742E">
      <w:pPr>
        <w:pStyle w:val="SingleTxtG"/>
        <w:rPr>
          <w:rStyle w:val="SingleTxtGChar"/>
          <w:lang w:val="en-GB"/>
        </w:rPr>
      </w:pPr>
      <w:r w:rsidRPr="00D61948">
        <w:rPr>
          <w:rStyle w:val="SingleTxtGChar"/>
          <w:lang w:val="en-GB"/>
        </w:rPr>
        <w:t xml:space="preserve">M. Eric </w:t>
      </w:r>
      <w:proofErr w:type="spellStart"/>
      <w:r w:rsidRPr="00D61948">
        <w:rPr>
          <w:rStyle w:val="SingleTxtGChar"/>
          <w:lang w:val="en-GB"/>
        </w:rPr>
        <w:t>Saizonou</w:t>
      </w:r>
      <w:proofErr w:type="spellEnd"/>
    </w:p>
    <w:p w14:paraId="4694EF24" w14:textId="77777777" w:rsidR="0059742E" w:rsidRPr="00F14A01" w:rsidRDefault="0059742E" w:rsidP="0059742E">
      <w:pPr>
        <w:pStyle w:val="SingleTxtG"/>
        <w:rPr>
          <w:rStyle w:val="SingleTxtGChar"/>
        </w:rPr>
      </w:pPr>
      <w:r w:rsidRPr="00F14A01">
        <w:rPr>
          <w:rStyle w:val="SingleTxtGChar"/>
        </w:rPr>
        <w:t xml:space="preserve">M. Bienvenu A. </w:t>
      </w:r>
      <w:proofErr w:type="spellStart"/>
      <w:r w:rsidRPr="00F14A01">
        <w:rPr>
          <w:rStyle w:val="SingleTxtGChar"/>
        </w:rPr>
        <w:t>Houngbedji</w:t>
      </w:r>
      <w:proofErr w:type="spellEnd"/>
    </w:p>
    <w:p w14:paraId="5AA719C6" w14:textId="77777777" w:rsidR="0059742E" w:rsidRPr="00F14A01" w:rsidRDefault="0059742E" w:rsidP="0059742E">
      <w:pPr>
        <w:pStyle w:val="SingleTxtG"/>
        <w:rPr>
          <w:rStyle w:val="SingleTxtGChar"/>
        </w:rPr>
      </w:pPr>
      <w:r w:rsidRPr="00F14A01">
        <w:rPr>
          <w:rStyle w:val="SingleTxtGChar"/>
        </w:rPr>
        <w:t xml:space="preserve">M. </w:t>
      </w:r>
      <w:proofErr w:type="spellStart"/>
      <w:r w:rsidRPr="00F14A01">
        <w:rPr>
          <w:rStyle w:val="SingleTxtGChar"/>
        </w:rPr>
        <w:t>Tossounon</w:t>
      </w:r>
      <w:proofErr w:type="spellEnd"/>
      <w:r w:rsidRPr="00F14A01">
        <w:rPr>
          <w:rStyle w:val="SingleTxtGChar"/>
        </w:rPr>
        <w:t xml:space="preserve"> G. </w:t>
      </w:r>
      <w:proofErr w:type="spellStart"/>
      <w:r w:rsidRPr="00F14A01">
        <w:rPr>
          <w:rStyle w:val="SingleTxtGChar"/>
        </w:rPr>
        <w:t>Raukayetan</w:t>
      </w:r>
      <w:proofErr w:type="spellEnd"/>
    </w:p>
    <w:p w14:paraId="5794AC73" w14:textId="77777777" w:rsidR="0059742E" w:rsidRPr="0059742E" w:rsidRDefault="0059742E" w:rsidP="0059742E">
      <w:pPr>
        <w:pStyle w:val="SingleTxtG"/>
        <w:rPr>
          <w:rStyle w:val="SingleTxtGChar"/>
        </w:rPr>
      </w:pPr>
      <w:r w:rsidRPr="0059742E">
        <w:rPr>
          <w:rStyle w:val="SingleTxtGChar"/>
        </w:rPr>
        <w:t>M. Claude Gaba</w:t>
      </w:r>
    </w:p>
    <w:p w14:paraId="7DA8AAB7" w14:textId="77777777" w:rsidR="0059742E" w:rsidRPr="0059742E" w:rsidRDefault="0059742E" w:rsidP="0059742E">
      <w:pPr>
        <w:pStyle w:val="SingleTxtG"/>
        <w:rPr>
          <w:rStyle w:val="SingleTxtGChar"/>
        </w:rPr>
      </w:pPr>
      <w:r w:rsidRPr="0059742E">
        <w:rPr>
          <w:rStyle w:val="SingleTxtGChar"/>
        </w:rPr>
        <w:t xml:space="preserve">Romaric </w:t>
      </w:r>
      <w:proofErr w:type="spellStart"/>
      <w:r w:rsidRPr="0059742E">
        <w:rPr>
          <w:rStyle w:val="SingleTxtGChar"/>
        </w:rPr>
        <w:t>Koukpesso</w:t>
      </w:r>
      <w:proofErr w:type="spellEnd"/>
    </w:p>
    <w:p w14:paraId="4AAA20BF" w14:textId="77777777" w:rsidR="0059742E" w:rsidRPr="0059742E" w:rsidRDefault="0059742E" w:rsidP="0059742E">
      <w:pPr>
        <w:pStyle w:val="SingleTxtG"/>
        <w:rPr>
          <w:rStyle w:val="SingleTxtGChar"/>
        </w:rPr>
      </w:pPr>
      <w:r w:rsidRPr="0059742E">
        <w:rPr>
          <w:rStyle w:val="SingleTxtGChar"/>
        </w:rPr>
        <w:t xml:space="preserve">Gilles Gérard </w:t>
      </w:r>
      <w:proofErr w:type="spellStart"/>
      <w:r w:rsidRPr="0059742E">
        <w:rPr>
          <w:rStyle w:val="SingleTxtGChar"/>
        </w:rPr>
        <w:t>Landjohou</w:t>
      </w:r>
      <w:proofErr w:type="spellEnd"/>
    </w:p>
    <w:p w14:paraId="7BB7195F" w14:textId="77777777" w:rsidR="0059742E" w:rsidRPr="0059742E" w:rsidRDefault="0059742E" w:rsidP="0059742E">
      <w:pPr>
        <w:pStyle w:val="H23G"/>
      </w:pPr>
      <w:r>
        <w:tab/>
      </w:r>
      <w:r>
        <w:tab/>
      </w:r>
      <w:r w:rsidRPr="0059742E">
        <w:t>Ministère de la Justice, de la Législation et des Droits Humains</w:t>
      </w:r>
    </w:p>
    <w:p w14:paraId="3A55577C" w14:textId="77777777" w:rsidR="0059742E" w:rsidRPr="00D61948" w:rsidRDefault="0059742E" w:rsidP="0059742E">
      <w:pPr>
        <w:pStyle w:val="SingleTxtG"/>
        <w:rPr>
          <w:lang w:val="pt-BR"/>
        </w:rPr>
      </w:pPr>
      <w:r w:rsidRPr="00D61948">
        <w:rPr>
          <w:lang w:val="pt-BR"/>
        </w:rPr>
        <w:t xml:space="preserve">M. </w:t>
      </w:r>
      <w:proofErr w:type="spellStart"/>
      <w:r w:rsidRPr="00D61948">
        <w:rPr>
          <w:lang w:val="pt-BR"/>
        </w:rPr>
        <w:t>Alassane</w:t>
      </w:r>
      <w:proofErr w:type="spellEnd"/>
      <w:r w:rsidRPr="00D61948">
        <w:rPr>
          <w:lang w:val="pt-BR"/>
        </w:rPr>
        <w:t xml:space="preserve"> Amadou </w:t>
      </w:r>
      <w:proofErr w:type="spellStart"/>
      <w:r w:rsidRPr="00D61948">
        <w:rPr>
          <w:lang w:val="pt-BR"/>
        </w:rPr>
        <w:t>Sani</w:t>
      </w:r>
      <w:proofErr w:type="spellEnd"/>
    </w:p>
    <w:p w14:paraId="770A0131" w14:textId="77777777" w:rsidR="0059742E" w:rsidRPr="00D61948" w:rsidRDefault="0059742E" w:rsidP="0059742E">
      <w:pPr>
        <w:pStyle w:val="SingleTxtG"/>
        <w:rPr>
          <w:lang w:val="pt-BR"/>
        </w:rPr>
      </w:pPr>
      <w:r w:rsidRPr="00D61948">
        <w:rPr>
          <w:lang w:val="pt-BR"/>
        </w:rPr>
        <w:t xml:space="preserve">M. </w:t>
      </w:r>
      <w:proofErr w:type="spellStart"/>
      <w:r w:rsidRPr="00D61948">
        <w:rPr>
          <w:lang w:val="pt-BR"/>
        </w:rPr>
        <w:t>Arsène</w:t>
      </w:r>
      <w:proofErr w:type="spellEnd"/>
      <w:r w:rsidRPr="00D61948">
        <w:rPr>
          <w:lang w:val="pt-BR"/>
        </w:rPr>
        <w:t xml:space="preserve"> </w:t>
      </w:r>
      <w:proofErr w:type="spellStart"/>
      <w:r w:rsidRPr="00D61948">
        <w:rPr>
          <w:lang w:val="pt-BR"/>
        </w:rPr>
        <w:t>Dadjo</w:t>
      </w:r>
      <w:proofErr w:type="spellEnd"/>
      <w:r w:rsidRPr="00D61948">
        <w:rPr>
          <w:lang w:val="pt-BR"/>
        </w:rPr>
        <w:t xml:space="preserve"> Hubert</w:t>
      </w:r>
    </w:p>
    <w:p w14:paraId="55DCAA23" w14:textId="77777777" w:rsidR="0059742E" w:rsidRPr="0059742E" w:rsidRDefault="0059742E" w:rsidP="0059742E">
      <w:pPr>
        <w:pStyle w:val="SingleTxtG"/>
      </w:pPr>
      <w:r w:rsidRPr="0059742E">
        <w:rPr>
          <w:lang w:val="fr-FR"/>
        </w:rPr>
        <w:t xml:space="preserve">M. Boris Pierre </w:t>
      </w:r>
      <w:proofErr w:type="spellStart"/>
      <w:r w:rsidRPr="0059742E">
        <w:rPr>
          <w:lang w:val="fr-FR"/>
        </w:rPr>
        <w:t>Tokpanou</w:t>
      </w:r>
      <w:proofErr w:type="spellEnd"/>
    </w:p>
    <w:p w14:paraId="0D77EBF1" w14:textId="77777777" w:rsidR="0059742E" w:rsidRPr="0059742E" w:rsidRDefault="0059742E" w:rsidP="0059742E">
      <w:pPr>
        <w:pStyle w:val="SingleTxtG"/>
      </w:pPr>
      <w:r w:rsidRPr="0059742E">
        <w:rPr>
          <w:lang w:val="fr-FR"/>
        </w:rPr>
        <w:t xml:space="preserve">M. Vincent </w:t>
      </w:r>
      <w:proofErr w:type="spellStart"/>
      <w:r w:rsidRPr="0059742E">
        <w:rPr>
          <w:lang w:val="fr-FR"/>
        </w:rPr>
        <w:t>Choubiyi</w:t>
      </w:r>
      <w:proofErr w:type="spellEnd"/>
    </w:p>
    <w:p w14:paraId="4CA32D41" w14:textId="77777777" w:rsidR="0059742E" w:rsidRPr="0059742E" w:rsidRDefault="0059742E" w:rsidP="0059742E">
      <w:pPr>
        <w:pStyle w:val="SingleTxtG"/>
      </w:pPr>
      <w:r w:rsidRPr="0059742E">
        <w:rPr>
          <w:lang w:val="fr-FR"/>
        </w:rPr>
        <w:t xml:space="preserve">M. </w:t>
      </w:r>
      <w:proofErr w:type="spellStart"/>
      <w:r w:rsidRPr="0059742E">
        <w:rPr>
          <w:lang w:val="fr-FR"/>
        </w:rPr>
        <w:t>Juien</w:t>
      </w:r>
      <w:proofErr w:type="spellEnd"/>
      <w:r w:rsidRPr="0059742E">
        <w:rPr>
          <w:lang w:val="fr-FR"/>
        </w:rPr>
        <w:t xml:space="preserve"> Joseph </w:t>
      </w:r>
      <w:proofErr w:type="spellStart"/>
      <w:r w:rsidRPr="0059742E">
        <w:rPr>
          <w:lang w:val="fr-FR"/>
        </w:rPr>
        <w:t>Tiamou</w:t>
      </w:r>
      <w:proofErr w:type="spellEnd"/>
    </w:p>
    <w:p w14:paraId="2B0BF300" w14:textId="77777777" w:rsidR="0059742E" w:rsidRPr="0059742E" w:rsidRDefault="0059742E" w:rsidP="0059742E">
      <w:pPr>
        <w:pStyle w:val="H23G"/>
      </w:pPr>
      <w:r>
        <w:tab/>
      </w:r>
      <w:r>
        <w:tab/>
      </w:r>
      <w:r w:rsidRPr="0059742E">
        <w:t>Ministère de l’Intérieur, de la Sécurité Publique et des Cultes</w:t>
      </w:r>
    </w:p>
    <w:p w14:paraId="04761F6B" w14:textId="77777777" w:rsidR="0059742E" w:rsidRPr="0059742E" w:rsidRDefault="0059742E" w:rsidP="0059742E">
      <w:pPr>
        <w:pStyle w:val="SingleTxtG"/>
      </w:pPr>
      <w:r w:rsidRPr="0059742E">
        <w:rPr>
          <w:lang w:val="fr-FR"/>
        </w:rPr>
        <w:t xml:space="preserve">M. </w:t>
      </w:r>
      <w:proofErr w:type="spellStart"/>
      <w:r w:rsidRPr="0059742E">
        <w:rPr>
          <w:lang w:val="fr-FR"/>
        </w:rPr>
        <w:t>Chabi</w:t>
      </w:r>
      <w:proofErr w:type="spellEnd"/>
      <w:r w:rsidRPr="0059742E">
        <w:rPr>
          <w:lang w:val="fr-FR"/>
        </w:rPr>
        <w:t xml:space="preserve"> Boni </w:t>
      </w:r>
    </w:p>
    <w:p w14:paraId="42A00C3C" w14:textId="77777777" w:rsidR="0059742E" w:rsidRPr="0059742E" w:rsidRDefault="0059742E" w:rsidP="0059742E">
      <w:pPr>
        <w:pStyle w:val="SingleTxtG"/>
      </w:pPr>
      <w:r w:rsidRPr="0059742E">
        <w:rPr>
          <w:lang w:val="fr-FR"/>
        </w:rPr>
        <w:t xml:space="preserve">M. </w:t>
      </w:r>
      <w:proofErr w:type="spellStart"/>
      <w:r w:rsidRPr="0059742E">
        <w:rPr>
          <w:lang w:val="fr-FR"/>
        </w:rPr>
        <w:t>Latifou</w:t>
      </w:r>
      <w:proofErr w:type="spellEnd"/>
      <w:r w:rsidRPr="0059742E">
        <w:rPr>
          <w:lang w:val="fr-FR"/>
        </w:rPr>
        <w:t xml:space="preserve"> </w:t>
      </w:r>
      <w:proofErr w:type="spellStart"/>
      <w:r w:rsidRPr="0059742E">
        <w:rPr>
          <w:lang w:val="fr-FR"/>
        </w:rPr>
        <w:t>Gbodji</w:t>
      </w:r>
      <w:proofErr w:type="spellEnd"/>
    </w:p>
    <w:p w14:paraId="110234C3" w14:textId="77777777" w:rsidR="0059742E" w:rsidRPr="0059742E" w:rsidRDefault="0059742E" w:rsidP="0059742E">
      <w:pPr>
        <w:pStyle w:val="SingleTxtG"/>
      </w:pPr>
      <w:r w:rsidRPr="0059742E">
        <w:rPr>
          <w:lang w:val="fr-FR"/>
        </w:rPr>
        <w:t xml:space="preserve">René </w:t>
      </w:r>
      <w:proofErr w:type="spellStart"/>
      <w:r w:rsidRPr="0059742E">
        <w:rPr>
          <w:lang w:val="fr-FR"/>
        </w:rPr>
        <w:t>Zimgou</w:t>
      </w:r>
      <w:proofErr w:type="spellEnd"/>
    </w:p>
    <w:p w14:paraId="1CAEE3F3" w14:textId="77777777" w:rsidR="0059742E" w:rsidRPr="0059742E" w:rsidRDefault="0059742E" w:rsidP="0059742E">
      <w:pPr>
        <w:pStyle w:val="SingleTxtG"/>
      </w:pPr>
      <w:r w:rsidRPr="0059742E">
        <w:rPr>
          <w:lang w:val="fr-FR"/>
        </w:rPr>
        <w:t xml:space="preserve">Aurélien </w:t>
      </w:r>
      <w:proofErr w:type="spellStart"/>
      <w:r w:rsidRPr="0059742E">
        <w:rPr>
          <w:lang w:val="fr-FR"/>
        </w:rPr>
        <w:t>Ahichemey</w:t>
      </w:r>
      <w:proofErr w:type="spellEnd"/>
    </w:p>
    <w:p w14:paraId="7C6BA336" w14:textId="77777777" w:rsidR="0059742E" w:rsidRPr="0059742E" w:rsidRDefault="0059742E" w:rsidP="0059742E">
      <w:pPr>
        <w:pStyle w:val="H23G"/>
      </w:pPr>
      <w:r>
        <w:tab/>
      </w:r>
      <w:r>
        <w:tab/>
      </w:r>
      <w:r w:rsidRPr="0059742E">
        <w:t>Ministère de la Défense Nationale</w:t>
      </w:r>
    </w:p>
    <w:p w14:paraId="486148D3" w14:textId="77777777" w:rsidR="0059742E" w:rsidRPr="0059742E" w:rsidRDefault="0059742E" w:rsidP="00E72689">
      <w:pPr>
        <w:pStyle w:val="SingleTxtG"/>
      </w:pPr>
      <w:r w:rsidRPr="0059742E">
        <w:rPr>
          <w:lang w:val="fr-FR"/>
        </w:rPr>
        <w:t xml:space="preserve">M. Paul </w:t>
      </w:r>
      <w:proofErr w:type="spellStart"/>
      <w:r w:rsidRPr="0059742E">
        <w:rPr>
          <w:lang w:val="fr-FR"/>
        </w:rPr>
        <w:t>Tchakou</w:t>
      </w:r>
      <w:proofErr w:type="spellEnd"/>
    </w:p>
    <w:p w14:paraId="5733AA61" w14:textId="77777777" w:rsidR="0059742E" w:rsidRPr="0059742E" w:rsidRDefault="0059742E" w:rsidP="00E72689">
      <w:pPr>
        <w:pStyle w:val="SingleTxtG"/>
      </w:pPr>
      <w:r w:rsidRPr="0059742E">
        <w:rPr>
          <w:lang w:val="fr-FR"/>
        </w:rPr>
        <w:t xml:space="preserve">M. </w:t>
      </w:r>
      <w:proofErr w:type="spellStart"/>
      <w:r w:rsidRPr="0059742E">
        <w:rPr>
          <w:lang w:val="fr-FR"/>
        </w:rPr>
        <w:t>Salifou</w:t>
      </w:r>
      <w:proofErr w:type="spellEnd"/>
      <w:r w:rsidRPr="0059742E">
        <w:rPr>
          <w:lang w:val="fr-FR"/>
        </w:rPr>
        <w:t xml:space="preserve"> Kora </w:t>
      </w:r>
      <w:proofErr w:type="spellStart"/>
      <w:r w:rsidRPr="0059742E">
        <w:rPr>
          <w:lang w:val="fr-FR"/>
        </w:rPr>
        <w:t>Zaki</w:t>
      </w:r>
      <w:proofErr w:type="spellEnd"/>
    </w:p>
    <w:p w14:paraId="741C425F" w14:textId="77777777" w:rsidR="0059742E" w:rsidRPr="0059742E" w:rsidRDefault="0059742E" w:rsidP="00E72689">
      <w:pPr>
        <w:pStyle w:val="SingleTxtG"/>
      </w:pPr>
      <w:r w:rsidRPr="0059742E">
        <w:rPr>
          <w:lang w:val="fr-FR"/>
        </w:rPr>
        <w:t xml:space="preserve">M. Simon </w:t>
      </w:r>
      <w:proofErr w:type="spellStart"/>
      <w:r w:rsidRPr="0059742E">
        <w:rPr>
          <w:lang w:val="fr-FR"/>
        </w:rPr>
        <w:t>Biaou</w:t>
      </w:r>
      <w:proofErr w:type="spellEnd"/>
      <w:r w:rsidRPr="0059742E">
        <w:rPr>
          <w:lang w:val="fr-FR"/>
        </w:rPr>
        <w:t xml:space="preserve"> </w:t>
      </w:r>
    </w:p>
    <w:p w14:paraId="7B2B2F5E" w14:textId="77777777" w:rsidR="0059742E" w:rsidRPr="0059742E" w:rsidRDefault="00E72689" w:rsidP="00E72689">
      <w:pPr>
        <w:pStyle w:val="H23G"/>
      </w:pPr>
      <w:r>
        <w:tab/>
      </w:r>
      <w:r>
        <w:tab/>
      </w:r>
      <w:r w:rsidR="0059742E" w:rsidRPr="0059742E">
        <w:t>Ministère de la Santé, Centre National de Santé Mentale</w:t>
      </w:r>
    </w:p>
    <w:p w14:paraId="42C528E7" w14:textId="77777777" w:rsidR="0059742E" w:rsidRPr="0059742E" w:rsidRDefault="0059742E" w:rsidP="00E72689">
      <w:pPr>
        <w:pStyle w:val="SingleTxtG"/>
        <w:rPr>
          <w:lang w:val="fr-FR"/>
        </w:rPr>
      </w:pPr>
      <w:r w:rsidRPr="0059742E">
        <w:rPr>
          <w:lang w:val="fr-FR"/>
        </w:rPr>
        <w:t xml:space="preserve">M. Grégoire Magloire </w:t>
      </w:r>
      <w:proofErr w:type="spellStart"/>
      <w:r w:rsidRPr="0059742E">
        <w:rPr>
          <w:lang w:val="fr-FR"/>
        </w:rPr>
        <w:t>Gansou</w:t>
      </w:r>
      <w:proofErr w:type="spellEnd"/>
    </w:p>
    <w:p w14:paraId="20BEF438" w14:textId="1670322E" w:rsidR="0059742E" w:rsidRPr="0059742E" w:rsidRDefault="00E72689" w:rsidP="006C5D31">
      <w:pPr>
        <w:pStyle w:val="H1G"/>
      </w:pPr>
      <w:r>
        <w:lastRenderedPageBreak/>
        <w:tab/>
      </w:r>
      <w:r w:rsidR="0059742E" w:rsidRPr="0059742E">
        <w:t>II.</w:t>
      </w:r>
      <w:r>
        <w:tab/>
      </w:r>
      <w:r w:rsidR="0059742E" w:rsidRPr="0059742E">
        <w:t>Cour d’Appel (Chambre d’accusation)</w:t>
      </w:r>
    </w:p>
    <w:p w14:paraId="58ABDB10" w14:textId="77777777" w:rsidR="0059742E" w:rsidRPr="0059742E" w:rsidRDefault="0059742E" w:rsidP="006C5D31">
      <w:pPr>
        <w:pStyle w:val="SingleTxtG"/>
        <w:keepNext/>
        <w:keepLines/>
      </w:pPr>
      <w:r w:rsidRPr="0059742E">
        <w:t xml:space="preserve">M. Thierry </w:t>
      </w:r>
      <w:proofErr w:type="spellStart"/>
      <w:r w:rsidRPr="0059742E">
        <w:t>Ogoubi</w:t>
      </w:r>
      <w:proofErr w:type="spellEnd"/>
    </w:p>
    <w:p w14:paraId="53FFE308" w14:textId="77777777" w:rsidR="0059742E" w:rsidRPr="0059742E" w:rsidRDefault="0059742E" w:rsidP="00E72689">
      <w:pPr>
        <w:pStyle w:val="SingleTxtG"/>
      </w:pPr>
      <w:r w:rsidRPr="0059742E">
        <w:t>M</w:t>
      </w:r>
      <w:r w:rsidRPr="006C5D31">
        <w:rPr>
          <w:vertAlign w:val="superscript"/>
        </w:rPr>
        <w:t>me</w:t>
      </w:r>
      <w:r w:rsidRPr="0059742E">
        <w:t xml:space="preserve"> Marie Soude </w:t>
      </w:r>
      <w:proofErr w:type="spellStart"/>
      <w:r w:rsidRPr="0059742E">
        <w:t>Godonou</w:t>
      </w:r>
      <w:proofErr w:type="spellEnd"/>
    </w:p>
    <w:p w14:paraId="1AB58B2A" w14:textId="77777777" w:rsidR="0059742E" w:rsidRPr="00D61948" w:rsidRDefault="0059742E" w:rsidP="00E72689">
      <w:pPr>
        <w:pStyle w:val="SingleTxtG"/>
        <w:rPr>
          <w:lang w:val="pt-BR"/>
        </w:rPr>
      </w:pPr>
      <w:proofErr w:type="spellStart"/>
      <w:r w:rsidRPr="00D61948">
        <w:rPr>
          <w:lang w:val="pt-BR"/>
        </w:rPr>
        <w:t>M</w:t>
      </w:r>
      <w:r w:rsidRPr="006C5D31">
        <w:rPr>
          <w:vertAlign w:val="superscript"/>
          <w:lang w:val="pt-BR"/>
        </w:rPr>
        <w:t>me</w:t>
      </w:r>
      <w:proofErr w:type="spellEnd"/>
      <w:r w:rsidRPr="00D61948">
        <w:rPr>
          <w:lang w:val="pt-BR"/>
        </w:rPr>
        <w:t xml:space="preserve"> Eliane </w:t>
      </w:r>
      <w:proofErr w:type="spellStart"/>
      <w:r w:rsidRPr="00D61948">
        <w:rPr>
          <w:lang w:val="pt-BR"/>
        </w:rPr>
        <w:t>Bada</w:t>
      </w:r>
      <w:proofErr w:type="spellEnd"/>
      <w:r w:rsidRPr="00D61948">
        <w:rPr>
          <w:lang w:val="pt-BR"/>
        </w:rPr>
        <w:t xml:space="preserve"> </w:t>
      </w:r>
      <w:proofErr w:type="spellStart"/>
      <w:r w:rsidRPr="00D61948">
        <w:rPr>
          <w:lang w:val="pt-BR"/>
        </w:rPr>
        <w:t>Padonou</w:t>
      </w:r>
      <w:proofErr w:type="spellEnd"/>
      <w:r w:rsidRPr="00D61948">
        <w:rPr>
          <w:lang w:val="pt-BR"/>
        </w:rPr>
        <w:t xml:space="preserve"> </w:t>
      </w:r>
    </w:p>
    <w:p w14:paraId="41A89B41" w14:textId="6941D537" w:rsidR="0059742E" w:rsidRPr="0059742E" w:rsidRDefault="00E72689" w:rsidP="00E72689">
      <w:pPr>
        <w:pStyle w:val="H1G"/>
      </w:pPr>
      <w:r w:rsidRPr="00D61948">
        <w:rPr>
          <w:lang w:val="pt-BR"/>
        </w:rPr>
        <w:tab/>
      </w:r>
      <w:r w:rsidR="0059742E" w:rsidRPr="00D61948">
        <w:rPr>
          <w:lang w:val="pt-BR"/>
        </w:rPr>
        <w:t>III.</w:t>
      </w:r>
      <w:r w:rsidRPr="00D61948">
        <w:rPr>
          <w:lang w:val="pt-BR"/>
        </w:rPr>
        <w:tab/>
      </w:r>
      <w:r w:rsidR="0059742E" w:rsidRPr="0059742E">
        <w:t xml:space="preserve">Organismes des Nations Unies </w:t>
      </w:r>
    </w:p>
    <w:p w14:paraId="7C58F403" w14:textId="77777777" w:rsidR="0059742E" w:rsidRPr="0059742E" w:rsidRDefault="0059742E" w:rsidP="00E72689">
      <w:pPr>
        <w:pStyle w:val="SingleTxtG"/>
      </w:pPr>
      <w:r w:rsidRPr="0059742E">
        <w:t>PNUD</w:t>
      </w:r>
    </w:p>
    <w:p w14:paraId="7B960A67" w14:textId="1D9D9C43" w:rsidR="0059742E" w:rsidRPr="0059742E" w:rsidRDefault="00E72689" w:rsidP="00E72689">
      <w:pPr>
        <w:pStyle w:val="H1G"/>
      </w:pPr>
      <w:r>
        <w:tab/>
      </w:r>
      <w:r w:rsidR="0059742E" w:rsidRPr="0059742E">
        <w:t>IV.</w:t>
      </w:r>
      <w:r>
        <w:tab/>
      </w:r>
      <w:r w:rsidR="0059742E" w:rsidRPr="0059742E">
        <w:t>Société civile</w:t>
      </w:r>
    </w:p>
    <w:p w14:paraId="461A003D" w14:textId="77777777" w:rsidR="0059742E" w:rsidRPr="0059742E" w:rsidRDefault="0059742E" w:rsidP="00E72689">
      <w:pPr>
        <w:pStyle w:val="SingleTxtG"/>
      </w:pPr>
      <w:r w:rsidRPr="0059742E">
        <w:t>Ordre des Avocats du Bénin</w:t>
      </w:r>
    </w:p>
    <w:p w14:paraId="6E87F082" w14:textId="77777777" w:rsidR="0059742E" w:rsidRPr="0059742E" w:rsidRDefault="0059742E" w:rsidP="00E72689">
      <w:pPr>
        <w:pStyle w:val="SingleTxtG"/>
      </w:pPr>
      <w:r w:rsidRPr="0059742E">
        <w:t>Association des femmes défenseurs des droits de l’Homme-Bénin</w:t>
      </w:r>
    </w:p>
    <w:p w14:paraId="7022AEF3" w14:textId="77777777" w:rsidR="0059742E" w:rsidRPr="0059742E" w:rsidRDefault="0059742E" w:rsidP="00E72689">
      <w:pPr>
        <w:pStyle w:val="SingleTxtG"/>
      </w:pPr>
      <w:r w:rsidRPr="0059742E">
        <w:t>Association Chrétienne de Lutte contre la Torture (ACAT)-Bénin</w:t>
      </w:r>
    </w:p>
    <w:p w14:paraId="7D9E86B3" w14:textId="77777777" w:rsidR="0059742E" w:rsidRPr="0059742E" w:rsidRDefault="0059742E" w:rsidP="00E72689">
      <w:pPr>
        <w:pStyle w:val="SingleTxtG"/>
      </w:pPr>
      <w:r w:rsidRPr="00D61948">
        <w:t>Amnesty International-Bénin</w:t>
      </w:r>
    </w:p>
    <w:p w14:paraId="45A28CEB" w14:textId="428084CA" w:rsidR="0059742E" w:rsidRPr="0059742E" w:rsidRDefault="0059742E" w:rsidP="00E72689">
      <w:pPr>
        <w:pStyle w:val="SingleTxtG"/>
      </w:pPr>
      <w:r w:rsidRPr="0059742E">
        <w:t>Conseil national consultative des droits de</w:t>
      </w:r>
      <w:r w:rsidR="0029699D">
        <w:t xml:space="preserve"> </w:t>
      </w:r>
      <w:r w:rsidRPr="0059742E">
        <w:t>l’homme</w:t>
      </w:r>
    </w:p>
    <w:p w14:paraId="0804F202" w14:textId="77777777" w:rsidR="0059742E" w:rsidRPr="0059742E" w:rsidRDefault="0059742E" w:rsidP="00E72689">
      <w:pPr>
        <w:pStyle w:val="SingleTxtG"/>
      </w:pPr>
      <w:r w:rsidRPr="0059742E">
        <w:t>Enfants Solidaires d’Afrique et du Monde</w:t>
      </w:r>
    </w:p>
    <w:p w14:paraId="40C4FA03" w14:textId="77777777" w:rsidR="0059742E" w:rsidRPr="0059742E" w:rsidRDefault="0059742E" w:rsidP="00E72689">
      <w:pPr>
        <w:pStyle w:val="SingleTxtG"/>
        <w:rPr>
          <w:lang w:val="en-GB"/>
        </w:rPr>
      </w:pPr>
      <w:proofErr w:type="spellStart"/>
      <w:r w:rsidRPr="0059742E">
        <w:rPr>
          <w:lang w:val="en-GB"/>
        </w:rPr>
        <w:t>Fondation</w:t>
      </w:r>
      <w:proofErr w:type="spellEnd"/>
      <w:r w:rsidRPr="0059742E">
        <w:rPr>
          <w:lang w:val="en-GB"/>
        </w:rPr>
        <w:t xml:space="preserve"> Joseph The Worker</w:t>
      </w:r>
    </w:p>
    <w:p w14:paraId="5FB82346" w14:textId="77777777" w:rsidR="0059742E" w:rsidRPr="00F14A01" w:rsidRDefault="0059742E" w:rsidP="0059742E">
      <w:pPr>
        <w:pStyle w:val="HChG"/>
        <w:rPr>
          <w:lang w:val="en-GB"/>
        </w:rPr>
      </w:pPr>
      <w:r w:rsidRPr="00F14A01">
        <w:rPr>
          <w:lang w:val="en-GB"/>
        </w:rPr>
        <w:br w:type="page"/>
      </w:r>
      <w:r w:rsidRPr="00F14A01">
        <w:rPr>
          <w:lang w:val="en-GB"/>
        </w:rPr>
        <w:lastRenderedPageBreak/>
        <w:tab/>
      </w:r>
      <w:r w:rsidRPr="00F14A01">
        <w:rPr>
          <w:lang w:val="en-GB"/>
        </w:rPr>
        <w:tab/>
        <w:t>Annexe II</w:t>
      </w:r>
    </w:p>
    <w:p w14:paraId="362E1AA2" w14:textId="77777777" w:rsidR="0059742E" w:rsidRPr="0059742E" w:rsidRDefault="0059742E" w:rsidP="0059742E">
      <w:pPr>
        <w:keepNext/>
        <w:keepLines/>
        <w:tabs>
          <w:tab w:val="right" w:pos="851"/>
          <w:tab w:val="left" w:pos="4320"/>
          <w:tab w:val="left" w:pos="5040"/>
          <w:tab w:val="left" w:pos="6600"/>
          <w:tab w:val="left" w:pos="7200"/>
        </w:tabs>
        <w:spacing w:before="240" w:after="120" w:line="240" w:lineRule="exact"/>
        <w:ind w:left="1134" w:right="1133" w:hanging="1134"/>
        <w:jc w:val="right"/>
        <w:rPr>
          <w:i/>
          <w:lang w:val="fr-FR"/>
        </w:rPr>
      </w:pPr>
      <w:r w:rsidRPr="0059742E">
        <w:rPr>
          <w:lang w:val="fr-FR"/>
        </w:rPr>
        <w:t>[</w:t>
      </w:r>
      <w:r w:rsidRPr="0059742E">
        <w:rPr>
          <w:i/>
          <w:lang w:val="fr-FR"/>
        </w:rPr>
        <w:t>Français uniquement</w:t>
      </w:r>
      <w:r w:rsidRPr="0059742E">
        <w:rPr>
          <w:lang w:val="fr-FR" w:eastAsia="es-ES"/>
        </w:rPr>
        <w:t>]</w:t>
      </w:r>
    </w:p>
    <w:p w14:paraId="21C08967" w14:textId="05EBA2FE" w:rsidR="0059742E" w:rsidRPr="0059742E" w:rsidRDefault="0059742E" w:rsidP="0059742E">
      <w:pPr>
        <w:pStyle w:val="H1G"/>
      </w:pPr>
      <w:r>
        <w:tab/>
      </w:r>
      <w:r>
        <w:tab/>
      </w:r>
      <w:r w:rsidRPr="0059742E">
        <w:t>Lieux de privation de liberté visités par le SPT</w:t>
      </w:r>
      <w:r w:rsidRPr="0059742E">
        <w:rPr>
          <w:lang w:val="fr-FR"/>
        </w:rPr>
        <w:t xml:space="preserve"> </w:t>
      </w:r>
    </w:p>
    <w:p w14:paraId="7263F202" w14:textId="77777777" w:rsidR="0059742E" w:rsidRPr="00D61948" w:rsidRDefault="0059742E" w:rsidP="0059742E">
      <w:pPr>
        <w:pStyle w:val="H23G"/>
      </w:pPr>
      <w:r>
        <w:rPr>
          <w:lang w:val="fr-FR"/>
        </w:rPr>
        <w:tab/>
      </w:r>
      <w:r>
        <w:rPr>
          <w:lang w:val="fr-FR"/>
        </w:rPr>
        <w:tab/>
      </w:r>
      <w:r w:rsidRPr="0059742E">
        <w:rPr>
          <w:lang w:val="fr-FR"/>
        </w:rPr>
        <w:t>Gendarmeries</w:t>
      </w:r>
    </w:p>
    <w:p w14:paraId="7F481C67" w14:textId="77777777" w:rsidR="0059742E" w:rsidRPr="00D61948" w:rsidRDefault="0059742E" w:rsidP="0059742E">
      <w:pPr>
        <w:pStyle w:val="SingleTxtG"/>
      </w:pPr>
      <w:r w:rsidRPr="00D61948">
        <w:t>Brigade territoriale d’</w:t>
      </w:r>
      <w:proofErr w:type="spellStart"/>
      <w:r w:rsidRPr="00D61948">
        <w:t>Agblangandan</w:t>
      </w:r>
      <w:proofErr w:type="spellEnd"/>
    </w:p>
    <w:p w14:paraId="0C7687FE" w14:textId="77777777" w:rsidR="0059742E" w:rsidRPr="0059742E" w:rsidRDefault="0059742E" w:rsidP="0059742E">
      <w:pPr>
        <w:pStyle w:val="H23G"/>
        <w:rPr>
          <w:lang w:val="fr-FR"/>
        </w:rPr>
      </w:pPr>
      <w:r>
        <w:rPr>
          <w:lang w:val="fr-FR"/>
        </w:rPr>
        <w:tab/>
      </w:r>
      <w:r>
        <w:rPr>
          <w:lang w:val="fr-FR"/>
        </w:rPr>
        <w:tab/>
      </w:r>
      <w:r w:rsidRPr="0059742E">
        <w:rPr>
          <w:lang w:val="fr-FR"/>
        </w:rPr>
        <w:t>Commissariats de police</w:t>
      </w:r>
    </w:p>
    <w:p w14:paraId="3A4BD664" w14:textId="77777777" w:rsidR="0059742E" w:rsidRPr="0059742E" w:rsidRDefault="0059742E" w:rsidP="0059742E">
      <w:pPr>
        <w:pStyle w:val="SingleTxtG"/>
      </w:pPr>
      <w:r w:rsidRPr="00D61948">
        <w:t>Commissariat Central de Cotonou</w:t>
      </w:r>
    </w:p>
    <w:p w14:paraId="0A6CA03C" w14:textId="322BD8A0" w:rsidR="0059742E" w:rsidRPr="0059742E" w:rsidRDefault="0059742E" w:rsidP="0059742E">
      <w:pPr>
        <w:pStyle w:val="SingleTxtG"/>
      </w:pPr>
      <w:r w:rsidRPr="0059742E">
        <w:t xml:space="preserve">Commissariat spécial de </w:t>
      </w:r>
      <w:proofErr w:type="spellStart"/>
      <w:r w:rsidRPr="0059742E">
        <w:t>Dantokpa</w:t>
      </w:r>
      <w:proofErr w:type="spellEnd"/>
      <w:r w:rsidR="008C78FC">
        <w:t xml:space="preserve"> </w:t>
      </w:r>
    </w:p>
    <w:p w14:paraId="044BD27A" w14:textId="77777777" w:rsidR="0059742E" w:rsidRPr="0059742E" w:rsidRDefault="0059742E" w:rsidP="0059742E">
      <w:pPr>
        <w:pStyle w:val="SingleTxtG"/>
      </w:pPr>
      <w:r w:rsidRPr="0059742E">
        <w:t xml:space="preserve">Commissariat d’arrondissement de </w:t>
      </w:r>
      <w:proofErr w:type="spellStart"/>
      <w:r w:rsidRPr="0059742E">
        <w:t>Tokplebge</w:t>
      </w:r>
      <w:proofErr w:type="spellEnd"/>
    </w:p>
    <w:p w14:paraId="6BD63A08" w14:textId="77777777" w:rsidR="0059742E" w:rsidRPr="0059742E" w:rsidRDefault="0059742E" w:rsidP="0059742E">
      <w:pPr>
        <w:pStyle w:val="H23G"/>
        <w:rPr>
          <w:lang w:val="fr-FR"/>
        </w:rPr>
      </w:pPr>
      <w:r>
        <w:rPr>
          <w:lang w:val="fr-FR"/>
        </w:rPr>
        <w:tab/>
      </w:r>
      <w:r>
        <w:rPr>
          <w:lang w:val="fr-FR"/>
        </w:rPr>
        <w:tab/>
      </w:r>
      <w:r w:rsidRPr="0059742E">
        <w:rPr>
          <w:lang w:val="fr-FR"/>
        </w:rPr>
        <w:t xml:space="preserve">Prisons </w:t>
      </w:r>
    </w:p>
    <w:p w14:paraId="147D2917" w14:textId="77777777" w:rsidR="0059742E" w:rsidRPr="00D61948" w:rsidRDefault="0059742E" w:rsidP="0059742E">
      <w:pPr>
        <w:pStyle w:val="SingleTxtG"/>
      </w:pPr>
      <w:r w:rsidRPr="00D61948">
        <w:t xml:space="preserve">Prison civile d’Abomey </w:t>
      </w:r>
    </w:p>
    <w:p w14:paraId="209E054A" w14:textId="77777777" w:rsidR="0059742E" w:rsidRPr="00D61948" w:rsidRDefault="0059742E" w:rsidP="0059742E">
      <w:pPr>
        <w:pStyle w:val="SingleTxtG"/>
      </w:pPr>
      <w:r w:rsidRPr="00D61948">
        <w:t xml:space="preserve">Prison civile de Cotonou </w:t>
      </w:r>
    </w:p>
    <w:p w14:paraId="693DA89E" w14:textId="57731A0A" w:rsidR="0059742E" w:rsidRPr="00D61948" w:rsidRDefault="0059742E" w:rsidP="0059742E">
      <w:pPr>
        <w:pStyle w:val="SingleTxtG"/>
      </w:pPr>
      <w:r w:rsidRPr="00D61948">
        <w:t>Prison civile d’</w:t>
      </w:r>
      <w:proofErr w:type="spellStart"/>
      <w:r w:rsidRPr="00D61948">
        <w:t>Akpro-Missérété</w:t>
      </w:r>
      <w:proofErr w:type="spellEnd"/>
      <w:r w:rsidRPr="00D61948">
        <w:t xml:space="preserve"> </w:t>
      </w:r>
    </w:p>
    <w:p w14:paraId="7D7AB333" w14:textId="77777777" w:rsidR="0059742E" w:rsidRPr="0059742E" w:rsidRDefault="0059742E" w:rsidP="0059742E">
      <w:pPr>
        <w:pStyle w:val="H23G"/>
      </w:pPr>
      <w:r>
        <w:tab/>
      </w:r>
      <w:r>
        <w:tab/>
      </w:r>
      <w:r w:rsidRPr="0059742E">
        <w:t>Centres pour enfants et adolescents</w:t>
      </w:r>
    </w:p>
    <w:p w14:paraId="6739AAC1" w14:textId="77777777" w:rsidR="0059742E" w:rsidRPr="0059742E" w:rsidRDefault="0059742E" w:rsidP="0059742E">
      <w:pPr>
        <w:pStyle w:val="SingleTxtG"/>
      </w:pPr>
      <w:r w:rsidRPr="0059742E">
        <w:t>Centre de sauvegarde de l’Enfance et de l’Adolescence d’</w:t>
      </w:r>
      <w:proofErr w:type="spellStart"/>
      <w:r w:rsidRPr="0059742E">
        <w:t>Agblangandan</w:t>
      </w:r>
      <w:proofErr w:type="spellEnd"/>
    </w:p>
    <w:p w14:paraId="2A589870" w14:textId="45ABAC67" w:rsidR="0059742E" w:rsidRDefault="0059742E" w:rsidP="0059742E">
      <w:pPr>
        <w:pStyle w:val="SingleTxtG"/>
      </w:pPr>
      <w:r w:rsidRPr="0059742E">
        <w:t>Office central de la protection des Mineurs, Cotonou</w:t>
      </w:r>
    </w:p>
    <w:p w14:paraId="6601CC60" w14:textId="6221DCA3" w:rsidR="009C5A67" w:rsidRPr="006C5D31" w:rsidRDefault="009C5A67" w:rsidP="006C5D31">
      <w:pPr>
        <w:pStyle w:val="SingleTxtG"/>
        <w:spacing w:before="240" w:after="0"/>
        <w:jc w:val="center"/>
        <w:rPr>
          <w:u w:val="single"/>
        </w:rPr>
      </w:pPr>
      <w:r>
        <w:rPr>
          <w:u w:val="single"/>
        </w:rPr>
        <w:tab/>
      </w:r>
      <w:r>
        <w:rPr>
          <w:u w:val="single"/>
        </w:rPr>
        <w:tab/>
      </w:r>
      <w:r>
        <w:rPr>
          <w:u w:val="single"/>
        </w:rPr>
        <w:tab/>
      </w:r>
      <w:r w:rsidR="00E1155B">
        <w:rPr>
          <w:u w:val="single"/>
        </w:rPr>
        <w:tab/>
      </w:r>
    </w:p>
    <w:sectPr w:rsidR="009C5A67" w:rsidRPr="006C5D31" w:rsidSect="006C5D3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92A63" w16cid:durableId="1F44F5F8"/>
  <w16cid:commentId w16cid:paraId="28E28150" w16cid:durableId="1F322999"/>
  <w16cid:commentId w16cid:paraId="6321D802" w16cid:durableId="1F44F5FA"/>
  <w16cid:commentId w16cid:paraId="398DDDC9" w16cid:durableId="1F44F5FB"/>
  <w16cid:commentId w16cid:paraId="30C74028" w16cid:durableId="1F44F5FC"/>
  <w16cid:commentId w16cid:paraId="7768EB85" w16cid:durableId="1F323C3E"/>
  <w16cid:commentId w16cid:paraId="74E28381" w16cid:durableId="1F44F5FE"/>
  <w16cid:commentId w16cid:paraId="0840ACC3" w16cid:durableId="1F44F5FF"/>
  <w16cid:commentId w16cid:paraId="6C393558" w16cid:durableId="1F4500B4"/>
  <w16cid:commentId w16cid:paraId="2202B671" w16cid:durableId="1F324C71"/>
  <w16cid:commentId w16cid:paraId="25A64890" w16cid:durableId="1F44F602"/>
  <w16cid:commentId w16cid:paraId="5CCCD6A1" w16cid:durableId="1F44F603"/>
  <w16cid:commentId w16cid:paraId="20F68571" w16cid:durableId="1F325426"/>
  <w16cid:commentId w16cid:paraId="136A5911" w16cid:durableId="1F4502CF"/>
  <w16cid:commentId w16cid:paraId="2BD184D7" w16cid:durableId="1F44F605"/>
  <w16cid:commentId w16cid:paraId="10DEBF2D" w16cid:durableId="1F44F606"/>
  <w16cid:commentId w16cid:paraId="04C10A7C" w16cid:durableId="1F326BBE"/>
  <w16cid:commentId w16cid:paraId="26210DBC" w16cid:durableId="1F326C30"/>
  <w16cid:commentId w16cid:paraId="0C8C2D3C" w16cid:durableId="1F326F12"/>
  <w16cid:commentId w16cid:paraId="6B865F82" w16cid:durableId="1F326FB7"/>
  <w16cid:commentId w16cid:paraId="20471E14" w16cid:durableId="1F450532"/>
  <w16cid:commentId w16cid:paraId="1A36DE75" w16cid:durableId="1F450589"/>
  <w16cid:commentId w16cid:paraId="43C2ABDA" w16cid:durableId="1F327585"/>
  <w16cid:commentId w16cid:paraId="50F9C281" w16cid:durableId="1F44F60C"/>
  <w16cid:commentId w16cid:paraId="154876B1" w16cid:durableId="1F44F60D"/>
  <w16cid:commentId w16cid:paraId="26FD2547" w16cid:durableId="1F44F60E"/>
  <w16cid:commentId w16cid:paraId="69A84835" w16cid:durableId="1F44F60F"/>
  <w16cid:commentId w16cid:paraId="24E07CF5" w16cid:durableId="1F44F610"/>
  <w16cid:commentId w16cid:paraId="0D1C19E3" w16cid:durableId="1F44F6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ED389" w14:textId="77777777" w:rsidR="00CA674E" w:rsidRDefault="00CA674E"/>
  </w:endnote>
  <w:endnote w:type="continuationSeparator" w:id="0">
    <w:p w14:paraId="5DB31846" w14:textId="77777777" w:rsidR="00CA674E" w:rsidRDefault="00CA674E"/>
  </w:endnote>
  <w:endnote w:type="continuationNotice" w:id="1">
    <w:p w14:paraId="1D5E49E5" w14:textId="77777777" w:rsidR="00CA674E" w:rsidRDefault="00CA6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14A3" w14:textId="42E12BF6" w:rsidR="00CA674E" w:rsidRPr="00112C71" w:rsidRDefault="00CA674E" w:rsidP="00112C71">
    <w:pPr>
      <w:pStyle w:val="Pieddepage"/>
      <w:tabs>
        <w:tab w:val="right" w:pos="9638"/>
      </w:tabs>
    </w:pPr>
    <w:r w:rsidRPr="00112C71">
      <w:rPr>
        <w:b/>
        <w:sz w:val="18"/>
      </w:rPr>
      <w:fldChar w:fldCharType="begin"/>
    </w:r>
    <w:r w:rsidRPr="00112C71">
      <w:rPr>
        <w:b/>
        <w:sz w:val="18"/>
      </w:rPr>
      <w:instrText xml:space="preserve"> PAGE  \* MERGEFORMAT </w:instrText>
    </w:r>
    <w:r w:rsidRPr="00112C71">
      <w:rPr>
        <w:b/>
        <w:sz w:val="18"/>
      </w:rPr>
      <w:fldChar w:fldCharType="separate"/>
    </w:r>
    <w:r w:rsidR="00AB6156">
      <w:rPr>
        <w:b/>
        <w:noProof/>
        <w:sz w:val="18"/>
      </w:rPr>
      <w:t>20</w:t>
    </w:r>
    <w:r w:rsidRPr="00112C7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CA08" w14:textId="30DB0C4F" w:rsidR="00CA674E" w:rsidRPr="00112C71" w:rsidRDefault="00CA674E" w:rsidP="00112C71">
    <w:pPr>
      <w:pStyle w:val="Pieddepage"/>
      <w:tabs>
        <w:tab w:val="right" w:pos="9638"/>
      </w:tabs>
      <w:rPr>
        <w:b/>
        <w:sz w:val="18"/>
      </w:rPr>
    </w:pPr>
    <w:r>
      <w:tab/>
    </w:r>
    <w:r w:rsidRPr="00112C71">
      <w:rPr>
        <w:b/>
        <w:sz w:val="18"/>
      </w:rPr>
      <w:fldChar w:fldCharType="begin"/>
    </w:r>
    <w:r w:rsidRPr="00112C71">
      <w:rPr>
        <w:b/>
        <w:sz w:val="18"/>
      </w:rPr>
      <w:instrText xml:space="preserve"> PAGE  \* MERGEFORMAT </w:instrText>
    </w:r>
    <w:r w:rsidRPr="00112C71">
      <w:rPr>
        <w:b/>
        <w:sz w:val="18"/>
      </w:rPr>
      <w:fldChar w:fldCharType="separate"/>
    </w:r>
    <w:r w:rsidR="00AB6156">
      <w:rPr>
        <w:b/>
        <w:noProof/>
        <w:sz w:val="18"/>
      </w:rPr>
      <w:t>21</w:t>
    </w:r>
    <w:r w:rsidRPr="00112C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EBE2" w14:textId="3377FAA3" w:rsidR="000C0AA8" w:rsidRPr="000C0AA8" w:rsidRDefault="000C0AA8" w:rsidP="0005698B">
    <w:pPr>
      <w:pStyle w:val="Pieddepage"/>
      <w:spacing w:before="120"/>
      <w:rPr>
        <w:rFonts w:ascii="C39T30Lfz" w:hAnsi="C39T30Lfz"/>
        <w:sz w:val="56"/>
      </w:rPr>
    </w:pPr>
    <w:r>
      <w:rPr>
        <w:sz w:val="20"/>
      </w:rPr>
      <w:t>GE.</w:t>
    </w:r>
    <w:r>
      <w:rPr>
        <w:noProof/>
        <w:lang w:eastAsia="fr-CH"/>
      </w:rPr>
      <w:drawing>
        <wp:anchor distT="0" distB="0" distL="114300" distR="114300" simplePos="0" relativeHeight="251660288" behindDoc="0" locked="0" layoutInCell="1" allowOverlap="0" wp14:anchorId="08AC79C7" wp14:editId="5BC87FF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w:t>
    </w:r>
    <w:r>
      <w:rPr>
        <w:sz w:val="20"/>
      </w:rPr>
      <w:t>6165</w:t>
    </w:r>
    <w:r>
      <w:rPr>
        <w:sz w:val="20"/>
      </w:rPr>
      <w:t xml:space="preserve">  (F)</w:t>
    </w:r>
    <w:r>
      <w:rPr>
        <w:rFonts w:ascii="C39T30Lfz" w:hAnsi="C39T30Lfz"/>
        <w:noProof/>
        <w:sz w:val="56"/>
        <w:lang w:eastAsia="fr-CH"/>
      </w:rPr>
      <w:drawing>
        <wp:anchor distT="0" distB="0" distL="114300" distR="114300" simplePos="0" relativeHeight="251658240" behindDoc="0" locked="0" layoutInCell="1" allowOverlap="1" wp14:anchorId="181DB29B" wp14:editId="5FF630D4">
          <wp:simplePos x="0" y="0"/>
          <wp:positionH relativeFrom="column">
            <wp:posOffset>5476875</wp:posOffset>
          </wp:positionH>
          <wp:positionV relativeFrom="paragraph">
            <wp:posOffset>9525</wp:posOffset>
          </wp:positionV>
          <wp:extent cx="638175" cy="638175"/>
          <wp:effectExtent l="0" t="0" r="9525" b="9525"/>
          <wp:wrapNone/>
          <wp:docPr id="2" name="Image 1" descr="https://undocs.org/m2/QRCode.ashx?DS=CAT/OP/BEN/R.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BEN/R.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0C0AA8">
      <w:rPr>
        <w:rFonts w:ascii="C39T30Lfz" w:hAnsi="C39T30Lfz"/>
        <w:sz w:val="56"/>
      </w:rPr>
      <w:t></w:t>
    </w:r>
    <w:r w:rsidRPr="000C0AA8">
      <w:rPr>
        <w:rFonts w:ascii="C39T30Lfz" w:hAnsi="C39T30Lfz"/>
        <w:sz w:val="56"/>
      </w:rPr>
      <w:t></w:t>
    </w:r>
    <w:r w:rsidRPr="000C0AA8">
      <w:rPr>
        <w:rFonts w:ascii="C39T30Lfz" w:hAnsi="C39T30Lfz"/>
        <w:sz w:val="56"/>
      </w:rPr>
      <w:t></w:t>
    </w:r>
    <w:r w:rsidRPr="000C0AA8">
      <w:rPr>
        <w:rFonts w:ascii="C39T30Lfz" w:hAnsi="C39T30Lfz"/>
        <w:sz w:val="56"/>
      </w:rPr>
      <w:t></w:t>
    </w:r>
    <w:r w:rsidRPr="000C0AA8">
      <w:rPr>
        <w:rFonts w:ascii="C39T30Lfz" w:hAnsi="C39T30Lfz"/>
        <w:sz w:val="56"/>
      </w:rPr>
      <w:t></w:t>
    </w:r>
    <w:r w:rsidRPr="000C0AA8">
      <w:rPr>
        <w:rFonts w:ascii="C39T30Lfz" w:hAnsi="C39T30Lfz"/>
        <w:sz w:val="56"/>
      </w:rPr>
      <w:t></w:t>
    </w:r>
    <w:r w:rsidRPr="000C0AA8">
      <w:rPr>
        <w:rFonts w:ascii="C39T30Lfz" w:hAnsi="C39T30Lfz"/>
        <w:sz w:val="56"/>
      </w:rPr>
      <w:t></w:t>
    </w:r>
    <w:r w:rsidRPr="000C0AA8">
      <w:rPr>
        <w:rFonts w:ascii="C39T30Lfz" w:hAnsi="C39T30Lfz"/>
        <w:sz w:val="56"/>
      </w:rPr>
      <w:t></w:t>
    </w:r>
    <w:r w:rsidRPr="000C0AA8">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A0F35" w14:textId="77777777" w:rsidR="00CA674E" w:rsidRPr="00D27D5E" w:rsidRDefault="00CA674E" w:rsidP="00D27D5E">
      <w:pPr>
        <w:tabs>
          <w:tab w:val="right" w:pos="2155"/>
        </w:tabs>
        <w:spacing w:after="80"/>
        <w:ind w:left="680"/>
        <w:rPr>
          <w:u w:val="single"/>
        </w:rPr>
      </w:pPr>
      <w:r>
        <w:rPr>
          <w:u w:val="single"/>
        </w:rPr>
        <w:tab/>
      </w:r>
    </w:p>
  </w:footnote>
  <w:footnote w:type="continuationSeparator" w:id="0">
    <w:p w14:paraId="0612F057" w14:textId="77777777" w:rsidR="00CA674E" w:rsidRPr="00433A7F" w:rsidRDefault="00CA674E" w:rsidP="00433A7F">
      <w:pPr>
        <w:tabs>
          <w:tab w:val="right" w:pos="2155"/>
        </w:tabs>
        <w:spacing w:after="80"/>
        <w:ind w:left="680"/>
        <w:rPr>
          <w:u w:val="single"/>
        </w:rPr>
      </w:pPr>
      <w:r w:rsidRPr="00433A7F">
        <w:rPr>
          <w:u w:val="single"/>
        </w:rPr>
        <w:tab/>
      </w:r>
    </w:p>
  </w:footnote>
  <w:footnote w:type="continuationNotice" w:id="1">
    <w:p w14:paraId="12C8AFDC" w14:textId="77777777" w:rsidR="00CA674E" w:rsidRDefault="00CA674E"/>
  </w:footnote>
  <w:footnote w:id="2">
    <w:p w14:paraId="58D4C2A0" w14:textId="4478A2E0" w:rsidR="00CA674E" w:rsidRPr="003455EF" w:rsidRDefault="00CA674E" w:rsidP="00D20509">
      <w:pPr>
        <w:pStyle w:val="Notedebasdepage"/>
      </w:pPr>
      <w:r>
        <w:tab/>
      </w:r>
      <w:r w:rsidRPr="00112C71">
        <w:rPr>
          <w:rStyle w:val="Appelnotedebasdep"/>
          <w:sz w:val="20"/>
          <w:vertAlign w:val="baseline"/>
        </w:rPr>
        <w:t>*</w:t>
      </w:r>
      <w:r>
        <w:rPr>
          <w:sz w:val="20"/>
        </w:rPr>
        <w:tab/>
      </w:r>
      <w:r w:rsidRPr="00E20F18">
        <w:rPr>
          <w:szCs w:val="18"/>
        </w:rPr>
        <w:t>Conformément au paragraphe 1 de l’article 16 du P</w:t>
      </w:r>
      <w:r w:rsidRPr="003455EF">
        <w:rPr>
          <w:szCs w:val="18"/>
        </w:rPr>
        <w:t>rotocole facultatif, le présent rapport a été</w:t>
      </w:r>
      <w:r w:rsidRPr="00E20F18">
        <w:rPr>
          <w:szCs w:val="18"/>
        </w:rPr>
        <w:t xml:space="preserve"> communiqué à titre confidentiel au Bénin le 6 décembre 2016. </w:t>
      </w:r>
      <w:r w:rsidRPr="00E20F18">
        <w:t xml:space="preserve">Le </w:t>
      </w:r>
      <w:r w:rsidRPr="00E20F18">
        <w:rPr>
          <w:szCs w:val="18"/>
        </w:rPr>
        <w:t>26 juillet 2018</w:t>
      </w:r>
      <w:r w:rsidRPr="00E20F18">
        <w:t xml:space="preserve">, le Bénin a demandé au Sous-Comité de publier le rapport, </w:t>
      </w:r>
      <w:r w:rsidRPr="0087483B">
        <w:t>conformément au paragraphe 2 de l’article 16 du Protocole facultatif</w:t>
      </w:r>
      <w:r w:rsidR="004B4808">
        <w:t>.</w:t>
      </w:r>
    </w:p>
  </w:footnote>
  <w:footnote w:id="3">
    <w:p w14:paraId="753B64AA" w14:textId="071F6DA5" w:rsidR="00CA674E" w:rsidRPr="00112C71" w:rsidRDefault="00CA674E" w:rsidP="00D20509">
      <w:pPr>
        <w:pStyle w:val="Notedebasdepage"/>
      </w:pPr>
      <w:r w:rsidRPr="00E20F18">
        <w:tab/>
      </w:r>
      <w:r w:rsidRPr="00E20F18">
        <w:rPr>
          <w:rStyle w:val="Appelnotedebasdep"/>
          <w:sz w:val="20"/>
          <w:vertAlign w:val="baseline"/>
        </w:rPr>
        <w:t>**</w:t>
      </w:r>
      <w:r w:rsidRPr="00E20F18">
        <w:tab/>
      </w:r>
      <w:r w:rsidRPr="00E20F18">
        <w:rPr>
          <w:szCs w:val="18"/>
        </w:rPr>
        <w:t>Les annexes au présent rapport sont distribuées</w:t>
      </w:r>
      <w:r w:rsidRPr="0087483B">
        <w:rPr>
          <w:szCs w:val="18"/>
        </w:rPr>
        <w:t>, telles qu’elles ont été reçues, uniquement dans la langue de l’original.</w:t>
      </w:r>
    </w:p>
  </w:footnote>
  <w:footnote w:id="4">
    <w:p w14:paraId="2D9473C1" w14:textId="085E7151" w:rsidR="00CA674E" w:rsidRPr="00195117" w:rsidRDefault="00CA674E" w:rsidP="00D20509">
      <w:pPr>
        <w:pStyle w:val="Notedebasdepage"/>
      </w:pPr>
      <w:r w:rsidRPr="00195117">
        <w:tab/>
      </w:r>
      <w:r w:rsidRPr="0055350A">
        <w:rPr>
          <w:rStyle w:val="Appelnotedebasdep"/>
        </w:rPr>
        <w:footnoteRef/>
      </w:r>
      <w:r w:rsidR="0087012F">
        <w:tab/>
      </w:r>
      <w:r w:rsidRPr="00195117">
        <w:t xml:space="preserve">Voir liste en </w:t>
      </w:r>
      <w:r w:rsidRPr="003455EF">
        <w:t>a</w:t>
      </w:r>
      <w:r w:rsidRPr="00E20F18">
        <w:t>nnexe I</w:t>
      </w:r>
      <w:r w:rsidRPr="0087483B">
        <w:t>I</w:t>
      </w:r>
      <w:r w:rsidRPr="001075A5">
        <w:t>.</w:t>
      </w:r>
    </w:p>
  </w:footnote>
  <w:footnote w:id="5">
    <w:p w14:paraId="332986BD" w14:textId="539780DE" w:rsidR="00CA674E" w:rsidRPr="00195117" w:rsidRDefault="00CA674E" w:rsidP="00D20509">
      <w:pPr>
        <w:pStyle w:val="Notedebasdepage"/>
        <w:rPr>
          <w:vertAlign w:val="superscript"/>
        </w:rPr>
      </w:pPr>
      <w:r>
        <w:rPr>
          <w:vertAlign w:val="superscript"/>
        </w:rPr>
        <w:tab/>
      </w:r>
      <w:r w:rsidRPr="00195117">
        <w:rPr>
          <w:rStyle w:val="Appelnotedebasdep"/>
        </w:rPr>
        <w:footnoteRef/>
      </w:r>
      <w:r>
        <w:rPr>
          <w:vertAlign w:val="superscript"/>
        </w:rPr>
        <w:tab/>
      </w:r>
      <w:r w:rsidRPr="006C5D31">
        <w:t>Voir</w:t>
      </w:r>
      <w:r>
        <w:rPr>
          <w:vertAlign w:val="superscript"/>
        </w:rPr>
        <w:t xml:space="preserve"> </w:t>
      </w:r>
      <w:r w:rsidRPr="00195117">
        <w:t>CAT/OP/BEN/1</w:t>
      </w:r>
      <w:r w:rsidR="00E479D4">
        <w:t>.</w:t>
      </w:r>
    </w:p>
  </w:footnote>
  <w:footnote w:id="6">
    <w:p w14:paraId="5B22C00C" w14:textId="7ADDA5C5" w:rsidR="00CA674E" w:rsidRPr="00195117" w:rsidRDefault="00CA674E" w:rsidP="00D20509">
      <w:pPr>
        <w:pStyle w:val="Notedebasdepage"/>
      </w:pPr>
      <w:r>
        <w:tab/>
      </w:r>
      <w:r w:rsidRPr="00195117">
        <w:rPr>
          <w:rStyle w:val="Appelnotedebasdep"/>
        </w:rPr>
        <w:footnoteRef/>
      </w:r>
      <w:r>
        <w:tab/>
      </w:r>
      <w:r w:rsidRPr="003455EF">
        <w:t>R</w:t>
      </w:r>
      <w:r w:rsidRPr="00E20F18">
        <w:t xml:space="preserve">ésolution </w:t>
      </w:r>
      <w:r w:rsidRPr="0087483B">
        <w:t xml:space="preserve">70/175 </w:t>
      </w:r>
      <w:r w:rsidRPr="003455EF">
        <w:t>adoptée par l’Assemblée générale le 17 décembre 2015</w:t>
      </w:r>
      <w:r w:rsidRPr="0087483B">
        <w:t>, annexe. Voir les r</w:t>
      </w:r>
      <w:r w:rsidR="00D20509">
        <w:t>ègles 12 </w:t>
      </w:r>
      <w:r w:rsidRPr="0087483B">
        <w:t>à 16.</w:t>
      </w:r>
    </w:p>
  </w:footnote>
  <w:footnote w:id="7">
    <w:p w14:paraId="5F2E7FD3" w14:textId="47EC8C1B" w:rsidR="00CA674E" w:rsidRPr="00195117" w:rsidRDefault="00CA674E" w:rsidP="00D20509">
      <w:pPr>
        <w:pStyle w:val="Notedebasdepage"/>
      </w:pPr>
      <w:r w:rsidRPr="00195117">
        <w:tab/>
      </w:r>
      <w:r w:rsidRPr="00195117">
        <w:rPr>
          <w:rStyle w:val="Appelnotedebasdep"/>
        </w:rPr>
        <w:footnoteRef/>
      </w:r>
      <w:r w:rsidRPr="00195117">
        <w:tab/>
      </w:r>
      <w:r w:rsidRPr="00E20F18">
        <w:t>CAT/OP/BEN/1, par</w:t>
      </w:r>
      <w:r w:rsidRPr="003455EF">
        <w:t>. 83.</w:t>
      </w:r>
    </w:p>
  </w:footnote>
  <w:footnote w:id="8">
    <w:p w14:paraId="15EA97F9" w14:textId="5E8527CE" w:rsidR="00CA674E" w:rsidRPr="00195117" w:rsidRDefault="00CA674E" w:rsidP="00D20509">
      <w:pPr>
        <w:pStyle w:val="Notedebasdepage"/>
      </w:pPr>
      <w:r>
        <w:rPr>
          <w:vertAlign w:val="superscript"/>
        </w:rPr>
        <w:tab/>
      </w:r>
      <w:r w:rsidRPr="00195117">
        <w:rPr>
          <w:rStyle w:val="Appelnotedebasdep"/>
        </w:rPr>
        <w:footnoteRef/>
      </w:r>
      <w:r>
        <w:rPr>
          <w:vertAlign w:val="superscript"/>
        </w:rPr>
        <w:tab/>
      </w:r>
      <w:r w:rsidRPr="00E20F18">
        <w:t xml:space="preserve">Règles </w:t>
      </w:r>
      <w:r w:rsidRPr="003455EF">
        <w:t>37 à 46</w:t>
      </w:r>
      <w:r>
        <w:t xml:space="preserve"> des Règles Nelson Mandela</w:t>
      </w:r>
      <w:r w:rsidRPr="00195117">
        <w:t>.</w:t>
      </w:r>
    </w:p>
  </w:footnote>
  <w:footnote w:id="9">
    <w:p w14:paraId="63D4E886" w14:textId="4078F557" w:rsidR="00CA674E" w:rsidRPr="00195117" w:rsidRDefault="00CA674E" w:rsidP="00D20509">
      <w:pPr>
        <w:pStyle w:val="Notedebasdepage"/>
      </w:pPr>
      <w:r>
        <w:tab/>
      </w:r>
      <w:r w:rsidRPr="00195117">
        <w:rPr>
          <w:rStyle w:val="Appelnotedebasdep"/>
        </w:rPr>
        <w:footnoteRef/>
      </w:r>
      <w:r>
        <w:tab/>
      </w:r>
      <w:r w:rsidRPr="00E20F18">
        <w:t xml:space="preserve">Règles </w:t>
      </w:r>
      <w:r w:rsidRPr="003455EF">
        <w:t>24 à 3</w:t>
      </w:r>
      <w:r w:rsidR="00177045">
        <w:t>5</w:t>
      </w:r>
      <w:r w:rsidRPr="00195117">
        <w:t>.</w:t>
      </w:r>
    </w:p>
  </w:footnote>
  <w:footnote w:id="10">
    <w:p w14:paraId="79E937F0" w14:textId="7FBA0A8C" w:rsidR="00CA674E" w:rsidRPr="00195117" w:rsidRDefault="00CA674E" w:rsidP="00D20509">
      <w:pPr>
        <w:pStyle w:val="Notedebasdepage"/>
      </w:pPr>
      <w:r>
        <w:tab/>
      </w:r>
      <w:r w:rsidRPr="00195117">
        <w:rPr>
          <w:rStyle w:val="Appelnotedebasdep"/>
        </w:rPr>
        <w:footnoteRef/>
      </w:r>
      <w:r>
        <w:tab/>
      </w:r>
      <w:r w:rsidRPr="00195117">
        <w:t>Art</w:t>
      </w:r>
      <w:r>
        <w:t>icle</w:t>
      </w:r>
      <w:r w:rsidRPr="00195117">
        <w:t xml:space="preserve"> 11 du Pacte international relatif aux droits civils et politiques auq</w:t>
      </w:r>
      <w:r w:rsidR="00083ACE">
        <w:t>uel le Bénin est partie : « Nul </w:t>
      </w:r>
      <w:r w:rsidRPr="00195117">
        <w:t xml:space="preserve">ne peut être emprisonné pour la seule raison qu’il n’est pas en mesure d’exécuter une obligation contractuelle ». </w:t>
      </w:r>
    </w:p>
  </w:footnote>
  <w:footnote w:id="11">
    <w:p w14:paraId="0313FB89" w14:textId="0C53F0A9" w:rsidR="00CA674E" w:rsidRPr="00E20F18" w:rsidRDefault="00CA674E" w:rsidP="00D20509">
      <w:pPr>
        <w:pStyle w:val="Notedebasdepage"/>
      </w:pPr>
      <w:r>
        <w:tab/>
      </w:r>
      <w:r w:rsidRPr="00195117">
        <w:rPr>
          <w:rStyle w:val="Appelnotedebasdep"/>
        </w:rPr>
        <w:footnoteRef/>
      </w:r>
      <w:r>
        <w:tab/>
      </w:r>
      <w:r w:rsidRPr="00195117">
        <w:t xml:space="preserve">Règles des Nations Unies pour la protection des mineurs privés de liberté, adoptées par l’Assemblée générale dans sa résolution 45/113 du </w:t>
      </w:r>
      <w:r w:rsidRPr="003455EF">
        <w:t>14 décembre 1990, par</w:t>
      </w:r>
      <w:r w:rsidRPr="00E20F18">
        <w:t>. 1 et 2.</w:t>
      </w:r>
    </w:p>
  </w:footnote>
  <w:footnote w:id="12">
    <w:p w14:paraId="30A5684C" w14:textId="7D44D476" w:rsidR="00CA674E" w:rsidRPr="00195117" w:rsidRDefault="00CA674E" w:rsidP="00D20509">
      <w:pPr>
        <w:pStyle w:val="Notedebasdepage"/>
      </w:pPr>
      <w:r w:rsidRPr="00E20F18">
        <w:tab/>
      </w:r>
      <w:r w:rsidRPr="003455EF">
        <w:rPr>
          <w:rStyle w:val="Appelnotedebasdep"/>
        </w:rPr>
        <w:footnoteRef/>
      </w:r>
      <w:r w:rsidRPr="003455EF">
        <w:tab/>
        <w:t xml:space="preserve">Voir </w:t>
      </w:r>
      <w:r w:rsidRPr="00E20F18">
        <w:t>le cinquième rapport annuel du Sous-Comité (CAT/C/48/3), par. 77 à 82, sur les liens entre l’aide juridictionnelle, un système public de défense et la prévention de la torture.</w:t>
      </w:r>
    </w:p>
  </w:footnote>
  <w:footnote w:id="13">
    <w:p w14:paraId="549F07EC" w14:textId="578A5038" w:rsidR="00CA674E" w:rsidRPr="00F14A01" w:rsidRDefault="00CA674E" w:rsidP="00D20509">
      <w:pPr>
        <w:pStyle w:val="Notedebasdepage"/>
        <w:rPr>
          <w:lang w:val="en-GB"/>
        </w:rPr>
      </w:pPr>
      <w:r w:rsidRPr="001400AF">
        <w:tab/>
      </w:r>
      <w:r w:rsidRPr="001400AF">
        <w:rPr>
          <w:rStyle w:val="Appelnotedebasdep"/>
        </w:rPr>
        <w:footnoteRef/>
      </w:r>
      <w:r w:rsidRPr="00F14A01">
        <w:rPr>
          <w:lang w:val="en-GB"/>
        </w:rPr>
        <w:t xml:space="preserve"> </w:t>
      </w:r>
      <w:r w:rsidRPr="00F14A01">
        <w:rPr>
          <w:lang w:val="en-GB"/>
        </w:rPr>
        <w:tab/>
      </w:r>
      <w:r w:rsidRPr="00E20F18">
        <w:rPr>
          <w:lang w:val="en-GB"/>
        </w:rPr>
        <w:t>CAT/OP/BEN/1/Add.1</w:t>
      </w:r>
      <w:r w:rsidRPr="003455EF">
        <w:rPr>
          <w:lang w:val="en-GB"/>
        </w:rPr>
        <w:t xml:space="preserve">, </w:t>
      </w:r>
      <w:r w:rsidRPr="00E20F18">
        <w:rPr>
          <w:lang w:val="en-GB"/>
        </w:rPr>
        <w:t>par.</w:t>
      </w:r>
      <w:r w:rsidRPr="0087483B">
        <w:rPr>
          <w:lang w:val="en-GB"/>
        </w:rPr>
        <w:t xml:space="preserve"> </w:t>
      </w:r>
      <w:r w:rsidRPr="003455EF">
        <w:rPr>
          <w:lang w:val="en-GB"/>
        </w:rPr>
        <w:t>62</w:t>
      </w:r>
      <w:r w:rsidRPr="0087483B">
        <w:rPr>
          <w:lang w:val="en-GB"/>
        </w:rPr>
        <w:t>.</w:t>
      </w:r>
    </w:p>
  </w:footnote>
  <w:footnote w:id="14">
    <w:p w14:paraId="73FFD12E" w14:textId="420B2C67" w:rsidR="00CA674E" w:rsidRPr="00E20F18" w:rsidRDefault="00CA674E" w:rsidP="00D20509">
      <w:pPr>
        <w:pStyle w:val="Notedebasdepage"/>
      </w:pPr>
      <w:r w:rsidRPr="00F14A01">
        <w:rPr>
          <w:vertAlign w:val="superscript"/>
          <w:lang w:val="en-GB"/>
        </w:rPr>
        <w:tab/>
      </w:r>
      <w:r w:rsidRPr="00195117">
        <w:rPr>
          <w:rStyle w:val="Appelnotedebasdep"/>
        </w:rPr>
        <w:footnoteRef/>
      </w:r>
      <w:r>
        <w:rPr>
          <w:vertAlign w:val="superscript"/>
        </w:rPr>
        <w:tab/>
      </w:r>
      <w:r w:rsidRPr="00195117">
        <w:t xml:space="preserve">Le Sous-Comité a donné </w:t>
      </w:r>
      <w:r>
        <w:t xml:space="preserve">la </w:t>
      </w:r>
      <w:r w:rsidRPr="00195117">
        <w:t xml:space="preserve">définition </w:t>
      </w:r>
      <w:r w:rsidRPr="003455EF">
        <w:t>suivante</w:t>
      </w:r>
      <w:r w:rsidRPr="00E20F18">
        <w:t> : « La corruption peut s’entendre, au sens large, de l’usage malhonnête ou abusif du pouvoir dans son intérêt personnel ou pour obtenir un avantage indu, ou dans l’intérêt d’un tiers ou pour obtenir un tel avantage pour un tiers », septième rapport annuel du Sous-Comité (CAT/C/52/2), par. 73.</w:t>
      </w:r>
      <w:r w:rsidRPr="00E20F18" w:rsidDel="00EF387E">
        <w:t xml:space="preserve"> </w:t>
      </w:r>
    </w:p>
  </w:footnote>
  <w:footnote w:id="15">
    <w:p w14:paraId="3808D9DB" w14:textId="0E764603" w:rsidR="00CA674E" w:rsidRPr="00E20F18" w:rsidRDefault="00CA674E" w:rsidP="00D20509">
      <w:pPr>
        <w:pStyle w:val="Notedebasdepage"/>
      </w:pPr>
      <w:r w:rsidRPr="00E20F18">
        <w:tab/>
      </w:r>
      <w:r w:rsidRPr="003455EF">
        <w:rPr>
          <w:rStyle w:val="Appelnotedebasdep"/>
        </w:rPr>
        <w:footnoteRef/>
      </w:r>
      <w:r w:rsidRPr="00545722">
        <w:tab/>
        <w:t xml:space="preserve">CAT/OP/BEN/1/Add.1, par. </w:t>
      </w:r>
      <w:r w:rsidRPr="00E20F18">
        <w:t>31 à 44.</w:t>
      </w:r>
    </w:p>
  </w:footnote>
  <w:footnote w:id="16">
    <w:p w14:paraId="469A820C" w14:textId="74518BF5" w:rsidR="00CA674E" w:rsidRPr="00195117" w:rsidRDefault="00CA674E" w:rsidP="00D20509">
      <w:pPr>
        <w:pStyle w:val="Notedebasdepage"/>
      </w:pPr>
      <w:r w:rsidRPr="00E20F18">
        <w:rPr>
          <w:vertAlign w:val="superscript"/>
        </w:rPr>
        <w:tab/>
      </w:r>
      <w:r w:rsidRPr="003455EF">
        <w:rPr>
          <w:rStyle w:val="Appelnotedebasdep"/>
        </w:rPr>
        <w:footnoteRef/>
      </w:r>
      <w:r w:rsidR="002E4A87">
        <w:rPr>
          <w:vertAlign w:val="superscript"/>
        </w:rPr>
        <w:tab/>
      </w:r>
      <w:r w:rsidRPr="00E20F18">
        <w:t>Règles 54 à 57 des Règles Nelson Mandela.</w:t>
      </w:r>
    </w:p>
  </w:footnote>
  <w:footnote w:id="17">
    <w:p w14:paraId="307BD7E2" w14:textId="2CC536AC" w:rsidR="00CA674E" w:rsidRPr="00195117" w:rsidRDefault="00CA674E" w:rsidP="00D20509">
      <w:pPr>
        <w:pStyle w:val="Notedebasdepage"/>
      </w:pPr>
      <w:r>
        <w:tab/>
      </w:r>
      <w:r w:rsidRPr="00195117">
        <w:rPr>
          <w:rStyle w:val="Appelnotedebasdep"/>
        </w:rPr>
        <w:footnoteRef/>
      </w:r>
      <w:r>
        <w:tab/>
      </w:r>
      <w:r w:rsidRPr="00E20F18">
        <w:t>CAT/OP/BEN/1, par</w:t>
      </w:r>
      <w:r w:rsidRPr="003455EF">
        <w:t>. 266</w:t>
      </w:r>
      <w:r w:rsidRPr="00E20F18">
        <w:t xml:space="preserve"> à 279.</w:t>
      </w:r>
    </w:p>
  </w:footnote>
  <w:footnote w:id="18">
    <w:p w14:paraId="1BB80096" w14:textId="4579BBE4" w:rsidR="00063A96" w:rsidRDefault="00063A96" w:rsidP="00D20509">
      <w:pPr>
        <w:pStyle w:val="Notedebasdepage"/>
        <w:ind w:hanging="567"/>
      </w:pPr>
      <w:r>
        <w:tab/>
      </w:r>
      <w:r>
        <w:rPr>
          <w:rStyle w:val="Appelnotedebasdep"/>
        </w:rPr>
        <w:footnoteRef/>
      </w:r>
      <w:r>
        <w:tab/>
        <w:t>Ibid., par. 35 à 50.</w:t>
      </w:r>
    </w:p>
  </w:footnote>
  <w:footnote w:id="19">
    <w:p w14:paraId="1A15C48F" w14:textId="6CB69507" w:rsidR="00CA674E" w:rsidRPr="00E20F18" w:rsidRDefault="00CA674E" w:rsidP="00D20509">
      <w:pPr>
        <w:pStyle w:val="Notedebasdepage"/>
      </w:pPr>
      <w:r>
        <w:tab/>
      </w:r>
      <w:r w:rsidRPr="00195117">
        <w:rPr>
          <w:rStyle w:val="Appelnotedebasdep"/>
        </w:rPr>
        <w:footnoteRef/>
      </w:r>
      <w:r>
        <w:tab/>
      </w:r>
      <w:r w:rsidRPr="003455EF">
        <w:t xml:space="preserve">Règles </w:t>
      </w:r>
      <w:r w:rsidRPr="00E20F18">
        <w:t>83 à 85 des Règles Nelson Mandela.</w:t>
      </w:r>
    </w:p>
  </w:footnote>
  <w:footnote w:id="20">
    <w:p w14:paraId="5022520D" w14:textId="76D3ED47" w:rsidR="00CA674E" w:rsidRPr="00195117" w:rsidRDefault="00CA674E" w:rsidP="00D20509">
      <w:pPr>
        <w:pStyle w:val="Notedebasdepage"/>
      </w:pPr>
      <w:r w:rsidRPr="00E20F18">
        <w:tab/>
      </w:r>
      <w:r w:rsidRPr="003455EF">
        <w:rPr>
          <w:rStyle w:val="Appelnotedebasdep"/>
        </w:rPr>
        <w:footnoteRef/>
      </w:r>
      <w:r w:rsidR="003F6A52">
        <w:tab/>
      </w:r>
      <w:r w:rsidRPr="00E20F18">
        <w:t>Règles 74 à 76 des</w:t>
      </w:r>
      <w:r>
        <w:t xml:space="preserve"> Règles Nelson Mandela</w:t>
      </w:r>
      <w:r w:rsidRPr="0019511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91A8" w14:textId="75BAD79B" w:rsidR="00CA674E" w:rsidRPr="00112C71" w:rsidRDefault="00CA674E">
    <w:pPr>
      <w:pStyle w:val="En-tte"/>
    </w:pPr>
    <w:r>
      <w:t>CAT/OP/BEN/3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40246" w14:textId="1BEE5DAE" w:rsidR="00CA674E" w:rsidRPr="00112C71" w:rsidRDefault="00CA674E" w:rsidP="00112C71">
    <w:pPr>
      <w:pStyle w:val="En-tte"/>
      <w:jc w:val="right"/>
    </w:pPr>
    <w:r>
      <w:t>CAT/OP/BEN/3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946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449C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7A4C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8E8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A1E4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0745F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2E3E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7A7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54AB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5058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8243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53BEF"/>
    <w:multiLevelType w:val="hybridMultilevel"/>
    <w:tmpl w:val="F422622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2FE0574"/>
    <w:multiLevelType w:val="hybridMultilevel"/>
    <w:tmpl w:val="E2D22276"/>
    <w:lvl w:ilvl="0" w:tplc="7516648E">
      <w:start w:val="1"/>
      <w:numFmt w:val="upperLetter"/>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03F2036B"/>
    <w:multiLevelType w:val="hybridMultilevel"/>
    <w:tmpl w:val="1EB08DAE"/>
    <w:lvl w:ilvl="0" w:tplc="BE4A9D1A">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AD3164"/>
    <w:multiLevelType w:val="hybridMultilevel"/>
    <w:tmpl w:val="DB68D920"/>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0F0E3FF7"/>
    <w:multiLevelType w:val="hybridMultilevel"/>
    <w:tmpl w:val="41A01DE2"/>
    <w:lvl w:ilvl="0" w:tplc="845E733C">
      <w:start w:val="1"/>
      <w:numFmt w:val="upperLetter"/>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15:restartNumberingAfterBreak="0">
    <w:nsid w:val="104551B6"/>
    <w:multiLevelType w:val="hybridMultilevel"/>
    <w:tmpl w:val="2AF2E634"/>
    <w:lvl w:ilvl="0" w:tplc="EBC47C8E">
      <w:start w:val="1"/>
      <w:numFmt w:val="decimal"/>
      <w:lvlText w:val="%1."/>
      <w:lvlJc w:val="left"/>
      <w:pPr>
        <w:ind w:left="1636" w:hanging="360"/>
      </w:pPr>
      <w:rPr>
        <w:b w:val="0"/>
        <w:i w:val="0"/>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10E54D75"/>
    <w:multiLevelType w:val="hybridMultilevel"/>
    <w:tmpl w:val="8F1CAF08"/>
    <w:lvl w:ilvl="0" w:tplc="97F29854">
      <w:start w:val="1"/>
      <w:numFmt w:val="lowerLetter"/>
      <w:lvlText w:val="(%1)"/>
      <w:lvlJc w:val="left"/>
      <w:pPr>
        <w:ind w:left="1854" w:hanging="360"/>
      </w:pPr>
      <w:rPr>
        <w:rFonts w:eastAsia="Times New Roman" w:hint="default"/>
      </w:rPr>
    </w:lvl>
    <w:lvl w:ilvl="1" w:tplc="97F29854">
      <w:start w:val="1"/>
      <w:numFmt w:val="lowerLetter"/>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AED331E"/>
    <w:multiLevelType w:val="hybridMultilevel"/>
    <w:tmpl w:val="1CFC5E8E"/>
    <w:lvl w:ilvl="0" w:tplc="B1CC5848">
      <w:start w:val="4"/>
      <w:numFmt w:val="low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BD31675"/>
    <w:multiLevelType w:val="hybridMultilevel"/>
    <w:tmpl w:val="712655F0"/>
    <w:lvl w:ilvl="0" w:tplc="58DA13C2">
      <w:start w:val="3"/>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15:restartNumberingAfterBreak="0">
    <w:nsid w:val="22AF4E26"/>
    <w:multiLevelType w:val="hybridMultilevel"/>
    <w:tmpl w:val="45682638"/>
    <w:lvl w:ilvl="0" w:tplc="97EE1BF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23E70BE8"/>
    <w:multiLevelType w:val="hybridMultilevel"/>
    <w:tmpl w:val="0332018E"/>
    <w:lvl w:ilvl="0" w:tplc="97F29854">
      <w:start w:val="1"/>
      <w:numFmt w:val="lowerLetter"/>
      <w:lvlText w:val="(%1)"/>
      <w:lvlJc w:val="left"/>
      <w:pPr>
        <w:ind w:left="2574"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5A41A6"/>
    <w:multiLevelType w:val="hybridMultilevel"/>
    <w:tmpl w:val="62C6D8DC"/>
    <w:lvl w:ilvl="0" w:tplc="5BD4551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63E5FF5"/>
    <w:multiLevelType w:val="hybridMultilevel"/>
    <w:tmpl w:val="FDF09704"/>
    <w:lvl w:ilvl="0" w:tplc="0C6A8C82">
      <w:start w:val="1"/>
      <w:numFmt w:val="upperLetter"/>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33661BA6"/>
    <w:multiLevelType w:val="hybridMultilevel"/>
    <w:tmpl w:val="B87AC8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77A7C55"/>
    <w:multiLevelType w:val="hybridMultilevel"/>
    <w:tmpl w:val="DB68D920"/>
    <w:lvl w:ilvl="0" w:tplc="0809000F">
      <w:start w:val="1"/>
      <w:numFmt w:val="decimal"/>
      <w:lvlText w:val="%1."/>
      <w:lvlJc w:val="left"/>
      <w:pPr>
        <w:ind w:left="1069"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15:restartNumberingAfterBreak="0">
    <w:nsid w:val="38F7182C"/>
    <w:multiLevelType w:val="hybridMultilevel"/>
    <w:tmpl w:val="76040508"/>
    <w:lvl w:ilvl="0" w:tplc="788866D6">
      <w:start w:val="1"/>
      <w:numFmt w:val="upperLetter"/>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7" w15:restartNumberingAfterBreak="0">
    <w:nsid w:val="3ACA2900"/>
    <w:multiLevelType w:val="hybridMultilevel"/>
    <w:tmpl w:val="DB68D920"/>
    <w:lvl w:ilvl="0" w:tplc="0809000F">
      <w:start w:val="1"/>
      <w:numFmt w:val="decimal"/>
      <w:lvlText w:val="%1."/>
      <w:lvlJc w:val="left"/>
      <w:pPr>
        <w:ind w:left="1069"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3ACF4EB2"/>
    <w:multiLevelType w:val="hybridMultilevel"/>
    <w:tmpl w:val="90660C6E"/>
    <w:lvl w:ilvl="0" w:tplc="409C197A">
      <w:start w:val="1"/>
      <w:numFmt w:val="bullet"/>
      <w:pStyle w:val="Bullet2G"/>
      <w:lvlText w:val="•"/>
      <w:lvlJc w:val="left"/>
      <w:pPr>
        <w:tabs>
          <w:tab w:val="num" w:pos="2268"/>
        </w:tabs>
        <w:ind w:left="2268" w:hanging="17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CD31A11"/>
    <w:multiLevelType w:val="hybridMultilevel"/>
    <w:tmpl w:val="6FF0A5F6"/>
    <w:lvl w:ilvl="0" w:tplc="97F29854">
      <w:start w:val="1"/>
      <w:numFmt w:val="lowerLetter"/>
      <w:lvlText w:val="(%1)"/>
      <w:lvlJc w:val="left"/>
      <w:pPr>
        <w:ind w:left="1854" w:hanging="360"/>
      </w:pPr>
      <w:rPr>
        <w:rFonts w:eastAsia="Times New Roman" w:hint="default"/>
      </w:rPr>
    </w:lvl>
    <w:lvl w:ilvl="1" w:tplc="97F29854">
      <w:start w:val="1"/>
      <w:numFmt w:val="lowerLetter"/>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D4F402D"/>
    <w:multiLevelType w:val="hybridMultilevel"/>
    <w:tmpl w:val="5A1C8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F2D5638"/>
    <w:multiLevelType w:val="hybridMultilevel"/>
    <w:tmpl w:val="DB68D920"/>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42376C4C"/>
    <w:multiLevelType w:val="hybridMultilevel"/>
    <w:tmpl w:val="BBDC9308"/>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45631761"/>
    <w:multiLevelType w:val="hybridMultilevel"/>
    <w:tmpl w:val="4170B9BC"/>
    <w:lvl w:ilvl="0" w:tplc="97F29854">
      <w:start w:val="1"/>
      <w:numFmt w:val="lowerLetter"/>
      <w:lvlText w:val="(%1)"/>
      <w:lvlJc w:val="left"/>
      <w:pPr>
        <w:ind w:left="1854" w:hanging="360"/>
      </w:pPr>
      <w:rPr>
        <w:rFonts w:eastAsia="Times New Roman" w:hint="default"/>
      </w:rPr>
    </w:lvl>
    <w:lvl w:ilvl="1" w:tplc="97F29854">
      <w:start w:val="1"/>
      <w:numFmt w:val="lowerLetter"/>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46F317B3"/>
    <w:multiLevelType w:val="hybridMultilevel"/>
    <w:tmpl w:val="38628EE0"/>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5" w15:restartNumberingAfterBreak="0">
    <w:nsid w:val="49C847E5"/>
    <w:multiLevelType w:val="hybridMultilevel"/>
    <w:tmpl w:val="DE0E3B7E"/>
    <w:lvl w:ilvl="0" w:tplc="2CF03A2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4B734F86"/>
    <w:multiLevelType w:val="hybridMultilevel"/>
    <w:tmpl w:val="511AE234"/>
    <w:lvl w:ilvl="0" w:tplc="97F29854">
      <w:start w:val="1"/>
      <w:numFmt w:val="lowerLetter"/>
      <w:lvlText w:val="(%1)"/>
      <w:lvlJc w:val="left"/>
      <w:pPr>
        <w:ind w:left="1854" w:hanging="360"/>
      </w:pPr>
      <w:rPr>
        <w:rFonts w:eastAsia="Times New Roman" w:hint="default"/>
      </w:rPr>
    </w:lvl>
    <w:lvl w:ilvl="1" w:tplc="7A06C0F6">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5BB45225"/>
    <w:multiLevelType w:val="hybridMultilevel"/>
    <w:tmpl w:val="DB68D92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4AA106D"/>
    <w:multiLevelType w:val="hybridMultilevel"/>
    <w:tmpl w:val="44364DDA"/>
    <w:lvl w:ilvl="0" w:tplc="97F29854">
      <w:start w:val="1"/>
      <w:numFmt w:val="lowerLetter"/>
      <w:lvlText w:val="(%1)"/>
      <w:lvlJc w:val="left"/>
      <w:pPr>
        <w:ind w:left="1854" w:hanging="360"/>
      </w:pPr>
      <w:rPr>
        <w:rFonts w:eastAsia="Times New Roman" w:hint="default"/>
      </w:rPr>
    </w:lvl>
    <w:lvl w:ilvl="1" w:tplc="2F6E11A6">
      <w:start w:val="1"/>
      <w:numFmt w:val="lowerLetter"/>
      <w:lvlText w:val="(%2)"/>
      <w:lvlJc w:val="left"/>
      <w:pPr>
        <w:ind w:left="1920" w:hanging="360"/>
      </w:pPr>
      <w:rPr>
        <w:rFonts w:eastAsia="Times New Roman" w:hint="default"/>
        <w:i/>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510504C"/>
    <w:multiLevelType w:val="hybridMultilevel"/>
    <w:tmpl w:val="DB68D920"/>
    <w:lvl w:ilvl="0" w:tplc="0809000F">
      <w:start w:val="1"/>
      <w:numFmt w:val="decimal"/>
      <w:lvlText w:val="%1."/>
      <w:lvlJc w:val="left"/>
      <w:pPr>
        <w:ind w:left="1069"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15:restartNumberingAfterBreak="0">
    <w:nsid w:val="65F9614B"/>
    <w:multiLevelType w:val="hybridMultilevel"/>
    <w:tmpl w:val="735AC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AD07B2"/>
    <w:multiLevelType w:val="hybridMultilevel"/>
    <w:tmpl w:val="B3D6BEE4"/>
    <w:lvl w:ilvl="0" w:tplc="C20A8CD2">
      <w:start w:val="1"/>
      <w:numFmt w:val="bullet"/>
      <w:pStyle w:val="Bullet1G"/>
      <w:lvlText w:val="•"/>
      <w:lvlJc w:val="left"/>
      <w:pPr>
        <w:tabs>
          <w:tab w:val="num" w:pos="1701"/>
        </w:tabs>
        <w:ind w:left="1701" w:hanging="170"/>
      </w:pPr>
      <w:rPr>
        <w:rFonts w:ascii="Times New Roman" w:hAnsi="Times New Roman" w:cs="Times New Roman" w:hint="default"/>
        <w:sz w:val="20"/>
        <w:szCs w:val="20"/>
        <w:vertAlign w:val="base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A0B0572"/>
    <w:multiLevelType w:val="hybridMultilevel"/>
    <w:tmpl w:val="A60C8EC4"/>
    <w:lvl w:ilvl="0" w:tplc="5956BBEA">
      <w:start w:val="3"/>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3" w15:restartNumberingAfterBreak="0">
    <w:nsid w:val="6CB64463"/>
    <w:multiLevelType w:val="hybridMultilevel"/>
    <w:tmpl w:val="C132458C"/>
    <w:lvl w:ilvl="0" w:tplc="6F42D834">
      <w:start w:val="1"/>
      <w:numFmt w:val="decimal"/>
      <w:lvlText w:val="%1."/>
      <w:lvlJc w:val="left"/>
      <w:pPr>
        <w:ind w:left="930" w:hanging="57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5" w15:restartNumberingAfterBreak="0">
    <w:nsid w:val="7FB7697A"/>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28"/>
  </w:num>
  <w:num w:numId="3">
    <w:abstractNumId w:val="16"/>
  </w:num>
  <w:num w:numId="4">
    <w:abstractNumId w:val="36"/>
  </w:num>
  <w:num w:numId="5">
    <w:abstractNumId w:val="32"/>
  </w:num>
  <w:num w:numId="6">
    <w:abstractNumId w:val="17"/>
  </w:num>
  <w:num w:numId="7">
    <w:abstractNumId w:val="38"/>
  </w:num>
  <w:num w:numId="8">
    <w:abstractNumId w:val="29"/>
  </w:num>
  <w:num w:numId="9">
    <w:abstractNumId w:val="33"/>
  </w:num>
  <w:num w:numId="10">
    <w:abstractNumId w:val="24"/>
  </w:num>
  <w:num w:numId="11">
    <w:abstractNumId w:val="11"/>
  </w:num>
  <w:num w:numId="12">
    <w:abstractNumId w:val="37"/>
  </w:num>
  <w:num w:numId="13">
    <w:abstractNumId w:val="18"/>
  </w:num>
  <w:num w:numId="14">
    <w:abstractNumId w:val="15"/>
  </w:num>
  <w:num w:numId="15">
    <w:abstractNumId w:val="44"/>
  </w:num>
  <w:num w:numId="16">
    <w:abstractNumId w:val="13"/>
  </w:num>
  <w:num w:numId="17">
    <w:abstractNumId w:val="21"/>
  </w:num>
  <w:num w:numId="18">
    <w:abstractNumId w:val="26"/>
  </w:num>
  <w:num w:numId="19">
    <w:abstractNumId w:val="42"/>
  </w:num>
  <w:num w:numId="20">
    <w:abstractNumId w:val="34"/>
  </w:num>
  <w:num w:numId="21">
    <w:abstractNumId w:val="19"/>
  </w:num>
  <w:num w:numId="22">
    <w:abstractNumId w:val="43"/>
  </w:num>
  <w:num w:numId="23">
    <w:abstractNumId w:val="31"/>
  </w:num>
  <w:num w:numId="24">
    <w:abstractNumId w:val="14"/>
  </w:num>
  <w:num w:numId="25">
    <w:abstractNumId w:val="45"/>
  </w:num>
  <w:num w:numId="26">
    <w:abstractNumId w:val="22"/>
  </w:num>
  <w:num w:numId="27">
    <w:abstractNumId w:val="25"/>
  </w:num>
  <w:num w:numId="28">
    <w:abstractNumId w:val="39"/>
  </w:num>
  <w:num w:numId="29">
    <w:abstractNumId w:val="27"/>
  </w:num>
  <w:num w:numId="30">
    <w:abstractNumId w:val="23"/>
  </w:num>
  <w:num w:numId="31">
    <w:abstractNumId w:val="12"/>
  </w:num>
  <w:num w:numId="32">
    <w:abstractNumId w:val="35"/>
  </w:num>
  <w:num w:numId="33">
    <w:abstractNumId w:val="20"/>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0"/>
  </w:num>
  <w:num w:numId="45">
    <w:abstractNumId w:val="30"/>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es-ES" w:vendorID="64" w:dllVersion="6" w:nlCheck="1" w:checkStyle="1"/>
  <w:activeWritingStyle w:appName="MSWord" w:lang="pt-BR"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C3"/>
    <w:rsid w:val="00004E3D"/>
    <w:rsid w:val="00005EFB"/>
    <w:rsid w:val="00013787"/>
    <w:rsid w:val="00014286"/>
    <w:rsid w:val="00016AC5"/>
    <w:rsid w:val="0001740B"/>
    <w:rsid w:val="00020FD7"/>
    <w:rsid w:val="0002101F"/>
    <w:rsid w:val="000306C3"/>
    <w:rsid w:val="0005698B"/>
    <w:rsid w:val="00056F79"/>
    <w:rsid w:val="00063A96"/>
    <w:rsid w:val="00066D63"/>
    <w:rsid w:val="00083ACE"/>
    <w:rsid w:val="00094AC1"/>
    <w:rsid w:val="000A6033"/>
    <w:rsid w:val="000C0AA8"/>
    <w:rsid w:val="000D0E2A"/>
    <w:rsid w:val="000D4573"/>
    <w:rsid w:val="000E0FC3"/>
    <w:rsid w:val="000F29EA"/>
    <w:rsid w:val="000F41F2"/>
    <w:rsid w:val="000F71FA"/>
    <w:rsid w:val="00104D05"/>
    <w:rsid w:val="001075A5"/>
    <w:rsid w:val="001075E5"/>
    <w:rsid w:val="00110DF0"/>
    <w:rsid w:val="00112C71"/>
    <w:rsid w:val="001130A2"/>
    <w:rsid w:val="00123B15"/>
    <w:rsid w:val="00134822"/>
    <w:rsid w:val="00135B4B"/>
    <w:rsid w:val="00135D7A"/>
    <w:rsid w:val="001400AF"/>
    <w:rsid w:val="00140F4C"/>
    <w:rsid w:val="00156DE7"/>
    <w:rsid w:val="00160540"/>
    <w:rsid w:val="0016278A"/>
    <w:rsid w:val="001643BB"/>
    <w:rsid w:val="00164811"/>
    <w:rsid w:val="00165467"/>
    <w:rsid w:val="00177045"/>
    <w:rsid w:val="00186DAB"/>
    <w:rsid w:val="001872BE"/>
    <w:rsid w:val="00190367"/>
    <w:rsid w:val="00192EEB"/>
    <w:rsid w:val="001944DC"/>
    <w:rsid w:val="00195117"/>
    <w:rsid w:val="001A20FB"/>
    <w:rsid w:val="001D1C14"/>
    <w:rsid w:val="001D42AA"/>
    <w:rsid w:val="001D66AE"/>
    <w:rsid w:val="001D7F8A"/>
    <w:rsid w:val="001E1180"/>
    <w:rsid w:val="001E3FEB"/>
    <w:rsid w:val="001E463C"/>
    <w:rsid w:val="001E4A02"/>
    <w:rsid w:val="001E62AA"/>
    <w:rsid w:val="001E75E5"/>
    <w:rsid w:val="001F216C"/>
    <w:rsid w:val="001F53E9"/>
    <w:rsid w:val="00202484"/>
    <w:rsid w:val="00202BED"/>
    <w:rsid w:val="00203B6D"/>
    <w:rsid w:val="00213C09"/>
    <w:rsid w:val="00223B78"/>
    <w:rsid w:val="00225A8C"/>
    <w:rsid w:val="002302C8"/>
    <w:rsid w:val="00236528"/>
    <w:rsid w:val="00243C86"/>
    <w:rsid w:val="0024476E"/>
    <w:rsid w:val="002508B9"/>
    <w:rsid w:val="00260315"/>
    <w:rsid w:val="0026463D"/>
    <w:rsid w:val="002659F1"/>
    <w:rsid w:val="00265BE3"/>
    <w:rsid w:val="00271986"/>
    <w:rsid w:val="00287E79"/>
    <w:rsid w:val="00290597"/>
    <w:rsid w:val="00290BB5"/>
    <w:rsid w:val="002928F9"/>
    <w:rsid w:val="0029699D"/>
    <w:rsid w:val="002A5D07"/>
    <w:rsid w:val="002A77DF"/>
    <w:rsid w:val="002E4A87"/>
    <w:rsid w:val="002F2629"/>
    <w:rsid w:val="002F44AD"/>
    <w:rsid w:val="002F7DB0"/>
    <w:rsid w:val="003016B7"/>
    <w:rsid w:val="00303776"/>
    <w:rsid w:val="0032135E"/>
    <w:rsid w:val="00321752"/>
    <w:rsid w:val="003254A8"/>
    <w:rsid w:val="003455EF"/>
    <w:rsid w:val="00350F4D"/>
    <w:rsid w:val="003515AA"/>
    <w:rsid w:val="00370CFD"/>
    <w:rsid w:val="003722FA"/>
    <w:rsid w:val="00374106"/>
    <w:rsid w:val="00384A9E"/>
    <w:rsid w:val="0039068E"/>
    <w:rsid w:val="00393FA9"/>
    <w:rsid w:val="0039435E"/>
    <w:rsid w:val="003963F0"/>
    <w:rsid w:val="00396A43"/>
    <w:rsid w:val="003976D5"/>
    <w:rsid w:val="003A026F"/>
    <w:rsid w:val="003A3BFC"/>
    <w:rsid w:val="003A4201"/>
    <w:rsid w:val="003B6C1F"/>
    <w:rsid w:val="003B75D6"/>
    <w:rsid w:val="003C36E5"/>
    <w:rsid w:val="003D2C0A"/>
    <w:rsid w:val="003D6C68"/>
    <w:rsid w:val="003D7E93"/>
    <w:rsid w:val="003E6576"/>
    <w:rsid w:val="003F0697"/>
    <w:rsid w:val="003F15EF"/>
    <w:rsid w:val="003F388D"/>
    <w:rsid w:val="003F6A52"/>
    <w:rsid w:val="003F74B9"/>
    <w:rsid w:val="00401048"/>
    <w:rsid w:val="0040292B"/>
    <w:rsid w:val="004159D0"/>
    <w:rsid w:val="004173A5"/>
    <w:rsid w:val="0042021D"/>
    <w:rsid w:val="004305D6"/>
    <w:rsid w:val="0043348A"/>
    <w:rsid w:val="00433A7F"/>
    <w:rsid w:val="00444EB4"/>
    <w:rsid w:val="00447836"/>
    <w:rsid w:val="004478E4"/>
    <w:rsid w:val="00456F42"/>
    <w:rsid w:val="00470BBD"/>
    <w:rsid w:val="00484BA9"/>
    <w:rsid w:val="004A4356"/>
    <w:rsid w:val="004A560F"/>
    <w:rsid w:val="004A5C2A"/>
    <w:rsid w:val="004A6DDF"/>
    <w:rsid w:val="004B186E"/>
    <w:rsid w:val="004B4808"/>
    <w:rsid w:val="004B5D1C"/>
    <w:rsid w:val="004C5A8F"/>
    <w:rsid w:val="004D3406"/>
    <w:rsid w:val="004F15F3"/>
    <w:rsid w:val="00501ADB"/>
    <w:rsid w:val="0050707C"/>
    <w:rsid w:val="00511FE2"/>
    <w:rsid w:val="005142FA"/>
    <w:rsid w:val="005145C1"/>
    <w:rsid w:val="00514AFE"/>
    <w:rsid w:val="00530EDA"/>
    <w:rsid w:val="005310A4"/>
    <w:rsid w:val="00536A7D"/>
    <w:rsid w:val="00543D5E"/>
    <w:rsid w:val="005447BD"/>
    <w:rsid w:val="00545722"/>
    <w:rsid w:val="00547E04"/>
    <w:rsid w:val="005501DE"/>
    <w:rsid w:val="00550D47"/>
    <w:rsid w:val="0055350A"/>
    <w:rsid w:val="00556720"/>
    <w:rsid w:val="005602ED"/>
    <w:rsid w:val="005645D5"/>
    <w:rsid w:val="00570838"/>
    <w:rsid w:val="00571F41"/>
    <w:rsid w:val="0059124F"/>
    <w:rsid w:val="0059742E"/>
    <w:rsid w:val="005B59E6"/>
    <w:rsid w:val="005D637D"/>
    <w:rsid w:val="005D7F7E"/>
    <w:rsid w:val="005E2F49"/>
    <w:rsid w:val="005E4208"/>
    <w:rsid w:val="005E5D1F"/>
    <w:rsid w:val="005F776D"/>
    <w:rsid w:val="006045F9"/>
    <w:rsid w:val="00611D43"/>
    <w:rsid w:val="00612D48"/>
    <w:rsid w:val="0061416C"/>
    <w:rsid w:val="00616A62"/>
    <w:rsid w:val="00616B45"/>
    <w:rsid w:val="00624866"/>
    <w:rsid w:val="00630D9B"/>
    <w:rsid w:val="00631953"/>
    <w:rsid w:val="006439EC"/>
    <w:rsid w:val="00646F3E"/>
    <w:rsid w:val="0066081D"/>
    <w:rsid w:val="00660C9A"/>
    <w:rsid w:val="0067626C"/>
    <w:rsid w:val="00680940"/>
    <w:rsid w:val="00687439"/>
    <w:rsid w:val="006952CF"/>
    <w:rsid w:val="006B1293"/>
    <w:rsid w:val="006B2308"/>
    <w:rsid w:val="006B2848"/>
    <w:rsid w:val="006B4590"/>
    <w:rsid w:val="006B5D4B"/>
    <w:rsid w:val="006C340C"/>
    <w:rsid w:val="006C3693"/>
    <w:rsid w:val="006C5D31"/>
    <w:rsid w:val="006C726D"/>
    <w:rsid w:val="006D16E2"/>
    <w:rsid w:val="006D4A2D"/>
    <w:rsid w:val="006E39EC"/>
    <w:rsid w:val="006F1AC0"/>
    <w:rsid w:val="006F326C"/>
    <w:rsid w:val="00701F10"/>
    <w:rsid w:val="0070347C"/>
    <w:rsid w:val="007176C1"/>
    <w:rsid w:val="00733CB8"/>
    <w:rsid w:val="00735C98"/>
    <w:rsid w:val="00740A79"/>
    <w:rsid w:val="00742143"/>
    <w:rsid w:val="00754BED"/>
    <w:rsid w:val="00761C04"/>
    <w:rsid w:val="00762B23"/>
    <w:rsid w:val="00763D4A"/>
    <w:rsid w:val="0076443D"/>
    <w:rsid w:val="00766652"/>
    <w:rsid w:val="00766C4E"/>
    <w:rsid w:val="0076720D"/>
    <w:rsid w:val="00780B95"/>
    <w:rsid w:val="0078355F"/>
    <w:rsid w:val="00784747"/>
    <w:rsid w:val="00785379"/>
    <w:rsid w:val="00787750"/>
    <w:rsid w:val="007925E1"/>
    <w:rsid w:val="007938EA"/>
    <w:rsid w:val="00795BF0"/>
    <w:rsid w:val="007B7DC4"/>
    <w:rsid w:val="007C1926"/>
    <w:rsid w:val="007C7F6A"/>
    <w:rsid w:val="007E2019"/>
    <w:rsid w:val="007E216E"/>
    <w:rsid w:val="007E73F7"/>
    <w:rsid w:val="007F00B0"/>
    <w:rsid w:val="007F083B"/>
    <w:rsid w:val="007F507D"/>
    <w:rsid w:val="007F55CB"/>
    <w:rsid w:val="00802B8A"/>
    <w:rsid w:val="0081459E"/>
    <w:rsid w:val="00822CC2"/>
    <w:rsid w:val="0082669F"/>
    <w:rsid w:val="00826B5B"/>
    <w:rsid w:val="00840A84"/>
    <w:rsid w:val="00844750"/>
    <w:rsid w:val="00851CEC"/>
    <w:rsid w:val="0086111F"/>
    <w:rsid w:val="0087012F"/>
    <w:rsid w:val="00871609"/>
    <w:rsid w:val="0087483B"/>
    <w:rsid w:val="008918FC"/>
    <w:rsid w:val="00891B80"/>
    <w:rsid w:val="0089324D"/>
    <w:rsid w:val="00894336"/>
    <w:rsid w:val="008A3381"/>
    <w:rsid w:val="008A34A5"/>
    <w:rsid w:val="008B44C4"/>
    <w:rsid w:val="008B5751"/>
    <w:rsid w:val="008C0CAF"/>
    <w:rsid w:val="008C5D4F"/>
    <w:rsid w:val="008C6560"/>
    <w:rsid w:val="008C78FC"/>
    <w:rsid w:val="008E26BC"/>
    <w:rsid w:val="008E32AA"/>
    <w:rsid w:val="008E7FAE"/>
    <w:rsid w:val="008F019D"/>
    <w:rsid w:val="008F2716"/>
    <w:rsid w:val="008F5168"/>
    <w:rsid w:val="00911BF7"/>
    <w:rsid w:val="00912716"/>
    <w:rsid w:val="00917666"/>
    <w:rsid w:val="009177FD"/>
    <w:rsid w:val="00924708"/>
    <w:rsid w:val="00925CEA"/>
    <w:rsid w:val="00934BE4"/>
    <w:rsid w:val="00951B92"/>
    <w:rsid w:val="009527C3"/>
    <w:rsid w:val="00954349"/>
    <w:rsid w:val="00956B31"/>
    <w:rsid w:val="00972F9F"/>
    <w:rsid w:val="00977EC8"/>
    <w:rsid w:val="00990176"/>
    <w:rsid w:val="0099251B"/>
    <w:rsid w:val="009A26A4"/>
    <w:rsid w:val="009A6BCE"/>
    <w:rsid w:val="009B1EDD"/>
    <w:rsid w:val="009B37BF"/>
    <w:rsid w:val="009C5A67"/>
    <w:rsid w:val="009C5DC9"/>
    <w:rsid w:val="009C7759"/>
    <w:rsid w:val="009D0B1F"/>
    <w:rsid w:val="009D3A8C"/>
    <w:rsid w:val="009E790C"/>
    <w:rsid w:val="009E7956"/>
    <w:rsid w:val="009F2B56"/>
    <w:rsid w:val="00A137B8"/>
    <w:rsid w:val="00A1402F"/>
    <w:rsid w:val="00A142FC"/>
    <w:rsid w:val="00A1624B"/>
    <w:rsid w:val="00A2475A"/>
    <w:rsid w:val="00A2492E"/>
    <w:rsid w:val="00A54F0C"/>
    <w:rsid w:val="00A55A09"/>
    <w:rsid w:val="00A56CE7"/>
    <w:rsid w:val="00A700EC"/>
    <w:rsid w:val="00A75EEF"/>
    <w:rsid w:val="00A80F24"/>
    <w:rsid w:val="00A827AC"/>
    <w:rsid w:val="00A850FA"/>
    <w:rsid w:val="00A8755B"/>
    <w:rsid w:val="00A936AA"/>
    <w:rsid w:val="00AA6D29"/>
    <w:rsid w:val="00AB2F57"/>
    <w:rsid w:val="00AB6156"/>
    <w:rsid w:val="00AC2729"/>
    <w:rsid w:val="00AC2EBC"/>
    <w:rsid w:val="00AC51A2"/>
    <w:rsid w:val="00AC57E2"/>
    <w:rsid w:val="00AC67A1"/>
    <w:rsid w:val="00AC78E7"/>
    <w:rsid w:val="00AC7977"/>
    <w:rsid w:val="00AD19D4"/>
    <w:rsid w:val="00AD25F2"/>
    <w:rsid w:val="00AE2CE2"/>
    <w:rsid w:val="00AE352C"/>
    <w:rsid w:val="00AF0B7A"/>
    <w:rsid w:val="00AF182E"/>
    <w:rsid w:val="00AF2C8B"/>
    <w:rsid w:val="00AF36B7"/>
    <w:rsid w:val="00AF7CB8"/>
    <w:rsid w:val="00B11017"/>
    <w:rsid w:val="00B11973"/>
    <w:rsid w:val="00B17E65"/>
    <w:rsid w:val="00B32E2D"/>
    <w:rsid w:val="00B34580"/>
    <w:rsid w:val="00B44208"/>
    <w:rsid w:val="00B576A6"/>
    <w:rsid w:val="00B61990"/>
    <w:rsid w:val="00B85888"/>
    <w:rsid w:val="00BB31E6"/>
    <w:rsid w:val="00BB4AEC"/>
    <w:rsid w:val="00BC1BFF"/>
    <w:rsid w:val="00BC3720"/>
    <w:rsid w:val="00BE5127"/>
    <w:rsid w:val="00BF0104"/>
    <w:rsid w:val="00BF0556"/>
    <w:rsid w:val="00C01B24"/>
    <w:rsid w:val="00C15763"/>
    <w:rsid w:val="00C16601"/>
    <w:rsid w:val="00C261F8"/>
    <w:rsid w:val="00C32A56"/>
    <w:rsid w:val="00C33100"/>
    <w:rsid w:val="00C36353"/>
    <w:rsid w:val="00C45B87"/>
    <w:rsid w:val="00C47E7E"/>
    <w:rsid w:val="00C502D6"/>
    <w:rsid w:val="00C53B69"/>
    <w:rsid w:val="00C57D9B"/>
    <w:rsid w:val="00CA1A8A"/>
    <w:rsid w:val="00CA674E"/>
    <w:rsid w:val="00CA707D"/>
    <w:rsid w:val="00CC082C"/>
    <w:rsid w:val="00CC3012"/>
    <w:rsid w:val="00CC5195"/>
    <w:rsid w:val="00CC7CB7"/>
    <w:rsid w:val="00CD1A71"/>
    <w:rsid w:val="00CD1FBB"/>
    <w:rsid w:val="00CE2B45"/>
    <w:rsid w:val="00CE6DC0"/>
    <w:rsid w:val="00CE7040"/>
    <w:rsid w:val="00CF238B"/>
    <w:rsid w:val="00CF23AA"/>
    <w:rsid w:val="00D016B5"/>
    <w:rsid w:val="00D034F1"/>
    <w:rsid w:val="00D05097"/>
    <w:rsid w:val="00D06ABB"/>
    <w:rsid w:val="00D07231"/>
    <w:rsid w:val="00D1165E"/>
    <w:rsid w:val="00D119EA"/>
    <w:rsid w:val="00D15C1E"/>
    <w:rsid w:val="00D17608"/>
    <w:rsid w:val="00D20453"/>
    <w:rsid w:val="00D20509"/>
    <w:rsid w:val="00D2123B"/>
    <w:rsid w:val="00D22E06"/>
    <w:rsid w:val="00D27D5E"/>
    <w:rsid w:val="00D3514F"/>
    <w:rsid w:val="00D40E33"/>
    <w:rsid w:val="00D43F72"/>
    <w:rsid w:val="00D542CB"/>
    <w:rsid w:val="00D61948"/>
    <w:rsid w:val="00D758B0"/>
    <w:rsid w:val="00D8456D"/>
    <w:rsid w:val="00D85A95"/>
    <w:rsid w:val="00D91A75"/>
    <w:rsid w:val="00DA7960"/>
    <w:rsid w:val="00DB02F1"/>
    <w:rsid w:val="00DB3801"/>
    <w:rsid w:val="00DC4C8F"/>
    <w:rsid w:val="00DC5639"/>
    <w:rsid w:val="00DC7CF1"/>
    <w:rsid w:val="00DE2B5D"/>
    <w:rsid w:val="00DE6D90"/>
    <w:rsid w:val="00DF002F"/>
    <w:rsid w:val="00DF5754"/>
    <w:rsid w:val="00E0244D"/>
    <w:rsid w:val="00E030FB"/>
    <w:rsid w:val="00E109CE"/>
    <w:rsid w:val="00E1155B"/>
    <w:rsid w:val="00E20F18"/>
    <w:rsid w:val="00E35ADC"/>
    <w:rsid w:val="00E479D4"/>
    <w:rsid w:val="00E575A4"/>
    <w:rsid w:val="00E57C63"/>
    <w:rsid w:val="00E62FF0"/>
    <w:rsid w:val="00E72689"/>
    <w:rsid w:val="00E7339B"/>
    <w:rsid w:val="00E76445"/>
    <w:rsid w:val="00E81E94"/>
    <w:rsid w:val="00E82607"/>
    <w:rsid w:val="00E9206E"/>
    <w:rsid w:val="00E92FC0"/>
    <w:rsid w:val="00E97F02"/>
    <w:rsid w:val="00EB2681"/>
    <w:rsid w:val="00EB7134"/>
    <w:rsid w:val="00EC7C7F"/>
    <w:rsid w:val="00EE6C9B"/>
    <w:rsid w:val="00EF387E"/>
    <w:rsid w:val="00EF5227"/>
    <w:rsid w:val="00EF7BCE"/>
    <w:rsid w:val="00F14A01"/>
    <w:rsid w:val="00F172C7"/>
    <w:rsid w:val="00F20CBD"/>
    <w:rsid w:val="00F362ED"/>
    <w:rsid w:val="00F364FB"/>
    <w:rsid w:val="00F3778A"/>
    <w:rsid w:val="00F40065"/>
    <w:rsid w:val="00F438B0"/>
    <w:rsid w:val="00F45999"/>
    <w:rsid w:val="00F53070"/>
    <w:rsid w:val="00F5652A"/>
    <w:rsid w:val="00F61EE8"/>
    <w:rsid w:val="00F62D3F"/>
    <w:rsid w:val="00F77D4B"/>
    <w:rsid w:val="00F84ABD"/>
    <w:rsid w:val="00F862BF"/>
    <w:rsid w:val="00F87930"/>
    <w:rsid w:val="00F92E5E"/>
    <w:rsid w:val="00F94D7D"/>
    <w:rsid w:val="00F94E26"/>
    <w:rsid w:val="00F97EBB"/>
    <w:rsid w:val="00FA05CA"/>
    <w:rsid w:val="00FA5A79"/>
    <w:rsid w:val="00FB0BFE"/>
    <w:rsid w:val="00FB4C51"/>
    <w:rsid w:val="00FB5117"/>
    <w:rsid w:val="00FC2323"/>
    <w:rsid w:val="00FC280D"/>
    <w:rsid w:val="00FE560E"/>
    <w:rsid w:val="00FF05CE"/>
    <w:rsid w:val="00FF1DBD"/>
    <w:rsid w:val="00FF65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14:docId w14:val="2A02F59B"/>
  <w15:docId w15:val="{82332D30-1D59-4659-807B-4271600C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72F9F"/>
    <w:pPr>
      <w:suppressAutoHyphens/>
      <w:spacing w:line="240" w:lineRule="atLeast"/>
    </w:pPr>
    <w:rPr>
      <w:lang w:val="fr-CH" w:eastAsia="en-US"/>
    </w:rPr>
  </w:style>
  <w:style w:type="paragraph" w:styleId="Titre1">
    <w:name w:val="heading 1"/>
    <w:aliases w:val="Table_G"/>
    <w:basedOn w:val="SingleTxtG"/>
    <w:next w:val="SingleTxtG"/>
    <w:link w:val="Titre1Car"/>
    <w:qFormat/>
    <w:rsid w:val="00784747"/>
    <w:pPr>
      <w:keepNext/>
      <w:keepLines/>
      <w:spacing w:after="0" w:line="240" w:lineRule="auto"/>
      <w:ind w:right="0"/>
      <w:jc w:val="left"/>
      <w:outlineLvl w:val="0"/>
    </w:pPr>
  </w:style>
  <w:style w:type="paragraph" w:styleId="Titre2">
    <w:name w:val="heading 2"/>
    <w:basedOn w:val="Normal"/>
    <w:next w:val="Normal"/>
    <w:link w:val="Titre2Car"/>
    <w:qFormat/>
    <w:rsid w:val="00972F9F"/>
    <w:pPr>
      <w:outlineLvl w:val="1"/>
    </w:pPr>
  </w:style>
  <w:style w:type="paragraph" w:styleId="Titre3">
    <w:name w:val="heading 3"/>
    <w:basedOn w:val="Normal"/>
    <w:next w:val="Normal"/>
    <w:link w:val="Titre3Car"/>
    <w:qFormat/>
    <w:rsid w:val="00972F9F"/>
    <w:pPr>
      <w:outlineLvl w:val="2"/>
    </w:pPr>
  </w:style>
  <w:style w:type="paragraph" w:styleId="Titre4">
    <w:name w:val="heading 4"/>
    <w:basedOn w:val="Normal"/>
    <w:next w:val="Normal"/>
    <w:link w:val="Titre4Car"/>
    <w:qFormat/>
    <w:rsid w:val="00972F9F"/>
    <w:pPr>
      <w:outlineLvl w:val="3"/>
    </w:pPr>
  </w:style>
  <w:style w:type="paragraph" w:styleId="Titre5">
    <w:name w:val="heading 5"/>
    <w:basedOn w:val="Normal"/>
    <w:next w:val="Normal"/>
    <w:link w:val="Titre5Car"/>
    <w:qFormat/>
    <w:rsid w:val="00972F9F"/>
    <w:pPr>
      <w:outlineLvl w:val="4"/>
    </w:pPr>
  </w:style>
  <w:style w:type="paragraph" w:styleId="Titre6">
    <w:name w:val="heading 6"/>
    <w:basedOn w:val="Normal"/>
    <w:next w:val="Normal"/>
    <w:link w:val="Titre6Car"/>
    <w:qFormat/>
    <w:rsid w:val="00972F9F"/>
    <w:pPr>
      <w:outlineLvl w:val="5"/>
    </w:pPr>
  </w:style>
  <w:style w:type="paragraph" w:styleId="Titre7">
    <w:name w:val="heading 7"/>
    <w:basedOn w:val="Normal"/>
    <w:next w:val="Normal"/>
    <w:link w:val="Titre7Car"/>
    <w:qFormat/>
    <w:rsid w:val="00972F9F"/>
    <w:pPr>
      <w:outlineLvl w:val="6"/>
    </w:pPr>
  </w:style>
  <w:style w:type="paragraph" w:styleId="Titre8">
    <w:name w:val="heading 8"/>
    <w:basedOn w:val="Normal"/>
    <w:next w:val="Normal"/>
    <w:link w:val="Titre8Car"/>
    <w:qFormat/>
    <w:rsid w:val="00972F9F"/>
    <w:pPr>
      <w:outlineLvl w:val="7"/>
    </w:pPr>
  </w:style>
  <w:style w:type="paragraph" w:styleId="Titre9">
    <w:name w:val="heading 9"/>
    <w:basedOn w:val="Normal"/>
    <w:next w:val="Normal"/>
    <w:link w:val="Titre9Car"/>
    <w:qFormat/>
    <w:rsid w:val="00972F9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link w:val="Bullet1GCar"/>
    <w:rsid w:val="00972F9F"/>
    <w:pPr>
      <w:numPr>
        <w:numId w:val="1"/>
      </w:numPr>
      <w:spacing w:after="120"/>
      <w:ind w:right="1134"/>
      <w:jc w:val="both"/>
    </w:pPr>
  </w:style>
  <w:style w:type="paragraph" w:customStyle="1" w:styleId="Bullet2G">
    <w:name w:val="_Bullet 2_G"/>
    <w:basedOn w:val="Normal"/>
    <w:rsid w:val="00972F9F"/>
    <w:pPr>
      <w:numPr>
        <w:numId w:val="2"/>
      </w:numPr>
      <w:spacing w:after="120"/>
      <w:ind w:right="1134"/>
      <w:jc w:val="both"/>
    </w:pPr>
  </w:style>
  <w:style w:type="character" w:styleId="Appelnotedebasdep">
    <w:name w:val="footnote reference"/>
    <w:aliases w:val="4_G"/>
    <w:basedOn w:val="Policepardfaut"/>
    <w:qFormat/>
    <w:rsid w:val="006C5D31"/>
    <w:rPr>
      <w:rFonts w:ascii="Times New Roman" w:hAnsi="Times New Roman"/>
      <w:sz w:val="18"/>
      <w:vertAlign w:val="superscript"/>
      <w:lang w:val="fr-CH"/>
    </w:rPr>
  </w:style>
  <w:style w:type="character" w:styleId="Appeldenotedefin">
    <w:name w:val="endnote reference"/>
    <w:aliases w:val="1_G"/>
    <w:basedOn w:val="Appelnotedebasdep"/>
    <w:rsid w:val="00972F9F"/>
    <w:rPr>
      <w:rFonts w:ascii="Times New Roman" w:hAnsi="Times New Roman"/>
      <w:sz w:val="18"/>
      <w:vertAlign w:val="superscript"/>
      <w:lang w:val="fr-CH"/>
    </w:rPr>
  </w:style>
  <w:style w:type="paragraph" w:styleId="En-tte">
    <w:name w:val="header"/>
    <w:aliases w:val="6_G"/>
    <w:basedOn w:val="Normal"/>
    <w:next w:val="Normal"/>
    <w:link w:val="En-tteCar"/>
    <w:rsid w:val="00972F9F"/>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6C5D31"/>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paragraph" w:styleId="Notedefin">
    <w:name w:val="endnote text"/>
    <w:aliases w:val="2_G"/>
    <w:basedOn w:val="Notedebasdepage"/>
    <w:link w:val="NotedefinCar"/>
    <w:rsid w:val="00822CC2"/>
  </w:style>
  <w:style w:type="character" w:styleId="Numrodepage">
    <w:name w:val="page number"/>
    <w:aliases w:val="7_G"/>
    <w:rsid w:val="00972F9F"/>
    <w:rPr>
      <w:rFonts w:ascii="Times New Roman" w:hAnsi="Times New Roman"/>
      <w:b/>
      <w:sz w:val="18"/>
      <w:lang w:val="fr-CH"/>
    </w:rPr>
  </w:style>
  <w:style w:type="paragraph" w:styleId="Pieddepage">
    <w:name w:val="footer"/>
    <w:aliases w:val="3_G"/>
    <w:basedOn w:val="Normal"/>
    <w:next w:val="Normal"/>
    <w:link w:val="PieddepageCar"/>
    <w:uiPriority w:val="99"/>
    <w:rsid w:val="00972F9F"/>
    <w:pPr>
      <w:spacing w:line="240" w:lineRule="auto"/>
    </w:pPr>
    <w:rPr>
      <w:sz w:val="16"/>
    </w:rPr>
  </w:style>
  <w:style w:type="character" w:styleId="Lienhypertexte">
    <w:name w:val="Hyperlink"/>
    <w:rsid w:val="003F0697"/>
    <w:rPr>
      <w:color w:val="auto"/>
      <w:u w:val="none"/>
    </w:rPr>
  </w:style>
  <w:style w:type="character" w:styleId="Lienhypertextesuivivisit">
    <w:name w:val="FollowedHyperlink"/>
    <w:rsid w:val="003F0697"/>
    <w:rPr>
      <w:color w:val="auto"/>
      <w:u w:val="none"/>
    </w:rPr>
  </w:style>
  <w:style w:type="character" w:customStyle="1" w:styleId="NotedebasdepageCar">
    <w:name w:val="Note de bas de page Car"/>
    <w:aliases w:val="5_G Car"/>
    <w:basedOn w:val="Policepardfaut"/>
    <w:link w:val="Notedebasdepage"/>
    <w:locked/>
    <w:rsid w:val="006C5D31"/>
    <w:rPr>
      <w:rFonts w:eastAsiaTheme="minorEastAsia"/>
      <w:sz w:val="18"/>
      <w:lang w:val="fr-CH" w:eastAsia="zh-CN"/>
    </w:rPr>
  </w:style>
  <w:style w:type="paragraph" w:customStyle="1" w:styleId="Grillemoyenne1-Accent21">
    <w:name w:val="Grille moyenne 1 - Accent 21"/>
    <w:basedOn w:val="Normal"/>
    <w:uiPriority w:val="34"/>
    <w:qFormat/>
    <w:rsid w:val="00D15C1E"/>
    <w:pPr>
      <w:suppressAutoHyphens w:val="0"/>
      <w:spacing w:line="240" w:lineRule="auto"/>
      <w:ind w:left="720"/>
    </w:pPr>
    <w:rPr>
      <w:sz w:val="24"/>
      <w:szCs w:val="24"/>
      <w:lang w:val="en-US" w:eastAsia="zh-CN"/>
    </w:rPr>
  </w:style>
  <w:style w:type="paragraph" w:customStyle="1" w:styleId="Paragraphedeliste1">
    <w:name w:val="Paragraphe de liste1"/>
    <w:basedOn w:val="Normal"/>
    <w:qFormat/>
    <w:rsid w:val="00D15C1E"/>
    <w:pPr>
      <w:suppressAutoHyphens w:val="0"/>
      <w:spacing w:line="240" w:lineRule="auto"/>
      <w:ind w:left="720"/>
      <w:contextualSpacing/>
    </w:pPr>
    <w:rPr>
      <w:sz w:val="24"/>
      <w:szCs w:val="24"/>
      <w:lang w:val="fr-FR" w:eastAsia="fr-FR"/>
    </w:rPr>
  </w:style>
  <w:style w:type="character" w:customStyle="1" w:styleId="Bullet1GCar">
    <w:name w:val="_Bullet 1_G Car"/>
    <w:link w:val="Bullet1G"/>
    <w:rsid w:val="009B1EDD"/>
    <w:rPr>
      <w:lang w:val="fr-CH" w:eastAsia="en-US" w:bidi="ar-SA"/>
    </w:rPr>
  </w:style>
  <w:style w:type="table" w:styleId="Grilledutableau">
    <w:name w:val="Table Grid"/>
    <w:basedOn w:val="TableauNormal"/>
    <w:rsid w:val="00CC082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able_G Car"/>
    <w:link w:val="Titre1"/>
    <w:rsid w:val="00FE560E"/>
    <w:rPr>
      <w:lang w:val="fr-CH" w:eastAsia="en-US"/>
    </w:rPr>
  </w:style>
  <w:style w:type="character" w:customStyle="1" w:styleId="Titre2Car">
    <w:name w:val="Titre 2 Car"/>
    <w:link w:val="Titre2"/>
    <w:rsid w:val="00FE560E"/>
    <w:rPr>
      <w:lang w:val="fr-CH" w:eastAsia="en-US"/>
    </w:rPr>
  </w:style>
  <w:style w:type="character" w:customStyle="1" w:styleId="Titre3Car">
    <w:name w:val="Titre 3 Car"/>
    <w:link w:val="Titre3"/>
    <w:rsid w:val="00FE560E"/>
    <w:rPr>
      <w:lang w:val="fr-CH" w:eastAsia="en-US"/>
    </w:rPr>
  </w:style>
  <w:style w:type="character" w:customStyle="1" w:styleId="Titre4Car">
    <w:name w:val="Titre 4 Car"/>
    <w:link w:val="Titre4"/>
    <w:rsid w:val="00FE560E"/>
    <w:rPr>
      <w:lang w:val="fr-CH" w:eastAsia="en-US"/>
    </w:rPr>
  </w:style>
  <w:style w:type="character" w:customStyle="1" w:styleId="Titre5Car">
    <w:name w:val="Titre 5 Car"/>
    <w:link w:val="Titre5"/>
    <w:rsid w:val="00FE560E"/>
    <w:rPr>
      <w:lang w:val="fr-CH" w:eastAsia="en-US"/>
    </w:rPr>
  </w:style>
  <w:style w:type="character" w:customStyle="1" w:styleId="Titre6Car">
    <w:name w:val="Titre 6 Car"/>
    <w:link w:val="Titre6"/>
    <w:rsid w:val="00FE560E"/>
    <w:rPr>
      <w:lang w:val="fr-CH" w:eastAsia="en-US"/>
    </w:rPr>
  </w:style>
  <w:style w:type="character" w:customStyle="1" w:styleId="Titre7Car">
    <w:name w:val="Titre 7 Car"/>
    <w:link w:val="Titre7"/>
    <w:rsid w:val="00FE560E"/>
    <w:rPr>
      <w:lang w:val="fr-CH" w:eastAsia="en-US"/>
    </w:rPr>
  </w:style>
  <w:style w:type="character" w:customStyle="1" w:styleId="Titre8Car">
    <w:name w:val="Titre 8 Car"/>
    <w:link w:val="Titre8"/>
    <w:rsid w:val="00FE560E"/>
    <w:rPr>
      <w:lang w:val="fr-CH" w:eastAsia="en-US"/>
    </w:rPr>
  </w:style>
  <w:style w:type="character" w:customStyle="1" w:styleId="Titre9Car">
    <w:name w:val="Titre 9 Car"/>
    <w:link w:val="Titre9"/>
    <w:rsid w:val="00FE560E"/>
    <w:rPr>
      <w:lang w:val="fr-CH" w:eastAsia="en-US"/>
    </w:rPr>
  </w:style>
  <w:style w:type="character" w:customStyle="1" w:styleId="En-tteCar">
    <w:name w:val="En-tête Car"/>
    <w:aliases w:val="6_G Car"/>
    <w:link w:val="En-tte"/>
    <w:rsid w:val="00FE560E"/>
    <w:rPr>
      <w:b/>
      <w:sz w:val="18"/>
      <w:lang w:val="fr-CH" w:eastAsia="en-US"/>
    </w:rPr>
  </w:style>
  <w:style w:type="character" w:customStyle="1" w:styleId="NotedefinCar">
    <w:name w:val="Note de fin Car"/>
    <w:aliases w:val="2_G Car"/>
    <w:link w:val="Notedefin"/>
    <w:rsid w:val="00FE560E"/>
    <w:rPr>
      <w:sz w:val="18"/>
      <w:lang w:val="fr-CH" w:eastAsia="en-US"/>
    </w:rPr>
  </w:style>
  <w:style w:type="character" w:customStyle="1" w:styleId="PieddepageCar">
    <w:name w:val="Pied de page Car"/>
    <w:aliases w:val="3_G Car"/>
    <w:link w:val="Pieddepage"/>
    <w:uiPriority w:val="99"/>
    <w:rsid w:val="00FE560E"/>
    <w:rPr>
      <w:sz w:val="16"/>
      <w:lang w:val="fr-CH" w:eastAsia="en-US"/>
    </w:rPr>
  </w:style>
  <w:style w:type="table" w:customStyle="1" w:styleId="TableGrid1">
    <w:name w:val="Table Grid1"/>
    <w:basedOn w:val="TableauNormal"/>
    <w:next w:val="Grilledutableau"/>
    <w:rsid w:val="00FE560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FE560E"/>
    <w:rPr>
      <w:lang w:val="fr-CH" w:eastAsia="en-US"/>
    </w:rPr>
  </w:style>
  <w:style w:type="paragraph" w:styleId="Textedebulles">
    <w:name w:val="Balloon Text"/>
    <w:basedOn w:val="Normal"/>
    <w:link w:val="TextedebullesCar"/>
    <w:rsid w:val="00FE560E"/>
    <w:pPr>
      <w:spacing w:line="240" w:lineRule="auto"/>
    </w:pPr>
    <w:rPr>
      <w:rFonts w:ascii="Tahoma" w:hAnsi="Tahoma" w:cs="Tahoma"/>
      <w:sz w:val="16"/>
      <w:szCs w:val="16"/>
    </w:rPr>
  </w:style>
  <w:style w:type="character" w:customStyle="1" w:styleId="TextedebullesCar">
    <w:name w:val="Texte de bulles Car"/>
    <w:link w:val="Textedebulles"/>
    <w:rsid w:val="00FE560E"/>
    <w:rPr>
      <w:rFonts w:ascii="Tahoma" w:hAnsi="Tahoma" w:cs="Tahoma"/>
      <w:sz w:val="16"/>
      <w:szCs w:val="16"/>
      <w:lang w:val="fr-CH" w:eastAsia="en-US"/>
    </w:rPr>
  </w:style>
  <w:style w:type="character" w:styleId="Marquedecommentaire">
    <w:name w:val="annotation reference"/>
    <w:rsid w:val="00FE560E"/>
    <w:rPr>
      <w:sz w:val="16"/>
      <w:szCs w:val="16"/>
    </w:rPr>
  </w:style>
  <w:style w:type="paragraph" w:styleId="Commentaire">
    <w:name w:val="annotation text"/>
    <w:basedOn w:val="Normal"/>
    <w:link w:val="CommentaireCar"/>
    <w:rsid w:val="00FE560E"/>
  </w:style>
  <w:style w:type="character" w:customStyle="1" w:styleId="CommentaireCar">
    <w:name w:val="Commentaire Car"/>
    <w:link w:val="Commentaire"/>
    <w:rsid w:val="00FE560E"/>
    <w:rPr>
      <w:lang w:val="fr-CH" w:eastAsia="en-US"/>
    </w:rPr>
  </w:style>
  <w:style w:type="paragraph" w:styleId="Objetducommentaire">
    <w:name w:val="annotation subject"/>
    <w:basedOn w:val="Commentaire"/>
    <w:next w:val="Commentaire"/>
    <w:link w:val="ObjetducommentaireCar"/>
    <w:rsid w:val="00FE560E"/>
    <w:rPr>
      <w:b/>
      <w:bCs/>
    </w:rPr>
  </w:style>
  <w:style w:type="character" w:customStyle="1" w:styleId="ObjetducommentaireCar">
    <w:name w:val="Objet du commentaire Car"/>
    <w:link w:val="Objetducommentaire"/>
    <w:rsid w:val="00FE560E"/>
    <w:rPr>
      <w:b/>
      <w:bCs/>
      <w:lang w:val="fr-CH" w:eastAsia="en-US"/>
    </w:rPr>
  </w:style>
  <w:style w:type="character" w:customStyle="1" w:styleId="SingleTxtGChar">
    <w:name w:val="_ Single Txt_G Char"/>
    <w:rsid w:val="00FE560E"/>
    <w:rPr>
      <w:lang w:eastAsia="en-US"/>
    </w:rPr>
  </w:style>
  <w:style w:type="paragraph" w:styleId="Explorateurdedocuments">
    <w:name w:val="Document Map"/>
    <w:basedOn w:val="Normal"/>
    <w:link w:val="ExplorateurdedocumentsCar"/>
    <w:rsid w:val="001D1C14"/>
    <w:rPr>
      <w:sz w:val="24"/>
      <w:szCs w:val="24"/>
    </w:rPr>
  </w:style>
  <w:style w:type="character" w:customStyle="1" w:styleId="ExplorateurdedocumentsCar">
    <w:name w:val="Explorateur de documents Car"/>
    <w:link w:val="Explorateurdedocuments"/>
    <w:rsid w:val="001D1C14"/>
    <w:rPr>
      <w:sz w:val="24"/>
      <w:szCs w:val="24"/>
      <w:lang w:val="fr-CH"/>
    </w:rPr>
  </w:style>
  <w:style w:type="character" w:customStyle="1" w:styleId="5GChar1">
    <w:name w:val="5_G Char1"/>
    <w:aliases w:val="Footnote Text Char1 Char1,Footnote Text Char Char Char1"/>
    <w:basedOn w:val="Policepardfaut"/>
    <w:semiHidden/>
    <w:locked/>
    <w:rsid w:val="00912716"/>
    <w:rPr>
      <w:sz w:val="18"/>
      <w:lang w:eastAsia="en-US"/>
    </w:rPr>
  </w:style>
  <w:style w:type="paragraph" w:styleId="Rvision">
    <w:name w:val="Revision"/>
    <w:hidden/>
    <w:uiPriority w:val="71"/>
    <w:semiHidden/>
    <w:rsid w:val="009A26A4"/>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26094">
      <w:bodyDiv w:val="1"/>
      <w:marLeft w:val="0"/>
      <w:marRight w:val="0"/>
      <w:marTop w:val="0"/>
      <w:marBottom w:val="0"/>
      <w:divBdr>
        <w:top w:val="none" w:sz="0" w:space="0" w:color="auto"/>
        <w:left w:val="none" w:sz="0" w:space="0" w:color="auto"/>
        <w:bottom w:val="none" w:sz="0" w:space="0" w:color="auto"/>
        <w:right w:val="none" w:sz="0" w:space="0" w:color="auto"/>
      </w:divBdr>
    </w:div>
    <w:div w:id="1721712594">
      <w:bodyDiv w:val="1"/>
      <w:marLeft w:val="0"/>
      <w:marRight w:val="0"/>
      <w:marTop w:val="0"/>
      <w:marBottom w:val="0"/>
      <w:divBdr>
        <w:top w:val="none" w:sz="0" w:space="0" w:color="auto"/>
        <w:left w:val="none" w:sz="0" w:space="0" w:color="auto"/>
        <w:bottom w:val="none" w:sz="0" w:space="0" w:color="auto"/>
        <w:right w:val="none" w:sz="0" w:space="0" w:color="auto"/>
      </w:divBdr>
      <w:divsChild>
        <w:div w:id="51684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568260B013C48AB61DDD46F052E42" ma:contentTypeVersion="0" ma:contentTypeDescription="Create a new document." ma:contentTypeScope="" ma:versionID="52c6e2b440db0517a901ffe79f9809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8818-2B27-4096-B26F-5A8C32F9B4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87D2B71-08E3-416C-AA53-1AFED8922649}">
  <ds:schemaRefs>
    <ds:schemaRef ds:uri="http://schemas.microsoft.com/sharepoint/v3/contenttype/forms"/>
  </ds:schemaRefs>
</ds:datastoreItem>
</file>

<file path=customXml/itemProps3.xml><?xml version="1.0" encoding="utf-8"?>
<ds:datastoreItem xmlns:ds="http://schemas.openxmlformats.org/officeDocument/2006/customXml" ds:itemID="{A530A29A-C43D-4BAA-AA45-90E5942DF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9042B0-989A-4D5F-8768-89D1658A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10382</Words>
  <Characters>57101</Characters>
  <Application>Microsoft Office Word</Application>
  <DocSecurity>0</DocSecurity>
  <Lines>475</Lines>
  <Paragraphs>134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CAT/OP/BEN/R.3</vt:lpstr>
      <vt:lpstr>CAT/OP/BEN/R.3</vt:lpstr>
    </vt:vector>
  </TitlesOfParts>
  <Company>CSD</Company>
  <LinksUpToDate>false</LinksUpToDate>
  <CharactersWithSpaces>67349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CAT/OP/BEN/R.3</dc:title>
  <dc:subject>QRCODES</dc:subject>
  <dc:creator>DVX</dc:creator>
  <cp:keywords/>
  <dc:description/>
  <cp:lastModifiedBy>Fabienne Crelier</cp:lastModifiedBy>
  <cp:revision>2</cp:revision>
  <cp:lastPrinted>2018-08-29T15:51:00Z</cp:lastPrinted>
  <dcterms:created xsi:type="dcterms:W3CDTF">2018-10-01T10:35:00Z</dcterms:created>
  <dcterms:modified xsi:type="dcterms:W3CDTF">2018-10-01T10:35:00Z</dcterms:modified>
</cp:coreProperties>
</file>