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56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56C9" w:rsidP="004256C9">
            <w:pPr>
              <w:jc w:val="right"/>
            </w:pPr>
            <w:r w:rsidRPr="004256C9">
              <w:rPr>
                <w:sz w:val="40"/>
              </w:rPr>
              <w:t>CRC</w:t>
            </w:r>
            <w:r>
              <w:t>/C/BWA/CO/2-3</w:t>
            </w:r>
          </w:p>
        </w:tc>
      </w:tr>
      <w:tr w:rsidR="002D5AAC" w:rsidRPr="004256C9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16D437" wp14:editId="6DD7F8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56C9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56C9" w:rsidRDefault="004256C9" w:rsidP="004256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June 2019</w:t>
            </w:r>
          </w:p>
          <w:p w:rsidR="004256C9" w:rsidRDefault="004256C9" w:rsidP="004256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56C9" w:rsidRPr="00B937DF" w:rsidRDefault="004256C9" w:rsidP="004256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256C9" w:rsidRPr="004256C9" w:rsidRDefault="004256C9" w:rsidP="004256C9">
      <w:pPr>
        <w:spacing w:before="120"/>
        <w:rPr>
          <w:rFonts w:eastAsiaTheme="minorEastAsia"/>
          <w:b/>
          <w:bCs/>
          <w:sz w:val="24"/>
          <w:szCs w:val="24"/>
        </w:rPr>
      </w:pPr>
      <w:r w:rsidRPr="004256C9">
        <w:rPr>
          <w:b/>
          <w:bCs/>
          <w:sz w:val="24"/>
          <w:szCs w:val="24"/>
        </w:rPr>
        <w:t>Комитет по правам ребенка</w:t>
      </w:r>
    </w:p>
    <w:p w:rsidR="004256C9" w:rsidRDefault="004256C9" w:rsidP="004256C9">
      <w:pPr>
        <w:pStyle w:val="HChG"/>
      </w:pPr>
      <w:r>
        <w:tab/>
      </w:r>
      <w:r>
        <w:tab/>
      </w:r>
      <w:r>
        <w:rPr>
          <w:bCs/>
        </w:rPr>
        <w:t xml:space="preserve">Заключительные замечания по объединенным второму </w:t>
      </w:r>
      <w:r>
        <w:rPr>
          <w:bCs/>
        </w:rPr>
        <w:br/>
        <w:t>и третьему докладам Ботсваны</w:t>
      </w:r>
      <w:r w:rsidRPr="004256C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:rsidR="004256C9" w:rsidRPr="0007456C" w:rsidRDefault="004256C9" w:rsidP="004256C9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:rsidR="004256C9" w:rsidRPr="0007456C" w:rsidRDefault="004256C9" w:rsidP="004256C9">
      <w:pPr>
        <w:pStyle w:val="SingleTxtG"/>
      </w:pPr>
      <w:r>
        <w:t>1.</w:t>
      </w:r>
      <w:r>
        <w:tab/>
        <w:t>Комитет рассмотрел объединенные второй и третий периодические доклады Ботсваны (CRC/C/BWA/2-3) на своих 2388-м и 2389-м заседаниях (см. CRC/C/SR.2388 и 2389), состоявшихся 23 и</w:t>
      </w:r>
      <w:bookmarkStart w:id="0" w:name="_GoBack"/>
      <w:bookmarkEnd w:id="0"/>
      <w:r>
        <w:t xml:space="preserve"> 24 мая 2019 года, и принял настоящие заключительные замечания на своем 2400-м заседании 31 мая 2019 года. </w:t>
      </w:r>
    </w:p>
    <w:p w:rsidR="004256C9" w:rsidRPr="0007456C" w:rsidRDefault="004256C9" w:rsidP="004256C9">
      <w:pPr>
        <w:pStyle w:val="SingleTxtG"/>
      </w:pPr>
      <w:r>
        <w:t>2.</w:t>
      </w:r>
      <w:r>
        <w:tab/>
        <w:t xml:space="preserve">Комитет приветствует представление объединенных второго и третьего периодических докладов государства-участника, несмотря на то, что они были представлены со значительной задержкой, а также письменных ответов на перечень вопросов (CRC/C/BWA/Q/2-3/Add.1), что позволило лучше понять положение в области прав детей в государстве-участнике. Комитет дает высокую оценку конструктивному диалогу, состоявшемуся с высокопоставленной и многопрофильной делегацией государства-участника. </w:t>
      </w:r>
    </w:p>
    <w:p w:rsidR="004256C9" w:rsidRPr="0007456C" w:rsidRDefault="004256C9" w:rsidP="004256C9">
      <w:pPr>
        <w:pStyle w:val="HChG"/>
      </w:pPr>
      <w: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:rsidR="004256C9" w:rsidRPr="0007456C" w:rsidRDefault="004256C9" w:rsidP="004256C9">
      <w:pPr>
        <w:pStyle w:val="SingleTxtG"/>
      </w:pPr>
      <w:r>
        <w:t>3.</w:t>
      </w:r>
      <w:r>
        <w:tab/>
        <w:t>Комитет приветствует ратификацию Факультативного протокола, касающегося участия детей в вооруженных конфликтах, а также законодательные, институциональные и политические меры, принятые в целях осуществления Конвенции, в частности Закон о детях, поправки к Уголовному кодексу, Закон о бытовом насилии, поправки к Закону о национальной регистрации, Национальный план действий в интересах детей на 2006</w:t>
      </w:r>
      <w:r w:rsidRPr="004256C9">
        <w:t>–</w:t>
      </w:r>
      <w:r>
        <w:t>2016 годы, Правила защиты детей и Национальный план действий в интересах сирот и уязвимых детей на 2006</w:t>
      </w:r>
      <w:r w:rsidRPr="004256C9">
        <w:t>–</w:t>
      </w:r>
      <w:r>
        <w:t>2016 годы. Он также приветствует прогресс, достигнутый в деле расширения охвата детей вакцинацией и снижения показателей смертности детей в возрасте до пяти лет и передачи ВИЧ от матери к ребенку.</w:t>
      </w:r>
    </w:p>
    <w:p w:rsidR="004256C9" w:rsidRPr="0007456C" w:rsidRDefault="004256C9" w:rsidP="004256C9">
      <w:pPr>
        <w:pStyle w:val="HChG"/>
      </w:pPr>
      <w:r>
        <w:tab/>
        <w:t>III.</w:t>
      </w:r>
      <w:r>
        <w:tab/>
        <w:t xml:space="preserve">Основные проблемы, вызывающие обеспокоенность, </w:t>
      </w:r>
      <w:r>
        <w:br/>
        <w:t>и рекомендации</w:t>
      </w:r>
    </w:p>
    <w:p w:rsidR="004256C9" w:rsidRPr="0007456C" w:rsidRDefault="004256C9" w:rsidP="004256C9">
      <w:pPr>
        <w:pStyle w:val="SingleTxtG"/>
      </w:pPr>
      <w:r>
        <w:t>4.</w:t>
      </w:r>
      <w:r>
        <w:tab/>
        <w:t xml:space="preserve"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</w:t>
      </w:r>
      <w:r>
        <w:lastRenderedPageBreak/>
        <w:t>порнографии, на протяжении всего процесса осуществления Повестки дня в области устойчивого развития на период до 2030 года. 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:rsidR="004256C9" w:rsidRPr="0007456C" w:rsidRDefault="004256C9" w:rsidP="004256C9">
      <w:pPr>
        <w:pStyle w:val="H1G"/>
      </w:pPr>
      <w:r>
        <w:tab/>
        <w:t>A.</w:t>
      </w:r>
      <w:r>
        <w:tab/>
      </w:r>
      <w:r>
        <w:rPr>
          <w:bCs/>
        </w:rPr>
        <w:t>Общие меры по осуществлению (статьи 4, 42 и 44 (пункт 6))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Оговорки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>5.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представленной государством-участником информации о том, что для снятия оговорки по статье 1 Конвенции не существует никаких «правовых препятствий» (CRC/C/BWA/2-3, пункт 20), Комитет напоминает о своих предыдущих рекомендациях (CRC/C/15/Add.242, пункт 9) и настоятельно призывает государство-участник ускорить процесс снятия своей оговорки по статье 1.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r>
        <w:t xml:space="preserve"> </w:t>
      </w:r>
    </w:p>
    <w:p w:rsidR="004256C9" w:rsidRPr="0007456C" w:rsidRDefault="004256C9" w:rsidP="004256C9">
      <w:pPr>
        <w:pStyle w:val="SingleTxtG"/>
      </w:pPr>
      <w:r>
        <w:t>6.</w:t>
      </w:r>
      <w:r>
        <w:tab/>
        <w:t xml:space="preserve">Комитет приветствует принятие в 2009 году Закона о детях, а в 2018 году поправок к Уголовному кодексу с целью его приведения в соответствие с Конвенцией, однако по-прежнему обеспокоен тем, что некоторые касающиеся детей законы, включая Закон об усыновлении/удочерении, Закон о браке, Закон о процедурах установления отцовства/материнства, Закон о защите брошенных жен и </w:t>
      </w:r>
      <w:proofErr w:type="gramStart"/>
      <w:r>
        <w:t>детей</w:t>
      </w:r>
      <w:proofErr w:type="gramEnd"/>
      <w:r>
        <w:t xml:space="preserve"> и Закон о завещаниях, не согласуются с Конвенцией.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привести свое законодательство в полное соответствие с принципами и положениями Конвенции в тесной консультации с детскими организациями и организациями гражданского общества;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b)</w:t>
      </w:r>
      <w:r w:rsidRPr="004256C9">
        <w:rPr>
          <w:b/>
        </w:rPr>
        <w:tab/>
      </w:r>
      <w:r>
        <w:rPr>
          <w:b/>
          <w:bCs/>
        </w:rPr>
        <w:t>проводить оценки воздействия на права ребенка любых новых нормативно-правовых актов, принимаемых на национальном уровне.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  <w:r>
        <w:t xml:space="preserve"> </w:t>
      </w:r>
    </w:p>
    <w:p w:rsidR="004256C9" w:rsidRPr="0007456C" w:rsidRDefault="004256C9" w:rsidP="004256C9">
      <w:pPr>
        <w:pStyle w:val="SingleTxtG"/>
      </w:pPr>
      <w:r>
        <w:t>8.</w:t>
      </w:r>
      <w:r>
        <w:tab/>
        <w:t xml:space="preserve">Комитет приветствует Национальный план действий в интересах детей </w:t>
      </w:r>
      <w:r>
        <w:br/>
        <w:t xml:space="preserve">на 2006–2016 годы и Национальный план действий в интересах сирот и уязвимых </w:t>
      </w:r>
      <w:r>
        <w:br/>
        <w:t>детей на 2010–2016 годы, однако выражает обеспокоенность неэффективным осуществлением и оценкой этих планов, что отчасти обусловлено отсутствием достаточных ресурсов.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>9.</w:t>
      </w:r>
      <w:r>
        <w:tab/>
      </w:r>
      <w:r>
        <w:rPr>
          <w:b/>
          <w:bCs/>
        </w:rPr>
        <w:t>Комитет рекомендует государству-участнику провести оценку своих национальных планов действий в отношении детей с целью принятия нового национального плана действий, который бы надлежащим образом обеспечивался ресурсами, охватывал все области, затрагиваемые Конвенцией, и включал установленные на конкретный срок и поддающиеся измерению задачи и целевые показатели для эффективного мониторинга и оценки прогресса в деле осуществления прав детей.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С обеспокоенностью отмечая, что Национальный совет по делам детей и деревенские комитеты по защите детей не функционируют в полной мере, главным образом из-за нехватки ресурсов, Комитет рекомендует государству-участнику активизировать свои усилия по координации осуществления Конвенции, в том числе путем предоставления Совету достаточных полномочий для координации всей деятельности, связанной с осуществлением Конвенции на кросс-секторальном, национальном, региональном и местном уровнях, и выделения Совету и деревенским комитетам по защите детей необходимых людских, технических и финансовых ресурсов для их эффективной работы.</w:t>
      </w:r>
    </w:p>
    <w:p w:rsidR="004256C9" w:rsidRPr="0007456C" w:rsidRDefault="004256C9" w:rsidP="004256C9">
      <w:pPr>
        <w:pStyle w:val="H23G"/>
      </w:pPr>
      <w:r>
        <w:lastRenderedPageBreak/>
        <w:tab/>
      </w:r>
      <w:r>
        <w:tab/>
      </w:r>
      <w:r>
        <w:rPr>
          <w:bCs/>
        </w:rPr>
        <w:t>Выделение ресурсов</w:t>
      </w:r>
    </w:p>
    <w:p w:rsidR="004256C9" w:rsidRPr="0007456C" w:rsidRDefault="004256C9" w:rsidP="004256C9">
      <w:pPr>
        <w:pStyle w:val="SingleTxtG"/>
      </w:pPr>
      <w:r>
        <w:t>11.</w:t>
      </w:r>
      <w:r>
        <w:tab/>
        <w:t>Комитет с одобрением отмечает выделение государством-участником значительных ресурсов на социальный сектор, в том числе на выплату пособий на детей и семейных пособий, но обеспокоен тем, что бюджетные ассигнования не соответствуют потребностям. Он также сожалеет о недостаточном объеме ресурсов, выделяемых на здравоохранение и начальное образование, а также об отсутствии системы контроля за выделением и использованием ресурсов для осуществления прав детей. Кроме того, хотя Комитет отмечает усилия, предпринимаемые государством-участником в целях борьбы с коррупцией, он обеспокоен случаями коррупции и незаконными финансовыми потоками, которые отвлекают ресурсы, необходимые для реализации прав детей.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Со ссылкой на свое замечание общего порядка № 19 (2016) о государственных бюджетных ассигнованиях для осуществления прав детей Комитет рекомендует государству-участнику:</w:t>
      </w:r>
      <w:r>
        <w:t xml:space="preserve"> 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выделять достаточные людские, финансовые и технические ресурсы для осуществления всех стратегий, планов, программ и законодательных мер, ориентированных на детей;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b)</w:t>
      </w:r>
      <w:r w:rsidRPr="004256C9">
        <w:rPr>
          <w:b/>
        </w:rPr>
        <w:tab/>
      </w:r>
      <w:r>
        <w:rPr>
          <w:b/>
          <w:bCs/>
        </w:rPr>
        <w:t>ввести процедуру составления бюджета, обеспечивающую учет проблематики прав детей и предусматривающую выделение конкретных ассигнований на нужды детей в соответствующих секторах и ведомствах, а также использование конкретных показателей и системы отслеживания для мониторинга и оценки достаточности, эффективности и равномерности распределения ресурсов, выделяемых на осуществление Конвенции;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с)</w:t>
      </w:r>
      <w:r w:rsidRPr="004256C9">
        <w:rPr>
          <w:b/>
        </w:rPr>
        <w:tab/>
      </w:r>
      <w:r>
        <w:rPr>
          <w:b/>
          <w:bCs/>
        </w:rPr>
        <w:t>укрепить давно принятые меры по борьбе с коррупцией в сфере государственных закупок и незаконными финансовыми потоками и наращивать существующий институциональный потенциал для действенного выявления и расследования случаев коррупции и преследования виновных.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 xml:space="preserve">Ссылаясь на свои предыдущие рекомендации (CRC/C/15/Add.242, </w:t>
      </w:r>
      <w:r>
        <w:rPr>
          <w:b/>
          <w:bCs/>
        </w:rPr>
        <w:br/>
        <w:t>пункт 22), Комитет рекомендует государству-участнику: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оперативно создать социальный реестр и обеспечить его функционирование в качестве всеобъемлющей системы сбора данных, охватывающей все области Конвенции, с разбивкой данных по возрасту, полу, инвалидности, национальности, географическому местонахождению и социально-экономическому положению в целях содействия проведению анализа положения всех детей;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b)</w:t>
      </w:r>
      <w:r w:rsidRPr="004256C9">
        <w:rPr>
          <w:b/>
        </w:rPr>
        <w:tab/>
      </w:r>
      <w:r>
        <w:rPr>
          <w:b/>
          <w:bCs/>
        </w:rPr>
        <w:t>обеспечить эффективную координацию и согласование сбора данных соответствующими министерствами, организациями гражданского общества и партнерами по развитию во избежание дублирования и расхождений в данных, в том числе путем широкого обмена имеющимися данными и показателями;</w:t>
      </w:r>
      <w:r>
        <w:t xml:space="preserve"> </w:t>
      </w:r>
    </w:p>
    <w:p w:rsidR="004256C9" w:rsidRPr="007E7D38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с)</w:t>
      </w:r>
      <w:r w:rsidRPr="004256C9">
        <w:rPr>
          <w:b/>
        </w:rPr>
        <w:tab/>
      </w:r>
      <w:r>
        <w:rPr>
          <w:b/>
          <w:bCs/>
        </w:rPr>
        <w:t>обеспечить, чтобы данные использовались для разработки, мониторинга и оценки мер политики, программ и проектов в интересах эффективного осуществления Конвенции;</w:t>
      </w:r>
    </w:p>
    <w:p w:rsidR="004256C9" w:rsidRPr="004256C9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d)</w:t>
      </w:r>
      <w:r w:rsidRPr="004256C9">
        <w:rPr>
          <w:b/>
        </w:rPr>
        <w:tab/>
        <w:t xml:space="preserve">укреплять техническое сотрудничество, в частности, с Детским фондом Организации Объединенных Наций (ЮНИСЕФ) и учитывать доклад Управления Верховного комиссара Организации Объединенных Наций по правам человека (УВКПЧ), озаглавленный </w:t>
      </w:r>
      <w:r>
        <w:rPr>
          <w:b/>
        </w:rPr>
        <w:t>«</w:t>
      </w:r>
      <w:r w:rsidRPr="004256C9">
        <w:rPr>
          <w:b/>
        </w:rPr>
        <w:t xml:space="preserve">Показатели соблюдения прав человека: </w:t>
      </w:r>
      <w:proofErr w:type="gramStart"/>
      <w:r w:rsidRPr="004256C9">
        <w:rPr>
          <w:b/>
        </w:rPr>
        <w:t>руководство по количественной оценке</w:t>
      </w:r>
      <w:proofErr w:type="gramEnd"/>
      <w:r w:rsidRPr="004256C9">
        <w:rPr>
          <w:b/>
        </w:rPr>
        <w:t xml:space="preserve"> и осуществлению</w:t>
      </w:r>
      <w:r>
        <w:rPr>
          <w:b/>
        </w:rPr>
        <w:t>»</w:t>
      </w:r>
      <w:r w:rsidRPr="004256C9">
        <w:rPr>
          <w:b/>
        </w:rPr>
        <w:t>, при определении, сборе и распространении статистической информации.</w:t>
      </w:r>
    </w:p>
    <w:p w:rsidR="004256C9" w:rsidRPr="0007456C" w:rsidRDefault="004256C9" w:rsidP="004256C9">
      <w:pPr>
        <w:pStyle w:val="H23G"/>
        <w:pageBreakBefore/>
      </w:pPr>
      <w:r>
        <w:lastRenderedPageBreak/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безотлагательно внести поправки в Закон об омбудсмене с целью создания независимого национального правозащитного учреждения, которое бы соответствовало принципам, касающимся статуса национальных учреждений, занимающихся поощрением и защитой прав человека (Парижские принципы), и обеспечить, чтобы это учреждение было наделено четким мандатом осуществлять действенный мониторинг ситуации с осуществлением прав ребенка, а также получать, расследовать и рассматривать поступающие от детей жалобы с учетом интересов детей;</w:t>
      </w:r>
      <w:r>
        <w:t xml:space="preserve"> 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b)</w:t>
      </w:r>
      <w:r w:rsidRPr="004256C9">
        <w:rPr>
          <w:b/>
        </w:rPr>
        <w:tab/>
      </w:r>
      <w:r>
        <w:rPr>
          <w:b/>
          <w:bCs/>
        </w:rPr>
        <w:t>наладить техническое сотрудничество для создания этого учреждения, в частности с УВКПЧ, ЮНИСЕФ и Программой развития Организации Объединенных Наций (ПРООН).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 xml:space="preserve">Распространение информации, повышение уровня осведомленности </w:t>
      </w:r>
      <w:r>
        <w:rPr>
          <w:bCs/>
        </w:rPr>
        <w:br/>
        <w:t>и подготовка</w:t>
      </w:r>
    </w:p>
    <w:p w:rsidR="004256C9" w:rsidRPr="0007456C" w:rsidRDefault="004256C9" w:rsidP="004256C9">
      <w:pPr>
        <w:pStyle w:val="SingleTxtG"/>
      </w:pPr>
      <w:r>
        <w:t>15.</w:t>
      </w:r>
      <w:r>
        <w:tab/>
        <w:t>Комитет приветствует меры, принятые с целью повышения уровня информированности о Конвенции, в том числе среди сотрудников правоохранительных органов, парламентариев и лидеров общин, однако обеспокоен тем, что Конвенция и Закон о детях недостаточно хорошо известны среди населения в целом и детей в частности.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 xml:space="preserve">Ссылаясь на свои предыдущие рекомендации (CRC/C/15/Add.242, </w:t>
      </w:r>
      <w:r>
        <w:rPr>
          <w:b/>
          <w:bCs/>
        </w:rPr>
        <w:br/>
        <w:t>пункт 24), Комитет рекомендует государству-участнику: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активизировать в тесном сотрудничестве с организациями гражданского общества усилия по повышению уровня осведомленности о Конвенции и Законе о детях на всей территории страны, уделяя особое внимание отдаленным и сельским районам;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b)</w:t>
      </w:r>
      <w:r w:rsidRPr="004256C9">
        <w:rPr>
          <w:b/>
        </w:rPr>
        <w:tab/>
      </w:r>
      <w:r>
        <w:rPr>
          <w:b/>
          <w:bCs/>
        </w:rPr>
        <w:t>обеспечивать надлежащую и систематическую подготовку профессиональных групп, работающих с детьми и в их интересах, таких как парламентарии, сотрудники правоохранительных органов, учителя, юристы, медицинские работники и лидеры общин;</w:t>
      </w:r>
      <w:r>
        <w:t xml:space="preserve"> 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с)</w:t>
      </w:r>
      <w:r w:rsidRPr="004256C9">
        <w:rPr>
          <w:b/>
        </w:rPr>
        <w:tab/>
      </w:r>
      <w:r>
        <w:rPr>
          <w:b/>
          <w:bCs/>
        </w:rPr>
        <w:t xml:space="preserve">перевести Закон о детях на язык </w:t>
      </w:r>
      <w:proofErr w:type="spellStart"/>
      <w:r>
        <w:rPr>
          <w:b/>
          <w:bCs/>
        </w:rPr>
        <w:t>сетсвана</w:t>
      </w:r>
      <w:proofErr w:type="spellEnd"/>
      <w:r>
        <w:rPr>
          <w:b/>
          <w:bCs/>
        </w:rPr>
        <w:t xml:space="preserve"> и распространить его в доступной и удобной для детей форме.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</w:p>
    <w:p w:rsidR="004256C9" w:rsidRPr="0007456C" w:rsidRDefault="004256C9" w:rsidP="004256C9">
      <w:pPr>
        <w:pStyle w:val="SingleTxtG"/>
      </w:pPr>
      <w:r>
        <w:t>17.</w:t>
      </w:r>
      <w:r>
        <w:tab/>
        <w:t>Комитет отмечает, что государство-участник сотрудничает с гражданским обществом на основе официальных соглашений. Вместе с тем он обеспокоен тем, что с гражданским обществом не проводятся достаточные консультации по различным аспектам прав детей, помимо тех, которые связаны с предоставлением услуг.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укреплять сотрудничество с организациями гражданского общества, работающими в области прав детей, предоставлять им необходимую защиту и систематически привлекать их к разработке, осуществлению, мониторингу и оценке законов, политики и программ, касающихся детей;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b)</w:t>
      </w:r>
      <w:r w:rsidRPr="004256C9">
        <w:rPr>
          <w:b/>
        </w:rPr>
        <w:tab/>
      </w:r>
      <w:r>
        <w:rPr>
          <w:b/>
          <w:bCs/>
        </w:rPr>
        <w:t>оказывать организациям гражданского общества поддержку, необходимую для осуществления их деятельности во всех областях, связанных с поощрением и защитой прав ребенка, уважая при этом их право на свободу ассоциации и собраний;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с)</w:t>
      </w:r>
      <w:r w:rsidRPr="004256C9">
        <w:rPr>
          <w:b/>
        </w:rPr>
        <w:tab/>
      </w:r>
      <w:r>
        <w:rPr>
          <w:b/>
          <w:bCs/>
        </w:rPr>
        <w:t>официально закрепить участие организаций гражданского общества в тематических рабочих группах Стратегии Ботсваны на период до 2036 года.</w:t>
      </w:r>
    </w:p>
    <w:p w:rsidR="004256C9" w:rsidRPr="0007456C" w:rsidRDefault="004256C9" w:rsidP="004256C9">
      <w:pPr>
        <w:pStyle w:val="H1G"/>
      </w:pPr>
      <w:r>
        <w:lastRenderedPageBreak/>
        <w:tab/>
        <w:t>B.</w:t>
      </w:r>
      <w:r>
        <w:tab/>
        <w:t xml:space="preserve">Определение понятия «ребенок» (статья 1) </w:t>
      </w:r>
    </w:p>
    <w:p w:rsidR="004256C9" w:rsidRPr="0007456C" w:rsidRDefault="004256C9" w:rsidP="004256C9">
      <w:pPr>
        <w:pStyle w:val="SingleTxtG"/>
      </w:pPr>
      <w:r>
        <w:t>19.</w:t>
      </w:r>
      <w:r>
        <w:tab/>
        <w:t>Комитет приветствует определение понятия «ребенок» в Законе о детях и предпринимаемые усилия по внесению поправок в Закон о браке, но в то же время обеспокоен тем, что запрет детских браков в Законе о браке не распространяется на браки, заключаемые по обычному праву, и религиозные браки.</w:t>
      </w:r>
    </w:p>
    <w:p w:rsidR="004256C9" w:rsidRPr="009A008C" w:rsidRDefault="004256C9" w:rsidP="004256C9">
      <w:pPr>
        <w:pStyle w:val="SingleTxtG"/>
        <w:rPr>
          <w:b/>
          <w:bCs/>
        </w:rPr>
      </w:pPr>
      <w:r>
        <w:t>20.</w:t>
      </w:r>
      <w:r>
        <w:tab/>
      </w:r>
      <w:r>
        <w:rPr>
          <w:b/>
          <w:bCs/>
        </w:rPr>
        <w:t xml:space="preserve">Ссылаясь на свои предыдущие рекомендации (CRC/C/15/Add.242, </w:t>
      </w:r>
      <w:r>
        <w:rPr>
          <w:b/>
          <w:bCs/>
        </w:rPr>
        <w:br/>
        <w:t>пункты 11 и 26), Комитет рекомендует государству-участнику в срочном порядке внести поправки в Закон о браке с целью запрета всех браков, в том числе браков, заключаемых по обычному праву, и религиозных браков, для лиц в возрасте младше 18 лет.</w:t>
      </w:r>
      <w:r>
        <w:t xml:space="preserve"> </w:t>
      </w:r>
    </w:p>
    <w:p w:rsidR="004256C9" w:rsidRPr="0007456C" w:rsidRDefault="004256C9" w:rsidP="004256C9">
      <w:pPr>
        <w:pStyle w:val="H1G"/>
      </w:pPr>
      <w:r>
        <w:tab/>
        <w:t>C.</w:t>
      </w:r>
      <w:r>
        <w:tab/>
      </w:r>
      <w:r>
        <w:rPr>
          <w:bCs/>
        </w:rPr>
        <w:t>Общие принципы (статьи 2, 3, 6 и 12)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proofErr w:type="spellStart"/>
      <w:r>
        <w:t>Недискриминация</w:t>
      </w:r>
      <w:proofErr w:type="spellEnd"/>
    </w:p>
    <w:p w:rsidR="004256C9" w:rsidRPr="0007456C" w:rsidRDefault="004256C9" w:rsidP="004256C9">
      <w:pPr>
        <w:pStyle w:val="SingleTxtG"/>
      </w:pPr>
      <w:r>
        <w:t>21.</w:t>
      </w:r>
      <w:r>
        <w:tab/>
        <w:t>Комитет отмечает запрещение дискриминации в Законе о детях, однако обеспокоен тем, что некоторые группы детей страдают от дискриминационного отношения и неравенства в части доступа к базовым услугам.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 xml:space="preserve">активизировать свои усилия по искоренению всех видов дискриминационной политики и практики, в частности путем обеспечения доступа к социальным услугам для детей, проживающих в отдаленных районах, и детей иностранного гражданства, организации подготовки по вопросам борьбы с дискриминацией для сотрудников правоохранительных органов и включения принципа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 xml:space="preserve"> в школьную программу, с тем чтобы обеспечить осуществление детьми всех прав, закрепленных в статье 2 Конвенции;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>проводить всеобъемлющие просветительские и информационно-пропагандистские программы, включая кампании, в целях пресечения и предотвращения дискриминации в отношении детей-инвалидов, безнадзорных детей, детей, рожденных от не состоящих в браке родителей, сирот и детей, охваченных системой патронатного ухода, детей, затронутых ВИЧ/СПИДом, и детей, являющихся гражданами других стран.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:rsidR="004256C9" w:rsidRPr="0007456C" w:rsidRDefault="004256C9" w:rsidP="004256C9">
      <w:pPr>
        <w:pStyle w:val="SingleTxtG"/>
      </w:pPr>
      <w:r>
        <w:t>23.</w:t>
      </w:r>
      <w:r>
        <w:tab/>
        <w:t xml:space="preserve">Комитет приветствует эксплицитное признание в Законе о детях права ребенка на </w:t>
      </w:r>
      <w:proofErr w:type="spellStart"/>
      <w:r>
        <w:t>уделение</w:t>
      </w:r>
      <w:proofErr w:type="spellEnd"/>
      <w:r>
        <w:t xml:space="preserve"> первоочередного внимания наилучшему обеспечению его интересов, а также позитивное применение этого права в решениях Высокого суда. Тем не менее он по-прежнему обеспокоен тем, что это право не в полной мере применяется в затрагивающих детей решениях, особенно в решениях судов низшей инстанции и специалистами, которые работают с детьми и в их интересах.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 xml:space="preserve">Ссылаясь на свое замечание общего порядка № 14 (2013) о праве ребенка на </w:t>
      </w:r>
      <w:proofErr w:type="spellStart"/>
      <w:r>
        <w:rPr>
          <w:b/>
          <w:bCs/>
        </w:rPr>
        <w:t>уделение</w:t>
      </w:r>
      <w:proofErr w:type="spellEnd"/>
      <w:r>
        <w:rPr>
          <w:b/>
          <w:bCs/>
        </w:rPr>
        <w:t xml:space="preserve"> первоочередного внимания наилучшему обеспечению его интересов, Комитет рекомендует государству-участнику:</w:t>
      </w:r>
    </w:p>
    <w:p w:rsidR="004256C9" w:rsidRPr="004256C9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a)</w:t>
      </w:r>
      <w:r w:rsidRPr="004256C9">
        <w:rPr>
          <w:b/>
        </w:rPr>
        <w:tab/>
        <w:t>укреплять свои усилия по обеспечению надлежащего закрепления, последовательного толкования и применения этого права в рамках всех законодательных, административных и судебных процедур и решений, а также во всей соответствующей политике, программах и проектах, которые имеют отношение к детям и затрагивают их интересы;</w:t>
      </w:r>
    </w:p>
    <w:p w:rsidR="004256C9" w:rsidRPr="00F130DC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 xml:space="preserve">разработать процедуры и критерии, которыми бы руководствовались все соответствующие лица в целях определения наилучших интересов ребенка в любой сфере и </w:t>
      </w:r>
      <w:proofErr w:type="spellStart"/>
      <w:r>
        <w:rPr>
          <w:b/>
          <w:bCs/>
        </w:rPr>
        <w:t>уделения</w:t>
      </w:r>
      <w:proofErr w:type="spellEnd"/>
      <w:r>
        <w:rPr>
          <w:b/>
          <w:bCs/>
        </w:rPr>
        <w:t xml:space="preserve"> должного внимания их наилучшему обеспечению, а также обеспечить, чтобы все эти лица проходили соответствующую подготовку.</w:t>
      </w:r>
    </w:p>
    <w:p w:rsidR="004256C9" w:rsidRPr="0007456C" w:rsidRDefault="004256C9" w:rsidP="004256C9">
      <w:pPr>
        <w:pStyle w:val="H23G"/>
      </w:pPr>
      <w:r>
        <w:lastRenderedPageBreak/>
        <w:tab/>
      </w:r>
      <w:r>
        <w:tab/>
      </w:r>
      <w:r>
        <w:rPr>
          <w:bCs/>
        </w:rPr>
        <w:t>Право на жизнь, выживание и развитие</w:t>
      </w:r>
    </w:p>
    <w:p w:rsidR="004256C9" w:rsidRPr="005C4460" w:rsidRDefault="004256C9" w:rsidP="004256C9">
      <w:pPr>
        <w:pStyle w:val="SingleTxtG"/>
      </w:pPr>
      <w:r>
        <w:t>25.</w:t>
      </w:r>
      <w:r>
        <w:tab/>
        <w:t>Комитет с удовлетворением отмечает Комплексную стратегию в области репродуктивного, материнского, неонатального, детского и подросткового здоровья и питания на 2018–2022 годы и Рамочную программу развития детей младшего возраста, а также значительный прогресс в деле снижения уровня смертности детей в возрасте до пяти лет. Вместе с тем Комитет серьезно обеспокоен сохраняющимися высокими показателями смертности детей в возрасте до пяти лет и высокими показателями неонатальной и детской смертности в результате поддающихся профилактике заболеваний, включая недоедание и ВИЧ/СПИД.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рекомендует государству-участнику:</w:t>
      </w:r>
      <w:r>
        <w:t xml:space="preserve"> 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a)</w:t>
      </w:r>
      <w:r w:rsidRPr="004256C9">
        <w:rPr>
          <w:b/>
        </w:rPr>
        <w:tab/>
      </w:r>
      <w:r>
        <w:rPr>
          <w:b/>
          <w:bCs/>
        </w:rPr>
        <w:t>выделять достаточные ресурсы на реализацию комплексной стратегии в области репродуктивного, материнского, неонатального, детского и подросткового здоровья и питания с целью ускорения прогресса в решении проблем нищеты, социального обеспечения и здравоохранения, а также обеспечить полное осуществление детьми права на жизнь, выживание и развитие;</w:t>
      </w:r>
      <w:r>
        <w:t xml:space="preserve"> </w:t>
      </w:r>
    </w:p>
    <w:p w:rsidR="004256C9" w:rsidRPr="00F130DC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>активизировать меры в целях ликвидации предотвратимой младенческой смертности и смертности детей в возрасте до пяти лет, в частности путем совершенствования дородового ухода, организации подготовки медицинского персонала по вопросам профилактики и клинического устранения основных причин смертности новорожденных и детей и применения Технического руководства УВКПЧ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(A/HRC/27/31);</w:t>
      </w:r>
      <w:r>
        <w:t xml:space="preserve"> </w:t>
      </w:r>
    </w:p>
    <w:p w:rsidR="004256C9" w:rsidRPr="00F130DC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с)</w:t>
      </w:r>
      <w:r w:rsidRPr="004256C9">
        <w:rPr>
          <w:b/>
        </w:rPr>
        <w:tab/>
      </w:r>
      <w:r>
        <w:rPr>
          <w:b/>
          <w:bCs/>
        </w:rPr>
        <w:t>создать механизм для эффективного осуществления, мониторинга и оценки Рамочной программы развития детей младшего возраста.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Уважение взглядов ребенка</w:t>
      </w:r>
    </w:p>
    <w:p w:rsidR="004256C9" w:rsidRPr="0007456C" w:rsidRDefault="004256C9" w:rsidP="004256C9">
      <w:pPr>
        <w:pStyle w:val="SingleTxtG"/>
      </w:pPr>
      <w:r>
        <w:t>27.</w:t>
      </w:r>
      <w:r>
        <w:tab/>
        <w:t>Приветствуя создание Детского консультативного форума и деревенских комитетов по защите детей для обеспечения участия детей на национальном и деревенском уровнях, а также школьных советов в средних школах, Комитет в то же время обеспокоен тем, что такие механизмы не способствуют осмысленному и полноправному участию детей в решении затрагивающих их вопросов. Он также обеспокоен отсутствием процедур или инструкций, имеющих целью обеспечить уважение взглядов ребенка в ходе административных и судебных разбирательств.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 xml:space="preserve">Ссылаясь на свое замечание общего порядка № 12 (2009) о праве ребенка быть заслушанным и свои предыдущие рекомендации (CRC/C/15/Add.242, </w:t>
      </w:r>
      <w:r>
        <w:rPr>
          <w:b/>
          <w:bCs/>
        </w:rPr>
        <w:br/>
        <w:t>пункт 33), Комитет рекомендует государству-участнику:</w:t>
      </w:r>
      <w:r>
        <w:t xml:space="preserve"> </w:t>
      </w:r>
    </w:p>
    <w:p w:rsidR="004256C9" w:rsidRPr="00F130DC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a)</w:t>
      </w:r>
      <w:r w:rsidRPr="004256C9">
        <w:rPr>
          <w:b/>
        </w:rPr>
        <w:tab/>
      </w:r>
      <w:r>
        <w:rPr>
          <w:b/>
          <w:bCs/>
        </w:rPr>
        <w:t>обеспечить, чтобы мнения детей должным образом учитывались в судах, школах, в рамках административных и иных процессов, касающихся детей, а также в семье, в частности посредством подготовки специалистов, работающих с детьми и в интересах детей, и разработки операционных процедур или инструкций для обеспечения уважения мнений детей в ходе административных и судебных разбирательств;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>выделять достаточные технические, людские и финансовые ресурсы для эффективного функционирования Детского консультативного форума и деревенских комитетов по защите детей и обеспечить систематический учет результатов их деятельности в процессе принятия государственных решений;</w:t>
      </w:r>
    </w:p>
    <w:p w:rsidR="004256C9" w:rsidRPr="00F130DC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с)</w:t>
      </w:r>
      <w:r w:rsidRPr="004256C9">
        <w:rPr>
          <w:b/>
        </w:rPr>
        <w:tab/>
      </w:r>
      <w:r>
        <w:rPr>
          <w:b/>
          <w:bCs/>
        </w:rPr>
        <w:t>проводить информационно-просветительские мероприятия в целях поощрения осмысленного и полноправного участия всех детей в жизни семьи, общины и школы, в том числе в работе ученических советов, уделяя особое внимание девочкам, детям-инвалидам и детям, затронутым ВИЧ/СПИДом.</w:t>
      </w:r>
    </w:p>
    <w:p w:rsidR="004256C9" w:rsidRPr="0007456C" w:rsidRDefault="004256C9" w:rsidP="004256C9">
      <w:pPr>
        <w:pStyle w:val="H1G"/>
      </w:pPr>
      <w:r>
        <w:lastRenderedPageBreak/>
        <w:tab/>
        <w:t>D.</w:t>
      </w:r>
      <w:r>
        <w:tab/>
      </w:r>
      <w:r>
        <w:rPr>
          <w:bCs/>
        </w:rPr>
        <w:t>Гражданские права и свободы (статьи 7, 8 и 13–17)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Регистрация рождения и гражданство</w:t>
      </w:r>
    </w:p>
    <w:p w:rsidR="004256C9" w:rsidRPr="0007456C" w:rsidRDefault="004256C9" w:rsidP="004256C9">
      <w:pPr>
        <w:pStyle w:val="SingleTxtG"/>
      </w:pPr>
      <w:r>
        <w:t>29.</w:t>
      </w:r>
      <w:r>
        <w:tab/>
        <w:t xml:space="preserve">Комитет приветствует меры, принятые с целью поощрения </w:t>
      </w:r>
      <w:r>
        <w:br/>
        <w:t>регистрации рождений, в том числе посредством внесения поправок в Закон о национальной регистрации, но по-прежнему обеспокоен значительным числом незарегистрированных детей, особенно детей в отдаленных районах, детей-беженцев, детей</w:t>
      </w:r>
      <w:r w:rsidR="00F13D36">
        <w:t xml:space="preserve"> – </w:t>
      </w:r>
      <w:r>
        <w:t xml:space="preserve">просителей убежища и брошенных детей. Он также обеспокоен сохранением барьеров, препятствующих регистрации рождений, и отсутствием гарантий для недопущения </w:t>
      </w:r>
      <w:proofErr w:type="spellStart"/>
      <w:r>
        <w:t>безгражданства</w:t>
      </w:r>
      <w:proofErr w:type="spellEnd"/>
      <w:r>
        <w:t xml:space="preserve"> детей-беженцев и детей – просителей убежища.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Принимая во внимание задачу 16.9 Целей в области устойчивого развития, Комитет настоятельно призывает государство-участник:</w:t>
      </w:r>
      <w:r>
        <w:t xml:space="preserve"> </w:t>
      </w:r>
    </w:p>
    <w:p w:rsidR="004256C9" w:rsidRPr="00F130DC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a)</w:t>
      </w:r>
      <w:r w:rsidRPr="004256C9">
        <w:rPr>
          <w:b/>
        </w:rPr>
        <w:tab/>
      </w:r>
      <w:r>
        <w:rPr>
          <w:b/>
          <w:bCs/>
        </w:rPr>
        <w:t>активизировать усилия по обеспечению всеобщей регистрации, в частности путем устранения административных препятствий, увеличения числа центров регистрации рождений при медицинских учреждениях, расширения масштабов мобильных регистрационных кампаний и повышения уровня осведомленности о важности регистрации рождений, уделяя особое внимание беженцам и детям, живущим в учреждениях альтернативного ухода, кочевых общинах и отдаленных районах;</w:t>
      </w:r>
    </w:p>
    <w:p w:rsidR="004256C9" w:rsidRPr="00F130DC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 xml:space="preserve">рассмотреть вопрос о снятии своей оговорки к Конвенции о статусе беженцев и ратификации Конвенции о сокращении </w:t>
      </w:r>
      <w:proofErr w:type="spellStart"/>
      <w:r>
        <w:rPr>
          <w:b/>
          <w:bCs/>
        </w:rPr>
        <w:t>безгражданства</w:t>
      </w:r>
      <w:proofErr w:type="spellEnd"/>
      <w:r>
        <w:rPr>
          <w:b/>
          <w:bCs/>
        </w:rPr>
        <w:t xml:space="preserve"> и привести свое национальное законодательство в соответствие с этими международными договорами, в том числе путем установления гарантий недопущения того, чтобы дети не имели гражданства;</w:t>
      </w:r>
    </w:p>
    <w:p w:rsidR="004256C9" w:rsidRPr="00F130DC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с)</w:t>
      </w:r>
      <w:r w:rsidRPr="004256C9">
        <w:rPr>
          <w:b/>
        </w:rPr>
        <w:tab/>
      </w:r>
      <w:r>
        <w:rPr>
          <w:b/>
          <w:bCs/>
        </w:rPr>
        <w:t xml:space="preserve">обратиться, в частности, в Управление Верховного комиссара Организации Объединенных Наций по делам беженцев (УВКБ) и ЮНИСЕФ за технической помощью в отношении мер по обеспечению регистрации и предотвращению </w:t>
      </w:r>
      <w:proofErr w:type="spellStart"/>
      <w:r>
        <w:rPr>
          <w:b/>
          <w:bCs/>
        </w:rPr>
        <w:t>безгражданства</w:t>
      </w:r>
      <w:proofErr w:type="spellEnd"/>
      <w:r>
        <w:rPr>
          <w:b/>
          <w:bCs/>
        </w:rPr>
        <w:t xml:space="preserve"> детей.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Свобода выражения мнений</w:t>
      </w:r>
    </w:p>
    <w:p w:rsidR="004256C9" w:rsidRPr="0007456C" w:rsidRDefault="004256C9" w:rsidP="004256C9">
      <w:pPr>
        <w:pStyle w:val="SingleTxtG"/>
      </w:pPr>
      <w:r>
        <w:t>31.</w:t>
      </w:r>
      <w:r>
        <w:tab/>
        <w:t>Отмечая, что Закон о детях гарантирует свободу выражения мнений, Комитет обеспокоен тем, что преобладающие традиционные культурные и социальные установки затрудняют свободное выражение детьми своих мнений по общественным вопросам.</w:t>
      </w:r>
    </w:p>
    <w:p w:rsidR="004256C9" w:rsidRPr="0037440F" w:rsidRDefault="004256C9" w:rsidP="004256C9">
      <w:pPr>
        <w:pStyle w:val="SingleTxtG"/>
        <w:rPr>
          <w:b/>
          <w:bCs/>
        </w:rPr>
      </w:pPr>
      <w:r>
        <w:t>32.</w:t>
      </w:r>
      <w:r>
        <w:tab/>
      </w:r>
      <w:r>
        <w:rPr>
          <w:b/>
          <w:bCs/>
        </w:rPr>
        <w:t>Комитет рекомендует государству-участнику принять меры, с тем чтобы гарантировать детям всех возрастов в соответствии с Конвенцией право на свободу выражения мнений в семье, школе и других учреждениях, а также в их общинах.</w:t>
      </w:r>
      <w:r>
        <w:t xml:space="preserve"> </w:t>
      </w:r>
    </w:p>
    <w:p w:rsidR="004256C9" w:rsidRPr="0007456C" w:rsidRDefault="004256C9" w:rsidP="004256C9">
      <w:pPr>
        <w:pStyle w:val="H23G"/>
      </w:pPr>
      <w:r>
        <w:tab/>
      </w:r>
      <w:r>
        <w:tab/>
        <w:t>Право на неприкосновенность частной жизни</w:t>
      </w:r>
    </w:p>
    <w:p w:rsidR="004256C9" w:rsidRPr="0007456C" w:rsidRDefault="004256C9" w:rsidP="004256C9">
      <w:pPr>
        <w:pStyle w:val="SingleTxtG"/>
      </w:pPr>
      <w:r>
        <w:t>33.</w:t>
      </w:r>
      <w:r>
        <w:tab/>
        <w:t xml:space="preserve">Отмечая, что право на неприкосновенность частной жизни гарантируется Законом о детях и Законом о </w:t>
      </w:r>
      <w:proofErr w:type="spellStart"/>
      <w:r>
        <w:t>киберпреступности</w:t>
      </w:r>
      <w:proofErr w:type="spellEnd"/>
      <w:r>
        <w:t xml:space="preserve"> и других соответствующих преступлениях, Комитет в то же время обеспокоен тем, что культурные установки и практика не признают право детей на неприкосновенность частной жизни и что расширение доступа детей к средствам массовой информации не сопровождается проведением соответствующих мероприятий по повышению уровня осведомленности о безопасности в Интернете.</w:t>
      </w:r>
    </w:p>
    <w:p w:rsidR="004256C9" w:rsidRPr="0037440F" w:rsidRDefault="004256C9" w:rsidP="004256C9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 xml:space="preserve">Комитет рекомендует государству-участнику принять все необходимые меры для защиты права ребенка на неприкосновенность частной жизни, </w:t>
      </w:r>
      <w:r>
        <w:rPr>
          <w:b/>
          <w:bCs/>
        </w:rPr>
        <w:br/>
        <w:t xml:space="preserve">в том числе путем разработки правил защиты частной жизни детей, надлежащей подготовки детей, учителей и семей по вопросам </w:t>
      </w:r>
      <w:proofErr w:type="spellStart"/>
      <w:r>
        <w:rPr>
          <w:b/>
          <w:bCs/>
        </w:rPr>
        <w:t>медийной</w:t>
      </w:r>
      <w:proofErr w:type="spellEnd"/>
      <w:r>
        <w:rPr>
          <w:b/>
          <w:bCs/>
        </w:rPr>
        <w:t xml:space="preserve"> грамотности и </w:t>
      </w:r>
      <w:r>
        <w:rPr>
          <w:b/>
          <w:bCs/>
        </w:rPr>
        <w:br/>
        <w:t xml:space="preserve">сетевой безопасности и проведения информационно-просветительских и образовательных программ в сотрудничестве со средствами массовой </w:t>
      </w:r>
      <w:r>
        <w:rPr>
          <w:b/>
          <w:bCs/>
        </w:rPr>
        <w:lastRenderedPageBreak/>
        <w:t>информации в целях искоренения практики нарушения права детей на неприкосновенность частной жизни.</w:t>
      </w:r>
    </w:p>
    <w:p w:rsidR="004256C9" w:rsidRPr="0007456C" w:rsidRDefault="004256C9" w:rsidP="004256C9">
      <w:pPr>
        <w:pStyle w:val="H1G"/>
      </w:pPr>
      <w:r>
        <w:tab/>
        <w:t>E.</w:t>
      </w:r>
      <w:r>
        <w:tab/>
      </w:r>
      <w:r>
        <w:rPr>
          <w:bCs/>
        </w:rPr>
        <w:t>Насилие в отношении детей (статьи 19, 24 (пункт 3), 28 (пункт 2), 34, 37 (пункт a)) и 39)</w:t>
      </w:r>
    </w:p>
    <w:p w:rsidR="004256C9" w:rsidRPr="0007456C" w:rsidRDefault="004256C9" w:rsidP="004256C9">
      <w:pPr>
        <w:pStyle w:val="H23G"/>
      </w:pPr>
      <w:r>
        <w:tab/>
      </w:r>
      <w:r>
        <w:tab/>
        <w:t>Телесные наказания</w:t>
      </w:r>
    </w:p>
    <w:p w:rsidR="004256C9" w:rsidRPr="0037440F" w:rsidRDefault="004256C9" w:rsidP="004256C9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 xml:space="preserve">Ссылаясь на свои предыдущие рекомендации (CRC/C/15/Add.242, </w:t>
      </w:r>
      <w:r>
        <w:rPr>
          <w:b/>
          <w:bCs/>
        </w:rPr>
        <w:br/>
        <w:t>пункт 37), Комитет выражает серьезную обеспокоенность в связи с тем, что телесные наказания по-прежнему узаконены во всех местах, в том числе в качестве приговора за совершение преступления, и настоятельно призывает государство-участник:</w:t>
      </w:r>
      <w:r>
        <w:t xml:space="preserve"> </w:t>
      </w:r>
    </w:p>
    <w:p w:rsidR="004256C9" w:rsidRPr="0037440F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эксплицитно и безоговорочно запретить посредством принятия законодательных и административных мер применение телесных наказаний во всех местах, в том числе дома, в школах, детских учреждениях, учреждениях альтернативного ухода и при отправлении правосудия;</w:t>
      </w:r>
    </w:p>
    <w:p w:rsidR="004256C9" w:rsidRPr="0037440F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>отменить положения о «необоснованном исправлении» в Законе о детях и об «условиях применения телесных наказаний» в Законе об образовании;</w:t>
      </w:r>
    </w:p>
    <w:p w:rsidR="004256C9" w:rsidRPr="0037440F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с)</w:t>
      </w:r>
      <w:r w:rsidRPr="004256C9">
        <w:rPr>
          <w:b/>
        </w:rPr>
        <w:tab/>
      </w:r>
      <w:r>
        <w:rPr>
          <w:b/>
          <w:bCs/>
        </w:rPr>
        <w:t>повышать уровень осведомленности родителей, преподавателей, специалистов, работающих с детьми, и широких слоев населения о вреде телесных наказаний и способствовать распространению позитивных, ненасильственных и основанных на участии детей форм воспитания и поддержания дисциплины.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:rsidR="004256C9" w:rsidRPr="0007456C" w:rsidRDefault="004256C9" w:rsidP="004256C9">
      <w:pPr>
        <w:pStyle w:val="SingleTxtG"/>
      </w:pPr>
      <w:r>
        <w:t>36.</w:t>
      </w:r>
      <w:r>
        <w:tab/>
        <w:t>Комитет отмечает, что законопроект о половых преступлениях находится на рассмотрении парламента, но глубоко обеспокоен:</w:t>
      </w:r>
    </w:p>
    <w:p w:rsidR="004256C9" w:rsidRPr="0007456C" w:rsidRDefault="004256C9" w:rsidP="004256C9">
      <w:pPr>
        <w:pStyle w:val="SingleTxtG"/>
      </w:pPr>
      <w:r>
        <w:tab/>
      </w:r>
      <w:r>
        <w:tab/>
        <w:t>a)</w:t>
      </w:r>
      <w:r>
        <w:tab/>
        <w:t>многочисленными случаями сексуальной эксплуатации детей и надругательств над ними, в частности в школе и семье;</w:t>
      </w:r>
    </w:p>
    <w:p w:rsidR="004256C9" w:rsidRPr="0007456C" w:rsidRDefault="004256C9" w:rsidP="004256C9">
      <w:pPr>
        <w:pStyle w:val="SingleTxtG"/>
      </w:pPr>
      <w:r>
        <w:tab/>
      </w:r>
      <w:r>
        <w:tab/>
        <w:t>b)</w:t>
      </w:r>
      <w:r>
        <w:tab/>
        <w:t>небольшим числом заявлений о сексуальной эксплуатации детей и надругательствами над ними и задержками в процессе судебного преследования виновных, что обусловлено низким уровнем доверия к властям и нежеланием семей и широкой общественности сообщать о подобных случаях из-за боязни подвергнуться остракизму и чувства стыда;</w:t>
      </w:r>
    </w:p>
    <w:p w:rsidR="004256C9" w:rsidRPr="0007456C" w:rsidRDefault="004256C9" w:rsidP="004256C9">
      <w:pPr>
        <w:pStyle w:val="SingleTxtG"/>
      </w:pPr>
      <w:r>
        <w:tab/>
      </w:r>
      <w:r>
        <w:tab/>
        <w:t>с)</w:t>
      </w:r>
      <w:r>
        <w:tab/>
        <w:t>ограниченной поддержкой, оказываемой детям-жертвам;</w:t>
      </w:r>
    </w:p>
    <w:p w:rsidR="004256C9" w:rsidRPr="0007456C" w:rsidRDefault="004256C9" w:rsidP="004256C9">
      <w:pPr>
        <w:pStyle w:val="SingleTxtG"/>
      </w:pPr>
      <w:r>
        <w:tab/>
      </w:r>
      <w:r>
        <w:tab/>
        <w:t>d)</w:t>
      </w:r>
      <w:r>
        <w:tab/>
        <w:t>наличием у специалистов, работающих с детьми и в их интересах, ограниченных возможностей для рассмотрения дел о сексуальном насилии в отношении детей.</w:t>
      </w:r>
    </w:p>
    <w:p w:rsidR="004256C9" w:rsidRPr="00C81BD6" w:rsidRDefault="004256C9" w:rsidP="004256C9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 и принимая во внимание задачи 5.2 и 16.2 Целей в области устойчивого развития, Комитет рекомендует государству-участнику:</w:t>
      </w:r>
    </w:p>
    <w:p w:rsidR="004256C9" w:rsidRPr="00C81BD6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a)</w:t>
      </w:r>
      <w:r w:rsidRPr="004256C9">
        <w:rPr>
          <w:b/>
        </w:rPr>
        <w:tab/>
      </w:r>
      <w:r>
        <w:rPr>
          <w:b/>
          <w:bCs/>
        </w:rPr>
        <w:t>разработать эффективные механизмы, процедуры и руководящие принципы для обеспечения обязательного представления информации о случаях сексуальной эксплуатации и надругательств дома, в школе, в учреждениях и других местах, в том числе в Интернете, а также создать доступные, конфиденциальные, учитывающие детскую специфику и эффективные каналы для уведомления о таких нарушениях;</w:t>
      </w:r>
    </w:p>
    <w:p w:rsidR="004256C9" w:rsidRPr="00C81BD6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>принять в срочном порядке законопроект о половых преступлениях, а также все необходимые меры для проведения расследований по заявлениям о случаях сексуального насилия, преследования виновных и назначения им мер наказания, соразмерных тяжести совершенных ими преступлений;</w:t>
      </w:r>
    </w:p>
    <w:p w:rsidR="004256C9" w:rsidRPr="00C81BD6" w:rsidRDefault="004256C9" w:rsidP="004256C9">
      <w:pPr>
        <w:pStyle w:val="SingleTxtG"/>
        <w:rPr>
          <w:b/>
          <w:bCs/>
        </w:rPr>
      </w:pPr>
      <w:r w:rsidRPr="004256C9">
        <w:rPr>
          <w:b/>
        </w:rPr>
        <w:lastRenderedPageBreak/>
        <w:tab/>
      </w:r>
      <w:r w:rsidRPr="004256C9">
        <w:rPr>
          <w:b/>
        </w:rPr>
        <w:tab/>
        <w:t>с)</w:t>
      </w:r>
      <w:r w:rsidRPr="004256C9">
        <w:rPr>
          <w:b/>
        </w:rPr>
        <w:tab/>
      </w:r>
      <w:r>
        <w:rPr>
          <w:b/>
          <w:bCs/>
        </w:rPr>
        <w:t xml:space="preserve">предоставлять детям-жертвам учитывающие их интересы и </w:t>
      </w:r>
      <w:proofErr w:type="spellStart"/>
      <w:r>
        <w:rPr>
          <w:b/>
          <w:bCs/>
        </w:rPr>
        <w:t>многосекторальные</w:t>
      </w:r>
      <w:proofErr w:type="spellEnd"/>
      <w:r>
        <w:rPr>
          <w:b/>
          <w:bCs/>
        </w:rPr>
        <w:t xml:space="preserve"> средства правовой защиты и комплексную поддержку, включая психологическую помощь, помощь в реабилитации и социальной </w:t>
      </w:r>
      <w:proofErr w:type="spellStart"/>
      <w:r>
        <w:rPr>
          <w:b/>
          <w:bCs/>
        </w:rPr>
        <w:t>реинтеграции</w:t>
      </w:r>
      <w:proofErr w:type="spellEnd"/>
      <w:r>
        <w:rPr>
          <w:b/>
          <w:bCs/>
        </w:rPr>
        <w:t xml:space="preserve">, и принимать меры по предотвращению повторной </w:t>
      </w:r>
      <w:proofErr w:type="spellStart"/>
      <w:r>
        <w:rPr>
          <w:b/>
          <w:bCs/>
        </w:rPr>
        <w:t>виктимизации</w:t>
      </w:r>
      <w:proofErr w:type="spellEnd"/>
      <w:r>
        <w:rPr>
          <w:b/>
          <w:bCs/>
        </w:rPr>
        <w:t xml:space="preserve"> детей-жертв;</w:t>
      </w:r>
      <w:r>
        <w:t xml:space="preserve"> </w:t>
      </w:r>
    </w:p>
    <w:p w:rsidR="004256C9" w:rsidRPr="00C81BD6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d)</w:t>
      </w:r>
      <w:r w:rsidRPr="004256C9">
        <w:rPr>
          <w:b/>
        </w:rPr>
        <w:tab/>
      </w:r>
      <w:r>
        <w:rPr>
          <w:b/>
          <w:bCs/>
        </w:rPr>
        <w:t>обеспечить, чтобы все специалисты и сотрудники, работающие с детьми и в их интересах, включая сотрудников правоохранительных органов, судей, прокуроров, социальных работников и гражданских служащих, проходили подготовку по вопросам получения, проверки и расследования жалоб, а также преследования виновных с учетом соблюдения интересов ребенка и гендерной специфики;</w:t>
      </w:r>
    </w:p>
    <w:p w:rsidR="004256C9" w:rsidRPr="00C81BD6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e)</w:t>
      </w:r>
      <w:r w:rsidRPr="004256C9">
        <w:rPr>
          <w:b/>
        </w:rPr>
        <w:tab/>
      </w:r>
      <w:r>
        <w:rPr>
          <w:b/>
          <w:bCs/>
        </w:rPr>
        <w:t>осуществлять в тесном сотрудничестве с гражданским обществом и ЮНИСЕФ информационно-просветительские программы, направленные на предупреждение сексуальной эксплуатации детей и надругательств над ними и борьбу со стигматизацией жертв и ориентированные на родителей, детей и общинных лидеров;</w:t>
      </w:r>
    </w:p>
    <w:p w:rsidR="004256C9" w:rsidRPr="00C81BD6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f)</w:t>
      </w:r>
      <w:r w:rsidRPr="004256C9">
        <w:rPr>
          <w:b/>
        </w:rPr>
        <w:tab/>
      </w:r>
      <w:r>
        <w:rPr>
          <w:b/>
          <w:bCs/>
        </w:rPr>
        <w:t>опубликовать результаты обследования по вопросу о насилии в отношении детей, проведенного в 2017 году Министерством по делам местного самоуправления и развития сельских районов.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Вредная практика</w:t>
      </w:r>
    </w:p>
    <w:p w:rsidR="004256C9" w:rsidRPr="00C81BD6" w:rsidRDefault="004256C9" w:rsidP="004256C9">
      <w:pPr>
        <w:pStyle w:val="SingleTxtG"/>
        <w:rPr>
          <w:b/>
          <w:bCs/>
        </w:rPr>
      </w:pPr>
      <w:r>
        <w:t>38.</w:t>
      </w:r>
      <w:r>
        <w:tab/>
      </w:r>
      <w:r>
        <w:rPr>
          <w:b/>
          <w:bCs/>
        </w:rPr>
        <w:t xml:space="preserve">Ссылаясь на совместную общую рекомендацию № 31 Комитета </w:t>
      </w:r>
      <w:r>
        <w:rPr>
          <w:b/>
          <w:bCs/>
        </w:rPr>
        <w:br/>
        <w:t xml:space="preserve">по ликвидации дискриминации в отношении женщин/замечание общего </w:t>
      </w:r>
      <w:r>
        <w:rPr>
          <w:b/>
          <w:bCs/>
        </w:rPr>
        <w:br/>
        <w:t>порядка № 18 Комитета по правам ребенка (2014) о вредной практике, Комитет рекомендует государству-участнику принять все необходимые меры для искоренения практики детских браков в соответствии с обязательствами государства-участника по Конвенции и Африканской хартии прав и благосостояния ребенка.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Телефоны доверия</w:t>
      </w:r>
    </w:p>
    <w:p w:rsidR="004256C9" w:rsidRPr="0007456C" w:rsidRDefault="004256C9" w:rsidP="004256C9">
      <w:pPr>
        <w:pStyle w:val="SingleTxtG"/>
      </w:pPr>
      <w:r>
        <w:t>39.</w:t>
      </w:r>
      <w:r>
        <w:tab/>
        <w:t>Комитет приветствует создание бесплатной круглосуточной телефонной службы помощи и детской радиопередачи «звоните – отвечаем», однако сожалеет по поводу отсутствия информации о процедурах последующих действий по жалобам, доступности телефонной службы помощи и детской радиопередачи «звоните – отвечаем», количестве полученных жалоб и результатах их рассмотрения.</w:t>
      </w:r>
    </w:p>
    <w:p w:rsidR="004256C9" w:rsidRPr="00035130" w:rsidRDefault="004256C9" w:rsidP="004256C9">
      <w:pPr>
        <w:pStyle w:val="SingleTxtG"/>
        <w:rPr>
          <w:b/>
          <w:bCs/>
        </w:rPr>
      </w:pPr>
      <w:r>
        <w:t>40.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256C9" w:rsidRPr="00035130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a)</w:t>
      </w:r>
      <w:r w:rsidRPr="004256C9">
        <w:rPr>
          <w:b/>
        </w:rPr>
        <w:tab/>
      </w:r>
      <w:r>
        <w:rPr>
          <w:b/>
          <w:bCs/>
        </w:rPr>
        <w:t>обеспечить, чтобы телефонная служба помощи была доступна всем детям на национальном уровне, в том числе путем предоставления необходимых людских, финансовых и технических ресурсов для ее эффективного функционирования, и способствовать повышению уровня осведомленности о том, как дети могут получить доступ к этой службе;</w:t>
      </w:r>
      <w:r>
        <w:t xml:space="preserve"> </w:t>
      </w:r>
    </w:p>
    <w:p w:rsidR="004256C9" w:rsidRPr="00035130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>обеспечить подготовку сотрудников телефонной службы помощи по вопросам оказания ориентированной на детей и учитывающей их интересы помощи, а также по процедурам принятия последующих мер в связи с жалобами;</w:t>
      </w:r>
      <w:r>
        <w:t xml:space="preserve"> </w:t>
      </w:r>
    </w:p>
    <w:p w:rsidR="004256C9" w:rsidRPr="00035130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с)</w:t>
      </w:r>
      <w:r w:rsidRPr="004256C9">
        <w:rPr>
          <w:b/>
        </w:rPr>
        <w:tab/>
      </w:r>
      <w:r>
        <w:rPr>
          <w:b/>
          <w:bCs/>
        </w:rPr>
        <w:t>собирать регулярные и систематические данные о количестве и видах полученных жалоб и об оказанной жертвам поддержке.</w:t>
      </w:r>
    </w:p>
    <w:p w:rsidR="004256C9" w:rsidRPr="00035130" w:rsidRDefault="004256C9" w:rsidP="004256C9">
      <w:pPr>
        <w:pStyle w:val="H1G"/>
      </w:pPr>
      <w:r>
        <w:tab/>
        <w:t>F.</w:t>
      </w:r>
      <w:r>
        <w:tab/>
      </w:r>
      <w:r>
        <w:rPr>
          <w:bCs/>
        </w:rPr>
        <w:t xml:space="preserve">Семейное окружение и альтернативный уход (статьи 5, 9–11, </w:t>
      </w:r>
      <w:r>
        <w:rPr>
          <w:bCs/>
        </w:rPr>
        <w:br/>
        <w:t>18 (пункты 1 и 2), 20, 21, 25 и 27 (пункт 4))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</w:p>
    <w:p w:rsidR="004256C9" w:rsidRPr="0007456C" w:rsidRDefault="004256C9" w:rsidP="004256C9">
      <w:pPr>
        <w:pStyle w:val="SingleTxtG"/>
      </w:pPr>
      <w:r>
        <w:t>41.</w:t>
      </w:r>
      <w:r>
        <w:tab/>
        <w:t xml:space="preserve">Комитет приветствует принятие Национального плана действий в интересах сирот и уязвимых детей на 2006–2016 годы и Правил защиты детей, нуждающихся в </w:t>
      </w:r>
      <w:r>
        <w:lastRenderedPageBreak/>
        <w:t>уходе, а также недавнюю оценку экспериментальной программы патронатного воспитания. Вместе с тем он обеспокоен:</w:t>
      </w:r>
    </w:p>
    <w:p w:rsidR="004256C9" w:rsidRPr="0007456C" w:rsidRDefault="004256C9" w:rsidP="004256C9">
      <w:pPr>
        <w:pStyle w:val="SingleTxtG"/>
      </w:pPr>
      <w:r>
        <w:tab/>
      </w:r>
      <w:r>
        <w:tab/>
        <w:t>a)</w:t>
      </w:r>
      <w:r>
        <w:tab/>
        <w:t>количеством детей, лишенных семейного окружения, сообщениями о детях, остающихся на попечении в течение длительного времени, и тем фактом, что многие дети помещаются не в структуры ухода за детьми семейного и общинного типа, а в специализированные учреждения;</w:t>
      </w:r>
    </w:p>
    <w:p w:rsidR="004256C9" w:rsidRPr="0007456C" w:rsidRDefault="004256C9" w:rsidP="004256C9">
      <w:pPr>
        <w:pStyle w:val="SingleTxtG"/>
      </w:pPr>
      <w:r>
        <w:tab/>
      </w:r>
      <w:r>
        <w:tab/>
        <w:t>b)</w:t>
      </w:r>
      <w:r>
        <w:tab/>
        <w:t>отсутствием поддержки семей, которые осуществляют уход за детьми, лишенными семейного окружения;</w:t>
      </w:r>
    </w:p>
    <w:p w:rsidR="004256C9" w:rsidRPr="0007456C" w:rsidRDefault="004256C9" w:rsidP="004256C9">
      <w:pPr>
        <w:pStyle w:val="SingleTxtG"/>
      </w:pPr>
      <w:r>
        <w:tab/>
      </w:r>
      <w:r>
        <w:tab/>
        <w:t>с)</w:t>
      </w:r>
      <w:r>
        <w:tab/>
        <w:t>тем фактом, что государство-участник чрезмерно полагается на неправительственные организации в плане предоставления услуг и помещений для ухода за детьми и организации соответствующей подготовки.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Ссылаясь на Руководящие указания по альтернативному уходу за детьми, Комитет рекомендует государству-участнику: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a)</w:t>
      </w:r>
      <w:r w:rsidRPr="004256C9">
        <w:rPr>
          <w:b/>
        </w:rPr>
        <w:tab/>
      </w:r>
      <w:r>
        <w:rPr>
          <w:b/>
          <w:bCs/>
        </w:rPr>
        <w:t>обеспечить достаточные возможности для альтернативного ухода за детьми, лишенными семейного окружения, на базе семей и общин, в том числе путем выделения достаточных финансовых ресурсов на программу патронатного воспитания, увеличения числа социальных работников и регулярного пересмотра мер по передаче детей на воспитание;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 xml:space="preserve">постепенно сократить масштабы использования учреждений </w:t>
      </w:r>
      <w:proofErr w:type="spellStart"/>
      <w:r>
        <w:rPr>
          <w:b/>
          <w:bCs/>
        </w:rPr>
        <w:t>интернатного</w:t>
      </w:r>
      <w:proofErr w:type="spellEnd"/>
      <w:r>
        <w:rPr>
          <w:b/>
          <w:bCs/>
        </w:rPr>
        <w:t xml:space="preserve"> типа и в то же время оказывать достаточную финансовую </w:t>
      </w:r>
      <w:r w:rsidR="00DF4FCB">
        <w:rPr>
          <w:b/>
          <w:bCs/>
        </w:rPr>
        <w:br/>
      </w:r>
      <w:r>
        <w:rPr>
          <w:b/>
          <w:bCs/>
        </w:rPr>
        <w:t>и иную поддержку центрам альтернативного ухода за детьми, находящимся в ведении неправительственных организаций, и обеспечивать регистрацию, сертификацию, мониторинг и контроль качества работы этих центров;</w:t>
      </w:r>
    </w:p>
    <w:p w:rsidR="004256C9" w:rsidRPr="009A7E01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с)</w:t>
      </w:r>
      <w:r w:rsidRPr="004256C9">
        <w:rPr>
          <w:b/>
        </w:rPr>
        <w:tab/>
      </w:r>
      <w:r>
        <w:rPr>
          <w:b/>
          <w:bCs/>
        </w:rPr>
        <w:t>обеспечить непрерывное наращивание потенциала и подготовку социальных работников, персонала, работающего в учреждениях альтернативного ухода, приемных семей и воспитателей по Правилам защиты детей, нуждающихся в уходе, вопросам прав детей и особых потребностей детей, лишенных семейного окружения.</w:t>
      </w:r>
    </w:p>
    <w:p w:rsidR="004256C9" w:rsidRPr="005C4460" w:rsidRDefault="004256C9" w:rsidP="004256C9">
      <w:pPr>
        <w:pStyle w:val="H1G"/>
      </w:pPr>
      <w:r>
        <w:tab/>
        <w:t>G.</w:t>
      </w:r>
      <w:r>
        <w:tab/>
      </w:r>
      <w:r>
        <w:rPr>
          <w:bCs/>
        </w:rPr>
        <w:t xml:space="preserve">Инвалидность, базовое медицинское обслуживание и социальное обеспечение (статьи 6, 18 </w:t>
      </w:r>
      <w:r w:rsidR="00DF4FCB">
        <w:rPr>
          <w:bCs/>
        </w:rPr>
        <w:t>(</w:t>
      </w:r>
      <w:r>
        <w:rPr>
          <w:bCs/>
        </w:rPr>
        <w:t>пункт 3</w:t>
      </w:r>
      <w:r w:rsidR="00DF4FCB">
        <w:rPr>
          <w:bCs/>
        </w:rPr>
        <w:t>)</w:t>
      </w:r>
      <w:r>
        <w:rPr>
          <w:bCs/>
        </w:rPr>
        <w:t xml:space="preserve">, 23, 24, 26, 27 </w:t>
      </w:r>
      <w:r w:rsidR="00DF4FCB">
        <w:rPr>
          <w:bCs/>
        </w:rPr>
        <w:t>(</w:t>
      </w:r>
      <w:r>
        <w:rPr>
          <w:bCs/>
        </w:rPr>
        <w:t>пункты 1–3</w:t>
      </w:r>
      <w:r w:rsidR="00DF4FCB">
        <w:rPr>
          <w:bCs/>
        </w:rPr>
        <w:t>)</w:t>
      </w:r>
      <w:r>
        <w:rPr>
          <w:bCs/>
        </w:rPr>
        <w:t xml:space="preserve"> и 33)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Дети-инвалиды</w:t>
      </w:r>
      <w:r>
        <w:t xml:space="preserve"> </w:t>
      </w:r>
    </w:p>
    <w:p w:rsidR="004256C9" w:rsidRPr="0007456C" w:rsidRDefault="004256C9" w:rsidP="004256C9">
      <w:pPr>
        <w:pStyle w:val="SingleTxtG"/>
      </w:pPr>
      <w:r>
        <w:t>43.</w:t>
      </w:r>
      <w:r>
        <w:tab/>
        <w:t>Комитет приветствует создание Управления по вопросам государственного образования инвалидов для борьбы со стигматизацией и дискриминацией детей-инвалидов и шаги, предпринятые государством-участником в целях применения правозащитного подхода к инвалидности. Он также отмечает, что проект национальной рамочной программы по вопросам инвалидности находится на рассмотрении парламента. Вместе с тем он обеспокоен отсутствием информации о положении детей-инвалидов и недостаточным прогрессом в деле обеспечения им доступа к инклюзивному образованию.</w:t>
      </w:r>
    </w:p>
    <w:p w:rsidR="004256C9" w:rsidRPr="00DF4FCB" w:rsidRDefault="004256C9" w:rsidP="004256C9">
      <w:pPr>
        <w:pStyle w:val="SingleTxtG"/>
        <w:rPr>
          <w:b/>
          <w:bCs/>
        </w:rPr>
      </w:pPr>
      <w:r>
        <w:t>44.</w:t>
      </w:r>
      <w:r>
        <w:tab/>
      </w:r>
      <w:r w:rsidRPr="00DF4FCB">
        <w:rPr>
          <w:b/>
        </w:rPr>
        <w:t>Ссылаясь на свое замечание общего порядка № 9 (2006) о правах детей-инвалидов, Комитет настоятельно призывает государство-участник применять правозащитный подход к инвалидности, разработать комплексную стратегию в интересах интеграции детей-инвалидов и: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a)</w:t>
      </w:r>
      <w:r w:rsidRPr="004256C9">
        <w:rPr>
          <w:b/>
        </w:rPr>
        <w:tab/>
      </w:r>
      <w:r>
        <w:rPr>
          <w:b/>
          <w:bCs/>
        </w:rPr>
        <w:t>принять в приоритетном порядке проект национальной рамочной программы по вопросам инвалидности и выделить достаточные людские, технические и финансовые ресурсы для ее осуществления;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ab/>
      </w:r>
      <w:r w:rsidRPr="004256C9">
        <w:rPr>
          <w:b/>
        </w:rPr>
        <w:tab/>
        <w:t>b)</w:t>
      </w:r>
      <w:r w:rsidRPr="004256C9">
        <w:rPr>
          <w:b/>
        </w:rPr>
        <w:tab/>
      </w:r>
      <w:r>
        <w:rPr>
          <w:b/>
          <w:bCs/>
        </w:rPr>
        <w:t xml:space="preserve">провести исследование по вопросу о положении детей-инвалидов, включая детей, не имеющих в настоящее время доступа к услугам или поддержке, и использовать его результаты в качестве информационной основы для осуществления Конвенции и </w:t>
      </w:r>
      <w:proofErr w:type="gramStart"/>
      <w:r>
        <w:rPr>
          <w:b/>
          <w:bCs/>
        </w:rPr>
        <w:t>существующих законов</w:t>
      </w:r>
      <w:proofErr w:type="gramEnd"/>
      <w:r>
        <w:rPr>
          <w:b/>
          <w:bCs/>
        </w:rPr>
        <w:t xml:space="preserve"> и политики;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lastRenderedPageBreak/>
        <w:tab/>
      </w:r>
      <w:r>
        <w:tab/>
      </w:r>
      <w:r w:rsidRPr="004256C9">
        <w:rPr>
          <w:b/>
        </w:rPr>
        <w:t>с)</w:t>
      </w:r>
      <w:r w:rsidRPr="004256C9">
        <w:rPr>
          <w:b/>
        </w:rPr>
        <w:tab/>
      </w:r>
      <w:r>
        <w:rPr>
          <w:b/>
          <w:bCs/>
        </w:rPr>
        <w:t xml:space="preserve">гарантировать всем детям-инвалидам, включая детей с интеллектуальными и психосоциальными расстройствами, право на инклюзивное образование в общеобразовательных школах и обеспечить надлежащую подготовку специализированных преподавателей и специалистов для оказания им индивидуальной поддержки и </w:t>
      </w:r>
      <w:proofErr w:type="spellStart"/>
      <w:r>
        <w:rPr>
          <w:b/>
          <w:bCs/>
        </w:rPr>
        <w:t>уделения</w:t>
      </w:r>
      <w:proofErr w:type="spellEnd"/>
      <w:r>
        <w:rPr>
          <w:b/>
          <w:bCs/>
        </w:rPr>
        <w:t xml:space="preserve"> им должного внимания;</w:t>
      </w:r>
    </w:p>
    <w:p w:rsidR="004256C9" w:rsidRPr="009A7E01" w:rsidRDefault="004256C9" w:rsidP="004256C9">
      <w:pPr>
        <w:pStyle w:val="SingleTxtG"/>
        <w:rPr>
          <w:b/>
          <w:bCs/>
        </w:rPr>
      </w:pPr>
      <w:r w:rsidRPr="004256C9">
        <w:rPr>
          <w:b/>
        </w:rPr>
        <w:tab/>
      </w:r>
      <w:r w:rsidRPr="004256C9">
        <w:rPr>
          <w:b/>
        </w:rPr>
        <w:tab/>
        <w:t>d)</w:t>
      </w:r>
      <w:r w:rsidRPr="004256C9">
        <w:rPr>
          <w:b/>
        </w:rPr>
        <w:tab/>
      </w:r>
      <w:r w:rsidRPr="004256C9">
        <w:rPr>
          <w:b/>
          <w:bCs/>
        </w:rPr>
        <w:t>предупреждать разлучение детей-инвалидов с их семьями путем пр</w:t>
      </w:r>
      <w:r>
        <w:rPr>
          <w:b/>
          <w:bCs/>
        </w:rPr>
        <w:t>едоставления поддержки и услуг, позволяющих семьям ухаживать за своими детьми, в том числе путем выделения им денежных пособий;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ab/>
      </w:r>
      <w:r>
        <w:tab/>
      </w:r>
      <w:r w:rsidRPr="004256C9">
        <w:rPr>
          <w:b/>
        </w:rPr>
        <w:t>e)</w:t>
      </w:r>
      <w:r w:rsidRPr="004256C9">
        <w:rPr>
          <w:b/>
        </w:rPr>
        <w:tab/>
      </w:r>
      <w:r>
        <w:rPr>
          <w:b/>
          <w:bCs/>
        </w:rPr>
        <w:t>продолжать укреплять свои информационно-просветительские кампании по борьбе со стигматизацией и предрассудками в отношении детей-инвалидов, особенно детей с психосоциальными и интеллектуальными расстройствами, и содействовать формированию позитивного образа таких детей.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  <w:r>
        <w:t xml:space="preserve"> </w:t>
      </w:r>
    </w:p>
    <w:p w:rsidR="004256C9" w:rsidRPr="0007456C" w:rsidRDefault="004256C9" w:rsidP="004256C9">
      <w:pPr>
        <w:pStyle w:val="SingleTxtG"/>
      </w:pPr>
      <w:r>
        <w:t>45.</w:t>
      </w:r>
      <w:r>
        <w:tab/>
        <w:t>Комитет приветствует Расширенную программу иммунизации Ботсваны и медико-санитарные нормы, направленные на улучшение доступа детей к основным медицинским услугам и вакцинации. Вместе с тем Комитет обеспокоен:</w:t>
      </w:r>
    </w:p>
    <w:p w:rsidR="004256C9" w:rsidRPr="0007456C" w:rsidRDefault="004256C9" w:rsidP="004256C9">
      <w:pPr>
        <w:pStyle w:val="SingleTxtG"/>
      </w:pPr>
      <w:r>
        <w:tab/>
      </w:r>
      <w:r w:rsidR="00BE7C34">
        <w:tab/>
      </w:r>
      <w:r>
        <w:t>a)</w:t>
      </w:r>
      <w:r>
        <w:tab/>
        <w:t>ограниченным доступом детей, проживающих в отдаленных районах, и детей, не имеющих удостоверяющих личность документов, к медицинскому обслуживанию;</w:t>
      </w:r>
    </w:p>
    <w:p w:rsidR="004256C9" w:rsidRPr="0007456C" w:rsidRDefault="004256C9" w:rsidP="004256C9">
      <w:pPr>
        <w:pStyle w:val="SingleTxtG"/>
      </w:pPr>
      <w:r>
        <w:tab/>
      </w:r>
      <w:r w:rsidR="00BE7C34">
        <w:tab/>
      </w:r>
      <w:r>
        <w:t>b)</w:t>
      </w:r>
      <w:r>
        <w:tab/>
        <w:t>распространенностью случаев недоедания и задержки в росте, а также увеличением показателей ожирения среди детей;</w:t>
      </w:r>
    </w:p>
    <w:p w:rsidR="004256C9" w:rsidRPr="0007456C" w:rsidRDefault="004256C9" w:rsidP="004256C9">
      <w:pPr>
        <w:pStyle w:val="SingleTxtG"/>
      </w:pPr>
      <w:r>
        <w:tab/>
      </w:r>
      <w:r w:rsidR="00BE7C34">
        <w:tab/>
      </w:r>
      <w:r>
        <w:t>с)</w:t>
      </w:r>
      <w:r>
        <w:tab/>
        <w:t>нехваткой медицинских служб, ориентированных на обслуживание детей;</w:t>
      </w:r>
    </w:p>
    <w:p w:rsidR="004256C9" w:rsidRPr="0007456C" w:rsidRDefault="004256C9" w:rsidP="004256C9">
      <w:pPr>
        <w:pStyle w:val="SingleTxtG"/>
      </w:pPr>
      <w:r>
        <w:tab/>
      </w:r>
      <w:r w:rsidR="00BE7C34">
        <w:tab/>
      </w:r>
      <w:r>
        <w:t>d)</w:t>
      </w:r>
      <w:r>
        <w:tab/>
        <w:t>отсутствием информации о грудном вскармливании и осуществлении инициативы по созданию больниц с благоприятными для младенцев условиями.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 xml:space="preserve">Ссылаясь на свое замечание общего порядка № 15 (2013) о праве ребенка на наивысший достижимый уровень здоровья и принимая во внимание </w:t>
      </w:r>
      <w:r w:rsidR="00DF4FCB">
        <w:rPr>
          <w:b/>
          <w:bCs/>
        </w:rPr>
        <w:br/>
      </w:r>
      <w:r>
        <w:rPr>
          <w:b/>
          <w:bCs/>
        </w:rPr>
        <w:t>задачу 3.2 Целей в области устойчивого развития, Комитет рекомендует государству-участнику:</w:t>
      </w:r>
    </w:p>
    <w:p w:rsidR="004256C9" w:rsidRPr="009A7E01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уделять первоочередное внимание мерам по улучшению доступа к качественным медицинским услугам и питанию, в том числе путем выделения достаточных финансовых ресурсов, обеспечения наличия квалифицированного медицинского персонала, особенно в отдаленных районах, и отмены платы для детей с иностранным гражданством, которые не могут позволить себе основные медицинские услуги;</w:t>
      </w:r>
      <w:r w:rsidR="004256C9">
        <w:t xml:space="preserve"> </w:t>
      </w:r>
    </w:p>
    <w:p w:rsidR="004256C9" w:rsidRPr="009A7E01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>продолжать принимать целенаправленные меры по предупреждению задержки в росте и недоедания среди детей и по борьбе с ожирением, в том числе путем пропаганды практики надлежащего кормления младенцев и маленьких детей, предоставления пищевых добавок и проведения мероприятий с целью повышения уровня информированности общественности о вопросах питания и здоровых привычках питания;</w:t>
      </w:r>
    </w:p>
    <w:p w:rsidR="004256C9" w:rsidRPr="009A7E01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>выделять средства на осуществление мер по обеспечению того, чтобы медицинские службы учитывали интересы детей, в том числе посредством подготовки медицинского персонала для удовлетворения особых потребностей детей и подростков;</w:t>
      </w:r>
      <w:r w:rsidR="004256C9">
        <w:t xml:space="preserve"> </w:t>
      </w:r>
    </w:p>
    <w:p w:rsidR="004256C9" w:rsidRPr="009A7E01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d)</w:t>
      </w:r>
      <w:r w:rsidR="004256C9" w:rsidRPr="00BE7C34">
        <w:rPr>
          <w:b/>
        </w:rPr>
        <w:tab/>
      </w:r>
      <w:r w:rsidR="004256C9">
        <w:rPr>
          <w:b/>
          <w:bCs/>
        </w:rPr>
        <w:t>собирать на систематической основе данные о грудном вскармливании, эффективно контролировать соблюдение Международного кодекса маркетинга заменителей грудного молока и осуществление инициативы по созданию больниц с благоприятными для младенцев условиями и разработать национальную программу по повышению уровня осведомленности семей и широкой общественности о важности грудного вскармливания.</w:t>
      </w:r>
    </w:p>
    <w:p w:rsidR="004256C9" w:rsidRPr="0007456C" w:rsidRDefault="004256C9" w:rsidP="004256C9">
      <w:pPr>
        <w:pStyle w:val="H23G"/>
      </w:pPr>
      <w:r>
        <w:lastRenderedPageBreak/>
        <w:tab/>
      </w:r>
      <w:r>
        <w:tab/>
      </w:r>
      <w:r>
        <w:rPr>
          <w:bCs/>
        </w:rPr>
        <w:t>Здоровье подростков</w:t>
      </w:r>
    </w:p>
    <w:p w:rsidR="004256C9" w:rsidRPr="009A7E01" w:rsidRDefault="004256C9" w:rsidP="004256C9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Приветствуя различные информационно-просветительские кампании и платформы по вопросам здоровья подростков, Комитет напоминает о своих предыдущих рекомендациях (CRC/C/15/Add.242, пункт 53) и рекомендует государству-участнику:</w:t>
      </w:r>
    </w:p>
    <w:p w:rsidR="004256C9" w:rsidRPr="009A7E01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предоставлять бесплатные, конфиденциальные и отвечающие нуждам подростков услуги по охране сексуального и репродуктивного здоровья, а также информацию и просветительские материалы, уделяя при этом особое внимание предупреждению ранней беременности и профилактике инфекций, передаваемых половым путем;</w:t>
      </w:r>
    </w:p>
    <w:p w:rsidR="004256C9" w:rsidRPr="009A7E01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>принять меры к тому, чтобы просвещение по вопросам сексуального и репродуктивного здоровья являлось частью обязательной школьной учебной программы и было ориентировано на подростков, как девочек, так и мальчиков;</w:t>
      </w:r>
    </w:p>
    <w:p w:rsidR="004256C9" w:rsidRPr="009A7E01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>разработать предназначенную для детей программу охраны психического здоровья, которая бы предусматривала создание общинных служб охраны психического здоровья и проведение профилактической работы в школах, по месту жительства и в центрах по уходу;</w:t>
      </w:r>
    </w:p>
    <w:p w:rsidR="004256C9" w:rsidRPr="009A7E01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d)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организовать обучение жизненно важным навыкам профилактики злоупотребления </w:t>
      </w:r>
      <w:proofErr w:type="spellStart"/>
      <w:r w:rsidR="004256C9">
        <w:rPr>
          <w:b/>
          <w:bCs/>
        </w:rPr>
        <w:t>психоактивными</w:t>
      </w:r>
      <w:proofErr w:type="spellEnd"/>
      <w:r w:rsidR="004256C9">
        <w:rPr>
          <w:b/>
          <w:bCs/>
        </w:rPr>
        <w:t xml:space="preserve"> веществами, включая табак и алкоголь, и создать доступные, учитывающие специфику молодежи и </w:t>
      </w:r>
      <w:proofErr w:type="spellStart"/>
      <w:r w:rsidR="004256C9">
        <w:rPr>
          <w:b/>
          <w:bCs/>
        </w:rPr>
        <w:t>некарательные</w:t>
      </w:r>
      <w:proofErr w:type="spellEnd"/>
      <w:r w:rsidR="004256C9">
        <w:rPr>
          <w:b/>
          <w:bCs/>
        </w:rPr>
        <w:t xml:space="preserve"> службы по лечению наркозависимости и уменьшению ее пагубных последствий.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ВИЧ/СПИД</w:t>
      </w:r>
      <w:r>
        <w:t xml:space="preserve"> </w:t>
      </w:r>
    </w:p>
    <w:p w:rsidR="004256C9" w:rsidRPr="0007456C" w:rsidRDefault="004256C9" w:rsidP="004256C9">
      <w:pPr>
        <w:pStyle w:val="SingleTxtG"/>
      </w:pPr>
      <w:r>
        <w:t>48.</w:t>
      </w:r>
      <w:r>
        <w:tab/>
        <w:t>Приветствуя меры, принятые для решения проблемы распространения ВИЧ/СПИДа, в том числе по линии национальной программы антиретровирусной терапии, программы профилактики передачи вируса от матери к ребенку и программы ранней диагностики, Комитет в то же время обеспокоен: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a)</w:t>
      </w:r>
      <w:r w:rsidR="004256C9">
        <w:tab/>
        <w:t xml:space="preserve">сохраняющимся высоким уровнем заболеваемости ВИЧ/СПИДом и туберкулезом; 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b)</w:t>
      </w:r>
      <w:r w:rsidR="004256C9">
        <w:tab/>
        <w:t>ограниченным доступом детей, в частности детей иностранного гражданства, к антиретровирусной терапии;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с)</w:t>
      </w:r>
      <w:r w:rsidR="004256C9">
        <w:tab/>
        <w:t xml:space="preserve">ограниченным доступом детей к основным услугам в связи с ВИЧ, антиретровирусной терапии, услугам и просвещению в области охраны сексуального и репродуктивного здоровья, включая доступ к презервативам. </w:t>
      </w:r>
    </w:p>
    <w:p w:rsidR="004256C9" w:rsidRPr="00AB1BE8" w:rsidRDefault="004256C9" w:rsidP="004256C9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Ссылаясь на свое замечание общего порядка № 3 (2003) по вопросу о ВИЧ/СПИДе и правах ребенка и отмечая задачу 3.3 Целей в области устойчивого развития, Комитет рекомендует государству-участнику:</w:t>
      </w:r>
      <w:r>
        <w:t xml:space="preserve"> 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принять новый национальный план по борьбе с ВИЧ/СПИДом, основанный на результатах оценки Национальных стратегических рамок борьбы с ВИЧ/СПИДом на 2010</w:t>
      </w:r>
      <w:r>
        <w:rPr>
          <w:b/>
          <w:bCs/>
        </w:rPr>
        <w:t>–</w:t>
      </w:r>
      <w:r w:rsidR="004256C9">
        <w:rPr>
          <w:b/>
          <w:bCs/>
        </w:rPr>
        <w:t>2016 годы;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пересмотреть и согласовать законы и политику по вопросам, касающимся ВИЧ/СПИДа, с законами и политикой в области охраны сексуального и репродуктивного здоровья подростков для обеспечения того, чтобы подростки имели доступ к конфиденциальным услугам по тестированию на ВИЧ и консультированию без необходимости получения согласия родителей, а специалисты, предоставляющие такие услуги, в полной мере соблюдали права подростков на неприкосновенность частной жизни и </w:t>
      </w:r>
      <w:proofErr w:type="spellStart"/>
      <w:r w:rsidR="004256C9">
        <w:rPr>
          <w:b/>
          <w:bCs/>
        </w:rPr>
        <w:t>недискриминацию</w:t>
      </w:r>
      <w:proofErr w:type="spellEnd"/>
      <w:r w:rsidR="004256C9">
        <w:rPr>
          <w:b/>
          <w:bCs/>
        </w:rPr>
        <w:t>;</w:t>
      </w:r>
      <w:r w:rsidR="004256C9">
        <w:t xml:space="preserve"> </w:t>
      </w:r>
    </w:p>
    <w:p w:rsidR="004256C9" w:rsidRPr="00AB1BE8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>активизировать меры по предотвращению передачи ВИЧ от матери к ребенку путем обеспечения осуществления эффективных профилактических мер в отдаленных районах и улучшения последующего лечения матерей, инфицированных ВИЧ, и их младенцев;</w:t>
      </w:r>
    </w:p>
    <w:p w:rsidR="004256C9" w:rsidRPr="00AB1BE8" w:rsidRDefault="004256C9" w:rsidP="004256C9">
      <w:pPr>
        <w:pStyle w:val="SingleTxtG"/>
        <w:rPr>
          <w:b/>
          <w:bCs/>
        </w:rPr>
      </w:pPr>
      <w:r>
        <w:lastRenderedPageBreak/>
        <w:tab/>
      </w:r>
      <w:r w:rsidR="00BE7C34" w:rsidRPr="00BE7C34">
        <w:rPr>
          <w:b/>
        </w:rPr>
        <w:tab/>
      </w:r>
      <w:r w:rsidRPr="00BE7C34">
        <w:rPr>
          <w:b/>
        </w:rPr>
        <w:t>d)</w:t>
      </w:r>
      <w:r w:rsidRPr="00BE7C34">
        <w:rPr>
          <w:b/>
        </w:rPr>
        <w:tab/>
      </w:r>
      <w:r>
        <w:rPr>
          <w:b/>
          <w:bCs/>
        </w:rPr>
        <w:t>улучшить охват антиретровирусным лечением детей, в том числе детей с иностранным гражданством, и беременных женщин, инфицированных ВИЧ;</w:t>
      </w:r>
    </w:p>
    <w:p w:rsidR="004256C9" w:rsidRPr="00AB1BE8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e)</w:t>
      </w:r>
      <w:r w:rsidR="004256C9" w:rsidRPr="00BE7C34">
        <w:rPr>
          <w:b/>
        </w:rPr>
        <w:tab/>
      </w:r>
      <w:r w:rsidR="004256C9">
        <w:rPr>
          <w:b/>
          <w:bCs/>
        </w:rPr>
        <w:t>улучшить доступ к качественному и соответствующему возрасту просвещению по вопросам ВИЧ/СПИДа и сексуального и репродуктивного здоровья, включая использование презервативов;</w:t>
      </w:r>
    </w:p>
    <w:p w:rsidR="004256C9" w:rsidRPr="00AB1BE8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f)</w:t>
      </w:r>
      <w:r w:rsidR="004256C9" w:rsidRPr="00BE7C34">
        <w:rPr>
          <w:b/>
        </w:rPr>
        <w:tab/>
      </w:r>
      <w:r w:rsidR="004256C9">
        <w:rPr>
          <w:b/>
          <w:bCs/>
        </w:rPr>
        <w:t>укрепить меры по профилактике и лечению туберкулеза.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:rsidR="004256C9" w:rsidRPr="0007456C" w:rsidRDefault="004256C9" w:rsidP="004256C9">
      <w:pPr>
        <w:pStyle w:val="SingleTxtG"/>
      </w:pPr>
      <w:r>
        <w:t>50.</w:t>
      </w:r>
      <w:r>
        <w:tab/>
        <w:t>Комитет приветствует усилия по борьбе с нищетой и сокращению неравенства, в том числе посредством осуществления программ социальной защиты, экспериментальных мер социальной помощи, Национальной политики в отношении особо нуждающихся и Стратегии Ботсваны на период до 2016 года, но в то же время глубоко обеспокоен неизменно высоким уровнем нищеты среди детей и сообщениями о том, что дети, живущие в условиях нищеты, не имеют достаточного доступа к программам социальной помощи.</w:t>
      </w:r>
    </w:p>
    <w:p w:rsidR="004256C9" w:rsidRPr="00BE7C34" w:rsidRDefault="004256C9" w:rsidP="004256C9">
      <w:pPr>
        <w:pStyle w:val="SingleTxtG"/>
        <w:rPr>
          <w:b/>
          <w:bCs/>
        </w:rPr>
      </w:pPr>
      <w:r>
        <w:t>51.</w:t>
      </w:r>
      <w:r>
        <w:tab/>
      </w:r>
      <w:proofErr w:type="gramStart"/>
      <w:r w:rsidRPr="00BE7C34">
        <w:rPr>
          <w:b/>
        </w:rPr>
        <w:t>С</w:t>
      </w:r>
      <w:proofErr w:type="gramEnd"/>
      <w:r w:rsidRPr="00BE7C34">
        <w:rPr>
          <w:b/>
        </w:rPr>
        <w:t xml:space="preserve"> учетом задачи 1.2 Целей в области устойчивого развития Комитет рекомендует государству-участнику:</w:t>
      </w:r>
    </w:p>
    <w:p w:rsidR="004256C9" w:rsidRPr="00AB1BE8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осуществлять сбор всеобъемлющих и дезагрегированных данных о детской нищете и активно использовать такие данные при разработке политики и мониторинге осуществления политики и программ, имеющих отношение к сокращению масштабов нищеты;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>в срочном порядке провести оценку своих программ социальной защиты, включая программу обеспечения питанием уязвимых групп населения, с целью выявления пробелов в охвате и пересмотра критериев предоставления помощи, с тем чтобы они отвечали интересам детей, живущих в нищете, и рассмотреть вопрос о расширении текущих мер по оказанию социальной помощи;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>принять все необходимые меры в целях улучшения доступа всех детей, в частности детей, живущих в отдаленных районах, детей, затронутых ВИЧ/СПИДом, и детей-инвалидов, к достаточному жилищу, безопасной питьевой воде и адекватным санитарно-техническим средствам и обеспечить их устойчивость, функциональность, достаточность и доступность по ценам;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d)</w:t>
      </w:r>
      <w:r w:rsidR="004256C9" w:rsidRPr="00BE7C34">
        <w:rPr>
          <w:b/>
        </w:rPr>
        <w:tab/>
      </w:r>
      <w:r w:rsidR="004256C9">
        <w:rPr>
          <w:b/>
          <w:bCs/>
        </w:rPr>
        <w:t>обратиться за технической помощью к ЮНИСЕФ для повышения уровня жизни детей.</w:t>
      </w:r>
    </w:p>
    <w:p w:rsidR="004256C9" w:rsidRPr="0007456C" w:rsidRDefault="00BE7C34" w:rsidP="004256C9">
      <w:pPr>
        <w:pStyle w:val="H1G"/>
      </w:pPr>
      <w:r>
        <w:tab/>
      </w:r>
      <w:r w:rsidR="004256C9">
        <w:t>H.</w:t>
      </w:r>
      <w:r w:rsidR="004256C9">
        <w:tab/>
      </w:r>
      <w:r w:rsidR="004256C9">
        <w:rPr>
          <w:bCs/>
        </w:rPr>
        <w:t>Образование, досуг и культурная деятельность (статьи 28–31)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Образование, включая профессиональную подготовку и ориентацию</w:t>
      </w:r>
    </w:p>
    <w:p w:rsidR="004256C9" w:rsidRPr="0007456C" w:rsidRDefault="004256C9" w:rsidP="004256C9">
      <w:pPr>
        <w:pStyle w:val="SingleTxtG"/>
      </w:pPr>
      <w:r>
        <w:t>52.</w:t>
      </w:r>
      <w:r>
        <w:tab/>
        <w:t>Комитет приветствует усилия, предпринимаемые государством-участником с целью улучшения доступа детей к качественному образованию, в том числе в рамках Стратегического плана развития сектора образования и профессиональной подготовки на 2015</w:t>
      </w:r>
      <w:r w:rsidR="00BE7C34">
        <w:t>–</w:t>
      </w:r>
      <w:r>
        <w:t>2020 годы, Политики в области развития инклюзивного образования и программы внешкольного образования для детей. Он также отмечает, что в соответствии с Законом о детях начальное образование является бесплатным и обязательным. Вместе с тем Комитет по-прежнему обеспокоен тем, что начальное образование не является бесплатным для детей с иностранным гражданством, а показатели отсева остаются высокими, особенно среди девочек, которые бросают школу из-за беременности. Он также обеспокоен низкими показателями завершения образования, большим числом детей, не посещающих школу, и введением в 2006 году платы за обучение в средней школе.</w:t>
      </w:r>
    </w:p>
    <w:p w:rsidR="004256C9" w:rsidRPr="00AB1BE8" w:rsidRDefault="004256C9" w:rsidP="00C93182">
      <w:pPr>
        <w:pStyle w:val="SingleTxtG"/>
        <w:pageBreakBefore/>
        <w:rPr>
          <w:b/>
          <w:bCs/>
        </w:rPr>
      </w:pPr>
      <w:r>
        <w:lastRenderedPageBreak/>
        <w:t>53.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 4.1, 4.4, 4.5 и 4.7 Целей в области устойчивого развития Комитет рекомендует государству-участнику:</w:t>
      </w:r>
      <w:r>
        <w:t xml:space="preserve"> 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гарантировать всем девочкам и мальчикам, в том числе имеющим иностранное гражданство, право на бесплатное качественное образование и принять действенные меры по сокращению различий между регионами в части доступа к образованию;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активизировать усилия по повышению качества образования </w:t>
      </w:r>
      <w:r>
        <w:rPr>
          <w:b/>
          <w:bCs/>
        </w:rPr>
        <w:br/>
      </w:r>
      <w:r w:rsidR="004256C9">
        <w:rPr>
          <w:b/>
          <w:bCs/>
        </w:rPr>
        <w:t xml:space="preserve">на всех уровнях, в том числе путем сокращения числа учащихся на </w:t>
      </w:r>
      <w:r>
        <w:rPr>
          <w:b/>
          <w:bCs/>
        </w:rPr>
        <w:br/>
      </w:r>
      <w:r w:rsidR="004256C9">
        <w:rPr>
          <w:b/>
          <w:bCs/>
        </w:rPr>
        <w:t>одного преподавателя, обеспечения непрерывной подготовки учителей, совершенствования школьного оборудования и инфраструктуры, проведения среднесрочного обзора Стратегического плана развития сектора образования и профессиональной подготовки на 2015</w:t>
      </w:r>
      <w:r>
        <w:rPr>
          <w:b/>
          <w:bCs/>
        </w:rPr>
        <w:t>–</w:t>
      </w:r>
      <w:r w:rsidR="004256C9">
        <w:rPr>
          <w:b/>
          <w:bCs/>
        </w:rPr>
        <w:t>2020 годы и пересмотра учебных программ с целью приведения их в соответствие с социальными, культурными, экологическими и экономическими условиями жизни детей и привития всем детям необходимых для жизни навыков;</w:t>
      </w:r>
      <w:r w:rsidR="004256C9">
        <w:t xml:space="preserve"> </w:t>
      </w:r>
    </w:p>
    <w:p w:rsidR="004256C9" w:rsidRPr="00AB1BE8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активизировать усилия по удержанию беременных девочек в общеобразовательных школах и </w:t>
      </w:r>
      <w:proofErr w:type="spellStart"/>
      <w:r w:rsidR="004256C9">
        <w:rPr>
          <w:b/>
          <w:bCs/>
        </w:rPr>
        <w:t>реинтеграции</w:t>
      </w:r>
      <w:proofErr w:type="spellEnd"/>
      <w:r w:rsidR="004256C9">
        <w:rPr>
          <w:b/>
          <w:bCs/>
        </w:rPr>
        <w:t xml:space="preserve"> беременных девочек и матерей-подростков в систему общеобразовательных школ путем предоставления консультаций по вопросам воспитания детей и ухода за ними, а также обеспечения достаточного количества учреждений по уходу за детьми;</w:t>
      </w:r>
    </w:p>
    <w:p w:rsidR="004256C9" w:rsidRPr="00AB1BE8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d)</w:t>
      </w:r>
      <w:r w:rsidR="004256C9" w:rsidRPr="00BE7C34">
        <w:rPr>
          <w:b/>
        </w:rPr>
        <w:tab/>
      </w:r>
      <w:r w:rsidR="004256C9">
        <w:rPr>
          <w:b/>
          <w:bCs/>
        </w:rPr>
        <w:t>развивать и поддерживать качественную профессиональную подготовку для повышения навыков детей, особенно тех, которые бросают школу, уделяя при этом особое внимание детям, живущим в отдаленных районах.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Развитие детей в раннем возрасте</w:t>
      </w:r>
    </w:p>
    <w:p w:rsidR="004256C9" w:rsidRPr="0007456C" w:rsidRDefault="004256C9" w:rsidP="004256C9">
      <w:pPr>
        <w:pStyle w:val="SingleTxtG"/>
      </w:pPr>
      <w:r>
        <w:t>54.</w:t>
      </w:r>
      <w:r>
        <w:tab/>
        <w:t>Комитет отмечает проведенный в 2015 году обзор Политики в области ухода за детьми младшего возраста и их воспитания, а также разработку учебной программы для детей младшего возраста и программы подготовки учителей. Вместе с тем он обеспокоен тем, что образование детей младшего возраста не обеспечено достаточными ресурсами и не осуществляется на систематической основе на всей территории государства-участника.</w:t>
      </w:r>
    </w:p>
    <w:p w:rsidR="004256C9" w:rsidRPr="00AB1BE8" w:rsidRDefault="004256C9" w:rsidP="004256C9">
      <w:pPr>
        <w:pStyle w:val="SingleTxtG"/>
        <w:rPr>
          <w:b/>
          <w:bCs/>
        </w:rPr>
      </w:pPr>
      <w:r>
        <w:t>55.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задачи 4.2 Целей в области устойчивого развития Комитет рекомендует государству-участнику выделить достаточные финансовые ресурсы для развития и расширения системы дошкольного образования на основе всеобъемлющей и целостной политики в области ухода за детьми младшего возраста и их развития в целях обеспечения всем детям доступа к образованию в раннем детстве и в этой связи обратиться к ЮНИСЕФ за технической помощью.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Образование в области прав человека</w:t>
      </w:r>
    </w:p>
    <w:p w:rsidR="004256C9" w:rsidRPr="0007456C" w:rsidRDefault="004256C9" w:rsidP="004256C9">
      <w:pPr>
        <w:pStyle w:val="SingleTxtG"/>
      </w:pPr>
      <w:r>
        <w:t>56.</w:t>
      </w:r>
      <w:r>
        <w:tab/>
        <w:t>Комитет приветствует включение предметов, посвященных правам человека, в программы школьного образования, но обеспокоен недостаточным отражением прав человека в программах подготовки учителей и других специалистов и сотрудников системы образования.</w:t>
      </w:r>
    </w:p>
    <w:p w:rsidR="004256C9" w:rsidRPr="00AB1BE8" w:rsidRDefault="004256C9" w:rsidP="004256C9">
      <w:pPr>
        <w:pStyle w:val="SingleTxtG"/>
        <w:rPr>
          <w:b/>
          <w:bCs/>
        </w:rPr>
      </w:pPr>
      <w:r>
        <w:t>57.</w:t>
      </w:r>
      <w:r>
        <w:tab/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учетом задачи 4.7 Целей в области устойчивого развития Комитет рекомендует государству-участнику:</w:t>
      </w:r>
    </w:p>
    <w:p w:rsidR="004256C9" w:rsidRPr="00AB1BE8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разработать национальный план действий для развития образования в области прав человека, как это было рекомендовано во Всемирной программе образования в области прав человека;</w:t>
      </w:r>
    </w:p>
    <w:p w:rsidR="004256C9" w:rsidRPr="00AB1BE8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>обеспечить, чтобы образование в области прав человека и принципы Конвенции являлись неотъемлемым и обязательным компонентом любой подготовки учителей, других специалистов и сотрудников системы образования на всех уровнях.</w:t>
      </w:r>
    </w:p>
    <w:p w:rsidR="004256C9" w:rsidRPr="0007456C" w:rsidRDefault="004256C9" w:rsidP="004256C9">
      <w:pPr>
        <w:pStyle w:val="H23G"/>
      </w:pPr>
      <w:r>
        <w:lastRenderedPageBreak/>
        <w:tab/>
      </w:r>
      <w:r>
        <w:tab/>
        <w:t>Отдых, досуг, рекреация, культурные мероприятия и художественное творчество</w:t>
      </w:r>
    </w:p>
    <w:p w:rsidR="004256C9" w:rsidRPr="0007456C" w:rsidRDefault="004256C9" w:rsidP="004256C9">
      <w:pPr>
        <w:pStyle w:val="SingleTxtG"/>
      </w:pPr>
      <w:r>
        <w:t>58.</w:t>
      </w:r>
      <w:r>
        <w:tab/>
        <w:t>Комитет отмечает различные спортивные программы для детей, но обеспокоен тем, что государство-участник не представило информацию о рекреации, культурных мероприятиях и художественном творчестве.</w:t>
      </w:r>
    </w:p>
    <w:p w:rsidR="004256C9" w:rsidRPr="00F00D32" w:rsidRDefault="004256C9" w:rsidP="004256C9">
      <w:pPr>
        <w:pStyle w:val="SingleTxtG"/>
        <w:rPr>
          <w:b/>
          <w:bCs/>
        </w:rPr>
      </w:pPr>
      <w:r>
        <w:t>59.</w:t>
      </w:r>
      <w:r>
        <w:tab/>
      </w:r>
      <w:r>
        <w:rPr>
          <w:b/>
          <w:bCs/>
        </w:rPr>
        <w:t xml:space="preserve">Ссылаясь на свое замечание общего порядка № 17 (2013) о праве ребенка на отдых, досуг, игры, рекреационную деятельность, культурную жизнь и художественное творчество, Комитет рекомендует государству-участнику активизировать усилия по гарантированию права ребенка на отдых, досуг и участие в соответствующих его возрасту развлекательных мероприятиях и культурной жизни, а также на художественное творчество, руководствуясь при этом принципами </w:t>
      </w:r>
      <w:proofErr w:type="spellStart"/>
      <w:r>
        <w:rPr>
          <w:b/>
          <w:bCs/>
        </w:rPr>
        <w:t>инклюзивности</w:t>
      </w:r>
      <w:proofErr w:type="spellEnd"/>
      <w:r>
        <w:rPr>
          <w:b/>
          <w:bCs/>
        </w:rPr>
        <w:t xml:space="preserve">, участия и </w:t>
      </w:r>
      <w:proofErr w:type="spellStart"/>
      <w:r>
        <w:rPr>
          <w:b/>
          <w:bCs/>
        </w:rPr>
        <w:t>недискриминации</w:t>
      </w:r>
      <w:proofErr w:type="spellEnd"/>
      <w:r>
        <w:rPr>
          <w:b/>
          <w:bCs/>
        </w:rPr>
        <w:t>.</w:t>
      </w:r>
    </w:p>
    <w:p w:rsidR="004256C9" w:rsidRPr="0007456C" w:rsidRDefault="00BE7C34" w:rsidP="004256C9">
      <w:pPr>
        <w:pStyle w:val="H1G"/>
      </w:pPr>
      <w:r>
        <w:tab/>
      </w:r>
      <w:r w:rsidR="004256C9">
        <w:t>I.</w:t>
      </w:r>
      <w:r w:rsidR="004256C9">
        <w:tab/>
      </w:r>
      <w:r w:rsidR="004256C9">
        <w:rPr>
          <w:bCs/>
        </w:rPr>
        <w:t xml:space="preserve">Специальные меры защиты (статьи 22, 30, 32, 33, 35, 36, </w:t>
      </w:r>
      <w:r w:rsidR="00EB37B6">
        <w:rPr>
          <w:bCs/>
        </w:rPr>
        <w:br/>
      </w:r>
      <w:r w:rsidR="004256C9">
        <w:rPr>
          <w:bCs/>
        </w:rPr>
        <w:t>37 (подпункты b)–d)) и 38–40)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Дети из числа мигрантов, просителей убежища и беженцев</w:t>
      </w:r>
    </w:p>
    <w:p w:rsidR="004256C9" w:rsidRPr="0007456C" w:rsidRDefault="004256C9" w:rsidP="004256C9">
      <w:pPr>
        <w:pStyle w:val="SingleTxtG"/>
      </w:pPr>
      <w:r>
        <w:t>60.</w:t>
      </w:r>
      <w:r>
        <w:tab/>
        <w:t xml:space="preserve">Комитет приветствует переселение детей-беженцев из Центра для нелегальных иммигрантов во </w:t>
      </w:r>
      <w:proofErr w:type="spellStart"/>
      <w:r>
        <w:t>Франсистауне</w:t>
      </w:r>
      <w:proofErr w:type="spellEnd"/>
      <w:r>
        <w:t xml:space="preserve"> и предоставление детям-беженцам доступа к образованию и бесплатным медицинским услугам. Тем не менее Комитет серьезно обеспокоен тем, что дети и семьи просителей убежища и беженцев, а также несопровождаемые дети будут по-прежнему подвергаться обязательному и продолжительному задержанию.</w:t>
      </w:r>
    </w:p>
    <w:p w:rsidR="004256C9" w:rsidRPr="00F00D32" w:rsidRDefault="004256C9" w:rsidP="004256C9">
      <w:pPr>
        <w:pStyle w:val="SingleTxtG"/>
        <w:rPr>
          <w:b/>
          <w:bCs/>
        </w:rPr>
      </w:pPr>
      <w:r>
        <w:t>61.</w:t>
      </w:r>
      <w:r>
        <w:tab/>
      </w:r>
      <w:r>
        <w:rPr>
          <w:b/>
          <w:bCs/>
        </w:rPr>
        <w:t xml:space="preserve">Ссылаясь на совместные замечания общего порядка № 3 и № 4 (2017) Комитета по защите прав всех трудящихся-мигрантов и членов их семей/№ 22 </w:t>
      </w:r>
      <w:r w:rsidR="00BE7C34">
        <w:rPr>
          <w:b/>
          <w:bCs/>
        </w:rPr>
        <w:br/>
      </w:r>
      <w:r>
        <w:rPr>
          <w:b/>
          <w:bCs/>
        </w:rPr>
        <w:t>и № 23 (2017) Комитета по правам ребенка о правах человека детей в контексте международной миграции, Комитет настоятельно призывает государство-участник:</w:t>
      </w:r>
    </w:p>
    <w:p w:rsidR="004256C9" w:rsidRPr="00F00D32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запретить задержание детей-беженцев и детей – просителей убежища и применять в их отношении меры, альтернативные содержанию под стражей, с тем чтобы дети могли оставаться с членами своей семьи и/или опекунами в не связанных с содержанием под стражей и основанных на жизни в общине условиях в соответствии с соображениями наилучшего обеспечения их интересов и прав на свободу и жизнь в семье;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укрепить меры по обеспечению всем детям </w:t>
      </w:r>
      <w:r w:rsidR="00EB37B6">
        <w:rPr>
          <w:b/>
          <w:bCs/>
        </w:rPr>
        <w:t>–</w:t>
      </w:r>
      <w:r w:rsidR="004256C9">
        <w:rPr>
          <w:b/>
          <w:bCs/>
        </w:rPr>
        <w:t xml:space="preserve"> просителям убежища и детям-беженцам полного доступа к медицинскому обслуживанию и образованию.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</w:p>
    <w:p w:rsidR="004256C9" w:rsidRPr="00F00D32" w:rsidRDefault="004256C9" w:rsidP="004256C9">
      <w:pPr>
        <w:pStyle w:val="SingleTxtG"/>
        <w:rPr>
          <w:b/>
          <w:bCs/>
        </w:rPr>
      </w:pPr>
      <w:r>
        <w:t>62.</w:t>
      </w:r>
      <w:r>
        <w:tab/>
      </w:r>
      <w:r>
        <w:rPr>
          <w:b/>
          <w:bCs/>
        </w:rPr>
        <w:t>Отмечая запрещение детского труда в соответствии с Законом о детях и проведенное в 2005/06 году исследование по вопросу о детском труде, Комитет рекомендует государству-участнику выделить достаточные людские, технические и финансовые ресурсы для целей инспекции труда, с тем чтобы обеспечить полное, регулярное и эффективное осуществление законов и стратегий, касающихся использования детского труда, особенно в сельскохозяйственном секторе, и привлекать к судебной ответственности всех лиц, виновных в нарушениях, связанных с использованием детского труда.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Безнадзорные дети</w:t>
      </w:r>
    </w:p>
    <w:p w:rsidR="004256C9" w:rsidRPr="0007456C" w:rsidRDefault="004256C9" w:rsidP="004256C9">
      <w:pPr>
        <w:pStyle w:val="SingleTxtG"/>
      </w:pPr>
      <w:r>
        <w:t>63.</w:t>
      </w:r>
      <w:r>
        <w:tab/>
        <w:t>Отмечая планы государства-участника провести исследование по вопросу о положении безнадзорных детей, Комитет вместе с тем обеспокоен увеличением числа безнадзорных детей и отсутствием конкретной политики в отношении таких детей и специалистов, которые бы ими занимались.</w:t>
      </w:r>
    </w:p>
    <w:p w:rsidR="004256C9" w:rsidRPr="00F00D32" w:rsidRDefault="004256C9" w:rsidP="00C93182">
      <w:pPr>
        <w:pStyle w:val="SingleTxtG"/>
        <w:pageBreakBefore/>
        <w:rPr>
          <w:b/>
          <w:bCs/>
        </w:rPr>
      </w:pPr>
      <w:r>
        <w:lastRenderedPageBreak/>
        <w:t>64.</w:t>
      </w:r>
      <w:r>
        <w:tab/>
      </w:r>
      <w:r>
        <w:rPr>
          <w:b/>
          <w:bCs/>
        </w:rPr>
        <w:t>Ссылаясь на свое замечание общего порядка № 21 (2017) о безнадзорных детях, Комитет рекомендует государству-участнику: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разработать на основе результатов исследования и собранных данных национальную политику и план действий по оказанию поддержки безнадзорным детям;</w:t>
      </w:r>
      <w:r w:rsidR="004256C9">
        <w:t xml:space="preserve"> 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укреплять меры по обеспечению того, чтобы безнадзорным детям предоставлялись возможности для получения образования и услуги по </w:t>
      </w:r>
      <w:proofErr w:type="spellStart"/>
      <w:r w:rsidR="004256C9">
        <w:rPr>
          <w:b/>
          <w:bCs/>
        </w:rPr>
        <w:t>реинтеграции</w:t>
      </w:r>
      <w:proofErr w:type="spellEnd"/>
      <w:r w:rsidR="004256C9">
        <w:rPr>
          <w:b/>
          <w:bCs/>
        </w:rPr>
        <w:t xml:space="preserve"> в семью;</w:t>
      </w:r>
      <w:r w:rsidR="004256C9">
        <w:t xml:space="preserve"> </w:t>
      </w:r>
    </w:p>
    <w:p w:rsidR="004256C9" w:rsidRPr="00F00D32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>оказывать профессиональную поддержку организациям, работающим с безнадзорными детьми, в частности обеспечивать наличие в этих организациях сотрудников, обладающих специальными навыками в области психологии и социальной работы.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Торговля детьми и их контрабанда</w:t>
      </w:r>
    </w:p>
    <w:p w:rsidR="004256C9" w:rsidRPr="00F00D32" w:rsidRDefault="004256C9" w:rsidP="004256C9">
      <w:pPr>
        <w:pStyle w:val="SingleTxtG"/>
        <w:rPr>
          <w:b/>
          <w:bCs/>
        </w:rPr>
      </w:pPr>
      <w:r>
        <w:t>65.</w:t>
      </w:r>
      <w:r>
        <w:tab/>
      </w:r>
      <w:r>
        <w:rPr>
          <w:b/>
          <w:bCs/>
        </w:rPr>
        <w:t>Отмечая задачу 8.7 Целей в области устойчивого развития и приветствуя принятие в 2014 году Закона о борьбе с торговлей людьми и Национального плана действий по борьбе с торговлей людьми на 2018</w:t>
      </w:r>
      <w:r w:rsidR="00BE7C34">
        <w:rPr>
          <w:b/>
          <w:bCs/>
        </w:rPr>
        <w:t>–</w:t>
      </w:r>
      <w:r>
        <w:rPr>
          <w:b/>
          <w:bCs/>
        </w:rPr>
        <w:t>2022 годы, Комитет рекомендует государству-участнику: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обеспечить эффективное осуществление Закона о борьбе с торговлей людьми, в том числе путем сбора данных о случаях торговли детьми;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обеспечить эффективное оказание консультативной помощи и поддержки детям </w:t>
      </w:r>
      <w:r w:rsidR="00EB37B6">
        <w:rPr>
          <w:b/>
          <w:bCs/>
        </w:rPr>
        <w:t>–</w:t>
      </w:r>
      <w:r w:rsidR="004256C9">
        <w:rPr>
          <w:b/>
          <w:bCs/>
        </w:rPr>
        <w:t xml:space="preserve"> жертвам торговли людьми;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>продолжать привлекать виновных к ответственности и проводить информационно-просветительские мероприятия с целью информирования родителей и детей об опасностях, которые несет в себе торговля людьми.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Отправление правосудия по делам несовершеннолетних</w:t>
      </w:r>
      <w:r>
        <w:t xml:space="preserve"> </w:t>
      </w:r>
    </w:p>
    <w:p w:rsidR="004256C9" w:rsidRPr="0007456C" w:rsidRDefault="004256C9" w:rsidP="004256C9">
      <w:pPr>
        <w:pStyle w:val="SingleTxtG"/>
      </w:pPr>
      <w:r>
        <w:t>66.</w:t>
      </w:r>
      <w:r>
        <w:tab/>
        <w:t>Комитет приветствует содержащееся в Законе о детях положение, предусматривающее проведение социальными работниками оценки детей, находящихся в конфликте с законом, создание детских судов и использование задержания в качестве крайней меры. Вместе с тем Комитет обеспокоен: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a)</w:t>
      </w:r>
      <w:r w:rsidR="004256C9">
        <w:tab/>
        <w:t>низким возрастом наступления уголовной ответственности;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b)</w:t>
      </w:r>
      <w:r w:rsidR="004256C9">
        <w:tab/>
        <w:t>существованием статусных правонарушений, таких как «публичная зловредность» и «праздношатание и нарушение общественного порядка», за совершение которых дети лишаются свободы;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с)</w:t>
      </w:r>
      <w:r w:rsidR="004256C9">
        <w:tab/>
        <w:t>отсутствием в системе правосудия и полиции специалистов по делам несовершеннолетних;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d)</w:t>
      </w:r>
      <w:r w:rsidR="004256C9">
        <w:tab/>
        <w:t>применением телесных наказаний в качестве меры наказания и отсутствием вариантов наказания, не связанных с лишением свободы;</w:t>
      </w:r>
    </w:p>
    <w:p w:rsidR="004256C9" w:rsidRPr="0007456C" w:rsidRDefault="00BE7C34" w:rsidP="004256C9">
      <w:pPr>
        <w:pStyle w:val="SingleTxtG"/>
      </w:pPr>
      <w:r>
        <w:tab/>
      </w:r>
      <w:r w:rsidR="004256C9">
        <w:tab/>
        <w:t>e)</w:t>
      </w:r>
      <w:r w:rsidR="004256C9">
        <w:tab/>
        <w:t xml:space="preserve">содержанием девушек под стражей вместе со взрослыми женщинами. </w:t>
      </w:r>
    </w:p>
    <w:p w:rsidR="004256C9" w:rsidRPr="00F00D32" w:rsidRDefault="004256C9" w:rsidP="004256C9">
      <w:pPr>
        <w:pStyle w:val="SingleTxtG"/>
        <w:rPr>
          <w:b/>
          <w:bCs/>
        </w:rPr>
      </w:pPr>
      <w:r>
        <w:t>67.</w:t>
      </w:r>
      <w:r>
        <w:tab/>
      </w:r>
      <w:r>
        <w:rPr>
          <w:b/>
          <w:bCs/>
        </w:rPr>
        <w:t>Комитет настоятельно призывает государство-участник привести свою систему отправления правосудия по делам несовершеннолетних в полное соответствие с Конвенцией и другими соответствующими стандартами.</w:t>
      </w:r>
      <w:r>
        <w:t xml:space="preserve"> </w:t>
      </w:r>
      <w:r>
        <w:rPr>
          <w:b/>
          <w:bCs/>
        </w:rPr>
        <w:t>Комитет, в частности, настоятельно призывает государство-участник:</w:t>
      </w:r>
    </w:p>
    <w:p w:rsidR="004256C9" w:rsidRPr="00F00D32" w:rsidRDefault="004256C9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BE7C34" w:rsidRPr="00BE7C34">
        <w:rPr>
          <w:b/>
        </w:rPr>
        <w:tab/>
      </w:r>
      <w:r w:rsidRPr="00BE7C34">
        <w:rPr>
          <w:b/>
        </w:rPr>
        <w:t>a)</w:t>
      </w:r>
      <w:r w:rsidRPr="00BE7C34">
        <w:rPr>
          <w:b/>
        </w:rPr>
        <w:tab/>
      </w:r>
      <w:r>
        <w:rPr>
          <w:b/>
          <w:bCs/>
        </w:rPr>
        <w:t xml:space="preserve">пересмотреть возраст наступления уголовной ответственности в соответствии с </w:t>
      </w:r>
      <w:proofErr w:type="spellStart"/>
      <w:r>
        <w:rPr>
          <w:b/>
          <w:bCs/>
        </w:rPr>
        <w:t>международно</w:t>
      </w:r>
      <w:proofErr w:type="spellEnd"/>
      <w:r>
        <w:rPr>
          <w:b/>
          <w:bCs/>
        </w:rPr>
        <w:t xml:space="preserve"> признанными стандартами;</w:t>
      </w:r>
    </w:p>
    <w:p w:rsidR="004256C9" w:rsidRPr="00F00D32" w:rsidRDefault="004256C9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BE7C34" w:rsidRPr="00BE7C34">
        <w:rPr>
          <w:b/>
        </w:rPr>
        <w:tab/>
      </w:r>
      <w:r w:rsidRPr="00BE7C34">
        <w:rPr>
          <w:b/>
        </w:rPr>
        <w:t>b)</w:t>
      </w:r>
      <w:r w:rsidRPr="00BE7C34">
        <w:rPr>
          <w:b/>
        </w:rPr>
        <w:tab/>
      </w:r>
      <w:r>
        <w:rPr>
          <w:b/>
          <w:bCs/>
        </w:rPr>
        <w:t>исключить статусные правонарушения из категории уголовных преступлений;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гарантировать выделение надлежащих людских, технических и финансовых ресурсов для назначения специальных сотрудников по делам </w:t>
      </w:r>
      <w:r w:rsidR="004256C9">
        <w:rPr>
          <w:b/>
          <w:bCs/>
        </w:rPr>
        <w:lastRenderedPageBreak/>
        <w:t>несовершеннолетних и обеспечить прохождение ими систематических курсов повышения квалификации и подготовки;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d)</w:t>
      </w:r>
      <w:r w:rsidR="004256C9" w:rsidRPr="00BE7C34">
        <w:rPr>
          <w:b/>
        </w:rPr>
        <w:tab/>
      </w:r>
      <w:r w:rsidR="004256C9">
        <w:rPr>
          <w:b/>
          <w:bCs/>
        </w:rPr>
        <w:t>в срочном порядке рассмотреть вопрос о приостановлении применения телесных наказаний до их отмены, выведении несовершеннолетних правонарушителей из системы уголовного правосудия на ранней стадии ее задействования (в том числе с помощью существующих процессов посредничества), поощрении использования мер, не связанных с лишением свободы, и обеспечении наличия достаточных возможностей для пробации, общественных работ и посредничества;</w:t>
      </w:r>
    </w:p>
    <w:p w:rsidR="004256C9" w:rsidRPr="00F00D32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e)</w:t>
      </w:r>
      <w:r w:rsidR="004256C9" w:rsidRPr="00BE7C34">
        <w:rPr>
          <w:b/>
        </w:rPr>
        <w:tab/>
      </w:r>
      <w:r w:rsidR="004256C9">
        <w:rPr>
          <w:b/>
          <w:bCs/>
        </w:rPr>
        <w:t>обеспечить, чтобы в тех случаях, когда заключение под стражу неизбежно, девочки содержались отдельно от взрослых женщин, а в тех случаях, когда речь идет о возможности одиночного заключения, применялись меры наказания, не связанные с лишением свободы, и чтобы условия содержания детей под стражей соответствовали международным стандартам, особенно в том, что касается доступа к образованию и медицинскому обслуживанию, при регулярном рассмотрении вопроса об освобождении.</w:t>
      </w:r>
    </w:p>
    <w:p w:rsidR="004256C9" w:rsidRPr="0007456C" w:rsidRDefault="004256C9" w:rsidP="004256C9">
      <w:pPr>
        <w:pStyle w:val="H23G"/>
      </w:pPr>
      <w:r>
        <w:tab/>
      </w:r>
      <w:r>
        <w:tab/>
      </w:r>
      <w:r>
        <w:rPr>
          <w:bCs/>
        </w:rPr>
        <w:t>Дети, ставшие жертвами и свидетелями преступлений</w:t>
      </w:r>
    </w:p>
    <w:p w:rsidR="004256C9" w:rsidRPr="0007456C" w:rsidRDefault="004256C9" w:rsidP="004256C9">
      <w:pPr>
        <w:pStyle w:val="SingleTxtG"/>
      </w:pPr>
      <w:r>
        <w:t>68.</w:t>
      </w:r>
      <w:r>
        <w:tab/>
        <w:t xml:space="preserve">Комитет обеспокоен сообщениями о том, что дети-жертвы по-прежнему дают показания в открытом суде, подвергаются допросам со стороны правонарушителей и иногда упоминаются в официальных документах, что ведет к раскрытию их личности и повторной </w:t>
      </w:r>
      <w:proofErr w:type="spellStart"/>
      <w:r>
        <w:t>виктимизации</w:t>
      </w:r>
      <w:proofErr w:type="spellEnd"/>
      <w:r>
        <w:t>. Он также обеспокоен сообщениями о том, что дети</w:t>
      </w:r>
      <w:r w:rsidR="00BE7C34">
        <w:t xml:space="preserve"> – </w:t>
      </w:r>
      <w:r>
        <w:t>свидетели преступлений иногда задерживаются за отказ давать показания в суде.</w:t>
      </w:r>
    </w:p>
    <w:p w:rsidR="004256C9" w:rsidRPr="00E506F0" w:rsidRDefault="004256C9" w:rsidP="004256C9">
      <w:pPr>
        <w:pStyle w:val="SingleTxtG"/>
        <w:rPr>
          <w:b/>
          <w:bCs/>
        </w:rPr>
      </w:pPr>
      <w:r>
        <w:t>69.</w:t>
      </w:r>
      <w:r>
        <w:tab/>
      </w:r>
      <w:r>
        <w:rPr>
          <w:b/>
          <w:bCs/>
        </w:rPr>
        <w:t>Комитет рекомендует государству-участнику:</w:t>
      </w:r>
    </w:p>
    <w:p w:rsidR="004256C9" w:rsidRPr="00E506F0" w:rsidRDefault="00BE7C34" w:rsidP="004256C9">
      <w:pPr>
        <w:pStyle w:val="SingleTxtG"/>
        <w:rPr>
          <w:b/>
          <w:bCs/>
        </w:rPr>
      </w:pPr>
      <w:r>
        <w:tab/>
      </w:r>
      <w:r w:rsidR="004256C9">
        <w:tab/>
      </w:r>
      <w:r w:rsidR="004256C9" w:rsidRPr="00BE7C34">
        <w:rPr>
          <w:b/>
        </w:rPr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пересмотреть соответствующие правовые положения об уголовном судопроизводстве с участием детей, включая статью 172 Закона об уголовном процессе и доказывании и статью 93 (1) Закона о детях, с целью их приведения в соответствие с Руководящими принципами, касающимися правосудия в вопросах, связанных с участием детей </w:t>
      </w:r>
      <w:r w:rsidR="00D178CE">
        <w:rPr>
          <w:b/>
          <w:bCs/>
        </w:rPr>
        <w:t>–</w:t>
      </w:r>
      <w:r w:rsidR="004256C9">
        <w:rPr>
          <w:b/>
          <w:bCs/>
        </w:rPr>
        <w:t xml:space="preserve"> жертв и свидетелей преступлений;</w:t>
      </w:r>
    </w:p>
    <w:p w:rsidR="004256C9" w:rsidRPr="00E506F0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предотвращать повторную </w:t>
      </w:r>
      <w:proofErr w:type="spellStart"/>
      <w:r w:rsidR="004256C9">
        <w:rPr>
          <w:b/>
          <w:bCs/>
        </w:rPr>
        <w:t>виктимизацию</w:t>
      </w:r>
      <w:proofErr w:type="spellEnd"/>
      <w:r w:rsidR="004256C9">
        <w:rPr>
          <w:b/>
          <w:bCs/>
        </w:rPr>
        <w:t xml:space="preserve"> детей, в том числе </w:t>
      </w:r>
      <w:proofErr w:type="gramStart"/>
      <w:r w:rsidR="004256C9">
        <w:rPr>
          <w:b/>
          <w:bCs/>
        </w:rPr>
        <w:t>путем обеспечения</w:t>
      </w:r>
      <w:proofErr w:type="gramEnd"/>
      <w:r w:rsidR="004256C9">
        <w:rPr>
          <w:b/>
          <w:bCs/>
        </w:rPr>
        <w:t xml:space="preserve"> безопасного и учитывающего интересы детей уголовного разбирательства и применения специальных процедур для закрытого уголовного разбирательства с участием детей, уделяя особого внимания их защите и конфиденциальности;</w:t>
      </w:r>
    </w:p>
    <w:p w:rsidR="004256C9" w:rsidRPr="00E506F0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предупреждать причинение беспокойства детям </w:t>
      </w:r>
      <w:r>
        <w:rPr>
          <w:b/>
          <w:bCs/>
        </w:rPr>
        <w:t>–</w:t>
      </w:r>
      <w:r w:rsidR="004256C9">
        <w:rPr>
          <w:b/>
          <w:bCs/>
        </w:rPr>
        <w:t xml:space="preserve"> жертвам и свидетелям преступлений во время перекрестных допросов;</w:t>
      </w:r>
      <w:r w:rsidR="004256C9">
        <w:t xml:space="preserve"> </w:t>
      </w:r>
    </w:p>
    <w:p w:rsidR="004256C9" w:rsidRPr="00E506F0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d)</w:t>
      </w:r>
      <w:r w:rsidR="004256C9" w:rsidRPr="00BE7C34">
        <w:rPr>
          <w:b/>
        </w:rPr>
        <w:tab/>
      </w:r>
      <w:r w:rsidR="004256C9">
        <w:rPr>
          <w:b/>
          <w:bCs/>
        </w:rPr>
        <w:t xml:space="preserve">обеспечить, чтобы все дети </w:t>
      </w:r>
      <w:r>
        <w:rPr>
          <w:b/>
          <w:bCs/>
        </w:rPr>
        <w:t>–</w:t>
      </w:r>
      <w:r w:rsidR="004256C9">
        <w:rPr>
          <w:b/>
          <w:bCs/>
        </w:rPr>
        <w:t xml:space="preserve"> жертвы и свидетели преступлений, включая детей </w:t>
      </w:r>
      <w:r>
        <w:rPr>
          <w:b/>
          <w:bCs/>
        </w:rPr>
        <w:t>–</w:t>
      </w:r>
      <w:r w:rsidR="004256C9">
        <w:rPr>
          <w:b/>
          <w:bCs/>
        </w:rPr>
        <w:t xml:space="preserve"> жертв сексуальной эксплуатации и надругательств, а также свидетелей таких преступлений, не задерживались за отказ от дачи показаний в </w:t>
      </w:r>
      <w:proofErr w:type="gramStart"/>
      <w:r w:rsidR="004256C9">
        <w:rPr>
          <w:b/>
          <w:bCs/>
        </w:rPr>
        <w:t>суде</w:t>
      </w:r>
      <w:proofErr w:type="gramEnd"/>
      <w:r w:rsidR="004256C9">
        <w:rPr>
          <w:b/>
          <w:bCs/>
        </w:rPr>
        <w:t xml:space="preserve"> и чтобы им предоставлялась защита, требуемая Конвенцией.</w:t>
      </w:r>
    </w:p>
    <w:p w:rsidR="004256C9" w:rsidRPr="0007456C" w:rsidRDefault="00BE7C34" w:rsidP="004256C9">
      <w:pPr>
        <w:pStyle w:val="H1G"/>
      </w:pPr>
      <w:r>
        <w:tab/>
      </w:r>
      <w:r w:rsidR="004256C9">
        <w:t>J.</w:t>
      </w:r>
      <w:r w:rsidR="004256C9">
        <w:tab/>
      </w:r>
      <w:r w:rsidR="004256C9">
        <w:rPr>
          <w:bCs/>
        </w:rPr>
        <w:t>Ратификация Факультативного протокола, касающегося процедуры сообщений</w:t>
      </w:r>
    </w:p>
    <w:p w:rsidR="004256C9" w:rsidRPr="00E506F0" w:rsidRDefault="004256C9" w:rsidP="004256C9">
      <w:pPr>
        <w:pStyle w:val="SingleTxtG"/>
        <w:rPr>
          <w:b/>
          <w:bCs/>
        </w:rPr>
      </w:pPr>
      <w:r>
        <w:t>70.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 к Конвенции, касающийся процедуры сообщений.</w:t>
      </w:r>
      <w:r>
        <w:t xml:space="preserve"> </w:t>
      </w:r>
    </w:p>
    <w:p w:rsidR="004256C9" w:rsidRPr="0007456C" w:rsidRDefault="00BE7C34" w:rsidP="004256C9">
      <w:pPr>
        <w:pStyle w:val="H1G"/>
      </w:pPr>
      <w:r>
        <w:tab/>
      </w:r>
      <w:r w:rsidR="004256C9">
        <w:t>K.</w:t>
      </w:r>
      <w:r w:rsidR="004256C9">
        <w:tab/>
      </w:r>
      <w:r w:rsidR="004256C9">
        <w:rPr>
          <w:bCs/>
        </w:rPr>
        <w:t>Ратификация международных договоров по правам человека</w:t>
      </w:r>
    </w:p>
    <w:p w:rsidR="004256C9" w:rsidRPr="00E506F0" w:rsidRDefault="004256C9" w:rsidP="004256C9">
      <w:pPr>
        <w:pStyle w:val="SingleTxtG"/>
        <w:rPr>
          <w:b/>
          <w:bCs/>
        </w:rPr>
      </w:pPr>
      <w:r>
        <w:t>71.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следующих основных договоров по правам человека:</w:t>
      </w:r>
    </w:p>
    <w:p w:rsidR="004256C9" w:rsidRPr="00E506F0" w:rsidRDefault="00BE7C34" w:rsidP="004256C9">
      <w:pPr>
        <w:pStyle w:val="SingleTxtG"/>
        <w:rPr>
          <w:b/>
          <w:bCs/>
        </w:rPr>
      </w:pPr>
      <w:r>
        <w:lastRenderedPageBreak/>
        <w:tab/>
      </w:r>
      <w:r w:rsidR="004256C9" w:rsidRPr="00BE7C34">
        <w:rPr>
          <w:b/>
        </w:rPr>
        <w:tab/>
        <w:t>a)</w:t>
      </w:r>
      <w:r w:rsidR="004256C9" w:rsidRPr="00BE7C34">
        <w:rPr>
          <w:b/>
        </w:rPr>
        <w:tab/>
      </w:r>
      <w:r w:rsidR="004256C9">
        <w:rPr>
          <w:b/>
          <w:bCs/>
        </w:rPr>
        <w:t>Международного пакта об экономических, социальных и культурных правах;</w:t>
      </w:r>
    </w:p>
    <w:p w:rsidR="004256C9" w:rsidRPr="00E506F0" w:rsidRDefault="00BE7C34" w:rsidP="004256C9">
      <w:pPr>
        <w:pStyle w:val="SingleTxtG"/>
        <w:rPr>
          <w:b/>
          <w:bCs/>
        </w:rPr>
      </w:pPr>
      <w:r>
        <w:tab/>
      </w:r>
      <w:r w:rsidR="004256C9" w:rsidRPr="00BE7C34">
        <w:rPr>
          <w:b/>
        </w:rPr>
        <w:tab/>
        <w:t>b)</w:t>
      </w:r>
      <w:r w:rsidR="004256C9" w:rsidRPr="00BE7C34">
        <w:rPr>
          <w:b/>
        </w:rPr>
        <w:tab/>
      </w:r>
      <w:r w:rsidR="004256C9">
        <w:rPr>
          <w:b/>
          <w:bCs/>
        </w:rPr>
        <w:t>Конвенции о правах инвалидов;</w:t>
      </w:r>
    </w:p>
    <w:p w:rsidR="004256C9" w:rsidRPr="00E506F0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с)</w:t>
      </w:r>
      <w:r w:rsidR="004256C9" w:rsidRPr="00BE7C34">
        <w:rPr>
          <w:b/>
        </w:rPr>
        <w:tab/>
      </w:r>
      <w:r w:rsidR="004256C9">
        <w:rPr>
          <w:b/>
          <w:bCs/>
        </w:rPr>
        <w:t>Международной конвенции о защите прав всех трудящихся-мигрантов и членов их семей;</w:t>
      </w:r>
    </w:p>
    <w:p w:rsidR="004256C9" w:rsidRPr="00E506F0" w:rsidRDefault="00BE7C34" w:rsidP="004256C9">
      <w:pPr>
        <w:pStyle w:val="SingleTxtG"/>
        <w:rPr>
          <w:b/>
          <w:bCs/>
        </w:rPr>
      </w:pPr>
      <w:r w:rsidRPr="00BE7C34">
        <w:rPr>
          <w:b/>
        </w:rPr>
        <w:tab/>
      </w:r>
      <w:r w:rsidR="004256C9" w:rsidRPr="00BE7C34">
        <w:rPr>
          <w:b/>
        </w:rPr>
        <w:tab/>
        <w:t>d)</w:t>
      </w:r>
      <w:r w:rsidR="004256C9" w:rsidRPr="00BE7C34">
        <w:rPr>
          <w:b/>
        </w:rPr>
        <w:tab/>
      </w:r>
      <w:r w:rsidR="004256C9">
        <w:rPr>
          <w:b/>
          <w:bCs/>
        </w:rPr>
        <w:t>Международной конвенции для защиты всех лиц от насильственных исчезновений.</w:t>
      </w:r>
    </w:p>
    <w:p w:rsidR="004256C9" w:rsidRPr="00E506F0" w:rsidDel="00D231EC" w:rsidRDefault="004256C9" w:rsidP="004256C9">
      <w:pPr>
        <w:pStyle w:val="SingleTxtG"/>
        <w:rPr>
          <w:b/>
          <w:bCs/>
        </w:rPr>
      </w:pPr>
      <w:r>
        <w:t>72.</w:t>
      </w:r>
      <w:r>
        <w:tab/>
      </w:r>
      <w:r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протоколом, касающимся участия детей в вооруженных конфликтах, и Факультативным протоколом, касающимся торговли детьми, детской проституции и детской порнографии, сроки представления которых истекли соответственно 4 ноября 2006 года и 24 октября 2005 года.</w:t>
      </w:r>
    </w:p>
    <w:p w:rsidR="004256C9" w:rsidRPr="0007456C" w:rsidRDefault="00BE7C34" w:rsidP="004256C9">
      <w:pPr>
        <w:pStyle w:val="H1G"/>
      </w:pPr>
      <w:r>
        <w:tab/>
      </w:r>
      <w:r w:rsidR="004256C9">
        <w:t>L.</w:t>
      </w:r>
      <w:r w:rsidR="004256C9">
        <w:tab/>
      </w:r>
      <w:r w:rsidR="004256C9">
        <w:rPr>
          <w:bCs/>
        </w:rPr>
        <w:t>Сотрудничество с региональными органами</w:t>
      </w:r>
    </w:p>
    <w:p w:rsidR="004256C9" w:rsidRPr="00E506F0" w:rsidRDefault="004256C9" w:rsidP="004256C9">
      <w:pPr>
        <w:pStyle w:val="SingleTxtG"/>
        <w:rPr>
          <w:b/>
          <w:bCs/>
        </w:rPr>
      </w:pPr>
      <w:r>
        <w:t>73.</w:t>
      </w:r>
      <w:r>
        <w:tab/>
      </w:r>
      <w:r>
        <w:rPr>
          <w:b/>
          <w:bCs/>
        </w:rPr>
        <w:t xml:space="preserve">Комитет рекомендует государству-участнику сотрудничать с Африканским комитетом экспертов по правам и благосостоянию ребенка Африканского союза для осуществления Конвенции и других договоров </w:t>
      </w:r>
      <w:r w:rsidR="00BE7C34">
        <w:rPr>
          <w:b/>
          <w:bCs/>
        </w:rPr>
        <w:br/>
      </w:r>
      <w:r>
        <w:rPr>
          <w:b/>
          <w:bCs/>
        </w:rPr>
        <w:t xml:space="preserve">в области прав человека как в государстве-участнике, так и в других </w:t>
      </w:r>
      <w:r w:rsidR="00BE7C34">
        <w:rPr>
          <w:b/>
          <w:bCs/>
        </w:rPr>
        <w:br/>
      </w:r>
      <w:r>
        <w:rPr>
          <w:b/>
          <w:bCs/>
        </w:rPr>
        <w:t>государствах – членах Африканского союза.</w:t>
      </w:r>
    </w:p>
    <w:p w:rsidR="004256C9" w:rsidRPr="0007456C" w:rsidRDefault="00BE7C34" w:rsidP="004256C9">
      <w:pPr>
        <w:pStyle w:val="HChG"/>
      </w:pPr>
      <w:r>
        <w:tab/>
      </w:r>
      <w:r w:rsidR="004256C9">
        <w:t>IV.</w:t>
      </w:r>
      <w:r w:rsidR="004256C9">
        <w:tab/>
      </w:r>
      <w:r w:rsidR="004256C9">
        <w:rPr>
          <w:bCs/>
        </w:rPr>
        <w:t>Меры по осуществлению и представление докладов</w:t>
      </w:r>
    </w:p>
    <w:p w:rsidR="004256C9" w:rsidRPr="0007456C" w:rsidRDefault="00BE7C34" w:rsidP="004256C9">
      <w:pPr>
        <w:pStyle w:val="H1G"/>
      </w:pPr>
      <w:r>
        <w:tab/>
      </w:r>
      <w:r w:rsidR="004256C9">
        <w:t>A.</w:t>
      </w:r>
      <w:r w:rsidR="004256C9">
        <w:tab/>
      </w:r>
      <w:r w:rsidR="004256C9">
        <w:rPr>
          <w:bCs/>
        </w:rPr>
        <w:t>Последующая деятельность и распространение информации</w:t>
      </w:r>
    </w:p>
    <w:p w:rsidR="004256C9" w:rsidRPr="00E506F0" w:rsidRDefault="004256C9" w:rsidP="004256C9">
      <w:pPr>
        <w:pStyle w:val="SingleTxtG"/>
        <w:rPr>
          <w:b/>
          <w:bCs/>
        </w:rPr>
      </w:pPr>
      <w:r>
        <w:t>74.</w:t>
      </w:r>
      <w:r>
        <w:tab/>
      </w:r>
      <w:r w:rsidRPr="00BE7C34">
        <w:rPr>
          <w:b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также рекомендует широко распространить на используемых в стране языках объединенные второй и третий периодические доклады, письменные ответы на перечень вопросов, а также настоящие заключительные замечания.</w:t>
      </w:r>
      <w:r>
        <w:t xml:space="preserve"> </w:t>
      </w:r>
    </w:p>
    <w:p w:rsidR="004256C9" w:rsidRPr="0007456C" w:rsidRDefault="00BE7C34" w:rsidP="004256C9">
      <w:pPr>
        <w:pStyle w:val="H1G"/>
      </w:pPr>
      <w:r>
        <w:tab/>
      </w:r>
      <w:r w:rsidR="004256C9">
        <w:t>B.</w:t>
      </w:r>
      <w:r w:rsidR="004256C9">
        <w:tab/>
        <w:t xml:space="preserve">Национальный механизм представления докладов </w:t>
      </w:r>
      <w:r>
        <w:br/>
      </w:r>
      <w:r w:rsidR="004256C9">
        <w:t>и осуществления последующих мер</w:t>
      </w:r>
    </w:p>
    <w:p w:rsidR="004256C9" w:rsidRPr="0007456C" w:rsidRDefault="004256C9" w:rsidP="004256C9">
      <w:pPr>
        <w:pStyle w:val="SingleTxtG"/>
      </w:pPr>
      <w:r>
        <w:t>75.</w:t>
      </w:r>
      <w:r>
        <w:tab/>
      </w:r>
      <w:r>
        <w:rPr>
          <w:b/>
          <w:bCs/>
        </w:rPr>
        <w:t>Комитет рекомендует государству-участнику укрепить Межведомственный комитет по договорам, конвенциям и протоколам, отвечающ</w:t>
      </w:r>
      <w:r w:rsidR="00D178CE">
        <w:rPr>
          <w:b/>
          <w:bCs/>
        </w:rPr>
        <w:t>и</w:t>
      </w:r>
      <w:r>
        <w:rPr>
          <w:b/>
          <w:bCs/>
        </w:rPr>
        <w:t>й за координацию и подготовку докладов для международных и региональных правозащитных механизмов, а также за координацию и мониторинг последующей деятельности и осуществления на национальном уровне договорных обязательств, равно как и рекомендаций и решений таких механизмов.</w:t>
      </w:r>
      <w:r>
        <w:t xml:space="preserve"> </w:t>
      </w:r>
      <w:r w:rsidRPr="00BE7C34">
        <w:rPr>
          <w:b/>
        </w:rPr>
        <w:t xml:space="preserve">Он подчеркивает, что Межведомственный комитет должен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гражданским обществом. </w:t>
      </w:r>
    </w:p>
    <w:p w:rsidR="004256C9" w:rsidRPr="0007456C" w:rsidRDefault="00BE7C34" w:rsidP="004256C9">
      <w:pPr>
        <w:pStyle w:val="H1G"/>
      </w:pPr>
      <w:r>
        <w:tab/>
      </w:r>
      <w:r w:rsidR="004256C9">
        <w:t>C.</w:t>
      </w:r>
      <w:r w:rsidR="004256C9">
        <w:tab/>
      </w:r>
      <w:r w:rsidR="004256C9">
        <w:rPr>
          <w:bCs/>
        </w:rPr>
        <w:t>Следующий доклад</w:t>
      </w:r>
      <w:r w:rsidR="004256C9">
        <w:t xml:space="preserve"> </w:t>
      </w:r>
    </w:p>
    <w:p w:rsidR="004256C9" w:rsidRPr="00BE7C34" w:rsidRDefault="004256C9" w:rsidP="004256C9">
      <w:pPr>
        <w:pStyle w:val="SingleTxtG"/>
        <w:rPr>
          <w:b/>
          <w:bCs/>
        </w:rPr>
      </w:pPr>
      <w:r>
        <w:t>76.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четвертый</w:t>
      </w:r>
      <w:r w:rsidR="00D178CE">
        <w:rPr>
          <w:b/>
          <w:bCs/>
        </w:rPr>
        <w:t>–</w:t>
      </w:r>
      <w:r>
        <w:rPr>
          <w:b/>
          <w:bCs/>
        </w:rPr>
        <w:t>шестой периодические доклады к 12 апреля 2024 года и включить в них информацию о последующих мерах в связи с настоящими заключительными замечаниями.</w:t>
      </w:r>
      <w:r>
        <w:t xml:space="preserve"> </w:t>
      </w:r>
      <w:r w:rsidRPr="00BE7C34">
        <w:rPr>
          <w:b/>
        </w:rPr>
        <w:t xml:space="preserve">Доклад должен быть составлен с соблюдением согласованных Комитетом руководящих принципов подготовки докладов по </w:t>
      </w:r>
      <w:r w:rsidRPr="00BE7C34">
        <w:rPr>
          <w:b/>
        </w:rPr>
        <w:lastRenderedPageBreak/>
        <w:t xml:space="preserve">конкретным договорам, принятых 31 января 2014 года (CRC/C/58/Rev.3), а его объем не должен превышать 21 200 слов (см. пункт 16 резолюции 68/268 Генеральной Ассамблеи). 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 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 </w:t>
      </w:r>
    </w:p>
    <w:p w:rsidR="004256C9" w:rsidRPr="00BE7C34" w:rsidRDefault="004256C9" w:rsidP="004256C9">
      <w:pPr>
        <w:pStyle w:val="SingleTxtG"/>
        <w:rPr>
          <w:b/>
        </w:rPr>
      </w:pPr>
      <w:r>
        <w:t>77.</w:t>
      </w:r>
      <w:r>
        <w:tab/>
      </w:r>
      <w:r w:rsidRPr="00BE7C34">
        <w:rPr>
          <w:b/>
        </w:rPr>
        <w:t xml:space="preserve"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 (HRI/GEN/2/Rev.6, глава I), и в соответствии с пунктом 16 </w:t>
      </w:r>
      <w:r w:rsidR="00BE7C34">
        <w:rPr>
          <w:b/>
        </w:rPr>
        <w:br/>
      </w:r>
      <w:r w:rsidRPr="00BE7C34">
        <w:rPr>
          <w:b/>
        </w:rPr>
        <w:t>резолюции 68/268 Генеральной Ассамблеи.</w:t>
      </w:r>
    </w:p>
    <w:p w:rsidR="004256C9" w:rsidRPr="004256C9" w:rsidRDefault="004256C9" w:rsidP="004256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4256C9" w:rsidRDefault="00381C24" w:rsidP="002E685D"/>
    <w:sectPr w:rsidR="00381C24" w:rsidRPr="004256C9" w:rsidSect="004256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4C" w:rsidRPr="00A312BC" w:rsidRDefault="0039344C" w:rsidP="00A312BC"/>
  </w:endnote>
  <w:endnote w:type="continuationSeparator" w:id="0">
    <w:p w:rsidR="0039344C" w:rsidRPr="00A312BC" w:rsidRDefault="003934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4C" w:rsidRPr="004256C9" w:rsidRDefault="0039344C">
    <w:pPr>
      <w:pStyle w:val="a8"/>
    </w:pPr>
    <w:r w:rsidRPr="004256C9">
      <w:rPr>
        <w:b/>
        <w:sz w:val="18"/>
      </w:rPr>
      <w:fldChar w:fldCharType="begin"/>
    </w:r>
    <w:r w:rsidRPr="004256C9">
      <w:rPr>
        <w:b/>
        <w:sz w:val="18"/>
      </w:rPr>
      <w:instrText xml:space="preserve"> PAGE  \* MERGEFORMAT </w:instrText>
    </w:r>
    <w:r w:rsidRPr="004256C9">
      <w:rPr>
        <w:b/>
        <w:sz w:val="18"/>
      </w:rPr>
      <w:fldChar w:fldCharType="separate"/>
    </w:r>
    <w:r w:rsidR="002E6397">
      <w:rPr>
        <w:b/>
        <w:noProof/>
        <w:sz w:val="18"/>
      </w:rPr>
      <w:t>18</w:t>
    </w:r>
    <w:r w:rsidRPr="004256C9">
      <w:rPr>
        <w:b/>
        <w:sz w:val="18"/>
      </w:rPr>
      <w:fldChar w:fldCharType="end"/>
    </w:r>
    <w:r>
      <w:rPr>
        <w:b/>
        <w:sz w:val="18"/>
      </w:rPr>
      <w:tab/>
    </w:r>
    <w:r>
      <w:t>GE.19-10734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4C" w:rsidRPr="004256C9" w:rsidRDefault="0039344C" w:rsidP="004256C9">
    <w:pPr>
      <w:pStyle w:val="a8"/>
      <w:tabs>
        <w:tab w:val="clear" w:pos="9639"/>
        <w:tab w:val="right" w:pos="9638"/>
      </w:tabs>
      <w:rPr>
        <w:b/>
        <w:sz w:val="18"/>
      </w:rPr>
    </w:pPr>
    <w:r>
      <w:t>GE.19-10734</w:t>
    </w:r>
    <w:r>
      <w:tab/>
    </w:r>
    <w:r w:rsidRPr="004256C9">
      <w:rPr>
        <w:b/>
        <w:sz w:val="18"/>
      </w:rPr>
      <w:fldChar w:fldCharType="begin"/>
    </w:r>
    <w:r w:rsidRPr="004256C9">
      <w:rPr>
        <w:b/>
        <w:sz w:val="18"/>
      </w:rPr>
      <w:instrText xml:space="preserve"> PAGE  \* MERGEFORMAT </w:instrText>
    </w:r>
    <w:r w:rsidRPr="004256C9">
      <w:rPr>
        <w:b/>
        <w:sz w:val="18"/>
      </w:rPr>
      <w:fldChar w:fldCharType="separate"/>
    </w:r>
    <w:r w:rsidR="002E6397">
      <w:rPr>
        <w:b/>
        <w:noProof/>
        <w:sz w:val="18"/>
      </w:rPr>
      <w:t>19</w:t>
    </w:r>
    <w:r w:rsidRPr="004256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4C" w:rsidRPr="004256C9" w:rsidRDefault="0039344C" w:rsidP="004256C9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10734  (</w:t>
    </w:r>
    <w:proofErr w:type="gramEnd"/>
    <w:r>
      <w:t>R)</w:t>
    </w:r>
    <w:r>
      <w:rPr>
        <w:lang w:val="en-US"/>
      </w:rPr>
      <w:t xml:space="preserve">  020719  030719</w:t>
    </w:r>
    <w:r>
      <w:br/>
    </w:r>
    <w:r w:rsidRPr="004256C9">
      <w:rPr>
        <w:rFonts w:ascii="C39T30Lfz" w:hAnsi="C39T30Lfz"/>
        <w:kern w:val="14"/>
        <w:sz w:val="56"/>
      </w:rPr>
      <w:t></w:t>
    </w:r>
    <w:r w:rsidRPr="004256C9">
      <w:rPr>
        <w:rFonts w:ascii="C39T30Lfz" w:hAnsi="C39T30Lfz"/>
        <w:kern w:val="14"/>
        <w:sz w:val="56"/>
      </w:rPr>
      <w:t></w:t>
    </w:r>
    <w:r w:rsidRPr="004256C9">
      <w:rPr>
        <w:rFonts w:ascii="C39T30Lfz" w:hAnsi="C39T30Lfz"/>
        <w:kern w:val="14"/>
        <w:sz w:val="56"/>
      </w:rPr>
      <w:t></w:t>
    </w:r>
    <w:r w:rsidRPr="004256C9">
      <w:rPr>
        <w:rFonts w:ascii="C39T30Lfz" w:hAnsi="C39T30Lfz"/>
        <w:kern w:val="14"/>
        <w:sz w:val="56"/>
      </w:rPr>
      <w:t></w:t>
    </w:r>
    <w:r w:rsidRPr="004256C9">
      <w:rPr>
        <w:rFonts w:ascii="C39T30Lfz" w:hAnsi="C39T30Lfz"/>
        <w:kern w:val="14"/>
        <w:sz w:val="56"/>
      </w:rPr>
      <w:t></w:t>
    </w:r>
    <w:r w:rsidRPr="004256C9">
      <w:rPr>
        <w:rFonts w:ascii="C39T30Lfz" w:hAnsi="C39T30Lfz"/>
        <w:kern w:val="14"/>
        <w:sz w:val="56"/>
      </w:rPr>
      <w:t></w:t>
    </w:r>
    <w:r w:rsidRPr="004256C9">
      <w:rPr>
        <w:rFonts w:ascii="C39T30Lfz" w:hAnsi="C39T30Lfz"/>
        <w:kern w:val="14"/>
        <w:sz w:val="56"/>
      </w:rPr>
      <w:t></w:t>
    </w:r>
    <w:r w:rsidRPr="004256C9">
      <w:rPr>
        <w:rFonts w:ascii="C39T30Lfz" w:hAnsi="C39T30Lfz"/>
        <w:kern w:val="14"/>
        <w:sz w:val="56"/>
      </w:rPr>
      <w:t></w:t>
    </w:r>
    <w:r w:rsidRPr="004256C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BWA/CO/2-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BWA/CO/2-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4C" w:rsidRPr="001075E9" w:rsidRDefault="003934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344C" w:rsidRDefault="003934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9344C" w:rsidRPr="00185DFB" w:rsidRDefault="0039344C" w:rsidP="004256C9">
      <w:pPr>
        <w:pStyle w:val="ad"/>
      </w:pPr>
      <w:r>
        <w:tab/>
      </w:r>
      <w:r w:rsidRPr="004256C9">
        <w:rPr>
          <w:sz w:val="20"/>
        </w:rPr>
        <w:t>*</w:t>
      </w:r>
      <w:r>
        <w:tab/>
        <w:t>Приняты Комитетом на его восемьдесят первой сессии (13</w:t>
      </w:r>
      <w:r w:rsidRPr="004256C9">
        <w:t>–</w:t>
      </w:r>
      <w:r>
        <w:t>31 мая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4C" w:rsidRPr="004256C9" w:rsidRDefault="0039344C">
    <w:pPr>
      <w:pStyle w:val="a5"/>
    </w:pPr>
    <w:fldSimple w:instr=" TITLE  \* MERGEFORMAT ">
      <w:r w:rsidR="002E6397">
        <w:t>CRC/C/BWA/CO/2-3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4C" w:rsidRPr="004256C9" w:rsidRDefault="0039344C" w:rsidP="004256C9">
    <w:pPr>
      <w:pStyle w:val="a5"/>
      <w:jc w:val="right"/>
    </w:pPr>
    <w:fldSimple w:instr=" TITLE  \* MERGEFORMAT ">
      <w:r w:rsidR="002E6397">
        <w:t>CRC/C/BWA/CO/2-3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B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E5067"/>
    <w:rsid w:val="002E639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344C"/>
    <w:rsid w:val="003958D0"/>
    <w:rsid w:val="003B00E5"/>
    <w:rsid w:val="00407B78"/>
    <w:rsid w:val="00424203"/>
    <w:rsid w:val="004256C9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54AB1"/>
    <w:rsid w:val="00681A10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8E505B"/>
    <w:rsid w:val="00906890"/>
    <w:rsid w:val="00911BE4"/>
    <w:rsid w:val="00951972"/>
    <w:rsid w:val="009521BD"/>
    <w:rsid w:val="009608F3"/>
    <w:rsid w:val="009A24AC"/>
    <w:rsid w:val="00A10705"/>
    <w:rsid w:val="00A14DA8"/>
    <w:rsid w:val="00A312BC"/>
    <w:rsid w:val="00A63A75"/>
    <w:rsid w:val="00A65BF1"/>
    <w:rsid w:val="00A84021"/>
    <w:rsid w:val="00A84D35"/>
    <w:rsid w:val="00A917B3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BE7C34"/>
    <w:rsid w:val="00C106D6"/>
    <w:rsid w:val="00C45D65"/>
    <w:rsid w:val="00C60F0C"/>
    <w:rsid w:val="00C805C9"/>
    <w:rsid w:val="00C92939"/>
    <w:rsid w:val="00C93182"/>
    <w:rsid w:val="00CA1679"/>
    <w:rsid w:val="00CB151C"/>
    <w:rsid w:val="00CE5A1A"/>
    <w:rsid w:val="00CF55F6"/>
    <w:rsid w:val="00D121D2"/>
    <w:rsid w:val="00D178CE"/>
    <w:rsid w:val="00D33D63"/>
    <w:rsid w:val="00D53C43"/>
    <w:rsid w:val="00D90028"/>
    <w:rsid w:val="00D90138"/>
    <w:rsid w:val="00DD78D1"/>
    <w:rsid w:val="00DE32CD"/>
    <w:rsid w:val="00DF4FCB"/>
    <w:rsid w:val="00DF71B9"/>
    <w:rsid w:val="00E73F76"/>
    <w:rsid w:val="00E82DC6"/>
    <w:rsid w:val="00EA2C9F"/>
    <w:rsid w:val="00EA420E"/>
    <w:rsid w:val="00EB37B6"/>
    <w:rsid w:val="00ED0BDA"/>
    <w:rsid w:val="00EE112E"/>
    <w:rsid w:val="00EF1360"/>
    <w:rsid w:val="00EF3220"/>
    <w:rsid w:val="00F13D36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2CBB2B"/>
  <w15:docId w15:val="{2BA7CE19-7FB4-413B-8D22-9CD7A307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8</TotalTime>
  <Pages>19</Pages>
  <Words>6898</Words>
  <Characters>47801</Characters>
  <Application>Microsoft Office Word</Application>
  <DocSecurity>0</DocSecurity>
  <Lines>894</Lines>
  <Paragraphs>255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CRC/C/BWA/CO/2-3</vt:lpstr>
      <vt:lpstr>A/</vt:lpstr>
      <vt:lpstr>A/</vt:lpstr>
    </vt:vector>
  </TitlesOfParts>
  <Company>DCM</Company>
  <LinksUpToDate>false</LinksUpToDate>
  <CharactersWithSpaces>54833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CRC/C/BWA/CO/2-3</dc:title>
  <dc:subject/>
  <dc:creator>Svetlana PROKOUDINA</dc:creator>
  <cp:keywords/>
  <cp:lastModifiedBy>Svetlana Prokoudina</cp:lastModifiedBy>
  <cp:revision>3</cp:revision>
  <cp:lastPrinted>2019-07-03T12:11:00Z</cp:lastPrinted>
  <dcterms:created xsi:type="dcterms:W3CDTF">2019-07-03T12:11:00Z</dcterms:created>
  <dcterms:modified xsi:type="dcterms:W3CDTF">2019-07-03T12:19:00Z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