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rsidRPr="002772F3">
        <w:trPr>
          <w:trHeight w:hRule="exact" w:val="851"/>
        </w:trPr>
        <w:tc>
          <w:tcPr>
            <w:tcW w:w="1276" w:type="dxa"/>
            <w:tcBorders>
              <w:bottom w:val="single" w:sz="4" w:space="0" w:color="auto"/>
            </w:tcBorders>
            <w:vAlign w:val="bottom"/>
          </w:tcPr>
          <w:p w:rsidR="00B56E9C" w:rsidRPr="00BD3885" w:rsidRDefault="00B56E9C" w:rsidP="00B6553F">
            <w:pPr>
              <w:spacing w:after="80"/>
              <w:rPr>
                <w:sz w:val="24"/>
              </w:rPr>
            </w:pPr>
          </w:p>
        </w:tc>
        <w:tc>
          <w:tcPr>
            <w:tcW w:w="1985" w:type="dxa"/>
            <w:tcBorders>
              <w:bottom w:val="single" w:sz="4" w:space="0" w:color="auto"/>
            </w:tcBorders>
            <w:vAlign w:val="bottom"/>
          </w:tcPr>
          <w:p w:rsidR="00B56E9C" w:rsidRPr="002772F3" w:rsidRDefault="000D30CF" w:rsidP="00B6553F">
            <w:pPr>
              <w:spacing w:after="80" w:line="300" w:lineRule="exact"/>
              <w:rPr>
                <w:b/>
                <w:sz w:val="24"/>
                <w:szCs w:val="24"/>
              </w:rPr>
            </w:pPr>
            <w:r w:rsidRPr="00BD3885">
              <w:rPr>
                <w:sz w:val="24"/>
              </w:rPr>
              <w:t>United Nations</w:t>
            </w:r>
          </w:p>
        </w:tc>
        <w:tc>
          <w:tcPr>
            <w:tcW w:w="6378" w:type="dxa"/>
            <w:gridSpan w:val="2"/>
            <w:tcBorders>
              <w:bottom w:val="single" w:sz="4" w:space="0" w:color="auto"/>
            </w:tcBorders>
            <w:vAlign w:val="bottom"/>
          </w:tcPr>
          <w:p w:rsidR="00B56E9C" w:rsidRPr="00BD3885" w:rsidRDefault="00FD615B" w:rsidP="006E70D4">
            <w:pPr>
              <w:jc w:val="right"/>
              <w:rPr>
                <w:sz w:val="24"/>
              </w:rPr>
            </w:pPr>
            <w:r w:rsidRPr="00D6090C">
              <w:rPr>
                <w:sz w:val="40"/>
                <w:szCs w:val="40"/>
              </w:rPr>
              <w:t>CAT</w:t>
            </w:r>
            <w:r w:rsidR="00B4765A" w:rsidRPr="00D6090C">
              <w:t>/C/KHM</w:t>
            </w:r>
            <w:r w:rsidR="00BE32C5" w:rsidRPr="00D6090C">
              <w:t>/Q</w:t>
            </w:r>
            <w:r w:rsidR="00167967" w:rsidRPr="00D6090C">
              <w:t>/</w:t>
            </w:r>
            <w:r w:rsidR="00B4765A" w:rsidRPr="00D6090C">
              <w:t>3</w:t>
            </w:r>
          </w:p>
        </w:tc>
      </w:tr>
      <w:tr w:rsidR="00B56E9C" w:rsidRPr="002772F3">
        <w:trPr>
          <w:cantSplit/>
          <w:trHeight w:hRule="exact" w:val="2835"/>
        </w:trPr>
        <w:tc>
          <w:tcPr>
            <w:tcW w:w="1276" w:type="dxa"/>
            <w:tcBorders>
              <w:top w:val="single" w:sz="4" w:space="0" w:color="auto"/>
              <w:bottom w:val="single" w:sz="12" w:space="0" w:color="auto"/>
            </w:tcBorders>
          </w:tcPr>
          <w:p w:rsidR="00B56E9C" w:rsidRPr="00BD3885" w:rsidRDefault="003C5F9B" w:rsidP="00B6553F">
            <w:pPr>
              <w:spacing w:before="120"/>
              <w:rPr>
                <w:sz w:val="24"/>
              </w:rPr>
            </w:pPr>
            <w:r w:rsidRPr="00BD3885">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BD3885" w:rsidRDefault="003C5F9B" w:rsidP="00267F5F">
            <w:pPr>
              <w:spacing w:before="120" w:line="380" w:lineRule="exact"/>
              <w:rPr>
                <w:sz w:val="24"/>
              </w:rPr>
            </w:pPr>
            <w:r w:rsidRPr="00FF7E7B">
              <w:rPr>
                <w:b/>
                <w:sz w:val="34"/>
                <w:szCs w:val="40"/>
              </w:rPr>
              <w:t>Convention against Torture</w:t>
            </w:r>
            <w:r w:rsidRPr="00FF7E7B">
              <w:rPr>
                <w:b/>
                <w:sz w:val="34"/>
                <w:szCs w:val="40"/>
              </w:rPr>
              <w:br/>
              <w:t>and Other Cruel, Inhuman</w:t>
            </w:r>
            <w:r w:rsidRPr="00FF7E7B">
              <w:rPr>
                <w:b/>
                <w:sz w:val="34"/>
                <w:szCs w:val="40"/>
              </w:rPr>
              <w:br/>
              <w:t>or Degrading Treatment</w:t>
            </w:r>
            <w:r w:rsidRPr="00FF7E7B">
              <w:rPr>
                <w:b/>
                <w:sz w:val="34"/>
                <w:szCs w:val="40"/>
              </w:rPr>
              <w:br/>
              <w:t>or Punishment</w:t>
            </w:r>
          </w:p>
        </w:tc>
        <w:tc>
          <w:tcPr>
            <w:tcW w:w="2835" w:type="dxa"/>
            <w:tcBorders>
              <w:top w:val="single" w:sz="4" w:space="0" w:color="auto"/>
              <w:bottom w:val="single" w:sz="12" w:space="0" w:color="auto"/>
            </w:tcBorders>
          </w:tcPr>
          <w:p w:rsidR="00FD615B" w:rsidRPr="002772F3" w:rsidRDefault="00B522E9" w:rsidP="00FD615B">
            <w:pPr>
              <w:spacing w:before="240" w:line="240" w:lineRule="exact"/>
              <w:rPr>
                <w:lang w:val="en-US"/>
              </w:rPr>
            </w:pPr>
            <w:r w:rsidRPr="002772F3">
              <w:rPr>
                <w:lang w:val="en-US"/>
              </w:rPr>
              <w:t xml:space="preserve">Distr.: </w:t>
            </w:r>
            <w:r w:rsidR="006E70D4">
              <w:rPr>
                <w:lang w:val="en-US"/>
              </w:rPr>
              <w:t>General</w:t>
            </w:r>
          </w:p>
          <w:p w:rsidR="00FD615B" w:rsidRPr="002772F3" w:rsidRDefault="00402E5D" w:rsidP="005F26A5">
            <w:pPr>
              <w:spacing w:line="240" w:lineRule="exact"/>
              <w:rPr>
                <w:lang w:val="en-US"/>
              </w:rPr>
            </w:pPr>
            <w:r>
              <w:rPr>
                <w:lang w:val="en-US"/>
              </w:rPr>
              <w:t>1</w:t>
            </w:r>
            <w:r w:rsidR="00EB267D">
              <w:rPr>
                <w:lang w:val="en-US"/>
              </w:rPr>
              <w:t>6</w:t>
            </w:r>
            <w:r>
              <w:rPr>
                <w:lang w:val="en-US"/>
              </w:rPr>
              <w:t xml:space="preserve"> January 2013</w:t>
            </w:r>
          </w:p>
          <w:p w:rsidR="00FD615B" w:rsidRPr="002772F3" w:rsidRDefault="00FD615B" w:rsidP="00FD615B">
            <w:pPr>
              <w:spacing w:line="240" w:lineRule="exact"/>
              <w:rPr>
                <w:lang w:val="en-US"/>
              </w:rPr>
            </w:pPr>
          </w:p>
          <w:p w:rsidR="00B56E9C" w:rsidRPr="002772F3" w:rsidRDefault="00FD615B" w:rsidP="00FD615B">
            <w:pPr>
              <w:spacing w:line="240" w:lineRule="exact"/>
              <w:rPr>
                <w:lang w:val="en-US"/>
              </w:rPr>
            </w:pPr>
            <w:r w:rsidRPr="002772F3">
              <w:rPr>
                <w:lang w:val="en-US"/>
              </w:rPr>
              <w:t xml:space="preserve">Original: </w:t>
            </w:r>
            <w:r w:rsidR="00B522E9" w:rsidRPr="002772F3">
              <w:rPr>
                <w:lang w:val="en-US"/>
              </w:rPr>
              <w:t>English</w:t>
            </w:r>
          </w:p>
        </w:tc>
      </w:tr>
    </w:tbl>
    <w:p w:rsidR="00DB2BA9" w:rsidRPr="00BD3885" w:rsidRDefault="00DB2BA9" w:rsidP="00DB2BA9">
      <w:pPr>
        <w:spacing w:before="120"/>
        <w:rPr>
          <w:b/>
        </w:rPr>
      </w:pPr>
      <w:r w:rsidRPr="00BD3885">
        <w:rPr>
          <w:b/>
        </w:rPr>
        <w:t>Committee against Torture</w:t>
      </w:r>
    </w:p>
    <w:p w:rsidR="00C13750" w:rsidRPr="00402E5D" w:rsidRDefault="00586677" w:rsidP="00586677">
      <w:pPr>
        <w:pStyle w:val="HChG"/>
        <w:rPr>
          <w:sz w:val="20"/>
        </w:rPr>
      </w:pPr>
      <w:r w:rsidRPr="00BD3885">
        <w:rPr>
          <w:sz w:val="20"/>
        </w:rPr>
        <w:tab/>
      </w:r>
      <w:r w:rsidRPr="00BD3885">
        <w:rPr>
          <w:sz w:val="20"/>
        </w:rPr>
        <w:tab/>
      </w:r>
      <w:r w:rsidR="003D2A95" w:rsidRPr="00402E5D">
        <w:rPr>
          <w:szCs w:val="28"/>
        </w:rPr>
        <w:t>L</w:t>
      </w:r>
      <w:r w:rsidR="00A079D3" w:rsidRPr="00402E5D">
        <w:rPr>
          <w:szCs w:val="28"/>
        </w:rPr>
        <w:t xml:space="preserve">ist of issues </w:t>
      </w:r>
      <w:r w:rsidR="00C13750" w:rsidRPr="00402E5D">
        <w:rPr>
          <w:szCs w:val="28"/>
        </w:rPr>
        <w:t>prio</w:t>
      </w:r>
      <w:r w:rsidR="00D22A73" w:rsidRPr="00402E5D">
        <w:rPr>
          <w:szCs w:val="28"/>
        </w:rPr>
        <w:t xml:space="preserve">r to the submission of the </w:t>
      </w:r>
      <w:r w:rsidR="00B13517" w:rsidRPr="00402E5D">
        <w:rPr>
          <w:szCs w:val="28"/>
        </w:rPr>
        <w:t>third</w:t>
      </w:r>
      <w:r w:rsidR="00D22A73" w:rsidRPr="00402E5D">
        <w:rPr>
          <w:szCs w:val="28"/>
        </w:rPr>
        <w:t xml:space="preserve"> periodic report of </w:t>
      </w:r>
      <w:smartTag w:uri="urn:schemas-microsoft-com:office:smarttags" w:element="country-region">
        <w:smartTag w:uri="urn:schemas-microsoft-com:office:smarttags" w:element="place">
          <w:r w:rsidR="00B4765A" w:rsidRPr="00402E5D">
            <w:rPr>
              <w:szCs w:val="28"/>
            </w:rPr>
            <w:t>Cambodia</w:t>
          </w:r>
        </w:smartTag>
      </w:smartTag>
      <w:r w:rsidR="00402E5D">
        <w:rPr>
          <w:szCs w:val="28"/>
        </w:rPr>
        <w:t>,</w:t>
      </w:r>
      <w:r w:rsidR="00FF7E7B" w:rsidRPr="00FF7E7B">
        <w:rPr>
          <w:rStyle w:val="FootnoteReference"/>
          <w:sz w:val="20"/>
          <w:szCs w:val="28"/>
          <w:vertAlign w:val="baseline"/>
        </w:rPr>
        <w:footnoteReference w:customMarkFollows="1" w:id="2"/>
        <w:t>*</w:t>
      </w:r>
      <w:r w:rsidR="00402E5D" w:rsidRPr="00402E5D">
        <w:t xml:space="preserve"> </w:t>
      </w:r>
      <w:r w:rsidR="00402E5D" w:rsidRPr="004A2164">
        <w:t>adopted by the Committee at its forty-ninth session (29 October</w:t>
      </w:r>
      <w:r w:rsidR="00402E5D">
        <w:t>–</w:t>
      </w:r>
      <w:r w:rsidR="00402E5D" w:rsidRPr="004A2164">
        <w:t>23 November 2012)</w:t>
      </w:r>
    </w:p>
    <w:p w:rsidR="00B4765A" w:rsidRPr="00BD3885" w:rsidRDefault="00586677" w:rsidP="00924DFC">
      <w:pPr>
        <w:pStyle w:val="H1G"/>
      </w:pPr>
      <w:r w:rsidRPr="00BD3885">
        <w:tab/>
      </w:r>
      <w:r w:rsidRPr="00BD3885">
        <w:tab/>
      </w:r>
      <w:r w:rsidR="00B4765A" w:rsidRPr="00BD3885">
        <w:t>Specific information on the implementation of articles 1 to 16 of the Convention, including with regard to the Committee’s previous recommendations</w:t>
      </w:r>
      <w:r w:rsidR="00B4765A" w:rsidRPr="00402E5D">
        <w:t xml:space="preserve"> </w:t>
      </w:r>
    </w:p>
    <w:p w:rsidR="00B4765A" w:rsidRPr="002772F3" w:rsidRDefault="00B4765A" w:rsidP="008371B5">
      <w:pPr>
        <w:pStyle w:val="H23G"/>
        <w:rPr>
          <w:rFonts w:eastAsia="Malgun Gothic"/>
          <w:lang w:eastAsia="ko-KR"/>
        </w:rPr>
      </w:pPr>
      <w:r w:rsidRPr="002772F3">
        <w:tab/>
      </w:r>
      <w:r w:rsidRPr="002772F3">
        <w:tab/>
      </w:r>
      <w:r w:rsidRPr="002772F3">
        <w:rPr>
          <w:rFonts w:eastAsia="Malgun Gothic"/>
          <w:lang w:eastAsia="ko-KR"/>
        </w:rPr>
        <w:t>Articles 1 and 4</w:t>
      </w:r>
    </w:p>
    <w:p w:rsidR="00B4765A" w:rsidRPr="002772F3" w:rsidRDefault="00BD3885" w:rsidP="00FF7E7B">
      <w:pPr>
        <w:pStyle w:val="SingleTxtG"/>
      </w:pPr>
      <w:r w:rsidRPr="002772F3">
        <w:t>1.</w:t>
      </w:r>
      <w:r w:rsidRPr="002772F3">
        <w:tab/>
      </w:r>
      <w:r w:rsidR="00B4765A" w:rsidRPr="002772F3">
        <w:t>In</w:t>
      </w:r>
      <w:r w:rsidR="00402E5D">
        <w:t xml:space="preserve"> the</w:t>
      </w:r>
      <w:r w:rsidR="00B4765A" w:rsidRPr="002772F3">
        <w:t xml:space="preserve"> light of the Committee’s previous recommendations (paras.</w:t>
      </w:r>
      <w:r w:rsidR="005A123E">
        <w:t xml:space="preserve"> </w:t>
      </w:r>
      <w:r w:rsidR="00B4765A" w:rsidRPr="002772F3">
        <w:t>11 and 15),</w:t>
      </w:r>
      <w:r w:rsidR="009B00EF">
        <w:rPr>
          <w:rStyle w:val="FootnoteReference"/>
        </w:rPr>
        <w:footnoteReference w:id="3"/>
      </w:r>
      <w:r w:rsidR="00B4765A" w:rsidRPr="002772F3">
        <w:t xml:space="preserve"> please indicate if the specific crime of torture has been incorporated into penal law and if it reflects the definition of torture in article 1 of the Convention. Please provide the full text of any criminal provisions concerning offences such as attempted torture and instigating or consenting to torture or ordering torture by a person in authority, specifying the penalties for each offence, and indicate if the State party has enacted a sentencing scheme governing torture and ill-treatment by officials to ensure those convicted are sentenced appropriately.</w:t>
      </w:r>
      <w:r w:rsidR="00B4765A" w:rsidRPr="00BD3885">
        <w:rPr>
          <w:vertAlign w:val="superscript"/>
        </w:rPr>
        <w:footnoteReference w:id="4"/>
      </w:r>
    </w:p>
    <w:p w:rsidR="00B4765A" w:rsidRPr="002772F3" w:rsidRDefault="00BD3885" w:rsidP="00FF7E7B">
      <w:pPr>
        <w:pStyle w:val="SingleTxtG"/>
        <w:rPr>
          <w:shd w:val="pct15" w:color="auto" w:fill="FFFFFF"/>
        </w:rPr>
      </w:pPr>
      <w:r w:rsidRPr="002772F3">
        <w:t>2.</w:t>
      </w:r>
      <w:r w:rsidRPr="002772F3">
        <w:tab/>
      </w:r>
      <w:r w:rsidR="00B4765A" w:rsidRPr="002772F3">
        <w:t xml:space="preserve">As requested by the Committee in its previous </w:t>
      </w:r>
      <w:r w:rsidR="003F268E" w:rsidRPr="002772F3">
        <w:t>recommendations</w:t>
      </w:r>
      <w:r w:rsidR="00B4765A" w:rsidRPr="002772F3">
        <w:t xml:space="preserve"> (para.</w:t>
      </w:r>
      <w:r w:rsidR="00BC3D8A">
        <w:t xml:space="preserve"> </w:t>
      </w:r>
      <w:r w:rsidR="00B4765A" w:rsidRPr="002772F3">
        <w:t xml:space="preserve">10), please provide information on the </w:t>
      </w:r>
      <w:r w:rsidR="00B4765A" w:rsidRPr="002772F3">
        <w:rPr>
          <w:rFonts w:eastAsia="SimSun"/>
          <w:lang w:val="en-US"/>
        </w:rPr>
        <w:t>measures taken to ensure the full applicability of the provisions of the Convention in its domestic legal order, in particular on</w:t>
      </w:r>
      <w:r w:rsidR="00B4765A" w:rsidRPr="002772F3">
        <w:t xml:space="preserve"> cases of direct application of the Convention by domestic courts, if any.</w:t>
      </w:r>
    </w:p>
    <w:p w:rsidR="00B4765A" w:rsidRPr="002772F3" w:rsidRDefault="00BD3885" w:rsidP="00FF7E7B">
      <w:pPr>
        <w:pStyle w:val="SingleTxtG"/>
        <w:rPr>
          <w:shd w:val="pct15" w:color="auto" w:fill="FFFFFF"/>
        </w:rPr>
      </w:pPr>
      <w:r w:rsidRPr="002772F3">
        <w:t>3.</w:t>
      </w:r>
      <w:r w:rsidRPr="002772F3">
        <w:tab/>
      </w:r>
      <w:r w:rsidR="00B4765A" w:rsidRPr="002772F3">
        <w:t xml:space="preserve">In </w:t>
      </w:r>
      <w:r w:rsidR="00BC3D8A">
        <w:t xml:space="preserve">the </w:t>
      </w:r>
      <w:r w:rsidR="00B4765A" w:rsidRPr="002772F3">
        <w:t>light of the Committee’s previously expressed concern about an apparent climate of impunity in the State party (para.</w:t>
      </w:r>
      <w:r w:rsidR="00BC3D8A">
        <w:t xml:space="preserve"> </w:t>
      </w:r>
      <w:r w:rsidR="00B4765A" w:rsidRPr="002772F3">
        <w:t>15), please provide information on the measures taken by the State party to ensure there is no impunity for torture and other cruel, inhuman or degrading treatment or punishment. Please also provide statistical information on any prosecutions of officials for torture, ill-treatment and related offen</w:t>
      </w:r>
      <w:r w:rsidR="00405D4F">
        <w:t>c</w:t>
      </w:r>
      <w:r w:rsidR="00B4765A" w:rsidRPr="002772F3">
        <w:t xml:space="preserve">es since the previous review, specifying the title and rank of each defendant, the article(s) under which the defendant was charged, whether the defendant was convicted and the sentence awarded.  </w:t>
      </w:r>
    </w:p>
    <w:p w:rsidR="00B4765A" w:rsidRPr="002772F3" w:rsidRDefault="00B4765A" w:rsidP="008371B5">
      <w:pPr>
        <w:pStyle w:val="H23G"/>
      </w:pPr>
      <w:r w:rsidRPr="002772F3">
        <w:tab/>
      </w:r>
      <w:r w:rsidRPr="002772F3">
        <w:tab/>
        <w:t>Article 2</w:t>
      </w:r>
      <w:r w:rsidRPr="00405D4F">
        <w:rPr>
          <w:b w:val="0"/>
          <w:vertAlign w:val="superscript"/>
        </w:rPr>
        <w:footnoteReference w:id="5"/>
      </w:r>
    </w:p>
    <w:p w:rsidR="00B4765A" w:rsidRPr="00BD3885" w:rsidRDefault="00BD3885" w:rsidP="00FF7E7B">
      <w:pPr>
        <w:pStyle w:val="SingleTxtG"/>
      </w:pPr>
      <w:r w:rsidRPr="00BD3885">
        <w:t>4.</w:t>
      </w:r>
      <w:r w:rsidRPr="00BD3885">
        <w:tab/>
      </w:r>
      <w:r w:rsidR="00B4765A" w:rsidRPr="002772F3">
        <w:t>In</w:t>
      </w:r>
      <w:r w:rsidR="00C30D3E">
        <w:t xml:space="preserve"> the</w:t>
      </w:r>
      <w:r w:rsidR="00B4765A" w:rsidRPr="002772F3">
        <w:t xml:space="preserve"> light of the Committee’s previous </w:t>
      </w:r>
      <w:r w:rsidR="003F268E" w:rsidRPr="002772F3">
        <w:t>recommendations</w:t>
      </w:r>
      <w:r w:rsidR="00B4765A" w:rsidRPr="002772F3">
        <w:t xml:space="preserve"> (para.</w:t>
      </w:r>
      <w:r w:rsidR="00C30D3E">
        <w:t xml:space="preserve"> </w:t>
      </w:r>
      <w:r w:rsidR="00B4765A" w:rsidRPr="002772F3">
        <w:t>15), noting numerous, ongoing consistent allegations of torture and ill-treatment of detainees in the State party, in particular in police stations,</w:t>
      </w:r>
      <w:r w:rsidR="00B4765A" w:rsidRPr="002772F3" w:rsidDel="00910188">
        <w:t xml:space="preserve"> </w:t>
      </w:r>
      <w:r w:rsidR="00B4765A" w:rsidRPr="002772F3">
        <w:t>please describe measures taken by the State party to prevent torture and ill-treatment in detention. Please specifically indicate if the State party has announced a policy to eradicate torture and describe measures taken by the State party to monitor, for example by video</w:t>
      </w:r>
      <w:r w:rsidR="00CB077B" w:rsidRPr="002772F3">
        <w:t xml:space="preserve"> or audio recording</w:t>
      </w:r>
      <w:r w:rsidR="00B4765A" w:rsidRPr="002772F3">
        <w:t>, all police interrogation sessions.</w:t>
      </w:r>
    </w:p>
    <w:p w:rsidR="00B4765A" w:rsidRPr="00BD3885" w:rsidRDefault="00BD3885" w:rsidP="00FF7E7B">
      <w:pPr>
        <w:pStyle w:val="SingleTxtG"/>
      </w:pPr>
      <w:r w:rsidRPr="00BD3885">
        <w:t>5.</w:t>
      </w:r>
      <w:r w:rsidRPr="00BD3885">
        <w:tab/>
      </w:r>
      <w:r w:rsidR="00B4765A" w:rsidRPr="002772F3">
        <w:t>In</w:t>
      </w:r>
      <w:r w:rsidR="00C30D3E">
        <w:t xml:space="preserve"> the</w:t>
      </w:r>
      <w:r w:rsidR="00B4765A" w:rsidRPr="002772F3">
        <w:t xml:space="preserve"> light of the Committee’s previous expression of concern regarding widespread and systemic corruption affecting judges, courts, police and other law enforcement bodies (para.</w:t>
      </w:r>
      <w:r w:rsidR="00C30D3E">
        <w:t xml:space="preserve"> </w:t>
      </w:r>
      <w:r w:rsidR="00B4765A" w:rsidRPr="002772F3">
        <w:t xml:space="preserve">12), please provide information on </w:t>
      </w:r>
      <w:r w:rsidR="00B4765A" w:rsidRPr="002772F3">
        <w:rPr>
          <w:rFonts w:eastAsia="SimSun"/>
          <w:lang w:val="en-US"/>
        </w:rPr>
        <w:t xml:space="preserve">actions to </w:t>
      </w:r>
      <w:r w:rsidR="00B4765A" w:rsidRPr="002772F3">
        <w:rPr>
          <w:rFonts w:eastAsia="SimSun"/>
          <w:lang w:val="en-US" w:eastAsia="zh-CN"/>
        </w:rPr>
        <w:t xml:space="preserve">eradicate such </w:t>
      </w:r>
      <w:r w:rsidR="00B4765A" w:rsidRPr="002772F3">
        <w:t>corruption</w:t>
      </w:r>
      <w:r w:rsidR="00EE126F" w:rsidRPr="002772F3">
        <w:t>, in particular</w:t>
      </w:r>
      <w:r w:rsidR="00B4765A" w:rsidRPr="002772F3">
        <w:t xml:space="preserve">:  </w:t>
      </w:r>
    </w:p>
    <w:p w:rsidR="00B4765A" w:rsidRPr="002772F3" w:rsidRDefault="00FF7E7B" w:rsidP="00FF7E7B">
      <w:pPr>
        <w:pStyle w:val="SingleTxtG"/>
        <w:rPr>
          <w:rFonts w:eastAsia="SimSun"/>
          <w:bCs/>
          <w:lang w:val="en-US" w:eastAsia="zh-CN"/>
        </w:rPr>
      </w:pPr>
      <w:r>
        <w:rPr>
          <w:rFonts w:eastAsia="SimSun"/>
          <w:bCs/>
          <w:lang w:val="en-US" w:eastAsia="zh-CN"/>
        </w:rPr>
        <w:tab/>
      </w:r>
      <w:r w:rsidR="008371B5" w:rsidRPr="002772F3">
        <w:rPr>
          <w:rFonts w:eastAsia="SimSun"/>
          <w:bCs/>
          <w:lang w:val="en-US" w:eastAsia="zh-CN"/>
        </w:rPr>
        <w:t>(</w:t>
      </w:r>
      <w:r w:rsidR="00B4765A" w:rsidRPr="002772F3">
        <w:rPr>
          <w:rFonts w:eastAsia="SimSun"/>
          <w:bCs/>
          <w:lang w:val="en-US" w:eastAsia="zh-CN"/>
        </w:rPr>
        <w:t>a)</w:t>
      </w:r>
      <w:r w:rsidR="00B4765A" w:rsidRPr="002772F3">
        <w:rPr>
          <w:rFonts w:eastAsia="SimSun"/>
          <w:bCs/>
          <w:lang w:val="en-US" w:eastAsia="zh-CN"/>
        </w:rPr>
        <w:tab/>
      </w:r>
      <w:r w:rsidR="00C30D3E">
        <w:rPr>
          <w:rFonts w:eastAsia="SimSun"/>
          <w:bCs/>
          <w:lang w:val="en-US" w:eastAsia="zh-CN"/>
        </w:rPr>
        <w:t>I</w:t>
      </w:r>
      <w:r w:rsidR="00B4765A" w:rsidRPr="002772F3">
        <w:rPr>
          <w:rFonts w:eastAsia="SimSun"/>
          <w:bCs/>
          <w:lang w:val="en-US" w:eastAsia="zh-CN"/>
        </w:rPr>
        <w:t>f the Anti-Corruption Unit has been fully operationalized and</w:t>
      </w:r>
      <w:r w:rsidR="00C30D3E">
        <w:rPr>
          <w:rFonts w:eastAsia="SimSun"/>
          <w:bCs/>
          <w:lang w:val="en-US" w:eastAsia="zh-CN"/>
        </w:rPr>
        <w:t>,</w:t>
      </w:r>
      <w:r w:rsidR="00B4765A" w:rsidRPr="002772F3">
        <w:rPr>
          <w:rFonts w:eastAsia="SimSun"/>
          <w:bCs/>
          <w:lang w:val="en-US" w:eastAsia="zh-CN"/>
        </w:rPr>
        <w:t xml:space="preserve"> if so, provide information about the staffing of the Unit and measures to ensure its independence from the institutions it is charged with monitoring, and provide data on the number of complaints received, investigations undertaken and convictions obtained by it</w:t>
      </w:r>
      <w:r w:rsidR="00C30D3E">
        <w:rPr>
          <w:rFonts w:eastAsia="SimSun"/>
          <w:bCs/>
          <w:lang w:val="en-US" w:eastAsia="zh-CN"/>
        </w:rPr>
        <w:t>;</w:t>
      </w:r>
      <w:r w:rsidR="00B4765A" w:rsidRPr="002772F3">
        <w:rPr>
          <w:rFonts w:eastAsia="SimSun"/>
          <w:bCs/>
          <w:lang w:val="en-US" w:eastAsia="zh-CN"/>
        </w:rPr>
        <w:t xml:space="preserve"> </w:t>
      </w:r>
    </w:p>
    <w:p w:rsidR="00B4765A" w:rsidRPr="002772F3" w:rsidRDefault="00FF7E7B" w:rsidP="00FF7E7B">
      <w:pPr>
        <w:pStyle w:val="SingleTxtG"/>
        <w:rPr>
          <w:rFonts w:eastAsia="SimSun"/>
          <w:bCs/>
          <w:lang w:val="en-US" w:eastAsia="zh-CN"/>
        </w:rPr>
      </w:pPr>
      <w:r>
        <w:rPr>
          <w:rFonts w:eastAsia="SimSun"/>
          <w:bCs/>
          <w:lang w:val="en-US" w:eastAsia="zh-CN"/>
        </w:rPr>
        <w:tab/>
      </w:r>
      <w:r w:rsidR="008371B5" w:rsidRPr="002772F3">
        <w:rPr>
          <w:rFonts w:eastAsia="SimSun"/>
          <w:bCs/>
          <w:lang w:val="en-US" w:eastAsia="zh-CN"/>
        </w:rPr>
        <w:t>(</w:t>
      </w:r>
      <w:r w:rsidR="00B4765A" w:rsidRPr="002772F3">
        <w:rPr>
          <w:rFonts w:eastAsia="SimSun"/>
          <w:bCs/>
          <w:lang w:val="en-US" w:eastAsia="zh-CN"/>
        </w:rPr>
        <w:t>b)</w:t>
      </w:r>
      <w:r w:rsidR="00B4765A" w:rsidRPr="002772F3">
        <w:rPr>
          <w:rFonts w:eastAsia="SimSun"/>
          <w:bCs/>
          <w:lang w:val="en-US" w:eastAsia="zh-CN"/>
        </w:rPr>
        <w:tab/>
      </w:r>
      <w:r w:rsidR="00C30D3E">
        <w:rPr>
          <w:rFonts w:eastAsia="SimSun"/>
          <w:bCs/>
          <w:lang w:val="en-US" w:eastAsia="zh-CN"/>
        </w:rPr>
        <w:t>O</w:t>
      </w:r>
      <w:r w:rsidR="00B4765A" w:rsidRPr="002772F3">
        <w:rPr>
          <w:rFonts w:eastAsia="SimSun"/>
          <w:bCs/>
          <w:lang w:val="en-US" w:eastAsia="zh-CN"/>
        </w:rPr>
        <w:t>n the number of officials convicted of corruption-related offen</w:t>
      </w:r>
      <w:r w:rsidR="00C30D3E">
        <w:rPr>
          <w:rFonts w:eastAsia="SimSun"/>
          <w:bCs/>
          <w:lang w:val="en-US" w:eastAsia="zh-CN"/>
        </w:rPr>
        <w:t>c</w:t>
      </w:r>
      <w:r w:rsidR="00B4765A" w:rsidRPr="002772F3">
        <w:rPr>
          <w:rFonts w:eastAsia="SimSun"/>
          <w:bCs/>
          <w:lang w:val="en-US" w:eastAsia="zh-CN"/>
        </w:rPr>
        <w:t>es since the last review, indicating rank and sentence received</w:t>
      </w:r>
      <w:r w:rsidR="00C30D3E">
        <w:rPr>
          <w:rFonts w:eastAsia="SimSun"/>
          <w:bCs/>
          <w:lang w:val="en-US" w:eastAsia="zh-CN"/>
        </w:rPr>
        <w:t>;</w:t>
      </w:r>
      <w:r w:rsidR="00B4765A" w:rsidRPr="00BD3885">
        <w:rPr>
          <w:rFonts w:eastAsia="SimSun"/>
          <w:vertAlign w:val="superscript"/>
          <w:lang w:val="en-US"/>
        </w:rPr>
        <w:footnoteReference w:id="6"/>
      </w:r>
      <w:r w:rsidR="00B4765A" w:rsidRPr="002772F3">
        <w:rPr>
          <w:rFonts w:eastAsia="SimSun"/>
          <w:bCs/>
          <w:lang w:val="en-US" w:eastAsia="zh-CN"/>
        </w:rPr>
        <w:t xml:space="preserve">  </w:t>
      </w:r>
    </w:p>
    <w:p w:rsidR="00B4765A" w:rsidRPr="002772F3" w:rsidRDefault="00FF7E7B" w:rsidP="00FF7E7B">
      <w:pPr>
        <w:pStyle w:val="SingleTxtG"/>
        <w:rPr>
          <w:rFonts w:eastAsia="SimSun"/>
          <w:bCs/>
          <w:lang w:val="en-US" w:eastAsia="zh-CN"/>
        </w:rPr>
      </w:pPr>
      <w:r>
        <w:rPr>
          <w:rFonts w:eastAsia="SimSun"/>
          <w:bCs/>
          <w:lang w:val="en-US" w:eastAsia="zh-CN"/>
        </w:rPr>
        <w:tab/>
      </w:r>
      <w:r w:rsidR="008371B5" w:rsidRPr="002772F3">
        <w:rPr>
          <w:rFonts w:eastAsia="SimSun"/>
          <w:bCs/>
          <w:lang w:val="en-US" w:eastAsia="zh-CN"/>
        </w:rPr>
        <w:t>(</w:t>
      </w:r>
      <w:r w:rsidR="00B4765A" w:rsidRPr="002772F3">
        <w:rPr>
          <w:rFonts w:eastAsia="SimSun"/>
          <w:bCs/>
          <w:lang w:val="en-US" w:eastAsia="zh-CN"/>
        </w:rPr>
        <w:t>c)</w:t>
      </w:r>
      <w:r w:rsidR="00B4765A" w:rsidRPr="002772F3">
        <w:rPr>
          <w:rFonts w:eastAsia="SimSun"/>
          <w:bCs/>
          <w:lang w:val="en-US" w:eastAsia="zh-CN"/>
        </w:rPr>
        <w:tab/>
      </w:r>
      <w:r w:rsidR="00C30D3E">
        <w:rPr>
          <w:rFonts w:eastAsia="SimSun"/>
          <w:bCs/>
          <w:lang w:val="en-US" w:eastAsia="zh-CN"/>
        </w:rPr>
        <w:t>O</w:t>
      </w:r>
      <w:r w:rsidR="00B4765A" w:rsidRPr="002772F3">
        <w:rPr>
          <w:rFonts w:eastAsia="SimSun"/>
          <w:bCs/>
          <w:lang w:val="en-US" w:eastAsia="zh-CN"/>
        </w:rPr>
        <w:t xml:space="preserve">n measures to eliminate the practice of police benefiting financially from extrajudicial settlement of disputes.  </w:t>
      </w:r>
    </w:p>
    <w:p w:rsidR="00B4765A" w:rsidRPr="002772F3" w:rsidRDefault="00BD3885" w:rsidP="00FF7E7B">
      <w:pPr>
        <w:pStyle w:val="SingleTxtG"/>
        <w:rPr>
          <w:shd w:val="pct15" w:color="auto" w:fill="FFFFFF"/>
        </w:rPr>
      </w:pPr>
      <w:r w:rsidRPr="002772F3">
        <w:t>6.</w:t>
      </w:r>
      <w:r w:rsidRPr="002772F3">
        <w:tab/>
      </w:r>
      <w:r w:rsidR="00B4765A" w:rsidRPr="002772F3">
        <w:t>Please indicate if the State party has adopted</w:t>
      </w:r>
      <w:r w:rsidR="00B4765A" w:rsidRPr="002772F3">
        <w:rPr>
          <w:rFonts w:eastAsia="SimSun"/>
        </w:rPr>
        <w:t xml:space="preserve"> legislation since the previous review that expressly prohibits invoking exceptional circumstances as a justification of torture, as recommended by the Committee (para.</w:t>
      </w:r>
      <w:r w:rsidR="00C30D3E">
        <w:rPr>
          <w:rFonts w:eastAsia="SimSun"/>
        </w:rPr>
        <w:t xml:space="preserve"> </w:t>
      </w:r>
      <w:r w:rsidR="00B4765A" w:rsidRPr="002772F3">
        <w:rPr>
          <w:rFonts w:eastAsia="SimSun"/>
        </w:rPr>
        <w:t xml:space="preserve">15) and in accordance with </w:t>
      </w:r>
      <w:r w:rsidR="00C30D3E">
        <w:rPr>
          <w:rFonts w:eastAsia="SimSun"/>
        </w:rPr>
        <w:t>a</w:t>
      </w:r>
      <w:r w:rsidR="00B4765A" w:rsidRPr="002772F3">
        <w:rPr>
          <w:rFonts w:eastAsia="SimSun"/>
        </w:rPr>
        <w:t>rticle 2</w:t>
      </w:r>
      <w:r w:rsidR="00C30D3E">
        <w:rPr>
          <w:rFonts w:eastAsia="SimSun"/>
        </w:rPr>
        <w:t xml:space="preserve">, paragraph </w:t>
      </w:r>
      <w:r w:rsidR="00B4765A" w:rsidRPr="002772F3">
        <w:rPr>
          <w:rFonts w:eastAsia="SimSun"/>
        </w:rPr>
        <w:t>2</w:t>
      </w:r>
      <w:r w:rsidR="00C30D3E">
        <w:rPr>
          <w:rFonts w:eastAsia="SimSun"/>
        </w:rPr>
        <w:t>,</w:t>
      </w:r>
      <w:r w:rsidR="00B4765A" w:rsidRPr="002772F3">
        <w:rPr>
          <w:rFonts w:eastAsia="SimSun"/>
        </w:rPr>
        <w:t xml:space="preserve"> of the Convention. If it has, please provide the text of any such legislation. If it has not, please indicate if it intends to do so.</w:t>
      </w:r>
    </w:p>
    <w:p w:rsidR="00B4765A" w:rsidRPr="002772F3" w:rsidRDefault="00BD3885" w:rsidP="00FF7E7B">
      <w:pPr>
        <w:pStyle w:val="SingleTxtG"/>
      </w:pPr>
      <w:r w:rsidRPr="002772F3">
        <w:t>7.</w:t>
      </w:r>
      <w:r w:rsidRPr="002772F3">
        <w:tab/>
      </w:r>
      <w:r w:rsidR="00B4765A" w:rsidRPr="002772F3">
        <w:t xml:space="preserve">In </w:t>
      </w:r>
      <w:r w:rsidR="00C30D3E">
        <w:t xml:space="preserve">the </w:t>
      </w:r>
      <w:r w:rsidR="00B4765A" w:rsidRPr="002772F3">
        <w:t xml:space="preserve">light of the Committee’s previous </w:t>
      </w:r>
      <w:r w:rsidR="003F268E" w:rsidRPr="002772F3">
        <w:t>recommendations</w:t>
      </w:r>
      <w:r w:rsidR="00B4765A" w:rsidRPr="002772F3">
        <w:t xml:space="preserve"> (para.</w:t>
      </w:r>
      <w:r w:rsidR="00C30D3E">
        <w:t xml:space="preserve"> </w:t>
      </w:r>
      <w:r w:rsidR="00B4765A" w:rsidRPr="002772F3">
        <w:t xml:space="preserve">13), please provide information on the measures taken to </w:t>
      </w:r>
      <w:r w:rsidR="00B4765A" w:rsidRPr="002772F3">
        <w:rPr>
          <w:rFonts w:eastAsia="SimSun"/>
          <w:bCs/>
          <w:lang w:val="en-US" w:eastAsia="zh-CN"/>
        </w:rPr>
        <w:t xml:space="preserve">guarantee the independence of the judiciary in conformity with international standards. Please </w:t>
      </w:r>
      <w:r w:rsidR="00B4765A" w:rsidRPr="002772F3">
        <w:rPr>
          <w:rFonts w:eastAsia="SimSun"/>
          <w:lang w:val="en-US" w:eastAsia="zh-CN"/>
        </w:rPr>
        <w:t>elaborate on</w:t>
      </w:r>
      <w:r w:rsidR="00B4765A" w:rsidRPr="002772F3">
        <w:rPr>
          <w:rFonts w:eastAsia="SimSun"/>
          <w:bCs/>
          <w:lang w:val="en-US" w:eastAsia="zh-CN"/>
        </w:rPr>
        <w:t xml:space="preserve"> measures taken to:</w:t>
      </w:r>
    </w:p>
    <w:p w:rsidR="002772F3" w:rsidRDefault="00FF7E7B" w:rsidP="00FF7E7B">
      <w:pPr>
        <w:pStyle w:val="SingleTxtG"/>
        <w:rPr>
          <w:rFonts w:eastAsia="SimSun"/>
          <w:bCs/>
          <w:lang w:val="en-US" w:eastAsia="zh-CN"/>
        </w:rPr>
      </w:pPr>
      <w:r>
        <w:rPr>
          <w:rFonts w:eastAsia="SimSun"/>
          <w:bCs/>
          <w:lang w:val="en-US" w:eastAsia="zh-CN"/>
        </w:rPr>
        <w:tab/>
      </w:r>
      <w:r w:rsidR="008371B5" w:rsidRPr="002772F3">
        <w:rPr>
          <w:rFonts w:eastAsia="SimSun"/>
          <w:bCs/>
          <w:lang w:val="en-US" w:eastAsia="zh-CN"/>
        </w:rPr>
        <w:t>(</w:t>
      </w:r>
      <w:r w:rsidR="00B4765A" w:rsidRPr="002772F3">
        <w:rPr>
          <w:rFonts w:eastAsia="SimSun"/>
          <w:bCs/>
          <w:lang w:val="en-US" w:eastAsia="zh-CN"/>
        </w:rPr>
        <w:t>a)</w:t>
      </w:r>
      <w:r w:rsidR="00B4765A" w:rsidRPr="002772F3">
        <w:rPr>
          <w:rFonts w:eastAsia="SimSun"/>
          <w:bCs/>
          <w:lang w:val="en-US" w:eastAsia="zh-CN"/>
        </w:rPr>
        <w:tab/>
        <w:t xml:space="preserve"> Enact laws intended to reform the judiciary</w:t>
      </w:r>
      <w:r w:rsidR="003D2A95">
        <w:rPr>
          <w:rFonts w:eastAsia="SimSun"/>
          <w:bCs/>
          <w:lang w:val="en-US" w:eastAsia="zh-CN"/>
        </w:rPr>
        <w:t>,</w:t>
      </w:r>
      <w:r w:rsidR="00EE126F" w:rsidRPr="002772F3">
        <w:rPr>
          <w:rFonts w:eastAsia="SimSun"/>
          <w:bCs/>
          <w:vertAlign w:val="superscript"/>
          <w:lang w:val="en-US" w:eastAsia="zh-CN"/>
        </w:rPr>
        <w:footnoteReference w:id="7"/>
      </w:r>
      <w:r w:rsidR="00CB077B" w:rsidRPr="00BD3885">
        <w:rPr>
          <w:rFonts w:eastAsia="SimSun"/>
          <w:lang w:val="en-US"/>
        </w:rPr>
        <w:t xml:space="preserve"> including any </w:t>
      </w:r>
      <w:r w:rsidR="00CB077B" w:rsidRPr="002772F3">
        <w:rPr>
          <w:rFonts w:eastAsia="SimSun"/>
          <w:bCs/>
          <w:lang w:val="en-US" w:eastAsia="zh-CN"/>
        </w:rPr>
        <w:t xml:space="preserve">consultations undertaken with civil society and the </w:t>
      </w:r>
      <w:r w:rsidR="00C30D3E">
        <w:rPr>
          <w:rFonts w:eastAsia="SimSun"/>
          <w:bCs/>
          <w:lang w:val="en-US" w:eastAsia="zh-CN"/>
        </w:rPr>
        <w:t>United Nations</w:t>
      </w:r>
      <w:r w:rsidR="00C30D3E" w:rsidRPr="002772F3">
        <w:rPr>
          <w:rFonts w:eastAsia="SimSun"/>
          <w:bCs/>
          <w:lang w:val="en-US" w:eastAsia="zh-CN"/>
        </w:rPr>
        <w:t xml:space="preserve"> </w:t>
      </w:r>
      <w:r w:rsidR="00CB077B" w:rsidRPr="002772F3">
        <w:rPr>
          <w:rFonts w:eastAsia="SimSun"/>
          <w:bCs/>
          <w:lang w:val="en-US" w:eastAsia="zh-CN"/>
        </w:rPr>
        <w:t>on the draft laws</w:t>
      </w:r>
      <w:r w:rsidR="00C30D3E">
        <w:rPr>
          <w:rFonts w:eastAsia="SimSun"/>
          <w:bCs/>
          <w:lang w:val="en-US" w:eastAsia="zh-CN"/>
        </w:rPr>
        <w:t>;</w:t>
      </w:r>
      <w:r w:rsidR="00EE126F" w:rsidRPr="002772F3">
        <w:rPr>
          <w:rFonts w:eastAsia="SimSun"/>
          <w:bCs/>
          <w:lang w:val="en-US" w:eastAsia="zh-CN"/>
        </w:rPr>
        <w:t xml:space="preserve"> </w:t>
      </w:r>
    </w:p>
    <w:p w:rsidR="00B4765A" w:rsidRPr="002772F3" w:rsidRDefault="00FF7E7B" w:rsidP="00FF7E7B">
      <w:pPr>
        <w:pStyle w:val="SingleTxtG"/>
      </w:pPr>
      <w:r>
        <w:tab/>
      </w:r>
      <w:r w:rsidR="00EE126F" w:rsidRPr="002772F3">
        <w:t>(b)</w:t>
      </w:r>
      <w:r w:rsidR="002772F3">
        <w:tab/>
      </w:r>
      <w:r w:rsidR="00EE126F" w:rsidRPr="002772F3">
        <w:t xml:space="preserve"> </w:t>
      </w:r>
      <w:r w:rsidR="00386894">
        <w:t>I</w:t>
      </w:r>
      <w:r w:rsidR="00EE126F" w:rsidRPr="002772F3">
        <w:t xml:space="preserve">mplement </w:t>
      </w:r>
      <w:r w:rsidR="00B4765A" w:rsidRPr="002772F3">
        <w:t>the recommendations made by the Special Rapporteur on the situation of human rights i</w:t>
      </w:r>
      <w:r w:rsidR="00D456FA">
        <w:t xml:space="preserve">n </w:t>
      </w:r>
      <w:smartTag w:uri="urn:schemas-microsoft-com:office:smarttags" w:element="country-region">
        <w:smartTag w:uri="urn:schemas-microsoft-com:office:smarttags" w:element="place">
          <w:r w:rsidR="00D456FA">
            <w:t>Cambodia</w:t>
          </w:r>
        </w:smartTag>
      </w:smartTag>
      <w:r w:rsidR="00D456FA">
        <w:t xml:space="preserve"> (A/HRC/15/46, paras.</w:t>
      </w:r>
      <w:r w:rsidR="007248C0">
        <w:t xml:space="preserve"> </w:t>
      </w:r>
      <w:r w:rsidR="00B4765A" w:rsidRPr="002772F3">
        <w:t>66</w:t>
      </w:r>
      <w:r w:rsidR="007248C0">
        <w:t>–</w:t>
      </w:r>
      <w:r w:rsidR="00B4765A" w:rsidRPr="002772F3">
        <w:t>71</w:t>
      </w:r>
      <w:r w:rsidR="007248C0">
        <w:t>; see also paras. 19–29</w:t>
      </w:r>
      <w:r w:rsidR="00B4765A" w:rsidRPr="002772F3">
        <w:t>).</w:t>
      </w:r>
    </w:p>
    <w:p w:rsidR="00B4765A" w:rsidRPr="002772F3" w:rsidRDefault="00BD3885" w:rsidP="00FF7E7B">
      <w:pPr>
        <w:pStyle w:val="SingleTxtG"/>
      </w:pPr>
      <w:r w:rsidRPr="002772F3">
        <w:t>8.</w:t>
      </w:r>
      <w:r w:rsidRPr="002772F3">
        <w:tab/>
      </w:r>
      <w:r w:rsidR="00B4765A" w:rsidRPr="002772F3">
        <w:t>Please describe efforts taken</w:t>
      </w:r>
      <w:r w:rsidR="00FB1D44">
        <w:t xml:space="preserve"> to</w:t>
      </w:r>
      <w:r w:rsidR="00B4765A" w:rsidRPr="002772F3">
        <w:t xml:space="preserve"> </w:t>
      </w:r>
      <w:r w:rsidR="00EE126F" w:rsidRPr="002772F3">
        <w:t xml:space="preserve">(a) </w:t>
      </w:r>
      <w:r w:rsidR="00B4765A" w:rsidRPr="002772F3">
        <w:t xml:space="preserve">provide all necessary cooperation and assistance to the Extraordinary Chambers in the Courts of Cambodia (ECCC) and ensure that </w:t>
      </w:r>
      <w:r w:rsidR="00C75D50" w:rsidRPr="002772F3">
        <w:t>all</w:t>
      </w:r>
      <w:r w:rsidR="00CB077B" w:rsidRPr="002772F3">
        <w:t xml:space="preserve"> </w:t>
      </w:r>
      <w:r w:rsidR="00B4765A" w:rsidRPr="002772F3">
        <w:t>co-investigating judges and national and international staff of the ECCC are able to work free from political interference</w:t>
      </w:r>
      <w:r w:rsidR="00EE126F" w:rsidRPr="002772F3">
        <w:t>;</w:t>
      </w:r>
      <w:r w:rsidR="00B4765A" w:rsidRPr="002772F3">
        <w:t xml:space="preserve"> </w:t>
      </w:r>
      <w:r w:rsidR="00EE126F" w:rsidRPr="002772F3">
        <w:t xml:space="preserve">and (b) </w:t>
      </w:r>
      <w:r w:rsidR="00B4765A" w:rsidRPr="002772F3">
        <w:t>ensure impartial and effective investigations into allegations of crimes against humanity committed during the Khmer Rouge period in Case</w:t>
      </w:r>
      <w:r w:rsidR="00CB077B" w:rsidRPr="002772F3">
        <w:t>s</w:t>
      </w:r>
      <w:r w:rsidR="00B4765A" w:rsidRPr="002772F3">
        <w:t xml:space="preserve"> 003</w:t>
      </w:r>
      <w:r w:rsidR="00CB077B" w:rsidRPr="002772F3">
        <w:t xml:space="preserve"> and </w:t>
      </w:r>
      <w:r w:rsidR="00B4765A" w:rsidRPr="002772F3">
        <w:t>004.</w:t>
      </w:r>
    </w:p>
    <w:p w:rsidR="00B4765A" w:rsidRPr="002772F3" w:rsidRDefault="00BD3885" w:rsidP="00FF7E7B">
      <w:pPr>
        <w:pStyle w:val="SingleTxtG"/>
      </w:pPr>
      <w:r w:rsidRPr="002772F3">
        <w:t>9.</w:t>
      </w:r>
      <w:r w:rsidRPr="002772F3">
        <w:tab/>
      </w:r>
      <w:r w:rsidR="00B4765A" w:rsidRPr="002772F3">
        <w:t xml:space="preserve">In </w:t>
      </w:r>
      <w:r w:rsidR="00A66585">
        <w:t xml:space="preserve">the </w:t>
      </w:r>
      <w:r w:rsidR="00B4765A" w:rsidRPr="002772F3">
        <w:t xml:space="preserve">light of the Committee’s previous </w:t>
      </w:r>
      <w:r w:rsidR="003F268E" w:rsidRPr="002772F3">
        <w:t>recommendations</w:t>
      </w:r>
      <w:r w:rsidR="00B4765A" w:rsidRPr="002772F3">
        <w:t xml:space="preserve"> (para.</w:t>
      </w:r>
      <w:r w:rsidR="00805056">
        <w:t xml:space="preserve"> </w:t>
      </w:r>
      <w:r w:rsidR="00B4765A" w:rsidRPr="002772F3">
        <w:t>14), please provide information on measures taken to ensure</w:t>
      </w:r>
      <w:r w:rsidR="00FB1D44">
        <w:t xml:space="preserve"> that</w:t>
      </w:r>
      <w:r w:rsidR="00B4765A" w:rsidRPr="002772F3">
        <w:t xml:space="preserve"> </w:t>
      </w:r>
      <w:r w:rsidR="003F268E" w:rsidRPr="002772F3">
        <w:t xml:space="preserve">(a) </w:t>
      </w:r>
      <w:r w:rsidR="00B4765A" w:rsidRPr="002772F3">
        <w:t>all detainees are afforded, in law and in practice, all fundamental legal safeguards from the very outset of their detention</w:t>
      </w:r>
      <w:r w:rsidR="00805056">
        <w:t>;</w:t>
      </w:r>
      <w:r w:rsidR="00B4765A" w:rsidRPr="002772F3">
        <w:t xml:space="preserve"> </w:t>
      </w:r>
      <w:r w:rsidR="00EE126F" w:rsidRPr="002772F3">
        <w:t>(b)</w:t>
      </w:r>
      <w:r w:rsidR="00B4765A" w:rsidRPr="002772F3">
        <w:rPr>
          <w:rFonts w:eastAsia="SimSun"/>
          <w:bCs/>
          <w:lang w:val="en-US" w:eastAsia="zh-CN"/>
        </w:rPr>
        <w:t xml:space="preserve"> </w:t>
      </w:r>
      <w:r w:rsidR="00B4765A" w:rsidRPr="002772F3">
        <w:t>all persons deprived of their liberty have</w:t>
      </w:r>
      <w:r w:rsidR="00B4765A" w:rsidRPr="002772F3">
        <w:rPr>
          <w:rFonts w:eastAsia="SimSun"/>
          <w:bCs/>
          <w:lang w:val="en-US" w:eastAsia="zh-CN"/>
        </w:rPr>
        <w:t>:</w:t>
      </w:r>
    </w:p>
    <w:p w:rsidR="00B4765A" w:rsidRPr="002772F3" w:rsidRDefault="00FF7E7B" w:rsidP="00FF7E7B">
      <w:pPr>
        <w:pStyle w:val="SingleTxtG"/>
        <w:rPr>
          <w:rFonts w:eastAsia="SimSun"/>
          <w:bCs/>
          <w:lang w:val="en-US" w:eastAsia="zh-CN"/>
        </w:rPr>
      </w:pPr>
      <w:r>
        <w:rPr>
          <w:rFonts w:eastAsia="SimSun"/>
          <w:bCs/>
          <w:lang w:val="en-US" w:eastAsia="zh-CN"/>
        </w:rPr>
        <w:tab/>
      </w:r>
      <w:r w:rsidR="008371B5" w:rsidRPr="002772F3">
        <w:rPr>
          <w:rFonts w:eastAsia="SimSun"/>
          <w:bCs/>
          <w:lang w:val="en-US" w:eastAsia="zh-CN"/>
        </w:rPr>
        <w:t>(</w:t>
      </w:r>
      <w:r w:rsidR="00805056">
        <w:rPr>
          <w:rFonts w:eastAsia="SimSun"/>
          <w:bCs/>
          <w:lang w:val="en-US" w:eastAsia="zh-CN"/>
        </w:rPr>
        <w:t>i</w:t>
      </w:r>
      <w:r w:rsidR="008371B5" w:rsidRPr="002772F3">
        <w:rPr>
          <w:rFonts w:eastAsia="SimSun"/>
          <w:bCs/>
          <w:lang w:val="en-US" w:eastAsia="zh-CN"/>
        </w:rPr>
        <w:t>)</w:t>
      </w:r>
      <w:r w:rsidR="008371B5" w:rsidRPr="002772F3">
        <w:rPr>
          <w:rFonts w:eastAsia="SimSun"/>
          <w:bCs/>
          <w:lang w:val="en-US" w:eastAsia="zh-CN"/>
        </w:rPr>
        <w:tab/>
      </w:r>
      <w:r w:rsidR="008371B5" w:rsidRPr="002772F3">
        <w:rPr>
          <w:rFonts w:eastAsia="SimSun"/>
          <w:bCs/>
          <w:lang w:eastAsia="zh-CN"/>
        </w:rPr>
        <w:t xml:space="preserve"> </w:t>
      </w:r>
      <w:r w:rsidR="00B4765A" w:rsidRPr="002772F3">
        <w:rPr>
          <w:rFonts w:eastAsia="SimSun"/>
          <w:bCs/>
          <w:lang w:val="en-US" w:eastAsia="zh-CN"/>
        </w:rPr>
        <w:t xml:space="preserve">The right to prompt access to a lawyer from the outset of deprivation of liberty and throughout the investigation, trial, and appeals process. Please provide data on </w:t>
      </w:r>
      <w:r w:rsidR="0025795F" w:rsidRPr="002772F3">
        <w:rPr>
          <w:rFonts w:eastAsia="SimSun"/>
          <w:bCs/>
          <w:lang w:val="en-US" w:eastAsia="zh-CN"/>
        </w:rPr>
        <w:t xml:space="preserve">the number of lawyers admitted to the Bar Association, </w:t>
      </w:r>
      <w:r w:rsidR="00E94E94" w:rsidRPr="00FB1D44">
        <w:rPr>
          <w:rFonts w:eastAsia="SimSun"/>
          <w:bCs/>
          <w:lang w:eastAsia="zh-CN"/>
        </w:rPr>
        <w:t>practi</w:t>
      </w:r>
      <w:r w:rsidR="00B6550E" w:rsidRPr="00FB1D44">
        <w:rPr>
          <w:rFonts w:eastAsia="SimSun"/>
          <w:bCs/>
          <w:lang w:eastAsia="zh-CN"/>
        </w:rPr>
        <w:t>s</w:t>
      </w:r>
      <w:r w:rsidR="00E94E94" w:rsidRPr="00FB1D44">
        <w:rPr>
          <w:rFonts w:eastAsia="SimSun"/>
          <w:bCs/>
          <w:lang w:eastAsia="zh-CN"/>
        </w:rPr>
        <w:t>ing</w:t>
      </w:r>
      <w:r w:rsidR="00E94E94" w:rsidRPr="002772F3">
        <w:rPr>
          <w:rFonts w:eastAsia="SimSun"/>
          <w:bCs/>
          <w:lang w:val="en-US" w:eastAsia="zh-CN"/>
        </w:rPr>
        <w:t xml:space="preserve"> lawyers, </w:t>
      </w:r>
      <w:r w:rsidR="00B4765A" w:rsidRPr="002772F3">
        <w:rPr>
          <w:rFonts w:eastAsia="SimSun"/>
          <w:bCs/>
          <w:lang w:val="en-US" w:eastAsia="zh-CN"/>
        </w:rPr>
        <w:t xml:space="preserve">legal aid lawyers </w:t>
      </w:r>
      <w:r w:rsidR="00FB1D44">
        <w:rPr>
          <w:rFonts w:eastAsia="SimSun"/>
          <w:bCs/>
          <w:lang w:val="en-US" w:eastAsia="zh-CN"/>
        </w:rPr>
        <w:t>and</w:t>
      </w:r>
      <w:r w:rsidR="0025795F" w:rsidRPr="002772F3">
        <w:rPr>
          <w:rFonts w:eastAsia="SimSun"/>
          <w:bCs/>
          <w:lang w:val="en-US" w:eastAsia="zh-CN"/>
        </w:rPr>
        <w:t xml:space="preserve"> legal aid cases, all</w:t>
      </w:r>
      <w:r w:rsidR="0025795F" w:rsidRPr="002772F3" w:rsidDel="0025795F">
        <w:rPr>
          <w:rFonts w:eastAsia="SimSun"/>
          <w:bCs/>
          <w:lang w:val="en-US" w:eastAsia="zh-CN"/>
        </w:rPr>
        <w:t xml:space="preserve"> </w:t>
      </w:r>
      <w:r w:rsidR="00B4765A" w:rsidRPr="002772F3">
        <w:rPr>
          <w:rFonts w:eastAsia="SimSun"/>
          <w:bCs/>
          <w:lang w:val="en-US" w:eastAsia="zh-CN"/>
        </w:rPr>
        <w:t xml:space="preserve">disaggregated by </w:t>
      </w:r>
      <w:r w:rsidR="0025795F" w:rsidRPr="002772F3">
        <w:rPr>
          <w:rFonts w:eastAsia="SimSun"/>
          <w:bCs/>
          <w:lang w:val="en-US" w:eastAsia="zh-CN"/>
        </w:rPr>
        <w:t>province</w:t>
      </w:r>
      <w:r w:rsidR="00FB1D44">
        <w:rPr>
          <w:rFonts w:eastAsia="SimSun"/>
          <w:bCs/>
          <w:lang w:val="en-US" w:eastAsia="zh-CN"/>
        </w:rPr>
        <w:t>. Please also</w:t>
      </w:r>
      <w:r w:rsidR="00B4765A" w:rsidRPr="002772F3">
        <w:rPr>
          <w:rFonts w:eastAsia="SimSun"/>
          <w:bCs/>
          <w:lang w:val="en-US" w:eastAsia="zh-CN"/>
        </w:rPr>
        <w:t xml:space="preserve"> indicate measures taken by the State party to increase the </w:t>
      </w:r>
      <w:r w:rsidR="0025795F" w:rsidRPr="002772F3">
        <w:rPr>
          <w:rFonts w:eastAsia="SimSun"/>
          <w:bCs/>
          <w:lang w:val="en-US" w:eastAsia="zh-CN"/>
        </w:rPr>
        <w:t xml:space="preserve">provision of legal aid services, including </w:t>
      </w:r>
      <w:r w:rsidR="00FB1D44">
        <w:rPr>
          <w:rFonts w:eastAsia="SimSun"/>
          <w:bCs/>
          <w:lang w:val="en-US" w:eastAsia="zh-CN"/>
        </w:rPr>
        <w:t>by</w:t>
      </w:r>
      <w:r w:rsidR="0025795F" w:rsidRPr="002772F3">
        <w:rPr>
          <w:rFonts w:eastAsia="SimSun"/>
          <w:bCs/>
          <w:lang w:val="en-US" w:eastAsia="zh-CN"/>
        </w:rPr>
        <w:t xml:space="preserve"> increas</w:t>
      </w:r>
      <w:r w:rsidR="00FB1D44">
        <w:rPr>
          <w:rFonts w:eastAsia="SimSun"/>
          <w:bCs/>
          <w:lang w:val="en-US" w:eastAsia="zh-CN"/>
        </w:rPr>
        <w:t>ing</w:t>
      </w:r>
      <w:r w:rsidR="0025795F" w:rsidRPr="002772F3">
        <w:rPr>
          <w:rFonts w:eastAsia="SimSun"/>
          <w:bCs/>
          <w:lang w:val="en-US" w:eastAsia="zh-CN"/>
        </w:rPr>
        <w:t xml:space="preserve"> the </w:t>
      </w:r>
      <w:r w:rsidR="00B4765A" w:rsidRPr="002772F3">
        <w:rPr>
          <w:rFonts w:eastAsia="SimSun"/>
          <w:bCs/>
          <w:lang w:val="en-US" w:eastAsia="zh-CN"/>
        </w:rPr>
        <w:t>number of legal aid lawyers</w:t>
      </w:r>
      <w:r w:rsidR="0025795F" w:rsidRPr="002772F3">
        <w:rPr>
          <w:rFonts w:eastAsia="SimSun"/>
          <w:bCs/>
          <w:lang w:val="en-US" w:eastAsia="zh-CN"/>
        </w:rPr>
        <w:t xml:space="preserve">, and indicate more generally plans </w:t>
      </w:r>
      <w:r w:rsidR="00F4708A" w:rsidRPr="002772F3">
        <w:rPr>
          <w:rFonts w:eastAsia="SimSun"/>
          <w:bCs/>
          <w:lang w:val="en-US" w:eastAsia="zh-CN"/>
        </w:rPr>
        <w:t>t</w:t>
      </w:r>
      <w:r w:rsidR="0025795F" w:rsidRPr="002772F3">
        <w:rPr>
          <w:rFonts w:eastAsia="SimSun"/>
          <w:bCs/>
          <w:lang w:val="en-US" w:eastAsia="zh-CN"/>
        </w:rPr>
        <w:t>o establish a comprehensive legal aid system in the country</w:t>
      </w:r>
      <w:r w:rsidR="00805056">
        <w:rPr>
          <w:rFonts w:eastAsia="SimSun"/>
          <w:bCs/>
          <w:lang w:val="en-US" w:eastAsia="zh-CN"/>
        </w:rPr>
        <w:t>;</w:t>
      </w:r>
    </w:p>
    <w:p w:rsidR="00B4765A" w:rsidRPr="002772F3" w:rsidRDefault="008371B5" w:rsidP="00FF7E7B">
      <w:pPr>
        <w:pStyle w:val="SingleTxtG"/>
        <w:rPr>
          <w:rFonts w:eastAsia="SimSun"/>
          <w:lang w:val="en-US" w:eastAsia="zh-CN"/>
        </w:rPr>
      </w:pPr>
      <w:r w:rsidRPr="002772F3">
        <w:rPr>
          <w:rFonts w:eastAsia="SimSun"/>
          <w:lang w:val="en-US" w:eastAsia="zh-CN"/>
        </w:rPr>
        <w:tab/>
        <w:t>(</w:t>
      </w:r>
      <w:r w:rsidR="00805056">
        <w:rPr>
          <w:rFonts w:eastAsia="SimSun"/>
          <w:lang w:val="en-US" w:eastAsia="zh-CN"/>
        </w:rPr>
        <w:t>ii</w:t>
      </w:r>
      <w:r w:rsidRPr="002772F3">
        <w:rPr>
          <w:rFonts w:eastAsia="SimSun"/>
          <w:lang w:val="en-US" w:eastAsia="zh-CN"/>
        </w:rPr>
        <w:t>)</w:t>
      </w:r>
      <w:r w:rsidRPr="002772F3">
        <w:rPr>
          <w:rFonts w:eastAsia="SimSun"/>
          <w:lang w:val="en-US" w:eastAsia="zh-CN"/>
        </w:rPr>
        <w:tab/>
      </w:r>
      <w:r w:rsidR="00B4765A" w:rsidRPr="002772F3">
        <w:rPr>
          <w:rFonts w:eastAsia="SimSun"/>
          <w:lang w:val="en-US" w:eastAsia="zh-CN"/>
        </w:rPr>
        <w:t>The right to an independent medical examination, by a medical doctor of their choice, from the outset of effective deprivation of liberty</w:t>
      </w:r>
      <w:r w:rsidR="00805056">
        <w:rPr>
          <w:rFonts w:eastAsia="SimSun"/>
          <w:lang w:val="en-US" w:eastAsia="zh-CN"/>
        </w:rPr>
        <w:t>;</w:t>
      </w:r>
      <w:r w:rsidR="00B4765A" w:rsidRPr="002772F3" w:rsidDel="00910188">
        <w:rPr>
          <w:rFonts w:eastAsia="SimSun"/>
          <w:lang w:val="en-US" w:eastAsia="zh-CN"/>
        </w:rPr>
        <w:t xml:space="preserve"> </w:t>
      </w:r>
      <w:r w:rsidR="00B4765A" w:rsidRPr="002772F3">
        <w:rPr>
          <w:rFonts w:eastAsia="SimSun"/>
          <w:lang w:val="en-US" w:eastAsia="zh-CN"/>
        </w:rPr>
        <w:t xml:space="preserve">  </w:t>
      </w:r>
    </w:p>
    <w:p w:rsidR="00B4765A" w:rsidRPr="002772F3" w:rsidRDefault="008371B5" w:rsidP="00FF7E7B">
      <w:pPr>
        <w:pStyle w:val="SingleTxtG"/>
        <w:rPr>
          <w:rFonts w:eastAsia="SimSun"/>
          <w:lang w:val="en-US" w:eastAsia="zh-CN"/>
        </w:rPr>
      </w:pPr>
      <w:r w:rsidRPr="002772F3">
        <w:rPr>
          <w:rFonts w:eastAsia="SimSun"/>
          <w:lang w:val="en-US" w:eastAsia="zh-CN"/>
        </w:rPr>
        <w:tab/>
        <w:t>(</w:t>
      </w:r>
      <w:r w:rsidR="00805056">
        <w:rPr>
          <w:rFonts w:eastAsia="SimSun"/>
          <w:lang w:val="en-US" w:eastAsia="zh-CN"/>
        </w:rPr>
        <w:t>iii</w:t>
      </w:r>
      <w:r w:rsidRPr="002772F3">
        <w:rPr>
          <w:rFonts w:eastAsia="SimSun"/>
          <w:lang w:val="en-US" w:eastAsia="zh-CN"/>
        </w:rPr>
        <w:t>)</w:t>
      </w:r>
      <w:r w:rsidRPr="002772F3">
        <w:rPr>
          <w:rFonts w:eastAsia="SimSun"/>
          <w:lang w:val="en-US" w:eastAsia="zh-CN"/>
        </w:rPr>
        <w:tab/>
      </w:r>
      <w:r w:rsidR="00B4765A" w:rsidRPr="002772F3">
        <w:rPr>
          <w:rFonts w:eastAsia="SimSun"/>
          <w:lang w:val="en-US" w:eastAsia="zh-CN"/>
        </w:rPr>
        <w:t>The right to inform a relative of their detention</w:t>
      </w:r>
      <w:r w:rsidR="00805056">
        <w:rPr>
          <w:rFonts w:eastAsia="SimSun"/>
          <w:lang w:val="en-US" w:eastAsia="zh-CN"/>
        </w:rPr>
        <w:t>;</w:t>
      </w:r>
    </w:p>
    <w:p w:rsidR="00B4765A" w:rsidRPr="002772F3" w:rsidRDefault="008371B5" w:rsidP="00FF7E7B">
      <w:pPr>
        <w:pStyle w:val="SingleTxtG"/>
        <w:rPr>
          <w:rFonts w:eastAsia="SimSun"/>
          <w:lang w:val="en-US" w:eastAsia="zh-CN"/>
        </w:rPr>
      </w:pPr>
      <w:r w:rsidRPr="002772F3">
        <w:rPr>
          <w:rFonts w:eastAsia="SimSun"/>
          <w:lang w:val="en-US" w:eastAsia="zh-CN"/>
        </w:rPr>
        <w:tab/>
        <w:t>(</w:t>
      </w:r>
      <w:r w:rsidR="00805056">
        <w:rPr>
          <w:rFonts w:eastAsia="SimSun"/>
          <w:lang w:val="en-US" w:eastAsia="zh-CN"/>
        </w:rPr>
        <w:t>iv</w:t>
      </w:r>
      <w:r w:rsidRPr="002772F3">
        <w:rPr>
          <w:rFonts w:eastAsia="SimSun"/>
          <w:lang w:val="en-US" w:eastAsia="zh-CN"/>
        </w:rPr>
        <w:t>)</w:t>
      </w:r>
      <w:r w:rsidRPr="002772F3">
        <w:rPr>
          <w:rFonts w:eastAsia="SimSun"/>
          <w:lang w:val="en-US" w:eastAsia="zh-CN"/>
        </w:rPr>
        <w:tab/>
      </w:r>
      <w:r w:rsidR="00B4765A" w:rsidRPr="002772F3">
        <w:rPr>
          <w:rFonts w:eastAsia="SimSun"/>
          <w:lang w:val="en-US" w:eastAsia="zh-CN"/>
        </w:rPr>
        <w:t xml:space="preserve">The right to be informed of their rights and the charges against them and to be promptly presented to a judge. </w:t>
      </w:r>
    </w:p>
    <w:p w:rsidR="00B4765A" w:rsidRPr="002772F3" w:rsidRDefault="00BD3885" w:rsidP="00FF7E7B">
      <w:pPr>
        <w:pStyle w:val="SingleTxtG"/>
      </w:pPr>
      <w:r w:rsidRPr="002772F3">
        <w:t>10.</w:t>
      </w:r>
      <w:r w:rsidRPr="002772F3">
        <w:tab/>
      </w:r>
      <w:r w:rsidR="00B4765A" w:rsidRPr="002772F3">
        <w:t xml:space="preserve">Please </w:t>
      </w:r>
      <w:r w:rsidR="002D0E4B" w:rsidRPr="002772F3">
        <w:t>indicate (a)</w:t>
      </w:r>
      <w:r w:rsidR="003F268E" w:rsidRPr="002772F3">
        <w:t xml:space="preserve"> </w:t>
      </w:r>
      <w:r w:rsidR="00B4765A" w:rsidRPr="002772F3">
        <w:t>measures in place to ensure that the detention of all persons is registered from the outset of their deprivation of liberty</w:t>
      </w:r>
      <w:r w:rsidR="00841202">
        <w:t>;</w:t>
      </w:r>
      <w:r w:rsidR="002D0E4B" w:rsidRPr="002772F3">
        <w:t xml:space="preserve"> (b)</w:t>
      </w:r>
      <w:r w:rsidR="00B4765A" w:rsidRPr="002772F3">
        <w:t xml:space="preserve"> the procedures in place to inspect custody records periodically at </w:t>
      </w:r>
      <w:r w:rsidR="003F268E" w:rsidRPr="002772F3">
        <w:t>detention</w:t>
      </w:r>
      <w:r w:rsidR="00B4765A" w:rsidRPr="002772F3">
        <w:t xml:space="preserve"> facilities</w:t>
      </w:r>
      <w:r w:rsidR="00841202">
        <w:t>;</w:t>
      </w:r>
      <w:r w:rsidR="002D0E4B" w:rsidRPr="002772F3">
        <w:t xml:space="preserve"> and (c)</w:t>
      </w:r>
      <w:r w:rsidR="00B4765A" w:rsidRPr="002772F3">
        <w:t xml:space="preserve"> how family members and lawyers are able to access custody records.</w:t>
      </w:r>
    </w:p>
    <w:p w:rsidR="00372B4A" w:rsidRPr="002772F3" w:rsidRDefault="00BD3885" w:rsidP="00FF7E7B">
      <w:pPr>
        <w:pStyle w:val="SingleTxtG"/>
      </w:pPr>
      <w:r w:rsidRPr="002772F3">
        <w:t>11.</w:t>
      </w:r>
      <w:r w:rsidRPr="002772F3">
        <w:tab/>
      </w:r>
      <w:r w:rsidR="00B4765A" w:rsidRPr="002772F3">
        <w:t xml:space="preserve">In </w:t>
      </w:r>
      <w:r w:rsidR="004E6DFF">
        <w:t xml:space="preserve">the </w:t>
      </w:r>
      <w:r w:rsidR="00B4765A" w:rsidRPr="002772F3">
        <w:t xml:space="preserve">light of the Committee’s previous </w:t>
      </w:r>
      <w:r w:rsidR="003F268E" w:rsidRPr="002772F3">
        <w:t>recommendations</w:t>
      </w:r>
      <w:r w:rsidR="00B4765A" w:rsidRPr="002772F3">
        <w:t xml:space="preserve"> (para.</w:t>
      </w:r>
      <w:r w:rsidR="004E6DFF">
        <w:t xml:space="preserve"> </w:t>
      </w:r>
      <w:r w:rsidR="00B4765A" w:rsidRPr="002772F3">
        <w:t>21), please provide information on</w:t>
      </w:r>
      <w:r w:rsidR="00372B4A" w:rsidRPr="002772F3">
        <w:t>:</w:t>
      </w:r>
    </w:p>
    <w:p w:rsidR="00372B4A" w:rsidRPr="002772F3" w:rsidRDefault="00E819CF" w:rsidP="00FF7E7B">
      <w:pPr>
        <w:pStyle w:val="SingleTxtG"/>
        <w:rPr>
          <w:rFonts w:eastAsia="SimSun"/>
          <w:bCs/>
          <w:lang w:val="en-US" w:eastAsia="zh-CN"/>
        </w:rPr>
      </w:pPr>
      <w:r>
        <w:rPr>
          <w:rFonts w:eastAsia="SimSun"/>
          <w:bCs/>
          <w:lang w:val="en-US" w:eastAsia="zh-CN"/>
        </w:rPr>
        <w:tab/>
      </w:r>
      <w:r w:rsidR="00372B4A" w:rsidRPr="002772F3">
        <w:rPr>
          <w:rFonts w:eastAsia="SimSun"/>
          <w:bCs/>
          <w:lang w:val="en-US" w:eastAsia="zh-CN"/>
        </w:rPr>
        <w:t>(a)</w:t>
      </w:r>
      <w:r w:rsidR="00BD3885">
        <w:rPr>
          <w:lang w:val="en-US"/>
        </w:rPr>
        <w:tab/>
        <w:t>M</w:t>
      </w:r>
      <w:r w:rsidR="00B4765A" w:rsidRPr="00BD3885">
        <w:rPr>
          <w:lang w:val="en-US"/>
        </w:rPr>
        <w:t xml:space="preserve">easures taken to prevent and combat </w:t>
      </w:r>
      <w:r w:rsidR="00870CD8" w:rsidRPr="002772F3">
        <w:rPr>
          <w:rFonts w:eastAsia="SimSun"/>
          <w:bCs/>
          <w:lang w:val="en-US" w:eastAsia="zh-CN"/>
        </w:rPr>
        <w:t>gender</w:t>
      </w:r>
      <w:r w:rsidR="00870CD8" w:rsidRPr="00BD3885">
        <w:rPr>
          <w:lang w:val="en-US"/>
        </w:rPr>
        <w:t xml:space="preserve"> </w:t>
      </w:r>
      <w:r w:rsidR="00B4765A" w:rsidRPr="00BD3885">
        <w:rPr>
          <w:lang w:val="en-US"/>
        </w:rPr>
        <w:t>violence and abuse against women and children, including rape</w:t>
      </w:r>
      <w:r w:rsidR="004E6DFF">
        <w:rPr>
          <w:lang w:val="en-US"/>
        </w:rPr>
        <w:t>;</w:t>
      </w:r>
      <w:r w:rsidR="00B4765A" w:rsidRPr="00BD3885">
        <w:rPr>
          <w:lang w:val="en-US"/>
        </w:rPr>
        <w:t xml:space="preserve"> </w:t>
      </w:r>
    </w:p>
    <w:p w:rsidR="00372B4A" w:rsidRPr="00BD3885" w:rsidRDefault="00E819CF" w:rsidP="00FF7E7B">
      <w:pPr>
        <w:pStyle w:val="SingleTxtG"/>
        <w:rPr>
          <w:lang w:val="en-US"/>
        </w:rPr>
      </w:pPr>
      <w:r>
        <w:rPr>
          <w:rFonts w:eastAsia="SimSun"/>
          <w:bCs/>
          <w:lang w:val="en-US" w:eastAsia="zh-CN"/>
        </w:rPr>
        <w:tab/>
      </w:r>
      <w:r w:rsidR="00372B4A" w:rsidRPr="002772F3">
        <w:rPr>
          <w:rFonts w:eastAsia="SimSun"/>
          <w:bCs/>
          <w:lang w:val="en-US" w:eastAsia="zh-CN"/>
        </w:rPr>
        <w:t>(b)</w:t>
      </w:r>
      <w:r w:rsidR="00BD3885">
        <w:rPr>
          <w:lang w:val="en-US"/>
        </w:rPr>
        <w:tab/>
        <w:t>S</w:t>
      </w:r>
      <w:r w:rsidR="00B4765A" w:rsidRPr="00BD3885">
        <w:rPr>
          <w:lang w:val="en-US"/>
        </w:rPr>
        <w:t>tatistics on the number of complaints of sexual violence, including rape, received during the reporting period, disaggregated by entity receiving the complaint, as well as statistics on the number of investigations into such cases carried out, the number that resulted in prosecutions, the number that resulted in convictions, the charges and sentence in each case in which a person was found guilty</w:t>
      </w:r>
      <w:r w:rsidR="00870CD8" w:rsidRPr="002772F3">
        <w:rPr>
          <w:rFonts w:eastAsia="SimSun"/>
          <w:bCs/>
          <w:lang w:val="en-US" w:eastAsia="zh-CN"/>
        </w:rPr>
        <w:t xml:space="preserve"> and </w:t>
      </w:r>
      <w:r w:rsidR="00870CD8" w:rsidRPr="00BD3885">
        <w:rPr>
          <w:lang w:val="en-US"/>
        </w:rPr>
        <w:t xml:space="preserve">the </w:t>
      </w:r>
      <w:r w:rsidR="00870CD8" w:rsidRPr="002772F3">
        <w:rPr>
          <w:rFonts w:eastAsia="SimSun"/>
          <w:bCs/>
          <w:lang w:val="en-US" w:eastAsia="zh-CN"/>
        </w:rPr>
        <w:t>number</w:t>
      </w:r>
      <w:r w:rsidR="00870CD8" w:rsidRPr="00BD3885">
        <w:rPr>
          <w:lang w:val="en-US"/>
        </w:rPr>
        <w:t xml:space="preserve"> of </w:t>
      </w:r>
      <w:r w:rsidR="00870CD8" w:rsidRPr="002772F3">
        <w:rPr>
          <w:rFonts w:eastAsia="SimSun"/>
          <w:bCs/>
          <w:lang w:val="en-US" w:eastAsia="zh-CN"/>
        </w:rPr>
        <w:t>court decisions which were enforced after</w:t>
      </w:r>
      <w:r w:rsidR="00870CD8" w:rsidRPr="00BD3885">
        <w:rPr>
          <w:lang w:val="en-US"/>
        </w:rPr>
        <w:t xml:space="preserve"> the </w:t>
      </w:r>
      <w:r w:rsidR="00870CD8" w:rsidRPr="002772F3">
        <w:rPr>
          <w:rFonts w:eastAsia="SimSun"/>
          <w:bCs/>
          <w:lang w:val="en-US" w:eastAsia="zh-CN"/>
        </w:rPr>
        <w:t>verdict</w:t>
      </w:r>
      <w:r w:rsidR="004E6DFF">
        <w:rPr>
          <w:rFonts w:eastAsia="SimSun"/>
          <w:bCs/>
          <w:lang w:val="en-US" w:eastAsia="zh-CN"/>
        </w:rPr>
        <w:t>;</w:t>
      </w:r>
      <w:r w:rsidR="00B4765A" w:rsidRPr="004E6DFF">
        <w:rPr>
          <w:rFonts w:eastAsia="SimSun"/>
          <w:bCs/>
          <w:vertAlign w:val="superscript"/>
          <w:lang w:val="en-US" w:eastAsia="zh-CN"/>
        </w:rPr>
        <w:footnoteReference w:id="8"/>
      </w:r>
      <w:r w:rsidR="00B4765A" w:rsidRPr="004E6DFF">
        <w:rPr>
          <w:rFonts w:eastAsia="SimSun"/>
          <w:bCs/>
          <w:vertAlign w:val="superscript"/>
          <w:lang w:val="en-US" w:eastAsia="zh-CN"/>
        </w:rPr>
        <w:t xml:space="preserve"> </w:t>
      </w:r>
      <w:r w:rsidR="00B4765A" w:rsidRPr="00BD3885">
        <w:rPr>
          <w:lang w:val="en-US"/>
        </w:rPr>
        <w:t xml:space="preserve"> </w:t>
      </w:r>
    </w:p>
    <w:p w:rsidR="00D73471" w:rsidRPr="002772F3" w:rsidRDefault="00E819CF" w:rsidP="00FF7E7B">
      <w:pPr>
        <w:pStyle w:val="SingleTxtG"/>
        <w:rPr>
          <w:rFonts w:eastAsia="SimSun"/>
          <w:bCs/>
          <w:lang w:val="en-US" w:eastAsia="zh-CN"/>
        </w:rPr>
      </w:pPr>
      <w:r>
        <w:rPr>
          <w:rFonts w:eastAsia="SimSun"/>
          <w:bCs/>
          <w:lang w:val="en-US" w:eastAsia="zh-CN"/>
        </w:rPr>
        <w:tab/>
      </w:r>
      <w:r w:rsidR="00BD3885">
        <w:rPr>
          <w:rFonts w:eastAsia="SimSun"/>
          <w:bCs/>
          <w:lang w:val="en-US" w:eastAsia="zh-CN"/>
        </w:rPr>
        <w:t>(c)</w:t>
      </w:r>
      <w:r w:rsidR="00BD3885">
        <w:rPr>
          <w:rFonts w:eastAsia="SimSun"/>
          <w:bCs/>
          <w:lang w:val="en-US" w:eastAsia="zh-CN"/>
        </w:rPr>
        <w:tab/>
        <w:t>M</w:t>
      </w:r>
      <w:r w:rsidR="00B4765A" w:rsidRPr="002772F3">
        <w:rPr>
          <w:rFonts w:eastAsia="SimSun"/>
          <w:bCs/>
          <w:lang w:val="en-US" w:eastAsia="zh-CN"/>
        </w:rPr>
        <w:t xml:space="preserve">echanisms created to facilitate the provision of psychosocial and medical </w:t>
      </w:r>
      <w:r w:rsidR="00D456FA" w:rsidRPr="002772F3">
        <w:rPr>
          <w:rFonts w:eastAsia="SimSun"/>
          <w:bCs/>
          <w:lang w:val="en-US" w:eastAsia="zh-CN"/>
        </w:rPr>
        <w:t>care,</w:t>
      </w:r>
      <w:r w:rsidR="00D73471" w:rsidRPr="002772F3">
        <w:rPr>
          <w:rFonts w:eastAsia="SimSun"/>
          <w:bCs/>
          <w:lang w:val="en-US" w:eastAsia="zh-CN"/>
        </w:rPr>
        <w:t xml:space="preserve"> </w:t>
      </w:r>
      <w:r w:rsidR="00B4765A" w:rsidRPr="002772F3">
        <w:rPr>
          <w:rFonts w:eastAsia="SimSun"/>
          <w:bCs/>
          <w:lang w:val="en-US" w:eastAsia="zh-CN"/>
        </w:rPr>
        <w:t>and redress actually provided to victims during the reporting period</w:t>
      </w:r>
      <w:r w:rsidR="004E6DFF">
        <w:rPr>
          <w:rFonts w:eastAsia="SimSun"/>
          <w:bCs/>
          <w:lang w:val="en-US" w:eastAsia="zh-CN"/>
        </w:rPr>
        <w:t>;</w:t>
      </w:r>
      <w:r w:rsidR="00B4765A" w:rsidRPr="002772F3">
        <w:rPr>
          <w:rFonts w:eastAsia="SimSun"/>
          <w:bCs/>
          <w:lang w:val="en-US" w:eastAsia="zh-CN"/>
        </w:rPr>
        <w:t xml:space="preserve"> </w:t>
      </w:r>
    </w:p>
    <w:p w:rsidR="00FB77B2" w:rsidRPr="002772F3" w:rsidRDefault="00E819CF" w:rsidP="00FF7E7B">
      <w:pPr>
        <w:pStyle w:val="SingleTxtG"/>
        <w:rPr>
          <w:rFonts w:eastAsia="SimSun"/>
          <w:bCs/>
          <w:lang w:val="en-US" w:eastAsia="zh-CN"/>
        </w:rPr>
      </w:pPr>
      <w:r>
        <w:rPr>
          <w:rFonts w:eastAsia="SimSun"/>
          <w:bCs/>
          <w:lang w:val="en-US" w:eastAsia="zh-CN"/>
        </w:rPr>
        <w:tab/>
      </w:r>
      <w:r w:rsidR="00372B4A" w:rsidRPr="002772F3">
        <w:rPr>
          <w:rFonts w:eastAsia="SimSun"/>
          <w:bCs/>
          <w:lang w:val="en-US" w:eastAsia="zh-CN"/>
        </w:rPr>
        <w:t>(d)</w:t>
      </w:r>
      <w:r w:rsidR="00BD3885">
        <w:rPr>
          <w:rFonts w:eastAsia="SimSun"/>
          <w:bCs/>
          <w:lang w:val="en-US" w:eastAsia="zh-CN"/>
        </w:rPr>
        <w:tab/>
        <w:t>M</w:t>
      </w:r>
      <w:r w:rsidR="00D456FA">
        <w:rPr>
          <w:rFonts w:eastAsia="SimSun"/>
          <w:bCs/>
          <w:lang w:val="en-US" w:eastAsia="zh-CN"/>
        </w:rPr>
        <w:t>easures</w:t>
      </w:r>
      <w:r w:rsidR="00D73471" w:rsidRPr="002772F3">
        <w:rPr>
          <w:rFonts w:eastAsia="SimSun"/>
          <w:bCs/>
          <w:lang w:val="en-US" w:eastAsia="zh-CN"/>
        </w:rPr>
        <w:t xml:space="preserve"> taken to ensure </w:t>
      </w:r>
      <w:r w:rsidR="003D159B" w:rsidRPr="002772F3">
        <w:rPr>
          <w:rFonts w:eastAsia="SimSun"/>
          <w:bCs/>
          <w:lang w:val="en-US" w:eastAsia="zh-CN"/>
        </w:rPr>
        <w:t xml:space="preserve">that </w:t>
      </w:r>
      <w:r w:rsidR="00D73471" w:rsidRPr="002772F3">
        <w:rPr>
          <w:rFonts w:eastAsia="SimSun"/>
          <w:bCs/>
          <w:lang w:val="en-US" w:eastAsia="zh-CN"/>
        </w:rPr>
        <w:t xml:space="preserve">women </w:t>
      </w:r>
      <w:r w:rsidR="003D159B" w:rsidRPr="002772F3">
        <w:rPr>
          <w:rFonts w:eastAsia="SimSun"/>
          <w:bCs/>
          <w:lang w:val="en-US" w:eastAsia="zh-CN"/>
        </w:rPr>
        <w:t>exposed to</w:t>
      </w:r>
      <w:r w:rsidR="00D73471" w:rsidRPr="002772F3">
        <w:rPr>
          <w:rFonts w:eastAsia="SimSun"/>
          <w:bCs/>
          <w:lang w:val="en-US" w:eastAsia="zh-CN"/>
        </w:rPr>
        <w:t xml:space="preserve"> violence have improved access to justice </w:t>
      </w:r>
      <w:r w:rsidR="00372B4A" w:rsidRPr="002772F3">
        <w:rPr>
          <w:rFonts w:eastAsia="SimSun"/>
          <w:bCs/>
          <w:lang w:val="en-US" w:eastAsia="zh-CN"/>
        </w:rPr>
        <w:t>and</w:t>
      </w:r>
      <w:r w:rsidR="00D73471" w:rsidRPr="002772F3">
        <w:rPr>
          <w:rFonts w:eastAsia="SimSun"/>
          <w:bCs/>
          <w:lang w:val="en-US" w:eastAsia="zh-CN"/>
        </w:rPr>
        <w:t xml:space="preserve"> address the practice of out-of-court settlements </w:t>
      </w:r>
      <w:r w:rsidR="003D159B" w:rsidRPr="002772F3">
        <w:rPr>
          <w:rFonts w:eastAsia="SimSun"/>
          <w:bCs/>
          <w:lang w:val="en-US" w:eastAsia="zh-CN"/>
        </w:rPr>
        <w:t xml:space="preserve">in relation to rape. </w:t>
      </w:r>
    </w:p>
    <w:p w:rsidR="00122D6C" w:rsidRPr="002772F3" w:rsidRDefault="00BD3885" w:rsidP="00FF7E7B">
      <w:pPr>
        <w:pStyle w:val="SingleTxtG"/>
      </w:pPr>
      <w:r w:rsidRPr="002772F3">
        <w:t>12.</w:t>
      </w:r>
      <w:r w:rsidRPr="002772F3">
        <w:tab/>
      </w:r>
      <w:r w:rsidR="00B4765A" w:rsidRPr="002772F3">
        <w:t xml:space="preserve">In </w:t>
      </w:r>
      <w:r w:rsidR="004E6DFF">
        <w:t xml:space="preserve">the </w:t>
      </w:r>
      <w:r w:rsidR="00B4765A" w:rsidRPr="002772F3">
        <w:t xml:space="preserve">light of the Committee’s previous </w:t>
      </w:r>
      <w:r w:rsidR="003F268E" w:rsidRPr="002772F3">
        <w:t>recommendations</w:t>
      </w:r>
      <w:r w:rsidR="00B4765A" w:rsidRPr="002772F3">
        <w:t xml:space="preserve"> (para.</w:t>
      </w:r>
      <w:r w:rsidR="004E6DFF">
        <w:t xml:space="preserve"> </w:t>
      </w:r>
      <w:r w:rsidR="00B4765A" w:rsidRPr="002772F3">
        <w:t>22), please provide information on</w:t>
      </w:r>
      <w:r w:rsidR="00122D6C" w:rsidRPr="002772F3">
        <w:t xml:space="preserve"> </w:t>
      </w:r>
      <w:r w:rsidR="00B4765A" w:rsidRPr="002772F3">
        <w:t xml:space="preserve">actions </w:t>
      </w:r>
      <w:r w:rsidR="00B4765A" w:rsidRPr="002772F3">
        <w:rPr>
          <w:rFonts w:eastAsia="SimSun"/>
        </w:rPr>
        <w:t>taken</w:t>
      </w:r>
      <w:r w:rsidR="00B4765A" w:rsidRPr="002772F3">
        <w:t xml:space="preserve"> to</w:t>
      </w:r>
      <w:r w:rsidR="00B4765A" w:rsidRPr="002772F3">
        <w:rPr>
          <w:rFonts w:eastAsia="SimSun"/>
        </w:rPr>
        <w:t xml:space="preserve"> </w:t>
      </w:r>
      <w:r w:rsidR="00B4765A" w:rsidRPr="002772F3">
        <w:t xml:space="preserve">prevent and combat trafficking in human beings, especially women and children, </w:t>
      </w:r>
      <w:r w:rsidR="00122D6C" w:rsidRPr="002772F3">
        <w:t xml:space="preserve">including </w:t>
      </w:r>
      <w:r w:rsidR="00B4765A" w:rsidRPr="002772F3">
        <w:t>measures taken to</w:t>
      </w:r>
      <w:r w:rsidR="003F268E" w:rsidRPr="002772F3">
        <w:t>:</w:t>
      </w:r>
    </w:p>
    <w:p w:rsidR="002D0E4B" w:rsidRPr="002772F3" w:rsidRDefault="00FB1D44" w:rsidP="00FF7E7B">
      <w:pPr>
        <w:pStyle w:val="SingleTxtG"/>
        <w:rPr>
          <w:rFonts w:eastAsia="SimSun"/>
          <w:bCs/>
          <w:lang w:val="en-US" w:eastAsia="zh-CN"/>
        </w:rPr>
      </w:pPr>
      <w:r>
        <w:rPr>
          <w:rFonts w:eastAsia="SimSun"/>
          <w:bCs/>
          <w:lang w:val="en-US" w:eastAsia="zh-CN"/>
        </w:rPr>
        <w:tab/>
      </w:r>
      <w:r w:rsidR="002772F3">
        <w:rPr>
          <w:rFonts w:eastAsia="SimSun"/>
          <w:bCs/>
          <w:lang w:val="en-US" w:eastAsia="zh-CN"/>
        </w:rPr>
        <w:t>(a)</w:t>
      </w:r>
      <w:r w:rsidR="00BD3885">
        <w:rPr>
          <w:rFonts w:eastAsia="SimSun"/>
          <w:lang w:val="en-US"/>
        </w:rPr>
        <w:tab/>
        <w:t>C</w:t>
      </w:r>
      <w:r w:rsidR="00B4765A" w:rsidRPr="00BD3885">
        <w:rPr>
          <w:lang w:val="en-US"/>
        </w:rPr>
        <w:t xml:space="preserve">reate conditions in which victims of trafficking can exercise their right to make complaints. </w:t>
      </w:r>
      <w:r w:rsidR="003F268E" w:rsidRPr="002772F3">
        <w:rPr>
          <w:rFonts w:eastAsia="SimSun"/>
          <w:bCs/>
          <w:lang w:val="en-US" w:eastAsia="zh-CN"/>
        </w:rPr>
        <w:t>Please indicate</w:t>
      </w:r>
      <w:r w:rsidR="00B4765A" w:rsidRPr="00BD3885">
        <w:rPr>
          <w:lang w:val="en-US"/>
        </w:rPr>
        <w:t xml:space="preserve"> the number of complaints received relating to trafficking during the reporting period, all investigations undertaken into allegations of trafficking</w:t>
      </w:r>
      <w:r>
        <w:rPr>
          <w:lang w:val="en-US"/>
        </w:rPr>
        <w:t xml:space="preserve"> and</w:t>
      </w:r>
      <w:r w:rsidR="00B4765A" w:rsidRPr="00BD3885">
        <w:rPr>
          <w:lang w:val="en-US"/>
        </w:rPr>
        <w:t xml:space="preserve"> any resulting prosecutions and whether these resulted in convictions and, if so, the punishment handed down in each case</w:t>
      </w:r>
      <w:r w:rsidR="002D0E4B" w:rsidRPr="002772F3">
        <w:rPr>
          <w:rFonts w:eastAsia="SimSun"/>
          <w:bCs/>
          <w:lang w:val="en-US" w:eastAsia="zh-CN"/>
        </w:rPr>
        <w:t>;</w:t>
      </w:r>
    </w:p>
    <w:p w:rsidR="00B4765A" w:rsidRPr="002772F3" w:rsidRDefault="00FB1D44" w:rsidP="00FF7E7B">
      <w:pPr>
        <w:pStyle w:val="SingleTxtG"/>
      </w:pPr>
      <w:r>
        <w:rPr>
          <w:rFonts w:eastAsia="SimSun"/>
          <w:bCs/>
          <w:lang w:val="en-US" w:eastAsia="zh-CN"/>
        </w:rPr>
        <w:tab/>
      </w:r>
      <w:r w:rsidR="002772F3">
        <w:rPr>
          <w:rFonts w:eastAsia="SimSun"/>
          <w:bCs/>
          <w:lang w:val="en-US" w:eastAsia="zh-CN"/>
        </w:rPr>
        <w:t>(b)</w:t>
      </w:r>
      <w:r w:rsidR="00BD3885">
        <w:rPr>
          <w:rFonts w:eastAsia="SimSun"/>
          <w:lang w:val="en-US"/>
        </w:rPr>
        <w:tab/>
        <w:t>P</w:t>
      </w:r>
      <w:r w:rsidR="00B4765A" w:rsidRPr="00BD3885">
        <w:rPr>
          <w:lang w:val="en-US"/>
        </w:rPr>
        <w:t xml:space="preserve">rovide protection for victims of trafficking and ensure their access to medical, social, rehabilitative and legal services, including </w:t>
      </w:r>
      <w:r w:rsidR="00B4765A" w:rsidRPr="00FB1D44">
        <w:t>counselling</w:t>
      </w:r>
      <w:r w:rsidR="00B4765A" w:rsidRPr="00BD3885">
        <w:rPr>
          <w:lang w:val="en-US"/>
        </w:rPr>
        <w:t xml:space="preserve"> as appropriate</w:t>
      </w:r>
      <w:r w:rsidR="003F268E" w:rsidRPr="002772F3">
        <w:rPr>
          <w:rFonts w:eastAsia="SimSun"/>
          <w:bCs/>
          <w:lang w:val="en-US" w:eastAsia="zh-CN"/>
        </w:rPr>
        <w:t>. Please ind</w:t>
      </w:r>
      <w:r w:rsidR="00A96478" w:rsidRPr="002772F3">
        <w:rPr>
          <w:rFonts w:eastAsia="SimSun"/>
          <w:bCs/>
          <w:lang w:val="en-US" w:eastAsia="zh-CN"/>
        </w:rPr>
        <w:t>i</w:t>
      </w:r>
      <w:r w:rsidR="003F268E" w:rsidRPr="002772F3">
        <w:rPr>
          <w:rFonts w:eastAsia="SimSun"/>
          <w:bCs/>
          <w:lang w:val="en-US" w:eastAsia="zh-CN"/>
        </w:rPr>
        <w:t>cate</w:t>
      </w:r>
      <w:r w:rsidR="00B4765A" w:rsidRPr="00BD3885">
        <w:rPr>
          <w:lang w:val="en-US"/>
        </w:rPr>
        <w:t xml:space="preserve"> the number of victims that have accessed such services </w:t>
      </w:r>
      <w:r>
        <w:rPr>
          <w:lang w:val="en-US"/>
        </w:rPr>
        <w:t>and provide</w:t>
      </w:r>
      <w:r w:rsidR="00B4765A" w:rsidRPr="00BD3885">
        <w:rPr>
          <w:lang w:val="en-US"/>
        </w:rPr>
        <w:t xml:space="preserve"> data on any redress awarded to victims of trafficking by courts</w:t>
      </w:r>
      <w:r w:rsidR="00B4765A" w:rsidRPr="002772F3">
        <w:t>.</w:t>
      </w:r>
      <w:r w:rsidR="00B4765A" w:rsidRPr="00BD3885">
        <w:rPr>
          <w:vertAlign w:val="superscript"/>
        </w:rPr>
        <w:footnoteReference w:id="9"/>
      </w:r>
      <w:r w:rsidR="00B4765A" w:rsidRPr="002772F3">
        <w:t xml:space="preserve">  </w:t>
      </w:r>
    </w:p>
    <w:p w:rsidR="00B4765A" w:rsidRPr="002772F3" w:rsidRDefault="00BD3885" w:rsidP="00FF7E7B">
      <w:pPr>
        <w:pStyle w:val="SingleTxtG"/>
        <w:rPr>
          <w:rFonts w:eastAsia="SimSun"/>
        </w:rPr>
      </w:pPr>
      <w:r w:rsidRPr="002772F3">
        <w:t>13.</w:t>
      </w:r>
      <w:r w:rsidRPr="002772F3">
        <w:tab/>
      </w:r>
      <w:r w:rsidR="00B4765A" w:rsidRPr="002772F3">
        <w:t xml:space="preserve">In </w:t>
      </w:r>
      <w:r w:rsidR="00A24978">
        <w:t xml:space="preserve">the </w:t>
      </w:r>
      <w:r w:rsidR="00B4765A" w:rsidRPr="002772F3">
        <w:t xml:space="preserve">light of the Committee’s previous </w:t>
      </w:r>
      <w:r w:rsidR="003F268E" w:rsidRPr="002772F3">
        <w:t>recommendations</w:t>
      </w:r>
      <w:r w:rsidR="00B4765A" w:rsidRPr="002772F3">
        <w:t xml:space="preserve"> (para.</w:t>
      </w:r>
      <w:r w:rsidR="00A24978">
        <w:t xml:space="preserve"> </w:t>
      </w:r>
      <w:r w:rsidR="00B4765A" w:rsidRPr="002772F3">
        <w:t>29) and the State party’s acceptance of the recommendations made in the course of the universal periodic review (</w:t>
      </w:r>
      <w:r w:rsidR="00B4765A" w:rsidRPr="00DA7543">
        <w:t>A/HRC/13/4, para.</w:t>
      </w:r>
      <w:r w:rsidR="00A24978" w:rsidRPr="00DA7543">
        <w:t xml:space="preserve"> </w:t>
      </w:r>
      <w:r w:rsidR="00B4765A" w:rsidRPr="00DA7543">
        <w:t>82.7</w:t>
      </w:r>
      <w:r w:rsidR="00B4765A" w:rsidRPr="002772F3">
        <w:t xml:space="preserve">), please describe measures to </w:t>
      </w:r>
      <w:r w:rsidR="00B4765A" w:rsidRPr="002772F3">
        <w:rPr>
          <w:rFonts w:eastAsia="SimSun"/>
        </w:rPr>
        <w:t xml:space="preserve">establish an independent national human rights institution </w:t>
      </w:r>
      <w:r w:rsidR="00B4765A" w:rsidRPr="002772F3">
        <w:t xml:space="preserve">in accordance with </w:t>
      </w:r>
      <w:r w:rsidR="00B4765A" w:rsidRPr="002772F3">
        <w:rPr>
          <w:rFonts w:eastAsia="SimSun"/>
        </w:rPr>
        <w:t>the</w:t>
      </w:r>
      <w:r w:rsidR="00A24978">
        <w:rPr>
          <w:rFonts w:eastAsia="SimSun"/>
        </w:rPr>
        <w:t xml:space="preserve"> principles relating to the status of national institutions for the promotion and protection of human rights</w:t>
      </w:r>
      <w:r w:rsidR="00B4765A" w:rsidRPr="002772F3">
        <w:rPr>
          <w:rFonts w:eastAsia="SimSun"/>
        </w:rPr>
        <w:t xml:space="preserve"> </w:t>
      </w:r>
      <w:r w:rsidR="00A24978">
        <w:rPr>
          <w:rFonts w:eastAsia="SimSun"/>
        </w:rPr>
        <w:t>(</w:t>
      </w:r>
      <w:r w:rsidR="00B4765A" w:rsidRPr="002772F3">
        <w:rPr>
          <w:rFonts w:eastAsia="SimSun"/>
        </w:rPr>
        <w:t>Paris Principles</w:t>
      </w:r>
      <w:r w:rsidR="00A24978">
        <w:rPr>
          <w:rFonts w:eastAsia="SimSun"/>
        </w:rPr>
        <w:t>)</w:t>
      </w:r>
      <w:r w:rsidR="00B4765A" w:rsidRPr="002772F3">
        <w:rPr>
          <w:rFonts w:eastAsia="SimSun"/>
        </w:rPr>
        <w:t>.</w:t>
      </w:r>
      <w:r w:rsidR="00B4765A" w:rsidRPr="00BD3885">
        <w:rPr>
          <w:rFonts w:eastAsia="SimSun"/>
          <w:vertAlign w:val="superscript"/>
        </w:rPr>
        <w:footnoteReference w:id="10"/>
      </w:r>
      <w:r w:rsidR="00B4765A" w:rsidRPr="002772F3">
        <w:rPr>
          <w:rFonts w:eastAsia="SimSun"/>
        </w:rPr>
        <w:t xml:space="preserve">  </w:t>
      </w:r>
    </w:p>
    <w:p w:rsidR="00B4765A" w:rsidRPr="002772F3" w:rsidRDefault="00BD3885" w:rsidP="00FF7E7B">
      <w:pPr>
        <w:pStyle w:val="SingleTxtG"/>
        <w:rPr>
          <w:rFonts w:eastAsia="SimSun"/>
        </w:rPr>
      </w:pPr>
      <w:r w:rsidRPr="002772F3">
        <w:t>14.</w:t>
      </w:r>
      <w:r w:rsidRPr="002772F3">
        <w:tab/>
      </w:r>
      <w:r w:rsidR="00B4765A" w:rsidRPr="002772F3">
        <w:t>Please provide information on the actions taken  to establish an independent national preventive mechanism with the necessary mandate and resources to fulfil the State party’s obligations under the Optional Protocol to the Convention against Torture and Other Cruel, Inhuman or Degrading Treatment or Punishment</w:t>
      </w:r>
      <w:r w:rsidR="0025795F" w:rsidRPr="002772F3">
        <w:t>,</w:t>
      </w:r>
      <w:r w:rsidR="00B4765A" w:rsidRPr="002772F3">
        <w:t xml:space="preserve"> noting the Committee’s previously expressed concern (para.</w:t>
      </w:r>
      <w:r w:rsidR="00D0769B">
        <w:t xml:space="preserve"> </w:t>
      </w:r>
      <w:r w:rsidR="00B4765A" w:rsidRPr="002772F3">
        <w:t>30)</w:t>
      </w:r>
      <w:r w:rsidR="00B4765A" w:rsidRPr="00BD3885">
        <w:rPr>
          <w:rFonts w:eastAsia="SimSun"/>
          <w:vertAlign w:val="superscript"/>
        </w:rPr>
        <w:footnoteReference w:id="11"/>
      </w:r>
      <w:r w:rsidR="00B4765A" w:rsidRPr="002772F3">
        <w:t xml:space="preserve"> that the inter-governmental committee created by the State party in August 2009 was not in compliance with </w:t>
      </w:r>
      <w:r w:rsidR="00D0769B">
        <w:t>Optional Protocol</w:t>
      </w:r>
      <w:r w:rsidR="00B4765A" w:rsidRPr="002772F3">
        <w:t xml:space="preserve">’s requirements. </w:t>
      </w:r>
      <w:r w:rsidR="0025795F" w:rsidRPr="002772F3">
        <w:t xml:space="preserve">Please describe any progress in adopting legislation on the establishment of an independent </w:t>
      </w:r>
      <w:r w:rsidR="00A24978">
        <w:t>mechanism</w:t>
      </w:r>
      <w:r w:rsidR="0025795F" w:rsidRPr="002772F3">
        <w:t>.</w:t>
      </w:r>
      <w:r w:rsidR="00B4765A" w:rsidRPr="002772F3">
        <w:t xml:space="preserve"> Please also indicate if the State party is considering making public the report of the Subcommittee on Prevention of Torture following its visit in December 2009.</w:t>
      </w:r>
    </w:p>
    <w:p w:rsidR="002D0E4B" w:rsidRPr="002772F3" w:rsidRDefault="00BD3885" w:rsidP="00FF7E7B">
      <w:pPr>
        <w:pStyle w:val="SingleTxtG"/>
      </w:pPr>
      <w:r w:rsidRPr="002772F3">
        <w:t>15.</w:t>
      </w:r>
      <w:r w:rsidRPr="002772F3">
        <w:tab/>
      </w:r>
      <w:r w:rsidR="00B4765A" w:rsidRPr="002772F3">
        <w:t xml:space="preserve">In </w:t>
      </w:r>
      <w:r w:rsidR="00D0769B">
        <w:t xml:space="preserve">the </w:t>
      </w:r>
      <w:r w:rsidR="00B4765A" w:rsidRPr="002772F3">
        <w:t xml:space="preserve">light of the Committee’s previous </w:t>
      </w:r>
      <w:r w:rsidR="003F268E" w:rsidRPr="002772F3">
        <w:t>recommendations</w:t>
      </w:r>
      <w:r w:rsidR="00B4765A" w:rsidRPr="002772F3">
        <w:t xml:space="preserve"> (para.</w:t>
      </w:r>
      <w:r w:rsidR="00D0769B">
        <w:t xml:space="preserve"> </w:t>
      </w:r>
      <w:r w:rsidR="00B4765A" w:rsidRPr="002772F3">
        <w:t>31), please provide information on</w:t>
      </w:r>
      <w:r w:rsidR="002D0E4B" w:rsidRPr="002772F3">
        <w:t>:</w:t>
      </w:r>
    </w:p>
    <w:p w:rsidR="002D0E4B" w:rsidRPr="002772F3" w:rsidRDefault="00FF7E7B" w:rsidP="00FF7E7B">
      <w:pPr>
        <w:pStyle w:val="SingleTxtG"/>
        <w:rPr>
          <w:rFonts w:eastAsia="SimSun"/>
          <w:bCs/>
          <w:lang w:val="en-US" w:eastAsia="zh-CN"/>
        </w:rPr>
      </w:pPr>
      <w:r>
        <w:rPr>
          <w:rFonts w:eastAsia="SimSun"/>
          <w:bCs/>
          <w:lang w:val="en-US" w:eastAsia="zh-CN"/>
        </w:rPr>
        <w:tab/>
      </w:r>
      <w:r w:rsidR="002772F3">
        <w:rPr>
          <w:rFonts w:eastAsia="SimSun"/>
          <w:bCs/>
          <w:lang w:val="en-US" w:eastAsia="zh-CN"/>
        </w:rPr>
        <w:t>(a)</w:t>
      </w:r>
      <w:r w:rsidR="00BD3885">
        <w:rPr>
          <w:lang w:val="en-US"/>
        </w:rPr>
        <w:tab/>
        <w:t>T</w:t>
      </w:r>
      <w:r w:rsidR="00B4765A" w:rsidRPr="00BD3885">
        <w:rPr>
          <w:lang w:val="en-US"/>
        </w:rPr>
        <w:t xml:space="preserve">he measures taken to ensure that civil society organizations, including </w:t>
      </w:r>
      <w:r w:rsidR="00821724">
        <w:rPr>
          <w:lang w:val="en-US"/>
        </w:rPr>
        <w:t>non-governmental organizations (</w:t>
      </w:r>
      <w:r w:rsidR="00B4765A" w:rsidRPr="00BD3885">
        <w:rPr>
          <w:lang w:val="en-US"/>
        </w:rPr>
        <w:t>NGOs</w:t>
      </w:r>
      <w:r w:rsidR="00821724">
        <w:rPr>
          <w:lang w:val="en-US"/>
        </w:rPr>
        <w:t>)</w:t>
      </w:r>
      <w:r w:rsidR="00B4765A" w:rsidRPr="00BD3885">
        <w:rPr>
          <w:lang w:val="en-US"/>
        </w:rPr>
        <w:t xml:space="preserve">, are not restricted with respect to their establishment, independence, or operations and are protected from any intimidation or violence as a result of their activities; </w:t>
      </w:r>
    </w:p>
    <w:p w:rsidR="00B4765A" w:rsidRPr="00BD3885" w:rsidRDefault="00FF7E7B" w:rsidP="00FF7E7B">
      <w:pPr>
        <w:pStyle w:val="SingleTxtG"/>
        <w:rPr>
          <w:lang w:val="en-US"/>
        </w:rPr>
      </w:pPr>
      <w:r>
        <w:rPr>
          <w:rFonts w:eastAsia="SimSun"/>
          <w:bCs/>
          <w:lang w:val="en-US" w:eastAsia="zh-CN"/>
        </w:rPr>
        <w:tab/>
      </w:r>
      <w:r w:rsidR="002772F3">
        <w:rPr>
          <w:rFonts w:eastAsia="SimSun"/>
          <w:bCs/>
          <w:lang w:val="en-US" w:eastAsia="zh-CN"/>
        </w:rPr>
        <w:t>(b)</w:t>
      </w:r>
      <w:r w:rsidR="00BD3885">
        <w:rPr>
          <w:rFonts w:eastAsia="SimSun"/>
          <w:lang w:val="en-US"/>
        </w:rPr>
        <w:tab/>
        <w:t>R</w:t>
      </w:r>
      <w:r w:rsidR="00B4765A" w:rsidRPr="00BD3885">
        <w:rPr>
          <w:lang w:val="en-US"/>
        </w:rPr>
        <w:t xml:space="preserve">eports that certain provisions contained in </w:t>
      </w:r>
      <w:r w:rsidR="00122D6C" w:rsidRPr="002772F3">
        <w:rPr>
          <w:rFonts w:eastAsia="SimSun"/>
          <w:bCs/>
          <w:lang w:val="en-US" w:eastAsia="zh-CN"/>
        </w:rPr>
        <w:t>the</w:t>
      </w:r>
      <w:r w:rsidR="00122D6C" w:rsidRPr="00BD3885">
        <w:rPr>
          <w:lang w:val="en-US"/>
        </w:rPr>
        <w:t xml:space="preserve"> draft law</w:t>
      </w:r>
      <w:r w:rsidR="00122D6C" w:rsidRPr="002772F3">
        <w:rPr>
          <w:rFonts w:eastAsia="SimSun"/>
          <w:bCs/>
          <w:lang w:val="en-US" w:eastAsia="zh-CN"/>
        </w:rPr>
        <w:t xml:space="preserve"> regulating NGOs</w:t>
      </w:r>
      <w:r w:rsidR="00B4765A" w:rsidRPr="00BD3885">
        <w:rPr>
          <w:lang w:val="en-US"/>
        </w:rPr>
        <w:t xml:space="preserve"> may hamper and restrict the legitimate work of NGOs in the promotion of human rights, as referred to by the </w:t>
      </w:r>
      <w:r w:rsidR="003441C6">
        <w:rPr>
          <w:lang w:val="en-US"/>
        </w:rPr>
        <w:t xml:space="preserve">three </w:t>
      </w:r>
      <w:r w:rsidR="00B4765A" w:rsidRPr="00BD3885">
        <w:rPr>
          <w:lang w:val="en-US"/>
        </w:rPr>
        <w:t>Special Rapporteur</w:t>
      </w:r>
      <w:r w:rsidR="00821724">
        <w:rPr>
          <w:lang w:val="en-US"/>
        </w:rPr>
        <w:t>s</w:t>
      </w:r>
      <w:r w:rsidR="00B4765A" w:rsidRPr="00BD3885">
        <w:rPr>
          <w:lang w:val="en-US"/>
        </w:rPr>
        <w:t xml:space="preserve"> in a joint allegation letter dated 13 May 2011</w:t>
      </w:r>
      <w:r w:rsidR="003441C6">
        <w:rPr>
          <w:lang w:val="en-US"/>
        </w:rPr>
        <w:t xml:space="preserve"> (</w:t>
      </w:r>
      <w:r w:rsidR="003441C6" w:rsidRPr="003441C6">
        <w:rPr>
          <w:lang w:val="es-ES"/>
        </w:rPr>
        <w:t>A/HRC/20/27/Add.3</w:t>
      </w:r>
      <w:r w:rsidR="003441C6">
        <w:rPr>
          <w:lang w:val="es-ES"/>
        </w:rPr>
        <w:t>, para. 55)</w:t>
      </w:r>
      <w:r w:rsidR="00B4765A" w:rsidRPr="00BD3885">
        <w:rPr>
          <w:lang w:val="en-US"/>
        </w:rPr>
        <w:t>.</w:t>
      </w:r>
      <w:r w:rsidR="00B4765A" w:rsidRPr="00BD3885">
        <w:rPr>
          <w:vertAlign w:val="superscript"/>
          <w:lang w:val="en-US"/>
        </w:rPr>
        <w:footnoteReference w:id="12"/>
      </w:r>
      <w:r w:rsidR="00B4765A" w:rsidRPr="00BD3885">
        <w:rPr>
          <w:vertAlign w:val="superscript"/>
          <w:lang w:val="en-US"/>
        </w:rPr>
        <w:t xml:space="preserve"> </w:t>
      </w:r>
    </w:p>
    <w:p w:rsidR="00B4765A" w:rsidRPr="002772F3" w:rsidRDefault="00BD3885" w:rsidP="00FF7E7B">
      <w:pPr>
        <w:pStyle w:val="SingleTxtG"/>
      </w:pPr>
      <w:r w:rsidRPr="002772F3">
        <w:t>16.</w:t>
      </w:r>
      <w:r w:rsidRPr="002772F3">
        <w:tab/>
      </w:r>
      <w:r w:rsidR="00B4765A" w:rsidRPr="002772F3">
        <w:rPr>
          <w:lang w:val="en-US"/>
        </w:rPr>
        <w:t>Please indicate whether, as previously recommended by the Committee (paras.</w:t>
      </w:r>
      <w:r w:rsidR="00D0769B">
        <w:rPr>
          <w:lang w:val="en-US"/>
        </w:rPr>
        <w:t xml:space="preserve"> </w:t>
      </w:r>
      <w:r w:rsidR="00B4765A" w:rsidRPr="002772F3">
        <w:rPr>
          <w:lang w:val="en-US"/>
        </w:rPr>
        <w:t>12 and 16), the State party has established a witness and whistle-blower protection program</w:t>
      </w:r>
      <w:r w:rsidR="00D0769B">
        <w:rPr>
          <w:lang w:val="en-US"/>
        </w:rPr>
        <w:t>me</w:t>
      </w:r>
      <w:r w:rsidR="00B4765A" w:rsidRPr="002772F3">
        <w:rPr>
          <w:lang w:val="en-US"/>
        </w:rPr>
        <w:t xml:space="preserve"> capable of protecting the confidentiality of persons alleging offen</w:t>
      </w:r>
      <w:r w:rsidR="00821724">
        <w:rPr>
          <w:lang w:val="en-US"/>
        </w:rPr>
        <w:t>c</w:t>
      </w:r>
      <w:r w:rsidR="00B4765A" w:rsidRPr="002772F3">
        <w:rPr>
          <w:lang w:val="en-US"/>
        </w:rPr>
        <w:t>es including corruption, torture, and ill-treatment and</w:t>
      </w:r>
      <w:r w:rsidR="00821724">
        <w:rPr>
          <w:lang w:val="en-US"/>
        </w:rPr>
        <w:t xml:space="preserve"> that is</w:t>
      </w:r>
      <w:r w:rsidR="00B4765A" w:rsidRPr="002772F3">
        <w:rPr>
          <w:lang w:val="en-US"/>
        </w:rPr>
        <w:t xml:space="preserve"> sufficiently funded to enable its effective functioning.</w:t>
      </w:r>
    </w:p>
    <w:p w:rsidR="00B4765A" w:rsidRPr="002772F3" w:rsidRDefault="00B4765A" w:rsidP="008371B5">
      <w:pPr>
        <w:pStyle w:val="H23G"/>
      </w:pPr>
      <w:r w:rsidRPr="002772F3">
        <w:tab/>
      </w:r>
      <w:r w:rsidRPr="002772F3">
        <w:tab/>
      </w:r>
      <w:r w:rsidRPr="005515CB">
        <w:t>Article 3</w:t>
      </w:r>
      <w:r w:rsidRPr="002772F3">
        <w:t xml:space="preserve"> </w:t>
      </w:r>
    </w:p>
    <w:p w:rsidR="00543C44" w:rsidRPr="002772F3" w:rsidRDefault="00BD3885" w:rsidP="00FF7E7B">
      <w:pPr>
        <w:pStyle w:val="SingleTxtG"/>
      </w:pPr>
      <w:r w:rsidRPr="002772F3">
        <w:t>17.</w:t>
      </w:r>
      <w:r w:rsidRPr="002772F3">
        <w:tab/>
      </w:r>
      <w:r w:rsidR="00B4765A" w:rsidRPr="002772F3">
        <w:t xml:space="preserve">In </w:t>
      </w:r>
      <w:r w:rsidR="00D0769B">
        <w:t xml:space="preserve">the </w:t>
      </w:r>
      <w:r w:rsidR="00B4765A" w:rsidRPr="002772F3">
        <w:t xml:space="preserve">light of the Committee’s previous </w:t>
      </w:r>
      <w:r w:rsidR="003F268E" w:rsidRPr="002772F3">
        <w:t>recommendations</w:t>
      </w:r>
      <w:r w:rsidR="00B4765A" w:rsidRPr="002772F3">
        <w:t xml:space="preserve"> (para.</w:t>
      </w:r>
      <w:r w:rsidR="000D14FF">
        <w:t xml:space="preserve"> </w:t>
      </w:r>
      <w:r w:rsidR="00B4765A" w:rsidRPr="002772F3">
        <w:t xml:space="preserve">24), please </w:t>
      </w:r>
      <w:r w:rsidR="002D0E4B" w:rsidRPr="002772F3">
        <w:t>indicate</w:t>
      </w:r>
      <w:r w:rsidR="002E5A75">
        <w:t xml:space="preserve"> if</w:t>
      </w:r>
      <w:r w:rsidR="002D0E4B" w:rsidRPr="002772F3">
        <w:t xml:space="preserve"> (a) </w:t>
      </w:r>
      <w:r w:rsidR="00B4765A" w:rsidRPr="002772F3">
        <w:t>the State party has explicitly prohibited the expulsion, refoulement or extradition of a person to another State where there are substantial grounds for believing that he or she would be in danger of being subjected to torture</w:t>
      </w:r>
      <w:r w:rsidR="005515CB">
        <w:t>;</w:t>
      </w:r>
      <w:r w:rsidR="00B4765A" w:rsidRPr="00BD3885">
        <w:rPr>
          <w:vertAlign w:val="superscript"/>
        </w:rPr>
        <w:footnoteReference w:id="13"/>
      </w:r>
      <w:r w:rsidR="00B4765A" w:rsidRPr="002772F3">
        <w:t xml:space="preserve"> </w:t>
      </w:r>
      <w:r w:rsidR="002D0E4B" w:rsidRPr="002772F3">
        <w:t>and (b)</w:t>
      </w:r>
      <w:r w:rsidR="00B4765A" w:rsidRPr="002772F3">
        <w:t xml:space="preserve"> the State party has adopted legislation guaranteeing the rights of all refugees and asylum-seeking persons, including unaccompanied children, and provides, in law and practice, all procedural guarantees to persons facing expulsion, return or extradition.</w:t>
      </w:r>
    </w:p>
    <w:p w:rsidR="00B4765A" w:rsidRPr="002772F3" w:rsidRDefault="00BD3885" w:rsidP="00FF7E7B">
      <w:pPr>
        <w:pStyle w:val="SingleTxtG"/>
      </w:pPr>
      <w:r w:rsidRPr="002772F3">
        <w:t>18.</w:t>
      </w:r>
      <w:r w:rsidRPr="002772F3">
        <w:tab/>
      </w:r>
      <w:r w:rsidR="00543C44" w:rsidRPr="002772F3">
        <w:t>Please provide information on</w:t>
      </w:r>
      <w:r w:rsidR="002D0E4B" w:rsidRPr="002772F3">
        <w:t xml:space="preserve"> (a)</w:t>
      </w:r>
      <w:r w:rsidR="00543C44" w:rsidRPr="002772F3">
        <w:t xml:space="preserve"> the law, policy and practice governing the registration and processing of applications for asylum made from detention</w:t>
      </w:r>
      <w:r w:rsidR="002D0E4B" w:rsidRPr="002772F3">
        <w:t>,</w:t>
      </w:r>
      <w:r w:rsidR="00543C44" w:rsidRPr="002772F3">
        <w:t xml:space="preserve"> including both immigration and penal facilities</w:t>
      </w:r>
      <w:r w:rsidR="002D0E4B" w:rsidRPr="002772F3">
        <w:t>; and (b) the average processing time of an asylum application</w:t>
      </w:r>
      <w:r w:rsidR="00543C44" w:rsidRPr="002772F3">
        <w:t>.</w:t>
      </w:r>
      <w:r w:rsidR="00EC60A8" w:rsidRPr="002772F3">
        <w:t xml:space="preserve"> </w:t>
      </w:r>
    </w:p>
    <w:p w:rsidR="00B4765A" w:rsidRPr="002772F3" w:rsidRDefault="00BD3885" w:rsidP="00FF7E7B">
      <w:pPr>
        <w:pStyle w:val="SingleTxtG"/>
      </w:pPr>
      <w:r w:rsidRPr="002772F3">
        <w:t>19.</w:t>
      </w:r>
      <w:r w:rsidRPr="002772F3">
        <w:tab/>
      </w:r>
      <w:r w:rsidR="00B4765A" w:rsidRPr="002772F3">
        <w:t>Please provide data on all requests for extradition received by the State party during the reporting period, identifying the State requesting extradition, and indicate which of these were granted, which were rejected and the grounds for rejection. Please provide information on any agreements into which the State party has entered related to the return of asylum</w:t>
      </w:r>
      <w:r w:rsidR="00E00DBC">
        <w:t xml:space="preserve"> </w:t>
      </w:r>
      <w:r w:rsidR="00B4765A" w:rsidRPr="002772F3">
        <w:t xml:space="preserve">seekers </w:t>
      </w:r>
      <w:r w:rsidR="00543C44" w:rsidRPr="002772F3">
        <w:t xml:space="preserve">and refugees </w:t>
      </w:r>
      <w:r w:rsidR="00B4765A" w:rsidRPr="002772F3">
        <w:t>or to diplomatic assurances.</w:t>
      </w:r>
    </w:p>
    <w:p w:rsidR="00B4765A" w:rsidRPr="002772F3" w:rsidRDefault="00BD3885" w:rsidP="00FF7E7B">
      <w:pPr>
        <w:pStyle w:val="SingleTxtG"/>
      </w:pPr>
      <w:r w:rsidRPr="002772F3">
        <w:t>20.</w:t>
      </w:r>
      <w:r w:rsidRPr="002772F3">
        <w:tab/>
      </w:r>
      <w:r w:rsidR="00B4765A" w:rsidRPr="002772F3">
        <w:t>Please provide data, disaggregated by age, sex and ethnicity, on:</w:t>
      </w:r>
    </w:p>
    <w:p w:rsidR="00B4765A" w:rsidRPr="002772F3" w:rsidRDefault="008371B5" w:rsidP="00FF7E7B">
      <w:pPr>
        <w:pStyle w:val="SingleTxtG"/>
        <w:rPr>
          <w:rFonts w:eastAsia="SimSun"/>
          <w:lang w:val="en-US" w:eastAsia="zh-CN"/>
        </w:rPr>
      </w:pPr>
      <w:r w:rsidRPr="002772F3">
        <w:rPr>
          <w:rFonts w:eastAsia="SimSun"/>
          <w:lang w:val="en-US" w:eastAsia="zh-CN"/>
        </w:rPr>
        <w:tab/>
        <w:t>(a)</w:t>
      </w:r>
      <w:r w:rsidRPr="002772F3">
        <w:rPr>
          <w:rFonts w:eastAsia="SimSun"/>
          <w:lang w:val="en-US" w:eastAsia="zh-CN"/>
        </w:rPr>
        <w:tab/>
      </w:r>
      <w:r w:rsidR="00B4765A" w:rsidRPr="002772F3">
        <w:rPr>
          <w:rFonts w:eastAsia="SimSun"/>
          <w:lang w:val="en-US" w:eastAsia="zh-CN"/>
        </w:rPr>
        <w:t xml:space="preserve">All extraditions, returns and expulsions carried out by the State party </w:t>
      </w:r>
      <w:r w:rsidR="002E5A75">
        <w:rPr>
          <w:rFonts w:eastAsia="SimSun"/>
          <w:lang w:val="en-US" w:eastAsia="zh-CN"/>
        </w:rPr>
        <w:t xml:space="preserve">that have </w:t>
      </w:r>
      <w:r w:rsidR="00B4765A" w:rsidRPr="002772F3">
        <w:rPr>
          <w:rFonts w:eastAsia="SimSun"/>
          <w:lang w:val="en-US" w:eastAsia="zh-CN"/>
        </w:rPr>
        <w:t>taken place since the consideration of the previous periodic report, indicating the State to which persons were returned;</w:t>
      </w:r>
    </w:p>
    <w:p w:rsidR="00B4765A" w:rsidRPr="002772F3" w:rsidRDefault="008371B5" w:rsidP="00FF7E7B">
      <w:pPr>
        <w:pStyle w:val="SingleTxtG"/>
        <w:rPr>
          <w:rFonts w:eastAsia="SimSun"/>
          <w:lang w:val="en-US" w:eastAsia="zh-CN"/>
        </w:rPr>
      </w:pPr>
      <w:r w:rsidRPr="002772F3">
        <w:rPr>
          <w:rFonts w:eastAsia="SimSun"/>
          <w:lang w:val="en-US" w:eastAsia="zh-CN"/>
        </w:rPr>
        <w:tab/>
        <w:t>(b)</w:t>
      </w:r>
      <w:r w:rsidRPr="002772F3">
        <w:rPr>
          <w:rFonts w:eastAsia="SimSun"/>
          <w:lang w:val="en-US" w:eastAsia="zh-CN"/>
        </w:rPr>
        <w:tab/>
      </w:r>
      <w:r w:rsidR="00B4765A" w:rsidRPr="002772F3">
        <w:rPr>
          <w:rFonts w:eastAsia="SimSun"/>
          <w:lang w:val="en-US" w:eastAsia="zh-CN"/>
        </w:rPr>
        <w:t>All asylum applications registered, disaggregated by country of origin;</w:t>
      </w:r>
    </w:p>
    <w:p w:rsidR="00B4765A" w:rsidRPr="002772F3" w:rsidRDefault="008371B5" w:rsidP="00FF7E7B">
      <w:pPr>
        <w:pStyle w:val="SingleTxtG"/>
        <w:rPr>
          <w:rFonts w:eastAsia="SimSun"/>
          <w:lang w:val="en-US" w:eastAsia="zh-CN"/>
        </w:rPr>
      </w:pPr>
      <w:r w:rsidRPr="002772F3">
        <w:rPr>
          <w:rFonts w:eastAsia="SimSun"/>
          <w:lang w:val="en-US" w:eastAsia="zh-CN"/>
        </w:rPr>
        <w:tab/>
        <w:t>(c)</w:t>
      </w:r>
      <w:r w:rsidRPr="002772F3">
        <w:rPr>
          <w:rFonts w:eastAsia="SimSun"/>
          <w:lang w:val="en-US" w:eastAsia="zh-CN"/>
        </w:rPr>
        <w:tab/>
      </w:r>
      <w:r w:rsidR="00B4765A" w:rsidRPr="002772F3">
        <w:rPr>
          <w:rFonts w:eastAsia="SimSun"/>
          <w:lang w:val="en-US" w:eastAsia="zh-CN"/>
        </w:rPr>
        <w:t xml:space="preserve">The number of </w:t>
      </w:r>
      <w:r w:rsidR="00543C44" w:rsidRPr="002772F3">
        <w:rPr>
          <w:rFonts w:eastAsia="SimSun"/>
          <w:lang w:val="en-US" w:eastAsia="zh-CN"/>
        </w:rPr>
        <w:t xml:space="preserve">asylum </w:t>
      </w:r>
      <w:r w:rsidR="00B4765A" w:rsidRPr="002772F3">
        <w:rPr>
          <w:rFonts w:eastAsia="SimSun"/>
          <w:lang w:val="en-US" w:eastAsia="zh-CN"/>
        </w:rPr>
        <w:t>applicants in detention;</w:t>
      </w:r>
    </w:p>
    <w:p w:rsidR="00B4765A" w:rsidRPr="002772F3" w:rsidRDefault="008371B5" w:rsidP="00FF7E7B">
      <w:pPr>
        <w:pStyle w:val="SingleTxtG"/>
        <w:rPr>
          <w:rFonts w:eastAsia="SimSun"/>
          <w:lang w:val="en-US" w:eastAsia="zh-CN"/>
        </w:rPr>
      </w:pPr>
      <w:r w:rsidRPr="002772F3">
        <w:rPr>
          <w:rFonts w:eastAsia="SimSun"/>
          <w:lang w:val="en-US" w:eastAsia="zh-CN"/>
        </w:rPr>
        <w:tab/>
        <w:t>(d)</w:t>
      </w:r>
      <w:r w:rsidRPr="002772F3">
        <w:rPr>
          <w:rFonts w:eastAsia="SimSun"/>
          <w:lang w:val="en-US" w:eastAsia="zh-CN"/>
        </w:rPr>
        <w:tab/>
      </w:r>
      <w:r w:rsidR="00B4765A" w:rsidRPr="002772F3">
        <w:rPr>
          <w:rFonts w:eastAsia="SimSun"/>
          <w:lang w:val="en-US" w:eastAsia="zh-CN"/>
        </w:rPr>
        <w:t xml:space="preserve">The number of applicants whose applications for asylum were accepted; disaggregated by country of origin; and </w:t>
      </w:r>
    </w:p>
    <w:p w:rsidR="00B4765A" w:rsidRPr="002772F3" w:rsidRDefault="008371B5" w:rsidP="00FF7E7B">
      <w:pPr>
        <w:pStyle w:val="SingleTxtG"/>
        <w:rPr>
          <w:rFonts w:eastAsia="SimSun"/>
          <w:lang w:val="en-US" w:eastAsia="zh-CN"/>
        </w:rPr>
      </w:pPr>
      <w:r w:rsidRPr="002772F3">
        <w:rPr>
          <w:rFonts w:eastAsia="SimSun"/>
          <w:lang w:val="en-US" w:eastAsia="zh-CN"/>
        </w:rPr>
        <w:tab/>
        <w:t>(e)</w:t>
      </w:r>
      <w:r w:rsidRPr="002772F3">
        <w:rPr>
          <w:rFonts w:eastAsia="SimSun"/>
          <w:lang w:val="en-US" w:eastAsia="zh-CN"/>
        </w:rPr>
        <w:tab/>
      </w:r>
      <w:r w:rsidR="00B4765A" w:rsidRPr="002772F3">
        <w:rPr>
          <w:rFonts w:eastAsia="SimSun"/>
          <w:lang w:val="en-US" w:eastAsia="zh-CN"/>
        </w:rPr>
        <w:t>The number of applicants whose applications for asylum were accepted on the specific grounds that they had been tortured or might be tortured if returned.</w:t>
      </w:r>
    </w:p>
    <w:p w:rsidR="00B4765A" w:rsidRPr="002772F3" w:rsidRDefault="00BD3885" w:rsidP="00FF7E7B">
      <w:pPr>
        <w:pStyle w:val="SingleTxtG"/>
      </w:pPr>
      <w:r w:rsidRPr="002772F3">
        <w:t>21.</w:t>
      </w:r>
      <w:r w:rsidRPr="002772F3">
        <w:tab/>
      </w:r>
      <w:r w:rsidR="002D0E4B" w:rsidRPr="002772F3">
        <w:t xml:space="preserve"> </w:t>
      </w:r>
      <w:r w:rsidR="00B4765A" w:rsidRPr="002772F3">
        <w:t>Please provide information about the 674 Montagnard and 20</w:t>
      </w:r>
      <w:r w:rsidR="00B4765A" w:rsidRPr="002772F3">
        <w:rPr>
          <w:rFonts w:eastAsia="SimSun"/>
        </w:rPr>
        <w:t xml:space="preserve"> Uighur asylum seekers returned by the State party to other </w:t>
      </w:r>
      <w:r w:rsidR="00C9571E" w:rsidRPr="002772F3">
        <w:rPr>
          <w:rFonts w:eastAsia="SimSun"/>
        </w:rPr>
        <w:t>countries</w:t>
      </w:r>
      <w:r w:rsidR="00B4765A" w:rsidRPr="002772F3">
        <w:rPr>
          <w:rFonts w:eastAsia="SimSun"/>
        </w:rPr>
        <w:t xml:space="preserve">, referred to in the </w:t>
      </w:r>
      <w:r w:rsidR="00B4765A" w:rsidRPr="002772F3">
        <w:t xml:space="preserve">Committee’s previous </w:t>
      </w:r>
      <w:r w:rsidR="003F268E" w:rsidRPr="002772F3">
        <w:t>recommendations</w:t>
      </w:r>
      <w:r w:rsidR="00B4765A" w:rsidRPr="002772F3">
        <w:t xml:space="preserve"> (para.</w:t>
      </w:r>
      <w:r w:rsidR="00E00DBC">
        <w:t xml:space="preserve"> </w:t>
      </w:r>
      <w:r w:rsidR="00B4765A" w:rsidRPr="002772F3">
        <w:t>24),</w:t>
      </w:r>
      <w:r w:rsidR="00B4765A" w:rsidRPr="00BD3885">
        <w:rPr>
          <w:rFonts w:eastAsia="SimSun"/>
          <w:vertAlign w:val="superscript"/>
        </w:rPr>
        <w:footnoteReference w:id="14"/>
      </w:r>
      <w:r w:rsidR="00B4765A" w:rsidRPr="002772F3">
        <w:t xml:space="preserve"> and indicate  measures </w:t>
      </w:r>
      <w:r w:rsidR="00B4765A" w:rsidRPr="002772F3">
        <w:rPr>
          <w:rFonts w:eastAsia="SimSun"/>
          <w:lang w:val="en-US" w:eastAsia="zh-CN"/>
        </w:rPr>
        <w:t>taken by</w:t>
      </w:r>
      <w:r w:rsidR="00B4765A" w:rsidRPr="002772F3">
        <w:rPr>
          <w:rFonts w:eastAsia="SimSun"/>
          <w:lang w:val="en-US"/>
        </w:rPr>
        <w:t xml:space="preserve"> the State party </w:t>
      </w:r>
      <w:r w:rsidR="00B4765A" w:rsidRPr="002772F3">
        <w:rPr>
          <w:rFonts w:eastAsia="SimSun"/>
          <w:lang w:val="en-US" w:eastAsia="zh-CN"/>
        </w:rPr>
        <w:t xml:space="preserve">to follow-up </w:t>
      </w:r>
      <w:r w:rsidR="00B4765A" w:rsidRPr="002772F3">
        <w:rPr>
          <w:rFonts w:eastAsia="SimSun"/>
          <w:lang w:val="en-US"/>
        </w:rPr>
        <w:t xml:space="preserve">on </w:t>
      </w:r>
      <w:r w:rsidR="00B4765A" w:rsidRPr="002772F3">
        <w:rPr>
          <w:rFonts w:eastAsia="SimSun"/>
          <w:lang w:val="en-US" w:eastAsia="zh-CN"/>
        </w:rPr>
        <w:t>their</w:t>
      </w:r>
      <w:r w:rsidR="00B4765A" w:rsidRPr="002772F3">
        <w:rPr>
          <w:rFonts w:eastAsia="SimSun"/>
          <w:lang w:val="en-US"/>
        </w:rPr>
        <w:t xml:space="preserve"> status.</w:t>
      </w:r>
    </w:p>
    <w:p w:rsidR="00B4765A" w:rsidRPr="002772F3" w:rsidRDefault="00B4765A" w:rsidP="008371B5">
      <w:pPr>
        <w:pStyle w:val="H23G"/>
      </w:pPr>
      <w:r w:rsidRPr="002772F3">
        <w:tab/>
      </w:r>
      <w:r w:rsidRPr="002772F3">
        <w:tab/>
        <w:t>Article 10</w:t>
      </w:r>
    </w:p>
    <w:p w:rsidR="00AA7DF6" w:rsidRPr="002772F3" w:rsidRDefault="00BD3885" w:rsidP="00FF7E7B">
      <w:pPr>
        <w:pStyle w:val="SingleTxtG"/>
      </w:pPr>
      <w:r w:rsidRPr="002772F3">
        <w:t>22.</w:t>
      </w:r>
      <w:r w:rsidRPr="002772F3">
        <w:tab/>
      </w:r>
      <w:r w:rsidR="00B4765A" w:rsidRPr="002772F3">
        <w:t xml:space="preserve">In </w:t>
      </w:r>
      <w:r w:rsidR="00E00DBC">
        <w:t xml:space="preserve">the </w:t>
      </w:r>
      <w:r w:rsidR="00B4765A" w:rsidRPr="002772F3">
        <w:t xml:space="preserve">light of the Committee’s previous </w:t>
      </w:r>
      <w:r w:rsidR="003F268E" w:rsidRPr="002772F3">
        <w:t>recommendations</w:t>
      </w:r>
      <w:r w:rsidR="00B4765A" w:rsidRPr="002772F3">
        <w:t xml:space="preserve"> (para.</w:t>
      </w:r>
      <w:r w:rsidR="00E00DBC">
        <w:t xml:space="preserve"> </w:t>
      </w:r>
      <w:r w:rsidR="00B4765A" w:rsidRPr="002772F3">
        <w:t>25), please provide information on</w:t>
      </w:r>
      <w:r w:rsidR="00AA7DF6" w:rsidRPr="002772F3">
        <w:t>:</w:t>
      </w:r>
      <w:r w:rsidR="00B4765A" w:rsidRPr="002772F3">
        <w:t xml:space="preserve"> </w:t>
      </w:r>
    </w:p>
    <w:p w:rsidR="00AA7DF6" w:rsidRPr="002772F3" w:rsidRDefault="00E00DBC" w:rsidP="00FF7E7B">
      <w:pPr>
        <w:pStyle w:val="SingleTxtG"/>
      </w:pPr>
      <w:r>
        <w:tab/>
      </w:r>
      <w:r w:rsidR="00BD3885" w:rsidRPr="002772F3">
        <w:t>(a)</w:t>
      </w:r>
      <w:r w:rsidR="00BD3885" w:rsidRPr="002772F3">
        <w:tab/>
      </w:r>
      <w:r>
        <w:t>T</w:t>
      </w:r>
      <w:r w:rsidR="00B4765A" w:rsidRPr="002772F3">
        <w:t>he measures taken to develop and strengthen training and educational programmes, including in cooperation with NGOs, to ensure that all officials</w:t>
      </w:r>
      <w:r w:rsidR="00AA7DF6" w:rsidRPr="002772F3">
        <w:t xml:space="preserve"> </w:t>
      </w:r>
      <w:r w:rsidR="00AA7DF6" w:rsidRPr="002772F3">
        <w:rPr>
          <w:bCs/>
        </w:rPr>
        <w:t>involved with detainees</w:t>
      </w:r>
      <w:r w:rsidR="00B4765A" w:rsidRPr="002772F3">
        <w:t>, including law enforcement</w:t>
      </w:r>
      <w:r w:rsidR="00AA7DF6" w:rsidRPr="002772F3">
        <w:t>,</w:t>
      </w:r>
      <w:r w:rsidR="00B4765A" w:rsidRPr="002772F3">
        <w:t xml:space="preserve"> penitentiary personnel, </w:t>
      </w:r>
      <w:r w:rsidR="00AA7DF6" w:rsidRPr="002772F3">
        <w:t xml:space="preserve">judges and prosecutors, </w:t>
      </w:r>
      <w:r w:rsidR="00B4765A" w:rsidRPr="002772F3">
        <w:t>are fully aware of the provisions of the Convention</w:t>
      </w:r>
      <w:r>
        <w:t>;</w:t>
      </w:r>
      <w:r w:rsidR="00B4765A" w:rsidRPr="00BD3885">
        <w:rPr>
          <w:vertAlign w:val="superscript"/>
        </w:rPr>
        <w:footnoteReference w:id="15"/>
      </w:r>
      <w:r w:rsidR="00B4765A" w:rsidRPr="002772F3">
        <w:t xml:space="preserve"> </w:t>
      </w:r>
    </w:p>
    <w:p w:rsidR="00B4765A" w:rsidRPr="00BD3885" w:rsidRDefault="00E00DBC" w:rsidP="00FF7E7B">
      <w:pPr>
        <w:pStyle w:val="SingleTxtG"/>
      </w:pPr>
      <w:r>
        <w:tab/>
      </w:r>
      <w:r w:rsidR="00BD3885" w:rsidRPr="002772F3" w:rsidDel="00AA7DF6">
        <w:t>(b)</w:t>
      </w:r>
      <w:r w:rsidR="00BD3885" w:rsidRPr="002772F3" w:rsidDel="00AA7DF6">
        <w:tab/>
      </w:r>
      <w:r>
        <w:t>T</w:t>
      </w:r>
      <w:r w:rsidR="00B4765A" w:rsidRPr="002772F3">
        <w:t>he human rights instruction and training provided for</w:t>
      </w:r>
      <w:r>
        <w:t xml:space="preserve"> </w:t>
      </w:r>
      <w:r w:rsidR="00AA7DF6" w:rsidRPr="002772F3">
        <w:t>m</w:t>
      </w:r>
      <w:r w:rsidR="00B4765A" w:rsidRPr="002772F3">
        <w:t>edical</w:t>
      </w:r>
      <w:r w:rsidR="00B4765A" w:rsidRPr="00BD3885">
        <w:t xml:space="preserve"> and other health personnel involved with detainees on the guidelines to detect signs of torture and ill-treatment</w:t>
      </w:r>
      <w:r w:rsidR="002E5A75">
        <w:t>,</w:t>
      </w:r>
      <w:r w:rsidR="00B4765A" w:rsidRPr="00BD3885">
        <w:t xml:space="preserve"> in accordance with international standards</w:t>
      </w:r>
      <w:r w:rsidR="00AA7DF6" w:rsidRPr="002772F3">
        <w:t xml:space="preserve"> (</w:t>
      </w:r>
      <w:r w:rsidR="00B4765A" w:rsidRPr="00BD3885">
        <w:t xml:space="preserve">the </w:t>
      </w:r>
      <w:r w:rsidR="00B00026" w:rsidRPr="002772F3">
        <w:t xml:space="preserve">Manual </w:t>
      </w:r>
      <w:r w:rsidR="00FD7AEB">
        <w:t>on</w:t>
      </w:r>
      <w:r w:rsidR="00FD7AEB" w:rsidRPr="002772F3">
        <w:t xml:space="preserve"> </w:t>
      </w:r>
      <w:r w:rsidR="00FD7AEB">
        <w:t>E</w:t>
      </w:r>
      <w:r w:rsidR="00B00026" w:rsidRPr="002772F3">
        <w:t xml:space="preserve">ffective </w:t>
      </w:r>
      <w:r w:rsidR="00FD7AEB">
        <w:t>Investigation and D</w:t>
      </w:r>
      <w:r w:rsidR="00B00026" w:rsidRPr="002772F3">
        <w:t>ocumentation</w:t>
      </w:r>
      <w:r w:rsidR="00FD7AEB">
        <w:t xml:space="preserve"> of T</w:t>
      </w:r>
      <w:r w:rsidR="00B00026" w:rsidRPr="002772F3">
        <w:t>orture</w:t>
      </w:r>
      <w:r w:rsidR="00FD7AEB">
        <w:t xml:space="preserve"> and Other Cruel, Inhuman or Degrading Treatment or Punishment</w:t>
      </w:r>
      <w:r w:rsidR="00B00026" w:rsidRPr="002772F3">
        <w:t xml:space="preserve"> (</w:t>
      </w:r>
      <w:r w:rsidR="00B4765A" w:rsidRPr="00BD3885">
        <w:t>Istanbul Protocol</w:t>
      </w:r>
      <w:r w:rsidR="00AA7DF6" w:rsidRPr="002772F3">
        <w:t>)</w:t>
      </w:r>
      <w:r w:rsidR="002E5A75">
        <w:t>)</w:t>
      </w:r>
      <w:r w:rsidR="00B4765A" w:rsidRPr="002772F3">
        <w:t>,</w:t>
      </w:r>
      <w:r w:rsidR="00AA7DF6" w:rsidRPr="002772F3">
        <w:t xml:space="preserve"> </w:t>
      </w:r>
      <w:r w:rsidR="002E5A75">
        <w:t>and</w:t>
      </w:r>
      <w:r w:rsidR="00AA7DF6" w:rsidRPr="002772F3">
        <w:t xml:space="preserve"> p</w:t>
      </w:r>
      <w:r w:rsidR="00B4765A" w:rsidRPr="002772F3">
        <w:t>sychosocial</w:t>
      </w:r>
      <w:r w:rsidR="00B4765A" w:rsidRPr="00BD3885">
        <w:t xml:space="preserve"> professionals engaged in work with victims of torture and witnesses both in regular courts and the Extraordinary Chambers</w:t>
      </w:r>
      <w:r w:rsidR="00FD7AEB">
        <w:t>;</w:t>
      </w:r>
    </w:p>
    <w:p w:rsidR="00C9571E" w:rsidRPr="002772F3" w:rsidRDefault="00FD7AEB" w:rsidP="00FF7E7B">
      <w:pPr>
        <w:pStyle w:val="SingleTxtG"/>
      </w:pPr>
      <w:r>
        <w:tab/>
      </w:r>
      <w:r w:rsidR="00BD3885" w:rsidRPr="002772F3">
        <w:t>(c)</w:t>
      </w:r>
      <w:r w:rsidR="00BD3885" w:rsidRPr="002772F3">
        <w:tab/>
      </w:r>
      <w:r>
        <w:t>A</w:t>
      </w:r>
      <w:r w:rsidR="00C9571E" w:rsidRPr="002772F3">
        <w:t xml:space="preserve">ction taken to assess the effectiveness and impact of such training and educational programmes.  </w:t>
      </w:r>
    </w:p>
    <w:p w:rsidR="00B4765A" w:rsidRPr="002772F3" w:rsidRDefault="00B4765A" w:rsidP="008371B5">
      <w:pPr>
        <w:pStyle w:val="H23G"/>
        <w:rPr>
          <w:lang w:eastAsia="zh-CN"/>
        </w:rPr>
      </w:pPr>
      <w:r w:rsidRPr="002772F3">
        <w:rPr>
          <w:lang w:eastAsia="zh-CN"/>
        </w:rPr>
        <w:tab/>
      </w:r>
      <w:r w:rsidRPr="002772F3">
        <w:rPr>
          <w:lang w:eastAsia="zh-CN"/>
        </w:rPr>
        <w:tab/>
        <w:t xml:space="preserve">Article 11 </w:t>
      </w:r>
    </w:p>
    <w:p w:rsidR="00AF35B3" w:rsidRPr="00FF7E7B" w:rsidRDefault="00BD3885" w:rsidP="00FF7E7B">
      <w:pPr>
        <w:pStyle w:val="SingleTxtG"/>
      </w:pPr>
      <w:r w:rsidRPr="00FF7E7B">
        <w:t>23.</w:t>
      </w:r>
      <w:r w:rsidRPr="00FF7E7B">
        <w:tab/>
      </w:r>
      <w:r w:rsidR="00AF35B3" w:rsidRPr="00FF7E7B">
        <w:t xml:space="preserve">In </w:t>
      </w:r>
      <w:r w:rsidR="00FD7AEB" w:rsidRPr="00FF7E7B">
        <w:t xml:space="preserve">the </w:t>
      </w:r>
      <w:r w:rsidR="00AF35B3" w:rsidRPr="00FF7E7B">
        <w:t xml:space="preserve">light of the Committee’s previous </w:t>
      </w:r>
      <w:r w:rsidR="003F268E" w:rsidRPr="00FF7E7B">
        <w:t>recommendations</w:t>
      </w:r>
      <w:r w:rsidR="00AF35B3" w:rsidRPr="00FF7E7B">
        <w:t xml:space="preserve"> (para.</w:t>
      </w:r>
      <w:r w:rsidR="00FD7AEB" w:rsidRPr="00FF7E7B">
        <w:t xml:space="preserve"> </w:t>
      </w:r>
      <w:r w:rsidR="00AF35B3" w:rsidRPr="00FF7E7B">
        <w:t xml:space="preserve">15), please provide information on measures taken to review the disciplinary system and practices in the prisons and correctional centres to ensure that punishments of prisoners </w:t>
      </w:r>
      <w:r w:rsidR="004222E7" w:rsidRPr="00FF7E7B">
        <w:t>who have breached</w:t>
      </w:r>
      <w:r w:rsidR="00AF35B3" w:rsidRPr="00FF7E7B">
        <w:t xml:space="preserve"> </w:t>
      </w:r>
      <w:r w:rsidR="004222E7" w:rsidRPr="00FF7E7B">
        <w:t xml:space="preserve">the law or </w:t>
      </w:r>
      <w:r w:rsidR="00AF35B3" w:rsidRPr="00FF7E7B">
        <w:t xml:space="preserve">prison rules, </w:t>
      </w:r>
      <w:r w:rsidR="00625210" w:rsidRPr="00FF7E7B">
        <w:t>in particular</w:t>
      </w:r>
      <w:r w:rsidR="00AF35B3" w:rsidRPr="00FF7E7B">
        <w:t xml:space="preserve"> </w:t>
      </w:r>
      <w:r w:rsidR="009971A1" w:rsidRPr="00FF7E7B">
        <w:t>in the case of escapes or attempted escapes</w:t>
      </w:r>
      <w:r w:rsidR="00AF35B3" w:rsidRPr="00FF7E7B">
        <w:t xml:space="preserve">, comply with the strict prohibition of torture and ill-treatment contained in article 25 of the </w:t>
      </w:r>
      <w:r w:rsidR="009971A1" w:rsidRPr="00FF7E7B">
        <w:t>2011</w:t>
      </w:r>
      <w:r w:rsidR="00AF35B3" w:rsidRPr="00FF7E7B">
        <w:t xml:space="preserve"> Law on Prisons.</w:t>
      </w:r>
    </w:p>
    <w:p w:rsidR="00AA7DF6" w:rsidRPr="00FF7E7B" w:rsidRDefault="00BD3885" w:rsidP="00FF7E7B">
      <w:pPr>
        <w:pStyle w:val="SingleTxtG"/>
      </w:pPr>
      <w:r w:rsidRPr="00FF7E7B">
        <w:t>24.</w:t>
      </w:r>
      <w:r w:rsidRPr="00FF7E7B">
        <w:tab/>
      </w:r>
      <w:r w:rsidR="00B00026" w:rsidRPr="00FF7E7B">
        <w:t>P</w:t>
      </w:r>
      <w:r w:rsidR="00B4765A" w:rsidRPr="00FF7E7B">
        <w:t>lease provide information on</w:t>
      </w:r>
      <w:r w:rsidR="00AA7DF6" w:rsidRPr="00FF7E7B">
        <w:t>:</w:t>
      </w:r>
    </w:p>
    <w:p w:rsidR="00AA7DF6" w:rsidRPr="00FF7E7B" w:rsidRDefault="00BD3885" w:rsidP="00FF7E7B">
      <w:pPr>
        <w:pStyle w:val="SingleTxtG"/>
      </w:pPr>
      <w:r w:rsidRPr="00FF7E7B">
        <w:tab/>
        <w:t>(a)</w:t>
      </w:r>
      <w:r w:rsidRPr="00FF7E7B">
        <w:tab/>
        <w:t>M</w:t>
      </w:r>
      <w:r w:rsidR="00B4765A" w:rsidRPr="00FF7E7B">
        <w:t>easures taken to establish a national system that effectively and</w:t>
      </w:r>
      <w:r w:rsidR="00E00DBC" w:rsidRPr="00FF7E7B">
        <w:t xml:space="preserve"> </w:t>
      </w:r>
      <w:r w:rsidR="00B4765A" w:rsidRPr="00FF7E7B">
        <w:t xml:space="preserve">systematically monitors all places </w:t>
      </w:r>
      <w:r w:rsidR="007403AD" w:rsidRPr="00FF7E7B">
        <w:t>of deprivation of liberty</w:t>
      </w:r>
      <w:r w:rsidR="00B4765A" w:rsidRPr="00FF7E7B">
        <w:t xml:space="preserve">, including police stations, prisons, </w:t>
      </w:r>
      <w:r w:rsidR="001E7013" w:rsidRPr="00FF7E7B">
        <w:t>social affairs centres and drug rehabilitation centres</w:t>
      </w:r>
      <w:r w:rsidR="00B4765A" w:rsidRPr="00FF7E7B">
        <w:t>, and to ensure appropriate follow-up to the recommendations of any monitors</w:t>
      </w:r>
      <w:r w:rsidR="001E7013" w:rsidRPr="00FF7E7B">
        <w:t>;</w:t>
      </w:r>
      <w:r w:rsidR="00B4765A" w:rsidRPr="00FF7E7B">
        <w:t xml:space="preserve"> </w:t>
      </w:r>
    </w:p>
    <w:p w:rsidR="00AA7DF6" w:rsidRPr="00FF7E7B" w:rsidRDefault="00BD3885" w:rsidP="00FF7E7B">
      <w:pPr>
        <w:pStyle w:val="SingleTxtG"/>
      </w:pPr>
      <w:r w:rsidRPr="00FF7E7B">
        <w:tab/>
        <w:t>(b)</w:t>
      </w:r>
      <w:r w:rsidRPr="00FF7E7B">
        <w:tab/>
        <w:t>T</w:t>
      </w:r>
      <w:r w:rsidR="00B4765A" w:rsidRPr="00FF7E7B">
        <w:t xml:space="preserve">he number of visits to places of detention carried out by </w:t>
      </w:r>
      <w:r w:rsidR="007403AD" w:rsidRPr="00FF7E7B">
        <w:t xml:space="preserve">relevant </w:t>
      </w:r>
      <w:r w:rsidR="00B4765A" w:rsidRPr="00FF7E7B">
        <w:t>national bodies</w:t>
      </w:r>
      <w:r w:rsidR="0038607E">
        <w:t>,</w:t>
      </w:r>
      <w:r w:rsidR="00B4765A" w:rsidRPr="00FF7E7B">
        <w:t xml:space="preserve"> as well as independent national and international monitors, including NGOs, disaggregated by place of detention and whether the visit was announced </w:t>
      </w:r>
      <w:r w:rsidR="0038607E" w:rsidRPr="00FF7E7B">
        <w:t xml:space="preserve">in advance </w:t>
      </w:r>
      <w:r w:rsidR="00B4765A" w:rsidRPr="00FF7E7B">
        <w:t xml:space="preserve">or unannounced. </w:t>
      </w:r>
      <w:r w:rsidR="0025795F" w:rsidRPr="00FF7E7B">
        <w:t>Please indicate whet</w:t>
      </w:r>
      <w:r w:rsidR="00487A54" w:rsidRPr="00FF7E7B">
        <w:t>her the visits included the conduct of confidential interviews with detainees.</w:t>
      </w:r>
    </w:p>
    <w:p w:rsidR="00AA7DF6" w:rsidRPr="00FF7E7B" w:rsidRDefault="00BD3885" w:rsidP="00FF7E7B">
      <w:pPr>
        <w:pStyle w:val="SingleTxtG"/>
      </w:pPr>
      <w:r w:rsidRPr="00FF7E7B">
        <w:t>25.</w:t>
      </w:r>
      <w:r w:rsidRPr="00FF7E7B">
        <w:tab/>
      </w:r>
      <w:r w:rsidR="00B4765A" w:rsidRPr="00FF7E7B">
        <w:t>Please provide data on</w:t>
      </w:r>
      <w:r w:rsidR="00AA7DF6" w:rsidRPr="00FF7E7B">
        <w:t xml:space="preserve"> the number of:</w:t>
      </w:r>
    </w:p>
    <w:p w:rsidR="006F0D39" w:rsidRPr="00FF7E7B" w:rsidRDefault="00BD3885" w:rsidP="00FF7E7B">
      <w:pPr>
        <w:pStyle w:val="SingleTxtG"/>
      </w:pPr>
      <w:r w:rsidRPr="00FF7E7B">
        <w:tab/>
        <w:t>(a)</w:t>
      </w:r>
      <w:r w:rsidRPr="00FF7E7B">
        <w:tab/>
        <w:t>I</w:t>
      </w:r>
      <w:r w:rsidR="00B4765A" w:rsidRPr="00FF7E7B">
        <w:t>ndividuals in pretrial detention</w:t>
      </w:r>
      <w:r w:rsidR="00BA7E79">
        <w:t>,</w:t>
      </w:r>
      <w:r w:rsidR="00245587" w:rsidRPr="00FF7E7B">
        <w:t xml:space="preserve"> </w:t>
      </w:r>
      <w:r w:rsidR="0048390C" w:rsidRPr="00FF7E7B">
        <w:t>individuals</w:t>
      </w:r>
      <w:r w:rsidR="00C446F6" w:rsidRPr="00FF7E7B">
        <w:t xml:space="preserve"> </w:t>
      </w:r>
      <w:r w:rsidR="00E75EDA" w:rsidRPr="00FF7E7B">
        <w:t xml:space="preserve">detained </w:t>
      </w:r>
      <w:r w:rsidR="00245587" w:rsidRPr="00FF7E7B">
        <w:t>pending appeal</w:t>
      </w:r>
      <w:r w:rsidR="00D75839" w:rsidRPr="00FF7E7B">
        <w:t xml:space="preserve"> </w:t>
      </w:r>
      <w:r w:rsidR="00B4765A" w:rsidRPr="00FF7E7B">
        <w:t>and the total prison population</w:t>
      </w:r>
      <w:r w:rsidR="00D75839" w:rsidRPr="00FF7E7B">
        <w:t xml:space="preserve"> disaggregated by gender over the reporting period</w:t>
      </w:r>
      <w:r w:rsidR="00B4765A" w:rsidRPr="00FF7E7B">
        <w:t>, as well as statistics reflecting the capacity and number of persons held at each detention facility in the State party</w:t>
      </w:r>
      <w:r w:rsidR="001E7013" w:rsidRPr="00FF7E7B">
        <w:t>;</w:t>
      </w:r>
      <w:r w:rsidR="00D53A14" w:rsidRPr="00FF7E7B">
        <w:t xml:space="preserve"> </w:t>
      </w:r>
    </w:p>
    <w:p w:rsidR="006F0D39" w:rsidRPr="00FF7E7B" w:rsidRDefault="00BD3885" w:rsidP="00FF7E7B">
      <w:pPr>
        <w:pStyle w:val="SingleTxtG"/>
      </w:pPr>
      <w:r w:rsidRPr="00FF7E7B">
        <w:tab/>
        <w:t>(b)</w:t>
      </w:r>
      <w:r w:rsidRPr="00FF7E7B">
        <w:tab/>
        <w:t>I</w:t>
      </w:r>
      <w:r w:rsidR="006F0D39" w:rsidRPr="00FF7E7B">
        <w:t xml:space="preserve">ndividuals </w:t>
      </w:r>
      <w:r w:rsidR="00D53A14" w:rsidRPr="00FF7E7B">
        <w:t xml:space="preserve">currently </w:t>
      </w:r>
      <w:r w:rsidR="00D75839" w:rsidRPr="00FF7E7B">
        <w:t xml:space="preserve">held </w:t>
      </w:r>
      <w:r w:rsidR="00D53A14" w:rsidRPr="00FF7E7B">
        <w:t xml:space="preserve">in other places of deprivation of liberty, including police stations, </w:t>
      </w:r>
      <w:r w:rsidR="001E7013" w:rsidRPr="00FF7E7B">
        <w:t>social affairs centres, drug rehabilitation centres</w:t>
      </w:r>
      <w:r w:rsidR="00D53A14" w:rsidRPr="00FF7E7B">
        <w:t xml:space="preserve"> and immigration centres</w:t>
      </w:r>
      <w:r w:rsidR="00D75839" w:rsidRPr="00FF7E7B">
        <w:t>, disaggregated by gender and type of facility</w:t>
      </w:r>
      <w:r w:rsidR="00D53A14" w:rsidRPr="00FF7E7B">
        <w:t xml:space="preserve">. </w:t>
      </w:r>
    </w:p>
    <w:p w:rsidR="00B4765A" w:rsidRPr="00FF7E7B" w:rsidRDefault="00BD3885" w:rsidP="00FF7E7B">
      <w:pPr>
        <w:pStyle w:val="SingleTxtG"/>
      </w:pPr>
      <w:r w:rsidRPr="00FF7E7B">
        <w:t>26.</w:t>
      </w:r>
      <w:r w:rsidRPr="00FF7E7B">
        <w:tab/>
      </w:r>
      <w:r w:rsidR="00B4765A" w:rsidRPr="00FF7E7B">
        <w:t xml:space="preserve">In </w:t>
      </w:r>
      <w:r w:rsidR="004E53E3" w:rsidRPr="00FF7E7B">
        <w:t xml:space="preserve">the </w:t>
      </w:r>
      <w:r w:rsidR="00B4765A" w:rsidRPr="00FF7E7B">
        <w:t xml:space="preserve">light of the Committee’s previous </w:t>
      </w:r>
      <w:r w:rsidR="003F268E" w:rsidRPr="00FF7E7B">
        <w:t>recommendations</w:t>
      </w:r>
      <w:r w:rsidR="00B4765A" w:rsidRPr="00FF7E7B">
        <w:t xml:space="preserve"> (para.</w:t>
      </w:r>
      <w:r w:rsidR="004E53E3" w:rsidRPr="00FF7E7B">
        <w:t xml:space="preserve"> </w:t>
      </w:r>
      <w:r w:rsidR="00B4765A" w:rsidRPr="00FF7E7B">
        <w:t>19) regarding serious overcrowding in places of detention and reports of unhygienic conditions, inadequate food and health care, please provide information on the measures taken to improve conditions of detention and indicate whether the State party has:</w:t>
      </w:r>
    </w:p>
    <w:p w:rsidR="00B4765A" w:rsidRPr="00FF7E7B" w:rsidRDefault="008371B5" w:rsidP="00FF7E7B">
      <w:pPr>
        <w:pStyle w:val="SingleTxtG"/>
      </w:pPr>
      <w:r w:rsidRPr="00FF7E7B">
        <w:tab/>
        <w:t>(a)</w:t>
      </w:r>
      <w:r w:rsidRPr="00FF7E7B">
        <w:tab/>
      </w:r>
      <w:r w:rsidR="00B4765A" w:rsidRPr="00FF7E7B">
        <w:t>Enacted legislation permitting non-custodial alternatives to detention, such as supervised release prior to trial</w:t>
      </w:r>
      <w:r w:rsidR="00487A54" w:rsidRPr="00FF7E7B">
        <w:t xml:space="preserve"> (judicial supervision) and community service</w:t>
      </w:r>
      <w:r w:rsidR="00B4765A" w:rsidRPr="00FF7E7B">
        <w:t xml:space="preserve">, and the number of persons </w:t>
      </w:r>
      <w:r w:rsidR="00024214">
        <w:t>who</w:t>
      </w:r>
      <w:r w:rsidR="00024214" w:rsidRPr="00FF7E7B">
        <w:t xml:space="preserve"> </w:t>
      </w:r>
      <w:r w:rsidR="00B4765A" w:rsidRPr="00FF7E7B">
        <w:t xml:space="preserve">have been subject to non-custodial measures during the reporting period;  </w:t>
      </w:r>
    </w:p>
    <w:p w:rsidR="00B4765A" w:rsidRPr="00FF7E7B" w:rsidRDefault="008371B5" w:rsidP="00FF7E7B">
      <w:pPr>
        <w:pStyle w:val="SingleTxtG"/>
      </w:pPr>
      <w:r w:rsidRPr="00FF7E7B">
        <w:tab/>
        <w:t>(b)</w:t>
      </w:r>
      <w:r w:rsidRPr="00FF7E7B">
        <w:tab/>
      </w:r>
      <w:r w:rsidR="00B4765A" w:rsidRPr="00FF7E7B">
        <w:t>Developed and renovated the infrastructure of places of detention</w:t>
      </w:r>
      <w:r w:rsidR="006F1C04" w:rsidRPr="00FF7E7B">
        <w:t xml:space="preserve">, and </w:t>
      </w:r>
      <w:r w:rsidR="00D402A4" w:rsidRPr="00FF7E7B">
        <w:t>adopted relevant standards</w:t>
      </w:r>
      <w:r w:rsidR="00B4765A" w:rsidRPr="00FF7E7B">
        <w:t xml:space="preserve">; </w:t>
      </w:r>
    </w:p>
    <w:p w:rsidR="00B4765A" w:rsidRPr="00FF7E7B" w:rsidRDefault="008371B5" w:rsidP="00FF7E7B">
      <w:pPr>
        <w:pStyle w:val="SingleTxtG"/>
      </w:pPr>
      <w:r w:rsidRPr="00FF7E7B">
        <w:tab/>
        <w:t>(</w:t>
      </w:r>
      <w:r w:rsidR="003E245D" w:rsidRPr="00FF7E7B">
        <w:t>c</w:t>
      </w:r>
      <w:r w:rsidRPr="00FF7E7B">
        <w:t>)</w:t>
      </w:r>
      <w:r w:rsidRPr="00FF7E7B">
        <w:tab/>
      </w:r>
      <w:r w:rsidR="00B4765A" w:rsidRPr="00FF7E7B">
        <w:t>Improved prison conditions concerning hygiene and food supply;</w:t>
      </w:r>
      <w:r w:rsidR="00B4765A" w:rsidRPr="00FF7E7B">
        <w:rPr>
          <w:vertAlign w:val="superscript"/>
        </w:rPr>
        <w:footnoteReference w:id="16"/>
      </w:r>
      <w:r w:rsidR="00B4765A" w:rsidRPr="00FF7E7B">
        <w:t xml:space="preserve"> </w:t>
      </w:r>
    </w:p>
    <w:p w:rsidR="007837EE" w:rsidRPr="00FF7E7B" w:rsidRDefault="007837EE" w:rsidP="00FF7E7B">
      <w:pPr>
        <w:pStyle w:val="SingleTxtG"/>
      </w:pPr>
      <w:r w:rsidRPr="00FF7E7B">
        <w:tab/>
        <w:t>(</w:t>
      </w:r>
      <w:r w:rsidR="003E245D" w:rsidRPr="00FF7E7B">
        <w:t>d</w:t>
      </w:r>
      <w:r w:rsidRPr="00FF7E7B">
        <w:t xml:space="preserve">) </w:t>
      </w:r>
      <w:r w:rsidRPr="00FF7E7B">
        <w:tab/>
        <w:t>Improved access to health care for prisoners</w:t>
      </w:r>
      <w:r w:rsidR="005042F8" w:rsidRPr="00FF7E7B">
        <w:t xml:space="preserve"> </w:t>
      </w:r>
      <w:r w:rsidR="00024214">
        <w:t>and</w:t>
      </w:r>
      <w:r w:rsidR="00D73471" w:rsidRPr="00FF7E7B">
        <w:t xml:space="preserve"> pregnant and postpartum incarcerated women</w:t>
      </w:r>
      <w:r w:rsidR="003825BE" w:rsidRPr="00FF7E7B">
        <w:t>;</w:t>
      </w:r>
      <w:r w:rsidR="00D73471" w:rsidRPr="00FF7E7B">
        <w:t xml:space="preserve"> </w:t>
      </w:r>
    </w:p>
    <w:p w:rsidR="009E7E56" w:rsidRPr="00FF7E7B" w:rsidRDefault="00024214" w:rsidP="00FF7E7B">
      <w:pPr>
        <w:pStyle w:val="SingleTxtG"/>
      </w:pPr>
      <w:r>
        <w:tab/>
      </w:r>
      <w:r w:rsidR="00BD3885" w:rsidRPr="00FF7E7B">
        <w:t>(e)</w:t>
      </w:r>
      <w:r w:rsidR="00BD3885" w:rsidRPr="00FF7E7B">
        <w:tab/>
        <w:t>T</w:t>
      </w:r>
      <w:r w:rsidR="009E7E56" w:rsidRPr="00FF7E7B">
        <w:t xml:space="preserve">aken </w:t>
      </w:r>
      <w:r w:rsidR="00AA7DF6" w:rsidRPr="00FF7E7B">
        <w:t>measures</w:t>
      </w:r>
      <w:r w:rsidR="009E7E56" w:rsidRPr="00FF7E7B">
        <w:t xml:space="preserve"> close down the temporary prisons in Pailin and Oddar Meanchey provinces</w:t>
      </w:r>
      <w:r w:rsidR="00173D9C" w:rsidRPr="00FF7E7B">
        <w:t xml:space="preserve"> and avoid recourse to similar temporary substandard facilities in the future</w:t>
      </w:r>
      <w:r w:rsidR="003825BE" w:rsidRPr="00FF7E7B">
        <w:t>;</w:t>
      </w:r>
    </w:p>
    <w:p w:rsidR="00490922" w:rsidRPr="00FF7E7B" w:rsidRDefault="00024214" w:rsidP="00FF7E7B">
      <w:pPr>
        <w:pStyle w:val="SingleTxtG"/>
      </w:pPr>
      <w:r>
        <w:tab/>
      </w:r>
      <w:r w:rsidR="00952F5E" w:rsidRPr="00FF7E7B">
        <w:t>(f)</w:t>
      </w:r>
      <w:r w:rsidR="00952F5E" w:rsidRPr="00FF7E7B">
        <w:tab/>
        <w:t>A</w:t>
      </w:r>
      <w:r w:rsidR="005042F8" w:rsidRPr="00FF7E7B">
        <w:t xml:space="preserve">ddressed </w:t>
      </w:r>
      <w:r w:rsidR="00490922" w:rsidRPr="00FF7E7B">
        <w:t>report</w:t>
      </w:r>
      <w:r w:rsidR="005042F8" w:rsidRPr="00FF7E7B">
        <w:t>s on the</w:t>
      </w:r>
      <w:r w:rsidR="00D456FA" w:rsidRPr="00FF7E7B">
        <w:t xml:space="preserve"> </w:t>
      </w:r>
      <w:r w:rsidR="00490922" w:rsidRPr="00FF7E7B">
        <w:t xml:space="preserve">practice </w:t>
      </w:r>
      <w:r w:rsidR="00173D9C" w:rsidRPr="00FF7E7B">
        <w:t xml:space="preserve">by </w:t>
      </w:r>
      <w:r w:rsidR="009971A1" w:rsidRPr="00FF7E7B">
        <w:t xml:space="preserve">some </w:t>
      </w:r>
      <w:r w:rsidR="00173D9C" w:rsidRPr="00FF7E7B">
        <w:t xml:space="preserve">police or gendarmerie of </w:t>
      </w:r>
      <w:r w:rsidR="00490922" w:rsidRPr="00FF7E7B">
        <w:t xml:space="preserve">temporarily detaining </w:t>
      </w:r>
      <w:r w:rsidR="004332B9" w:rsidRPr="00FF7E7B">
        <w:t xml:space="preserve">arrested persons in </w:t>
      </w:r>
      <w:r w:rsidR="00173D9C" w:rsidRPr="00FF7E7B">
        <w:t xml:space="preserve">a </w:t>
      </w:r>
      <w:r w:rsidR="006F1C04" w:rsidRPr="00FF7E7B">
        <w:t xml:space="preserve">small </w:t>
      </w:r>
      <w:r w:rsidR="004332B9" w:rsidRPr="00FF7E7B">
        <w:t>cage pending their transfer to a more suitable place of detention</w:t>
      </w:r>
      <w:r w:rsidR="00D456FA" w:rsidRPr="00FF7E7B">
        <w:t>.</w:t>
      </w:r>
      <w:r w:rsidR="004332B9" w:rsidRPr="00FF7E7B">
        <w:t xml:space="preserve"> </w:t>
      </w:r>
    </w:p>
    <w:p w:rsidR="00B4765A" w:rsidRPr="00FF7E7B" w:rsidRDefault="00BD3885" w:rsidP="00FF7E7B">
      <w:pPr>
        <w:pStyle w:val="SingleTxtG"/>
      </w:pPr>
      <w:r w:rsidRPr="00FF7E7B">
        <w:t>27.</w:t>
      </w:r>
      <w:r w:rsidRPr="00FF7E7B">
        <w:tab/>
      </w:r>
      <w:r w:rsidR="00B4765A" w:rsidRPr="00FF7E7B">
        <w:t xml:space="preserve">In </w:t>
      </w:r>
      <w:r w:rsidR="003825BE" w:rsidRPr="00FF7E7B">
        <w:t xml:space="preserve">the </w:t>
      </w:r>
      <w:r w:rsidR="00B4765A" w:rsidRPr="00FF7E7B">
        <w:t>light of the Committee’s previously expressed concern at reports of abuse of prisoners by “prisoner self-management committees” (para.</w:t>
      </w:r>
      <w:r w:rsidR="003825BE" w:rsidRPr="00FF7E7B">
        <w:t xml:space="preserve"> </w:t>
      </w:r>
      <w:r w:rsidR="00B4765A" w:rsidRPr="00FF7E7B">
        <w:t xml:space="preserve">19), please provide data on cases of alleged </w:t>
      </w:r>
      <w:r w:rsidR="00611992" w:rsidRPr="00FF7E7B">
        <w:t xml:space="preserve">prisoner-on-prisoner </w:t>
      </w:r>
      <w:r w:rsidR="00B4765A" w:rsidRPr="00FF7E7B">
        <w:t xml:space="preserve">abuse </w:t>
      </w:r>
      <w:r w:rsidR="003E488D">
        <w:t>that</w:t>
      </w:r>
      <w:r w:rsidR="003E488D" w:rsidRPr="00FF7E7B">
        <w:t xml:space="preserve"> </w:t>
      </w:r>
      <w:r w:rsidR="00173D9C" w:rsidRPr="00FF7E7B">
        <w:t xml:space="preserve">have been </w:t>
      </w:r>
      <w:r w:rsidR="00B4765A" w:rsidRPr="00FF7E7B">
        <w:t xml:space="preserve">investigated by authorities during the reporting period, </w:t>
      </w:r>
      <w:r w:rsidR="00611992" w:rsidRPr="00FF7E7B">
        <w:t xml:space="preserve">in particular abuse by prisoners given any responsibility by the prison authorities, </w:t>
      </w:r>
      <w:r w:rsidR="00B4765A" w:rsidRPr="00FF7E7B">
        <w:t>the number that resulted in criminal or other punishment and the punishment awarded.  Please also describe any cases in which officials have been subject to disciplinary or criminal sanctions for tolerating or condoning such abuse.</w:t>
      </w:r>
    </w:p>
    <w:p w:rsidR="00B4765A" w:rsidRPr="00FF7E7B" w:rsidRDefault="00BD3885" w:rsidP="00FF7E7B">
      <w:pPr>
        <w:pStyle w:val="SingleTxtG"/>
      </w:pPr>
      <w:r w:rsidRPr="00FF7E7B">
        <w:t>28.</w:t>
      </w:r>
      <w:r w:rsidRPr="00FF7E7B">
        <w:tab/>
      </w:r>
      <w:r w:rsidR="00B4765A" w:rsidRPr="00FF7E7B">
        <w:t>In</w:t>
      </w:r>
      <w:r w:rsidR="003825BE" w:rsidRPr="00FF7E7B">
        <w:t xml:space="preserve"> the</w:t>
      </w:r>
      <w:r w:rsidR="00B4765A" w:rsidRPr="00FF7E7B">
        <w:t xml:space="preserve"> light of the Committee’s previously expressed concerns regarding allegations of sexual violence in detention, please provide:</w:t>
      </w:r>
    </w:p>
    <w:p w:rsidR="00B4765A" w:rsidRPr="00FF7E7B" w:rsidRDefault="008371B5" w:rsidP="00FF7E7B">
      <w:pPr>
        <w:pStyle w:val="SingleTxtG"/>
      </w:pPr>
      <w:r w:rsidRPr="00FF7E7B">
        <w:tab/>
      </w:r>
      <w:r w:rsidR="00F611EC" w:rsidRPr="00FF7E7B">
        <w:t>(</w:t>
      </w:r>
      <w:r w:rsidRPr="00FF7E7B">
        <w:t>a)</w:t>
      </w:r>
      <w:r w:rsidRPr="00FF7E7B">
        <w:tab/>
      </w:r>
      <w:r w:rsidR="00B4765A" w:rsidRPr="00FF7E7B">
        <w:t>Data on incidents of sexual violence in detention documented since the last review, disaggregated by facility, and the status of any investigations into the</w:t>
      </w:r>
      <w:r w:rsidR="003825BE" w:rsidRPr="00FF7E7B">
        <w:t>m;</w:t>
      </w:r>
    </w:p>
    <w:p w:rsidR="00B4765A" w:rsidRPr="00FF7E7B" w:rsidRDefault="008371B5" w:rsidP="00FF7E7B">
      <w:pPr>
        <w:pStyle w:val="SingleTxtG"/>
      </w:pPr>
      <w:r w:rsidRPr="00FF7E7B">
        <w:tab/>
      </w:r>
      <w:r w:rsidR="00F611EC" w:rsidRPr="00FF7E7B">
        <w:t>(</w:t>
      </w:r>
      <w:r w:rsidRPr="00FF7E7B">
        <w:t>b)</w:t>
      </w:r>
      <w:r w:rsidRPr="00FF7E7B">
        <w:tab/>
      </w:r>
      <w:r w:rsidR="00B4765A" w:rsidRPr="00FF7E7B">
        <w:t>Measures taken to ensure separation of female and male detainees</w:t>
      </w:r>
      <w:r w:rsidR="005042F8" w:rsidRPr="00FF7E7B">
        <w:t xml:space="preserve"> and </w:t>
      </w:r>
      <w:r w:rsidR="00B4765A" w:rsidRPr="00FF7E7B">
        <w:t xml:space="preserve">that female detainees are guarded by </w:t>
      </w:r>
      <w:r w:rsidR="003825BE" w:rsidRPr="00FF7E7B">
        <w:t>women.</w:t>
      </w:r>
    </w:p>
    <w:p w:rsidR="00B4765A" w:rsidRPr="00FF7E7B" w:rsidRDefault="00BD3885" w:rsidP="00FF7E7B">
      <w:pPr>
        <w:pStyle w:val="SingleTxtG"/>
      </w:pPr>
      <w:r w:rsidRPr="00FF7E7B">
        <w:t>29.</w:t>
      </w:r>
      <w:r w:rsidRPr="00FF7E7B">
        <w:tab/>
      </w:r>
      <w:r w:rsidR="00B4765A" w:rsidRPr="00FF7E7B">
        <w:t xml:space="preserve">In </w:t>
      </w:r>
      <w:r w:rsidR="003825BE" w:rsidRPr="00FF7E7B">
        <w:t xml:space="preserve">the </w:t>
      </w:r>
      <w:r w:rsidR="00B4765A" w:rsidRPr="00FF7E7B">
        <w:t xml:space="preserve">light of the Committee’s previous </w:t>
      </w:r>
      <w:r w:rsidR="003F268E" w:rsidRPr="00FF7E7B">
        <w:t>recommendations</w:t>
      </w:r>
      <w:r w:rsidR="00B4765A" w:rsidRPr="00FF7E7B">
        <w:t xml:space="preserve"> (para.</w:t>
      </w:r>
      <w:r w:rsidR="003E488D">
        <w:t xml:space="preserve"> </w:t>
      </w:r>
      <w:r w:rsidR="00B4765A" w:rsidRPr="00FF7E7B">
        <w:t>19), please provide updated information on the number of deaths in custody</w:t>
      </w:r>
      <w:r w:rsidR="00173D9C" w:rsidRPr="00FF7E7B">
        <w:t xml:space="preserve">, including death of detainees at the hospital, </w:t>
      </w:r>
      <w:r w:rsidR="00B4765A" w:rsidRPr="00FF7E7B">
        <w:t xml:space="preserve">since the last review, disaggregated by cause of death, and indicate if any officials have been investigated, prosecuted and punished in connection with </w:t>
      </w:r>
      <w:r w:rsidR="00B00026" w:rsidRPr="00FF7E7B">
        <w:t>such</w:t>
      </w:r>
      <w:r w:rsidR="00B4765A" w:rsidRPr="00FF7E7B">
        <w:t xml:space="preserve"> deaths</w:t>
      </w:r>
      <w:r w:rsidR="007403AD" w:rsidRPr="00FF7E7B">
        <w:t>, in particular relating to the case of</w:t>
      </w:r>
      <w:r w:rsidR="00B4765A" w:rsidRPr="00FF7E7B">
        <w:t xml:space="preserve"> Kong La, Heng Touch and Mao Sok</w:t>
      </w:r>
      <w:r w:rsidR="00B00026" w:rsidRPr="00FF7E7B">
        <w:t>.</w:t>
      </w:r>
      <w:r w:rsidR="00B4765A" w:rsidRPr="00FF7E7B">
        <w:rPr>
          <w:vertAlign w:val="superscript"/>
        </w:rPr>
        <w:footnoteReference w:id="17"/>
      </w:r>
      <w:r w:rsidR="00B4765A" w:rsidRPr="00FF7E7B">
        <w:t xml:space="preserve"> </w:t>
      </w:r>
    </w:p>
    <w:p w:rsidR="00B4765A" w:rsidRPr="002772F3" w:rsidRDefault="00B4765A" w:rsidP="008371B5">
      <w:pPr>
        <w:pStyle w:val="H23G"/>
      </w:pPr>
      <w:r w:rsidRPr="002772F3">
        <w:tab/>
      </w:r>
      <w:r w:rsidRPr="002772F3">
        <w:tab/>
        <w:t>Articles 12 and 13</w:t>
      </w:r>
    </w:p>
    <w:p w:rsidR="00DF56DE" w:rsidRPr="002772F3" w:rsidRDefault="00BD3885" w:rsidP="00FF7E7B">
      <w:pPr>
        <w:pStyle w:val="SingleTxtG"/>
        <w:rPr>
          <w:rFonts w:eastAsia="SimSun"/>
          <w:bCs/>
          <w:lang w:val="en-US" w:eastAsia="zh-CN"/>
        </w:rPr>
      </w:pPr>
      <w:r w:rsidRPr="002772F3">
        <w:rPr>
          <w:bCs/>
          <w:lang w:val="en-US" w:eastAsia="zh-CN"/>
        </w:rPr>
        <w:t>30.</w:t>
      </w:r>
      <w:r w:rsidRPr="002772F3">
        <w:rPr>
          <w:bCs/>
          <w:lang w:val="en-US" w:eastAsia="zh-CN"/>
        </w:rPr>
        <w:tab/>
      </w:r>
      <w:r w:rsidR="00B4765A" w:rsidRPr="002772F3">
        <w:t>Noting the concern previously expressed by the Committee (paras.</w:t>
      </w:r>
      <w:r w:rsidR="003825BE">
        <w:t xml:space="preserve"> </w:t>
      </w:r>
      <w:r w:rsidR="00B4765A" w:rsidRPr="002772F3">
        <w:t xml:space="preserve">15 and 16) regarding reports of widespread torture by the law enforcement personnel, including allegations of sexual violence against women in detention and the </w:t>
      </w:r>
      <w:r w:rsidR="005042F8" w:rsidRPr="002772F3">
        <w:t>lack of investigation and conviction of such cases</w:t>
      </w:r>
      <w:r w:rsidR="00B4765A" w:rsidRPr="002772F3">
        <w:t xml:space="preserve">, as well as the absence of an independent civilian oversight body to receive and investigate complaints, please </w:t>
      </w:r>
      <w:r w:rsidR="00B4765A" w:rsidRPr="002772F3">
        <w:rPr>
          <w:rFonts w:eastAsia="SimSun"/>
          <w:bCs/>
          <w:lang w:val="en-US" w:eastAsia="zh-CN"/>
        </w:rPr>
        <w:t>provide</w:t>
      </w:r>
      <w:r w:rsidR="003825BE">
        <w:rPr>
          <w:rFonts w:eastAsia="SimSun"/>
          <w:bCs/>
          <w:lang w:val="en-US" w:eastAsia="zh-CN"/>
        </w:rPr>
        <w:t>:</w:t>
      </w:r>
      <w:r w:rsidR="00B4765A" w:rsidRPr="002772F3">
        <w:rPr>
          <w:rFonts w:eastAsia="SimSun"/>
          <w:lang w:val="en-US"/>
        </w:rPr>
        <w:t xml:space="preserve"> </w:t>
      </w:r>
    </w:p>
    <w:p w:rsidR="00B4765A" w:rsidRPr="002772F3" w:rsidRDefault="00FF7E7B" w:rsidP="00FF7E7B">
      <w:pPr>
        <w:pStyle w:val="SingleTxtG"/>
      </w:pPr>
      <w:r>
        <w:rPr>
          <w:lang w:val="en-US"/>
        </w:rPr>
        <w:tab/>
      </w:r>
      <w:r w:rsidR="00952F5E">
        <w:rPr>
          <w:lang w:val="en-US"/>
        </w:rPr>
        <w:t>(a)</w:t>
      </w:r>
      <w:r w:rsidR="00952F5E">
        <w:rPr>
          <w:lang w:val="en-US"/>
        </w:rPr>
        <w:tab/>
        <w:t>S</w:t>
      </w:r>
      <w:r w:rsidR="00B4765A" w:rsidRPr="00BD3885">
        <w:t>tatistical data on all complaints relating to torture and ill-treatment allegedly committed by law enforcement officials received during the reporting period, disaggregated by body receiving the complaint and crime alleged</w:t>
      </w:r>
      <w:r w:rsidR="003825BE">
        <w:t>,</w:t>
      </w:r>
      <w:r w:rsidR="00342B3B" w:rsidRPr="002772F3">
        <w:t xml:space="preserve"> </w:t>
      </w:r>
      <w:r w:rsidR="003825BE">
        <w:t>and</w:t>
      </w:r>
      <w:r w:rsidR="00342B3B" w:rsidRPr="002772F3">
        <w:t xml:space="preserve"> information on investigation,</w:t>
      </w:r>
      <w:r w:rsidR="00342B3B" w:rsidRPr="00BD3885">
        <w:t xml:space="preserve"> </w:t>
      </w:r>
      <w:r w:rsidR="00B4765A" w:rsidRPr="00BD3885">
        <w:t>prosecution, convictions and  penal or disciplinary sanctions applied to the perpetrators</w:t>
      </w:r>
      <w:r w:rsidR="003825BE">
        <w:t>;</w:t>
      </w:r>
      <w:r w:rsidR="00B4765A" w:rsidRPr="00BD3885">
        <w:t xml:space="preserve">   </w:t>
      </w:r>
    </w:p>
    <w:p w:rsidR="00342B3B" w:rsidRPr="002772F3" w:rsidRDefault="00FF7E7B" w:rsidP="00FF7E7B">
      <w:pPr>
        <w:pStyle w:val="SingleTxtG"/>
      </w:pPr>
      <w:r>
        <w:tab/>
      </w:r>
      <w:r w:rsidR="00952F5E">
        <w:t>(b)</w:t>
      </w:r>
      <w:r w:rsidR="00952F5E">
        <w:tab/>
        <w:t>I</w:t>
      </w:r>
      <w:r w:rsidR="007327B4" w:rsidRPr="002772F3">
        <w:t xml:space="preserve">nformation on </w:t>
      </w:r>
      <w:r w:rsidR="009B3B36" w:rsidRPr="002772F3">
        <w:t xml:space="preserve">the </w:t>
      </w:r>
      <w:r w:rsidR="007327B4" w:rsidRPr="002772F3">
        <w:t xml:space="preserve">use of article 28 of </w:t>
      </w:r>
      <w:r w:rsidR="009B3B36" w:rsidRPr="002772F3">
        <w:t xml:space="preserve">the </w:t>
      </w:r>
      <w:r w:rsidR="007327B4" w:rsidRPr="002772F3">
        <w:t>2011 Prisons Law</w:t>
      </w:r>
      <w:r w:rsidR="009B3B36" w:rsidRPr="002772F3">
        <w:t xml:space="preserve"> </w:t>
      </w:r>
      <w:r w:rsidR="002C428D" w:rsidRPr="002772F3">
        <w:t>pertaining to</w:t>
      </w:r>
      <w:r w:rsidR="009B3B36" w:rsidRPr="002772F3">
        <w:t xml:space="preserve"> prisoners</w:t>
      </w:r>
      <w:r>
        <w:t>’</w:t>
      </w:r>
      <w:r w:rsidR="009B3B36" w:rsidRPr="002772F3">
        <w:t xml:space="preserve"> complaints, in</w:t>
      </w:r>
      <w:r w:rsidR="00342B3B" w:rsidRPr="002772F3">
        <w:t>cluding</w:t>
      </w:r>
      <w:r w:rsidR="009B3B36" w:rsidRPr="002772F3">
        <w:t xml:space="preserve"> the </w:t>
      </w:r>
      <w:r w:rsidR="007327B4" w:rsidRPr="002772F3">
        <w:t xml:space="preserve">number </w:t>
      </w:r>
      <w:r w:rsidR="002C428D" w:rsidRPr="002772F3">
        <w:t xml:space="preserve">and nature </w:t>
      </w:r>
      <w:r w:rsidR="007327B4" w:rsidRPr="002772F3">
        <w:t xml:space="preserve">of </w:t>
      </w:r>
      <w:r w:rsidR="002C428D" w:rsidRPr="002772F3">
        <w:t xml:space="preserve">the </w:t>
      </w:r>
      <w:r w:rsidR="007327B4" w:rsidRPr="002772F3">
        <w:t xml:space="preserve">complaints </w:t>
      </w:r>
      <w:r w:rsidR="002C428D" w:rsidRPr="002772F3">
        <w:t xml:space="preserve">received, </w:t>
      </w:r>
      <w:r w:rsidR="007B7D42">
        <w:t>and</w:t>
      </w:r>
      <w:r w:rsidR="00342B3B" w:rsidRPr="002772F3">
        <w:t xml:space="preserve"> information on investigation, prosecution, convictions and penal or disciplinary sanctions applied to the perpetrators.   </w:t>
      </w:r>
    </w:p>
    <w:p w:rsidR="00B4765A" w:rsidRPr="00F611EC" w:rsidRDefault="00BD3885" w:rsidP="00FF7E7B">
      <w:pPr>
        <w:pStyle w:val="SingleTxtG"/>
        <w:rPr>
          <w:rFonts w:eastAsia="SimSun"/>
          <w:lang w:eastAsia="zh-CN"/>
        </w:rPr>
      </w:pPr>
      <w:r w:rsidRPr="00F611EC">
        <w:rPr>
          <w:lang w:eastAsia="zh-CN"/>
        </w:rPr>
        <w:t>31.</w:t>
      </w:r>
      <w:r w:rsidRPr="00F611EC">
        <w:rPr>
          <w:lang w:eastAsia="zh-CN"/>
        </w:rPr>
        <w:tab/>
      </w:r>
      <w:r w:rsidR="00B4765A" w:rsidRPr="002772F3">
        <w:t>In</w:t>
      </w:r>
      <w:r w:rsidR="007B7D42">
        <w:t xml:space="preserve"> the</w:t>
      </w:r>
      <w:r w:rsidR="00B4765A" w:rsidRPr="002772F3">
        <w:t xml:space="preserve"> light of the Committee’s previous </w:t>
      </w:r>
      <w:r w:rsidR="003F268E" w:rsidRPr="002772F3">
        <w:t>recommendations</w:t>
      </w:r>
      <w:r w:rsidR="00B4765A" w:rsidRPr="002772F3">
        <w:t xml:space="preserve"> (para.</w:t>
      </w:r>
      <w:r w:rsidR="007B7D42">
        <w:t xml:space="preserve"> </w:t>
      </w:r>
      <w:r w:rsidR="00B4765A" w:rsidRPr="002772F3">
        <w:t>16) and the State party’s acceptance of the recommendations made in the course of the universal periodic review (</w:t>
      </w:r>
      <w:r w:rsidR="00B4765A" w:rsidRPr="00DA7543">
        <w:t>A/HRC/13/4, para.</w:t>
      </w:r>
      <w:r w:rsidR="00FC5E30" w:rsidRPr="00DA7543">
        <w:t xml:space="preserve"> </w:t>
      </w:r>
      <w:r w:rsidR="00B4765A" w:rsidRPr="00DA7543">
        <w:t>82.27</w:t>
      </w:r>
      <w:r w:rsidR="00B4765A" w:rsidRPr="002772F3">
        <w:t>), please provide information on measures taken to ensure prompt, impartial and effective investigations into all allegations of torture and ill-treatment</w:t>
      </w:r>
      <w:r w:rsidR="005042F8" w:rsidRPr="002772F3">
        <w:t xml:space="preserve"> </w:t>
      </w:r>
      <w:r w:rsidR="00B4765A" w:rsidRPr="002772F3">
        <w:t>and bring to justice law enforcement and prison officials who carried out, ordered or acquiesced in such practices. Please indicate</w:t>
      </w:r>
      <w:r w:rsidR="00F611EC">
        <w:t xml:space="preserve"> </w:t>
      </w:r>
      <w:r w:rsidR="005042F8" w:rsidRPr="002772F3">
        <w:t>i</w:t>
      </w:r>
      <w:r w:rsidR="00B4765A" w:rsidRPr="002772F3">
        <w:t>f</w:t>
      </w:r>
      <w:r w:rsidR="00B4765A" w:rsidRPr="00F611EC">
        <w:rPr>
          <w:rFonts w:eastAsia="SimSun"/>
          <w:lang w:eastAsia="zh-CN"/>
        </w:rPr>
        <w:t xml:space="preserve"> all suspects in prima facie cases of torture and ill-treatment are suspended or reassigned during the process of investigation</w:t>
      </w:r>
      <w:r w:rsidR="00B00026" w:rsidRPr="002772F3">
        <w:t xml:space="preserve"> </w:t>
      </w:r>
      <w:r w:rsidR="007B7D42">
        <w:t xml:space="preserve">and </w:t>
      </w:r>
      <w:r w:rsidR="00B00026" w:rsidRPr="002772F3">
        <w:t>whether an independent mechanism to receive complaints</w:t>
      </w:r>
      <w:r w:rsidR="00344ACE" w:rsidRPr="002772F3">
        <w:t xml:space="preserve"> of torture and ill-treatment by law enforcement officers</w:t>
      </w:r>
      <w:r w:rsidR="007B7D42">
        <w:t xml:space="preserve"> has been established</w:t>
      </w:r>
      <w:r w:rsidR="00344ACE" w:rsidRPr="002772F3">
        <w:t xml:space="preserve"> and</w:t>
      </w:r>
      <w:r w:rsidR="007B7D42">
        <w:t>,</w:t>
      </w:r>
      <w:r w:rsidR="00344ACE" w:rsidRPr="002772F3">
        <w:t xml:space="preserve"> if </w:t>
      </w:r>
      <w:r w:rsidR="007B7D42">
        <w:t>so</w:t>
      </w:r>
      <w:r w:rsidR="00344ACE" w:rsidRPr="002772F3">
        <w:t>, please provide the number of complaints it has received and the actions taken in response to them</w:t>
      </w:r>
      <w:r w:rsidR="00342B3B" w:rsidRPr="002772F3">
        <w:t>.</w:t>
      </w:r>
    </w:p>
    <w:p w:rsidR="00B4765A" w:rsidRPr="002772F3" w:rsidRDefault="00B4765A" w:rsidP="008371B5">
      <w:pPr>
        <w:pStyle w:val="H23G"/>
      </w:pPr>
      <w:r w:rsidRPr="002772F3">
        <w:tab/>
      </w:r>
      <w:r w:rsidRPr="002772F3">
        <w:tab/>
        <w:t>Article 14</w:t>
      </w:r>
    </w:p>
    <w:p w:rsidR="00B4765A" w:rsidRPr="002772F3" w:rsidRDefault="00BD3885" w:rsidP="00FF7E7B">
      <w:pPr>
        <w:pStyle w:val="SingleTxtG"/>
      </w:pPr>
      <w:r w:rsidRPr="002772F3">
        <w:t>32.</w:t>
      </w:r>
      <w:r w:rsidRPr="002772F3">
        <w:tab/>
      </w:r>
      <w:r w:rsidR="00B4765A" w:rsidRPr="002772F3">
        <w:t xml:space="preserve">In </w:t>
      </w:r>
      <w:r w:rsidR="000A5550">
        <w:t xml:space="preserve">the </w:t>
      </w:r>
      <w:r w:rsidR="00B4765A" w:rsidRPr="002772F3">
        <w:t xml:space="preserve">light of the Committee’s previous </w:t>
      </w:r>
      <w:r w:rsidR="003F268E" w:rsidRPr="002772F3">
        <w:t>recommendations</w:t>
      </w:r>
      <w:r w:rsidR="00B4765A" w:rsidRPr="002772F3">
        <w:t xml:space="preserve"> (para.</w:t>
      </w:r>
      <w:r w:rsidR="000A5550">
        <w:t xml:space="preserve"> </w:t>
      </w:r>
      <w:r w:rsidR="00B4765A" w:rsidRPr="002772F3">
        <w:t xml:space="preserve">26), please provide information on </w:t>
      </w:r>
      <w:r w:rsidR="00487A54" w:rsidRPr="002772F3">
        <w:t xml:space="preserve">the legal framework </w:t>
      </w:r>
      <w:r w:rsidR="00782D46" w:rsidRPr="002772F3">
        <w:t>concerning</w:t>
      </w:r>
      <w:r w:rsidR="00487A54" w:rsidRPr="002772F3">
        <w:t xml:space="preserve"> </w:t>
      </w:r>
      <w:r w:rsidR="00B4765A" w:rsidRPr="002772F3">
        <w:t xml:space="preserve">redress and compensation measures, </w:t>
      </w:r>
      <w:r w:rsidR="000A5550">
        <w:t>and</w:t>
      </w:r>
      <w:r w:rsidR="00487A54" w:rsidRPr="002772F3">
        <w:t xml:space="preserve"> the measures, </w:t>
      </w:r>
      <w:r w:rsidR="00B4765A" w:rsidRPr="002772F3">
        <w:t>including the means of rehabilitation, ordered by the courts and actually provided to victims of torture since the examination of the last periodic report. This information should include the number of requests made, the number granted, the amounts of compensation ordered and those actually provided in each case</w:t>
      </w:r>
      <w:r w:rsidR="00B6142B">
        <w:t>,</w:t>
      </w:r>
      <w:r w:rsidR="00B4765A" w:rsidRPr="002772F3">
        <w:t xml:space="preserve"> </w:t>
      </w:r>
      <w:r w:rsidR="000A5550">
        <w:t>and</w:t>
      </w:r>
      <w:r w:rsidR="00B4765A" w:rsidRPr="002772F3">
        <w:t xml:space="preserve"> examples of decisions by the competent authorities ordering compensation. Please also provide information on the accessibility and availability of rehabilitation programmes for victims of torture, ill-treatment, trafficking and domestic and other sexual violence, including medical and psychological assistance.</w:t>
      </w:r>
      <w:r w:rsidR="00B4765A" w:rsidRPr="00BD3885">
        <w:rPr>
          <w:vertAlign w:val="superscript"/>
        </w:rPr>
        <w:footnoteReference w:id="18"/>
      </w:r>
    </w:p>
    <w:p w:rsidR="00B4765A" w:rsidRPr="002772F3" w:rsidRDefault="00BD3885" w:rsidP="00FF7E7B">
      <w:pPr>
        <w:pStyle w:val="SingleTxtG"/>
      </w:pPr>
      <w:r w:rsidRPr="002772F3">
        <w:t>33.</w:t>
      </w:r>
      <w:r w:rsidRPr="002772F3">
        <w:tab/>
      </w:r>
      <w:r w:rsidR="00B4765A" w:rsidRPr="002772F3">
        <w:t xml:space="preserve">In </w:t>
      </w:r>
      <w:r w:rsidR="000A5550">
        <w:t xml:space="preserve">the </w:t>
      </w:r>
      <w:r w:rsidR="00B4765A" w:rsidRPr="002772F3">
        <w:t xml:space="preserve">light of the Committee’s previous </w:t>
      </w:r>
      <w:r w:rsidR="003F268E" w:rsidRPr="002772F3">
        <w:t>recommendations</w:t>
      </w:r>
      <w:r w:rsidR="00B4765A" w:rsidRPr="002772F3">
        <w:t xml:space="preserve"> (para.</w:t>
      </w:r>
      <w:r w:rsidR="000A5550">
        <w:t xml:space="preserve"> </w:t>
      </w:r>
      <w:r w:rsidR="00B4765A" w:rsidRPr="002772F3">
        <w:t xml:space="preserve">27), please provide information on provision of redress for victims of torture under the Khmer Rouge Regime provided by the </w:t>
      </w:r>
      <w:r w:rsidR="00C75D50" w:rsidRPr="002772F3">
        <w:t>S</w:t>
      </w:r>
      <w:r w:rsidR="00B4765A" w:rsidRPr="002772F3">
        <w:t>tate</w:t>
      </w:r>
      <w:r w:rsidR="00C75D50" w:rsidRPr="002772F3">
        <w:t xml:space="preserve"> party</w:t>
      </w:r>
      <w:r w:rsidR="00B4765A" w:rsidRPr="002772F3">
        <w:t xml:space="preserve">. Has the ECCC amended its </w:t>
      </w:r>
      <w:r w:rsidR="000A5550">
        <w:t>i</w:t>
      </w:r>
      <w:r w:rsidR="00B4765A" w:rsidRPr="002772F3">
        <w:t xml:space="preserve">nternal </w:t>
      </w:r>
      <w:r w:rsidR="000A5550">
        <w:t>r</w:t>
      </w:r>
      <w:r w:rsidR="00B4765A" w:rsidRPr="002772F3">
        <w:t>ules to permit reparation, including individual financial compensation, to victims consistent with article 14 of the Convention?</w:t>
      </w:r>
      <w:r w:rsidR="00B4765A" w:rsidRPr="00BD3885">
        <w:rPr>
          <w:vertAlign w:val="superscript"/>
        </w:rPr>
        <w:footnoteReference w:id="19"/>
      </w:r>
      <w:r w:rsidR="00B4765A" w:rsidRPr="002772F3">
        <w:t xml:space="preserve"> If not, what measures will be taken to ensure that the victims of torture</w:t>
      </w:r>
      <w:r w:rsidR="003E245D" w:rsidRPr="002772F3">
        <w:t>, including gender</w:t>
      </w:r>
      <w:r w:rsidR="000A5550">
        <w:t>-</w:t>
      </w:r>
      <w:r w:rsidR="003E245D" w:rsidRPr="002772F3">
        <w:t>based torture,</w:t>
      </w:r>
      <w:r w:rsidR="00B4765A" w:rsidRPr="002772F3">
        <w:t xml:space="preserve"> during the Khmer Rouge Regime are being redressed in line with the Convention? What has been done to strengthen the support to witnesses and civil parties during the proceedings of the Extraordinary Chambers, in particular the </w:t>
      </w:r>
      <w:r w:rsidR="00C75D50" w:rsidRPr="002772F3">
        <w:t xml:space="preserve">Victims Support Unit and the </w:t>
      </w:r>
      <w:r w:rsidR="00B4765A" w:rsidRPr="002772F3">
        <w:t xml:space="preserve">Witness </w:t>
      </w:r>
      <w:r w:rsidR="00C75D50" w:rsidRPr="002772F3">
        <w:t xml:space="preserve">and Expert </w:t>
      </w:r>
      <w:r w:rsidR="00B4765A" w:rsidRPr="002772F3">
        <w:t>Support Unit, both with respect to legal and psychosocial support</w:t>
      </w:r>
      <w:r w:rsidR="000A5550">
        <w:t>?</w:t>
      </w:r>
    </w:p>
    <w:p w:rsidR="00B4765A" w:rsidRPr="00BD3885" w:rsidRDefault="00B4765A" w:rsidP="00FF7E7B">
      <w:pPr>
        <w:pStyle w:val="H23G"/>
      </w:pPr>
      <w:r w:rsidRPr="00BD3885">
        <w:tab/>
      </w:r>
      <w:r w:rsidRPr="00BD3885">
        <w:tab/>
        <w:t>Article 15</w:t>
      </w:r>
    </w:p>
    <w:p w:rsidR="00B4765A" w:rsidRPr="002772F3" w:rsidRDefault="00BD3885" w:rsidP="00FF7E7B">
      <w:pPr>
        <w:pStyle w:val="SingleTxtG"/>
      </w:pPr>
      <w:r w:rsidRPr="002772F3">
        <w:t>34.</w:t>
      </w:r>
      <w:r w:rsidRPr="002772F3">
        <w:tab/>
      </w:r>
      <w:r w:rsidR="006F08B5" w:rsidRPr="002772F3">
        <w:t xml:space="preserve">The Committee </w:t>
      </w:r>
      <w:r w:rsidR="00B6142B">
        <w:t xml:space="preserve">has </w:t>
      </w:r>
      <w:r w:rsidR="006F08B5" w:rsidRPr="002772F3">
        <w:t>previously expressed concern (para.</w:t>
      </w:r>
      <w:r w:rsidR="000A5550">
        <w:t xml:space="preserve"> </w:t>
      </w:r>
      <w:r w:rsidR="006F08B5" w:rsidRPr="002772F3">
        <w:t xml:space="preserve">28) that the use of </w:t>
      </w:r>
      <w:r w:rsidR="000A5550">
        <w:t>forced</w:t>
      </w:r>
      <w:r w:rsidR="000A5550" w:rsidRPr="002772F3">
        <w:t xml:space="preserve"> </w:t>
      </w:r>
      <w:r w:rsidR="006F08B5" w:rsidRPr="002772F3">
        <w:t xml:space="preserve">confessions as evidence in court proceedings is widespread. </w:t>
      </w:r>
      <w:r w:rsidR="00B4765A" w:rsidRPr="002772F3">
        <w:t>Please provide information on the measures taken to ensure that, in practice, statements made as a result of torture are not used as evidence in any proceedings, except against a person accused of torture as evidence that the statement was made</w:t>
      </w:r>
      <w:r w:rsidR="006F08B5" w:rsidRPr="002772F3">
        <w:t>.</w:t>
      </w:r>
      <w:r w:rsidR="00F611EC">
        <w:t xml:space="preserve"> </w:t>
      </w:r>
      <w:r w:rsidR="00B4765A" w:rsidRPr="002772F3">
        <w:t>Please indicate</w:t>
      </w:r>
      <w:r w:rsidR="00B6142B">
        <w:t xml:space="preserve"> whether</w:t>
      </w:r>
      <w:r w:rsidR="00B4765A" w:rsidRPr="002772F3">
        <w:t xml:space="preserve"> </w:t>
      </w:r>
      <w:r w:rsidR="006F08B5" w:rsidRPr="002772F3">
        <w:t xml:space="preserve">(a) </w:t>
      </w:r>
      <w:r w:rsidR="00B4765A" w:rsidRPr="002772F3">
        <w:t xml:space="preserve">any officials have been prosecuted and punished for extracting such confessions </w:t>
      </w:r>
      <w:r w:rsidR="005107A5">
        <w:t>and</w:t>
      </w:r>
      <w:r w:rsidR="00B4765A" w:rsidRPr="002772F3">
        <w:t xml:space="preserve"> examples of cases </w:t>
      </w:r>
      <w:r w:rsidR="00C75D50" w:rsidRPr="002772F3">
        <w:t xml:space="preserve">in which the defendant </w:t>
      </w:r>
      <w:r w:rsidR="006B4085" w:rsidRPr="002772F3">
        <w:t>complained that</w:t>
      </w:r>
      <w:r w:rsidR="00C75D50" w:rsidRPr="002772F3">
        <w:t xml:space="preserve"> his or her confession </w:t>
      </w:r>
      <w:r w:rsidR="006B4085" w:rsidRPr="002772F3">
        <w:t>had been</w:t>
      </w:r>
      <w:r w:rsidR="00C75D50" w:rsidRPr="002772F3">
        <w:t xml:space="preserve"> coerced</w:t>
      </w:r>
      <w:r w:rsidR="005107A5">
        <w:t>;</w:t>
      </w:r>
      <w:r w:rsidR="006F08B5" w:rsidRPr="002772F3">
        <w:t xml:space="preserve"> and </w:t>
      </w:r>
      <w:r w:rsidR="006F08B5" w:rsidRPr="000A5550">
        <w:rPr>
          <w:bCs/>
        </w:rPr>
        <w:t xml:space="preserve">(b) </w:t>
      </w:r>
      <w:r w:rsidR="00B4765A" w:rsidRPr="002772F3">
        <w:t>the courts have found any cases of wrongful conviction based on evidence obtained through torture and any redress provided to victims.</w:t>
      </w:r>
    </w:p>
    <w:p w:rsidR="00B4765A" w:rsidRPr="002772F3" w:rsidRDefault="00B4765A" w:rsidP="008371B5">
      <w:pPr>
        <w:pStyle w:val="H23G"/>
        <w:rPr>
          <w:lang w:eastAsia="zh-CN"/>
        </w:rPr>
      </w:pPr>
      <w:r w:rsidRPr="002772F3">
        <w:tab/>
      </w:r>
      <w:r w:rsidRPr="002772F3">
        <w:tab/>
      </w:r>
      <w:r w:rsidRPr="002772F3">
        <w:rPr>
          <w:lang w:eastAsia="zh-CN"/>
        </w:rPr>
        <w:t>Article 16</w:t>
      </w:r>
    </w:p>
    <w:p w:rsidR="00B4765A" w:rsidRPr="002772F3" w:rsidRDefault="00BD3885" w:rsidP="00FF7E7B">
      <w:pPr>
        <w:pStyle w:val="SingleTxtG"/>
      </w:pPr>
      <w:r w:rsidRPr="002772F3">
        <w:t>35.</w:t>
      </w:r>
      <w:r w:rsidRPr="002772F3">
        <w:tab/>
      </w:r>
      <w:r w:rsidR="00B4765A" w:rsidRPr="002772F3">
        <w:t xml:space="preserve">In </w:t>
      </w:r>
      <w:r w:rsidR="005107A5">
        <w:t xml:space="preserve">the </w:t>
      </w:r>
      <w:r w:rsidR="00B4765A" w:rsidRPr="002772F3">
        <w:t xml:space="preserve">light of the Committee’s previous </w:t>
      </w:r>
      <w:r w:rsidR="003F268E" w:rsidRPr="002772F3">
        <w:t>recommendations</w:t>
      </w:r>
      <w:r w:rsidR="00B4765A" w:rsidRPr="002772F3">
        <w:t xml:space="preserve"> (para.</w:t>
      </w:r>
      <w:r w:rsidR="005107A5">
        <w:t xml:space="preserve"> </w:t>
      </w:r>
      <w:r w:rsidR="00B4765A" w:rsidRPr="002772F3">
        <w:t xml:space="preserve">20) expressing concern regarding allegations of arbitrary detention and abuse in </w:t>
      </w:r>
      <w:r w:rsidR="005107A5" w:rsidRPr="002772F3">
        <w:t>social affairs centres</w:t>
      </w:r>
      <w:r w:rsidR="00DA5ECC" w:rsidRPr="002772F3">
        <w:t xml:space="preserve">, </w:t>
      </w:r>
      <w:r w:rsidR="005107A5" w:rsidRPr="002772F3">
        <w:t xml:space="preserve">youth rehabilitation centres and drug </w:t>
      </w:r>
      <w:r w:rsidR="00327019">
        <w:t xml:space="preserve">rehabilitation </w:t>
      </w:r>
      <w:r w:rsidR="005107A5" w:rsidRPr="002772F3">
        <w:t>centres</w:t>
      </w:r>
      <w:r w:rsidR="00B4765A" w:rsidRPr="002772F3">
        <w:t>,</w:t>
      </w:r>
      <w:r w:rsidR="00B4765A" w:rsidRPr="00BD3885">
        <w:rPr>
          <w:vertAlign w:val="superscript"/>
        </w:rPr>
        <w:footnoteReference w:id="20"/>
      </w:r>
      <w:r w:rsidR="00B4765A" w:rsidRPr="002772F3">
        <w:t xml:space="preserve"> please provide the following information:</w:t>
      </w:r>
    </w:p>
    <w:p w:rsidR="00B4765A" w:rsidRPr="002772F3" w:rsidRDefault="003A4CEA" w:rsidP="00FF7E7B">
      <w:pPr>
        <w:pStyle w:val="SingleTxtG"/>
        <w:rPr>
          <w:rFonts w:eastAsia="SimSun"/>
          <w:lang w:val="en-US" w:eastAsia="zh-CN"/>
        </w:rPr>
      </w:pPr>
      <w:r>
        <w:rPr>
          <w:rFonts w:eastAsia="SimSun"/>
          <w:lang w:val="en-US" w:eastAsia="zh-CN"/>
        </w:rPr>
        <w:tab/>
      </w:r>
      <w:r w:rsidR="008371B5" w:rsidRPr="002772F3">
        <w:rPr>
          <w:rFonts w:eastAsia="SimSun"/>
          <w:lang w:val="en-US" w:eastAsia="zh-CN"/>
        </w:rPr>
        <w:t>(a)</w:t>
      </w:r>
      <w:r w:rsidR="008371B5" w:rsidRPr="002772F3">
        <w:rPr>
          <w:rFonts w:eastAsia="SimSun"/>
          <w:lang w:val="en-US" w:eastAsia="zh-CN"/>
        </w:rPr>
        <w:tab/>
      </w:r>
      <w:r w:rsidR="00B4765A" w:rsidRPr="002772F3">
        <w:rPr>
          <w:rFonts w:eastAsia="SimSun"/>
          <w:lang w:val="en-US" w:eastAsia="zh-CN"/>
        </w:rPr>
        <w:t>Data on investigations, prosecutions and convictions of officials, guards and others at such facilities on charges related to arbitrary detention or abuse, indicating the rank and title of the defendant, the charges, and any disciplinary or criminal penalties imposed</w:t>
      </w:r>
      <w:r>
        <w:rPr>
          <w:rFonts w:eastAsia="SimSun"/>
          <w:lang w:val="en-US" w:eastAsia="zh-CN"/>
        </w:rPr>
        <w:t>;</w:t>
      </w:r>
    </w:p>
    <w:p w:rsidR="00B4765A" w:rsidRPr="002772F3" w:rsidRDefault="008371B5" w:rsidP="00FF7E7B">
      <w:pPr>
        <w:pStyle w:val="SingleTxtG"/>
        <w:rPr>
          <w:rFonts w:eastAsia="SimSun"/>
          <w:lang w:val="en-US" w:eastAsia="zh-CN"/>
        </w:rPr>
      </w:pPr>
      <w:r w:rsidRPr="002772F3">
        <w:rPr>
          <w:rFonts w:eastAsia="SimSun"/>
          <w:lang w:val="en-US" w:eastAsia="zh-CN"/>
        </w:rPr>
        <w:tab/>
        <w:t>(b)</w:t>
      </w:r>
      <w:r w:rsidRPr="002772F3">
        <w:rPr>
          <w:rFonts w:eastAsia="SimSun"/>
          <w:lang w:val="en-US" w:eastAsia="zh-CN"/>
        </w:rPr>
        <w:tab/>
      </w:r>
      <w:r w:rsidR="00B4765A" w:rsidRPr="002772F3">
        <w:rPr>
          <w:rFonts w:eastAsia="SimSun"/>
          <w:lang w:val="en-US" w:eastAsia="zh-CN"/>
        </w:rPr>
        <w:t>Data on any redress, including compensation and rehabilitation, provided to victims of arbitrary detention and abuse in such centres</w:t>
      </w:r>
      <w:r w:rsidR="003A4CEA">
        <w:rPr>
          <w:rFonts w:eastAsia="SimSun"/>
          <w:lang w:val="en-US" w:eastAsia="zh-CN"/>
        </w:rPr>
        <w:t>;</w:t>
      </w:r>
    </w:p>
    <w:p w:rsidR="00B4765A" w:rsidRPr="002772F3" w:rsidRDefault="008371B5" w:rsidP="00FF7E7B">
      <w:pPr>
        <w:pStyle w:val="SingleTxtG"/>
        <w:rPr>
          <w:rFonts w:eastAsia="SimSun"/>
          <w:lang w:val="en-US" w:eastAsia="zh-CN"/>
        </w:rPr>
      </w:pPr>
      <w:r w:rsidRPr="002772F3">
        <w:rPr>
          <w:rFonts w:eastAsia="SimSun"/>
          <w:lang w:val="en-US" w:eastAsia="zh-CN"/>
        </w:rPr>
        <w:tab/>
        <w:t>(c)</w:t>
      </w:r>
      <w:r w:rsidRPr="002772F3">
        <w:rPr>
          <w:rFonts w:eastAsia="SimSun"/>
          <w:lang w:val="en-US" w:eastAsia="zh-CN"/>
        </w:rPr>
        <w:tab/>
      </w:r>
      <w:r w:rsidR="00B4765A" w:rsidRPr="002772F3">
        <w:rPr>
          <w:rFonts w:eastAsia="SimSun"/>
          <w:lang w:val="en-US" w:eastAsia="zh-CN"/>
        </w:rPr>
        <w:t>Whether</w:t>
      </w:r>
      <w:r w:rsidR="001F5A5D">
        <w:rPr>
          <w:rFonts w:eastAsia="SimSun"/>
          <w:lang w:val="en-US" w:eastAsia="zh-CN"/>
        </w:rPr>
        <w:t xml:space="preserve"> </w:t>
      </w:r>
      <w:r w:rsidR="00B4765A" w:rsidRPr="002772F3">
        <w:rPr>
          <w:rFonts w:eastAsia="SimSun"/>
          <w:lang w:val="en-US" w:eastAsia="zh-CN"/>
        </w:rPr>
        <w:t>the State party investigated allegations of serious human rights violations, including torture, rape, beatings, and killings of detainees by guards at the Prey Speu facility between 2006 and 2008</w:t>
      </w:r>
      <w:r w:rsidR="003A4CEA">
        <w:rPr>
          <w:rFonts w:eastAsia="SimSun"/>
          <w:lang w:val="en-US" w:eastAsia="zh-CN"/>
        </w:rPr>
        <w:t>,</w:t>
      </w:r>
      <w:r w:rsidR="00B4765A" w:rsidRPr="002772F3">
        <w:rPr>
          <w:rFonts w:eastAsia="SimSun"/>
          <w:lang w:val="en-US" w:eastAsia="zh-CN"/>
        </w:rPr>
        <w:t xml:space="preserve"> </w:t>
      </w:r>
      <w:r w:rsidR="003A4CEA">
        <w:rPr>
          <w:rFonts w:eastAsia="SimSun"/>
          <w:lang w:val="en-US" w:eastAsia="zh-CN"/>
        </w:rPr>
        <w:t>and</w:t>
      </w:r>
      <w:r w:rsidR="006F08B5" w:rsidRPr="002772F3">
        <w:rPr>
          <w:rFonts w:eastAsia="SimSun"/>
          <w:lang w:val="en-US" w:eastAsia="zh-CN"/>
        </w:rPr>
        <w:t xml:space="preserve"> the results</w:t>
      </w:r>
      <w:r w:rsidR="003A4CEA">
        <w:rPr>
          <w:rFonts w:eastAsia="SimSun"/>
          <w:lang w:val="en-US" w:eastAsia="zh-CN"/>
        </w:rPr>
        <w:t xml:space="preserve"> thereof;</w:t>
      </w:r>
    </w:p>
    <w:p w:rsidR="00B4765A" w:rsidRPr="002772F3" w:rsidRDefault="008371B5" w:rsidP="00FF7E7B">
      <w:pPr>
        <w:pStyle w:val="SingleTxtG"/>
        <w:rPr>
          <w:rFonts w:eastAsia="SimSun"/>
          <w:lang w:val="en-US" w:eastAsia="zh-CN"/>
        </w:rPr>
      </w:pPr>
      <w:r w:rsidRPr="002772F3">
        <w:rPr>
          <w:rFonts w:eastAsia="SimSun"/>
          <w:lang w:val="en-US" w:eastAsia="zh-CN"/>
        </w:rPr>
        <w:tab/>
        <w:t>(d)</w:t>
      </w:r>
      <w:r w:rsidRPr="002772F3">
        <w:rPr>
          <w:rFonts w:eastAsia="SimSun"/>
          <w:lang w:val="en-US" w:eastAsia="zh-CN"/>
        </w:rPr>
        <w:tab/>
      </w:r>
      <w:r w:rsidR="00B4765A" w:rsidRPr="002772F3">
        <w:rPr>
          <w:rFonts w:eastAsia="SimSun"/>
          <w:lang w:val="en-US" w:eastAsia="zh-CN"/>
        </w:rPr>
        <w:t>Whether the State party has developed sustainable and humane alternatives to such centres for disadvantaged and vulnerable groups</w:t>
      </w:r>
      <w:r w:rsidR="003A4CEA">
        <w:rPr>
          <w:rFonts w:eastAsia="SimSun"/>
          <w:lang w:val="en-US" w:eastAsia="zh-CN"/>
        </w:rPr>
        <w:t>;</w:t>
      </w:r>
    </w:p>
    <w:p w:rsidR="00B4765A" w:rsidRPr="002772F3" w:rsidRDefault="008371B5" w:rsidP="00FF7E7B">
      <w:pPr>
        <w:pStyle w:val="SingleTxtG"/>
        <w:rPr>
          <w:rFonts w:eastAsia="SimSun"/>
          <w:lang w:val="en-US" w:eastAsia="zh-CN"/>
        </w:rPr>
      </w:pPr>
      <w:r w:rsidRPr="002772F3">
        <w:rPr>
          <w:rFonts w:eastAsia="SimSun"/>
          <w:lang w:val="en-US" w:eastAsia="zh-CN"/>
        </w:rPr>
        <w:tab/>
        <w:t>(e)</w:t>
      </w:r>
      <w:r w:rsidRPr="002772F3">
        <w:rPr>
          <w:rFonts w:eastAsia="SimSun"/>
          <w:lang w:val="en-US" w:eastAsia="zh-CN"/>
        </w:rPr>
        <w:tab/>
      </w:r>
      <w:r w:rsidR="00B4765A" w:rsidRPr="002772F3">
        <w:rPr>
          <w:rFonts w:eastAsia="SimSun"/>
          <w:lang w:val="en-US" w:eastAsia="zh-CN"/>
        </w:rPr>
        <w:t>The occupancy rate, including the number of minors</w:t>
      </w:r>
      <w:r w:rsidR="003B7054" w:rsidRPr="002772F3">
        <w:rPr>
          <w:rFonts w:eastAsia="SimSun"/>
          <w:lang w:val="en-US" w:eastAsia="zh-CN"/>
        </w:rPr>
        <w:t xml:space="preserve">, women, mentally ill persons, HIV and </w:t>
      </w:r>
      <w:r w:rsidR="003A4CEA">
        <w:rPr>
          <w:rFonts w:eastAsia="SimSun"/>
          <w:lang w:val="en-US" w:eastAsia="zh-CN"/>
        </w:rPr>
        <w:t>t</w:t>
      </w:r>
      <w:r w:rsidR="003B7054" w:rsidRPr="002772F3">
        <w:rPr>
          <w:rFonts w:eastAsia="SimSun"/>
          <w:lang w:val="en-US" w:eastAsia="zh-CN"/>
        </w:rPr>
        <w:t>uberc</w:t>
      </w:r>
      <w:r w:rsidR="003A4CEA">
        <w:rPr>
          <w:rFonts w:eastAsia="SimSun"/>
          <w:lang w:val="en-US" w:eastAsia="zh-CN"/>
        </w:rPr>
        <w:t>u</w:t>
      </w:r>
      <w:r w:rsidR="003B7054" w:rsidRPr="002772F3">
        <w:rPr>
          <w:rFonts w:eastAsia="SimSun"/>
          <w:lang w:val="en-US" w:eastAsia="zh-CN"/>
        </w:rPr>
        <w:t>losis-affected persons</w:t>
      </w:r>
      <w:r w:rsidR="00B4765A" w:rsidRPr="002772F3">
        <w:rPr>
          <w:rFonts w:eastAsia="SimSun"/>
          <w:lang w:val="en-US" w:eastAsia="zh-CN"/>
        </w:rPr>
        <w:t xml:space="preserve"> held, of all </w:t>
      </w:r>
      <w:r w:rsidR="003A4CEA" w:rsidRPr="002772F3">
        <w:rPr>
          <w:rFonts w:eastAsia="SimSun"/>
          <w:lang w:val="en-US" w:eastAsia="zh-CN"/>
        </w:rPr>
        <w:t>social affairs, youth rehabilitation, and drug rehabilitation centres</w:t>
      </w:r>
      <w:r w:rsidR="00B4765A" w:rsidRPr="002772F3">
        <w:rPr>
          <w:rFonts w:eastAsia="SimSun"/>
          <w:lang w:val="en-US" w:eastAsia="zh-CN"/>
        </w:rPr>
        <w:t xml:space="preserve"> in the State party.</w:t>
      </w:r>
    </w:p>
    <w:p w:rsidR="00B4765A" w:rsidRPr="002772F3" w:rsidRDefault="00BD3885" w:rsidP="00FF7E7B">
      <w:pPr>
        <w:pStyle w:val="SingleTxtG"/>
      </w:pPr>
      <w:r w:rsidRPr="00C63D01">
        <w:t>36.</w:t>
      </w:r>
      <w:r w:rsidRPr="00C63D01">
        <w:tab/>
      </w:r>
      <w:r w:rsidR="00B4765A" w:rsidRPr="00C63D01">
        <w:t>Please provide data</w:t>
      </w:r>
      <w:r w:rsidR="003A4CEA" w:rsidRPr="00C63D01">
        <w:t xml:space="preserve"> on</w:t>
      </w:r>
      <w:r w:rsidR="007403AD" w:rsidRPr="00C63D01">
        <w:t xml:space="preserve"> (a)</w:t>
      </w:r>
      <w:r w:rsidR="00B4765A" w:rsidRPr="00C63D01">
        <w:t xml:space="preserve"> any cases in which law enforcement personnel have been subject to disciplinary or criminal penalties for excessive use of force or ill-treatment of demonstrators</w:t>
      </w:r>
      <w:r w:rsidR="003A4CEA" w:rsidRPr="00C63D01">
        <w:t>;</w:t>
      </w:r>
      <w:r w:rsidR="00B4765A" w:rsidRPr="00C63D01">
        <w:t xml:space="preserve"> </w:t>
      </w:r>
      <w:r w:rsidR="007403AD" w:rsidRPr="00C63D01">
        <w:t xml:space="preserve">and (b) </w:t>
      </w:r>
      <w:r w:rsidR="00B4765A" w:rsidRPr="00C63D01">
        <w:t>the status of any investigations and disciplinary or criminal penalties handed down against law enforcement or military personnel in connection with the following allegations:</w:t>
      </w:r>
    </w:p>
    <w:p w:rsidR="00EC3214" w:rsidRPr="002772F3" w:rsidRDefault="00B6142B" w:rsidP="00FF7E7B">
      <w:pPr>
        <w:pStyle w:val="SingleTxtG"/>
      </w:pPr>
      <w:r>
        <w:tab/>
      </w:r>
      <w:r w:rsidR="00BD3885" w:rsidRPr="002772F3">
        <w:t>(</w:t>
      </w:r>
      <w:r w:rsidR="003A4CEA">
        <w:t>i</w:t>
      </w:r>
      <w:r w:rsidR="00BD3885" w:rsidRPr="002772F3">
        <w:t>)</w:t>
      </w:r>
      <w:r w:rsidR="00BD3885" w:rsidRPr="002772F3">
        <w:tab/>
      </w:r>
      <w:r w:rsidR="00EC3214" w:rsidRPr="002772F3">
        <w:t xml:space="preserve">The reported beating of Soung Sophorn, a </w:t>
      </w:r>
      <w:r w:rsidR="00EB6EEA" w:rsidRPr="002772F3">
        <w:t>human rights defender</w:t>
      </w:r>
      <w:r w:rsidR="00EC3214" w:rsidRPr="002772F3">
        <w:t xml:space="preserve">, </w:t>
      </w:r>
      <w:r w:rsidR="00EB6EEA" w:rsidRPr="002772F3">
        <w:t xml:space="preserve">by police officials </w:t>
      </w:r>
      <w:r w:rsidR="00EB1A9C" w:rsidRPr="002772F3">
        <w:t>on</w:t>
      </w:r>
      <w:r w:rsidR="00EB6EEA" w:rsidRPr="002772F3">
        <w:t xml:space="preserve"> two occasions</w:t>
      </w:r>
      <w:r w:rsidR="00DF56DE" w:rsidRPr="002772F3">
        <w:t>;</w:t>
      </w:r>
      <w:r w:rsidR="00EB6EEA" w:rsidRPr="002772F3">
        <w:t xml:space="preserve"> </w:t>
      </w:r>
    </w:p>
    <w:p w:rsidR="00FF512C" w:rsidRPr="002772F3" w:rsidRDefault="00B6142B" w:rsidP="00FF7E7B">
      <w:pPr>
        <w:pStyle w:val="SingleTxtG"/>
      </w:pPr>
      <w:r>
        <w:tab/>
      </w:r>
      <w:r w:rsidR="00BD3885" w:rsidRPr="002772F3">
        <w:t>(</w:t>
      </w:r>
      <w:r w:rsidR="003A4CEA">
        <w:t>ii</w:t>
      </w:r>
      <w:r w:rsidR="00BD3885" w:rsidRPr="002772F3">
        <w:t>)</w:t>
      </w:r>
      <w:r w:rsidR="00BD3885" w:rsidRPr="002772F3">
        <w:tab/>
      </w:r>
      <w:r w:rsidR="00FF512C" w:rsidRPr="002772F3">
        <w:t xml:space="preserve">The reported use of force and live ammunition during the forced eviction </w:t>
      </w:r>
      <w:r w:rsidR="00E350D4" w:rsidRPr="002772F3">
        <w:t>of around 300 households</w:t>
      </w:r>
      <w:r w:rsidR="00FF512C" w:rsidRPr="002772F3">
        <w:t xml:space="preserve"> </w:t>
      </w:r>
      <w:r w:rsidR="00E350D4" w:rsidRPr="002772F3">
        <w:t xml:space="preserve">from </w:t>
      </w:r>
      <w:r w:rsidR="00FF512C" w:rsidRPr="002772F3">
        <w:t xml:space="preserve">Borei Keila Community in Phnom Penh </w:t>
      </w:r>
      <w:r w:rsidR="00E350D4" w:rsidRPr="002772F3">
        <w:t>on</w:t>
      </w:r>
      <w:r w:rsidR="003A4CEA">
        <w:t xml:space="preserve"> 3</w:t>
      </w:r>
      <w:r w:rsidR="00E350D4" w:rsidRPr="002772F3">
        <w:t xml:space="preserve"> January 2012</w:t>
      </w:r>
      <w:r w:rsidR="003A4CEA">
        <w:t>;</w:t>
      </w:r>
    </w:p>
    <w:p w:rsidR="005F09BF" w:rsidRPr="002772F3" w:rsidRDefault="00B6142B" w:rsidP="00FF7E7B">
      <w:pPr>
        <w:pStyle w:val="SingleTxtG"/>
      </w:pPr>
      <w:r>
        <w:tab/>
      </w:r>
      <w:r w:rsidR="00BD3885" w:rsidRPr="002772F3">
        <w:t>(</w:t>
      </w:r>
      <w:r w:rsidR="003A4CEA">
        <w:t>iii</w:t>
      </w:r>
      <w:r w:rsidR="00BD3885" w:rsidRPr="002772F3">
        <w:t>)</w:t>
      </w:r>
      <w:r w:rsidR="00BD3885" w:rsidRPr="002772F3">
        <w:tab/>
      </w:r>
      <w:r w:rsidR="005F09BF" w:rsidRPr="002772F3">
        <w:t xml:space="preserve">The use of force and live ammunition by armed private security </w:t>
      </w:r>
      <w:r w:rsidR="00337E71" w:rsidRPr="002772F3">
        <w:t xml:space="preserve">guards </w:t>
      </w:r>
      <w:r w:rsidR="0027601D" w:rsidRPr="002772F3">
        <w:t xml:space="preserve">from TTY company </w:t>
      </w:r>
      <w:r w:rsidR="00337E71" w:rsidRPr="002772F3">
        <w:t xml:space="preserve">who </w:t>
      </w:r>
      <w:r w:rsidR="007C31C8" w:rsidRPr="002772F3">
        <w:t xml:space="preserve">reportedly </w:t>
      </w:r>
      <w:r w:rsidR="00337E71" w:rsidRPr="002772F3">
        <w:t xml:space="preserve">shot at four protesters </w:t>
      </w:r>
      <w:r w:rsidR="007C31C8" w:rsidRPr="002772F3">
        <w:t>on 18 January 2012 in Veal Bei village, Snoul district</w:t>
      </w:r>
      <w:r w:rsidR="00570EAE" w:rsidRPr="002772F3">
        <w:t xml:space="preserve">, </w:t>
      </w:r>
      <w:r w:rsidR="007C31C8" w:rsidRPr="002772F3">
        <w:t xml:space="preserve">Kratie province </w:t>
      </w:r>
      <w:r w:rsidR="00570EAE" w:rsidRPr="002772F3">
        <w:t xml:space="preserve">during a protest by villagers </w:t>
      </w:r>
      <w:r w:rsidR="007C31C8" w:rsidRPr="002772F3">
        <w:t>to avoid the destruction of their plantations by the bulldozers of the private company</w:t>
      </w:r>
      <w:r w:rsidR="003A4CEA">
        <w:t>;</w:t>
      </w:r>
    </w:p>
    <w:p w:rsidR="00B4765A" w:rsidRPr="002772F3" w:rsidRDefault="00B6142B" w:rsidP="00FF7E7B">
      <w:pPr>
        <w:pStyle w:val="SingleTxtG"/>
      </w:pPr>
      <w:r>
        <w:tab/>
      </w:r>
      <w:r w:rsidR="00BD3885" w:rsidRPr="002772F3">
        <w:t>(</w:t>
      </w:r>
      <w:r w:rsidR="003A4CEA">
        <w:t>iv</w:t>
      </w:r>
      <w:r w:rsidR="00BD3885" w:rsidRPr="002772F3">
        <w:t>)</w:t>
      </w:r>
      <w:r w:rsidR="00BD3885" w:rsidRPr="002772F3">
        <w:tab/>
      </w:r>
      <w:r w:rsidR="00B4765A" w:rsidRPr="002772F3">
        <w:t xml:space="preserve">The reported forcible eviction by armed security personnel of villagers in Kratie province, on </w:t>
      </w:r>
      <w:r w:rsidR="00C63D01">
        <w:t xml:space="preserve">16 </w:t>
      </w:r>
      <w:r w:rsidR="00B4765A" w:rsidRPr="002772F3">
        <w:t>May 2012, in which 14</w:t>
      </w:r>
      <w:r w:rsidR="00C63D01">
        <w:t>-</w:t>
      </w:r>
      <w:r w:rsidR="00B4765A" w:rsidRPr="002772F3">
        <w:t>year-old Heng Chantha was killed</w:t>
      </w:r>
      <w:r w:rsidR="003A4CEA">
        <w:t>;</w:t>
      </w:r>
    </w:p>
    <w:p w:rsidR="00B4765A" w:rsidRPr="002772F3" w:rsidRDefault="00B6142B" w:rsidP="00FF7E7B">
      <w:pPr>
        <w:pStyle w:val="SingleTxtG"/>
      </w:pPr>
      <w:r>
        <w:tab/>
      </w:r>
      <w:r w:rsidR="00BD3885" w:rsidRPr="002772F3">
        <w:t>(</w:t>
      </w:r>
      <w:r w:rsidR="003A4CEA">
        <w:t>v</w:t>
      </w:r>
      <w:r w:rsidR="00BD3885" w:rsidRPr="002772F3">
        <w:t>)</w:t>
      </w:r>
      <w:r w:rsidR="00BD3885" w:rsidRPr="002772F3">
        <w:tab/>
      </w:r>
      <w:r w:rsidR="00B4765A" w:rsidRPr="002772F3">
        <w:t>The reported use of force by officials in response to a peaceful demonstration by garment workers in the town of Bavet in Svay Rieng province on 20 February 2012, including the shooting of three female workers</w:t>
      </w:r>
      <w:r w:rsidR="003A4CEA">
        <w:t>;</w:t>
      </w:r>
    </w:p>
    <w:p w:rsidR="00B4765A" w:rsidRPr="002772F3" w:rsidRDefault="00B6142B" w:rsidP="00FF7E7B">
      <w:pPr>
        <w:pStyle w:val="SingleTxtG"/>
      </w:pPr>
      <w:r>
        <w:tab/>
      </w:r>
      <w:r w:rsidR="00BD3885" w:rsidRPr="002772F3">
        <w:t>(</w:t>
      </w:r>
      <w:r w:rsidR="003A4CEA">
        <w:t>vi</w:t>
      </w:r>
      <w:r w:rsidR="00BD3885" w:rsidRPr="002772F3">
        <w:t>)</w:t>
      </w:r>
      <w:r w:rsidR="00BD3885" w:rsidRPr="002772F3">
        <w:tab/>
      </w:r>
      <w:r w:rsidR="00B4765A" w:rsidRPr="002772F3">
        <w:t xml:space="preserve">The reported </w:t>
      </w:r>
      <w:r w:rsidR="00FF081E" w:rsidRPr="002772F3">
        <w:t xml:space="preserve">excessive </w:t>
      </w:r>
      <w:r w:rsidR="00880EBE" w:rsidRPr="002772F3">
        <w:t xml:space="preserve">use of force </w:t>
      </w:r>
      <w:r w:rsidR="00B4765A" w:rsidRPr="002772F3">
        <w:t xml:space="preserve">outside </w:t>
      </w:r>
      <w:r w:rsidR="00036759">
        <w:t>the country’s</w:t>
      </w:r>
      <w:r w:rsidR="00036759" w:rsidRPr="002772F3">
        <w:t xml:space="preserve"> </w:t>
      </w:r>
      <w:smartTag w:uri="urn:schemas-microsoft-com:office:smarttags" w:element="Street">
        <w:smartTag w:uri="urn:schemas-microsoft-com:office:smarttags" w:element="address">
          <w:r w:rsidR="00B4765A" w:rsidRPr="002772F3">
            <w:t>Appeal Court</w:t>
          </w:r>
        </w:smartTag>
      </w:smartTag>
      <w:r w:rsidR="00B4765A" w:rsidRPr="002772F3">
        <w:t xml:space="preserve"> on 27 June 2012 by police </w:t>
      </w:r>
      <w:r w:rsidR="00AF0B8E" w:rsidRPr="002772F3">
        <w:t xml:space="preserve">against </w:t>
      </w:r>
      <w:r w:rsidR="00F3476F" w:rsidRPr="002772F3">
        <w:t>demonstrators</w:t>
      </w:r>
      <w:r w:rsidR="003A2E6E" w:rsidRPr="002772F3">
        <w:t>, including women and children,</w:t>
      </w:r>
      <w:r w:rsidR="00570EAE" w:rsidRPr="002772F3">
        <w:t xml:space="preserve"> </w:t>
      </w:r>
      <w:r w:rsidR="00B4765A" w:rsidRPr="002772F3">
        <w:t xml:space="preserve">from communities </w:t>
      </w:r>
      <w:r w:rsidR="00AF0B8E" w:rsidRPr="002772F3">
        <w:t xml:space="preserve">of </w:t>
      </w:r>
      <w:smartTag w:uri="urn:schemas-microsoft-com:office:smarttags" w:element="place">
        <w:smartTag w:uri="urn:schemas-microsoft-com:office:smarttags" w:element="PlaceName">
          <w:r w:rsidR="00B4765A" w:rsidRPr="002772F3">
            <w:t>Boeung</w:t>
          </w:r>
        </w:smartTag>
        <w:r w:rsidR="00B4765A" w:rsidRPr="002772F3">
          <w:t xml:space="preserve"> </w:t>
        </w:r>
        <w:smartTag w:uri="urn:schemas-microsoft-com:office:smarttags" w:element="PlaceName">
          <w:r w:rsidR="00B4765A" w:rsidRPr="002772F3">
            <w:t>Kak</w:t>
          </w:r>
        </w:smartTag>
        <w:r w:rsidR="00B4765A" w:rsidRPr="002772F3">
          <w:t xml:space="preserve"> </w:t>
        </w:r>
        <w:smartTag w:uri="urn:schemas-microsoft-com:office:smarttags" w:element="PlaceType">
          <w:r w:rsidR="00B4765A" w:rsidRPr="002772F3">
            <w:t>Lake</w:t>
          </w:r>
        </w:smartTag>
      </w:smartTag>
      <w:r w:rsidR="00C63D01">
        <w:t>;</w:t>
      </w:r>
      <w:r w:rsidR="00B4765A" w:rsidRPr="002772F3">
        <w:t xml:space="preserve"> </w:t>
      </w:r>
      <w:r w:rsidR="00B4765A" w:rsidRPr="002772F3">
        <w:tab/>
      </w:r>
    </w:p>
    <w:p w:rsidR="00F64B5B" w:rsidRPr="002772F3" w:rsidRDefault="00C63D01" w:rsidP="00FF7E7B">
      <w:pPr>
        <w:pStyle w:val="SingleTxtG"/>
      </w:pPr>
      <w:r>
        <w:tab/>
      </w:r>
      <w:r w:rsidR="00BD3885" w:rsidRPr="002772F3">
        <w:t>(</w:t>
      </w:r>
      <w:r>
        <w:t>vii</w:t>
      </w:r>
      <w:r w:rsidR="00BD3885" w:rsidRPr="002772F3">
        <w:t>)</w:t>
      </w:r>
      <w:r w:rsidR="00BD3885" w:rsidRPr="002772F3">
        <w:tab/>
      </w:r>
      <w:r w:rsidR="00F64B5B" w:rsidRPr="002772F3">
        <w:t xml:space="preserve">The </w:t>
      </w:r>
      <w:r w:rsidR="005028A6" w:rsidRPr="002772F3">
        <w:t xml:space="preserve">reported </w:t>
      </w:r>
      <w:r w:rsidR="00F64B5B" w:rsidRPr="002772F3">
        <w:t xml:space="preserve">beating </w:t>
      </w:r>
      <w:r w:rsidR="00382BE9" w:rsidRPr="002772F3">
        <w:t xml:space="preserve">with sticks </w:t>
      </w:r>
      <w:r w:rsidR="00F64B5B" w:rsidRPr="002772F3">
        <w:t xml:space="preserve">by police </w:t>
      </w:r>
      <w:r w:rsidR="00382BE9" w:rsidRPr="002772F3">
        <w:t xml:space="preserve">officials </w:t>
      </w:r>
      <w:r w:rsidR="005028A6" w:rsidRPr="002772F3">
        <w:t xml:space="preserve">in Phnom Penh on </w:t>
      </w:r>
      <w:r w:rsidR="00382BE9" w:rsidRPr="002772F3">
        <w:t>11 July 2012</w:t>
      </w:r>
      <w:r w:rsidR="00F64B5B" w:rsidRPr="002772F3">
        <w:t xml:space="preserve"> of a trade unionist, Rong Panha, while he was </w:t>
      </w:r>
      <w:r w:rsidR="005028A6" w:rsidRPr="002772F3">
        <w:t xml:space="preserve">participating in </w:t>
      </w:r>
      <w:r w:rsidR="00F64B5B" w:rsidRPr="002772F3">
        <w:t xml:space="preserve">a peaceful </w:t>
      </w:r>
      <w:r w:rsidR="005028A6" w:rsidRPr="002772F3">
        <w:t xml:space="preserve">march </w:t>
      </w:r>
      <w:r w:rsidR="00F64B5B" w:rsidRPr="002772F3">
        <w:t xml:space="preserve">with other 20 garment workers </w:t>
      </w:r>
      <w:r w:rsidR="00382BE9" w:rsidRPr="002772F3">
        <w:t xml:space="preserve">from the </w:t>
      </w:r>
      <w:r w:rsidR="005028A6" w:rsidRPr="002772F3">
        <w:t>Cambodian Confederation of Unions</w:t>
      </w:r>
      <w:r w:rsidR="00F64B5B" w:rsidRPr="002772F3">
        <w:t xml:space="preserve">. After being beaten and injured by </w:t>
      </w:r>
      <w:r w:rsidR="00382BE9" w:rsidRPr="002772F3">
        <w:t xml:space="preserve">the </w:t>
      </w:r>
      <w:r w:rsidR="00F64B5B" w:rsidRPr="002772F3">
        <w:t xml:space="preserve">police force, he was arbitrarily detained for 12 hours in the </w:t>
      </w:r>
      <w:smartTag w:uri="urn:schemas-microsoft-com:office:smarttags" w:element="City">
        <w:smartTag w:uri="urn:schemas-microsoft-com:office:smarttags" w:element="place">
          <w:r w:rsidR="00F64B5B" w:rsidRPr="002772F3">
            <w:t>Phnom Penh</w:t>
          </w:r>
        </w:smartTag>
      </w:smartTag>
      <w:r w:rsidR="00F64B5B" w:rsidRPr="002772F3">
        <w:t xml:space="preserve"> </w:t>
      </w:r>
      <w:r w:rsidR="00D205F3" w:rsidRPr="002772F3">
        <w:t>municipal p</w:t>
      </w:r>
      <w:r w:rsidR="00F64B5B" w:rsidRPr="002772F3">
        <w:t xml:space="preserve">olice </w:t>
      </w:r>
      <w:r w:rsidR="00D205F3" w:rsidRPr="002772F3">
        <w:t xml:space="preserve">station </w:t>
      </w:r>
      <w:r w:rsidR="00F64B5B" w:rsidRPr="002772F3">
        <w:t>with no access to medical care</w:t>
      </w:r>
      <w:r w:rsidR="00082DCA">
        <w:t>.</w:t>
      </w:r>
      <w:r w:rsidR="00F64B5B" w:rsidRPr="002772F3">
        <w:t xml:space="preserve"> </w:t>
      </w:r>
    </w:p>
    <w:p w:rsidR="00B4765A" w:rsidRPr="002772F3" w:rsidRDefault="00BD3885" w:rsidP="00FF7E7B">
      <w:pPr>
        <w:pStyle w:val="SingleTxtG"/>
      </w:pPr>
      <w:r w:rsidRPr="002772F3">
        <w:t>37.</w:t>
      </w:r>
      <w:r w:rsidRPr="002772F3">
        <w:tab/>
      </w:r>
      <w:r w:rsidR="00B4765A" w:rsidRPr="002772F3">
        <w:t>In</w:t>
      </w:r>
      <w:r w:rsidR="00C63D01">
        <w:t xml:space="preserve"> the</w:t>
      </w:r>
      <w:r w:rsidR="00B4765A" w:rsidRPr="002772F3">
        <w:t xml:space="preserve"> light of the </w:t>
      </w:r>
      <w:r w:rsidR="003F268E" w:rsidRPr="002772F3">
        <w:t>recommendations</w:t>
      </w:r>
      <w:r w:rsidR="00F86965" w:rsidRPr="002772F3">
        <w:t xml:space="preserve"> by the Committee</w:t>
      </w:r>
      <w:r w:rsidR="00B4765A" w:rsidRPr="002772F3">
        <w:t xml:space="preserve"> (para.</w:t>
      </w:r>
      <w:r w:rsidR="00C63D01">
        <w:t xml:space="preserve"> </w:t>
      </w:r>
      <w:r w:rsidR="00B4765A" w:rsidRPr="002772F3">
        <w:t>23) and the Committee on the Rights of Child (</w:t>
      </w:r>
      <w:r w:rsidR="00B4765A" w:rsidRPr="00327019">
        <w:t>CRC/C/KHM/CO/2-3, para.</w:t>
      </w:r>
      <w:r w:rsidR="00036759" w:rsidRPr="00327019">
        <w:t xml:space="preserve"> </w:t>
      </w:r>
      <w:r w:rsidR="00B4765A" w:rsidRPr="00327019">
        <w:t>77</w:t>
      </w:r>
      <w:r w:rsidR="00B4765A" w:rsidRPr="002772F3">
        <w:t>), please provide information on:</w:t>
      </w:r>
    </w:p>
    <w:p w:rsidR="00B4765A" w:rsidRPr="002772F3" w:rsidRDefault="00731920" w:rsidP="00FF7E7B">
      <w:pPr>
        <w:pStyle w:val="SingleTxtG"/>
        <w:rPr>
          <w:rFonts w:eastAsia="SimSun"/>
          <w:bCs/>
          <w:lang w:val="en-US" w:eastAsia="zh-CN"/>
        </w:rPr>
      </w:pPr>
      <w:r w:rsidRPr="002772F3">
        <w:rPr>
          <w:rFonts w:eastAsia="SimSun"/>
          <w:bCs/>
          <w:lang w:val="en-US" w:eastAsia="zh-CN"/>
        </w:rPr>
        <w:tab/>
        <w:t>(</w:t>
      </w:r>
      <w:r w:rsidR="006B4085" w:rsidRPr="002772F3">
        <w:rPr>
          <w:rFonts w:eastAsia="SimSun"/>
          <w:bCs/>
          <w:lang w:val="en-US" w:eastAsia="zh-CN"/>
        </w:rPr>
        <w:t>a</w:t>
      </w:r>
      <w:r w:rsidR="008371B5" w:rsidRPr="002772F3">
        <w:rPr>
          <w:rFonts w:eastAsia="SimSun"/>
          <w:bCs/>
          <w:lang w:val="en-US" w:eastAsia="zh-CN"/>
        </w:rPr>
        <w:t>)</w:t>
      </w:r>
      <w:r w:rsidR="008371B5" w:rsidRPr="002772F3">
        <w:rPr>
          <w:rFonts w:eastAsia="SimSun"/>
          <w:bCs/>
          <w:lang w:val="en-US" w:eastAsia="zh-CN"/>
        </w:rPr>
        <w:tab/>
      </w:r>
      <w:r w:rsidR="00B4765A" w:rsidRPr="002772F3">
        <w:rPr>
          <w:rFonts w:eastAsia="SimSun"/>
          <w:bCs/>
          <w:lang w:val="en-US" w:eastAsia="zh-CN"/>
        </w:rPr>
        <w:t>The number of persons under 18 years of age deprived of their liberty in the State party, disaggregated by facility and gender</w:t>
      </w:r>
      <w:r w:rsidR="00036759">
        <w:rPr>
          <w:rFonts w:eastAsia="SimSun"/>
          <w:bCs/>
          <w:lang w:val="en-US" w:eastAsia="zh-CN"/>
        </w:rPr>
        <w:t>;</w:t>
      </w:r>
    </w:p>
    <w:p w:rsidR="00B4765A" w:rsidRPr="002772F3" w:rsidRDefault="00731920" w:rsidP="00FF7E7B">
      <w:pPr>
        <w:pStyle w:val="SingleTxtG"/>
        <w:rPr>
          <w:rFonts w:eastAsia="SimSun"/>
          <w:bCs/>
          <w:lang w:val="en-US" w:eastAsia="zh-CN"/>
        </w:rPr>
      </w:pPr>
      <w:r w:rsidRPr="002772F3">
        <w:rPr>
          <w:rFonts w:eastAsia="SimSun"/>
          <w:bCs/>
          <w:lang w:val="en-US" w:eastAsia="zh-CN"/>
        </w:rPr>
        <w:tab/>
        <w:t>(</w:t>
      </w:r>
      <w:r w:rsidR="006B4085" w:rsidRPr="002772F3">
        <w:rPr>
          <w:rFonts w:eastAsia="SimSun"/>
          <w:bCs/>
          <w:lang w:val="en-US" w:eastAsia="zh-CN"/>
        </w:rPr>
        <w:t>b</w:t>
      </w:r>
      <w:r w:rsidR="008371B5" w:rsidRPr="002772F3">
        <w:rPr>
          <w:rFonts w:eastAsia="SimSun"/>
          <w:bCs/>
          <w:lang w:val="en-US" w:eastAsia="zh-CN"/>
        </w:rPr>
        <w:t>)</w:t>
      </w:r>
      <w:r w:rsidR="008371B5" w:rsidRPr="002772F3">
        <w:rPr>
          <w:rFonts w:eastAsia="SimSun"/>
          <w:bCs/>
          <w:lang w:val="en-US" w:eastAsia="zh-CN"/>
        </w:rPr>
        <w:tab/>
      </w:r>
      <w:r w:rsidR="00B4765A" w:rsidRPr="002772F3">
        <w:rPr>
          <w:rFonts w:eastAsia="SimSun"/>
          <w:bCs/>
          <w:lang w:val="en-US" w:eastAsia="zh-CN"/>
        </w:rPr>
        <w:t>Whether the State party has established a separate juvenile justice system fully in line with international standards or intends to do so, as recommended by the Committee</w:t>
      </w:r>
      <w:r w:rsidR="00036759">
        <w:rPr>
          <w:rFonts w:eastAsia="SimSun"/>
          <w:bCs/>
          <w:lang w:val="en-US" w:eastAsia="zh-CN"/>
        </w:rPr>
        <w:t>;</w:t>
      </w:r>
    </w:p>
    <w:p w:rsidR="00B4765A" w:rsidRPr="002772F3" w:rsidRDefault="00731920" w:rsidP="00FF7E7B">
      <w:pPr>
        <w:pStyle w:val="SingleTxtG"/>
        <w:rPr>
          <w:rFonts w:eastAsia="SimSun"/>
          <w:bCs/>
          <w:lang w:val="en-US" w:eastAsia="zh-CN"/>
        </w:rPr>
      </w:pPr>
      <w:r w:rsidRPr="002772F3">
        <w:rPr>
          <w:rFonts w:eastAsia="SimSun"/>
          <w:bCs/>
          <w:lang w:val="en-US" w:eastAsia="zh-CN"/>
        </w:rPr>
        <w:tab/>
        <w:t>(</w:t>
      </w:r>
      <w:r w:rsidR="006B4085" w:rsidRPr="002772F3">
        <w:rPr>
          <w:rFonts w:eastAsia="SimSun"/>
          <w:bCs/>
          <w:lang w:val="en-US" w:eastAsia="zh-CN"/>
        </w:rPr>
        <w:t>c</w:t>
      </w:r>
      <w:r w:rsidR="008371B5" w:rsidRPr="002772F3">
        <w:rPr>
          <w:rFonts w:eastAsia="SimSun"/>
          <w:bCs/>
          <w:lang w:val="en-US" w:eastAsia="zh-CN"/>
        </w:rPr>
        <w:t>)</w:t>
      </w:r>
      <w:r w:rsidR="008371B5" w:rsidRPr="002772F3">
        <w:rPr>
          <w:rFonts w:eastAsia="SimSun"/>
          <w:bCs/>
          <w:lang w:val="en-US" w:eastAsia="zh-CN"/>
        </w:rPr>
        <w:tab/>
      </w:r>
      <w:r w:rsidRPr="002772F3">
        <w:rPr>
          <w:rFonts w:eastAsia="SimSun"/>
          <w:bCs/>
          <w:lang w:val="en-US" w:eastAsia="zh-CN"/>
        </w:rPr>
        <w:t xml:space="preserve"> </w:t>
      </w:r>
      <w:r w:rsidR="00F86965" w:rsidRPr="002772F3">
        <w:rPr>
          <w:rFonts w:eastAsia="SimSun"/>
          <w:bCs/>
          <w:lang w:val="en-US" w:eastAsia="zh-CN"/>
        </w:rPr>
        <w:t>A</w:t>
      </w:r>
      <w:r w:rsidR="00B4765A" w:rsidRPr="002772F3">
        <w:rPr>
          <w:rFonts w:eastAsia="SimSun"/>
          <w:bCs/>
          <w:lang w:val="en-US" w:eastAsia="zh-CN"/>
        </w:rPr>
        <w:t>lternative measures to detention with a view to ensuring that deprivation of liberty of juveniles is used only as a measure of last resort, for the shortest possible time and in appropriate conditions</w:t>
      </w:r>
      <w:r w:rsidR="00036759">
        <w:rPr>
          <w:rFonts w:eastAsia="SimSun"/>
          <w:bCs/>
          <w:lang w:val="en-US" w:eastAsia="zh-CN"/>
        </w:rPr>
        <w:t>;</w:t>
      </w:r>
    </w:p>
    <w:p w:rsidR="00B4765A" w:rsidRPr="002772F3" w:rsidRDefault="00731920" w:rsidP="00FF7E7B">
      <w:pPr>
        <w:pStyle w:val="SingleTxtG"/>
        <w:rPr>
          <w:rFonts w:eastAsia="SimSun"/>
          <w:bCs/>
          <w:lang w:val="en-US" w:eastAsia="zh-CN"/>
        </w:rPr>
      </w:pPr>
      <w:r w:rsidRPr="002772F3">
        <w:rPr>
          <w:rFonts w:eastAsia="SimSun"/>
          <w:bCs/>
          <w:lang w:val="en-US" w:eastAsia="zh-CN"/>
        </w:rPr>
        <w:tab/>
        <w:t>(</w:t>
      </w:r>
      <w:r w:rsidR="006B4085" w:rsidRPr="002772F3">
        <w:rPr>
          <w:rFonts w:eastAsia="SimSun"/>
          <w:bCs/>
          <w:lang w:val="en-US" w:eastAsia="zh-CN"/>
        </w:rPr>
        <w:t>d</w:t>
      </w:r>
      <w:r w:rsidR="008371B5" w:rsidRPr="002772F3">
        <w:rPr>
          <w:rFonts w:eastAsia="SimSun"/>
          <w:bCs/>
          <w:lang w:val="en-US" w:eastAsia="zh-CN"/>
        </w:rPr>
        <w:t>)</w:t>
      </w:r>
      <w:r w:rsidR="008371B5" w:rsidRPr="002772F3">
        <w:rPr>
          <w:rFonts w:eastAsia="SimSun"/>
          <w:bCs/>
          <w:lang w:val="en-US" w:eastAsia="zh-CN"/>
        </w:rPr>
        <w:tab/>
      </w:r>
      <w:r w:rsidR="00B4765A" w:rsidRPr="002772F3">
        <w:rPr>
          <w:rFonts w:eastAsia="SimSun"/>
          <w:bCs/>
          <w:lang w:val="en-US" w:eastAsia="zh-CN"/>
        </w:rPr>
        <w:t>Whether juveniles are fully segregated from adults in detention</w:t>
      </w:r>
      <w:r w:rsidR="00036759">
        <w:rPr>
          <w:rFonts w:eastAsia="SimSun"/>
          <w:bCs/>
          <w:lang w:val="en-US" w:eastAsia="zh-CN"/>
        </w:rPr>
        <w:t>;</w:t>
      </w:r>
    </w:p>
    <w:p w:rsidR="00E75EDA" w:rsidRPr="002772F3" w:rsidRDefault="001F5A5D" w:rsidP="00FF7E7B">
      <w:pPr>
        <w:pStyle w:val="SingleTxtG"/>
        <w:rPr>
          <w:rFonts w:eastAsia="SimSun"/>
          <w:bCs/>
          <w:lang w:val="en-US" w:eastAsia="zh-CN"/>
        </w:rPr>
      </w:pPr>
      <w:r>
        <w:rPr>
          <w:rFonts w:eastAsia="SimSun"/>
          <w:bCs/>
          <w:lang w:val="en-US" w:eastAsia="zh-CN"/>
        </w:rPr>
        <w:tab/>
        <w:t>(e)</w:t>
      </w:r>
      <w:r w:rsidR="00E75EDA" w:rsidRPr="002772F3">
        <w:rPr>
          <w:rFonts w:eastAsia="SimSun"/>
          <w:bCs/>
          <w:lang w:val="en-US" w:eastAsia="zh-CN"/>
        </w:rPr>
        <w:tab/>
        <w:t xml:space="preserve">The number of children accompanying their detained parent in prison, </w:t>
      </w:r>
      <w:r w:rsidR="006C5BAE" w:rsidRPr="002772F3">
        <w:rPr>
          <w:rFonts w:eastAsia="SimSun"/>
          <w:bCs/>
          <w:lang w:val="en-US" w:eastAsia="zh-CN"/>
        </w:rPr>
        <w:t>d</w:t>
      </w:r>
      <w:r w:rsidR="00E75EDA" w:rsidRPr="002772F3">
        <w:rPr>
          <w:rFonts w:eastAsia="SimSun"/>
          <w:bCs/>
          <w:lang w:val="en-US" w:eastAsia="zh-CN"/>
        </w:rPr>
        <w:t>isaggregated by age and gender</w:t>
      </w:r>
      <w:r w:rsidR="00F611EC">
        <w:rPr>
          <w:rFonts w:eastAsia="SimSun"/>
          <w:bCs/>
          <w:lang w:val="en-US" w:eastAsia="zh-CN"/>
        </w:rPr>
        <w:t>.</w:t>
      </w:r>
    </w:p>
    <w:p w:rsidR="00B4765A" w:rsidRPr="002772F3" w:rsidRDefault="00BD3885" w:rsidP="00FF7E7B">
      <w:pPr>
        <w:pStyle w:val="SingleTxtG"/>
      </w:pPr>
      <w:r w:rsidRPr="002772F3">
        <w:t>38.</w:t>
      </w:r>
      <w:r w:rsidRPr="002772F3">
        <w:tab/>
      </w:r>
      <w:r w:rsidR="00B4765A" w:rsidRPr="002772F3">
        <w:t>Please provide information on the measures</w:t>
      </w:r>
      <w:r w:rsidR="00DF56DE" w:rsidRPr="002772F3">
        <w:t>, including legislative measures,</w:t>
      </w:r>
      <w:r w:rsidR="00B4765A" w:rsidRPr="002772F3">
        <w:t xml:space="preserve"> taken to ensure that all human rights defenders, journalists and trade union members are protected from</w:t>
      </w:r>
      <w:r w:rsidR="00B4765A" w:rsidRPr="00BD3885">
        <w:rPr>
          <w:rFonts w:eastAsia="Malgun Gothic"/>
        </w:rPr>
        <w:t xml:space="preserve"> any </w:t>
      </w:r>
      <w:r w:rsidR="00B4765A" w:rsidRPr="00BD3885">
        <w:rPr>
          <w:rFonts w:eastAsia="SimSun"/>
          <w:lang w:val="en-US"/>
        </w:rPr>
        <w:t xml:space="preserve">intimidation </w:t>
      </w:r>
      <w:r w:rsidR="00B4765A" w:rsidRPr="00BD3885">
        <w:rPr>
          <w:rFonts w:eastAsia="Malgun Gothic"/>
        </w:rPr>
        <w:t>or</w:t>
      </w:r>
      <w:r w:rsidR="00B4765A" w:rsidRPr="00BD3885">
        <w:rPr>
          <w:rFonts w:eastAsia="SimSun"/>
          <w:lang w:val="en-US"/>
        </w:rPr>
        <w:t xml:space="preserve"> violence</w:t>
      </w:r>
      <w:r w:rsidR="00B4765A" w:rsidRPr="00BD3885">
        <w:rPr>
          <w:rFonts w:eastAsia="Malgun Gothic"/>
        </w:rPr>
        <w:t xml:space="preserve">, particularly by law enforcement and </w:t>
      </w:r>
      <w:r w:rsidR="00B4765A" w:rsidRPr="00BD3885">
        <w:rPr>
          <w:rFonts w:eastAsia="SimSun"/>
          <w:lang w:val="en-US"/>
        </w:rPr>
        <w:t xml:space="preserve">security </w:t>
      </w:r>
      <w:r w:rsidR="00B4765A" w:rsidRPr="00BD3885">
        <w:rPr>
          <w:rFonts w:eastAsia="Malgun Gothic"/>
        </w:rPr>
        <w:t xml:space="preserve">officials, as a result of their activities. </w:t>
      </w:r>
      <w:r w:rsidR="00B4765A" w:rsidRPr="002772F3">
        <w:t>In particular, please comment on:</w:t>
      </w:r>
    </w:p>
    <w:p w:rsidR="00B4765A" w:rsidRPr="002772F3" w:rsidRDefault="00731920" w:rsidP="00FF7E7B">
      <w:pPr>
        <w:pStyle w:val="SingleTxtG"/>
        <w:rPr>
          <w:rFonts w:eastAsia="SimSun"/>
          <w:bCs/>
          <w:lang w:val="en-US" w:eastAsia="zh-CN"/>
        </w:rPr>
      </w:pPr>
      <w:r w:rsidRPr="002772F3">
        <w:rPr>
          <w:rFonts w:eastAsia="SimSun"/>
          <w:bCs/>
          <w:lang w:val="en-US" w:eastAsia="zh-CN"/>
        </w:rPr>
        <w:tab/>
        <w:t>(</w:t>
      </w:r>
      <w:r w:rsidR="008371B5" w:rsidRPr="002772F3">
        <w:rPr>
          <w:rFonts w:eastAsia="SimSun"/>
          <w:bCs/>
          <w:lang w:val="en-US" w:eastAsia="zh-CN"/>
        </w:rPr>
        <w:t>a)</w:t>
      </w:r>
      <w:r w:rsidR="008371B5" w:rsidRPr="002772F3">
        <w:rPr>
          <w:rFonts w:eastAsia="SimSun"/>
          <w:bCs/>
          <w:lang w:val="en-US" w:eastAsia="zh-CN"/>
        </w:rPr>
        <w:tab/>
      </w:r>
      <w:r w:rsidR="00B4765A" w:rsidRPr="002772F3">
        <w:rPr>
          <w:rFonts w:eastAsia="SimSun"/>
          <w:bCs/>
          <w:lang w:val="en-US" w:eastAsia="zh-CN"/>
        </w:rPr>
        <w:t xml:space="preserve">The </w:t>
      </w:r>
      <w:r w:rsidR="000C34FB" w:rsidRPr="002772F3">
        <w:rPr>
          <w:rFonts w:eastAsia="SimSun"/>
          <w:bCs/>
          <w:lang w:val="en-US" w:eastAsia="zh-CN"/>
        </w:rPr>
        <w:t xml:space="preserve">fact that Koh Kong provincial court dropped the court case of the </w:t>
      </w:r>
      <w:r w:rsidR="00B4765A" w:rsidRPr="002772F3">
        <w:rPr>
          <w:rFonts w:eastAsia="SimSun"/>
          <w:bCs/>
          <w:lang w:val="en-US" w:eastAsia="zh-CN"/>
        </w:rPr>
        <w:t xml:space="preserve">extrajudicial killing of environmental activist Chut Wutty on </w:t>
      </w:r>
      <w:r w:rsidR="00036759">
        <w:rPr>
          <w:rFonts w:eastAsia="SimSun"/>
          <w:bCs/>
          <w:lang w:val="en-US" w:eastAsia="zh-CN"/>
        </w:rPr>
        <w:t xml:space="preserve">26 </w:t>
      </w:r>
      <w:r w:rsidR="00B4765A" w:rsidRPr="002772F3">
        <w:rPr>
          <w:rFonts w:eastAsia="SimSun"/>
          <w:bCs/>
          <w:lang w:val="en-US" w:eastAsia="zh-CN"/>
        </w:rPr>
        <w:t>April 2012</w:t>
      </w:r>
      <w:r w:rsidR="00291A72" w:rsidRPr="002772F3">
        <w:rPr>
          <w:rFonts w:eastAsia="SimSun"/>
          <w:bCs/>
          <w:lang w:val="en-US" w:eastAsia="zh-CN"/>
        </w:rPr>
        <w:t>, thus preventing further examination of witness statements on the identity of the alleged killer</w:t>
      </w:r>
      <w:r w:rsidR="00036759">
        <w:rPr>
          <w:rFonts w:eastAsia="SimSun"/>
          <w:bCs/>
          <w:lang w:val="en-US" w:eastAsia="zh-CN"/>
        </w:rPr>
        <w:t>;</w:t>
      </w:r>
    </w:p>
    <w:p w:rsidR="00B4765A" w:rsidRPr="002772F3" w:rsidRDefault="00731920" w:rsidP="00FF7E7B">
      <w:pPr>
        <w:pStyle w:val="SingleTxtG"/>
        <w:rPr>
          <w:rFonts w:eastAsia="SimSun"/>
          <w:bCs/>
          <w:lang w:val="en-US" w:eastAsia="zh-CN"/>
        </w:rPr>
      </w:pPr>
      <w:r w:rsidRPr="002772F3">
        <w:rPr>
          <w:rFonts w:eastAsia="SimSun"/>
          <w:bCs/>
          <w:lang w:val="en-US" w:eastAsia="zh-CN"/>
        </w:rPr>
        <w:tab/>
        <w:t>(</w:t>
      </w:r>
      <w:r w:rsidR="008371B5" w:rsidRPr="002772F3">
        <w:rPr>
          <w:rFonts w:eastAsia="SimSun"/>
          <w:bCs/>
          <w:lang w:val="en-US" w:eastAsia="zh-CN"/>
        </w:rPr>
        <w:t>b)</w:t>
      </w:r>
      <w:r w:rsidR="008371B5" w:rsidRPr="002772F3">
        <w:rPr>
          <w:rFonts w:eastAsia="SimSun"/>
          <w:bCs/>
          <w:lang w:val="en-US" w:eastAsia="zh-CN"/>
        </w:rPr>
        <w:tab/>
      </w:r>
      <w:r w:rsidR="00B4765A" w:rsidRPr="002772F3">
        <w:rPr>
          <w:rFonts w:eastAsia="SimSun"/>
          <w:bCs/>
          <w:lang w:val="en-US" w:eastAsia="zh-CN"/>
        </w:rPr>
        <w:t xml:space="preserve">The </w:t>
      </w:r>
      <w:r w:rsidR="006B4085" w:rsidRPr="002772F3">
        <w:rPr>
          <w:rFonts w:eastAsia="SimSun"/>
          <w:bCs/>
          <w:lang w:val="en-US" w:eastAsia="zh-CN"/>
        </w:rPr>
        <w:t>sentencing to 20 years in prison for</w:t>
      </w:r>
      <w:r w:rsidR="00B4765A" w:rsidRPr="002772F3">
        <w:rPr>
          <w:rFonts w:eastAsia="SimSun"/>
          <w:bCs/>
          <w:lang w:val="en-US" w:eastAsia="zh-CN"/>
        </w:rPr>
        <w:t xml:space="preserve"> allegedly unfounded criminal charges for offen</w:t>
      </w:r>
      <w:r w:rsidR="00036759">
        <w:rPr>
          <w:rFonts w:eastAsia="SimSun"/>
          <w:bCs/>
          <w:lang w:val="en-US" w:eastAsia="zh-CN"/>
        </w:rPr>
        <w:t>c</w:t>
      </w:r>
      <w:r w:rsidR="00B4765A" w:rsidRPr="002772F3">
        <w:rPr>
          <w:rFonts w:eastAsia="SimSun"/>
          <w:bCs/>
          <w:lang w:val="en-US" w:eastAsia="zh-CN"/>
        </w:rPr>
        <w:t xml:space="preserve">es including “insurrection” on </w:t>
      </w:r>
      <w:r w:rsidR="00036759">
        <w:rPr>
          <w:rFonts w:eastAsia="SimSun"/>
          <w:bCs/>
          <w:lang w:val="en-US" w:eastAsia="zh-CN"/>
        </w:rPr>
        <w:t xml:space="preserve">12 </w:t>
      </w:r>
      <w:r w:rsidR="00B4765A" w:rsidRPr="002772F3">
        <w:rPr>
          <w:rFonts w:eastAsia="SimSun"/>
          <w:bCs/>
          <w:lang w:val="en-US" w:eastAsia="zh-CN"/>
        </w:rPr>
        <w:t xml:space="preserve">July 2012 </w:t>
      </w:r>
      <w:r w:rsidR="00036759">
        <w:rPr>
          <w:rFonts w:eastAsia="SimSun"/>
          <w:bCs/>
          <w:lang w:val="en-US" w:eastAsia="zh-CN"/>
        </w:rPr>
        <w:t>of</w:t>
      </w:r>
      <w:r w:rsidR="00036759" w:rsidRPr="002772F3">
        <w:rPr>
          <w:rFonts w:eastAsia="SimSun"/>
          <w:bCs/>
          <w:lang w:val="en-US" w:eastAsia="zh-CN"/>
        </w:rPr>
        <w:t xml:space="preserve"> </w:t>
      </w:r>
      <w:r w:rsidR="00B4765A" w:rsidRPr="002772F3">
        <w:rPr>
          <w:rFonts w:eastAsia="SimSun"/>
          <w:bCs/>
          <w:lang w:val="en-US" w:eastAsia="zh-CN"/>
        </w:rPr>
        <w:t>Mam Sonando, director of Beehive Radio and president of the NGO Democrats Association, following his reporting on land seizures</w:t>
      </w:r>
      <w:r w:rsidR="00036759">
        <w:rPr>
          <w:rFonts w:eastAsia="SimSun"/>
          <w:bCs/>
          <w:lang w:val="en-US" w:eastAsia="zh-CN"/>
        </w:rPr>
        <w:t>;</w:t>
      </w:r>
    </w:p>
    <w:p w:rsidR="00B4765A" w:rsidRPr="002772F3" w:rsidRDefault="00731920" w:rsidP="00FF7E7B">
      <w:pPr>
        <w:pStyle w:val="SingleTxtG"/>
        <w:rPr>
          <w:rFonts w:eastAsia="SimSun"/>
          <w:bCs/>
          <w:lang w:val="en-US" w:eastAsia="zh-CN"/>
        </w:rPr>
      </w:pPr>
      <w:r w:rsidRPr="002772F3">
        <w:rPr>
          <w:rFonts w:eastAsia="SimSun"/>
          <w:bCs/>
          <w:lang w:val="en-US" w:eastAsia="zh-CN"/>
        </w:rPr>
        <w:tab/>
        <w:t>(</w:t>
      </w:r>
      <w:r w:rsidR="008371B5" w:rsidRPr="002772F3">
        <w:rPr>
          <w:rFonts w:eastAsia="SimSun"/>
          <w:bCs/>
          <w:lang w:val="en-US" w:eastAsia="zh-CN"/>
        </w:rPr>
        <w:t>c)</w:t>
      </w:r>
      <w:r w:rsidR="008371B5" w:rsidRPr="002772F3">
        <w:rPr>
          <w:rFonts w:eastAsia="SimSun"/>
          <w:bCs/>
          <w:lang w:val="en-US" w:eastAsia="zh-CN"/>
        </w:rPr>
        <w:tab/>
      </w:r>
      <w:r w:rsidR="00B4765A" w:rsidRPr="002772F3">
        <w:rPr>
          <w:rFonts w:eastAsia="SimSun"/>
          <w:bCs/>
          <w:lang w:val="en-US" w:eastAsia="zh-CN"/>
        </w:rPr>
        <w:t>The filing of criminal charges against union leader Sous Chantha in 2011</w:t>
      </w:r>
      <w:r w:rsidR="00036759">
        <w:rPr>
          <w:rFonts w:eastAsia="SimSun"/>
          <w:bCs/>
          <w:lang w:val="en-US" w:eastAsia="zh-CN"/>
        </w:rPr>
        <w:t>;</w:t>
      </w:r>
      <w:r w:rsidR="00B4765A" w:rsidRPr="002772F3">
        <w:rPr>
          <w:rFonts w:eastAsia="SimSun"/>
          <w:bCs/>
          <w:lang w:val="en-US" w:eastAsia="zh-CN"/>
        </w:rPr>
        <w:t xml:space="preserve"> </w:t>
      </w:r>
    </w:p>
    <w:p w:rsidR="00B4765A" w:rsidRPr="002772F3" w:rsidRDefault="00731920" w:rsidP="00FF7E7B">
      <w:pPr>
        <w:pStyle w:val="SingleTxtG"/>
        <w:rPr>
          <w:rFonts w:eastAsia="SimSun"/>
          <w:bCs/>
          <w:lang w:val="en-US" w:eastAsia="zh-CN"/>
        </w:rPr>
      </w:pPr>
      <w:r w:rsidRPr="002772F3">
        <w:rPr>
          <w:rFonts w:eastAsia="SimSun"/>
          <w:bCs/>
          <w:lang w:val="en-US" w:eastAsia="zh-CN"/>
        </w:rPr>
        <w:tab/>
        <w:t>(</w:t>
      </w:r>
      <w:r w:rsidR="008371B5" w:rsidRPr="002772F3">
        <w:rPr>
          <w:rFonts w:eastAsia="SimSun"/>
          <w:bCs/>
          <w:lang w:val="en-US" w:eastAsia="zh-CN"/>
        </w:rPr>
        <w:t>d)</w:t>
      </w:r>
      <w:r w:rsidR="008371B5" w:rsidRPr="002772F3">
        <w:rPr>
          <w:rFonts w:eastAsia="SimSun"/>
          <w:bCs/>
          <w:lang w:val="en-US" w:eastAsia="zh-CN"/>
        </w:rPr>
        <w:tab/>
      </w:r>
      <w:r w:rsidR="00B4765A" w:rsidRPr="002772F3">
        <w:rPr>
          <w:rFonts w:eastAsia="SimSun"/>
          <w:bCs/>
          <w:lang w:val="en-US" w:eastAsia="zh-CN"/>
        </w:rPr>
        <w:t>Reports, including those in a</w:t>
      </w:r>
      <w:r w:rsidR="003003F2" w:rsidRPr="002772F3">
        <w:rPr>
          <w:rFonts w:eastAsia="SimSun"/>
          <w:bCs/>
          <w:lang w:val="en-US" w:eastAsia="zh-CN"/>
        </w:rPr>
        <w:t>n allegation</w:t>
      </w:r>
      <w:r w:rsidR="00B4765A" w:rsidRPr="002772F3">
        <w:rPr>
          <w:rFonts w:eastAsia="SimSun"/>
          <w:bCs/>
          <w:lang w:val="en-US" w:eastAsia="zh-CN"/>
        </w:rPr>
        <w:t xml:space="preserve"> letter by </w:t>
      </w:r>
      <w:r w:rsidR="003441C6">
        <w:rPr>
          <w:rFonts w:eastAsia="SimSun"/>
          <w:bCs/>
          <w:lang w:val="en-US" w:eastAsia="zh-CN"/>
        </w:rPr>
        <w:t>four</w:t>
      </w:r>
      <w:r w:rsidR="003441C6" w:rsidRPr="002772F3">
        <w:rPr>
          <w:rFonts w:eastAsia="SimSun"/>
          <w:bCs/>
          <w:lang w:val="en-US" w:eastAsia="zh-CN"/>
        </w:rPr>
        <w:t xml:space="preserve"> </w:t>
      </w:r>
      <w:r w:rsidR="00B4765A" w:rsidRPr="002772F3">
        <w:rPr>
          <w:rFonts w:eastAsia="SimSun"/>
          <w:bCs/>
          <w:lang w:val="en-US" w:eastAsia="zh-CN"/>
        </w:rPr>
        <w:t xml:space="preserve">Special </w:t>
      </w:r>
      <w:r w:rsidR="00036759">
        <w:rPr>
          <w:rFonts w:eastAsia="SimSun"/>
          <w:bCs/>
          <w:lang w:val="en-US" w:eastAsia="zh-CN"/>
        </w:rPr>
        <w:t>R</w:t>
      </w:r>
      <w:r w:rsidR="00B4765A" w:rsidRPr="002772F3">
        <w:rPr>
          <w:rFonts w:eastAsia="SimSun"/>
          <w:bCs/>
          <w:lang w:val="en-US" w:eastAsia="zh-CN"/>
        </w:rPr>
        <w:t>apporteurs, dated 26 September 2011</w:t>
      </w:r>
      <w:r w:rsidR="003441C6">
        <w:rPr>
          <w:rFonts w:eastAsia="SimSun"/>
          <w:bCs/>
          <w:lang w:val="en-US" w:eastAsia="zh-CN"/>
        </w:rPr>
        <w:t xml:space="preserve"> (see </w:t>
      </w:r>
      <w:r w:rsidR="003441C6" w:rsidRPr="003441C6">
        <w:rPr>
          <w:lang w:val="es-ES"/>
        </w:rPr>
        <w:t>A/HRC/20/27/Add.3</w:t>
      </w:r>
      <w:r w:rsidR="003441C6">
        <w:rPr>
          <w:lang w:val="es-ES"/>
        </w:rPr>
        <w:t>, para. 56)</w:t>
      </w:r>
      <w:r w:rsidR="00B4765A" w:rsidRPr="002772F3">
        <w:rPr>
          <w:rFonts w:eastAsia="SimSun"/>
          <w:bCs/>
          <w:lang w:val="en-US" w:eastAsia="zh-CN"/>
        </w:rPr>
        <w:t>,</w:t>
      </w:r>
      <w:r w:rsidR="00B4765A" w:rsidRPr="00BD3885">
        <w:rPr>
          <w:rFonts w:eastAsia="SimSun"/>
          <w:vertAlign w:val="superscript"/>
          <w:lang w:val="en-US"/>
        </w:rPr>
        <w:footnoteReference w:id="21"/>
      </w:r>
      <w:r w:rsidR="00B4765A" w:rsidRPr="002772F3">
        <w:rPr>
          <w:rFonts w:eastAsia="SimSun"/>
          <w:bCs/>
          <w:lang w:val="en-US" w:eastAsia="zh-CN"/>
        </w:rPr>
        <w:t xml:space="preserve"> that the State party temporarily suspended the activities of one NGO and that</w:t>
      </w:r>
      <w:r w:rsidR="00036759">
        <w:rPr>
          <w:rFonts w:eastAsia="SimSun"/>
          <w:bCs/>
          <w:lang w:val="en-US" w:eastAsia="zh-CN"/>
        </w:rPr>
        <w:t>,</w:t>
      </w:r>
      <w:r w:rsidR="00B4765A" w:rsidRPr="002772F3">
        <w:rPr>
          <w:rFonts w:eastAsia="SimSun"/>
          <w:bCs/>
          <w:lang w:val="en-US" w:eastAsia="zh-CN"/>
        </w:rPr>
        <w:t xml:space="preserve"> on several occasions</w:t>
      </w:r>
      <w:r w:rsidR="003003F2" w:rsidRPr="002772F3">
        <w:rPr>
          <w:rFonts w:eastAsia="SimSun"/>
          <w:bCs/>
          <w:lang w:val="en-US" w:eastAsia="zh-CN"/>
        </w:rPr>
        <w:t>,</w:t>
      </w:r>
      <w:r w:rsidR="00B4765A" w:rsidRPr="002772F3">
        <w:rPr>
          <w:rFonts w:eastAsia="SimSun"/>
          <w:bCs/>
          <w:lang w:val="en-US" w:eastAsia="zh-CN"/>
        </w:rPr>
        <w:t xml:space="preserve"> security and law enforcement personnel issued warnings to and engaged in acts of intimidation against several other NGOs allegedly as a direct result of their human rights work on issues relating to land and housing rights</w:t>
      </w:r>
      <w:r w:rsidR="00036759">
        <w:rPr>
          <w:rFonts w:eastAsia="SimSun"/>
          <w:bCs/>
          <w:lang w:val="en-US" w:eastAsia="zh-CN"/>
        </w:rPr>
        <w:t>;</w:t>
      </w:r>
      <w:r w:rsidR="00B4765A" w:rsidRPr="002772F3">
        <w:rPr>
          <w:rFonts w:eastAsia="SimSun"/>
          <w:bCs/>
          <w:lang w:val="en-US" w:eastAsia="zh-CN"/>
        </w:rPr>
        <w:t xml:space="preserve"> </w:t>
      </w:r>
    </w:p>
    <w:p w:rsidR="00B4765A" w:rsidRPr="002772F3" w:rsidRDefault="00731920" w:rsidP="00FF7E7B">
      <w:pPr>
        <w:pStyle w:val="SingleTxtG"/>
        <w:rPr>
          <w:rFonts w:eastAsia="SimSun"/>
          <w:lang w:val="en-US" w:eastAsia="zh-CN"/>
        </w:rPr>
      </w:pPr>
      <w:r w:rsidRPr="002772F3">
        <w:rPr>
          <w:rFonts w:eastAsia="SimSun"/>
          <w:lang w:val="en-US" w:eastAsia="zh-CN"/>
        </w:rPr>
        <w:tab/>
        <w:t>(</w:t>
      </w:r>
      <w:r w:rsidR="008371B5" w:rsidRPr="002772F3">
        <w:rPr>
          <w:rFonts w:eastAsia="SimSun"/>
          <w:lang w:val="en-US" w:eastAsia="zh-CN"/>
        </w:rPr>
        <w:t>e)</w:t>
      </w:r>
      <w:r w:rsidR="008371B5" w:rsidRPr="002772F3">
        <w:rPr>
          <w:rFonts w:eastAsia="SimSun"/>
          <w:lang w:val="en-US" w:eastAsia="zh-CN"/>
        </w:rPr>
        <w:tab/>
      </w:r>
      <w:r w:rsidR="00B4765A" w:rsidRPr="002772F3">
        <w:rPr>
          <w:rFonts w:eastAsia="SimSun"/>
          <w:lang w:val="en-US" w:eastAsia="zh-CN"/>
        </w:rPr>
        <w:t>Concerns expressed by the Special Rapporte</w:t>
      </w:r>
      <w:r w:rsidR="006B4085" w:rsidRPr="002772F3">
        <w:rPr>
          <w:rFonts w:eastAsia="SimSun"/>
          <w:lang w:val="en-US" w:eastAsia="zh-CN"/>
        </w:rPr>
        <w:t>u</w:t>
      </w:r>
      <w:r w:rsidR="00B4765A" w:rsidRPr="002772F3">
        <w:rPr>
          <w:rFonts w:eastAsia="SimSun"/>
          <w:lang w:val="en-US" w:eastAsia="zh-CN"/>
        </w:rPr>
        <w:t xml:space="preserve">r on the situation of human rights in </w:t>
      </w:r>
      <w:smartTag w:uri="urn:schemas-microsoft-com:office:smarttags" w:element="country-region">
        <w:smartTag w:uri="urn:schemas-microsoft-com:office:smarttags" w:element="place">
          <w:r w:rsidR="00B4765A" w:rsidRPr="002772F3">
            <w:rPr>
              <w:rFonts w:eastAsia="SimSun"/>
              <w:lang w:val="en-US" w:eastAsia="zh-CN"/>
            </w:rPr>
            <w:t>Cambodia</w:t>
          </w:r>
        </w:smartTag>
      </w:smartTag>
      <w:r w:rsidR="00B4765A" w:rsidRPr="002772F3">
        <w:rPr>
          <w:rFonts w:eastAsia="SimSun"/>
          <w:lang w:val="en-US" w:eastAsia="zh-CN"/>
        </w:rPr>
        <w:t xml:space="preserve"> regarding reprisals against human rights defenders, land rights activists, and individuals of communities defending their land and housing rights in the </w:t>
      </w:r>
      <w:r w:rsidR="00A643F7" w:rsidRPr="002772F3">
        <w:rPr>
          <w:rFonts w:eastAsia="SimSun"/>
          <w:lang w:val="en-US" w:eastAsia="zh-CN"/>
        </w:rPr>
        <w:t xml:space="preserve">context </w:t>
      </w:r>
      <w:r w:rsidR="00B4765A" w:rsidRPr="002772F3">
        <w:rPr>
          <w:rFonts w:eastAsia="SimSun"/>
          <w:lang w:val="en-US" w:eastAsia="zh-CN"/>
        </w:rPr>
        <w:t xml:space="preserve">of </w:t>
      </w:r>
      <w:r w:rsidR="00A643F7" w:rsidRPr="002772F3">
        <w:rPr>
          <w:rFonts w:eastAsia="SimSun"/>
          <w:lang w:val="en-US" w:eastAsia="zh-CN"/>
        </w:rPr>
        <w:t>land disputes</w:t>
      </w:r>
      <w:r w:rsidR="003441C6">
        <w:rPr>
          <w:rFonts w:eastAsia="SimSun"/>
          <w:lang w:val="en-US" w:eastAsia="zh-CN"/>
        </w:rPr>
        <w:t xml:space="preserve"> (</w:t>
      </w:r>
      <w:r w:rsidR="003441C6" w:rsidRPr="003441C6">
        <w:rPr>
          <w:lang w:val="es-ES"/>
        </w:rPr>
        <w:t>A/HRC/18/46</w:t>
      </w:r>
      <w:r w:rsidR="003441C6">
        <w:rPr>
          <w:rFonts w:eastAsia="SimSun"/>
          <w:lang w:val="en-US" w:eastAsia="zh-CN"/>
        </w:rPr>
        <w:t>)</w:t>
      </w:r>
      <w:r w:rsidR="00B4765A" w:rsidRPr="002772F3">
        <w:rPr>
          <w:rFonts w:eastAsia="SimSun"/>
          <w:lang w:val="en-US" w:eastAsia="zh-CN"/>
        </w:rPr>
        <w:t>.</w:t>
      </w:r>
    </w:p>
    <w:p w:rsidR="00A643F7" w:rsidRPr="002772F3" w:rsidRDefault="00BD3885" w:rsidP="00FF7E7B">
      <w:pPr>
        <w:pStyle w:val="SingleTxtG"/>
        <w:rPr>
          <w:lang w:val="en-US" w:bidi="km-KH"/>
        </w:rPr>
      </w:pPr>
      <w:r w:rsidRPr="002772F3">
        <w:rPr>
          <w:lang w:val="en-US" w:bidi="km-KH"/>
        </w:rPr>
        <w:t>39.</w:t>
      </w:r>
      <w:r w:rsidRPr="002772F3">
        <w:rPr>
          <w:lang w:val="en-US" w:bidi="km-KH"/>
        </w:rPr>
        <w:tab/>
      </w:r>
      <w:r w:rsidR="00A643F7" w:rsidRPr="002772F3">
        <w:t>In</w:t>
      </w:r>
      <w:r w:rsidR="00036759">
        <w:t xml:space="preserve"> the</w:t>
      </w:r>
      <w:r w:rsidR="00A643F7" w:rsidRPr="002772F3">
        <w:t xml:space="preserve"> light of the recommendations made by the Committee on the Elimination of Racial Discrimination (</w:t>
      </w:r>
      <w:r w:rsidR="00A643F7" w:rsidRPr="00DA7543">
        <w:rPr>
          <w:color w:val="000000"/>
          <w:lang w:val="en-US" w:bidi="km-KH"/>
        </w:rPr>
        <w:t>CERD/C/KHM/CO/8-13, para</w:t>
      </w:r>
      <w:r w:rsidR="00C446F6" w:rsidRPr="00DA7543">
        <w:rPr>
          <w:color w:val="000000"/>
          <w:lang w:val="en-US" w:bidi="km-KH"/>
        </w:rPr>
        <w:t>.</w:t>
      </w:r>
      <w:r w:rsidR="00036759" w:rsidRPr="00DA7543">
        <w:rPr>
          <w:color w:val="000000"/>
          <w:lang w:val="en-US" w:bidi="km-KH"/>
        </w:rPr>
        <w:t xml:space="preserve"> </w:t>
      </w:r>
      <w:r w:rsidR="00C446F6" w:rsidRPr="00DA7543">
        <w:rPr>
          <w:color w:val="000000"/>
          <w:lang w:val="en-US" w:bidi="km-KH"/>
        </w:rPr>
        <w:t>17</w:t>
      </w:r>
      <w:r w:rsidR="00A643F7" w:rsidRPr="002772F3">
        <w:t xml:space="preserve">), please </w:t>
      </w:r>
      <w:r w:rsidR="003003F2" w:rsidRPr="002772F3">
        <w:t>indicate</w:t>
      </w:r>
      <w:r w:rsidR="00A643F7" w:rsidRPr="002772F3">
        <w:t xml:space="preserve"> any measures taken</w:t>
      </w:r>
      <w:r w:rsidR="00C446F6" w:rsidRPr="002772F3">
        <w:t xml:space="preserve"> to ensure </w:t>
      </w:r>
      <w:r w:rsidR="00C446F6" w:rsidRPr="002772F3">
        <w:rPr>
          <w:lang w:val="en-US" w:bidi="km-KH"/>
        </w:rPr>
        <w:t xml:space="preserve">full protection to </w:t>
      </w:r>
      <w:r w:rsidR="00C446F6" w:rsidRPr="002772F3">
        <w:rPr>
          <w:color w:val="000000"/>
          <w:lang w:val="en-US" w:bidi="km-KH"/>
        </w:rPr>
        <w:t xml:space="preserve">indigenous peoples </w:t>
      </w:r>
      <w:r w:rsidR="00C446F6" w:rsidRPr="002772F3">
        <w:rPr>
          <w:lang w:val="en-US" w:bidi="km-KH"/>
        </w:rPr>
        <w:t xml:space="preserve">against physical attacks and intimidation as they seek to exercise their rights to claim communal land. </w:t>
      </w:r>
    </w:p>
    <w:p w:rsidR="00B4765A" w:rsidRPr="002772F3" w:rsidRDefault="00B4765A" w:rsidP="00731920">
      <w:pPr>
        <w:pStyle w:val="H23G"/>
      </w:pPr>
      <w:r w:rsidRPr="002772F3">
        <w:rPr>
          <w:lang w:eastAsia="zh-CN"/>
        </w:rPr>
        <w:tab/>
      </w:r>
      <w:r w:rsidRPr="002772F3">
        <w:rPr>
          <w:lang w:eastAsia="zh-CN"/>
        </w:rPr>
        <w:tab/>
      </w:r>
      <w:r w:rsidRPr="00036759">
        <w:t>Other issues</w:t>
      </w:r>
    </w:p>
    <w:p w:rsidR="00B4765A" w:rsidRPr="002772F3" w:rsidRDefault="00BD3885" w:rsidP="00FF7E7B">
      <w:pPr>
        <w:pStyle w:val="SingleTxtG"/>
      </w:pPr>
      <w:r w:rsidRPr="002772F3">
        <w:t>40.</w:t>
      </w:r>
      <w:r w:rsidRPr="002772F3">
        <w:tab/>
      </w:r>
      <w:r w:rsidR="00B4765A" w:rsidRPr="002772F3">
        <w:t>Please provide updated information on how the State party has ensured that anti-terrorism measures comply with all its obligations under the Convention, in accordance with Security Council resolution 1624 (2005). Please describe the number and types of persons convicted under such legislation; the legal safeguards and remedies available to persons subjected to anti-terrorist measures in law and in practice; and measures taken by the State party in response to any complaints of non-observance of international standards.</w:t>
      </w:r>
    </w:p>
    <w:p w:rsidR="00B4765A" w:rsidRPr="002772F3" w:rsidRDefault="00B4765A" w:rsidP="00731920">
      <w:pPr>
        <w:pStyle w:val="H23G"/>
      </w:pPr>
      <w:r w:rsidRPr="002772F3">
        <w:tab/>
      </w:r>
      <w:r w:rsidRPr="002772F3">
        <w:tab/>
        <w:t>General information on the national human rights situation, including new measures and developments relating to the implementation of the Convention</w:t>
      </w:r>
    </w:p>
    <w:p w:rsidR="00B4765A" w:rsidRPr="002772F3" w:rsidRDefault="00BD3885" w:rsidP="00FF7E7B">
      <w:pPr>
        <w:pStyle w:val="SingleTxtG"/>
      </w:pPr>
      <w:r w:rsidRPr="002772F3">
        <w:t>41.</w:t>
      </w:r>
      <w:r w:rsidRPr="002772F3">
        <w:tab/>
      </w:r>
      <w:r w:rsidR="00B4765A" w:rsidRPr="002772F3">
        <w:t>Please provide detailed information on the relevant new developments on the legal and institutional framework within which human rights are promoted and protected at the national level that have occurred since the previous periodic report including any relevant jurisprudential decisions.</w:t>
      </w:r>
    </w:p>
    <w:p w:rsidR="00B4765A" w:rsidRPr="002772F3" w:rsidRDefault="00BD3885" w:rsidP="00FF7E7B">
      <w:pPr>
        <w:pStyle w:val="SingleTxtG"/>
      </w:pPr>
      <w:r w:rsidRPr="002772F3">
        <w:t>42.</w:t>
      </w:r>
      <w:r w:rsidRPr="002772F3">
        <w:tab/>
      </w:r>
      <w:r w:rsidR="00B4765A" w:rsidRPr="002772F3">
        <w:t xml:space="preserve">Please provide detailed relevant information on the new political, administrative and other measures taken to promote and protect human rights at the national level occurred since the previous periodic report, including on any national human rights plans or programmes, and the resources allocated </w:t>
      </w:r>
      <w:r w:rsidR="00093BC1">
        <w:t>there</w:t>
      </w:r>
      <w:r w:rsidR="00B4765A" w:rsidRPr="002772F3">
        <w:t xml:space="preserve">to, </w:t>
      </w:r>
      <w:r w:rsidR="005A123E">
        <w:t>their</w:t>
      </w:r>
      <w:r w:rsidR="005A123E" w:rsidRPr="002772F3">
        <w:t xml:space="preserve"> </w:t>
      </w:r>
      <w:r w:rsidR="00B4765A" w:rsidRPr="002772F3">
        <w:t>means, objectives and results.</w:t>
      </w:r>
    </w:p>
    <w:p w:rsidR="00B4765A" w:rsidRPr="002772F3" w:rsidRDefault="00BD3885" w:rsidP="00FF7E7B">
      <w:pPr>
        <w:pStyle w:val="SingleTxtG"/>
      </w:pPr>
      <w:r w:rsidRPr="002772F3">
        <w:t>43.</w:t>
      </w:r>
      <w:r w:rsidRPr="002772F3">
        <w:tab/>
      </w:r>
      <w:r w:rsidR="00B4765A" w:rsidRPr="002772F3">
        <w:t xml:space="preserve">Please provide any other information on new measures and developments undertaken to implement the Convention and the Committee’s recommendations since the consideration of the previous periodic report in 2010, including the necessary statistical data, as well as on any events that </w:t>
      </w:r>
      <w:r w:rsidR="00093BC1">
        <w:t xml:space="preserve">have </w:t>
      </w:r>
      <w:r w:rsidR="00B4765A" w:rsidRPr="002772F3">
        <w:t>occurred in the State party and are relevant under the Convention.</w:t>
      </w:r>
    </w:p>
    <w:p w:rsidR="00B4765A" w:rsidRPr="002772F3" w:rsidRDefault="00B4765A" w:rsidP="00B4765A">
      <w:pPr>
        <w:spacing w:before="240"/>
        <w:ind w:left="1134" w:right="1134"/>
        <w:jc w:val="center"/>
        <w:rPr>
          <w:u w:val="single"/>
        </w:rPr>
      </w:pPr>
      <w:r w:rsidRPr="002772F3">
        <w:rPr>
          <w:u w:val="single"/>
        </w:rPr>
        <w:tab/>
      </w:r>
      <w:r w:rsidRPr="002772F3">
        <w:rPr>
          <w:u w:val="single"/>
        </w:rPr>
        <w:tab/>
      </w:r>
      <w:r w:rsidRPr="002772F3">
        <w:rPr>
          <w:u w:val="single"/>
        </w:rPr>
        <w:tab/>
      </w:r>
    </w:p>
    <w:sectPr w:rsidR="00B4765A" w:rsidRPr="002772F3" w:rsidSect="00FD615B">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A3B" w:rsidRDefault="004D0A3B"/>
  </w:endnote>
  <w:endnote w:type="continuationSeparator" w:id="0">
    <w:p w:rsidR="004D0A3B" w:rsidRDefault="004D0A3B"/>
  </w:endnote>
  <w:endnote w:type="continuationNotice" w:id="1">
    <w:p w:rsidR="004D0A3B" w:rsidRDefault="004D0A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1)">
    <w:altName w:val="Times New Roman"/>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EC" w:rsidRPr="00FD615B" w:rsidRDefault="00C50EEC" w:rsidP="00FD615B">
    <w:pPr>
      <w:pStyle w:val="Footer"/>
      <w:tabs>
        <w:tab w:val="right" w:pos="9638"/>
      </w:tabs>
    </w:pPr>
    <w:r w:rsidRPr="00FD615B">
      <w:rPr>
        <w:b/>
        <w:sz w:val="18"/>
      </w:rPr>
      <w:fldChar w:fldCharType="begin"/>
    </w:r>
    <w:r w:rsidRPr="00FD615B">
      <w:rPr>
        <w:b/>
        <w:sz w:val="18"/>
      </w:rPr>
      <w:instrText xml:space="preserve"> PAGE  \* MERGEFORMAT </w:instrText>
    </w:r>
    <w:r w:rsidRPr="00FD615B">
      <w:rPr>
        <w:b/>
        <w:sz w:val="18"/>
      </w:rPr>
      <w:fldChar w:fldCharType="separate"/>
    </w:r>
    <w:r w:rsidR="00F36A86">
      <w:rPr>
        <w:b/>
        <w:noProof/>
        <w:sz w:val="18"/>
      </w:rPr>
      <w:t>10</w:t>
    </w:r>
    <w:r w:rsidRPr="00FD615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EC" w:rsidRPr="00FD615B" w:rsidRDefault="00C50EEC" w:rsidP="00FD615B">
    <w:pPr>
      <w:pStyle w:val="Footer"/>
      <w:tabs>
        <w:tab w:val="right" w:pos="9638"/>
      </w:tabs>
      <w:rPr>
        <w:b/>
        <w:sz w:val="18"/>
      </w:rPr>
    </w:pPr>
    <w:r>
      <w:tab/>
    </w:r>
    <w:r w:rsidRPr="00FD615B">
      <w:rPr>
        <w:b/>
        <w:sz w:val="18"/>
      </w:rPr>
      <w:fldChar w:fldCharType="begin"/>
    </w:r>
    <w:r w:rsidRPr="00FD615B">
      <w:rPr>
        <w:b/>
        <w:sz w:val="18"/>
      </w:rPr>
      <w:instrText xml:space="preserve"> PAGE  \* MERGEFORMAT </w:instrText>
    </w:r>
    <w:r w:rsidRPr="00FD615B">
      <w:rPr>
        <w:b/>
        <w:sz w:val="18"/>
      </w:rPr>
      <w:fldChar w:fldCharType="separate"/>
    </w:r>
    <w:r w:rsidR="00F36A86">
      <w:rPr>
        <w:b/>
        <w:noProof/>
        <w:sz w:val="18"/>
      </w:rPr>
      <w:t>11</w:t>
    </w:r>
    <w:r w:rsidRPr="00FD615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EC" w:rsidRPr="00FD615B" w:rsidRDefault="00C50EEC">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t>GE.1</w:t>
    </w:r>
    <w:r w:rsidR="00EB267D">
      <w:t>3</w:t>
    </w:r>
    <w:r>
      <w:t>-</w:t>
    </w:r>
    <w:r w:rsidR="00F36A86">
      <w:t>40337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A3B" w:rsidRPr="000B175B" w:rsidRDefault="004D0A3B" w:rsidP="000B175B">
      <w:pPr>
        <w:tabs>
          <w:tab w:val="right" w:pos="2155"/>
        </w:tabs>
        <w:spacing w:after="80"/>
        <w:ind w:left="680"/>
        <w:rPr>
          <w:u w:val="single"/>
        </w:rPr>
      </w:pPr>
      <w:r>
        <w:rPr>
          <w:u w:val="single"/>
        </w:rPr>
        <w:tab/>
      </w:r>
    </w:p>
  </w:footnote>
  <w:footnote w:type="continuationSeparator" w:id="0">
    <w:p w:rsidR="004D0A3B" w:rsidRPr="00FC68B7" w:rsidRDefault="004D0A3B" w:rsidP="00FC68B7">
      <w:pPr>
        <w:tabs>
          <w:tab w:val="left" w:pos="2155"/>
        </w:tabs>
        <w:spacing w:after="80"/>
        <w:ind w:left="680"/>
        <w:rPr>
          <w:u w:val="single"/>
        </w:rPr>
      </w:pPr>
      <w:r>
        <w:rPr>
          <w:u w:val="single"/>
        </w:rPr>
        <w:tab/>
      </w:r>
    </w:p>
  </w:footnote>
  <w:footnote w:type="continuationNotice" w:id="1">
    <w:p w:rsidR="004D0A3B" w:rsidRDefault="004D0A3B"/>
  </w:footnote>
  <w:footnote w:id="2">
    <w:p w:rsidR="00C50EEC" w:rsidRPr="00FF7E7B" w:rsidRDefault="00C50EEC">
      <w:pPr>
        <w:pStyle w:val="FootnoteText"/>
        <w:rPr>
          <w:lang w:val="en-US"/>
        </w:rPr>
      </w:pPr>
      <w:r>
        <w:tab/>
      </w:r>
      <w:r w:rsidRPr="00FF7E7B">
        <w:rPr>
          <w:rStyle w:val="FootnoteReference"/>
          <w:sz w:val="20"/>
          <w:vertAlign w:val="baseline"/>
        </w:rPr>
        <w:t>*</w:t>
      </w:r>
      <w:r>
        <w:rPr>
          <w:sz w:val="20"/>
        </w:rPr>
        <w:tab/>
      </w:r>
      <w:r w:rsidRPr="00BD3885">
        <w:rPr>
          <w:rStyle w:val="FootnoteTextChar"/>
          <w:lang w:val="en-GB"/>
        </w:rPr>
        <w:t>The present list of issues was adopted according to the new optional procedure established by the Committee at its thirty-eighth session, which consists in the preparation and adoption of lists of issues to be transmitted to States parties prior to the submission of their respective periodic report. The replies of the State party to this list of issues will constitute its report under article 19 of the Convention.</w:t>
      </w:r>
    </w:p>
  </w:footnote>
  <w:footnote w:id="3">
    <w:p w:rsidR="00C50EEC" w:rsidRPr="009B00EF" w:rsidRDefault="00C50EEC" w:rsidP="009B00EF">
      <w:pPr>
        <w:pStyle w:val="FootnoteText"/>
        <w:widowControl w:val="0"/>
        <w:tabs>
          <w:tab w:val="clear" w:pos="1021"/>
          <w:tab w:val="right" w:pos="1020"/>
        </w:tabs>
        <w:rPr>
          <w:lang w:val="en-US"/>
        </w:rPr>
      </w:pPr>
      <w:r>
        <w:tab/>
      </w:r>
      <w:r>
        <w:rPr>
          <w:rStyle w:val="FootnoteReference"/>
        </w:rPr>
        <w:footnoteRef/>
      </w:r>
      <w:r>
        <w:tab/>
      </w:r>
      <w:r>
        <w:rPr>
          <w:rStyle w:val="FootnoteTextChar"/>
          <w:lang w:val="en-GB"/>
        </w:rPr>
        <w:t>Unless otherwise indicated, p</w:t>
      </w:r>
      <w:r w:rsidRPr="00BD3885">
        <w:rPr>
          <w:rStyle w:val="FootnoteTextChar"/>
          <w:lang w:val="en-GB"/>
        </w:rPr>
        <w:t>aragraph numbers in brackets refer to the previous recommendations adopted by the Committee, published under symbol CAT/C/KHM/CO/2.</w:t>
      </w:r>
    </w:p>
  </w:footnote>
  <w:footnote w:id="4">
    <w:p w:rsidR="00C50EEC" w:rsidRPr="00F57A7B" w:rsidRDefault="00C50EEC" w:rsidP="00BD3885">
      <w:pPr>
        <w:pStyle w:val="FootnoteText"/>
        <w:rPr>
          <w:szCs w:val="18"/>
        </w:rPr>
      </w:pPr>
      <w:r w:rsidRPr="00BD3885">
        <w:rPr>
          <w:rStyle w:val="FootnoteTextChar"/>
          <w:lang w:val="en-GB"/>
        </w:rPr>
        <w:tab/>
      </w:r>
      <w:r w:rsidRPr="00402E5D">
        <w:rPr>
          <w:rStyle w:val="FootnoteTextChar"/>
          <w:vertAlign w:val="superscript"/>
          <w:lang w:val="en-GB"/>
        </w:rPr>
        <w:footnoteRef/>
      </w:r>
      <w:r w:rsidRPr="00BD3885">
        <w:rPr>
          <w:rStyle w:val="FootnoteTextChar"/>
          <w:lang w:val="en-GB"/>
        </w:rPr>
        <w:t xml:space="preserve"> </w:t>
      </w:r>
      <w:r w:rsidRPr="00BD3885">
        <w:rPr>
          <w:rStyle w:val="FootnoteTextChar"/>
          <w:lang w:val="en-GB"/>
        </w:rPr>
        <w:tab/>
      </w:r>
      <w:r>
        <w:rPr>
          <w:rStyle w:val="FootnoteTextChar"/>
          <w:lang w:val="en-GB"/>
        </w:rPr>
        <w:t xml:space="preserve">See </w:t>
      </w:r>
      <w:r w:rsidRPr="00BD3885">
        <w:rPr>
          <w:rStyle w:val="FootnoteTextChar"/>
          <w:lang w:val="en-GB"/>
        </w:rPr>
        <w:t>CAT/C/SR.968, paras.</w:t>
      </w:r>
      <w:r>
        <w:rPr>
          <w:rStyle w:val="FootnoteTextChar"/>
          <w:lang w:val="en-GB"/>
        </w:rPr>
        <w:t xml:space="preserve"> </w:t>
      </w:r>
      <w:r w:rsidRPr="00BD3885">
        <w:rPr>
          <w:rStyle w:val="FootnoteTextChar"/>
          <w:lang w:val="en-GB"/>
        </w:rPr>
        <w:t>6, 43 and 66.</w:t>
      </w:r>
    </w:p>
  </w:footnote>
  <w:footnote w:id="5">
    <w:p w:rsidR="00C50EEC" w:rsidRPr="00BD3885" w:rsidRDefault="00C50EEC" w:rsidP="00BD3885">
      <w:pPr>
        <w:pStyle w:val="FootnoteText"/>
      </w:pPr>
      <w:r>
        <w:tab/>
      </w:r>
      <w:r w:rsidRPr="00BD3885">
        <w:rPr>
          <w:rStyle w:val="FootnoteReference"/>
          <w:szCs w:val="18"/>
        </w:rPr>
        <w:footnoteRef/>
      </w:r>
      <w:r w:rsidRPr="00BD3885">
        <w:t xml:space="preserve"> </w:t>
      </w:r>
      <w:r>
        <w:tab/>
      </w:r>
      <w:r w:rsidRPr="00BD3885">
        <w:t>The issues raised under article 2 could also</w:t>
      </w:r>
      <w:r>
        <w:t xml:space="preserve"> involve</w:t>
      </w:r>
      <w:r w:rsidRPr="00BD3885">
        <w:t xml:space="preserve"> </w:t>
      </w:r>
      <w:r>
        <w:t>other</w:t>
      </w:r>
      <w:r w:rsidRPr="00BD3885">
        <w:t xml:space="preserve"> articles of the Convention, including but not limited to article 16. As </w:t>
      </w:r>
      <w:r>
        <w:t>stated in paragraph 3 of g</w:t>
      </w:r>
      <w:r w:rsidRPr="00BD3885">
        <w:t xml:space="preserve">eneral </w:t>
      </w:r>
      <w:r>
        <w:t>c</w:t>
      </w:r>
      <w:r w:rsidRPr="00BD3885">
        <w:t xml:space="preserve">omment </w:t>
      </w:r>
      <w:r>
        <w:t xml:space="preserve">No. </w:t>
      </w:r>
      <w:r w:rsidRPr="00BD3885">
        <w:t>2</w:t>
      </w:r>
      <w:r>
        <w:t xml:space="preserve"> (2007) on the implementation of article 2 by States parties:</w:t>
      </w:r>
      <w:r w:rsidRPr="00BD3885">
        <w:t xml:space="preserve"> </w:t>
      </w:r>
      <w:r>
        <w:t>“</w:t>
      </w:r>
      <w:r w:rsidRPr="00BD3885">
        <w:t>The obligation to prevent torture in article 2 is wide-ranging. The obligations to prevent torture and other cruel, inhuman or degrading treatment or punishment (hereinafter “ill-treatment”) under article 16, paragraph 1, are indivisible, interdependent and interrelated. The obligation to prevent ill-treatment in practice overlaps with and is largely congruent with the obligation to prevent torture ... In practice, the definitional threshold between ill-treatment and torture is often not clear.</w:t>
      </w:r>
      <w:r>
        <w:t>”</w:t>
      </w:r>
      <w:r w:rsidRPr="00BD3885">
        <w:t xml:space="preserve"> See further </w:t>
      </w:r>
      <w:r>
        <w:t>c</w:t>
      </w:r>
      <w:r w:rsidRPr="00BD3885">
        <w:t xml:space="preserve">hapter V of the same </w:t>
      </w:r>
      <w:r>
        <w:t>g</w:t>
      </w:r>
      <w:r w:rsidRPr="00BD3885">
        <w:t xml:space="preserve">eneral </w:t>
      </w:r>
      <w:r>
        <w:t>c</w:t>
      </w:r>
      <w:r w:rsidRPr="00BD3885">
        <w:t>omment.</w:t>
      </w:r>
    </w:p>
  </w:footnote>
  <w:footnote w:id="6">
    <w:p w:rsidR="00C50EEC" w:rsidRPr="00BD3885" w:rsidRDefault="00C50EEC" w:rsidP="00BD3885">
      <w:pPr>
        <w:pStyle w:val="FootnoteText"/>
      </w:pPr>
      <w:r>
        <w:tab/>
      </w:r>
      <w:r w:rsidRPr="00E819CF">
        <w:rPr>
          <w:rStyle w:val="FootnoteReference"/>
          <w:szCs w:val="18"/>
        </w:rPr>
        <w:footnoteRef/>
      </w:r>
      <w:r w:rsidRPr="00E819CF">
        <w:t xml:space="preserve"> </w:t>
      </w:r>
      <w:r w:rsidRPr="00E819CF">
        <w:tab/>
      </w:r>
      <w:r>
        <w:t xml:space="preserve">See </w:t>
      </w:r>
      <w:r w:rsidRPr="00E819CF">
        <w:t>CAT/C/SR.968, paras.</w:t>
      </w:r>
      <w:r>
        <w:t xml:space="preserve"> </w:t>
      </w:r>
      <w:r w:rsidRPr="00E819CF">
        <w:t xml:space="preserve">8, 12, 45 and 72; </w:t>
      </w:r>
      <w:r w:rsidRPr="00C21ADD">
        <w:t>A/HRC/18/47, para.</w:t>
      </w:r>
      <w:r>
        <w:t xml:space="preserve"> </w:t>
      </w:r>
      <w:r w:rsidRPr="00C21ADD">
        <w:t xml:space="preserve">43; </w:t>
      </w:r>
      <w:r w:rsidRPr="00327019">
        <w:t>A/HRC/13/4, paras. 18 and para</w:t>
      </w:r>
      <w:r>
        <w:t>s</w:t>
      </w:r>
      <w:r w:rsidRPr="00327019">
        <w:t>.</w:t>
      </w:r>
      <w:r>
        <w:t xml:space="preserve"> </w:t>
      </w:r>
      <w:r w:rsidRPr="00327019">
        <w:t>82.35 and 82.3</w:t>
      </w:r>
      <w:r w:rsidRPr="00327019">
        <w:t>6.</w:t>
      </w:r>
    </w:p>
  </w:footnote>
  <w:footnote w:id="7">
    <w:p w:rsidR="00C50EEC" w:rsidRPr="00F57A7B" w:rsidRDefault="00C50EEC" w:rsidP="00BD3885">
      <w:pPr>
        <w:pStyle w:val="FootnoteText"/>
      </w:pPr>
      <w:r>
        <w:tab/>
      </w:r>
      <w:r w:rsidRPr="00F57A7B">
        <w:rPr>
          <w:rStyle w:val="FootnoteReference"/>
          <w:szCs w:val="18"/>
        </w:rPr>
        <w:footnoteRef/>
      </w:r>
      <w:r w:rsidRPr="00F57A7B">
        <w:t xml:space="preserve"> </w:t>
      </w:r>
      <w:r>
        <w:tab/>
        <w:t xml:space="preserve">See </w:t>
      </w:r>
      <w:r w:rsidRPr="00F57A7B">
        <w:t>CAT/C/SR.968, paras.</w:t>
      </w:r>
      <w:r>
        <w:t xml:space="preserve"> </w:t>
      </w:r>
      <w:r w:rsidRPr="00F57A7B">
        <w:t>11 and 67.</w:t>
      </w:r>
    </w:p>
  </w:footnote>
  <w:footnote w:id="8">
    <w:p w:rsidR="00C50EEC" w:rsidRPr="00BD3885" w:rsidRDefault="00C50EEC" w:rsidP="00BD3885">
      <w:pPr>
        <w:pStyle w:val="FootnoteText"/>
      </w:pPr>
      <w:r>
        <w:tab/>
      </w:r>
      <w:r w:rsidR="00EB267D">
        <w:tab/>
      </w:r>
      <w:r w:rsidRPr="00BD3885">
        <w:rPr>
          <w:rStyle w:val="FootnoteReference"/>
        </w:rPr>
        <w:footnoteRef/>
      </w:r>
      <w:r w:rsidRPr="00BD3885">
        <w:t xml:space="preserve"> </w:t>
      </w:r>
      <w:r>
        <w:t xml:space="preserve">See </w:t>
      </w:r>
      <w:r w:rsidRPr="00327019">
        <w:t>CRC/C/KHM/CO/2-3, paras. 71 and 72</w:t>
      </w:r>
      <w:r w:rsidRPr="00E819CF">
        <w:t>; CAT/C/SR.968, paras.</w:t>
      </w:r>
      <w:r>
        <w:t xml:space="preserve"> </w:t>
      </w:r>
      <w:r w:rsidRPr="00E819CF">
        <w:t xml:space="preserve">52 and 60; </w:t>
      </w:r>
      <w:r w:rsidRPr="003441C6">
        <w:t>A/HRC/16/44/Add.3, para.</w:t>
      </w:r>
      <w:r>
        <w:t xml:space="preserve"> </w:t>
      </w:r>
      <w:r w:rsidRPr="003441C6">
        <w:t>62.</w:t>
      </w:r>
    </w:p>
  </w:footnote>
  <w:footnote w:id="9">
    <w:p w:rsidR="00C50EEC" w:rsidRPr="00D456FA" w:rsidRDefault="00C50EEC" w:rsidP="00BD3885">
      <w:pPr>
        <w:pStyle w:val="FootnoteText"/>
        <w:rPr>
          <w:lang w:val="es-ES"/>
        </w:rPr>
      </w:pPr>
      <w:r>
        <w:tab/>
      </w:r>
      <w:r w:rsidRPr="00327019">
        <w:rPr>
          <w:rStyle w:val="FootnoteReference"/>
        </w:rPr>
        <w:footnoteRef/>
      </w:r>
      <w:r w:rsidRPr="00327019">
        <w:rPr>
          <w:lang w:val="es-ES"/>
        </w:rPr>
        <w:t xml:space="preserve"> </w:t>
      </w:r>
      <w:r w:rsidRPr="00327019">
        <w:rPr>
          <w:lang w:val="es-ES"/>
        </w:rPr>
        <w:tab/>
      </w:r>
      <w:r>
        <w:rPr>
          <w:lang w:val="es-ES"/>
        </w:rPr>
        <w:t xml:space="preserve">See </w:t>
      </w:r>
      <w:r w:rsidRPr="00327019">
        <w:rPr>
          <w:lang w:val="es-ES"/>
        </w:rPr>
        <w:t>CRC/C/KHM/CO/2-3, paras.</w:t>
      </w:r>
      <w:r>
        <w:rPr>
          <w:lang w:val="es-ES"/>
        </w:rPr>
        <w:t xml:space="preserve"> </w:t>
      </w:r>
      <w:r w:rsidRPr="00327019">
        <w:rPr>
          <w:lang w:val="es-ES"/>
        </w:rPr>
        <w:t>73</w:t>
      </w:r>
      <w:r>
        <w:rPr>
          <w:lang w:val="es-ES"/>
        </w:rPr>
        <w:t xml:space="preserve"> and </w:t>
      </w:r>
      <w:r w:rsidRPr="00327019">
        <w:rPr>
          <w:lang w:val="es-ES"/>
        </w:rPr>
        <w:t>74</w:t>
      </w:r>
      <w:r w:rsidRPr="00E819CF">
        <w:rPr>
          <w:lang w:val="es-ES"/>
        </w:rPr>
        <w:t>; CAT/C/SR.968, paras.25</w:t>
      </w:r>
      <w:r>
        <w:rPr>
          <w:lang w:val="es-ES"/>
        </w:rPr>
        <w:t>–</w:t>
      </w:r>
      <w:r w:rsidRPr="00E819CF">
        <w:rPr>
          <w:lang w:val="es-ES"/>
        </w:rPr>
        <w:t>31.</w:t>
      </w:r>
    </w:p>
  </w:footnote>
  <w:footnote w:id="10">
    <w:p w:rsidR="00C50EEC" w:rsidRPr="00A24978" w:rsidRDefault="00C50EEC" w:rsidP="00BD3885">
      <w:pPr>
        <w:pStyle w:val="FootnoteText"/>
        <w:rPr>
          <w:highlight w:val="yellow"/>
        </w:rPr>
      </w:pPr>
      <w:r w:rsidRPr="00D456FA">
        <w:rPr>
          <w:lang w:val="es-ES"/>
        </w:rPr>
        <w:tab/>
      </w:r>
      <w:r w:rsidRPr="00327019">
        <w:rPr>
          <w:rStyle w:val="FootnoteReference"/>
        </w:rPr>
        <w:footnoteRef/>
      </w:r>
      <w:r w:rsidRPr="00327019">
        <w:t xml:space="preserve"> </w:t>
      </w:r>
      <w:r w:rsidRPr="00327019">
        <w:tab/>
      </w:r>
      <w:r>
        <w:t xml:space="preserve">See </w:t>
      </w:r>
      <w:r w:rsidRPr="00327019">
        <w:t>A/HRC/18/47, para.</w:t>
      </w:r>
      <w:r>
        <w:t xml:space="preserve"> </w:t>
      </w:r>
      <w:r w:rsidRPr="00327019">
        <w:t xml:space="preserve">46; </w:t>
      </w:r>
      <w:r w:rsidRPr="003441C6">
        <w:t>CERD/C/KHM/CO/8-13, para.</w:t>
      </w:r>
      <w:r>
        <w:t xml:space="preserve"> </w:t>
      </w:r>
      <w:r w:rsidRPr="003441C6">
        <w:t>15.</w:t>
      </w:r>
    </w:p>
  </w:footnote>
  <w:footnote w:id="11">
    <w:p w:rsidR="00C50EEC" w:rsidRPr="00A24978" w:rsidRDefault="00C50EEC" w:rsidP="00BD3885">
      <w:pPr>
        <w:pStyle w:val="FootnoteText"/>
        <w:rPr>
          <w:highlight w:val="yellow"/>
        </w:rPr>
      </w:pPr>
      <w:r w:rsidRPr="00327019">
        <w:tab/>
      </w:r>
      <w:r w:rsidRPr="00327019">
        <w:rPr>
          <w:rStyle w:val="FootnoteReference"/>
        </w:rPr>
        <w:footnoteRef/>
      </w:r>
      <w:r w:rsidRPr="00327019">
        <w:tab/>
      </w:r>
      <w:r>
        <w:t xml:space="preserve">See </w:t>
      </w:r>
      <w:r w:rsidRPr="00327019">
        <w:t>A/HRC/18/47, paras.</w:t>
      </w:r>
      <w:r>
        <w:t xml:space="preserve"> </w:t>
      </w:r>
      <w:r w:rsidRPr="00327019">
        <w:t>46</w:t>
      </w:r>
      <w:r>
        <w:t xml:space="preserve"> and </w:t>
      </w:r>
      <w:r w:rsidRPr="00327019">
        <w:t>47;</w:t>
      </w:r>
      <w:r w:rsidRPr="00E819CF">
        <w:t xml:space="preserve"> CAT/C/SR.968, paras.21</w:t>
      </w:r>
      <w:r>
        <w:t>–</w:t>
      </w:r>
      <w:r w:rsidRPr="00E819CF">
        <w:t>23.</w:t>
      </w:r>
    </w:p>
  </w:footnote>
  <w:footnote w:id="12">
    <w:p w:rsidR="00C50EEC" w:rsidRPr="00D456FA" w:rsidRDefault="00C50EEC" w:rsidP="00BD3885">
      <w:pPr>
        <w:pStyle w:val="FootnoteText"/>
        <w:rPr>
          <w:lang w:val="es-ES"/>
        </w:rPr>
      </w:pPr>
      <w:r w:rsidRPr="003441C6">
        <w:tab/>
      </w:r>
      <w:r w:rsidRPr="003441C6">
        <w:rPr>
          <w:rStyle w:val="FootnoteReference"/>
        </w:rPr>
        <w:footnoteRef/>
      </w:r>
      <w:r w:rsidRPr="003441C6">
        <w:rPr>
          <w:lang w:val="es-ES"/>
        </w:rPr>
        <w:t xml:space="preserve"> </w:t>
      </w:r>
      <w:r w:rsidRPr="003441C6">
        <w:rPr>
          <w:lang w:val="es-ES"/>
        </w:rPr>
        <w:tab/>
        <w:t>See also A/HRC/18/46,</w:t>
      </w:r>
      <w:r>
        <w:rPr>
          <w:lang w:val="es-ES"/>
        </w:rPr>
        <w:t xml:space="preserve"> </w:t>
      </w:r>
      <w:r w:rsidRPr="003441C6">
        <w:rPr>
          <w:lang w:val="es-ES"/>
        </w:rPr>
        <w:t>paras.</w:t>
      </w:r>
      <w:r>
        <w:rPr>
          <w:lang w:val="es-ES"/>
        </w:rPr>
        <w:t xml:space="preserve"> </w:t>
      </w:r>
      <w:r w:rsidRPr="003441C6">
        <w:rPr>
          <w:lang w:val="es-ES"/>
        </w:rPr>
        <w:t>25</w:t>
      </w:r>
      <w:r>
        <w:rPr>
          <w:lang w:val="es-ES"/>
        </w:rPr>
        <w:t>–</w:t>
      </w:r>
      <w:r w:rsidRPr="003441C6">
        <w:rPr>
          <w:lang w:val="es-ES"/>
        </w:rPr>
        <w:t>31;</w:t>
      </w:r>
      <w:r w:rsidRPr="00327019">
        <w:rPr>
          <w:lang w:val="es-ES"/>
        </w:rPr>
        <w:t xml:space="preserve"> A/HRC/18/47, paras. 19–29.</w:t>
      </w:r>
    </w:p>
  </w:footnote>
  <w:footnote w:id="13">
    <w:p w:rsidR="00C50EEC" w:rsidRPr="005515CB" w:rsidRDefault="00C50EEC" w:rsidP="00BD3885">
      <w:pPr>
        <w:pStyle w:val="FootnoteText"/>
        <w:rPr>
          <w:highlight w:val="yellow"/>
        </w:rPr>
      </w:pPr>
      <w:r w:rsidRPr="00D456FA">
        <w:rPr>
          <w:lang w:val="es-ES"/>
        </w:rPr>
        <w:tab/>
      </w:r>
      <w:r w:rsidRPr="00FC5E30">
        <w:rPr>
          <w:rStyle w:val="FootnoteReference"/>
        </w:rPr>
        <w:footnoteRef/>
      </w:r>
      <w:r w:rsidRPr="00FC5E30">
        <w:t xml:space="preserve"> </w:t>
      </w:r>
      <w:r w:rsidRPr="00FC5E30">
        <w:tab/>
      </w:r>
      <w:r>
        <w:t xml:space="preserve">See </w:t>
      </w:r>
      <w:r w:rsidRPr="00FC5E30">
        <w:t>A/HRC/WG.6/6/KHM/3, para. 59.</w:t>
      </w:r>
    </w:p>
  </w:footnote>
  <w:footnote w:id="14">
    <w:p w:rsidR="00C50EEC" w:rsidRPr="00BD3885" w:rsidRDefault="00C50EEC" w:rsidP="00BD3885">
      <w:pPr>
        <w:pStyle w:val="FootnoteText"/>
        <w:rPr>
          <w:lang w:val="es-ES"/>
        </w:rPr>
      </w:pPr>
      <w:r w:rsidRPr="00FC5E30">
        <w:tab/>
      </w:r>
      <w:r w:rsidRPr="00FC5E30">
        <w:rPr>
          <w:rStyle w:val="FootnoteReference"/>
          <w:szCs w:val="18"/>
        </w:rPr>
        <w:footnoteRef/>
      </w:r>
      <w:r w:rsidRPr="00FC5E30">
        <w:rPr>
          <w:lang w:val="es-ES"/>
        </w:rPr>
        <w:tab/>
        <w:t>See also A/HRC/13/39/Add.1, para. 19</w:t>
      </w:r>
      <w:r>
        <w:rPr>
          <w:lang w:val="es-ES"/>
        </w:rPr>
        <w:t>, and Corr.1</w:t>
      </w:r>
      <w:r w:rsidRPr="003441C6">
        <w:rPr>
          <w:lang w:val="es-ES"/>
        </w:rPr>
        <w:t xml:space="preserve">; </w:t>
      </w:r>
      <w:r w:rsidRPr="003441C6">
        <w:rPr>
          <w:color w:val="000000"/>
          <w:lang w:val="es-ES"/>
        </w:rPr>
        <w:t>CERD/C/KHM/CO/8-13, para.</w:t>
      </w:r>
      <w:r>
        <w:rPr>
          <w:color w:val="000000"/>
          <w:lang w:val="es-ES"/>
        </w:rPr>
        <w:t xml:space="preserve"> </w:t>
      </w:r>
      <w:r w:rsidRPr="003441C6">
        <w:rPr>
          <w:color w:val="000000"/>
          <w:lang w:val="es-ES"/>
        </w:rPr>
        <w:t xml:space="preserve">14; </w:t>
      </w:r>
      <w:r w:rsidRPr="00FC5E30">
        <w:rPr>
          <w:lang w:val="es-ES"/>
        </w:rPr>
        <w:t>CAT/C/SR.967, para.</w:t>
      </w:r>
      <w:r>
        <w:rPr>
          <w:lang w:val="es-ES"/>
        </w:rPr>
        <w:t xml:space="preserve"> </w:t>
      </w:r>
      <w:r w:rsidRPr="00FC5E30">
        <w:rPr>
          <w:lang w:val="es-ES"/>
        </w:rPr>
        <w:t>22</w:t>
      </w:r>
      <w:r w:rsidRPr="00E819CF">
        <w:rPr>
          <w:lang w:val="es-ES"/>
        </w:rPr>
        <w:t>; CAT/C/SR.968, paras.</w:t>
      </w:r>
      <w:r>
        <w:rPr>
          <w:lang w:val="es-ES"/>
        </w:rPr>
        <w:t xml:space="preserve"> </w:t>
      </w:r>
      <w:r w:rsidRPr="00E819CF">
        <w:rPr>
          <w:lang w:val="es-ES"/>
        </w:rPr>
        <w:t>5 and 38.</w:t>
      </w:r>
    </w:p>
  </w:footnote>
  <w:footnote w:id="15">
    <w:p w:rsidR="00C50EEC" w:rsidRPr="00BD3885" w:rsidRDefault="00C50EEC" w:rsidP="00BD3885">
      <w:pPr>
        <w:pStyle w:val="FootnoteText"/>
        <w:rPr>
          <w:lang w:val="es-ES"/>
        </w:rPr>
      </w:pPr>
      <w:r>
        <w:rPr>
          <w:lang w:val="es-ES"/>
        </w:rPr>
        <w:tab/>
      </w:r>
      <w:r w:rsidRPr="00327019">
        <w:rPr>
          <w:rStyle w:val="FootnoteReference"/>
          <w:szCs w:val="18"/>
        </w:rPr>
        <w:footnoteRef/>
      </w:r>
      <w:r w:rsidRPr="00327019">
        <w:rPr>
          <w:lang w:val="es-ES"/>
        </w:rPr>
        <w:t xml:space="preserve"> </w:t>
      </w:r>
      <w:r w:rsidRPr="00327019">
        <w:rPr>
          <w:lang w:val="es-ES"/>
        </w:rPr>
        <w:tab/>
      </w:r>
      <w:r>
        <w:rPr>
          <w:lang w:val="es-ES"/>
        </w:rPr>
        <w:t xml:space="preserve">See </w:t>
      </w:r>
      <w:r w:rsidRPr="00327019">
        <w:rPr>
          <w:lang w:val="es-ES"/>
        </w:rPr>
        <w:t>A/HRC/13/4, para.</w:t>
      </w:r>
      <w:r>
        <w:rPr>
          <w:lang w:val="es-ES"/>
        </w:rPr>
        <w:t xml:space="preserve"> </w:t>
      </w:r>
      <w:r w:rsidRPr="00327019">
        <w:rPr>
          <w:lang w:val="es-ES"/>
        </w:rPr>
        <w:t>82.15; A/HRC/18/47, para. 26.</w:t>
      </w:r>
    </w:p>
  </w:footnote>
  <w:footnote w:id="16">
    <w:p w:rsidR="00C50EEC" w:rsidRPr="00327019" w:rsidRDefault="00C50EEC" w:rsidP="00BD3885">
      <w:pPr>
        <w:pStyle w:val="FootnoteText"/>
      </w:pPr>
      <w:r w:rsidRPr="00327019">
        <w:tab/>
      </w:r>
      <w:r w:rsidRPr="00327019">
        <w:rPr>
          <w:rStyle w:val="FootnoteReference"/>
        </w:rPr>
        <w:footnoteRef/>
      </w:r>
      <w:r w:rsidRPr="00327019">
        <w:rPr>
          <w:rStyle w:val="FootnoteReference"/>
        </w:rPr>
        <w:t xml:space="preserve"> </w:t>
      </w:r>
      <w:r w:rsidRPr="00327019">
        <w:tab/>
      </w:r>
      <w:r>
        <w:t xml:space="preserve">See </w:t>
      </w:r>
      <w:hyperlink r:id="rId1" w:tgtFrame="_blank" w:history="1">
        <w:r w:rsidRPr="00327019">
          <w:t>A/HRC/18/47</w:t>
        </w:r>
      </w:hyperlink>
      <w:r w:rsidRPr="00327019">
        <w:t>, paras.</w:t>
      </w:r>
      <w:r>
        <w:t xml:space="preserve"> </w:t>
      </w:r>
      <w:r w:rsidRPr="00327019">
        <w:t>8</w:t>
      </w:r>
      <w:r>
        <w:t>–</w:t>
      </w:r>
      <w:r w:rsidRPr="00327019">
        <w:t>18.</w:t>
      </w:r>
    </w:p>
  </w:footnote>
  <w:footnote w:id="17">
    <w:p w:rsidR="00C50EEC" w:rsidRPr="00BD3885" w:rsidRDefault="00C50EEC" w:rsidP="00952F5E">
      <w:pPr>
        <w:pStyle w:val="FootnoteText"/>
        <w:rPr>
          <w:i/>
          <w:lang w:val="es-ES"/>
        </w:rPr>
      </w:pPr>
      <w:r w:rsidRPr="00F36A86">
        <w:rPr>
          <w:rStyle w:val="FootnoteTextChar"/>
          <w:lang w:val="en-US"/>
        </w:rPr>
        <w:tab/>
      </w:r>
      <w:r w:rsidRPr="00FC5E30">
        <w:rPr>
          <w:rStyle w:val="FootnoteReference"/>
        </w:rPr>
        <w:footnoteRef/>
      </w:r>
      <w:r w:rsidRPr="00FC5E30">
        <w:rPr>
          <w:rStyle w:val="FootnoteReference"/>
        </w:rPr>
        <w:t xml:space="preserve"> </w:t>
      </w:r>
      <w:r w:rsidRPr="00F36A86">
        <w:rPr>
          <w:rStyle w:val="FootnoteTextChar"/>
          <w:lang w:val="en-US"/>
        </w:rPr>
        <w:tab/>
        <w:t xml:space="preserve">See </w:t>
      </w:r>
      <w:r w:rsidRPr="00FC5E30">
        <w:rPr>
          <w:rStyle w:val="FootnoteTextChar"/>
        </w:rPr>
        <w:t>CAT/C/SR.967, para. 17.</w:t>
      </w:r>
    </w:p>
  </w:footnote>
  <w:footnote w:id="18">
    <w:p w:rsidR="00C50EEC" w:rsidRPr="000A5550" w:rsidRDefault="00C50EEC" w:rsidP="00952F5E">
      <w:pPr>
        <w:pStyle w:val="FootnoteText"/>
        <w:rPr>
          <w:highlight w:val="yellow"/>
        </w:rPr>
      </w:pPr>
      <w:r>
        <w:rPr>
          <w:rStyle w:val="IntenseEmphasis1"/>
          <w:bCs w:val="0"/>
          <w:color w:val="auto"/>
          <w:sz w:val="18"/>
        </w:rPr>
        <w:tab/>
      </w:r>
      <w:r w:rsidRPr="00327019">
        <w:rPr>
          <w:rStyle w:val="FootnoteReference"/>
        </w:rPr>
        <w:footnoteRef/>
      </w:r>
      <w:r w:rsidRPr="00327019">
        <w:rPr>
          <w:rStyle w:val="IntenseEmphasis1"/>
          <w:bCs w:val="0"/>
          <w:color w:val="auto"/>
          <w:sz w:val="18"/>
        </w:rPr>
        <w:t xml:space="preserve"> </w:t>
      </w:r>
      <w:r w:rsidRPr="00327019">
        <w:rPr>
          <w:rStyle w:val="IntenseEmphasis1"/>
          <w:bCs w:val="0"/>
          <w:color w:val="auto"/>
          <w:sz w:val="18"/>
        </w:rPr>
        <w:tab/>
      </w:r>
      <w:r>
        <w:rPr>
          <w:rStyle w:val="IntenseEmphasis1"/>
          <w:bCs w:val="0"/>
          <w:color w:val="auto"/>
          <w:sz w:val="18"/>
        </w:rPr>
        <w:t xml:space="preserve">See </w:t>
      </w:r>
      <w:r w:rsidRPr="00327019">
        <w:rPr>
          <w:rStyle w:val="IntenseEmphasis1"/>
          <w:bCs w:val="0"/>
          <w:color w:val="auto"/>
          <w:sz w:val="18"/>
        </w:rPr>
        <w:t>CRC/C/KHM/CO/2-3, para.</w:t>
      </w:r>
      <w:r>
        <w:rPr>
          <w:rStyle w:val="IntenseEmphasis1"/>
          <w:bCs w:val="0"/>
          <w:color w:val="auto"/>
          <w:sz w:val="18"/>
        </w:rPr>
        <w:t xml:space="preserve"> </w:t>
      </w:r>
      <w:r w:rsidRPr="00F36A86">
        <w:rPr>
          <w:rStyle w:val="IntenseEmphasis1"/>
          <w:bCs w:val="0"/>
          <w:color w:val="auto"/>
          <w:sz w:val="18"/>
          <w:lang w:val="fr-FR"/>
        </w:rPr>
        <w:t xml:space="preserve">39; CAT/C/SR.967, para. 55; CAT/C/SR.968, para. </w:t>
      </w:r>
      <w:r w:rsidRPr="00E819CF">
        <w:rPr>
          <w:rStyle w:val="IntenseEmphasis1"/>
          <w:bCs w:val="0"/>
          <w:color w:val="auto"/>
          <w:sz w:val="18"/>
        </w:rPr>
        <w:t>52.</w:t>
      </w:r>
    </w:p>
  </w:footnote>
  <w:footnote w:id="19">
    <w:p w:rsidR="00C50EEC" w:rsidRPr="00327019" w:rsidRDefault="00C50EEC" w:rsidP="00952F5E">
      <w:pPr>
        <w:pStyle w:val="FootnoteText"/>
      </w:pPr>
      <w:r w:rsidRPr="00DA7543">
        <w:tab/>
      </w:r>
      <w:r w:rsidRPr="00DA7543">
        <w:rPr>
          <w:rStyle w:val="FootnoteReference"/>
        </w:rPr>
        <w:footnoteRef/>
      </w:r>
      <w:r w:rsidRPr="00DA7543">
        <w:rPr>
          <w:rStyle w:val="FootnoteReference"/>
        </w:rPr>
        <w:t xml:space="preserve"> </w:t>
      </w:r>
      <w:r w:rsidRPr="00DA7543">
        <w:tab/>
      </w:r>
      <w:r>
        <w:t xml:space="preserve">See </w:t>
      </w:r>
      <w:r w:rsidRPr="00DA7543">
        <w:rPr>
          <w:rStyle w:val="IntenseEmphasis1"/>
          <w:bCs w:val="0"/>
          <w:color w:val="auto"/>
          <w:sz w:val="18"/>
        </w:rPr>
        <w:t>A/HRC/15/46, paras.32 and 46; CAT</w:t>
      </w:r>
      <w:r w:rsidRPr="00DA7543">
        <w:t>/C/SR.967, paras.</w:t>
      </w:r>
      <w:r>
        <w:t xml:space="preserve"> </w:t>
      </w:r>
      <w:r w:rsidRPr="00DA7543">
        <w:t>16, 24 and 44</w:t>
      </w:r>
      <w:r w:rsidRPr="00327019">
        <w:t>; A/HRC/13/4, para.</w:t>
      </w:r>
      <w:r>
        <w:t xml:space="preserve"> </w:t>
      </w:r>
      <w:r w:rsidRPr="00327019">
        <w:t>82.43.</w:t>
      </w:r>
    </w:p>
  </w:footnote>
  <w:footnote w:id="20">
    <w:p w:rsidR="00C50EEC" w:rsidRPr="001F5A5D" w:rsidRDefault="00C50EEC" w:rsidP="001F5A5D">
      <w:pPr>
        <w:pStyle w:val="FootnoteText"/>
      </w:pPr>
      <w:r w:rsidRPr="00327019">
        <w:tab/>
      </w:r>
      <w:r w:rsidRPr="00327019">
        <w:rPr>
          <w:rStyle w:val="FootnoteReference"/>
        </w:rPr>
        <w:footnoteRef/>
      </w:r>
      <w:r w:rsidRPr="00327019">
        <w:t xml:space="preserve"> </w:t>
      </w:r>
      <w:r w:rsidRPr="00327019">
        <w:tab/>
      </w:r>
      <w:r>
        <w:t xml:space="preserve">See </w:t>
      </w:r>
      <w:hyperlink r:id="rId2" w:tgtFrame="_blank" w:history="1">
        <w:r w:rsidRPr="00327019">
          <w:t>A/HRC/18/47</w:t>
        </w:r>
      </w:hyperlink>
      <w:r w:rsidRPr="00327019">
        <w:t>, para.</w:t>
      </w:r>
      <w:r>
        <w:t xml:space="preserve"> </w:t>
      </w:r>
      <w:r w:rsidRPr="00327019">
        <w:t>48.</w:t>
      </w:r>
    </w:p>
  </w:footnote>
  <w:footnote w:id="21">
    <w:p w:rsidR="00C50EEC" w:rsidRPr="00D456FA" w:rsidRDefault="00C50EEC" w:rsidP="001F5A5D">
      <w:pPr>
        <w:pStyle w:val="FootnoteText"/>
        <w:rPr>
          <w:lang w:val="es-ES"/>
        </w:rPr>
      </w:pPr>
      <w:r>
        <w:tab/>
      </w:r>
      <w:r w:rsidRPr="00FC5E30">
        <w:rPr>
          <w:rStyle w:val="FootnoteReference"/>
        </w:rPr>
        <w:footnoteRef/>
      </w:r>
      <w:r w:rsidRPr="00FC5E30">
        <w:rPr>
          <w:lang w:val="es-ES"/>
        </w:rPr>
        <w:t xml:space="preserve"> </w:t>
      </w:r>
      <w:r w:rsidRPr="00FC5E30">
        <w:rPr>
          <w:lang w:val="es-ES"/>
        </w:rPr>
        <w:tab/>
        <w:t>See also A/HRC/WG.6/6/KHM/3, para. 17</w:t>
      </w:r>
      <w:r w:rsidRPr="003441C6">
        <w:rPr>
          <w:lang w:val="es-ES"/>
        </w:rPr>
        <w:t>; CERD/C/KHM/CO/8-13, para.</w:t>
      </w:r>
      <w:r>
        <w:rPr>
          <w:lang w:val="es-ES"/>
        </w:rPr>
        <w:t xml:space="preserve"> </w:t>
      </w:r>
      <w:r w:rsidRPr="003441C6">
        <w:rPr>
          <w:lang w:val="es-ES"/>
        </w:rPr>
        <w:t>17;</w:t>
      </w:r>
      <w:r w:rsidRPr="00D456FA">
        <w:rPr>
          <w:lang w:val="es-ES"/>
        </w:rPr>
        <w:t xml:space="preserve"> A/HRC/18/47, para.</w:t>
      </w:r>
      <w:r>
        <w:rPr>
          <w:lang w:val="es-ES"/>
        </w:rPr>
        <w:t xml:space="preserve"> </w:t>
      </w:r>
      <w:r w:rsidRPr="00D456FA">
        <w:rPr>
          <w:lang w:val="es-ES"/>
        </w:rPr>
        <w:t>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EC" w:rsidRPr="00CD1EFB" w:rsidRDefault="00C50EEC" w:rsidP="00CD1EFB">
    <w:pPr>
      <w:pStyle w:val="Header"/>
      <w:rPr>
        <w:lang w:val="en-US"/>
      </w:rPr>
    </w:pPr>
    <w:r>
      <w:rPr>
        <w:lang w:val="en-US"/>
      </w:rPr>
      <w:t>CAT/C/KHM/Q/3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EC" w:rsidRPr="00CD1EFB" w:rsidRDefault="00C50EEC" w:rsidP="00CD1EFB">
    <w:pPr>
      <w:pStyle w:val="Header"/>
      <w:jc w:val="right"/>
      <w:rPr>
        <w:lang w:val="en-US"/>
      </w:rPr>
    </w:pPr>
    <w:r>
      <w:rPr>
        <w:lang w:val="en-US"/>
      </w:rPr>
      <w:t>CAT/C/KHM</w:t>
    </w:r>
    <w:r w:rsidRPr="00CD1EFB">
      <w:rPr>
        <w:lang w:val="en-US"/>
      </w:rPr>
      <w:t>/Q/</w:t>
    </w:r>
    <w:r>
      <w:rPr>
        <w:lang w:val="en-US"/>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4210B01"/>
    <w:multiLevelType w:val="hybridMultilevel"/>
    <w:tmpl w:val="C55041C4"/>
    <w:lvl w:ilvl="0" w:tplc="AEA8D73C">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
    <w:nsid w:val="06E36A76"/>
    <w:multiLevelType w:val="hybridMultilevel"/>
    <w:tmpl w:val="CF9AC1C8"/>
    <w:lvl w:ilvl="0" w:tplc="CAC8FFE0">
      <w:start w:val="1"/>
      <w:numFmt w:val="decimal"/>
      <w:pStyle w:val="para1"/>
      <w:lvlText w:val="%1."/>
      <w:lvlJc w:val="left"/>
      <w:pPr>
        <w:ind w:left="1635" w:hanging="555"/>
      </w:pPr>
      <w:rPr>
        <w:rFonts w:ascii="Times New Roman" w:eastAsia="Times New Roman" w:hAnsi="Times New Roman" w:cs="Times New Roman"/>
        <w:b w:val="0"/>
      </w:rPr>
    </w:lvl>
    <w:lvl w:ilvl="1" w:tplc="D180D7B2">
      <w:start w:val="1"/>
      <w:numFmt w:val="lowerLetter"/>
      <w:lvlText w:val="%2)"/>
      <w:lvlJc w:val="right"/>
      <w:pPr>
        <w:ind w:left="2214" w:hanging="360"/>
      </w:pPr>
      <w:rPr>
        <w:rFonts w:hint="default"/>
      </w:rPr>
    </w:lvl>
    <w:lvl w:ilvl="2" w:tplc="0809001B">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0F3050AA"/>
    <w:multiLevelType w:val="hybridMultilevel"/>
    <w:tmpl w:val="44A24880"/>
    <w:lvl w:ilvl="0" w:tplc="FC9EECB4">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
    <w:nsid w:val="150F0D14"/>
    <w:multiLevelType w:val="hybridMultilevel"/>
    <w:tmpl w:val="6338C280"/>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B03053A"/>
    <w:multiLevelType w:val="hybridMultilevel"/>
    <w:tmpl w:val="C4A20920"/>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13D5473"/>
    <w:multiLevelType w:val="hybridMultilevel"/>
    <w:tmpl w:val="89F024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EE15EB"/>
    <w:multiLevelType w:val="hybridMultilevel"/>
    <w:tmpl w:val="09AED9C0"/>
    <w:lvl w:ilvl="0" w:tplc="D180D7B2">
      <w:start w:val="1"/>
      <w:numFmt w:val="lowerLetter"/>
      <w:lvlText w:val="%1)"/>
      <w:lvlJc w:val="righ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8">
    <w:nsid w:val="2BA9346F"/>
    <w:multiLevelType w:val="hybridMultilevel"/>
    <w:tmpl w:val="3F9A87EE"/>
    <w:lvl w:ilvl="0" w:tplc="E70EB2DC">
      <w:start w:val="1"/>
      <w:numFmt w:val="lowerLetter"/>
      <w:lvlText w:val="%1)"/>
      <w:lvlJc w:val="left"/>
      <w:pPr>
        <w:tabs>
          <w:tab w:val="num" w:pos="720"/>
        </w:tabs>
        <w:ind w:left="720" w:hanging="360"/>
      </w:pPr>
      <w:rPr>
        <w:rFonts w:ascii="Times New (W1)" w:hAnsi="Times New (W1)" w:cs="Times New (W1)"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CDB1548"/>
    <w:multiLevelType w:val="hybridMultilevel"/>
    <w:tmpl w:val="B7D0509C"/>
    <w:lvl w:ilvl="0" w:tplc="014AE9AA">
      <w:start w:val="1"/>
      <w:numFmt w:val="decimal"/>
      <w:pStyle w:val="LOIQ1"/>
      <w:lvlText w:val="%1."/>
      <w:lvlJc w:val="left"/>
      <w:pPr>
        <w:ind w:left="1854" w:hanging="360"/>
      </w:pPr>
      <w:rPr>
        <w:rFonts w:cs="Times New Roman"/>
      </w:rPr>
    </w:lvl>
    <w:lvl w:ilvl="1" w:tplc="08090019">
      <w:start w:val="1"/>
      <w:numFmt w:val="lowerLetter"/>
      <w:lvlText w:val="%2."/>
      <w:lvlJc w:val="left"/>
      <w:pPr>
        <w:ind w:left="2574" w:hanging="360"/>
      </w:pPr>
      <w:rPr>
        <w:rFonts w:cs="Times New Roman"/>
      </w:rPr>
    </w:lvl>
    <w:lvl w:ilvl="2" w:tplc="0809001B">
      <w:start w:val="1"/>
      <w:numFmt w:val="lowerRoman"/>
      <w:lvlText w:val="%3."/>
      <w:lvlJc w:val="right"/>
      <w:pPr>
        <w:ind w:left="3294" w:hanging="180"/>
      </w:pPr>
      <w:rPr>
        <w:rFonts w:cs="Times New Roman"/>
      </w:rPr>
    </w:lvl>
    <w:lvl w:ilvl="3" w:tplc="0809000F">
      <w:start w:val="1"/>
      <w:numFmt w:val="decimal"/>
      <w:lvlText w:val="%4."/>
      <w:lvlJc w:val="left"/>
      <w:pPr>
        <w:ind w:left="4014" w:hanging="360"/>
      </w:pPr>
      <w:rPr>
        <w:rFonts w:cs="Times New Roman"/>
      </w:rPr>
    </w:lvl>
    <w:lvl w:ilvl="4" w:tplc="08090019">
      <w:start w:val="1"/>
      <w:numFmt w:val="lowerLetter"/>
      <w:lvlText w:val="%5."/>
      <w:lvlJc w:val="left"/>
      <w:pPr>
        <w:ind w:left="4734" w:hanging="360"/>
      </w:pPr>
      <w:rPr>
        <w:rFonts w:cs="Times New Roman"/>
      </w:rPr>
    </w:lvl>
    <w:lvl w:ilvl="5" w:tplc="0809001B">
      <w:start w:val="1"/>
      <w:numFmt w:val="lowerRoman"/>
      <w:lvlText w:val="%6."/>
      <w:lvlJc w:val="right"/>
      <w:pPr>
        <w:ind w:left="5454" w:hanging="180"/>
      </w:pPr>
      <w:rPr>
        <w:rFonts w:cs="Times New Roman"/>
      </w:rPr>
    </w:lvl>
    <w:lvl w:ilvl="6" w:tplc="0809000F">
      <w:start w:val="1"/>
      <w:numFmt w:val="decimal"/>
      <w:lvlText w:val="%7."/>
      <w:lvlJc w:val="left"/>
      <w:pPr>
        <w:ind w:left="6174" w:hanging="360"/>
      </w:pPr>
      <w:rPr>
        <w:rFonts w:cs="Times New Roman"/>
      </w:rPr>
    </w:lvl>
    <w:lvl w:ilvl="7" w:tplc="08090019">
      <w:start w:val="1"/>
      <w:numFmt w:val="lowerLetter"/>
      <w:lvlText w:val="%8."/>
      <w:lvlJc w:val="left"/>
      <w:pPr>
        <w:ind w:left="6894" w:hanging="360"/>
      </w:pPr>
      <w:rPr>
        <w:rFonts w:cs="Times New Roman"/>
      </w:rPr>
    </w:lvl>
    <w:lvl w:ilvl="8" w:tplc="0809001B">
      <w:start w:val="1"/>
      <w:numFmt w:val="lowerRoman"/>
      <w:lvlText w:val="%9."/>
      <w:lvlJc w:val="right"/>
      <w:pPr>
        <w:ind w:left="7614" w:hanging="180"/>
      </w:pPr>
      <w:rPr>
        <w:rFonts w:cs="Times New Roman"/>
      </w:rPr>
    </w:lvl>
  </w:abstractNum>
  <w:abstractNum w:abstractNumId="10">
    <w:nsid w:val="2E147F6E"/>
    <w:multiLevelType w:val="hybridMultilevel"/>
    <w:tmpl w:val="3230AE3E"/>
    <w:lvl w:ilvl="0" w:tplc="B00E8D32">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1">
    <w:nsid w:val="30D80093"/>
    <w:multiLevelType w:val="hybridMultilevel"/>
    <w:tmpl w:val="1730F3EE"/>
    <w:lvl w:ilvl="0" w:tplc="D180D7B2">
      <w:start w:val="1"/>
      <w:numFmt w:val="lowerLetter"/>
      <w:lvlText w:val="%1)"/>
      <w:lvlJc w:val="right"/>
      <w:pPr>
        <w:ind w:left="4329" w:hanging="360"/>
      </w:pPr>
      <w:rPr>
        <w:rFonts w:hint="default"/>
      </w:rPr>
    </w:lvl>
    <w:lvl w:ilvl="1" w:tplc="08090019">
      <w:start w:val="1"/>
      <w:numFmt w:val="lowerLetter"/>
      <w:lvlText w:val="%2."/>
      <w:lvlJc w:val="left"/>
      <w:pPr>
        <w:ind w:left="7176" w:hanging="360"/>
      </w:pPr>
    </w:lvl>
    <w:lvl w:ilvl="2" w:tplc="0809001B" w:tentative="1">
      <w:start w:val="1"/>
      <w:numFmt w:val="lowerRoman"/>
      <w:lvlText w:val="%3."/>
      <w:lvlJc w:val="right"/>
      <w:pPr>
        <w:ind w:left="7896" w:hanging="180"/>
      </w:pPr>
    </w:lvl>
    <w:lvl w:ilvl="3" w:tplc="0809000F" w:tentative="1">
      <w:start w:val="1"/>
      <w:numFmt w:val="decimal"/>
      <w:lvlText w:val="%4."/>
      <w:lvlJc w:val="left"/>
      <w:pPr>
        <w:ind w:left="8616" w:hanging="360"/>
      </w:pPr>
    </w:lvl>
    <w:lvl w:ilvl="4" w:tplc="08090019" w:tentative="1">
      <w:start w:val="1"/>
      <w:numFmt w:val="lowerLetter"/>
      <w:lvlText w:val="%5."/>
      <w:lvlJc w:val="left"/>
      <w:pPr>
        <w:ind w:left="9336" w:hanging="360"/>
      </w:pPr>
    </w:lvl>
    <w:lvl w:ilvl="5" w:tplc="0809001B" w:tentative="1">
      <w:start w:val="1"/>
      <w:numFmt w:val="lowerRoman"/>
      <w:lvlText w:val="%6."/>
      <w:lvlJc w:val="right"/>
      <w:pPr>
        <w:ind w:left="10056" w:hanging="180"/>
      </w:pPr>
    </w:lvl>
    <w:lvl w:ilvl="6" w:tplc="0809000F" w:tentative="1">
      <w:start w:val="1"/>
      <w:numFmt w:val="decimal"/>
      <w:lvlText w:val="%7."/>
      <w:lvlJc w:val="left"/>
      <w:pPr>
        <w:ind w:left="10776" w:hanging="360"/>
      </w:pPr>
    </w:lvl>
    <w:lvl w:ilvl="7" w:tplc="08090019" w:tentative="1">
      <w:start w:val="1"/>
      <w:numFmt w:val="lowerLetter"/>
      <w:lvlText w:val="%8."/>
      <w:lvlJc w:val="left"/>
      <w:pPr>
        <w:ind w:left="11496" w:hanging="360"/>
      </w:pPr>
    </w:lvl>
    <w:lvl w:ilvl="8" w:tplc="0809001B" w:tentative="1">
      <w:start w:val="1"/>
      <w:numFmt w:val="lowerRoman"/>
      <w:lvlText w:val="%9."/>
      <w:lvlJc w:val="right"/>
      <w:pPr>
        <w:ind w:left="12216" w:hanging="180"/>
      </w:pPr>
    </w:lvl>
  </w:abstractNum>
  <w:abstractNum w:abstractNumId="12">
    <w:nsid w:val="3FFF5F78"/>
    <w:multiLevelType w:val="hybridMultilevel"/>
    <w:tmpl w:val="8A543C5A"/>
    <w:lvl w:ilvl="0" w:tplc="B70A69D6">
      <w:start w:val="1"/>
      <w:numFmt w:val="decimal"/>
      <w:lvlText w:val="%1."/>
      <w:lvlJc w:val="left"/>
      <w:pPr>
        <w:tabs>
          <w:tab w:val="num" w:pos="1121"/>
        </w:tabs>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2"/>
        <w:szCs w:val="22"/>
        <w:u w:val="none" w:color="000000"/>
        <w:effect w:val="none"/>
        <w:bdr w:val="none" w:sz="0" w:space="0" w:color="000000"/>
        <w:shd w:val="clear" w:color="000000" w:fill="000000"/>
        <w:vertAlign w:val="baseline"/>
        <w:em w:val="none"/>
        <w:lang w:val="x-none" w:eastAsia="x-none" w:bidi="x-none"/>
        <w:specVanish w:val="0"/>
      </w:rPr>
    </w:lvl>
    <w:lvl w:ilvl="1" w:tplc="E8E64FA0">
      <w:start w:val="1"/>
      <w:numFmt w:val="lowerLetter"/>
      <w:lvlText w:val="%2)"/>
      <w:lvlJc w:val="left"/>
      <w:pPr>
        <w:tabs>
          <w:tab w:val="num" w:pos="1477"/>
        </w:tabs>
        <w:ind w:left="1080"/>
      </w:pPr>
      <w:rPr>
        <w:rFonts w:cs="Times New Roman" w:hint="default"/>
      </w:rPr>
    </w:lvl>
    <w:lvl w:ilvl="2" w:tplc="D180D7B2">
      <w:start w:val="1"/>
      <w:numFmt w:val="lowerLetter"/>
      <w:lvlText w:val="%3)"/>
      <w:lvlJc w:val="right"/>
      <w:pPr>
        <w:tabs>
          <w:tab w:val="num" w:pos="2160"/>
        </w:tabs>
        <w:ind w:left="2160" w:hanging="180"/>
      </w:pPr>
      <w:rPr>
        <w:rFonts w:hint="default"/>
      </w:rPr>
    </w:lvl>
    <w:lvl w:ilvl="3" w:tplc="B7001FF6">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BE24F4F"/>
    <w:multiLevelType w:val="hybridMultilevel"/>
    <w:tmpl w:val="115A1EAC"/>
    <w:lvl w:ilvl="0" w:tplc="35B25828">
      <w:start w:val="1"/>
      <w:numFmt w:val="decimal"/>
      <w:lvlText w:val="%1."/>
      <w:lvlJc w:val="left"/>
      <w:pPr>
        <w:ind w:left="928" w:hanging="360"/>
      </w:pPr>
      <w:rPr>
        <w:rFonts w:hint="default"/>
        <w:b w:val="0"/>
        <w:sz w:val="20"/>
        <w:szCs w:val="2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nsid w:val="593500CF"/>
    <w:multiLevelType w:val="hybridMultilevel"/>
    <w:tmpl w:val="1730F3EE"/>
    <w:lvl w:ilvl="0" w:tplc="D180D7B2">
      <w:start w:val="1"/>
      <w:numFmt w:val="lowerLetter"/>
      <w:lvlText w:val="%1)"/>
      <w:lvlJc w:val="right"/>
      <w:pPr>
        <w:ind w:left="3762" w:hanging="360"/>
      </w:pPr>
      <w:rPr>
        <w:rFonts w:hint="default"/>
      </w:rPr>
    </w:lvl>
    <w:lvl w:ilvl="1" w:tplc="08090019">
      <w:start w:val="1"/>
      <w:numFmt w:val="lowerLetter"/>
      <w:lvlText w:val="%2."/>
      <w:lvlJc w:val="left"/>
      <w:pPr>
        <w:ind w:left="6609" w:hanging="360"/>
      </w:pPr>
    </w:lvl>
    <w:lvl w:ilvl="2" w:tplc="0809001B" w:tentative="1">
      <w:start w:val="1"/>
      <w:numFmt w:val="lowerRoman"/>
      <w:lvlText w:val="%3."/>
      <w:lvlJc w:val="right"/>
      <w:pPr>
        <w:ind w:left="7329" w:hanging="180"/>
      </w:pPr>
    </w:lvl>
    <w:lvl w:ilvl="3" w:tplc="0809000F" w:tentative="1">
      <w:start w:val="1"/>
      <w:numFmt w:val="decimal"/>
      <w:lvlText w:val="%4."/>
      <w:lvlJc w:val="left"/>
      <w:pPr>
        <w:ind w:left="8049" w:hanging="360"/>
      </w:pPr>
    </w:lvl>
    <w:lvl w:ilvl="4" w:tplc="08090019" w:tentative="1">
      <w:start w:val="1"/>
      <w:numFmt w:val="lowerLetter"/>
      <w:lvlText w:val="%5."/>
      <w:lvlJc w:val="left"/>
      <w:pPr>
        <w:ind w:left="8769" w:hanging="360"/>
      </w:pPr>
    </w:lvl>
    <w:lvl w:ilvl="5" w:tplc="0809001B" w:tentative="1">
      <w:start w:val="1"/>
      <w:numFmt w:val="lowerRoman"/>
      <w:lvlText w:val="%6."/>
      <w:lvlJc w:val="right"/>
      <w:pPr>
        <w:ind w:left="9489" w:hanging="180"/>
      </w:pPr>
    </w:lvl>
    <w:lvl w:ilvl="6" w:tplc="0809000F" w:tentative="1">
      <w:start w:val="1"/>
      <w:numFmt w:val="decimal"/>
      <w:lvlText w:val="%7."/>
      <w:lvlJc w:val="left"/>
      <w:pPr>
        <w:ind w:left="10209" w:hanging="360"/>
      </w:pPr>
    </w:lvl>
    <w:lvl w:ilvl="7" w:tplc="08090019" w:tentative="1">
      <w:start w:val="1"/>
      <w:numFmt w:val="lowerLetter"/>
      <w:lvlText w:val="%8."/>
      <w:lvlJc w:val="left"/>
      <w:pPr>
        <w:ind w:left="10929" w:hanging="360"/>
      </w:pPr>
    </w:lvl>
    <w:lvl w:ilvl="8" w:tplc="0809001B" w:tentative="1">
      <w:start w:val="1"/>
      <w:numFmt w:val="lowerRoman"/>
      <w:lvlText w:val="%9."/>
      <w:lvlJc w:val="right"/>
      <w:pPr>
        <w:ind w:left="11649" w:hanging="180"/>
      </w:pPr>
    </w:lvl>
  </w:abstractNum>
  <w:abstractNum w:abstractNumId="15">
    <w:nsid w:val="5B0939AF"/>
    <w:multiLevelType w:val="hybridMultilevel"/>
    <w:tmpl w:val="84181A9E"/>
    <w:lvl w:ilvl="0" w:tplc="72045ED6">
      <w:start w:val="1"/>
      <w:numFmt w:val="lowerLetter"/>
      <w:pStyle w:val="paraa"/>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16">
    <w:nsid w:val="60795EC9"/>
    <w:multiLevelType w:val="hybridMultilevel"/>
    <w:tmpl w:val="7A8606A2"/>
    <w:lvl w:ilvl="0" w:tplc="8AA212DA">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7">
    <w:nsid w:val="629A6866"/>
    <w:multiLevelType w:val="hybridMultilevel"/>
    <w:tmpl w:val="8DF8DD50"/>
    <w:lvl w:ilvl="0" w:tplc="BF885248">
      <w:start w:val="1"/>
      <w:numFmt w:val="lowerLetter"/>
      <w:pStyle w:val="LOIa"/>
      <w:lvlText w:val="(%1)"/>
      <w:lvlJc w:val="left"/>
      <w:pPr>
        <w:ind w:left="2061" w:hanging="360"/>
      </w:pPr>
      <w:rPr>
        <w:rFonts w:cs="Times New Roman" w:hint="default"/>
      </w:rPr>
    </w:lvl>
    <w:lvl w:ilvl="1" w:tplc="04090019">
      <w:start w:val="1"/>
      <w:numFmt w:val="upperLetter"/>
      <w:lvlText w:val="%2."/>
      <w:lvlJc w:val="left"/>
      <w:pPr>
        <w:ind w:left="2501" w:hanging="400"/>
      </w:pPr>
      <w:rPr>
        <w:rFonts w:cs="Times New Roman"/>
      </w:rPr>
    </w:lvl>
    <w:lvl w:ilvl="2" w:tplc="0409001B">
      <w:start w:val="1"/>
      <w:numFmt w:val="lowerRoman"/>
      <w:lvlText w:val="%3."/>
      <w:lvlJc w:val="right"/>
      <w:pPr>
        <w:ind w:left="2901" w:hanging="400"/>
      </w:pPr>
      <w:rPr>
        <w:rFonts w:cs="Times New Roman"/>
      </w:rPr>
    </w:lvl>
    <w:lvl w:ilvl="3" w:tplc="0409000F">
      <w:start w:val="1"/>
      <w:numFmt w:val="decimal"/>
      <w:lvlText w:val="%4."/>
      <w:lvlJc w:val="left"/>
      <w:pPr>
        <w:ind w:left="3301" w:hanging="400"/>
      </w:pPr>
      <w:rPr>
        <w:rFonts w:cs="Times New Roman"/>
      </w:rPr>
    </w:lvl>
    <w:lvl w:ilvl="4" w:tplc="04090019">
      <w:start w:val="1"/>
      <w:numFmt w:val="upperLetter"/>
      <w:lvlText w:val="%5."/>
      <w:lvlJc w:val="left"/>
      <w:pPr>
        <w:ind w:left="3701" w:hanging="400"/>
      </w:pPr>
      <w:rPr>
        <w:rFonts w:cs="Times New Roman"/>
      </w:rPr>
    </w:lvl>
    <w:lvl w:ilvl="5" w:tplc="0409001B">
      <w:start w:val="1"/>
      <w:numFmt w:val="lowerRoman"/>
      <w:lvlText w:val="%6."/>
      <w:lvlJc w:val="right"/>
      <w:pPr>
        <w:ind w:left="4101" w:hanging="400"/>
      </w:pPr>
      <w:rPr>
        <w:rFonts w:cs="Times New Roman"/>
      </w:rPr>
    </w:lvl>
    <w:lvl w:ilvl="6" w:tplc="0409000F">
      <w:start w:val="1"/>
      <w:numFmt w:val="decimal"/>
      <w:lvlText w:val="%7."/>
      <w:lvlJc w:val="left"/>
      <w:pPr>
        <w:ind w:left="4501" w:hanging="400"/>
      </w:pPr>
      <w:rPr>
        <w:rFonts w:cs="Times New Roman"/>
      </w:rPr>
    </w:lvl>
    <w:lvl w:ilvl="7" w:tplc="04090019">
      <w:start w:val="1"/>
      <w:numFmt w:val="upperLetter"/>
      <w:lvlText w:val="%8."/>
      <w:lvlJc w:val="left"/>
      <w:pPr>
        <w:ind w:left="4901" w:hanging="400"/>
      </w:pPr>
      <w:rPr>
        <w:rFonts w:cs="Times New Roman"/>
      </w:rPr>
    </w:lvl>
    <w:lvl w:ilvl="8" w:tplc="0409001B">
      <w:start w:val="1"/>
      <w:numFmt w:val="lowerRoman"/>
      <w:lvlText w:val="%9."/>
      <w:lvlJc w:val="right"/>
      <w:pPr>
        <w:ind w:left="5301" w:hanging="400"/>
      </w:pPr>
      <w:rPr>
        <w:rFonts w:cs="Times New Roman"/>
      </w:rPr>
    </w:lvl>
  </w:abstractNum>
  <w:abstractNum w:abstractNumId="1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C1C4A36"/>
    <w:multiLevelType w:val="hybridMultilevel"/>
    <w:tmpl w:val="115A1EAC"/>
    <w:lvl w:ilvl="0" w:tplc="35B25828">
      <w:start w:val="1"/>
      <w:numFmt w:val="decimal"/>
      <w:lvlText w:val="%1."/>
      <w:lvlJc w:val="left"/>
      <w:pPr>
        <w:ind w:left="928" w:hanging="360"/>
      </w:pPr>
      <w:rPr>
        <w:rFonts w:hint="default"/>
        <w:b w:val="0"/>
        <w:sz w:val="20"/>
        <w:szCs w:val="2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nsid w:val="7531294C"/>
    <w:multiLevelType w:val="hybridMultilevel"/>
    <w:tmpl w:val="67E05894"/>
    <w:lvl w:ilvl="0" w:tplc="EE9C5E26">
      <w:start w:val="19"/>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 w:numId="2">
    <w:abstractNumId w:val="18"/>
  </w:num>
  <w:num w:numId="3">
    <w:abstractNumId w:val="4"/>
  </w:num>
  <w:num w:numId="4">
    <w:abstractNumId w:val="5"/>
  </w:num>
  <w:num w:numId="5">
    <w:abstractNumId w:val="8"/>
  </w:num>
  <w:num w:numId="6">
    <w:abstractNumId w:val="16"/>
  </w:num>
  <w:num w:numId="7">
    <w:abstractNumId w:val="3"/>
  </w:num>
  <w:num w:numId="8">
    <w:abstractNumId w:val="10"/>
  </w:num>
  <w:num w:numId="9">
    <w:abstractNumId w:val="9"/>
  </w:num>
  <w:num w:numId="10">
    <w:abstractNumId w:val="17"/>
  </w:num>
  <w:num w:numId="11">
    <w:abstractNumId w:val="17"/>
    <w:lvlOverride w:ilvl="0">
      <w:startOverride w:val="1"/>
    </w:lvlOverride>
  </w:num>
  <w:num w:numId="12">
    <w:abstractNumId w:val="17"/>
    <w:lvlOverride w:ilvl="0">
      <w:startOverride w:val="1"/>
    </w:lvlOverride>
  </w:num>
  <w:num w:numId="13">
    <w:abstractNumId w:val="17"/>
    <w:lvlOverride w:ilvl="0">
      <w:startOverride w:val="1"/>
    </w:lvlOverride>
  </w:num>
  <w:num w:numId="14">
    <w:abstractNumId w:val="17"/>
    <w:lvlOverride w:ilvl="0">
      <w:startOverride w:val="1"/>
    </w:lvlOverride>
  </w:num>
  <w:num w:numId="15">
    <w:abstractNumId w:val="17"/>
    <w:lvlOverride w:ilvl="0">
      <w:startOverride w:val="1"/>
    </w:lvlOverride>
  </w:num>
  <w:num w:numId="16">
    <w:abstractNumId w:val="17"/>
    <w:lvlOverride w:ilvl="0">
      <w:startOverride w:val="1"/>
    </w:lvlOverride>
  </w:num>
  <w:num w:numId="17">
    <w:abstractNumId w:val="6"/>
  </w:num>
  <w:num w:numId="18">
    <w:abstractNumId w:val="19"/>
  </w:num>
  <w:num w:numId="19">
    <w:abstractNumId w:val="13"/>
  </w:num>
  <w:num w:numId="20">
    <w:abstractNumId w:val="2"/>
  </w:num>
  <w:num w:numId="21">
    <w:abstractNumId w:val="12"/>
  </w:num>
  <w:num w:numId="22">
    <w:abstractNumId w:val="14"/>
    <w:lvlOverride w:ilvl="0">
      <w:startOverride w:val="1"/>
    </w:lvlOverride>
  </w:num>
  <w:num w:numId="23">
    <w:abstractNumId w:val="14"/>
    <w:lvlOverride w:ilvl="0">
      <w:startOverride w:val="1"/>
    </w:lvlOverride>
  </w:num>
  <w:num w:numId="24">
    <w:abstractNumId w:val="14"/>
  </w:num>
  <w:num w:numId="25">
    <w:abstractNumId w:val="14"/>
    <w:lvlOverride w:ilvl="0">
      <w:startOverride w:val="1"/>
    </w:lvlOverride>
  </w:num>
  <w:num w:numId="26">
    <w:abstractNumId w:val="11"/>
  </w:num>
  <w:num w:numId="27">
    <w:abstractNumId w:val="7"/>
  </w:num>
  <w:num w:numId="28">
    <w:abstractNumId w:val="20"/>
  </w:num>
  <w:num w:numId="29">
    <w:abstractNumId w:val="1"/>
  </w:num>
  <w:num w:numId="30">
    <w:abstractNumId w:val="15"/>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15"/>
    <w:lvlOverride w:ilvl="0">
      <w:startOverride w:val="1"/>
    </w:lvlOverride>
  </w:num>
  <w:num w:numId="36">
    <w:abstractNumId w:val="15"/>
    <w:lvlOverride w:ilvl="0">
      <w:startOverride w:val="1"/>
    </w:lvlOverride>
  </w:num>
  <w:num w:numId="3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615B"/>
    <w:rsid w:val="0000248A"/>
    <w:rsid w:val="00015178"/>
    <w:rsid w:val="00021707"/>
    <w:rsid w:val="00024214"/>
    <w:rsid w:val="00032187"/>
    <w:rsid w:val="000348AD"/>
    <w:rsid w:val="00036673"/>
    <w:rsid w:val="00036759"/>
    <w:rsid w:val="00043997"/>
    <w:rsid w:val="00043BF4"/>
    <w:rsid w:val="00050F6B"/>
    <w:rsid w:val="00054EED"/>
    <w:rsid w:val="0005583D"/>
    <w:rsid w:val="00057E97"/>
    <w:rsid w:val="00061A1A"/>
    <w:rsid w:val="00072C8C"/>
    <w:rsid w:val="000733B5"/>
    <w:rsid w:val="00075B5C"/>
    <w:rsid w:val="00077365"/>
    <w:rsid w:val="00081815"/>
    <w:rsid w:val="00082DCA"/>
    <w:rsid w:val="00090A7D"/>
    <w:rsid w:val="000931C0"/>
    <w:rsid w:val="00093BC1"/>
    <w:rsid w:val="00094B47"/>
    <w:rsid w:val="00097C9D"/>
    <w:rsid w:val="000A3E40"/>
    <w:rsid w:val="000A5550"/>
    <w:rsid w:val="000B0A8F"/>
    <w:rsid w:val="000B1667"/>
    <w:rsid w:val="000B175B"/>
    <w:rsid w:val="000B3382"/>
    <w:rsid w:val="000B3A0F"/>
    <w:rsid w:val="000B3E4A"/>
    <w:rsid w:val="000B4EF7"/>
    <w:rsid w:val="000B57BE"/>
    <w:rsid w:val="000C2C03"/>
    <w:rsid w:val="000C2D2E"/>
    <w:rsid w:val="000C34FB"/>
    <w:rsid w:val="000C38A0"/>
    <w:rsid w:val="000D10BE"/>
    <w:rsid w:val="000D14FF"/>
    <w:rsid w:val="000D30CF"/>
    <w:rsid w:val="000E0415"/>
    <w:rsid w:val="000E0F71"/>
    <w:rsid w:val="000E48C8"/>
    <w:rsid w:val="000F706E"/>
    <w:rsid w:val="00106160"/>
    <w:rsid w:val="001103AA"/>
    <w:rsid w:val="00122D6C"/>
    <w:rsid w:val="00130A4E"/>
    <w:rsid w:val="00133C12"/>
    <w:rsid w:val="00134E17"/>
    <w:rsid w:val="001354F9"/>
    <w:rsid w:val="00136CB8"/>
    <w:rsid w:val="0014424A"/>
    <w:rsid w:val="001447E1"/>
    <w:rsid w:val="001450BD"/>
    <w:rsid w:val="00146DDE"/>
    <w:rsid w:val="001504AC"/>
    <w:rsid w:val="00153179"/>
    <w:rsid w:val="00163011"/>
    <w:rsid w:val="00165322"/>
    <w:rsid w:val="00165F3A"/>
    <w:rsid w:val="001671C5"/>
    <w:rsid w:val="00167967"/>
    <w:rsid w:val="00167EDB"/>
    <w:rsid w:val="00171736"/>
    <w:rsid w:val="00173D9C"/>
    <w:rsid w:val="00177A5E"/>
    <w:rsid w:val="001806A6"/>
    <w:rsid w:val="001810D6"/>
    <w:rsid w:val="00183227"/>
    <w:rsid w:val="00183D66"/>
    <w:rsid w:val="00184864"/>
    <w:rsid w:val="00186CC3"/>
    <w:rsid w:val="00195A33"/>
    <w:rsid w:val="00197A2F"/>
    <w:rsid w:val="00197B02"/>
    <w:rsid w:val="001A040B"/>
    <w:rsid w:val="001B13B6"/>
    <w:rsid w:val="001B1FE3"/>
    <w:rsid w:val="001B4222"/>
    <w:rsid w:val="001B4B04"/>
    <w:rsid w:val="001B59AF"/>
    <w:rsid w:val="001C32AB"/>
    <w:rsid w:val="001C6663"/>
    <w:rsid w:val="001C7895"/>
    <w:rsid w:val="001D0B77"/>
    <w:rsid w:val="001D0C8C"/>
    <w:rsid w:val="001D26DF"/>
    <w:rsid w:val="001D3A03"/>
    <w:rsid w:val="001E7013"/>
    <w:rsid w:val="001F5A5D"/>
    <w:rsid w:val="001F71F5"/>
    <w:rsid w:val="00202DA8"/>
    <w:rsid w:val="0021047E"/>
    <w:rsid w:val="00211E0B"/>
    <w:rsid w:val="00240F4C"/>
    <w:rsid w:val="00241356"/>
    <w:rsid w:val="00244E18"/>
    <w:rsid w:val="00245587"/>
    <w:rsid w:val="00256F99"/>
    <w:rsid w:val="00256FCB"/>
    <w:rsid w:val="0025795F"/>
    <w:rsid w:val="00263236"/>
    <w:rsid w:val="002656DD"/>
    <w:rsid w:val="0026683C"/>
    <w:rsid w:val="00267CF0"/>
    <w:rsid w:val="00267F5F"/>
    <w:rsid w:val="00271E9A"/>
    <w:rsid w:val="0027601D"/>
    <w:rsid w:val="002772F3"/>
    <w:rsid w:val="00277D2C"/>
    <w:rsid w:val="00280A89"/>
    <w:rsid w:val="002834B6"/>
    <w:rsid w:val="0028691A"/>
    <w:rsid w:val="00286B4D"/>
    <w:rsid w:val="00290F7D"/>
    <w:rsid w:val="00291A72"/>
    <w:rsid w:val="002955D6"/>
    <w:rsid w:val="002967C9"/>
    <w:rsid w:val="00297799"/>
    <w:rsid w:val="002A21EA"/>
    <w:rsid w:val="002A4F75"/>
    <w:rsid w:val="002A6C55"/>
    <w:rsid w:val="002B1EC4"/>
    <w:rsid w:val="002B3C39"/>
    <w:rsid w:val="002B466B"/>
    <w:rsid w:val="002B5B22"/>
    <w:rsid w:val="002C0694"/>
    <w:rsid w:val="002C2E15"/>
    <w:rsid w:val="002C428D"/>
    <w:rsid w:val="002D0E4B"/>
    <w:rsid w:val="002D3742"/>
    <w:rsid w:val="002D6766"/>
    <w:rsid w:val="002D680C"/>
    <w:rsid w:val="002E586B"/>
    <w:rsid w:val="002E5A75"/>
    <w:rsid w:val="002F175C"/>
    <w:rsid w:val="002F1A00"/>
    <w:rsid w:val="002F23F5"/>
    <w:rsid w:val="002F26C2"/>
    <w:rsid w:val="002F4A6E"/>
    <w:rsid w:val="002F657E"/>
    <w:rsid w:val="003003F2"/>
    <w:rsid w:val="00306938"/>
    <w:rsid w:val="003079B4"/>
    <w:rsid w:val="0031572F"/>
    <w:rsid w:val="003229D8"/>
    <w:rsid w:val="00322FB1"/>
    <w:rsid w:val="00327019"/>
    <w:rsid w:val="003273CF"/>
    <w:rsid w:val="00337E71"/>
    <w:rsid w:val="0034074F"/>
    <w:rsid w:val="00341C45"/>
    <w:rsid w:val="00342718"/>
    <w:rsid w:val="00342B3B"/>
    <w:rsid w:val="003441C6"/>
    <w:rsid w:val="00344ACE"/>
    <w:rsid w:val="00346274"/>
    <w:rsid w:val="00346488"/>
    <w:rsid w:val="00352709"/>
    <w:rsid w:val="00352F9F"/>
    <w:rsid w:val="0035568E"/>
    <w:rsid w:val="0036463D"/>
    <w:rsid w:val="00370A64"/>
    <w:rsid w:val="00371178"/>
    <w:rsid w:val="00372B4A"/>
    <w:rsid w:val="003751C6"/>
    <w:rsid w:val="003764FB"/>
    <w:rsid w:val="003809BE"/>
    <w:rsid w:val="003825BE"/>
    <w:rsid w:val="00382BE9"/>
    <w:rsid w:val="00384848"/>
    <w:rsid w:val="00384C07"/>
    <w:rsid w:val="0038607E"/>
    <w:rsid w:val="00386894"/>
    <w:rsid w:val="003A0578"/>
    <w:rsid w:val="003A2E6E"/>
    <w:rsid w:val="003A4CEA"/>
    <w:rsid w:val="003A64F6"/>
    <w:rsid w:val="003A6771"/>
    <w:rsid w:val="003A6810"/>
    <w:rsid w:val="003B045A"/>
    <w:rsid w:val="003B1EEE"/>
    <w:rsid w:val="003B4BEB"/>
    <w:rsid w:val="003B7054"/>
    <w:rsid w:val="003C2CC4"/>
    <w:rsid w:val="003C5F9B"/>
    <w:rsid w:val="003D159B"/>
    <w:rsid w:val="003D2A95"/>
    <w:rsid w:val="003D4B23"/>
    <w:rsid w:val="003E245D"/>
    <w:rsid w:val="003E26F5"/>
    <w:rsid w:val="003E44DB"/>
    <w:rsid w:val="003E488D"/>
    <w:rsid w:val="003E59F6"/>
    <w:rsid w:val="003F268E"/>
    <w:rsid w:val="003F328C"/>
    <w:rsid w:val="003F7BC1"/>
    <w:rsid w:val="00401931"/>
    <w:rsid w:val="00402E5D"/>
    <w:rsid w:val="0040405B"/>
    <w:rsid w:val="004049F1"/>
    <w:rsid w:val="00405D4F"/>
    <w:rsid w:val="004077D0"/>
    <w:rsid w:val="00410C89"/>
    <w:rsid w:val="00416EAF"/>
    <w:rsid w:val="00421848"/>
    <w:rsid w:val="004222E7"/>
    <w:rsid w:val="00426B9B"/>
    <w:rsid w:val="004325CB"/>
    <w:rsid w:val="004326E9"/>
    <w:rsid w:val="004332B9"/>
    <w:rsid w:val="00442A83"/>
    <w:rsid w:val="004437F2"/>
    <w:rsid w:val="00445BD2"/>
    <w:rsid w:val="0045339F"/>
    <w:rsid w:val="0045495B"/>
    <w:rsid w:val="00455672"/>
    <w:rsid w:val="00455B62"/>
    <w:rsid w:val="00456BB7"/>
    <w:rsid w:val="00457146"/>
    <w:rsid w:val="004577F6"/>
    <w:rsid w:val="00460125"/>
    <w:rsid w:val="00475072"/>
    <w:rsid w:val="0048390C"/>
    <w:rsid w:val="00487A54"/>
    <w:rsid w:val="00490922"/>
    <w:rsid w:val="00491830"/>
    <w:rsid w:val="0049286B"/>
    <w:rsid w:val="004947B7"/>
    <w:rsid w:val="004A0BB2"/>
    <w:rsid w:val="004A1960"/>
    <w:rsid w:val="004B3269"/>
    <w:rsid w:val="004B3402"/>
    <w:rsid w:val="004B4C23"/>
    <w:rsid w:val="004B7802"/>
    <w:rsid w:val="004C1857"/>
    <w:rsid w:val="004C5D60"/>
    <w:rsid w:val="004C6A67"/>
    <w:rsid w:val="004D02E6"/>
    <w:rsid w:val="004D0A3B"/>
    <w:rsid w:val="004D0D0F"/>
    <w:rsid w:val="004D0FCD"/>
    <w:rsid w:val="004E328F"/>
    <w:rsid w:val="004E3717"/>
    <w:rsid w:val="004E53E3"/>
    <w:rsid w:val="004E6DFF"/>
    <w:rsid w:val="004F2EB6"/>
    <w:rsid w:val="005028A6"/>
    <w:rsid w:val="00502B23"/>
    <w:rsid w:val="005042F8"/>
    <w:rsid w:val="005045AB"/>
    <w:rsid w:val="005107A5"/>
    <w:rsid w:val="0051115A"/>
    <w:rsid w:val="0051623B"/>
    <w:rsid w:val="0052136D"/>
    <w:rsid w:val="00524668"/>
    <w:rsid w:val="00525890"/>
    <w:rsid w:val="0052775E"/>
    <w:rsid w:val="0053101E"/>
    <w:rsid w:val="005311C6"/>
    <w:rsid w:val="00532CEF"/>
    <w:rsid w:val="00533595"/>
    <w:rsid w:val="00533FBE"/>
    <w:rsid w:val="00534F68"/>
    <w:rsid w:val="00537B7B"/>
    <w:rsid w:val="005420F2"/>
    <w:rsid w:val="00543C44"/>
    <w:rsid w:val="00544481"/>
    <w:rsid w:val="00550013"/>
    <w:rsid w:val="005515CB"/>
    <w:rsid w:val="005525ED"/>
    <w:rsid w:val="005572A0"/>
    <w:rsid w:val="005574F2"/>
    <w:rsid w:val="00560A06"/>
    <w:rsid w:val="005628B6"/>
    <w:rsid w:val="005649D2"/>
    <w:rsid w:val="00567F83"/>
    <w:rsid w:val="00570E13"/>
    <w:rsid w:val="00570EAE"/>
    <w:rsid w:val="005731C3"/>
    <w:rsid w:val="0057543C"/>
    <w:rsid w:val="00576543"/>
    <w:rsid w:val="0057703F"/>
    <w:rsid w:val="00585E83"/>
    <w:rsid w:val="00586416"/>
    <w:rsid w:val="00586677"/>
    <w:rsid w:val="00590400"/>
    <w:rsid w:val="00590A30"/>
    <w:rsid w:val="005932A8"/>
    <w:rsid w:val="005939C8"/>
    <w:rsid w:val="00594A5D"/>
    <w:rsid w:val="005A0005"/>
    <w:rsid w:val="005A123E"/>
    <w:rsid w:val="005A25A7"/>
    <w:rsid w:val="005A7DC3"/>
    <w:rsid w:val="005B274C"/>
    <w:rsid w:val="005B3CBF"/>
    <w:rsid w:val="005B3DB3"/>
    <w:rsid w:val="005D0FDF"/>
    <w:rsid w:val="005D5AEE"/>
    <w:rsid w:val="005E17D9"/>
    <w:rsid w:val="005F09BF"/>
    <w:rsid w:val="005F1353"/>
    <w:rsid w:val="005F26A5"/>
    <w:rsid w:val="005F514E"/>
    <w:rsid w:val="005F679A"/>
    <w:rsid w:val="005F7B75"/>
    <w:rsid w:val="006001EE"/>
    <w:rsid w:val="00601137"/>
    <w:rsid w:val="00601CD5"/>
    <w:rsid w:val="00604F13"/>
    <w:rsid w:val="00605042"/>
    <w:rsid w:val="00606478"/>
    <w:rsid w:val="00611992"/>
    <w:rsid w:val="00611FC4"/>
    <w:rsid w:val="00614B4E"/>
    <w:rsid w:val="006176FB"/>
    <w:rsid w:val="00625210"/>
    <w:rsid w:val="0062560F"/>
    <w:rsid w:val="00626C82"/>
    <w:rsid w:val="00631539"/>
    <w:rsid w:val="00634B34"/>
    <w:rsid w:val="00635DD8"/>
    <w:rsid w:val="00640B26"/>
    <w:rsid w:val="00641CE6"/>
    <w:rsid w:val="00650FB9"/>
    <w:rsid w:val="00652D0A"/>
    <w:rsid w:val="00654E8E"/>
    <w:rsid w:val="00656271"/>
    <w:rsid w:val="006576C4"/>
    <w:rsid w:val="00660456"/>
    <w:rsid w:val="00662BB6"/>
    <w:rsid w:val="00663385"/>
    <w:rsid w:val="00664290"/>
    <w:rsid w:val="00665DF0"/>
    <w:rsid w:val="0066626D"/>
    <w:rsid w:val="00675525"/>
    <w:rsid w:val="00684C21"/>
    <w:rsid w:val="00690486"/>
    <w:rsid w:val="006974D4"/>
    <w:rsid w:val="00697573"/>
    <w:rsid w:val="006A4B9D"/>
    <w:rsid w:val="006B075D"/>
    <w:rsid w:val="006B29DA"/>
    <w:rsid w:val="006B2B77"/>
    <w:rsid w:val="006B4085"/>
    <w:rsid w:val="006B6596"/>
    <w:rsid w:val="006C0B1E"/>
    <w:rsid w:val="006C19AB"/>
    <w:rsid w:val="006C1A7E"/>
    <w:rsid w:val="006C38BD"/>
    <w:rsid w:val="006C5BAE"/>
    <w:rsid w:val="006C7BD2"/>
    <w:rsid w:val="006D0671"/>
    <w:rsid w:val="006D1C6A"/>
    <w:rsid w:val="006D37AF"/>
    <w:rsid w:val="006D3DD0"/>
    <w:rsid w:val="006D51D0"/>
    <w:rsid w:val="006E4F74"/>
    <w:rsid w:val="006E564B"/>
    <w:rsid w:val="006E70D4"/>
    <w:rsid w:val="006E717E"/>
    <w:rsid w:val="006E7191"/>
    <w:rsid w:val="006F08B5"/>
    <w:rsid w:val="006F0D39"/>
    <w:rsid w:val="006F0DCA"/>
    <w:rsid w:val="006F0FCD"/>
    <w:rsid w:val="006F1C04"/>
    <w:rsid w:val="006F2890"/>
    <w:rsid w:val="006F48C3"/>
    <w:rsid w:val="006F5689"/>
    <w:rsid w:val="00703577"/>
    <w:rsid w:val="00705634"/>
    <w:rsid w:val="0070709B"/>
    <w:rsid w:val="00717719"/>
    <w:rsid w:val="007248C0"/>
    <w:rsid w:val="0072632A"/>
    <w:rsid w:val="00726AF8"/>
    <w:rsid w:val="007309F0"/>
    <w:rsid w:val="00730B3D"/>
    <w:rsid w:val="00731920"/>
    <w:rsid w:val="007327B4"/>
    <w:rsid w:val="007327D5"/>
    <w:rsid w:val="0073495B"/>
    <w:rsid w:val="007403AD"/>
    <w:rsid w:val="007404C0"/>
    <w:rsid w:val="00750DBC"/>
    <w:rsid w:val="00754351"/>
    <w:rsid w:val="00760882"/>
    <w:rsid w:val="007629C8"/>
    <w:rsid w:val="00763402"/>
    <w:rsid w:val="00765443"/>
    <w:rsid w:val="0077472A"/>
    <w:rsid w:val="00782D46"/>
    <w:rsid w:val="007837EE"/>
    <w:rsid w:val="007872DA"/>
    <w:rsid w:val="00787C13"/>
    <w:rsid w:val="00790A8A"/>
    <w:rsid w:val="00792961"/>
    <w:rsid w:val="00792C01"/>
    <w:rsid w:val="007A065C"/>
    <w:rsid w:val="007A3672"/>
    <w:rsid w:val="007A48D8"/>
    <w:rsid w:val="007B18E6"/>
    <w:rsid w:val="007B1AC9"/>
    <w:rsid w:val="007B1B0B"/>
    <w:rsid w:val="007B6BA5"/>
    <w:rsid w:val="007B7D42"/>
    <w:rsid w:val="007C2569"/>
    <w:rsid w:val="007C31C8"/>
    <w:rsid w:val="007C3390"/>
    <w:rsid w:val="007C36FB"/>
    <w:rsid w:val="007C3BB5"/>
    <w:rsid w:val="007C4F4B"/>
    <w:rsid w:val="007C5CDB"/>
    <w:rsid w:val="007C7BE8"/>
    <w:rsid w:val="007D3557"/>
    <w:rsid w:val="007D6B45"/>
    <w:rsid w:val="007D7416"/>
    <w:rsid w:val="007E044D"/>
    <w:rsid w:val="007E2DA1"/>
    <w:rsid w:val="007E37C2"/>
    <w:rsid w:val="007E3F0B"/>
    <w:rsid w:val="007E5CE8"/>
    <w:rsid w:val="007E7672"/>
    <w:rsid w:val="007E7BD4"/>
    <w:rsid w:val="007F21C1"/>
    <w:rsid w:val="007F48D6"/>
    <w:rsid w:val="007F5D0A"/>
    <w:rsid w:val="007F6611"/>
    <w:rsid w:val="00802195"/>
    <w:rsid w:val="00805056"/>
    <w:rsid w:val="00805ADF"/>
    <w:rsid w:val="00810D49"/>
    <w:rsid w:val="008132C1"/>
    <w:rsid w:val="00814329"/>
    <w:rsid w:val="00821724"/>
    <w:rsid w:val="0082179F"/>
    <w:rsid w:val="008226D8"/>
    <w:rsid w:val="00822A0E"/>
    <w:rsid w:val="00822C89"/>
    <w:rsid w:val="008242D7"/>
    <w:rsid w:val="008257B1"/>
    <w:rsid w:val="00827AD2"/>
    <w:rsid w:val="00832001"/>
    <w:rsid w:val="00833973"/>
    <w:rsid w:val="008371B5"/>
    <w:rsid w:val="00841202"/>
    <w:rsid w:val="0084290B"/>
    <w:rsid w:val="00843086"/>
    <w:rsid w:val="00843767"/>
    <w:rsid w:val="00846F22"/>
    <w:rsid w:val="00852EA2"/>
    <w:rsid w:val="00860465"/>
    <w:rsid w:val="00861DD2"/>
    <w:rsid w:val="00865AAF"/>
    <w:rsid w:val="008679D9"/>
    <w:rsid w:val="00870CD8"/>
    <w:rsid w:val="00880EBE"/>
    <w:rsid w:val="008911F1"/>
    <w:rsid w:val="008979B1"/>
    <w:rsid w:val="008A1D13"/>
    <w:rsid w:val="008A58B2"/>
    <w:rsid w:val="008A6991"/>
    <w:rsid w:val="008A6B25"/>
    <w:rsid w:val="008A6C4F"/>
    <w:rsid w:val="008A75AF"/>
    <w:rsid w:val="008B2335"/>
    <w:rsid w:val="008B27A5"/>
    <w:rsid w:val="008B319F"/>
    <w:rsid w:val="008B3B7F"/>
    <w:rsid w:val="008B4A4D"/>
    <w:rsid w:val="008C6B52"/>
    <w:rsid w:val="008D1D9F"/>
    <w:rsid w:val="008D3181"/>
    <w:rsid w:val="008D4353"/>
    <w:rsid w:val="008D5AAF"/>
    <w:rsid w:val="008E0678"/>
    <w:rsid w:val="008E4285"/>
    <w:rsid w:val="008E43A1"/>
    <w:rsid w:val="008E57FB"/>
    <w:rsid w:val="008F0101"/>
    <w:rsid w:val="008F4E97"/>
    <w:rsid w:val="008F7068"/>
    <w:rsid w:val="00903EF0"/>
    <w:rsid w:val="0090494C"/>
    <w:rsid w:val="00920449"/>
    <w:rsid w:val="009223CA"/>
    <w:rsid w:val="00924DFC"/>
    <w:rsid w:val="009264CF"/>
    <w:rsid w:val="009321E2"/>
    <w:rsid w:val="0093227A"/>
    <w:rsid w:val="00940F93"/>
    <w:rsid w:val="00945D3C"/>
    <w:rsid w:val="00952F5E"/>
    <w:rsid w:val="00954C51"/>
    <w:rsid w:val="009552B9"/>
    <w:rsid w:val="00960263"/>
    <w:rsid w:val="009615A0"/>
    <w:rsid w:val="00965A6C"/>
    <w:rsid w:val="009760F3"/>
    <w:rsid w:val="0098163E"/>
    <w:rsid w:val="00982349"/>
    <w:rsid w:val="009971A1"/>
    <w:rsid w:val="009A0E8D"/>
    <w:rsid w:val="009A1939"/>
    <w:rsid w:val="009B00EF"/>
    <w:rsid w:val="009B198D"/>
    <w:rsid w:val="009B26E7"/>
    <w:rsid w:val="009B3B36"/>
    <w:rsid w:val="009B504A"/>
    <w:rsid w:val="009B644C"/>
    <w:rsid w:val="009C5ECF"/>
    <w:rsid w:val="009D1B46"/>
    <w:rsid w:val="009D5D43"/>
    <w:rsid w:val="009E7DCA"/>
    <w:rsid w:val="009E7E56"/>
    <w:rsid w:val="009F28F0"/>
    <w:rsid w:val="009F773D"/>
    <w:rsid w:val="00A00A3F"/>
    <w:rsid w:val="00A010AE"/>
    <w:rsid w:val="00A01489"/>
    <w:rsid w:val="00A069A6"/>
    <w:rsid w:val="00A07661"/>
    <w:rsid w:val="00A079D3"/>
    <w:rsid w:val="00A1423E"/>
    <w:rsid w:val="00A23270"/>
    <w:rsid w:val="00A24186"/>
    <w:rsid w:val="00A24978"/>
    <w:rsid w:val="00A27167"/>
    <w:rsid w:val="00A301F6"/>
    <w:rsid w:val="00A30493"/>
    <w:rsid w:val="00A338F1"/>
    <w:rsid w:val="00A37720"/>
    <w:rsid w:val="00A5214F"/>
    <w:rsid w:val="00A618E1"/>
    <w:rsid w:val="00A643F7"/>
    <w:rsid w:val="00A65A69"/>
    <w:rsid w:val="00A66585"/>
    <w:rsid w:val="00A70BC4"/>
    <w:rsid w:val="00A72F22"/>
    <w:rsid w:val="00A7360F"/>
    <w:rsid w:val="00A74207"/>
    <w:rsid w:val="00A748A6"/>
    <w:rsid w:val="00A74EBB"/>
    <w:rsid w:val="00A75921"/>
    <w:rsid w:val="00A769F4"/>
    <w:rsid w:val="00A776B4"/>
    <w:rsid w:val="00A83237"/>
    <w:rsid w:val="00A86151"/>
    <w:rsid w:val="00A94361"/>
    <w:rsid w:val="00A94975"/>
    <w:rsid w:val="00A95B80"/>
    <w:rsid w:val="00A96478"/>
    <w:rsid w:val="00AA293C"/>
    <w:rsid w:val="00AA4412"/>
    <w:rsid w:val="00AA7DF6"/>
    <w:rsid w:val="00AB15F9"/>
    <w:rsid w:val="00AB1714"/>
    <w:rsid w:val="00AC440E"/>
    <w:rsid w:val="00AE0D8C"/>
    <w:rsid w:val="00AE1CCA"/>
    <w:rsid w:val="00AE7422"/>
    <w:rsid w:val="00AF0B8E"/>
    <w:rsid w:val="00AF199B"/>
    <w:rsid w:val="00AF2A0B"/>
    <w:rsid w:val="00AF35B3"/>
    <w:rsid w:val="00AF5827"/>
    <w:rsid w:val="00AF7F35"/>
    <w:rsid w:val="00B00026"/>
    <w:rsid w:val="00B01431"/>
    <w:rsid w:val="00B13517"/>
    <w:rsid w:val="00B13651"/>
    <w:rsid w:val="00B206A8"/>
    <w:rsid w:val="00B23A7E"/>
    <w:rsid w:val="00B30179"/>
    <w:rsid w:val="00B441DE"/>
    <w:rsid w:val="00B4765A"/>
    <w:rsid w:val="00B502F4"/>
    <w:rsid w:val="00B522E9"/>
    <w:rsid w:val="00B548E2"/>
    <w:rsid w:val="00B54F31"/>
    <w:rsid w:val="00B55B4C"/>
    <w:rsid w:val="00B56E4A"/>
    <w:rsid w:val="00B56E9C"/>
    <w:rsid w:val="00B6142B"/>
    <w:rsid w:val="00B61BDF"/>
    <w:rsid w:val="00B641C2"/>
    <w:rsid w:val="00B64B1F"/>
    <w:rsid w:val="00B65146"/>
    <w:rsid w:val="00B6550E"/>
    <w:rsid w:val="00B6553F"/>
    <w:rsid w:val="00B67F0E"/>
    <w:rsid w:val="00B74B47"/>
    <w:rsid w:val="00B7771D"/>
    <w:rsid w:val="00B77D05"/>
    <w:rsid w:val="00B81206"/>
    <w:rsid w:val="00B81E12"/>
    <w:rsid w:val="00B82ED6"/>
    <w:rsid w:val="00B85AAA"/>
    <w:rsid w:val="00B917CA"/>
    <w:rsid w:val="00B92937"/>
    <w:rsid w:val="00B97532"/>
    <w:rsid w:val="00B97EE2"/>
    <w:rsid w:val="00BA0E13"/>
    <w:rsid w:val="00BA10BB"/>
    <w:rsid w:val="00BA7E79"/>
    <w:rsid w:val="00BC03D8"/>
    <w:rsid w:val="00BC13EE"/>
    <w:rsid w:val="00BC3D8A"/>
    <w:rsid w:val="00BC5237"/>
    <w:rsid w:val="00BC5BDF"/>
    <w:rsid w:val="00BC74E9"/>
    <w:rsid w:val="00BD1609"/>
    <w:rsid w:val="00BD3372"/>
    <w:rsid w:val="00BD3885"/>
    <w:rsid w:val="00BD55EB"/>
    <w:rsid w:val="00BE32C5"/>
    <w:rsid w:val="00BE697D"/>
    <w:rsid w:val="00BF68A8"/>
    <w:rsid w:val="00C050C2"/>
    <w:rsid w:val="00C11A03"/>
    <w:rsid w:val="00C13750"/>
    <w:rsid w:val="00C1674D"/>
    <w:rsid w:val="00C2183F"/>
    <w:rsid w:val="00C21ADD"/>
    <w:rsid w:val="00C30D3E"/>
    <w:rsid w:val="00C31595"/>
    <w:rsid w:val="00C32322"/>
    <w:rsid w:val="00C343E2"/>
    <w:rsid w:val="00C37B19"/>
    <w:rsid w:val="00C40514"/>
    <w:rsid w:val="00C40750"/>
    <w:rsid w:val="00C42634"/>
    <w:rsid w:val="00C446F6"/>
    <w:rsid w:val="00C463DD"/>
    <w:rsid w:val="00C4724C"/>
    <w:rsid w:val="00C50EEC"/>
    <w:rsid w:val="00C559A1"/>
    <w:rsid w:val="00C5632E"/>
    <w:rsid w:val="00C613A0"/>
    <w:rsid w:val="00C629A0"/>
    <w:rsid w:val="00C639D4"/>
    <w:rsid w:val="00C63D01"/>
    <w:rsid w:val="00C72697"/>
    <w:rsid w:val="00C745C3"/>
    <w:rsid w:val="00C75765"/>
    <w:rsid w:val="00C75D50"/>
    <w:rsid w:val="00C952E0"/>
    <w:rsid w:val="00C9571E"/>
    <w:rsid w:val="00C96758"/>
    <w:rsid w:val="00CA5727"/>
    <w:rsid w:val="00CB077B"/>
    <w:rsid w:val="00CB4D1A"/>
    <w:rsid w:val="00CB56F9"/>
    <w:rsid w:val="00CB5870"/>
    <w:rsid w:val="00CB690A"/>
    <w:rsid w:val="00CB7D87"/>
    <w:rsid w:val="00CC5297"/>
    <w:rsid w:val="00CC6299"/>
    <w:rsid w:val="00CD0CD3"/>
    <w:rsid w:val="00CD1EFB"/>
    <w:rsid w:val="00CD3E98"/>
    <w:rsid w:val="00CD440E"/>
    <w:rsid w:val="00CD6489"/>
    <w:rsid w:val="00CD6FE0"/>
    <w:rsid w:val="00CE0BBC"/>
    <w:rsid w:val="00CE4A8F"/>
    <w:rsid w:val="00CE7C5A"/>
    <w:rsid w:val="00CF13C8"/>
    <w:rsid w:val="00CF5A9A"/>
    <w:rsid w:val="00CF6CF8"/>
    <w:rsid w:val="00D01655"/>
    <w:rsid w:val="00D0769B"/>
    <w:rsid w:val="00D07EA3"/>
    <w:rsid w:val="00D12F7D"/>
    <w:rsid w:val="00D142BC"/>
    <w:rsid w:val="00D147D5"/>
    <w:rsid w:val="00D2031B"/>
    <w:rsid w:val="00D205F3"/>
    <w:rsid w:val="00D21697"/>
    <w:rsid w:val="00D22020"/>
    <w:rsid w:val="00D22A73"/>
    <w:rsid w:val="00D25FE2"/>
    <w:rsid w:val="00D277D0"/>
    <w:rsid w:val="00D332DE"/>
    <w:rsid w:val="00D35970"/>
    <w:rsid w:val="00D402A4"/>
    <w:rsid w:val="00D43252"/>
    <w:rsid w:val="00D450CF"/>
    <w:rsid w:val="00D456FA"/>
    <w:rsid w:val="00D47706"/>
    <w:rsid w:val="00D47EEA"/>
    <w:rsid w:val="00D53A14"/>
    <w:rsid w:val="00D5501A"/>
    <w:rsid w:val="00D6090C"/>
    <w:rsid w:val="00D631B8"/>
    <w:rsid w:val="00D63B11"/>
    <w:rsid w:val="00D7200A"/>
    <w:rsid w:val="00D72066"/>
    <w:rsid w:val="00D73471"/>
    <w:rsid w:val="00D73475"/>
    <w:rsid w:val="00D73A59"/>
    <w:rsid w:val="00D75839"/>
    <w:rsid w:val="00D8131D"/>
    <w:rsid w:val="00D820CC"/>
    <w:rsid w:val="00D84B72"/>
    <w:rsid w:val="00D9172E"/>
    <w:rsid w:val="00D9296F"/>
    <w:rsid w:val="00D92E2B"/>
    <w:rsid w:val="00D93CC8"/>
    <w:rsid w:val="00D93D88"/>
    <w:rsid w:val="00D95303"/>
    <w:rsid w:val="00D9725A"/>
    <w:rsid w:val="00D978C6"/>
    <w:rsid w:val="00DA341A"/>
    <w:rsid w:val="00DA3C1C"/>
    <w:rsid w:val="00DA44B0"/>
    <w:rsid w:val="00DA4DF8"/>
    <w:rsid w:val="00DA5ECC"/>
    <w:rsid w:val="00DA7543"/>
    <w:rsid w:val="00DB0A96"/>
    <w:rsid w:val="00DB2BA9"/>
    <w:rsid w:val="00DB3C34"/>
    <w:rsid w:val="00DC0548"/>
    <w:rsid w:val="00DC143D"/>
    <w:rsid w:val="00DC1764"/>
    <w:rsid w:val="00DC6198"/>
    <w:rsid w:val="00DC7911"/>
    <w:rsid w:val="00DD239E"/>
    <w:rsid w:val="00DD2532"/>
    <w:rsid w:val="00DD4AB0"/>
    <w:rsid w:val="00DF56DE"/>
    <w:rsid w:val="00DF5EB2"/>
    <w:rsid w:val="00E00911"/>
    <w:rsid w:val="00E00DBC"/>
    <w:rsid w:val="00E029B5"/>
    <w:rsid w:val="00E0487E"/>
    <w:rsid w:val="00E06587"/>
    <w:rsid w:val="00E1455A"/>
    <w:rsid w:val="00E17E00"/>
    <w:rsid w:val="00E27207"/>
    <w:rsid w:val="00E27346"/>
    <w:rsid w:val="00E30469"/>
    <w:rsid w:val="00E32EFC"/>
    <w:rsid w:val="00E33120"/>
    <w:rsid w:val="00E340BA"/>
    <w:rsid w:val="00E350D4"/>
    <w:rsid w:val="00E464F6"/>
    <w:rsid w:val="00E50E13"/>
    <w:rsid w:val="00E60BF5"/>
    <w:rsid w:val="00E65061"/>
    <w:rsid w:val="00E653B0"/>
    <w:rsid w:val="00E66EB7"/>
    <w:rsid w:val="00E6788B"/>
    <w:rsid w:val="00E700D1"/>
    <w:rsid w:val="00E71BC8"/>
    <w:rsid w:val="00E7260F"/>
    <w:rsid w:val="00E759AC"/>
    <w:rsid w:val="00E75EDA"/>
    <w:rsid w:val="00E819CF"/>
    <w:rsid w:val="00E84051"/>
    <w:rsid w:val="00E91744"/>
    <w:rsid w:val="00E91D6E"/>
    <w:rsid w:val="00E94E94"/>
    <w:rsid w:val="00E96630"/>
    <w:rsid w:val="00EA0536"/>
    <w:rsid w:val="00EA667E"/>
    <w:rsid w:val="00EB0C20"/>
    <w:rsid w:val="00EB1A9C"/>
    <w:rsid w:val="00EB267D"/>
    <w:rsid w:val="00EB2E8A"/>
    <w:rsid w:val="00EB4C62"/>
    <w:rsid w:val="00EB65BF"/>
    <w:rsid w:val="00EB6EEA"/>
    <w:rsid w:val="00EC3214"/>
    <w:rsid w:val="00EC60A8"/>
    <w:rsid w:val="00ED19C1"/>
    <w:rsid w:val="00ED36E5"/>
    <w:rsid w:val="00ED6E36"/>
    <w:rsid w:val="00ED7A2A"/>
    <w:rsid w:val="00EE126F"/>
    <w:rsid w:val="00EE1284"/>
    <w:rsid w:val="00EE1D64"/>
    <w:rsid w:val="00EE3B88"/>
    <w:rsid w:val="00EE6323"/>
    <w:rsid w:val="00EF1D7F"/>
    <w:rsid w:val="00EF35D3"/>
    <w:rsid w:val="00EF377A"/>
    <w:rsid w:val="00EF5DAC"/>
    <w:rsid w:val="00F0312E"/>
    <w:rsid w:val="00F11AB5"/>
    <w:rsid w:val="00F34539"/>
    <w:rsid w:val="00F3476F"/>
    <w:rsid w:val="00F36A86"/>
    <w:rsid w:val="00F40D28"/>
    <w:rsid w:val="00F41BAE"/>
    <w:rsid w:val="00F4708A"/>
    <w:rsid w:val="00F47617"/>
    <w:rsid w:val="00F50D1F"/>
    <w:rsid w:val="00F51088"/>
    <w:rsid w:val="00F534D2"/>
    <w:rsid w:val="00F57A7B"/>
    <w:rsid w:val="00F611EC"/>
    <w:rsid w:val="00F62D9B"/>
    <w:rsid w:val="00F63764"/>
    <w:rsid w:val="00F64144"/>
    <w:rsid w:val="00F64B5B"/>
    <w:rsid w:val="00F66464"/>
    <w:rsid w:val="00F668E3"/>
    <w:rsid w:val="00F80A36"/>
    <w:rsid w:val="00F83683"/>
    <w:rsid w:val="00F83FD9"/>
    <w:rsid w:val="00F85035"/>
    <w:rsid w:val="00F868B5"/>
    <w:rsid w:val="00F86965"/>
    <w:rsid w:val="00F86E2F"/>
    <w:rsid w:val="00F93781"/>
    <w:rsid w:val="00F94450"/>
    <w:rsid w:val="00F95FA1"/>
    <w:rsid w:val="00FA5869"/>
    <w:rsid w:val="00FB087F"/>
    <w:rsid w:val="00FB1D44"/>
    <w:rsid w:val="00FB1E61"/>
    <w:rsid w:val="00FB613B"/>
    <w:rsid w:val="00FB77B2"/>
    <w:rsid w:val="00FC5E30"/>
    <w:rsid w:val="00FC68B7"/>
    <w:rsid w:val="00FD01A7"/>
    <w:rsid w:val="00FD0A67"/>
    <w:rsid w:val="00FD24FF"/>
    <w:rsid w:val="00FD5524"/>
    <w:rsid w:val="00FD615B"/>
    <w:rsid w:val="00FD7AEB"/>
    <w:rsid w:val="00FE106A"/>
    <w:rsid w:val="00FE1F15"/>
    <w:rsid w:val="00FE2905"/>
    <w:rsid w:val="00FF081E"/>
    <w:rsid w:val="00FF512C"/>
    <w:rsid w:val="00FF6BD7"/>
    <w:rsid w:val="00FF7D02"/>
    <w:rsid w:val="00FF7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EAF"/>
    <w:pPr>
      <w:suppressAutoHyphens/>
      <w:spacing w:line="240" w:lineRule="atLeast"/>
    </w:pPr>
    <w:rPr>
      <w:lang w:val="en-GB"/>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semiHidden/>
    <w:rsid w:val="00416EA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416EAF"/>
  </w:style>
  <w:style w:type="paragraph" w:customStyle="1" w:styleId="SingleTxtG">
    <w:name w:val="_ Single Txt_G"/>
    <w:basedOn w:val="Normal"/>
    <w:link w:val="SingleTxtGChar"/>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1"/>
    <w:rsid w:val="00416EAF"/>
    <w:pPr>
      <w:tabs>
        <w:tab w:val="right" w:pos="1021"/>
      </w:tabs>
      <w:spacing w:line="220" w:lineRule="exact"/>
      <w:ind w:left="1134" w:right="1134" w:hanging="1134"/>
    </w:pPr>
    <w:rPr>
      <w:sz w:val="18"/>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basedOn w:val="FootnoteReference"/>
    <w:rsid w:val="00416EAF"/>
    <w:rPr>
      <w:rFonts w:ascii="Times New Roman" w:hAnsi="Times New Roman"/>
      <w:sz w:val="18"/>
      <w:vertAlign w:val="superscript"/>
    </w:rPr>
  </w:style>
  <w:style w:type="character" w:styleId="FootnoteReference">
    <w:name w:val="footnote reference"/>
    <w:aliases w:val="4_G"/>
    <w:rsid w:val="00416EAF"/>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paragraph" w:styleId="PlainText">
    <w:name w:val="Plain Text"/>
    <w:basedOn w:val="Normal"/>
    <w:link w:val="PlainTextChar"/>
    <w:rsid w:val="0066626D"/>
    <w:pPr>
      <w:suppressAutoHyphens w:val="0"/>
      <w:spacing w:line="240" w:lineRule="auto"/>
    </w:pPr>
    <w:rPr>
      <w:rFonts w:ascii="Courier New" w:hAnsi="Courier New" w:cs="Courier New"/>
      <w:snapToGrid w:val="0"/>
      <w:sz w:val="24"/>
    </w:rPr>
  </w:style>
  <w:style w:type="character" w:customStyle="1" w:styleId="PlainTextChar">
    <w:name w:val="Plain Text Char"/>
    <w:link w:val="PlainText"/>
    <w:rsid w:val="0066626D"/>
    <w:rPr>
      <w:rFonts w:ascii="Courier New" w:hAnsi="Courier New" w:cs="Courier New"/>
      <w:snapToGrid w:val="0"/>
      <w:sz w:val="24"/>
      <w:lang w:val="en-GB" w:eastAsia="en-US" w:bidi="ar-SA"/>
    </w:rPr>
  </w:style>
  <w:style w:type="character" w:customStyle="1" w:styleId="SingleTxtGChar">
    <w:name w:val="_ Single Txt_G Char"/>
    <w:link w:val="SingleTxtG"/>
    <w:rsid w:val="00AF2A0B"/>
    <w:rPr>
      <w:lang w:val="en-GB" w:eastAsia="en-US" w:bidi="ar-SA"/>
    </w:rPr>
  </w:style>
  <w:style w:type="paragraph" w:styleId="BalloonText">
    <w:name w:val="Balloon Text"/>
    <w:basedOn w:val="Normal"/>
    <w:semiHidden/>
    <w:rsid w:val="009F773D"/>
    <w:rPr>
      <w:rFonts w:ascii="Tahoma" w:hAnsi="Tahoma" w:cs="Tahoma"/>
      <w:sz w:val="16"/>
      <w:szCs w:val="16"/>
    </w:rPr>
  </w:style>
  <w:style w:type="paragraph" w:customStyle="1" w:styleId="Default">
    <w:name w:val="Default"/>
    <w:rsid w:val="00D35970"/>
    <w:pPr>
      <w:autoSpaceDE w:val="0"/>
      <w:autoSpaceDN w:val="0"/>
      <w:adjustRightInd w:val="0"/>
    </w:pPr>
    <w:rPr>
      <w:rFonts w:eastAsia="SimSun"/>
      <w:color w:val="000000"/>
      <w:sz w:val="24"/>
      <w:szCs w:val="24"/>
      <w:lang w:eastAsia="zh-CN"/>
    </w:rPr>
  </w:style>
  <w:style w:type="character" w:customStyle="1" w:styleId="FootnoteTextChar1">
    <w:name w:val="Footnote Text Char1"/>
    <w:aliases w:val="5_G Char1"/>
    <w:link w:val="FootnoteText"/>
    <w:locked/>
    <w:rsid w:val="00B641C2"/>
    <w:rPr>
      <w:sz w:val="18"/>
      <w:lang w:val="en-GB" w:eastAsia="en-US" w:bidi="ar-SA"/>
    </w:rPr>
  </w:style>
  <w:style w:type="character" w:customStyle="1" w:styleId="apple-style-span">
    <w:name w:val="apple-style-span"/>
    <w:basedOn w:val="DefaultParagraphFont"/>
    <w:rsid w:val="00B522E9"/>
  </w:style>
  <w:style w:type="character" w:customStyle="1" w:styleId="FootnoteTextChar">
    <w:name w:val="Footnote Text Char"/>
    <w:aliases w:val="5_G Char"/>
    <w:locked/>
    <w:rsid w:val="007A48D8"/>
    <w:rPr>
      <w:rFonts w:cs="Times New Roman"/>
      <w:sz w:val="18"/>
      <w:lang w:val="x-none" w:eastAsia="en-US"/>
    </w:rPr>
  </w:style>
  <w:style w:type="paragraph" w:customStyle="1" w:styleId="NoSpacing">
    <w:name w:val="No Spacing"/>
    <w:aliases w:val="references"/>
    <w:rsid w:val="007A48D8"/>
    <w:pPr>
      <w:suppressAutoHyphens/>
      <w:spacing w:before="120" w:after="80"/>
    </w:pPr>
    <w:rPr>
      <w:rFonts w:eastAsia="Malgun Gothic"/>
      <w:sz w:val="18"/>
      <w:lang w:val="en-GB" w:eastAsia="ko-KR"/>
    </w:rPr>
  </w:style>
  <w:style w:type="paragraph" w:customStyle="1" w:styleId="referencestext">
    <w:name w:val="references_text"/>
    <w:basedOn w:val="Normal"/>
    <w:link w:val="referencestextChar"/>
    <w:rsid w:val="007A48D8"/>
    <w:pPr>
      <w:suppressAutoHyphens w:val="0"/>
      <w:autoSpaceDE w:val="0"/>
      <w:autoSpaceDN w:val="0"/>
      <w:adjustRightInd w:val="0"/>
      <w:spacing w:line="240" w:lineRule="auto"/>
      <w:ind w:left="680"/>
    </w:pPr>
    <w:rPr>
      <w:rFonts w:eastAsia="Malgun Gothic"/>
      <w:color w:val="0F243E"/>
      <w:sz w:val="18"/>
      <w:lang w:eastAsia="ko-KR"/>
    </w:rPr>
  </w:style>
  <w:style w:type="character" w:customStyle="1" w:styleId="referencestextChar">
    <w:name w:val="references_text Char"/>
    <w:link w:val="referencestext"/>
    <w:locked/>
    <w:rsid w:val="007A48D8"/>
    <w:rPr>
      <w:rFonts w:eastAsia="Malgun Gothic"/>
      <w:color w:val="0F243E"/>
      <w:sz w:val="18"/>
      <w:lang w:val="en-GB" w:eastAsia="ko-KR" w:bidi="ar-SA"/>
    </w:rPr>
  </w:style>
  <w:style w:type="character" w:styleId="Strong">
    <w:name w:val="Strong"/>
    <w:qFormat/>
    <w:rsid w:val="007A48D8"/>
    <w:rPr>
      <w:b/>
    </w:rPr>
  </w:style>
  <w:style w:type="paragraph" w:customStyle="1" w:styleId="LOIQ1">
    <w:name w:val="LOI_Q 1."/>
    <w:basedOn w:val="SingleTxtG"/>
    <w:rsid w:val="007A48D8"/>
    <w:pPr>
      <w:numPr>
        <w:numId w:val="9"/>
      </w:numPr>
      <w:adjustRightInd w:val="0"/>
      <w:ind w:left="1701" w:firstLine="0"/>
    </w:pPr>
    <w:rPr>
      <w:rFonts w:eastAsia="Malgun Gothic"/>
    </w:rPr>
  </w:style>
  <w:style w:type="paragraph" w:customStyle="1" w:styleId="LOI1">
    <w:name w:val="LOI_1."/>
    <w:basedOn w:val="LOIQ1"/>
    <w:link w:val="LOI1Char"/>
    <w:rsid w:val="007A48D8"/>
    <w:pPr>
      <w:snapToGrid w:val="0"/>
      <w:ind w:left="1134"/>
    </w:pPr>
  </w:style>
  <w:style w:type="character" w:customStyle="1" w:styleId="LOI1Char">
    <w:name w:val="LOI_1. Char"/>
    <w:link w:val="LOI1"/>
    <w:locked/>
    <w:rsid w:val="007A48D8"/>
    <w:rPr>
      <w:rFonts w:eastAsia="Malgun Gothic"/>
      <w:lang w:val="en-GB" w:eastAsia="en-US" w:bidi="ar-SA"/>
    </w:rPr>
  </w:style>
  <w:style w:type="paragraph" w:customStyle="1" w:styleId="LOIa">
    <w:name w:val="LOI_a)"/>
    <w:basedOn w:val="Normal"/>
    <w:link w:val="LOIaChar"/>
    <w:rsid w:val="007A48D8"/>
    <w:pPr>
      <w:numPr>
        <w:numId w:val="10"/>
      </w:numPr>
      <w:adjustRightInd w:val="0"/>
      <w:snapToGrid w:val="0"/>
      <w:ind w:right="1134"/>
    </w:pPr>
    <w:rPr>
      <w:rFonts w:eastAsia="Malgun Gothic"/>
      <w:lang w:eastAsia="ko-KR"/>
    </w:rPr>
  </w:style>
  <w:style w:type="character" w:customStyle="1" w:styleId="LOIaChar">
    <w:name w:val="LOI_a) Char"/>
    <w:link w:val="LOIa"/>
    <w:locked/>
    <w:rsid w:val="007A48D8"/>
    <w:rPr>
      <w:rFonts w:eastAsia="Malgun Gothic"/>
      <w:lang w:val="en-GB" w:eastAsia="ko-KR" w:bidi="ar-SA"/>
    </w:rPr>
  </w:style>
  <w:style w:type="character" w:customStyle="1" w:styleId="footnoteChar">
    <w:name w:val="footnote Char"/>
    <w:link w:val="footnote"/>
    <w:locked/>
    <w:rsid w:val="00C13750"/>
    <w:rPr>
      <w:sz w:val="18"/>
      <w:lang w:eastAsia="en-US"/>
    </w:rPr>
  </w:style>
  <w:style w:type="paragraph" w:customStyle="1" w:styleId="footnote">
    <w:name w:val="footnote"/>
    <w:basedOn w:val="FootnoteText"/>
    <w:link w:val="footnoteChar"/>
    <w:qFormat/>
    <w:rsid w:val="00C13750"/>
    <w:pPr>
      <w:widowControl w:val="0"/>
      <w:tabs>
        <w:tab w:val="clear" w:pos="1021"/>
        <w:tab w:val="right" w:pos="1020"/>
      </w:tabs>
    </w:pPr>
    <w:rPr>
      <w:rFonts w:cs="Arial Unicode MS"/>
      <w:lang w:val="x-none" w:bidi="km-KH"/>
    </w:rPr>
  </w:style>
  <w:style w:type="paragraph" w:customStyle="1" w:styleId="Style1">
    <w:name w:val="Style1"/>
    <w:basedOn w:val="FootnoteText"/>
    <w:link w:val="Style1Char"/>
    <w:rsid w:val="00D22A73"/>
    <w:rPr>
      <w:rFonts w:eastAsia="SimSun"/>
    </w:rPr>
  </w:style>
  <w:style w:type="paragraph" w:customStyle="1" w:styleId="Style2">
    <w:name w:val="Style2"/>
    <w:basedOn w:val="SingleTxtG"/>
    <w:link w:val="Style2Char"/>
    <w:rsid w:val="00D22A73"/>
    <w:rPr>
      <w:rFonts w:eastAsia="SimSun"/>
    </w:rPr>
  </w:style>
  <w:style w:type="character" w:customStyle="1" w:styleId="Style1Char">
    <w:name w:val="Style1 Char"/>
    <w:link w:val="Style1"/>
    <w:locked/>
    <w:rsid w:val="00D22A73"/>
    <w:rPr>
      <w:rFonts w:eastAsia="SimSun"/>
      <w:sz w:val="18"/>
      <w:lang w:val="en-GB" w:eastAsia="en-US" w:bidi="ar-SA"/>
    </w:rPr>
  </w:style>
  <w:style w:type="character" w:customStyle="1" w:styleId="Style2Char">
    <w:name w:val="Style2 Char"/>
    <w:link w:val="Style2"/>
    <w:locked/>
    <w:rsid w:val="00D22A73"/>
    <w:rPr>
      <w:rFonts w:eastAsia="SimSun"/>
      <w:lang w:val="en-GB" w:eastAsia="en-US" w:bidi="ar-SA"/>
    </w:rPr>
  </w:style>
  <w:style w:type="character" w:customStyle="1" w:styleId="apple-converted-space">
    <w:name w:val="apple-converted-space"/>
    <w:rsid w:val="00D22A73"/>
  </w:style>
  <w:style w:type="paragraph" w:styleId="ListParagraph">
    <w:name w:val="List Paragraph"/>
    <w:basedOn w:val="Normal"/>
    <w:uiPriority w:val="34"/>
    <w:qFormat/>
    <w:rsid w:val="00341C45"/>
    <w:pPr>
      <w:ind w:left="720"/>
    </w:pPr>
  </w:style>
  <w:style w:type="character" w:customStyle="1" w:styleId="IntenseEmphasis1">
    <w:name w:val="Intense Emphasis1"/>
    <w:aliases w:val="References"/>
    <w:uiPriority w:val="21"/>
    <w:qFormat/>
    <w:rsid w:val="00B4765A"/>
    <w:rPr>
      <w:rFonts w:ascii="Times New Roman" w:hAnsi="Times New Roman"/>
      <w:bCs/>
      <w:color w:val="404040"/>
      <w:sz w:val="20"/>
    </w:rPr>
  </w:style>
  <w:style w:type="paragraph" w:customStyle="1" w:styleId="references">
    <w:name w:val="*references"/>
    <w:basedOn w:val="Normal"/>
    <w:link w:val="referencesChar"/>
    <w:qFormat/>
    <w:rsid w:val="00B4765A"/>
    <w:pPr>
      <w:suppressAutoHyphens w:val="0"/>
      <w:spacing w:line="240" w:lineRule="auto"/>
      <w:ind w:left="567"/>
    </w:pPr>
    <w:rPr>
      <w:rFonts w:eastAsia="Malgun Gothic" w:cs="Arial Unicode MS"/>
      <w:color w:val="1F497D"/>
      <w:sz w:val="19"/>
      <w:szCs w:val="19"/>
      <w:lang w:val="en-US" w:eastAsia="x-none" w:bidi="km-KH"/>
    </w:rPr>
  </w:style>
  <w:style w:type="paragraph" w:customStyle="1" w:styleId="paraa">
    <w:name w:val="para_a)"/>
    <w:basedOn w:val="Normal"/>
    <w:link w:val="paraaChar"/>
    <w:qFormat/>
    <w:rsid w:val="0073495B"/>
    <w:pPr>
      <w:numPr>
        <w:numId w:val="30"/>
      </w:numPr>
      <w:suppressAutoHyphens w:val="0"/>
      <w:spacing w:before="120" w:after="120" w:line="240" w:lineRule="auto"/>
      <w:ind w:left="1134" w:right="1134" w:firstLine="0"/>
    </w:pPr>
    <w:rPr>
      <w:rFonts w:eastAsia="SimSun" w:cs="Arial Unicode MS"/>
      <w:bCs/>
      <w:lang w:val="en-US" w:eastAsia="zh-CN" w:bidi="km-KH"/>
    </w:rPr>
  </w:style>
  <w:style w:type="character" w:customStyle="1" w:styleId="referencesChar">
    <w:name w:val="*references Char"/>
    <w:link w:val="references"/>
    <w:rsid w:val="00B4765A"/>
    <w:rPr>
      <w:rFonts w:eastAsia="Malgun Gothic"/>
      <w:color w:val="1F497D"/>
      <w:sz w:val="19"/>
      <w:szCs w:val="19"/>
      <w:lang w:val="en-US" w:eastAsia="x-none"/>
    </w:rPr>
  </w:style>
  <w:style w:type="character" w:customStyle="1" w:styleId="paraaChar">
    <w:name w:val="para_a) Char"/>
    <w:link w:val="paraa"/>
    <w:rsid w:val="00DF56DE"/>
    <w:rPr>
      <w:rFonts w:eastAsia="SimSun" w:cs="Arial Unicode MS"/>
      <w:bCs/>
      <w:lang w:val="en-US" w:eastAsia="zh-CN" w:bidi="km-KH"/>
    </w:rPr>
  </w:style>
  <w:style w:type="paragraph" w:customStyle="1" w:styleId="para1">
    <w:name w:val="para_1."/>
    <w:basedOn w:val="Normal"/>
    <w:qFormat/>
    <w:rsid w:val="00B4765A"/>
    <w:pPr>
      <w:numPr>
        <w:numId w:val="20"/>
      </w:numPr>
      <w:spacing w:after="120"/>
      <w:ind w:right="1134"/>
      <w:jc w:val="both"/>
    </w:pPr>
  </w:style>
  <w:style w:type="character" w:styleId="IntenseEmphasis">
    <w:name w:val="Intense Emphasis"/>
    <w:uiPriority w:val="21"/>
    <w:qFormat/>
    <w:rsid w:val="00B4765A"/>
    <w:rPr>
      <w:rFonts w:ascii="Times New Roman" w:hAnsi="Times New Roman"/>
      <w:bCs/>
      <w:i w:val="0"/>
      <w:iCs/>
      <w:color w:val="404040"/>
      <w:sz w:val="20"/>
    </w:rPr>
  </w:style>
  <w:style w:type="character" w:customStyle="1" w:styleId="googqs-tidbit">
    <w:name w:val="goog_qs-tidbit"/>
    <w:rsid w:val="00B4765A"/>
  </w:style>
  <w:style w:type="character" w:styleId="CommentReference">
    <w:name w:val="annotation reference"/>
    <w:rsid w:val="00CB077B"/>
    <w:rPr>
      <w:sz w:val="16"/>
      <w:szCs w:val="16"/>
    </w:rPr>
  </w:style>
  <w:style w:type="paragraph" w:styleId="CommentText">
    <w:name w:val="annotation text"/>
    <w:basedOn w:val="Normal"/>
    <w:link w:val="CommentTextChar"/>
    <w:uiPriority w:val="99"/>
    <w:rsid w:val="00CB077B"/>
  </w:style>
  <w:style w:type="character" w:customStyle="1" w:styleId="CommentTextChar">
    <w:name w:val="Comment Text Char"/>
    <w:link w:val="CommentText"/>
    <w:uiPriority w:val="99"/>
    <w:rsid w:val="00CB077B"/>
    <w:rPr>
      <w:lang w:val="en-GB" w:bidi="ar-SA"/>
    </w:rPr>
  </w:style>
  <w:style w:type="paragraph" w:styleId="CommentSubject">
    <w:name w:val="annotation subject"/>
    <w:basedOn w:val="CommentText"/>
    <w:next w:val="CommentText"/>
    <w:link w:val="CommentSubjectChar"/>
    <w:rsid w:val="00CB077B"/>
    <w:rPr>
      <w:b/>
      <w:bCs/>
    </w:rPr>
  </w:style>
  <w:style w:type="character" w:customStyle="1" w:styleId="CommentSubjectChar">
    <w:name w:val="Comment Subject Char"/>
    <w:link w:val="CommentSubject"/>
    <w:rsid w:val="00CB077B"/>
    <w:rPr>
      <w:b/>
      <w:bCs/>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46974">
      <w:bodyDiv w:val="1"/>
      <w:marLeft w:val="0"/>
      <w:marRight w:val="0"/>
      <w:marTop w:val="0"/>
      <w:marBottom w:val="0"/>
      <w:divBdr>
        <w:top w:val="none" w:sz="0" w:space="0" w:color="auto"/>
        <w:left w:val="none" w:sz="0" w:space="0" w:color="auto"/>
        <w:bottom w:val="none" w:sz="0" w:space="0" w:color="auto"/>
        <w:right w:val="none" w:sz="0" w:space="0" w:color="auto"/>
      </w:divBdr>
    </w:div>
    <w:div w:id="279994471">
      <w:bodyDiv w:val="1"/>
      <w:marLeft w:val="0"/>
      <w:marRight w:val="0"/>
      <w:marTop w:val="0"/>
      <w:marBottom w:val="0"/>
      <w:divBdr>
        <w:top w:val="none" w:sz="0" w:space="0" w:color="auto"/>
        <w:left w:val="none" w:sz="0" w:space="0" w:color="auto"/>
        <w:bottom w:val="none" w:sz="0" w:space="0" w:color="auto"/>
        <w:right w:val="none" w:sz="0" w:space="0" w:color="auto"/>
      </w:divBdr>
    </w:div>
    <w:div w:id="318921817">
      <w:bodyDiv w:val="1"/>
      <w:marLeft w:val="0"/>
      <w:marRight w:val="0"/>
      <w:marTop w:val="0"/>
      <w:marBottom w:val="0"/>
      <w:divBdr>
        <w:top w:val="none" w:sz="0" w:space="0" w:color="auto"/>
        <w:left w:val="none" w:sz="0" w:space="0" w:color="auto"/>
        <w:bottom w:val="none" w:sz="0" w:space="0" w:color="auto"/>
        <w:right w:val="none" w:sz="0" w:space="0" w:color="auto"/>
      </w:divBdr>
    </w:div>
    <w:div w:id="459423324">
      <w:bodyDiv w:val="1"/>
      <w:marLeft w:val="0"/>
      <w:marRight w:val="0"/>
      <w:marTop w:val="0"/>
      <w:marBottom w:val="0"/>
      <w:divBdr>
        <w:top w:val="none" w:sz="0" w:space="0" w:color="auto"/>
        <w:left w:val="none" w:sz="0" w:space="0" w:color="auto"/>
        <w:bottom w:val="none" w:sz="0" w:space="0" w:color="auto"/>
        <w:right w:val="none" w:sz="0" w:space="0" w:color="auto"/>
      </w:divBdr>
    </w:div>
    <w:div w:id="807818227">
      <w:bodyDiv w:val="1"/>
      <w:marLeft w:val="0"/>
      <w:marRight w:val="0"/>
      <w:marTop w:val="0"/>
      <w:marBottom w:val="0"/>
      <w:divBdr>
        <w:top w:val="none" w:sz="0" w:space="0" w:color="auto"/>
        <w:left w:val="none" w:sz="0" w:space="0" w:color="auto"/>
        <w:bottom w:val="none" w:sz="0" w:space="0" w:color="auto"/>
        <w:right w:val="none" w:sz="0" w:space="0" w:color="auto"/>
      </w:divBdr>
    </w:div>
    <w:div w:id="1147547188">
      <w:bodyDiv w:val="1"/>
      <w:marLeft w:val="0"/>
      <w:marRight w:val="0"/>
      <w:marTop w:val="0"/>
      <w:marBottom w:val="0"/>
      <w:divBdr>
        <w:top w:val="none" w:sz="0" w:space="0" w:color="auto"/>
        <w:left w:val="none" w:sz="0" w:space="0" w:color="auto"/>
        <w:bottom w:val="none" w:sz="0" w:space="0" w:color="auto"/>
        <w:right w:val="none" w:sz="0" w:space="0" w:color="auto"/>
      </w:divBdr>
    </w:div>
    <w:div w:id="1204902265">
      <w:bodyDiv w:val="1"/>
      <w:marLeft w:val="0"/>
      <w:marRight w:val="0"/>
      <w:marTop w:val="0"/>
      <w:marBottom w:val="0"/>
      <w:divBdr>
        <w:top w:val="none" w:sz="0" w:space="0" w:color="auto"/>
        <w:left w:val="none" w:sz="0" w:space="0" w:color="auto"/>
        <w:bottom w:val="none" w:sz="0" w:space="0" w:color="auto"/>
        <w:right w:val="none" w:sz="0" w:space="0" w:color="auto"/>
      </w:divBdr>
    </w:div>
    <w:div w:id="181568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daccess-ods.un.org/access.nsf/Get?Open&amp;DS=A/HRC/15/47&amp;Lang=E" TargetMode="External"/><Relationship Id="rId1" Type="http://schemas.openxmlformats.org/officeDocument/2006/relationships/hyperlink" Target="http://daccess-ods.un.org/access.nsf/Get?Open&amp;DS=A/HRC/15/47&amp;L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4573</Words>
  <Characters>26069</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CAT/C/AUS/Q/5/CRP</vt:lpstr>
    </vt:vector>
  </TitlesOfParts>
  <Company>CSD</Company>
  <LinksUpToDate>false</LinksUpToDate>
  <CharactersWithSpaces>30581</CharactersWithSpaces>
  <SharedDoc>false</SharedDoc>
  <HLinks>
    <vt:vector size="12" baseType="variant">
      <vt:variant>
        <vt:i4>7143476</vt:i4>
      </vt:variant>
      <vt:variant>
        <vt:i4>3</vt:i4>
      </vt:variant>
      <vt:variant>
        <vt:i4>0</vt:i4>
      </vt:variant>
      <vt:variant>
        <vt:i4>5</vt:i4>
      </vt:variant>
      <vt:variant>
        <vt:lpwstr>http://daccess-ods.un.org/access.nsf/Get?Open&amp;DS=A/HRC/15/47&amp;Lang=E</vt:lpwstr>
      </vt:variant>
      <vt:variant>
        <vt:lpwstr/>
      </vt:variant>
      <vt:variant>
        <vt:i4>7143476</vt:i4>
      </vt:variant>
      <vt:variant>
        <vt:i4>0</vt:i4>
      </vt:variant>
      <vt:variant>
        <vt:i4>0</vt:i4>
      </vt:variant>
      <vt:variant>
        <vt:i4>5</vt:i4>
      </vt:variant>
      <vt:variant>
        <vt:lpwstr>http://daccess-ods.un.org/access.nsf/Get?Open&amp;DS=A/HRC/15/47&amp;Lang=E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CAT/C/AUS/Q/5/CRP</dc:title>
  <dc:subject/>
  <dc:creator>OHCHR</dc:creator>
  <cp:keywords/>
  <cp:lastModifiedBy>DCM</cp:lastModifiedBy>
  <cp:revision>2</cp:revision>
  <cp:lastPrinted>2013-01-18T09:59:00Z</cp:lastPrinted>
  <dcterms:created xsi:type="dcterms:W3CDTF">2013-01-18T10:50:00Z</dcterms:created>
  <dcterms:modified xsi:type="dcterms:W3CDTF">2013-01-18T10:50:00Z</dcterms:modified>
</cp:coreProperties>
</file>