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751FC8" w:rsidP="00751FC8">
            <w:pPr>
              <w:jc w:val="right"/>
            </w:pPr>
            <w:r w:rsidRPr="00751FC8">
              <w:rPr>
                <w:sz w:val="40"/>
              </w:rPr>
              <w:t>CERD</w:t>
            </w:r>
            <w:r>
              <w:t>/C/MDV/CO/5-12</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751FC8" w:rsidRDefault="00751FC8" w:rsidP="00593658">
            <w:pPr>
              <w:spacing w:before="240"/>
            </w:pPr>
            <w:r>
              <w:t>Distr. générale</w:t>
            </w:r>
          </w:p>
          <w:p w:rsidR="00751FC8" w:rsidRDefault="00751FC8" w:rsidP="00751FC8">
            <w:pPr>
              <w:spacing w:line="240" w:lineRule="exact"/>
            </w:pPr>
            <w:r>
              <w:t>14 septembre 2011</w:t>
            </w:r>
          </w:p>
          <w:p w:rsidR="00751FC8" w:rsidRDefault="00751FC8" w:rsidP="00751FC8">
            <w:pPr>
              <w:spacing w:line="240" w:lineRule="exact"/>
            </w:pPr>
            <w:r>
              <w:t>Français</w:t>
            </w:r>
          </w:p>
          <w:p w:rsidR="002E0D40" w:rsidRPr="00DB58B5" w:rsidRDefault="00751FC8" w:rsidP="00751FC8">
            <w:pPr>
              <w:spacing w:line="240" w:lineRule="exact"/>
            </w:pPr>
            <w:r>
              <w:t>Original: anglais</w:t>
            </w:r>
          </w:p>
        </w:tc>
      </w:tr>
    </w:tbl>
    <w:p w:rsidR="00FF1DBD" w:rsidRDefault="0078670C" w:rsidP="00751FC8">
      <w:pPr>
        <w:spacing w:before="120"/>
        <w:rPr>
          <w:b/>
          <w:sz w:val="24"/>
          <w:szCs w:val="24"/>
        </w:rPr>
      </w:pPr>
      <w:r w:rsidRPr="00C56102">
        <w:rPr>
          <w:b/>
          <w:sz w:val="24"/>
          <w:szCs w:val="24"/>
        </w:rPr>
        <w:t>Comité pour l’éliminati</w:t>
      </w:r>
      <w:r w:rsidR="00751FC8">
        <w:rPr>
          <w:b/>
          <w:sz w:val="24"/>
          <w:szCs w:val="24"/>
        </w:rPr>
        <w:t>on de la discrimination raciale</w:t>
      </w:r>
    </w:p>
    <w:p w:rsidR="00751FC8" w:rsidRPr="00235AAB" w:rsidRDefault="00751FC8" w:rsidP="00751FC8">
      <w:pPr>
        <w:rPr>
          <w:b/>
        </w:rPr>
      </w:pPr>
      <w:r w:rsidRPr="00235AAB">
        <w:rPr>
          <w:b/>
        </w:rPr>
        <w:t>Soixante-dix-neuvième session</w:t>
      </w:r>
    </w:p>
    <w:p w:rsidR="00751FC8" w:rsidRDefault="00751FC8" w:rsidP="00751FC8">
      <w:r w:rsidRPr="0098176F">
        <w:t>8 août</w:t>
      </w:r>
      <w:r>
        <w:t>-</w:t>
      </w:r>
      <w:r w:rsidRPr="0098176F">
        <w:t>2 septembre 2011</w:t>
      </w:r>
    </w:p>
    <w:p w:rsidR="00751FC8" w:rsidRPr="0098176F" w:rsidRDefault="00751FC8" w:rsidP="00751FC8">
      <w:pPr>
        <w:pStyle w:val="HChG"/>
      </w:pPr>
      <w:r>
        <w:tab/>
      </w:r>
      <w:r>
        <w:tab/>
      </w:r>
      <w:r w:rsidRPr="0098176F">
        <w:t>Examen des rapports présentés par les États parties conformément à l</w:t>
      </w:r>
      <w:r>
        <w:t>’</w:t>
      </w:r>
      <w:r w:rsidRPr="0098176F">
        <w:t>article 9 de la Convention</w:t>
      </w:r>
    </w:p>
    <w:p w:rsidR="00751FC8" w:rsidRPr="0098176F" w:rsidRDefault="00751FC8" w:rsidP="00751FC8">
      <w:pPr>
        <w:pStyle w:val="H1G"/>
      </w:pPr>
      <w:r>
        <w:tab/>
      </w:r>
      <w:r>
        <w:tab/>
        <w:t>O</w:t>
      </w:r>
      <w:r w:rsidRPr="0098176F">
        <w:t>bservation</w:t>
      </w:r>
      <w:r>
        <w:t>s</w:t>
      </w:r>
      <w:r w:rsidRPr="0098176F">
        <w:t xml:space="preserve"> finale</w:t>
      </w:r>
      <w:r>
        <w:t>s</w:t>
      </w:r>
      <w:r w:rsidRPr="0098176F">
        <w:t xml:space="preserve"> du Comité pour l</w:t>
      </w:r>
      <w:r>
        <w:t>’</w:t>
      </w:r>
      <w:r w:rsidR="009E000F">
        <w:t>élimination</w:t>
      </w:r>
      <w:r w:rsidR="009E000F">
        <w:br/>
      </w:r>
      <w:r w:rsidRPr="0098176F">
        <w:t>de la discrimination raciale</w:t>
      </w:r>
    </w:p>
    <w:p w:rsidR="00751FC8" w:rsidRPr="0098176F" w:rsidRDefault="00751FC8" w:rsidP="00751FC8">
      <w:pPr>
        <w:pStyle w:val="HChG"/>
      </w:pPr>
      <w:r>
        <w:tab/>
      </w:r>
      <w:r>
        <w:tab/>
      </w:r>
      <w:r w:rsidRPr="0098176F">
        <w:t>Maldives</w:t>
      </w:r>
    </w:p>
    <w:p w:rsidR="00751FC8" w:rsidRPr="0098176F" w:rsidRDefault="00751FC8" w:rsidP="00751FC8">
      <w:pPr>
        <w:pStyle w:val="SingleTxtG"/>
      </w:pPr>
      <w:r w:rsidRPr="0098176F">
        <w:t>1.</w:t>
      </w:r>
      <w:r w:rsidRPr="0098176F">
        <w:tab/>
        <w:t>Le Comité a examiné les cinquième à douzième rapports périodiques des Maldives (CER</w:t>
      </w:r>
      <w:r>
        <w:t>D</w:t>
      </w:r>
      <w:r w:rsidRPr="0098176F">
        <w:t xml:space="preserve">/C/MDV/5-12), présentés en un </w:t>
      </w:r>
      <w:r>
        <w:t xml:space="preserve">seul </w:t>
      </w:r>
      <w:r w:rsidRPr="0098176F">
        <w:t>document, à ses 2096</w:t>
      </w:r>
      <w:r w:rsidRPr="0098176F">
        <w:rPr>
          <w:vertAlign w:val="superscript"/>
        </w:rPr>
        <w:t>e</w:t>
      </w:r>
      <w:r w:rsidRPr="0098176F">
        <w:t xml:space="preserve"> et 2097</w:t>
      </w:r>
      <w:r w:rsidRPr="0098176F">
        <w:rPr>
          <w:vertAlign w:val="superscript"/>
        </w:rPr>
        <w:t>e</w:t>
      </w:r>
      <w:r w:rsidRPr="0098176F">
        <w:t> séances (CERD/C/SR.</w:t>
      </w:r>
      <w:r>
        <w:t>2096</w:t>
      </w:r>
      <w:r w:rsidRPr="0098176F">
        <w:t xml:space="preserve"> </w:t>
      </w:r>
      <w:r>
        <w:t>et</w:t>
      </w:r>
      <w:r w:rsidRPr="0098176F">
        <w:t xml:space="preserve"> CERD/C/SR.</w:t>
      </w:r>
      <w:r>
        <w:t>2097</w:t>
      </w:r>
      <w:r w:rsidR="005F1177">
        <w:t xml:space="preserve">), tenues les 11 et 12 </w:t>
      </w:r>
      <w:r w:rsidRPr="0098176F">
        <w:t>août 2011. À sa 2117</w:t>
      </w:r>
      <w:r w:rsidRPr="0098176F">
        <w:rPr>
          <w:vertAlign w:val="superscript"/>
        </w:rPr>
        <w:t>e</w:t>
      </w:r>
      <w:r w:rsidRPr="0098176F">
        <w:t> séance (CERD/C/SR.</w:t>
      </w:r>
      <w:r>
        <w:t>2117</w:t>
      </w:r>
      <w:r w:rsidR="005F1177">
        <w:t xml:space="preserve">), tenue le 26 </w:t>
      </w:r>
      <w:r w:rsidRPr="0098176F">
        <w:t>août 2011, il a adopté les observations finales ci-après.</w:t>
      </w:r>
    </w:p>
    <w:p w:rsidR="00751FC8" w:rsidRPr="0098176F" w:rsidRDefault="00751FC8" w:rsidP="00751FC8">
      <w:pPr>
        <w:pStyle w:val="H1G"/>
      </w:pPr>
      <w:r>
        <w:tab/>
      </w:r>
      <w:r w:rsidRPr="0098176F">
        <w:t>A.</w:t>
      </w:r>
      <w:r w:rsidRPr="0098176F">
        <w:tab/>
        <w:t>Introduction</w:t>
      </w:r>
    </w:p>
    <w:p w:rsidR="00751FC8" w:rsidRPr="0098176F" w:rsidRDefault="00751FC8" w:rsidP="00751FC8">
      <w:pPr>
        <w:pStyle w:val="SingleTxtG"/>
      </w:pPr>
      <w:r w:rsidRPr="0098176F">
        <w:t>2.</w:t>
      </w:r>
      <w:r w:rsidRPr="0098176F">
        <w:tab/>
        <w:t>Le Comité se félicite de la présentation du rapport périodique et de la reprise du dialogue avec les Maldives après une interruption de près de vingt ans. Il se déclare satisfait du dialogue franc et constructif instauré avec la délégation de haut niveau de l</w:t>
      </w:r>
      <w:r>
        <w:t>’</w:t>
      </w:r>
      <w:r w:rsidRPr="0098176F">
        <w:t>État partie, dirigée par l</w:t>
      </w:r>
      <w:r>
        <w:t>’</w:t>
      </w:r>
      <w:r w:rsidRPr="0098176F">
        <w:t xml:space="preserve">Attorney </w:t>
      </w:r>
      <w:r w:rsidR="009C2549">
        <w:t>géné</w:t>
      </w:r>
      <w:r w:rsidRPr="0098176F">
        <w:t>ral.</w:t>
      </w:r>
    </w:p>
    <w:p w:rsidR="00751FC8" w:rsidRPr="0098176F" w:rsidRDefault="00751FC8" w:rsidP="00751FC8">
      <w:pPr>
        <w:pStyle w:val="SingleTxtG"/>
      </w:pPr>
      <w:r w:rsidRPr="0098176F">
        <w:t>3.</w:t>
      </w:r>
      <w:r w:rsidRPr="0098176F">
        <w:tab/>
        <w:t>Tout en notant avec satisfaction que les Maldives ont donné suite à sa précédente recommandation et bénéficié de l</w:t>
      </w:r>
      <w:r>
        <w:t>’</w:t>
      </w:r>
      <w:r w:rsidRPr="0098176F">
        <w:t xml:space="preserve">assistance technique du Haut-Commissariat </w:t>
      </w:r>
      <w:r w:rsidR="005F1177">
        <w:t xml:space="preserve">des Nations Unies </w:t>
      </w:r>
      <w:r w:rsidRPr="0098176F">
        <w:t>aux droits de l</w:t>
      </w:r>
      <w:r>
        <w:t>’</w:t>
      </w:r>
      <w:r w:rsidRPr="0098176F">
        <w:t>homme pour établir la version finale du document de base commun</w:t>
      </w:r>
      <w:r>
        <w:t xml:space="preserve"> (HRI/CORE/MDV/2010)</w:t>
      </w:r>
      <w:r w:rsidRPr="0098176F">
        <w:t xml:space="preserve">, le </w:t>
      </w:r>
      <w:r w:rsidR="005F1177">
        <w:t>Comité regrette</w:t>
      </w:r>
      <w:r w:rsidRPr="0098176F">
        <w:t xml:space="preserve"> que le rapport périodique n</w:t>
      </w:r>
      <w:r>
        <w:t>’</w:t>
      </w:r>
      <w:r w:rsidRPr="0098176F">
        <w:t>ait pas été établi conformément aux directives révisées pour l</w:t>
      </w:r>
      <w:r>
        <w:t>’</w:t>
      </w:r>
      <w:r w:rsidRPr="0098176F">
        <w:t>établissement des rapports (CERD/C/2007/1) et ne contienne pas suffisamment d</w:t>
      </w:r>
      <w:r>
        <w:t>’</w:t>
      </w:r>
      <w:r w:rsidRPr="0098176F">
        <w:t xml:space="preserve">informations sur la mise en œuvre de la Convention. </w:t>
      </w:r>
      <w:r w:rsidR="005F1177">
        <w:t xml:space="preserve">Il </w:t>
      </w:r>
      <w:r w:rsidRPr="0098176F">
        <w:t>invite l</w:t>
      </w:r>
      <w:r>
        <w:t>’</w:t>
      </w:r>
      <w:r w:rsidRPr="0098176F">
        <w:t>État partie à soumettre ses prochains rapports périodiques dans les délais conformément aux directives révisées pour l</w:t>
      </w:r>
      <w:r>
        <w:t>’</w:t>
      </w:r>
      <w:r w:rsidRPr="0098176F">
        <w:t>établissement des rapports et aux recommandations du Comité.</w:t>
      </w:r>
    </w:p>
    <w:p w:rsidR="00751FC8" w:rsidRPr="0098176F" w:rsidRDefault="00751FC8" w:rsidP="00751FC8">
      <w:pPr>
        <w:pStyle w:val="H1G"/>
      </w:pPr>
      <w:r>
        <w:tab/>
      </w:r>
      <w:r w:rsidRPr="0098176F">
        <w:t>B.</w:t>
      </w:r>
      <w:r w:rsidRPr="0098176F">
        <w:tab/>
        <w:t>Aspects positifs</w:t>
      </w:r>
    </w:p>
    <w:p w:rsidR="00751FC8" w:rsidRPr="0098176F" w:rsidRDefault="00751FC8" w:rsidP="00751FC8">
      <w:pPr>
        <w:pStyle w:val="SingleTxtG"/>
      </w:pPr>
      <w:r w:rsidRPr="0098176F">
        <w:t>4.</w:t>
      </w:r>
      <w:r w:rsidRPr="0098176F">
        <w:tab/>
        <w:t>Le Comité se félicite des faits nouveaux positifs enregistrés aux Maldives, y</w:t>
      </w:r>
      <w:r w:rsidR="003F6D0E">
        <w:t> </w:t>
      </w:r>
      <w:r w:rsidRPr="0098176F">
        <w:t>compris:</w:t>
      </w:r>
    </w:p>
    <w:p w:rsidR="00751FC8" w:rsidRPr="0098176F" w:rsidRDefault="00751FC8" w:rsidP="00751FC8">
      <w:pPr>
        <w:pStyle w:val="SingleTxtG"/>
        <w:ind w:firstLine="567"/>
      </w:pPr>
      <w:r w:rsidRPr="0098176F">
        <w:t>a)</w:t>
      </w:r>
      <w:r w:rsidRPr="0098176F">
        <w:tab/>
        <w:t>L</w:t>
      </w:r>
      <w:r>
        <w:t>’adoption de l</w:t>
      </w:r>
      <w:r w:rsidRPr="0098176F">
        <w:t>a Constitution de 2008, dont l</w:t>
      </w:r>
      <w:r>
        <w:t>’</w:t>
      </w:r>
      <w:r w:rsidR="003F6D0E">
        <w:t xml:space="preserve">article </w:t>
      </w:r>
      <w:r w:rsidRPr="0098176F">
        <w:t>17 a) interdit expressément la discrimination raciale;</w:t>
      </w:r>
    </w:p>
    <w:p w:rsidR="00751FC8" w:rsidRPr="0098176F" w:rsidRDefault="00751FC8" w:rsidP="00751FC8">
      <w:pPr>
        <w:pStyle w:val="SingleTxtG"/>
        <w:ind w:firstLine="567"/>
      </w:pPr>
      <w:r w:rsidRPr="0098176F">
        <w:t>b)</w:t>
      </w:r>
      <w:r w:rsidRPr="0098176F">
        <w:tab/>
        <w:t>L</w:t>
      </w:r>
      <w:r>
        <w:t>’adoption de la</w:t>
      </w:r>
      <w:r w:rsidRPr="0098176F">
        <w:t xml:space="preserve"> loi sur l</w:t>
      </w:r>
      <w:r>
        <w:t>’</w:t>
      </w:r>
      <w:r w:rsidRPr="0098176F">
        <w:t>emploi de 2008</w:t>
      </w:r>
      <w:r>
        <w:t xml:space="preserve"> </w:t>
      </w:r>
      <w:r w:rsidRPr="0098176F">
        <w:t>qui interdit la discrimination entre les personnes effectuant un travail de valeur égale;</w:t>
      </w:r>
    </w:p>
    <w:p w:rsidR="00751FC8" w:rsidRPr="0098176F" w:rsidRDefault="00751FC8" w:rsidP="00751FC8">
      <w:pPr>
        <w:pStyle w:val="SingleTxtG"/>
        <w:ind w:firstLine="567"/>
      </w:pPr>
      <w:r w:rsidRPr="0098176F">
        <w:t>c)</w:t>
      </w:r>
      <w:r w:rsidRPr="0098176F">
        <w:tab/>
        <w:t>L</w:t>
      </w:r>
      <w:r>
        <w:t>’entrée en vigueur du</w:t>
      </w:r>
      <w:r w:rsidRPr="0098176F">
        <w:t xml:space="preserve"> </w:t>
      </w:r>
      <w:r>
        <w:t>R</w:t>
      </w:r>
      <w:r w:rsidRPr="0098176F">
        <w:t>èglement relatif à l</w:t>
      </w:r>
      <w:r>
        <w:t>’</w:t>
      </w:r>
      <w:r w:rsidRPr="0098176F">
        <w:t>emploi des étrangers de 2009 qui protège les droits des travailleurs migrants;</w:t>
      </w:r>
    </w:p>
    <w:p w:rsidR="00751FC8" w:rsidRPr="0098176F" w:rsidRDefault="00751FC8" w:rsidP="00751FC8">
      <w:pPr>
        <w:pStyle w:val="SingleTxtG"/>
        <w:ind w:firstLine="567"/>
      </w:pPr>
      <w:r w:rsidRPr="0098176F">
        <w:t>d)</w:t>
      </w:r>
      <w:r w:rsidRPr="0098176F">
        <w:tab/>
        <w:t xml:space="preserve">La collaboration avec cinq </w:t>
      </w:r>
      <w:r>
        <w:t>titulaires</w:t>
      </w:r>
      <w:r w:rsidRPr="0098176F">
        <w:t xml:space="preserve"> de mandat au titre de</w:t>
      </w:r>
      <w:r>
        <w:t>s</w:t>
      </w:r>
      <w:r w:rsidRPr="0098176F">
        <w:t xml:space="preserve"> procédure</w:t>
      </w:r>
      <w:r>
        <w:t>s</w:t>
      </w:r>
      <w:r w:rsidRPr="0098176F">
        <w:t xml:space="preserve"> spéciale</w:t>
      </w:r>
      <w:r>
        <w:t>s</w:t>
      </w:r>
      <w:r w:rsidRPr="0098176F">
        <w:t xml:space="preserve"> qui se sont rendus dans le pays entre 2006 et 2011</w:t>
      </w:r>
      <w:r>
        <w:t>.</w:t>
      </w:r>
    </w:p>
    <w:p w:rsidR="00751FC8" w:rsidRPr="0098176F" w:rsidRDefault="00751FC8" w:rsidP="00751FC8">
      <w:pPr>
        <w:pStyle w:val="SingleTxtG"/>
      </w:pPr>
      <w:r w:rsidRPr="0098176F">
        <w:t>5.</w:t>
      </w:r>
      <w:r w:rsidRPr="0098176F">
        <w:tab/>
        <w:t>Le Comité se félicite également de la ratification d</w:t>
      </w:r>
      <w:r>
        <w:t>’</w:t>
      </w:r>
      <w:r w:rsidRPr="0098176F">
        <w:t>un certain nombre d</w:t>
      </w:r>
      <w:r>
        <w:t>’</w:t>
      </w:r>
      <w:r w:rsidRPr="0098176F">
        <w:t>instruments internationaux relatifs aux droits de l</w:t>
      </w:r>
      <w:r>
        <w:t>’</w:t>
      </w:r>
      <w:r w:rsidRPr="0098176F">
        <w:t>homme depuis 1999, y compris:</w:t>
      </w:r>
    </w:p>
    <w:p w:rsidR="00751FC8" w:rsidRPr="0098176F" w:rsidRDefault="00751FC8" w:rsidP="00751FC8">
      <w:pPr>
        <w:pStyle w:val="SingleTxtG"/>
        <w:ind w:firstLine="567"/>
      </w:pPr>
      <w:r w:rsidRPr="0098176F">
        <w:t>a)</w:t>
      </w:r>
      <w:r w:rsidRPr="0098176F">
        <w:tab/>
        <w:t>Le Pacte international relatif aux droits éc</w:t>
      </w:r>
      <w:r w:rsidR="003F6D0E">
        <w:t>onomiques, sociaux et culturels</w:t>
      </w:r>
      <w:r w:rsidRPr="0098176F">
        <w:t>, en 2006;</w:t>
      </w:r>
    </w:p>
    <w:p w:rsidR="00751FC8" w:rsidRPr="0098176F" w:rsidRDefault="00751FC8" w:rsidP="00751FC8">
      <w:pPr>
        <w:pStyle w:val="SingleTxtG"/>
        <w:ind w:firstLine="567"/>
      </w:pPr>
      <w:r w:rsidRPr="0098176F">
        <w:t>b)</w:t>
      </w:r>
      <w:r w:rsidRPr="0098176F">
        <w:tab/>
        <w:t>Le Pacte international relatif aux droits civils et politiques, en 2006;</w:t>
      </w:r>
    </w:p>
    <w:p w:rsidR="00751FC8" w:rsidRPr="0098176F" w:rsidRDefault="00751FC8" w:rsidP="00751FC8">
      <w:pPr>
        <w:pStyle w:val="SingleTxtG"/>
        <w:ind w:firstLine="567"/>
      </w:pPr>
      <w:r w:rsidRPr="0098176F">
        <w:t>c)</w:t>
      </w:r>
      <w:r w:rsidRPr="0098176F">
        <w:tab/>
        <w:t>La Convention contre la torture et autres peines ou traitements cruels, inhumains ou dégradants, en 2004;</w:t>
      </w:r>
    </w:p>
    <w:p w:rsidR="00751FC8" w:rsidRPr="0098176F" w:rsidRDefault="00751FC8" w:rsidP="00751FC8">
      <w:pPr>
        <w:pStyle w:val="SingleTxtG"/>
        <w:ind w:firstLine="567"/>
      </w:pPr>
      <w:r w:rsidRPr="0098176F">
        <w:t>d)</w:t>
      </w:r>
      <w:r w:rsidRPr="0098176F">
        <w:tab/>
        <w:t>La Convention relative aux d</w:t>
      </w:r>
      <w:r w:rsidR="003F6D0E">
        <w:t>roits des personnes handicapées</w:t>
      </w:r>
      <w:r w:rsidRPr="0098176F">
        <w:t>, en 2010; et</w:t>
      </w:r>
    </w:p>
    <w:p w:rsidR="00751FC8" w:rsidRPr="0098176F" w:rsidRDefault="00751FC8" w:rsidP="00751FC8">
      <w:pPr>
        <w:pStyle w:val="SingleTxtG"/>
        <w:ind w:firstLine="567"/>
      </w:pPr>
      <w:r w:rsidRPr="0098176F">
        <w:t>e)</w:t>
      </w:r>
      <w:r w:rsidRPr="0098176F">
        <w:tab/>
        <w:t>La Convention internationale pour la protection de toutes les personnes contre les dispar</w:t>
      </w:r>
      <w:r w:rsidR="003F6D0E">
        <w:t>itions forcées</w:t>
      </w:r>
      <w:r>
        <w:t>, en 2007.</w:t>
      </w:r>
    </w:p>
    <w:p w:rsidR="00751FC8" w:rsidRPr="0098176F" w:rsidRDefault="00751FC8" w:rsidP="00751FC8">
      <w:pPr>
        <w:pStyle w:val="SingleTxtG"/>
      </w:pPr>
      <w:r w:rsidRPr="0098176F">
        <w:t>6.</w:t>
      </w:r>
      <w:r w:rsidRPr="0098176F">
        <w:tab/>
        <w:t>Le Comité prend note de l</w:t>
      </w:r>
      <w:r>
        <w:t>’</w:t>
      </w:r>
      <w:r w:rsidRPr="0098176F">
        <w:t>intention de l</w:t>
      </w:r>
      <w:r>
        <w:t>’</w:t>
      </w:r>
      <w:r w:rsidRPr="0098176F">
        <w:t xml:space="preserve">État partie de lever </w:t>
      </w:r>
      <w:r>
        <w:t>certaines</w:t>
      </w:r>
      <w:r w:rsidRPr="0098176F">
        <w:t xml:space="preserve"> réserves aux instruments internationaux relatifs aux droits de l</w:t>
      </w:r>
      <w:r>
        <w:t>’</w:t>
      </w:r>
      <w:r w:rsidRPr="0098176F">
        <w:t>homme</w:t>
      </w:r>
      <w:r>
        <w:t xml:space="preserve"> qu’il a émises</w:t>
      </w:r>
      <w:r w:rsidRPr="0098176F">
        <w:t xml:space="preserve"> et l</w:t>
      </w:r>
      <w:r>
        <w:t>’</w:t>
      </w:r>
      <w:r w:rsidRPr="0098176F">
        <w:t>encourage à le faire conformément aux normes internationales de protection des droits de l</w:t>
      </w:r>
      <w:r>
        <w:t>’</w:t>
      </w:r>
      <w:r w:rsidRPr="0098176F">
        <w:t>homme et des libertés fondamentales.</w:t>
      </w:r>
    </w:p>
    <w:p w:rsidR="00751FC8" w:rsidRPr="0098176F" w:rsidRDefault="00751FC8" w:rsidP="00751FC8">
      <w:pPr>
        <w:pStyle w:val="H1G"/>
      </w:pPr>
      <w:r>
        <w:tab/>
      </w:r>
      <w:r w:rsidRPr="0098176F">
        <w:t>C.</w:t>
      </w:r>
      <w:r w:rsidRPr="0098176F">
        <w:tab/>
        <w:t>Sujets de préoccupation et recommandations</w:t>
      </w:r>
    </w:p>
    <w:p w:rsidR="00751FC8" w:rsidRPr="0098176F" w:rsidRDefault="00751FC8" w:rsidP="00751FC8">
      <w:pPr>
        <w:pStyle w:val="SingleTxtG"/>
      </w:pPr>
      <w:r w:rsidRPr="0098176F">
        <w:t>7.</w:t>
      </w:r>
      <w:r w:rsidRPr="0098176F">
        <w:tab/>
        <w:t>Le Comité regrette que l</w:t>
      </w:r>
      <w:r>
        <w:t>’</w:t>
      </w:r>
      <w:r w:rsidRPr="0098176F">
        <w:t xml:space="preserve">État </w:t>
      </w:r>
      <w:r w:rsidR="009C2549">
        <w:t xml:space="preserve">partie </w:t>
      </w:r>
      <w:r w:rsidRPr="0098176F">
        <w:t>n</w:t>
      </w:r>
      <w:r>
        <w:t>’</w:t>
      </w:r>
      <w:r w:rsidRPr="0098176F">
        <w:t>ait pas fourni de données ventilées sur la composition de la population permettant d</w:t>
      </w:r>
      <w:r>
        <w:t>’</w:t>
      </w:r>
      <w:r w:rsidRPr="0098176F">
        <w:t>évaluer les progrès réalisés sur la voie de l</w:t>
      </w:r>
      <w:r>
        <w:t>’</w:t>
      </w:r>
      <w:r w:rsidRPr="0098176F">
        <w:t>élimination de toutes les formes de discrimination raciale.</w:t>
      </w:r>
    </w:p>
    <w:p w:rsidR="00751FC8" w:rsidRPr="0098176F" w:rsidRDefault="0058598B" w:rsidP="00751FC8">
      <w:pPr>
        <w:pStyle w:val="SingleTxtG"/>
        <w:rPr>
          <w:b/>
        </w:rPr>
      </w:pPr>
      <w:r>
        <w:rPr>
          <w:b/>
        </w:rPr>
        <w:t>À la lumière de sa R</w:t>
      </w:r>
      <w:r w:rsidR="00751FC8" w:rsidRPr="0098176F">
        <w:rPr>
          <w:b/>
        </w:rPr>
        <w:t>ecommandation générale</w:t>
      </w:r>
      <w:r w:rsidR="00751FC8">
        <w:rPr>
          <w:b/>
        </w:rPr>
        <w:t xml:space="preserve"> </w:t>
      </w:r>
      <w:r w:rsidR="00751FC8" w:rsidRPr="0098176F">
        <w:rPr>
          <w:b/>
        </w:rPr>
        <w:t>n</w:t>
      </w:r>
      <w:r w:rsidR="00751FC8" w:rsidRPr="0098176F">
        <w:rPr>
          <w:b/>
          <w:vertAlign w:val="superscript"/>
        </w:rPr>
        <w:t>o</w:t>
      </w:r>
      <w:r w:rsidR="00751FC8" w:rsidRPr="0098176F">
        <w:rPr>
          <w:b/>
        </w:rPr>
        <w:t> 4 (1973) sur la composition démographique de la population et des paragraphes 10 et 12 des directives révisées concernant l</w:t>
      </w:r>
      <w:r w:rsidR="00751FC8">
        <w:rPr>
          <w:b/>
        </w:rPr>
        <w:t>’</w:t>
      </w:r>
      <w:r w:rsidR="00751FC8" w:rsidRPr="0098176F">
        <w:rPr>
          <w:b/>
        </w:rPr>
        <w:t>établissement des rapports (CERD/C/2007/1), le Comité recommande à l</w:t>
      </w:r>
      <w:r w:rsidR="00751FC8">
        <w:rPr>
          <w:b/>
        </w:rPr>
        <w:t>’</w:t>
      </w:r>
      <w:r w:rsidR="00751FC8" w:rsidRPr="0098176F">
        <w:rPr>
          <w:b/>
        </w:rPr>
        <w:t>État partie de faire figurer dans son prochain rapport périodique des données démographiques ventilées sur la composition ethnique de sa population.</w:t>
      </w:r>
    </w:p>
    <w:p w:rsidR="00751FC8" w:rsidRPr="0098176F" w:rsidRDefault="00751FC8" w:rsidP="00751FC8">
      <w:pPr>
        <w:pStyle w:val="SingleTxtG"/>
      </w:pPr>
      <w:r w:rsidRPr="0098176F">
        <w:t>8.</w:t>
      </w:r>
      <w:r w:rsidRPr="0098176F">
        <w:tab/>
        <w:t>Tout en accueillant avec satisfaction l</w:t>
      </w:r>
      <w:r>
        <w:t>’</w:t>
      </w:r>
      <w:r w:rsidRPr="0098176F">
        <w:t>information</w:t>
      </w:r>
      <w:r>
        <w:t xml:space="preserve"> communiquée</w:t>
      </w:r>
      <w:r w:rsidRPr="0098176F">
        <w:t xml:space="preserve"> par l</w:t>
      </w:r>
      <w:r>
        <w:t>’</w:t>
      </w:r>
      <w:r w:rsidRPr="0098176F">
        <w:t xml:space="preserve">État partie, selon laquelle une loi antidiscrimination est </w:t>
      </w:r>
      <w:r>
        <w:t xml:space="preserve">en cours d’élaboration </w:t>
      </w:r>
      <w:r w:rsidRPr="0098176F">
        <w:t>pour 2012, le Comité se déclare préoccupé par l</w:t>
      </w:r>
      <w:r>
        <w:t>’</w:t>
      </w:r>
      <w:r w:rsidRPr="0098176F">
        <w:t>absence</w:t>
      </w:r>
      <w:r>
        <w:t xml:space="preserve"> d’une </w:t>
      </w:r>
      <w:r w:rsidRPr="0098176F">
        <w:t>législation complète pour prévenir et interdire la discrimination raciale (art. 1</w:t>
      </w:r>
      <w:r w:rsidR="0058598B" w:rsidRPr="0058598B">
        <w:rPr>
          <w:vertAlign w:val="superscript"/>
        </w:rPr>
        <w:t>er</w:t>
      </w:r>
      <w:r w:rsidRPr="0098176F">
        <w:t xml:space="preserve"> et 4).</w:t>
      </w:r>
    </w:p>
    <w:p w:rsidR="00751FC8" w:rsidRPr="00920FCB" w:rsidRDefault="00653AAA" w:rsidP="00751FC8">
      <w:pPr>
        <w:pStyle w:val="SingleTxtG"/>
        <w:rPr>
          <w:b/>
        </w:rPr>
      </w:pPr>
      <w:r>
        <w:rPr>
          <w:b/>
        </w:rPr>
        <w:t>Dans sa R</w:t>
      </w:r>
      <w:r w:rsidR="00751FC8" w:rsidRPr="0098176F">
        <w:rPr>
          <w:b/>
        </w:rPr>
        <w:t>ecommandation générale n</w:t>
      </w:r>
      <w:r w:rsidR="00751FC8" w:rsidRPr="0098176F">
        <w:rPr>
          <w:b/>
          <w:vertAlign w:val="superscript"/>
        </w:rPr>
        <w:t>o</w:t>
      </w:r>
      <w:r w:rsidR="00751FC8" w:rsidRPr="0098176F">
        <w:rPr>
          <w:b/>
        </w:rPr>
        <w:t xml:space="preserve"> 1 (1972) concernant les obligations des États parties, </w:t>
      </w:r>
      <w:r>
        <w:rPr>
          <w:b/>
        </w:rPr>
        <w:t>le Comité invite les États parties</w:t>
      </w:r>
      <w:r w:rsidR="00751FC8" w:rsidRPr="0098176F">
        <w:rPr>
          <w:b/>
        </w:rPr>
        <w:t xml:space="preserve"> à examiner la possibilité de compléter leur législation, conformément à leur procédure législative, en y ajoutant des dispositions conformes aux normes prévues à l</w:t>
      </w:r>
      <w:r w:rsidR="00751FC8">
        <w:rPr>
          <w:b/>
        </w:rPr>
        <w:t>’</w:t>
      </w:r>
      <w:r w:rsidR="00751FC8" w:rsidRPr="0098176F">
        <w:rPr>
          <w:b/>
        </w:rPr>
        <w:t xml:space="preserve">article premier et aux alinéas </w:t>
      </w:r>
      <w:r w:rsidR="00751FC8" w:rsidRPr="0098176F">
        <w:rPr>
          <w:b/>
          <w:i/>
        </w:rPr>
        <w:t>a</w:t>
      </w:r>
      <w:r w:rsidR="00751FC8" w:rsidRPr="0098176F">
        <w:rPr>
          <w:b/>
        </w:rPr>
        <w:t xml:space="preserve"> et </w:t>
      </w:r>
      <w:r w:rsidR="00751FC8" w:rsidRPr="0098176F">
        <w:rPr>
          <w:b/>
          <w:i/>
        </w:rPr>
        <w:t>b</w:t>
      </w:r>
      <w:r w:rsidR="00751FC8" w:rsidRPr="0098176F">
        <w:rPr>
          <w:b/>
        </w:rPr>
        <w:t xml:space="preserve"> de l</w:t>
      </w:r>
      <w:r w:rsidR="00751FC8">
        <w:rPr>
          <w:b/>
        </w:rPr>
        <w:t>’</w:t>
      </w:r>
      <w:r w:rsidR="00751FC8" w:rsidRPr="0098176F">
        <w:rPr>
          <w:b/>
        </w:rPr>
        <w:t xml:space="preserve">article 4 de la Convention. </w:t>
      </w:r>
      <w:r>
        <w:rPr>
          <w:b/>
        </w:rPr>
        <w:t>À cet égard, le Comité recommande à l’État partie d’adopter dans les meilleurs délais la loi antidiscrimination prévue, conformément aux articles 1</w:t>
      </w:r>
      <w:r w:rsidRPr="00653AAA">
        <w:rPr>
          <w:b/>
          <w:vertAlign w:val="superscript"/>
        </w:rPr>
        <w:t>er</w:t>
      </w:r>
      <w:r>
        <w:rPr>
          <w:b/>
        </w:rPr>
        <w:t xml:space="preserve"> et 4 de la Convention. </w:t>
      </w:r>
      <w:r w:rsidR="00751FC8" w:rsidRPr="0098176F">
        <w:rPr>
          <w:b/>
        </w:rPr>
        <w:t>Le Comité invite</w:t>
      </w:r>
      <w:r w:rsidR="00751FC8">
        <w:rPr>
          <w:b/>
        </w:rPr>
        <w:t xml:space="preserve"> également</w:t>
      </w:r>
      <w:r w:rsidR="00751FC8" w:rsidRPr="0098176F">
        <w:rPr>
          <w:b/>
        </w:rPr>
        <w:t xml:space="preserve"> l</w:t>
      </w:r>
      <w:r w:rsidR="00751FC8">
        <w:rPr>
          <w:b/>
        </w:rPr>
        <w:t>’</w:t>
      </w:r>
      <w:r w:rsidR="00751FC8" w:rsidRPr="0098176F">
        <w:rPr>
          <w:b/>
        </w:rPr>
        <w:t>État partie à tenir pleinement compte de la Convention et des autres recommandations générales du Comité en établissant cette loi.</w:t>
      </w:r>
    </w:p>
    <w:p w:rsidR="00751FC8" w:rsidRDefault="00751FC8" w:rsidP="00751FC8">
      <w:pPr>
        <w:pStyle w:val="SingleTxtG"/>
      </w:pPr>
      <w:r w:rsidRPr="0098176F">
        <w:t>9.</w:t>
      </w:r>
      <w:r w:rsidRPr="0098176F">
        <w:tab/>
        <w:t xml:space="preserve">Le Comité prend note avec préoccupation </w:t>
      </w:r>
      <w:r>
        <w:t xml:space="preserve">de </w:t>
      </w:r>
      <w:r w:rsidRPr="0098176F">
        <w:t>la disposition de la loi sur la Commission des droits de l</w:t>
      </w:r>
      <w:r>
        <w:t>’</w:t>
      </w:r>
      <w:r w:rsidRPr="0098176F">
        <w:t xml:space="preserve">homme </w:t>
      </w:r>
      <w:r w:rsidR="00F557F1">
        <w:t>selon laquelle</w:t>
      </w:r>
      <w:r w:rsidRPr="0098176F">
        <w:t xml:space="preserve"> seuls des musulmans peuvent être membres de </w:t>
      </w:r>
      <w:r>
        <w:t>ladite</w:t>
      </w:r>
      <w:r w:rsidRPr="0098176F">
        <w:t xml:space="preserve"> Commission (art</w:t>
      </w:r>
      <w:r>
        <w:t>.</w:t>
      </w:r>
      <w:r w:rsidRPr="0098176F">
        <w:t xml:space="preserve"> 2, 4 et 5).</w:t>
      </w:r>
    </w:p>
    <w:p w:rsidR="00751FC8" w:rsidRPr="00946A6A" w:rsidRDefault="00751FC8" w:rsidP="00751FC8">
      <w:pPr>
        <w:pStyle w:val="SingleTxtG"/>
      </w:pPr>
      <w:r w:rsidRPr="0098176F">
        <w:rPr>
          <w:b/>
        </w:rPr>
        <w:t>Le Comité recommande à l</w:t>
      </w:r>
      <w:r>
        <w:rPr>
          <w:b/>
        </w:rPr>
        <w:t>’</w:t>
      </w:r>
      <w:r w:rsidRPr="0098176F">
        <w:rPr>
          <w:b/>
        </w:rPr>
        <w:t>État partie de prendre des mesures pour garantir que la Commission des droits de l</w:t>
      </w:r>
      <w:r>
        <w:rPr>
          <w:b/>
        </w:rPr>
        <w:t>’</w:t>
      </w:r>
      <w:r w:rsidRPr="0098176F">
        <w:rPr>
          <w:b/>
        </w:rPr>
        <w:t xml:space="preserve">homme représente tous les groupes du pays et </w:t>
      </w:r>
      <w:r>
        <w:rPr>
          <w:b/>
        </w:rPr>
        <w:t>soit</w:t>
      </w:r>
      <w:r w:rsidRPr="0098176F">
        <w:rPr>
          <w:b/>
        </w:rPr>
        <w:t xml:space="preserve"> pleinement </w:t>
      </w:r>
      <w:r w:rsidR="009C2549">
        <w:rPr>
          <w:b/>
        </w:rPr>
        <w:t xml:space="preserve">conforme aux Principes de Paris. </w:t>
      </w:r>
      <w:r>
        <w:rPr>
          <w:b/>
        </w:rPr>
        <w:t>Il</w:t>
      </w:r>
      <w:r w:rsidRPr="0098176F">
        <w:rPr>
          <w:b/>
        </w:rPr>
        <w:t xml:space="preserve"> encourage </w:t>
      </w:r>
      <w:r w:rsidR="00F557F1">
        <w:rPr>
          <w:b/>
        </w:rPr>
        <w:t>aussi</w:t>
      </w:r>
      <w:r w:rsidRPr="0098176F">
        <w:rPr>
          <w:b/>
        </w:rPr>
        <w:t xml:space="preserve"> l</w:t>
      </w:r>
      <w:r>
        <w:rPr>
          <w:b/>
        </w:rPr>
        <w:t>’</w:t>
      </w:r>
      <w:r w:rsidRPr="0098176F">
        <w:rPr>
          <w:b/>
        </w:rPr>
        <w:t>État partie à doter la Commission de ressources humaines et financières suffisantes pour lui permettre de s</w:t>
      </w:r>
      <w:r>
        <w:rPr>
          <w:b/>
        </w:rPr>
        <w:t>’</w:t>
      </w:r>
      <w:r w:rsidRPr="0098176F">
        <w:rPr>
          <w:b/>
        </w:rPr>
        <w:t>acquitter pleinement de son mandat.</w:t>
      </w:r>
    </w:p>
    <w:p w:rsidR="00751FC8" w:rsidRPr="0099747D" w:rsidRDefault="00751FC8" w:rsidP="00751FC8">
      <w:pPr>
        <w:pStyle w:val="SingleTxtG"/>
      </w:pPr>
      <w:r w:rsidRPr="0099747D">
        <w:t>10.</w:t>
      </w:r>
      <w:r w:rsidRPr="0099747D">
        <w:tab/>
        <w:t>Le Comité est particulièrement préoccupé par les dispositions discriminatoires de la Constitution stipulant que tous les Maldiviens doivent être musulmans, ce qui exclut les non</w:t>
      </w:r>
      <w:r>
        <w:t>-</w:t>
      </w:r>
      <w:r w:rsidRPr="0099747D">
        <w:t>musulmans de l</w:t>
      </w:r>
      <w:r>
        <w:t>’</w:t>
      </w:r>
      <w:r w:rsidRPr="0099747D">
        <w:t xml:space="preserve">accès à la citoyenneté et à </w:t>
      </w:r>
      <w:r>
        <w:t>des</w:t>
      </w:r>
      <w:r w:rsidRPr="0099747D">
        <w:t xml:space="preserve"> fonction</w:t>
      </w:r>
      <w:r>
        <w:t>s</w:t>
      </w:r>
      <w:r w:rsidRPr="0099747D">
        <w:t xml:space="preserve"> publique</w:t>
      </w:r>
      <w:r>
        <w:t>s</w:t>
      </w:r>
      <w:r w:rsidRPr="0099747D">
        <w:t xml:space="preserve"> et touche principalement les personnes ayant une origine nationale ou ethnique différente (art. 2, 4 et</w:t>
      </w:r>
      <w:r>
        <w:t> </w:t>
      </w:r>
      <w:r w:rsidRPr="0099747D">
        <w:t xml:space="preserve">5). </w:t>
      </w:r>
    </w:p>
    <w:p w:rsidR="00751FC8" w:rsidRPr="0099747D" w:rsidRDefault="00751FC8" w:rsidP="00751FC8">
      <w:pPr>
        <w:pStyle w:val="SingleTxtG"/>
        <w:rPr>
          <w:b/>
        </w:rPr>
      </w:pPr>
      <w:r w:rsidRPr="0099747D">
        <w:rPr>
          <w:b/>
        </w:rPr>
        <w:t>Le Comité appelle l</w:t>
      </w:r>
      <w:r>
        <w:rPr>
          <w:b/>
        </w:rPr>
        <w:t>’</w:t>
      </w:r>
      <w:r w:rsidRPr="0099747D">
        <w:rPr>
          <w:b/>
        </w:rPr>
        <w:t>attention de l</w:t>
      </w:r>
      <w:r>
        <w:rPr>
          <w:b/>
        </w:rPr>
        <w:t>’</w:t>
      </w:r>
      <w:r w:rsidR="00F557F1">
        <w:rPr>
          <w:b/>
        </w:rPr>
        <w:t>État partie sur la R</w:t>
      </w:r>
      <w:r w:rsidRPr="0099747D">
        <w:rPr>
          <w:b/>
        </w:rPr>
        <w:t>ecommandation générale n</w:t>
      </w:r>
      <w:r w:rsidRPr="0099747D">
        <w:rPr>
          <w:b/>
          <w:vertAlign w:val="superscript"/>
        </w:rPr>
        <w:t>o</w:t>
      </w:r>
      <w:r w:rsidRPr="0099747D">
        <w:rPr>
          <w:b/>
        </w:rPr>
        <w:t xml:space="preserve"> 30 (2005) concernant la discrimination </w:t>
      </w:r>
      <w:r w:rsidR="00F557F1">
        <w:rPr>
          <w:b/>
        </w:rPr>
        <w:t>à l’égard des</w:t>
      </w:r>
      <w:r w:rsidRPr="0099747D">
        <w:rPr>
          <w:b/>
        </w:rPr>
        <w:t xml:space="preserve"> non-ressortissants, dans laquelle le Comité demande aux États parties de veiller à ce que </w:t>
      </w:r>
      <w:r w:rsidR="00D036EF">
        <w:rPr>
          <w:b/>
        </w:rPr>
        <w:t xml:space="preserve">des groupes particuliers de </w:t>
      </w:r>
      <w:proofErr w:type="spellStart"/>
      <w:r w:rsidR="00D036EF">
        <w:rPr>
          <w:b/>
        </w:rPr>
        <w:t>non</w:t>
      </w:r>
      <w:r w:rsidR="00D036EF">
        <w:rPr>
          <w:b/>
        </w:rPr>
        <w:noBreakHyphen/>
      </w:r>
      <w:r w:rsidRPr="0099747D">
        <w:rPr>
          <w:b/>
        </w:rPr>
        <w:t>ressortissants</w:t>
      </w:r>
      <w:proofErr w:type="spellEnd"/>
      <w:r w:rsidRPr="0099747D">
        <w:rPr>
          <w:b/>
        </w:rPr>
        <w:t xml:space="preserve"> ne </w:t>
      </w:r>
      <w:r w:rsidR="00F557F1">
        <w:rPr>
          <w:b/>
        </w:rPr>
        <w:t>subissent pas de discrimination</w:t>
      </w:r>
      <w:r w:rsidRPr="0099747D">
        <w:rPr>
          <w:b/>
        </w:rPr>
        <w:t xml:space="preserve"> en matière d</w:t>
      </w:r>
      <w:r>
        <w:rPr>
          <w:b/>
        </w:rPr>
        <w:t>’</w:t>
      </w:r>
      <w:r w:rsidRPr="0099747D">
        <w:rPr>
          <w:b/>
        </w:rPr>
        <w:t>accès à la citoyenneté ou de naturalisation. Par ailleurs, l</w:t>
      </w:r>
      <w:r>
        <w:rPr>
          <w:b/>
        </w:rPr>
        <w:t>’</w:t>
      </w:r>
      <w:r w:rsidRPr="0099747D">
        <w:rPr>
          <w:b/>
        </w:rPr>
        <w:t>État partie est tenu, en vertu de l</w:t>
      </w:r>
      <w:r>
        <w:rPr>
          <w:b/>
        </w:rPr>
        <w:t>’</w:t>
      </w:r>
      <w:r w:rsidRPr="0099747D">
        <w:rPr>
          <w:b/>
        </w:rPr>
        <w:t xml:space="preserve">article 5 d) vii) de la </w:t>
      </w:r>
      <w:r>
        <w:rPr>
          <w:b/>
        </w:rPr>
        <w:t>C</w:t>
      </w:r>
      <w:r w:rsidRPr="0099747D">
        <w:rPr>
          <w:b/>
        </w:rPr>
        <w:t>onvention, de garantir le droit de chacun à la liberté de religion sans discrimination fondée sur des motifs raciaux ou ethniques. Le Comité demande à l</w:t>
      </w:r>
      <w:r>
        <w:rPr>
          <w:b/>
        </w:rPr>
        <w:t>’</w:t>
      </w:r>
      <w:r w:rsidRPr="0099747D">
        <w:rPr>
          <w:b/>
        </w:rPr>
        <w:t>État partie d</w:t>
      </w:r>
      <w:r>
        <w:rPr>
          <w:b/>
        </w:rPr>
        <w:t>’</w:t>
      </w:r>
      <w:r w:rsidRPr="0099747D">
        <w:rPr>
          <w:b/>
        </w:rPr>
        <w:t>envisager de modifier les dispositions constitutionnelles discriminatoires dans le respect de la Convention.</w:t>
      </w:r>
    </w:p>
    <w:p w:rsidR="00751FC8" w:rsidRPr="0099747D" w:rsidRDefault="00751FC8" w:rsidP="00751FC8">
      <w:pPr>
        <w:pStyle w:val="SingleTxtG"/>
      </w:pPr>
      <w:r w:rsidRPr="0099747D">
        <w:t>11.</w:t>
      </w:r>
      <w:r w:rsidRPr="0099747D">
        <w:tab/>
        <w:t>Tout en relevant avec satisfaction que l</w:t>
      </w:r>
      <w:r>
        <w:t>’</w:t>
      </w:r>
      <w:r w:rsidRPr="0099747D">
        <w:t>État partie est membre de l</w:t>
      </w:r>
      <w:r>
        <w:t>’</w:t>
      </w:r>
      <w:r w:rsidR="00512F1A">
        <w:t>Organisation internationale du Travail (</w:t>
      </w:r>
      <w:r w:rsidRPr="0099747D">
        <w:t>OIT</w:t>
      </w:r>
      <w:r w:rsidR="00512F1A">
        <w:t>)</w:t>
      </w:r>
      <w:r w:rsidRPr="0099747D">
        <w:t xml:space="preserve"> depuis 2009, le Comité se déclare préoccupé par les informations faisant état de l</w:t>
      </w:r>
      <w:r>
        <w:t>’</w:t>
      </w:r>
      <w:r w:rsidRPr="0099747D">
        <w:t>hostilité à laquelle les non-ressortissants sont en but</w:t>
      </w:r>
      <w:r>
        <w:t>t</w:t>
      </w:r>
      <w:r w:rsidRPr="0099747D">
        <w:t>e et de la maltraitance dont les travailleurs migrants sont victimes de la part de leurs employeurs. Il déplore en outre le manque d</w:t>
      </w:r>
      <w:r>
        <w:t>’</w:t>
      </w:r>
      <w:r w:rsidRPr="0099747D">
        <w:t>informations sur les réfugiés et les demandeurs d</w:t>
      </w:r>
      <w:r>
        <w:t>’</w:t>
      </w:r>
      <w:r w:rsidRPr="0099747D">
        <w:t>asile dans le rapport de l</w:t>
      </w:r>
      <w:r>
        <w:t>’</w:t>
      </w:r>
      <w:r w:rsidRPr="0099747D">
        <w:t>État partie (art.</w:t>
      </w:r>
      <w:r>
        <w:t> </w:t>
      </w:r>
      <w:r w:rsidRPr="0099747D">
        <w:t>2, 5 et 6).</w:t>
      </w:r>
    </w:p>
    <w:p w:rsidR="00751FC8" w:rsidRPr="0099747D" w:rsidRDefault="00751FC8" w:rsidP="00751FC8">
      <w:pPr>
        <w:pStyle w:val="SingleTxtG"/>
        <w:rPr>
          <w:b/>
        </w:rPr>
      </w:pPr>
      <w:r w:rsidRPr="0099747D">
        <w:rPr>
          <w:b/>
        </w:rPr>
        <w:t>Le Comité demande à l</w:t>
      </w:r>
      <w:r>
        <w:rPr>
          <w:b/>
        </w:rPr>
        <w:t>’</w:t>
      </w:r>
      <w:r w:rsidRPr="0099747D">
        <w:rPr>
          <w:b/>
        </w:rPr>
        <w:t>État partie de fournir dans son prochain rapport périodique des informations sur les mesures prises pour empêcher les manifestations d</w:t>
      </w:r>
      <w:r>
        <w:rPr>
          <w:b/>
        </w:rPr>
        <w:t>’</w:t>
      </w:r>
      <w:r w:rsidRPr="0099747D">
        <w:rPr>
          <w:b/>
        </w:rPr>
        <w:t xml:space="preserve">hostilité et prévenir la maltraitance dont les travailleurs migrants sont victimes ainsi que sur les mesures de réparation </w:t>
      </w:r>
      <w:r>
        <w:rPr>
          <w:b/>
        </w:rPr>
        <w:t xml:space="preserve">prévues </w:t>
      </w:r>
      <w:r w:rsidRPr="0099747D">
        <w:rPr>
          <w:b/>
        </w:rPr>
        <w:t>et su</w:t>
      </w:r>
      <w:r w:rsidR="00512F1A">
        <w:rPr>
          <w:b/>
        </w:rPr>
        <w:t>r la situation des réfugiés et d</w:t>
      </w:r>
      <w:r w:rsidRPr="0099747D">
        <w:rPr>
          <w:b/>
        </w:rPr>
        <w:t>es demandeurs d</w:t>
      </w:r>
      <w:r>
        <w:rPr>
          <w:b/>
        </w:rPr>
        <w:t>’</w:t>
      </w:r>
      <w:r w:rsidR="00512F1A">
        <w:rPr>
          <w:b/>
        </w:rPr>
        <w:t>asile. Conformément à la R</w:t>
      </w:r>
      <w:r w:rsidRPr="0099747D">
        <w:rPr>
          <w:b/>
        </w:rPr>
        <w:t>ecommandation générale n</w:t>
      </w:r>
      <w:r w:rsidRPr="0099747D">
        <w:rPr>
          <w:b/>
          <w:vertAlign w:val="superscript"/>
        </w:rPr>
        <w:t>o</w:t>
      </w:r>
      <w:r w:rsidRPr="0099747D">
        <w:rPr>
          <w:b/>
        </w:rPr>
        <w:t xml:space="preserve"> 30 (2005) concernant la discrimination </w:t>
      </w:r>
      <w:r w:rsidR="00512F1A">
        <w:rPr>
          <w:b/>
        </w:rPr>
        <w:t>à l’égard des</w:t>
      </w:r>
      <w:r w:rsidRPr="0099747D">
        <w:rPr>
          <w:b/>
        </w:rPr>
        <w:t xml:space="preserve"> non-ressortissants, l</w:t>
      </w:r>
      <w:r>
        <w:rPr>
          <w:b/>
        </w:rPr>
        <w:t>’</w:t>
      </w:r>
      <w:r w:rsidRPr="0099747D">
        <w:rPr>
          <w:b/>
        </w:rPr>
        <w:t>État partie devrait continuer à prendre des mesures en vue d</w:t>
      </w:r>
      <w:r>
        <w:rPr>
          <w:b/>
        </w:rPr>
        <w:t>’</w:t>
      </w:r>
      <w:r w:rsidRPr="0099747D">
        <w:rPr>
          <w:b/>
        </w:rPr>
        <w:t>éliminer la discrimination à l</w:t>
      </w:r>
      <w:r>
        <w:rPr>
          <w:b/>
        </w:rPr>
        <w:t>’</w:t>
      </w:r>
      <w:r w:rsidR="00D036EF">
        <w:rPr>
          <w:b/>
        </w:rPr>
        <w:t xml:space="preserve">encontre des </w:t>
      </w:r>
      <w:proofErr w:type="spellStart"/>
      <w:r w:rsidR="00D036EF">
        <w:rPr>
          <w:b/>
        </w:rPr>
        <w:t>non</w:t>
      </w:r>
      <w:r w:rsidR="00D036EF">
        <w:rPr>
          <w:b/>
        </w:rPr>
        <w:noBreakHyphen/>
      </w:r>
      <w:r w:rsidRPr="0099747D">
        <w:rPr>
          <w:b/>
        </w:rPr>
        <w:t>ressortissants</w:t>
      </w:r>
      <w:proofErr w:type="spellEnd"/>
      <w:r w:rsidRPr="0099747D">
        <w:rPr>
          <w:b/>
        </w:rPr>
        <w:t xml:space="preserve"> dans le domaine des conditions de travail et </w:t>
      </w:r>
      <w:r>
        <w:rPr>
          <w:b/>
        </w:rPr>
        <w:t>d</w:t>
      </w:r>
      <w:r w:rsidRPr="0099747D">
        <w:rPr>
          <w:b/>
        </w:rPr>
        <w:t>es exigences professionnelles, en ce qui concerne notamment les règles et pratiques relatives à l</w:t>
      </w:r>
      <w:r>
        <w:rPr>
          <w:b/>
        </w:rPr>
        <w:t>’</w:t>
      </w:r>
      <w:r w:rsidRPr="0099747D">
        <w:rPr>
          <w:b/>
        </w:rPr>
        <w:t xml:space="preserve">emploi </w:t>
      </w:r>
      <w:r w:rsidR="00512F1A">
        <w:rPr>
          <w:b/>
        </w:rPr>
        <w:t>qui ont des effets discriminatoires</w:t>
      </w:r>
      <w:r w:rsidRPr="0099747D">
        <w:rPr>
          <w:b/>
        </w:rPr>
        <w:t>.</w:t>
      </w:r>
    </w:p>
    <w:p w:rsidR="00751FC8" w:rsidRPr="0099747D" w:rsidRDefault="00751FC8" w:rsidP="00751FC8">
      <w:pPr>
        <w:pStyle w:val="SingleTxtG"/>
        <w:rPr>
          <w:b/>
        </w:rPr>
      </w:pPr>
      <w:r w:rsidRPr="0099747D">
        <w:rPr>
          <w:b/>
        </w:rPr>
        <w:t>Le Comité recommande à l</w:t>
      </w:r>
      <w:r>
        <w:rPr>
          <w:b/>
        </w:rPr>
        <w:t>’</w:t>
      </w:r>
      <w:r w:rsidRPr="0099747D">
        <w:rPr>
          <w:b/>
        </w:rPr>
        <w:t>État partie d</w:t>
      </w:r>
      <w:r>
        <w:rPr>
          <w:b/>
        </w:rPr>
        <w:t>’</w:t>
      </w:r>
      <w:r w:rsidRPr="0099747D">
        <w:rPr>
          <w:b/>
        </w:rPr>
        <w:t>envisager de ratifier la Convention internationale de 1990 sur la protection des droits de tous les travailleurs migrants et des membres de leur famille, la Convention de 1951 relative au statut des réfugiés et le Protocole de 1967 s</w:t>
      </w:r>
      <w:r>
        <w:rPr>
          <w:b/>
        </w:rPr>
        <w:t>’</w:t>
      </w:r>
      <w:r w:rsidRPr="0099747D">
        <w:rPr>
          <w:b/>
        </w:rPr>
        <w:t>y rapportant, la Convention de 1954 relative au statut des apatrides et la Convention de 1961 sur la réduction des cas d</w:t>
      </w:r>
      <w:r>
        <w:rPr>
          <w:b/>
        </w:rPr>
        <w:t>’</w:t>
      </w:r>
      <w:r w:rsidRPr="0099747D">
        <w:rPr>
          <w:b/>
        </w:rPr>
        <w:t>apatridie.</w:t>
      </w:r>
    </w:p>
    <w:p w:rsidR="00751FC8" w:rsidRPr="0099747D" w:rsidRDefault="00751FC8" w:rsidP="006A0533">
      <w:pPr>
        <w:pStyle w:val="SingleTxtG"/>
        <w:keepLines/>
      </w:pPr>
      <w:r w:rsidRPr="0099747D">
        <w:t>12.</w:t>
      </w:r>
      <w:r w:rsidRPr="0099747D">
        <w:tab/>
        <w:t xml:space="preserve">Le Comité constate avec préoccupation que les Maldives sont un pays de destination possible pour les travailleurs migrants victimes de la traite sur le marché du travail et les femmes victimes de la traite </w:t>
      </w:r>
      <w:r>
        <w:t>liée à l’</w:t>
      </w:r>
      <w:r w:rsidRPr="0099747D">
        <w:t xml:space="preserve">exploitation sexuelle </w:t>
      </w:r>
      <w:r>
        <w:t xml:space="preserve">à des fins commerciales </w:t>
      </w:r>
      <w:r w:rsidRPr="0099747D">
        <w:t>(art. 2, 5 et 6).</w:t>
      </w:r>
    </w:p>
    <w:p w:rsidR="00751FC8" w:rsidRPr="0099747D" w:rsidRDefault="00751FC8" w:rsidP="00751FC8">
      <w:pPr>
        <w:pStyle w:val="SingleTxtG"/>
        <w:rPr>
          <w:b/>
        </w:rPr>
      </w:pPr>
      <w:r w:rsidRPr="0099747D">
        <w:rPr>
          <w:b/>
        </w:rPr>
        <w:t>Le Comité recommande à l</w:t>
      </w:r>
      <w:r>
        <w:rPr>
          <w:b/>
        </w:rPr>
        <w:t>’</w:t>
      </w:r>
      <w:r w:rsidRPr="0099747D">
        <w:rPr>
          <w:b/>
        </w:rPr>
        <w:t>État partie d</w:t>
      </w:r>
      <w:r>
        <w:rPr>
          <w:b/>
        </w:rPr>
        <w:t>’intensifier</w:t>
      </w:r>
      <w:r w:rsidRPr="0099747D">
        <w:rPr>
          <w:b/>
        </w:rPr>
        <w:t xml:space="preserve"> les efforts qu</w:t>
      </w:r>
      <w:r>
        <w:rPr>
          <w:b/>
        </w:rPr>
        <w:t>’</w:t>
      </w:r>
      <w:r w:rsidRPr="0099747D">
        <w:rPr>
          <w:b/>
        </w:rPr>
        <w:t>il déploie pour prévenir et combattre la traite des êtres humains</w:t>
      </w:r>
      <w:r w:rsidR="004F2ECC">
        <w:rPr>
          <w:b/>
        </w:rPr>
        <w:t>, et l</w:t>
      </w:r>
      <w:r>
        <w:rPr>
          <w:b/>
        </w:rPr>
        <w:t>’</w:t>
      </w:r>
      <w:r w:rsidRPr="0099747D">
        <w:rPr>
          <w:b/>
        </w:rPr>
        <w:t xml:space="preserve">encourage à </w:t>
      </w:r>
      <w:r>
        <w:rPr>
          <w:b/>
        </w:rPr>
        <w:t>adopter</w:t>
      </w:r>
      <w:r w:rsidRPr="0099747D">
        <w:rPr>
          <w:b/>
        </w:rPr>
        <w:t xml:space="preserve"> dans les meilleurs délais l</w:t>
      </w:r>
      <w:r>
        <w:rPr>
          <w:b/>
        </w:rPr>
        <w:t>e projet de</w:t>
      </w:r>
      <w:r w:rsidRPr="0099747D">
        <w:rPr>
          <w:b/>
        </w:rPr>
        <w:t xml:space="preserve"> loi antitraite en cours d</w:t>
      </w:r>
      <w:r>
        <w:rPr>
          <w:b/>
        </w:rPr>
        <w:t>’</w:t>
      </w:r>
      <w:r w:rsidRPr="0099747D">
        <w:rPr>
          <w:b/>
        </w:rPr>
        <w:t>élaboration et de faire figurer dans son prochain rapport périodique des informations sur tout progrès réalisé dans ce domaine.</w:t>
      </w:r>
    </w:p>
    <w:p w:rsidR="00751FC8" w:rsidRPr="0099747D" w:rsidRDefault="00751FC8" w:rsidP="00751FC8">
      <w:pPr>
        <w:pStyle w:val="SingleTxtG"/>
        <w:rPr>
          <w:b/>
        </w:rPr>
      </w:pPr>
      <w:r w:rsidRPr="0099747D">
        <w:rPr>
          <w:b/>
        </w:rPr>
        <w:t>Le Comité recommande également à l</w:t>
      </w:r>
      <w:r>
        <w:rPr>
          <w:b/>
        </w:rPr>
        <w:t>’</w:t>
      </w:r>
      <w:r w:rsidRPr="0099747D">
        <w:rPr>
          <w:b/>
        </w:rPr>
        <w:t>État partie d</w:t>
      </w:r>
      <w:r>
        <w:rPr>
          <w:b/>
        </w:rPr>
        <w:t>’</w:t>
      </w:r>
      <w:r w:rsidRPr="0099747D">
        <w:rPr>
          <w:b/>
        </w:rPr>
        <w:t>envisager de ratifier le Protocole additionnel de 2000 à la Convention des Nations Unies contre la criminalité transnationale organisée</w:t>
      </w:r>
      <w:r w:rsidR="004F2ECC">
        <w:rPr>
          <w:b/>
        </w:rPr>
        <w:t>,</w:t>
      </w:r>
      <w:r w:rsidRPr="0099747D">
        <w:rPr>
          <w:b/>
        </w:rPr>
        <w:t xml:space="preserve"> visant à prévenir, réprimer et punir la traite des personnes, en particulier des femmes et des enfants</w:t>
      </w:r>
      <w:r>
        <w:rPr>
          <w:b/>
        </w:rPr>
        <w:t>.</w:t>
      </w:r>
    </w:p>
    <w:p w:rsidR="00751FC8" w:rsidRPr="0099747D" w:rsidRDefault="00751FC8" w:rsidP="00751FC8">
      <w:pPr>
        <w:pStyle w:val="SingleTxtG"/>
      </w:pPr>
      <w:r w:rsidRPr="0099747D">
        <w:t>13.</w:t>
      </w:r>
      <w:r w:rsidRPr="0099747D">
        <w:tab/>
        <w:t>Le Comité est préoccupé par les limitations</w:t>
      </w:r>
      <w:r>
        <w:t xml:space="preserve"> actuelles</w:t>
      </w:r>
      <w:r w:rsidRPr="0099747D">
        <w:t>, en vertu desquelles les travailleurs migrants et d</w:t>
      </w:r>
      <w:r>
        <w:t>’</w:t>
      </w:r>
      <w:r w:rsidRPr="0099747D">
        <w:t>autres étrangers ne peuvent exercer leur droit de manifester leur religion ou leur croyance qu</w:t>
      </w:r>
      <w:r>
        <w:t>’</w:t>
      </w:r>
      <w:r w:rsidRPr="0099747D">
        <w:t>en privé (art. 2, 5 et 7).</w:t>
      </w:r>
    </w:p>
    <w:p w:rsidR="00751FC8" w:rsidRPr="004B20E5" w:rsidRDefault="00751FC8" w:rsidP="00751FC8">
      <w:pPr>
        <w:pStyle w:val="SingleTxtG"/>
        <w:rPr>
          <w:b/>
        </w:rPr>
      </w:pPr>
      <w:r w:rsidRPr="004B20E5">
        <w:rPr>
          <w:b/>
        </w:rPr>
        <w:t>Le Comité recommande à l</w:t>
      </w:r>
      <w:r>
        <w:rPr>
          <w:b/>
        </w:rPr>
        <w:t>’</w:t>
      </w:r>
      <w:r w:rsidR="004F2ECC">
        <w:rPr>
          <w:b/>
        </w:rPr>
        <w:t>État partie de mettre en place d</w:t>
      </w:r>
      <w:r w:rsidRPr="004B20E5">
        <w:rPr>
          <w:b/>
        </w:rPr>
        <w:t>es moyens de promouvoir la compréhension mutuelle, la tolérance et le dialogue interreligieux dans la société maldivienne pour lutter contre l</w:t>
      </w:r>
      <w:r>
        <w:rPr>
          <w:b/>
        </w:rPr>
        <w:t>’</w:t>
      </w:r>
      <w:r w:rsidRPr="004B20E5">
        <w:rPr>
          <w:b/>
        </w:rPr>
        <w:t>extrémisme religieux et accroître la diversité culturelle.</w:t>
      </w:r>
    </w:p>
    <w:p w:rsidR="00751FC8" w:rsidRPr="00922068" w:rsidRDefault="00751FC8" w:rsidP="00751FC8">
      <w:pPr>
        <w:pStyle w:val="SingleTxtG"/>
      </w:pPr>
      <w:r w:rsidRPr="00922068">
        <w:t>14.</w:t>
      </w:r>
      <w:r w:rsidRPr="00922068">
        <w:tab/>
        <w:t xml:space="preserve">Compte tenu </w:t>
      </w:r>
      <w:r w:rsidR="004F2ECC">
        <w:t>du caractère indivisible</w:t>
      </w:r>
      <w:r w:rsidRPr="00922068">
        <w:t xml:space="preserve"> de tous les droits de l</w:t>
      </w:r>
      <w:r>
        <w:t>’</w:t>
      </w:r>
      <w:r w:rsidRPr="00922068">
        <w:t>homme, le Comité encourage l</w:t>
      </w:r>
      <w:r>
        <w:t>’</w:t>
      </w:r>
      <w:r w:rsidRPr="00922068">
        <w:t>État partie à envisager de ratifier les instruments internationaux relatifs aux droits de l</w:t>
      </w:r>
      <w:r>
        <w:t>’</w:t>
      </w:r>
      <w:r w:rsidRPr="00922068">
        <w:t>homme qui ne l</w:t>
      </w:r>
      <w:r>
        <w:t>’</w:t>
      </w:r>
      <w:r w:rsidRPr="00922068">
        <w:t>ont pas encore été, en particulier ceux dont les dispositions se rapportent directement à la question de la discrimination raciale.</w:t>
      </w:r>
    </w:p>
    <w:p w:rsidR="00751FC8" w:rsidRPr="00922068" w:rsidRDefault="004F2ECC" w:rsidP="00751FC8">
      <w:pPr>
        <w:pStyle w:val="SingleTxtG"/>
      </w:pPr>
      <w:r>
        <w:t>15.</w:t>
      </w:r>
      <w:r>
        <w:tab/>
        <w:t>À la lumière de sa R</w:t>
      </w:r>
      <w:r w:rsidR="00751FC8" w:rsidRPr="00922068">
        <w:t>ecommandation générale n</w:t>
      </w:r>
      <w:r w:rsidR="00751FC8" w:rsidRPr="00922068">
        <w:rPr>
          <w:vertAlign w:val="superscript"/>
        </w:rPr>
        <w:t>o</w:t>
      </w:r>
      <w:r w:rsidR="00751FC8" w:rsidRPr="00922068">
        <w:t> 33 (2009) concernant le suivi de la Conférence d</w:t>
      </w:r>
      <w:r w:rsidR="00751FC8">
        <w:t>’</w:t>
      </w:r>
      <w:r w:rsidR="00751FC8" w:rsidRPr="00922068">
        <w:t>examen de Durban, le Comité recommande à l</w:t>
      </w:r>
      <w:r w:rsidR="00751FC8">
        <w:t>’</w:t>
      </w:r>
      <w:r w:rsidR="00751FC8" w:rsidRPr="00922068">
        <w:t xml:space="preserve">État partie de donner effet à la </w:t>
      </w:r>
      <w:r w:rsidR="00751FC8">
        <w:t>D</w:t>
      </w:r>
      <w:r w:rsidR="00751FC8" w:rsidRPr="00922068">
        <w:t xml:space="preserve">éclaration et au </w:t>
      </w:r>
      <w:r w:rsidR="00751FC8">
        <w:t>P</w:t>
      </w:r>
      <w:r w:rsidR="00751FC8" w:rsidRPr="00922068">
        <w:t>rogramme d</w:t>
      </w:r>
      <w:r w:rsidR="00751FC8">
        <w:t>’</w:t>
      </w:r>
      <w:r w:rsidR="00751FC8" w:rsidRPr="00922068">
        <w:t>action de Durban adopté</w:t>
      </w:r>
      <w:r w:rsidR="00751FC8">
        <w:t>s</w:t>
      </w:r>
      <w:r w:rsidR="00751FC8" w:rsidRPr="00922068">
        <w:t xml:space="preserve"> en septembre 2001 par la Conférence mondiale contre le racisme, la discrimination raciale, la xénophobie et l</w:t>
      </w:r>
      <w:r w:rsidR="00751FC8">
        <w:t>’</w:t>
      </w:r>
      <w:r w:rsidR="00751FC8" w:rsidRPr="00922068">
        <w:t>intolérance qui y est associée, en tenant compte du document final de la Conférence d</w:t>
      </w:r>
      <w:r w:rsidR="00751FC8">
        <w:t>’</w:t>
      </w:r>
      <w:r w:rsidR="00751FC8" w:rsidRPr="00922068">
        <w:t>examen de Durban tenue à Genève en avril 2009, lorsqu</w:t>
      </w:r>
      <w:r w:rsidR="00751FC8">
        <w:t>’</w:t>
      </w:r>
      <w:r w:rsidR="00751FC8" w:rsidRPr="00922068">
        <w:t>il applique la Convention dans son ordre juridique interne. Il prie l</w:t>
      </w:r>
      <w:r w:rsidR="00751FC8">
        <w:t>’</w:t>
      </w:r>
      <w:r w:rsidR="00751FC8" w:rsidRPr="00922068">
        <w:t>État partie d</w:t>
      </w:r>
      <w:r w:rsidR="00751FC8">
        <w:t>’</w:t>
      </w:r>
      <w:r w:rsidR="00751FC8" w:rsidRPr="00922068">
        <w:t>inclure dans son prochain rapport périodique des informations</w:t>
      </w:r>
      <w:r w:rsidR="00751FC8">
        <w:t xml:space="preserve"> </w:t>
      </w:r>
      <w:r w:rsidR="00751FC8" w:rsidRPr="00922068">
        <w:t>sur les plans d</w:t>
      </w:r>
      <w:r w:rsidR="00751FC8">
        <w:t>’</w:t>
      </w:r>
      <w:r w:rsidR="00751FC8" w:rsidRPr="00922068">
        <w:t xml:space="preserve">action </w:t>
      </w:r>
      <w:r w:rsidR="00751FC8">
        <w:t>et</w:t>
      </w:r>
      <w:r w:rsidR="00751FC8" w:rsidRPr="00922068">
        <w:t xml:space="preserve"> autres mesures prises pour appliquer la </w:t>
      </w:r>
      <w:r w:rsidR="00751FC8">
        <w:t>D</w:t>
      </w:r>
      <w:r w:rsidR="00751FC8" w:rsidRPr="00922068">
        <w:t xml:space="preserve">éclaration et le </w:t>
      </w:r>
      <w:r w:rsidR="00751FC8">
        <w:t>P</w:t>
      </w:r>
      <w:r w:rsidR="00751FC8" w:rsidRPr="00922068">
        <w:t>rogramme d</w:t>
      </w:r>
      <w:r w:rsidR="00751FC8">
        <w:t>’</w:t>
      </w:r>
      <w:r w:rsidR="00751FC8" w:rsidRPr="00922068">
        <w:t>action de Durban au niveau national.</w:t>
      </w:r>
    </w:p>
    <w:p w:rsidR="00751FC8" w:rsidRPr="00922068" w:rsidRDefault="00751FC8" w:rsidP="00751FC8">
      <w:pPr>
        <w:pStyle w:val="SingleTxtG"/>
      </w:pPr>
      <w:r w:rsidRPr="00922068">
        <w:t>16.</w:t>
      </w:r>
      <w:r w:rsidRPr="00922068">
        <w:tab/>
        <w:t>Le Comité recommande à l</w:t>
      </w:r>
      <w:r>
        <w:t>’</w:t>
      </w:r>
      <w:r w:rsidRPr="00922068">
        <w:t>État partie de mettre en place et de faire connaître un programme d</w:t>
      </w:r>
      <w:r>
        <w:t>’</w:t>
      </w:r>
      <w:r w:rsidRPr="00922068">
        <w:t>activités approprié pour célébrer l</w:t>
      </w:r>
      <w:r>
        <w:t>’</w:t>
      </w:r>
      <w:r w:rsidRPr="00922068">
        <w:t xml:space="preserve">année 2011, proclamée </w:t>
      </w:r>
      <w:r>
        <w:t>A</w:t>
      </w:r>
      <w:r w:rsidRPr="00922068">
        <w:t>nnée internationale des personnes d</w:t>
      </w:r>
      <w:r>
        <w:t>’</w:t>
      </w:r>
      <w:r w:rsidRPr="00922068">
        <w:t>ascendance africaine par l</w:t>
      </w:r>
      <w:r>
        <w:t>’</w:t>
      </w:r>
      <w:r w:rsidRPr="00922068">
        <w:t xml:space="preserve">Assemblée générale </w:t>
      </w:r>
      <w:r w:rsidR="00C11AC4">
        <w:t>dans sa résolution</w:t>
      </w:r>
      <w:r>
        <w:t xml:space="preserve"> </w:t>
      </w:r>
      <w:r w:rsidR="00C11AC4">
        <w:t>64/169</w:t>
      </w:r>
      <w:r w:rsidRPr="00922068">
        <w:t>.</w:t>
      </w:r>
    </w:p>
    <w:p w:rsidR="00751FC8" w:rsidRPr="00922068" w:rsidRDefault="00751FC8" w:rsidP="00751FC8">
      <w:pPr>
        <w:pStyle w:val="SingleTxtG"/>
      </w:pPr>
      <w:r w:rsidRPr="00922068">
        <w:t>17.</w:t>
      </w:r>
      <w:r w:rsidRPr="00922068">
        <w:tab/>
        <w:t>Le Comité recommande à l</w:t>
      </w:r>
      <w:r>
        <w:t>’</w:t>
      </w:r>
      <w:r w:rsidRPr="00922068">
        <w:t>État partie</w:t>
      </w:r>
      <w:r>
        <w:t xml:space="preserve">, </w:t>
      </w:r>
      <w:r w:rsidR="00C11AC4">
        <w:t>lors de l’élaboration</w:t>
      </w:r>
      <w:r w:rsidRPr="00CD758F">
        <w:t xml:space="preserve"> de son prochain rapport périodique</w:t>
      </w:r>
      <w:r>
        <w:t xml:space="preserve">, </w:t>
      </w:r>
      <w:r w:rsidRPr="00922068">
        <w:t>de poursuivre le dialogue avec la Commission des droits de l</w:t>
      </w:r>
      <w:r>
        <w:t>’</w:t>
      </w:r>
      <w:r w:rsidRPr="00922068">
        <w:t>homme</w:t>
      </w:r>
      <w:r>
        <w:t xml:space="preserve"> des Maldives</w:t>
      </w:r>
      <w:r w:rsidRPr="00922068">
        <w:t xml:space="preserve"> et de collaborer avec les organisations de la société civile œuvrant dans le domaine de la protection des droits de l</w:t>
      </w:r>
      <w:r>
        <w:t>’</w:t>
      </w:r>
      <w:r w:rsidRPr="00922068">
        <w:t>homme,</w:t>
      </w:r>
      <w:r>
        <w:t xml:space="preserve"> et</w:t>
      </w:r>
      <w:r w:rsidRPr="00922068">
        <w:t xml:space="preserve"> notamment</w:t>
      </w:r>
      <w:r>
        <w:t xml:space="preserve"> de la lutte</w:t>
      </w:r>
      <w:r w:rsidRPr="00922068">
        <w:t xml:space="preserve"> contre la discrimination raciale</w:t>
      </w:r>
      <w:r>
        <w:t>.</w:t>
      </w:r>
    </w:p>
    <w:p w:rsidR="00751FC8" w:rsidRPr="00922068" w:rsidRDefault="00751FC8" w:rsidP="00751FC8">
      <w:pPr>
        <w:pStyle w:val="SingleTxtG"/>
      </w:pPr>
      <w:r w:rsidRPr="00922068">
        <w:t>18.</w:t>
      </w:r>
      <w:r w:rsidRPr="00922068">
        <w:tab/>
        <w:t>Le Comité encourage l</w:t>
      </w:r>
      <w:r>
        <w:t>’</w:t>
      </w:r>
      <w:r w:rsidRPr="00922068">
        <w:t>État partie à faire la déclaration facultative prévue à l</w:t>
      </w:r>
      <w:r>
        <w:t>’</w:t>
      </w:r>
      <w:r w:rsidRPr="00922068">
        <w:t>article 14 de la Convention, reconnaissant la compétence du Comité pour recevoir et examiner des plaintes individuelles.</w:t>
      </w:r>
    </w:p>
    <w:p w:rsidR="00751FC8" w:rsidRPr="00922068" w:rsidRDefault="00751FC8" w:rsidP="00751FC8">
      <w:pPr>
        <w:pStyle w:val="SingleTxtG"/>
      </w:pPr>
      <w:r w:rsidRPr="00922068">
        <w:t>19.</w:t>
      </w:r>
      <w:r w:rsidRPr="00922068">
        <w:tab/>
        <w:t>Le Comité recommande à l</w:t>
      </w:r>
      <w:r>
        <w:t>’</w:t>
      </w:r>
      <w:r w:rsidRPr="00922068">
        <w:t>État partie de ratifier les amendements au paragraphe 6 de l</w:t>
      </w:r>
      <w:r>
        <w:t>’</w:t>
      </w:r>
      <w:r w:rsidRPr="00922068">
        <w:t>article 8 de la Convention</w:t>
      </w:r>
      <w:r>
        <w:t>,</w:t>
      </w:r>
      <w:r w:rsidR="00C11AC4">
        <w:t xml:space="preserve"> adoptés</w:t>
      </w:r>
      <w:r w:rsidRPr="00922068">
        <w:t xml:space="preserve"> le 15</w:t>
      </w:r>
      <w:r w:rsidR="00C11AC4">
        <w:t> janvier 1992 à la quatorzième R</w:t>
      </w:r>
      <w:r w:rsidRPr="00922068">
        <w:t>éunion des États part</w:t>
      </w:r>
      <w:r w:rsidR="0076567C">
        <w:t>ies à la Convention et approuvés</w:t>
      </w:r>
      <w:r w:rsidRPr="00922068">
        <w:t xml:space="preserve"> par l</w:t>
      </w:r>
      <w:r>
        <w:t>’</w:t>
      </w:r>
      <w:r w:rsidRPr="00922068">
        <w:t>Assemblée générale dans sa résolution 47/111. À cet égard, le Comité rappelle les résolutions 61/148, 63/243 et 65/200</w:t>
      </w:r>
      <w:r>
        <w:t>,</w:t>
      </w:r>
      <w:r w:rsidRPr="00922068">
        <w:t xml:space="preserve"> dans lesquelles l</w:t>
      </w:r>
      <w:r>
        <w:t>’</w:t>
      </w:r>
      <w:r w:rsidRPr="00922068">
        <w:t xml:space="preserve">Assemblée générale a demandé instamment aux États parties </w:t>
      </w:r>
      <w:r w:rsidR="0076567C">
        <w:t>d’accélérer</w:t>
      </w:r>
      <w:r w:rsidRPr="00922068">
        <w:t xml:space="preserve"> leurs procédures internes de ratification de l</w:t>
      </w:r>
      <w:r>
        <w:t>’</w:t>
      </w:r>
      <w:r w:rsidRPr="00922068">
        <w:t>amendement à la Convention concernant le financement du Comité et d</w:t>
      </w:r>
      <w:r>
        <w:t>’</w:t>
      </w:r>
      <w:r w:rsidRPr="00922068">
        <w:t xml:space="preserve">informer par écrit le Secrétaire général dans les meilleurs délais de leur acceptation de cet amendement. </w:t>
      </w:r>
    </w:p>
    <w:p w:rsidR="00751FC8" w:rsidRPr="00922068" w:rsidRDefault="00751FC8" w:rsidP="00751FC8">
      <w:pPr>
        <w:pStyle w:val="SingleTxtG"/>
      </w:pPr>
      <w:r w:rsidRPr="00922068">
        <w:t>20.</w:t>
      </w:r>
      <w:r w:rsidRPr="00922068">
        <w:tab/>
        <w:t>Le Comité recommande à l</w:t>
      </w:r>
      <w:r>
        <w:t>’</w:t>
      </w:r>
      <w:r w:rsidRPr="00922068">
        <w:t>État partie de faire en sorte que ces rapports soient facilement accessibles au public au moment de leur soumission et que les observations du Comité s</w:t>
      </w:r>
      <w:r>
        <w:t>’</w:t>
      </w:r>
      <w:r w:rsidRPr="00922068">
        <w:t>y rapportant soient également diffusées dans la langue officielle de l</w:t>
      </w:r>
      <w:r>
        <w:t>’</w:t>
      </w:r>
      <w:r w:rsidRPr="00922068">
        <w:t>État et les autres langues communément utilisées</w:t>
      </w:r>
      <w:r w:rsidR="0076567C">
        <w:t>,</w:t>
      </w:r>
      <w:r w:rsidRPr="00922068">
        <w:t xml:space="preserve"> selon qu</w:t>
      </w:r>
      <w:r>
        <w:t>’</w:t>
      </w:r>
      <w:r w:rsidRPr="00922068">
        <w:t xml:space="preserve">il convient. </w:t>
      </w:r>
    </w:p>
    <w:p w:rsidR="00751FC8" w:rsidRPr="00922068" w:rsidRDefault="00751FC8" w:rsidP="00751FC8">
      <w:pPr>
        <w:pStyle w:val="SingleTxtG"/>
      </w:pPr>
      <w:r w:rsidRPr="00922068">
        <w:t>21.</w:t>
      </w:r>
      <w:r w:rsidRPr="00922068">
        <w:tab/>
        <w:t>Conformément au paragraphe 1 de l</w:t>
      </w:r>
      <w:r>
        <w:t>’</w:t>
      </w:r>
      <w:r w:rsidRPr="00922068">
        <w:t>article 9 de la Convention et à l</w:t>
      </w:r>
      <w:r>
        <w:t>’</w:t>
      </w:r>
      <w:r w:rsidRPr="00922068">
        <w:t>article 65 de son Règlement intérieur révisé, le Comité demande à l</w:t>
      </w:r>
      <w:r>
        <w:t>’</w:t>
      </w:r>
      <w:r w:rsidRPr="00922068">
        <w:t>État partie de lui communiquer, dans un délai d</w:t>
      </w:r>
      <w:r>
        <w:t>’</w:t>
      </w:r>
      <w:r w:rsidRPr="00922068">
        <w:t>un an à compter de l</w:t>
      </w:r>
      <w:r>
        <w:t>’</w:t>
      </w:r>
      <w:r w:rsidRPr="00922068">
        <w:t>adoption des présentes observations finales, des informations sur la suite qu</w:t>
      </w:r>
      <w:r>
        <w:t>’</w:t>
      </w:r>
      <w:r w:rsidRPr="00922068">
        <w:t xml:space="preserve">il </w:t>
      </w:r>
      <w:r>
        <w:t xml:space="preserve">aura </w:t>
      </w:r>
      <w:r w:rsidRPr="00922068">
        <w:t>donnée aux recommandations figurant au</w:t>
      </w:r>
      <w:r>
        <w:t>x paragraphes 8 et 12 ci-dessus.</w:t>
      </w:r>
    </w:p>
    <w:p w:rsidR="00751FC8" w:rsidRPr="00922068" w:rsidRDefault="00751FC8" w:rsidP="00751FC8">
      <w:pPr>
        <w:pStyle w:val="SingleTxtG"/>
      </w:pPr>
      <w:r w:rsidRPr="00922068">
        <w:t>22.</w:t>
      </w:r>
      <w:r w:rsidRPr="00922068">
        <w:tab/>
        <w:t>Le Comité souhaite aussi appeler l</w:t>
      </w:r>
      <w:r>
        <w:t>’</w:t>
      </w:r>
      <w:r w:rsidRPr="00922068">
        <w:t>attention de l</w:t>
      </w:r>
      <w:r>
        <w:t>’</w:t>
      </w:r>
      <w:r w:rsidRPr="00922068">
        <w:t>État partie sur l</w:t>
      </w:r>
      <w:r>
        <w:t>’</w:t>
      </w:r>
      <w:r w:rsidRPr="00922068">
        <w:t>importance particulière des recommandations 7, 10, 11 et 13 et l</w:t>
      </w:r>
      <w:r>
        <w:t>’</w:t>
      </w:r>
      <w:r w:rsidRPr="00922068">
        <w:t>invite à fournir des informations détaillées dans son prochain rapport périodique sur les mesures concrètes qu</w:t>
      </w:r>
      <w:r>
        <w:t>’</w:t>
      </w:r>
      <w:r w:rsidRPr="00922068">
        <w:t>il aura prises pour y donner suite.</w:t>
      </w:r>
    </w:p>
    <w:p w:rsidR="00751FC8" w:rsidRDefault="00751FC8" w:rsidP="00751FC8">
      <w:pPr>
        <w:pStyle w:val="SingleTxtG"/>
        <w:rPr>
          <w:b/>
          <w:sz w:val="24"/>
          <w:szCs w:val="24"/>
        </w:rPr>
      </w:pPr>
      <w:r w:rsidRPr="00922068">
        <w:t>23.</w:t>
      </w:r>
      <w:r w:rsidRPr="00922068">
        <w:tab/>
        <w:t>Le Comité recommande à l</w:t>
      </w:r>
      <w:r>
        <w:t>’</w:t>
      </w:r>
      <w:r w:rsidRPr="00922068">
        <w:t xml:space="preserve">État partie de présenter ses </w:t>
      </w:r>
      <w:r>
        <w:t>treizième à quinzième</w:t>
      </w:r>
      <w:r w:rsidRPr="00922068">
        <w:t xml:space="preserve"> rapports périodiques en un seul document d</w:t>
      </w:r>
      <w:r>
        <w:t>’</w:t>
      </w:r>
      <w:r w:rsidRPr="00922068">
        <w:t xml:space="preserve">ici </w:t>
      </w:r>
      <w:r w:rsidR="0076567C">
        <w:t>au</w:t>
      </w:r>
      <w:r>
        <w:t xml:space="preserve"> 24 </w:t>
      </w:r>
      <w:r w:rsidR="0076567C">
        <w:t>m</w:t>
      </w:r>
      <w:r>
        <w:t>ai 2015</w:t>
      </w:r>
      <w:r w:rsidRPr="00922068">
        <w:t>, en tenant compte des directives concernant l</w:t>
      </w:r>
      <w:r>
        <w:t>’</w:t>
      </w:r>
      <w:r w:rsidRPr="00922068">
        <w:t>élaboration des documents propres au Comité pour l</w:t>
      </w:r>
      <w:r>
        <w:t>’</w:t>
      </w:r>
      <w:r w:rsidRPr="00922068">
        <w:t>élimination de la discrimination raciale qu</w:t>
      </w:r>
      <w:r>
        <w:t>’</w:t>
      </w:r>
      <w:r w:rsidR="00D036EF">
        <w:t xml:space="preserve">il a adoptées à sa soixante et </w:t>
      </w:r>
      <w:r w:rsidRPr="00922068">
        <w:t xml:space="preserve">onzième session (CERD/C/2007/1) et </w:t>
      </w:r>
      <w:r w:rsidR="0076567C">
        <w:t>en traitant</w:t>
      </w:r>
      <w:r w:rsidRPr="00922068">
        <w:t xml:space="preserve"> tous les points soulevés dans les présentes observations finales. Le Comité l</w:t>
      </w:r>
      <w:r>
        <w:t>’</w:t>
      </w:r>
      <w:r w:rsidRPr="00922068">
        <w:t xml:space="preserve">engage également à respecter la limite de </w:t>
      </w:r>
      <w:r>
        <w:t>40</w:t>
      </w:r>
      <w:r w:rsidRPr="00922068">
        <w:t xml:space="preserve"> pages fixée pour les rapports présentés au titre d</w:t>
      </w:r>
      <w:r>
        <w:t>’</w:t>
      </w:r>
      <w:r w:rsidRPr="00922068">
        <w:t xml:space="preserve">un instrument et la limite de </w:t>
      </w:r>
      <w:r>
        <w:t>60</w:t>
      </w:r>
      <w:r w:rsidRPr="00922068">
        <w:t xml:space="preserve"> à </w:t>
      </w:r>
      <w:r>
        <w:t>80</w:t>
      </w:r>
      <w:r w:rsidRPr="00922068">
        <w:t xml:space="preserve"> pages pour le document de base </w:t>
      </w:r>
      <w:r w:rsidR="0076567C">
        <w:t xml:space="preserve">commun </w:t>
      </w:r>
      <w:r w:rsidRPr="00922068">
        <w:t>(voir les directives harmonisées figurant dans le document HRI/GEN.2/Rev.6, par. 19).</w:t>
      </w:r>
    </w:p>
    <w:p w:rsidR="00751FC8" w:rsidRPr="001B67BC" w:rsidRDefault="001B67BC" w:rsidP="001B67BC">
      <w:pPr>
        <w:pStyle w:val="SingleTxtG"/>
        <w:spacing w:before="240" w:after="0"/>
        <w:jc w:val="center"/>
        <w:rPr>
          <w:u w:val="single"/>
        </w:rPr>
      </w:pPr>
      <w:r>
        <w:rPr>
          <w:u w:val="single"/>
        </w:rPr>
        <w:tab/>
      </w:r>
      <w:r>
        <w:rPr>
          <w:u w:val="single"/>
        </w:rPr>
        <w:tab/>
      </w:r>
      <w:r>
        <w:rPr>
          <w:u w:val="single"/>
        </w:rPr>
        <w:tab/>
      </w:r>
    </w:p>
    <w:sectPr w:rsidR="00751FC8" w:rsidRPr="001B67BC" w:rsidSect="00751FC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53" w:rsidRDefault="00970653"/>
  </w:endnote>
  <w:endnote w:type="continuationSeparator" w:id="0">
    <w:p w:rsidR="00970653" w:rsidRDefault="00970653"/>
  </w:endnote>
  <w:endnote w:type="continuationNotice" w:id="1">
    <w:p w:rsidR="00970653" w:rsidRDefault="009706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8" w:rsidRPr="00751FC8" w:rsidRDefault="00751FC8" w:rsidP="00751FC8">
    <w:pPr>
      <w:pStyle w:val="Footer"/>
      <w:tabs>
        <w:tab w:val="right" w:pos="9638"/>
      </w:tabs>
    </w:pPr>
    <w:r w:rsidRPr="00751FC8">
      <w:rPr>
        <w:b/>
        <w:sz w:val="18"/>
      </w:rPr>
      <w:fldChar w:fldCharType="begin"/>
    </w:r>
    <w:r w:rsidRPr="00751FC8">
      <w:rPr>
        <w:b/>
        <w:sz w:val="18"/>
      </w:rPr>
      <w:instrText xml:space="preserve"> PAGE  \* MERGEFORMAT </w:instrText>
    </w:r>
    <w:r w:rsidRPr="00751FC8">
      <w:rPr>
        <w:b/>
        <w:sz w:val="18"/>
      </w:rPr>
      <w:fldChar w:fldCharType="separate"/>
    </w:r>
    <w:r w:rsidR="009546F5">
      <w:rPr>
        <w:b/>
        <w:noProof/>
        <w:sz w:val="18"/>
      </w:rPr>
      <w:t>2</w:t>
    </w:r>
    <w:r w:rsidRPr="00751FC8">
      <w:rPr>
        <w:b/>
        <w:sz w:val="18"/>
      </w:rPr>
      <w:fldChar w:fldCharType="end"/>
    </w:r>
    <w:r>
      <w:rPr>
        <w:b/>
        <w:sz w:val="18"/>
      </w:rPr>
      <w:tab/>
    </w:r>
    <w:r>
      <w:t>GE.11-45511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8" w:rsidRPr="00751FC8" w:rsidRDefault="00751FC8" w:rsidP="00751FC8">
    <w:pPr>
      <w:pStyle w:val="Footer"/>
      <w:tabs>
        <w:tab w:val="right" w:pos="9638"/>
      </w:tabs>
      <w:rPr>
        <w:b/>
        <w:sz w:val="18"/>
      </w:rPr>
    </w:pPr>
    <w:r>
      <w:t>GE.11-45511</w:t>
    </w:r>
    <w:r>
      <w:tab/>
    </w:r>
    <w:r w:rsidRPr="00751FC8">
      <w:rPr>
        <w:b/>
        <w:sz w:val="18"/>
      </w:rPr>
      <w:fldChar w:fldCharType="begin"/>
    </w:r>
    <w:r w:rsidRPr="00751FC8">
      <w:rPr>
        <w:b/>
        <w:sz w:val="18"/>
      </w:rPr>
      <w:instrText xml:space="preserve"> PAGE  \* MERGEFORMAT </w:instrText>
    </w:r>
    <w:r w:rsidRPr="00751FC8">
      <w:rPr>
        <w:b/>
        <w:sz w:val="18"/>
      </w:rPr>
      <w:fldChar w:fldCharType="separate"/>
    </w:r>
    <w:r w:rsidR="008A1A91">
      <w:rPr>
        <w:b/>
        <w:noProof/>
        <w:sz w:val="18"/>
      </w:rPr>
      <w:t>5</w:t>
    </w:r>
    <w:r w:rsidRPr="00751FC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F1" w:rsidRDefault="00751FC8">
    <w:pPr>
      <w:pStyle w:val="Footer"/>
    </w:pPr>
    <w:r>
      <w:rPr>
        <w:sz w:val="20"/>
      </w:rPr>
      <w:t>GE.11-45511</w:t>
    </w:r>
    <w:r w:rsidR="001225F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5F1177">
      <w:rPr>
        <w:sz w:val="20"/>
      </w:rPr>
      <w:t xml:space="preserve">    200911    </w:t>
    </w:r>
    <w:r w:rsidR="008A1A91">
      <w:rPr>
        <w:sz w:val="20"/>
      </w:rPr>
      <w:t>210911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53" w:rsidRPr="00D27D5E" w:rsidRDefault="00970653" w:rsidP="00D27D5E">
      <w:pPr>
        <w:tabs>
          <w:tab w:val="right" w:pos="2155"/>
        </w:tabs>
        <w:spacing w:after="80"/>
        <w:ind w:left="680"/>
        <w:rPr>
          <w:u w:val="single"/>
        </w:rPr>
      </w:pPr>
      <w:r>
        <w:rPr>
          <w:u w:val="single"/>
        </w:rPr>
        <w:tab/>
      </w:r>
    </w:p>
  </w:footnote>
  <w:footnote w:type="continuationSeparator" w:id="0">
    <w:p w:rsidR="00970653" w:rsidRPr="00AA7FE7" w:rsidRDefault="00970653" w:rsidP="00AA7FE7">
      <w:pPr>
        <w:tabs>
          <w:tab w:val="right" w:pos="2155"/>
        </w:tabs>
        <w:spacing w:after="80"/>
        <w:ind w:left="680"/>
        <w:rPr>
          <w:u w:val="single"/>
        </w:rPr>
      </w:pPr>
      <w:r w:rsidRPr="00AA7FE7">
        <w:rPr>
          <w:u w:val="single"/>
        </w:rPr>
        <w:tab/>
      </w:r>
    </w:p>
  </w:footnote>
  <w:footnote w:type="continuationNotice" w:id="1">
    <w:p w:rsidR="00970653" w:rsidRDefault="009706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8" w:rsidRPr="00751FC8" w:rsidRDefault="00751FC8">
    <w:pPr>
      <w:pStyle w:val="Header"/>
    </w:pPr>
    <w:r>
      <w:t>CERD/C/MDV/CO/5-12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8" w:rsidRPr="00751FC8" w:rsidRDefault="00751FC8" w:rsidP="00751FC8">
    <w:pPr>
      <w:pStyle w:val="Header"/>
      <w:jc w:val="right"/>
    </w:pPr>
    <w:r>
      <w:t>CERD/C/MDV/CO/5-12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5F1"/>
    <w:rsid w:val="00016AC5"/>
    <w:rsid w:val="00054609"/>
    <w:rsid w:val="000A6F55"/>
    <w:rsid w:val="000C3849"/>
    <w:rsid w:val="000E7579"/>
    <w:rsid w:val="000F41F2"/>
    <w:rsid w:val="001225F1"/>
    <w:rsid w:val="001231AD"/>
    <w:rsid w:val="001450E6"/>
    <w:rsid w:val="00150465"/>
    <w:rsid w:val="00160540"/>
    <w:rsid w:val="00192EEB"/>
    <w:rsid w:val="00197832"/>
    <w:rsid w:val="001A20FB"/>
    <w:rsid w:val="001B3867"/>
    <w:rsid w:val="001B67BC"/>
    <w:rsid w:val="001D72C5"/>
    <w:rsid w:val="001D7F8A"/>
    <w:rsid w:val="001E3FEB"/>
    <w:rsid w:val="001E4A02"/>
    <w:rsid w:val="00225A8C"/>
    <w:rsid w:val="002626D4"/>
    <w:rsid w:val="002659F1"/>
    <w:rsid w:val="00265CD7"/>
    <w:rsid w:val="00287E79"/>
    <w:rsid w:val="002928F9"/>
    <w:rsid w:val="002A5D07"/>
    <w:rsid w:val="002D3F03"/>
    <w:rsid w:val="002E0D40"/>
    <w:rsid w:val="002E5B0C"/>
    <w:rsid w:val="00300D06"/>
    <w:rsid w:val="003016B7"/>
    <w:rsid w:val="003515AA"/>
    <w:rsid w:val="00374106"/>
    <w:rsid w:val="00392795"/>
    <w:rsid w:val="003976D5"/>
    <w:rsid w:val="003D6C68"/>
    <w:rsid w:val="003F6D0E"/>
    <w:rsid w:val="004159D0"/>
    <w:rsid w:val="00472145"/>
    <w:rsid w:val="004F2ECC"/>
    <w:rsid w:val="004F4CDE"/>
    <w:rsid w:val="00512F1A"/>
    <w:rsid w:val="00540389"/>
    <w:rsid w:val="00543D5E"/>
    <w:rsid w:val="00571F41"/>
    <w:rsid w:val="0058598B"/>
    <w:rsid w:val="00593658"/>
    <w:rsid w:val="005E5971"/>
    <w:rsid w:val="005E5D1F"/>
    <w:rsid w:val="005F1177"/>
    <w:rsid w:val="006034FC"/>
    <w:rsid w:val="00611D43"/>
    <w:rsid w:val="00612D48"/>
    <w:rsid w:val="00616B45"/>
    <w:rsid w:val="00630D9B"/>
    <w:rsid w:val="00631953"/>
    <w:rsid w:val="006439EC"/>
    <w:rsid w:val="00653AAA"/>
    <w:rsid w:val="00657120"/>
    <w:rsid w:val="00693E16"/>
    <w:rsid w:val="006A0533"/>
    <w:rsid w:val="006B4590"/>
    <w:rsid w:val="006C340C"/>
    <w:rsid w:val="006D7B0B"/>
    <w:rsid w:val="006E6AE5"/>
    <w:rsid w:val="006F39E4"/>
    <w:rsid w:val="0070347C"/>
    <w:rsid w:val="007176C1"/>
    <w:rsid w:val="007231EF"/>
    <w:rsid w:val="00751FC8"/>
    <w:rsid w:val="0076567C"/>
    <w:rsid w:val="0078670C"/>
    <w:rsid w:val="007F55CB"/>
    <w:rsid w:val="00844750"/>
    <w:rsid w:val="008A1A91"/>
    <w:rsid w:val="008B44C4"/>
    <w:rsid w:val="008D2259"/>
    <w:rsid w:val="008E7FAE"/>
    <w:rsid w:val="00911BF7"/>
    <w:rsid w:val="009546F5"/>
    <w:rsid w:val="00970653"/>
    <w:rsid w:val="00977EC8"/>
    <w:rsid w:val="009C17F5"/>
    <w:rsid w:val="009C2549"/>
    <w:rsid w:val="009D3A8C"/>
    <w:rsid w:val="009E000F"/>
    <w:rsid w:val="009E7956"/>
    <w:rsid w:val="00A2492E"/>
    <w:rsid w:val="00A82B6C"/>
    <w:rsid w:val="00A93AB2"/>
    <w:rsid w:val="00AA7FE7"/>
    <w:rsid w:val="00AB3173"/>
    <w:rsid w:val="00AC01AA"/>
    <w:rsid w:val="00AC67A1"/>
    <w:rsid w:val="00AC7977"/>
    <w:rsid w:val="00AE352C"/>
    <w:rsid w:val="00B32E2D"/>
    <w:rsid w:val="00B61990"/>
    <w:rsid w:val="00BF0556"/>
    <w:rsid w:val="00C03431"/>
    <w:rsid w:val="00C11AC4"/>
    <w:rsid w:val="00C261F8"/>
    <w:rsid w:val="00C33100"/>
    <w:rsid w:val="00CD1A71"/>
    <w:rsid w:val="00CD1FBB"/>
    <w:rsid w:val="00D016B5"/>
    <w:rsid w:val="00D034F1"/>
    <w:rsid w:val="00D036EF"/>
    <w:rsid w:val="00D27D5E"/>
    <w:rsid w:val="00D37345"/>
    <w:rsid w:val="00DC156C"/>
    <w:rsid w:val="00DE6D90"/>
    <w:rsid w:val="00DF002F"/>
    <w:rsid w:val="00E0244D"/>
    <w:rsid w:val="00E42D5E"/>
    <w:rsid w:val="00E81E94"/>
    <w:rsid w:val="00E82607"/>
    <w:rsid w:val="00EC5A42"/>
    <w:rsid w:val="00F15D57"/>
    <w:rsid w:val="00F557F1"/>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5</Pages>
  <Words>2141</Words>
  <Characters>11928</Characters>
  <Application>Microsoft Office Outlook</Application>
  <DocSecurity>4</DocSecurity>
  <Lines>205</Lines>
  <Paragraphs>67</Paragraphs>
  <ScaleCrop>false</ScaleCrop>
  <HeadingPairs>
    <vt:vector size="2" baseType="variant">
      <vt:variant>
        <vt:lpstr>Titre</vt:lpstr>
      </vt:variant>
      <vt:variant>
        <vt:i4>1</vt:i4>
      </vt:variant>
    </vt:vector>
  </HeadingPairs>
  <TitlesOfParts>
    <vt:vector size="1" baseType="lpstr">
      <vt:lpstr>CERD/C/MDV/CO/5-12</vt:lpstr>
    </vt:vector>
  </TitlesOfParts>
  <Company>CSD</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CERD/C/MDV/CO/5-12</dc:title>
  <dc:subject>final</dc:subject>
  <dc:creator>Nath Vittoz</dc:creator>
  <cp:keywords/>
  <dc:description/>
  <cp:lastModifiedBy>dunand</cp:lastModifiedBy>
  <cp:revision>2</cp:revision>
  <cp:lastPrinted>2009-10-07T17:37:00Z</cp:lastPrinted>
  <dcterms:created xsi:type="dcterms:W3CDTF">2011-09-21T08:56:00Z</dcterms:created>
  <dcterms:modified xsi:type="dcterms:W3CDTF">2011-09-21T08:56:00Z</dcterms:modified>
</cp:coreProperties>
</file>