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C90C5B" w:rsidP="00C90C5B">
            <w:pPr>
              <w:bidi w:val="0"/>
              <w:spacing w:after="20"/>
              <w:jc w:val="left"/>
              <w:rPr>
                <w:szCs w:val="20"/>
              </w:rPr>
            </w:pPr>
            <w:r w:rsidRPr="00C90C5B">
              <w:rPr>
                <w:sz w:val="40"/>
                <w:szCs w:val="20"/>
              </w:rPr>
              <w:t>CAT</w:t>
            </w:r>
            <w:r>
              <w:rPr>
                <w:szCs w:val="20"/>
              </w:rPr>
              <w:t>/C/BIH/CO/2-5</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C90C5B" w:rsidRDefault="00C90C5B" w:rsidP="00C90C5B">
            <w:pPr>
              <w:bidi w:val="0"/>
              <w:spacing w:before="240"/>
              <w:jc w:val="left"/>
            </w:pPr>
            <w:r>
              <w:t>Distr.: General</w:t>
            </w:r>
          </w:p>
          <w:p w:rsidR="00C90C5B" w:rsidRDefault="00C90C5B" w:rsidP="00C90C5B">
            <w:pPr>
              <w:bidi w:val="0"/>
              <w:jc w:val="left"/>
            </w:pPr>
            <w:r>
              <w:t>20 January 2011</w:t>
            </w:r>
          </w:p>
          <w:p w:rsidR="00C90C5B" w:rsidRDefault="00C90C5B" w:rsidP="00C90C5B">
            <w:pPr>
              <w:bidi w:val="0"/>
              <w:jc w:val="left"/>
            </w:pPr>
            <w:r>
              <w:t>Arabic</w:t>
            </w:r>
          </w:p>
          <w:p w:rsidR="00257225" w:rsidRPr="008B4BC6" w:rsidRDefault="00C90C5B" w:rsidP="00C90C5B">
            <w:pPr>
              <w:bidi w:val="0"/>
              <w:jc w:val="left"/>
            </w:pPr>
            <w:r>
              <w:t>Original: English</w:t>
            </w:r>
          </w:p>
        </w:tc>
      </w:tr>
    </w:tbl>
    <w:p w:rsidR="00C90C5B" w:rsidRPr="00E6308D" w:rsidRDefault="00C90C5B" w:rsidP="00E6308D">
      <w:pPr>
        <w:spacing w:before="120" w:line="380" w:lineRule="exact"/>
        <w:jc w:val="both"/>
        <w:rPr>
          <w:rFonts w:hint="cs"/>
          <w:b/>
          <w:bCs/>
          <w:sz w:val="36"/>
          <w:szCs w:val="36"/>
          <w:rtl/>
        </w:rPr>
      </w:pPr>
      <w:r w:rsidRPr="00E6308D">
        <w:rPr>
          <w:rFonts w:hint="cs"/>
          <w:b/>
          <w:bCs/>
          <w:sz w:val="36"/>
          <w:szCs w:val="36"/>
          <w:rtl/>
        </w:rPr>
        <w:t xml:space="preserve">لجنة مناهضة التعذيب </w:t>
      </w:r>
    </w:p>
    <w:p w:rsidR="00C90C5B" w:rsidRPr="00E6308D" w:rsidRDefault="00C90C5B" w:rsidP="00E6308D">
      <w:pPr>
        <w:spacing w:line="380" w:lineRule="exact"/>
        <w:jc w:val="both"/>
        <w:rPr>
          <w:rFonts w:hint="cs"/>
          <w:b/>
          <w:bCs/>
          <w:rtl/>
        </w:rPr>
      </w:pPr>
      <w:r w:rsidRPr="00E6308D">
        <w:rPr>
          <w:rFonts w:hint="cs"/>
          <w:b/>
          <w:bCs/>
          <w:rtl/>
        </w:rPr>
        <w:t>الدورة الخامسة والأربعون</w:t>
      </w:r>
    </w:p>
    <w:p w:rsidR="00C90C5B" w:rsidRPr="00E6308D" w:rsidRDefault="00C90C5B" w:rsidP="00E6308D">
      <w:pPr>
        <w:spacing w:line="380" w:lineRule="exact"/>
        <w:jc w:val="both"/>
        <w:rPr>
          <w:rFonts w:hint="cs"/>
          <w:rtl/>
          <w:lang w:bidi="ar-EG"/>
        </w:rPr>
      </w:pPr>
      <w:r w:rsidRPr="00E6308D">
        <w:rPr>
          <w:rFonts w:hint="cs"/>
          <w:rtl/>
          <w:lang w:bidi="ar-EG"/>
        </w:rPr>
        <w:t>1-19 تشرين الثاني/نوفمبر 2010</w:t>
      </w:r>
    </w:p>
    <w:p w:rsidR="00C90C5B" w:rsidRDefault="00E6308D" w:rsidP="00E6308D">
      <w:pPr>
        <w:pStyle w:val="HChGA"/>
        <w:rPr>
          <w:rFonts w:hint="cs"/>
          <w:rtl/>
          <w:lang w:val="fr-CH"/>
        </w:rPr>
      </w:pPr>
      <w:r>
        <w:rPr>
          <w:rFonts w:hint="cs"/>
          <w:rtl/>
          <w:lang w:val="fr-CH"/>
        </w:rPr>
        <w:tab/>
      </w:r>
      <w:r>
        <w:rPr>
          <w:rFonts w:hint="cs"/>
          <w:rtl/>
          <w:lang w:val="fr-CH"/>
        </w:rPr>
        <w:tab/>
      </w:r>
      <w:r w:rsidR="00C90C5B">
        <w:rPr>
          <w:rFonts w:hint="cs"/>
          <w:rtl/>
          <w:lang w:val="fr-CH"/>
        </w:rPr>
        <w:t>النظر في التقارير المقدمة من الدول الأطراف بموجب المادة 19 من</w:t>
      </w:r>
      <w:r>
        <w:rPr>
          <w:rFonts w:hint="eastAsia"/>
          <w:rtl/>
          <w:lang w:val="fr-CH"/>
        </w:rPr>
        <w:t> </w:t>
      </w:r>
      <w:r w:rsidR="00C90C5B">
        <w:rPr>
          <w:rFonts w:hint="cs"/>
          <w:rtl/>
          <w:lang w:val="fr-CH"/>
        </w:rPr>
        <w:t>الاتفاقية</w:t>
      </w:r>
    </w:p>
    <w:p w:rsidR="00C90C5B" w:rsidRDefault="00E6308D" w:rsidP="00E6308D">
      <w:pPr>
        <w:pStyle w:val="H1GA"/>
        <w:rPr>
          <w:rFonts w:hint="cs"/>
          <w:rtl/>
          <w:lang w:val="fr-CH"/>
        </w:rPr>
      </w:pPr>
      <w:r>
        <w:rPr>
          <w:rFonts w:hint="cs"/>
          <w:rtl/>
          <w:lang w:val="fr-CH"/>
        </w:rPr>
        <w:tab/>
      </w:r>
      <w:r>
        <w:rPr>
          <w:rFonts w:hint="cs"/>
          <w:rtl/>
          <w:lang w:val="fr-CH"/>
        </w:rPr>
        <w:tab/>
        <w:t>ال</w:t>
      </w:r>
      <w:r w:rsidR="00C90C5B">
        <w:rPr>
          <w:rFonts w:hint="cs"/>
          <w:rtl/>
          <w:lang w:val="fr-CH"/>
        </w:rPr>
        <w:t xml:space="preserve">ملاحظات </w:t>
      </w:r>
      <w:r>
        <w:rPr>
          <w:rFonts w:hint="cs"/>
          <w:rtl/>
          <w:lang w:val="fr-CH"/>
        </w:rPr>
        <w:t>ال</w:t>
      </w:r>
      <w:r w:rsidR="00C90C5B">
        <w:rPr>
          <w:rFonts w:hint="cs"/>
          <w:rtl/>
          <w:lang w:val="fr-CH"/>
        </w:rPr>
        <w:t xml:space="preserve">ختامية للجنة مناهضة التعذيب </w:t>
      </w:r>
    </w:p>
    <w:p w:rsidR="00C90C5B" w:rsidRDefault="00E6308D" w:rsidP="00E6308D">
      <w:pPr>
        <w:pStyle w:val="HChGA"/>
        <w:rPr>
          <w:rFonts w:hint="cs"/>
          <w:rtl/>
          <w:lang w:val="fr-CH"/>
        </w:rPr>
      </w:pPr>
      <w:r>
        <w:rPr>
          <w:rFonts w:hint="cs"/>
          <w:rtl/>
          <w:lang w:val="fr-CH"/>
        </w:rPr>
        <w:tab/>
      </w:r>
      <w:r>
        <w:rPr>
          <w:rFonts w:hint="cs"/>
          <w:rtl/>
          <w:lang w:val="fr-CH"/>
        </w:rPr>
        <w:tab/>
      </w:r>
      <w:r w:rsidR="00C90C5B">
        <w:rPr>
          <w:rFonts w:hint="cs"/>
          <w:rtl/>
          <w:lang w:val="fr-CH"/>
        </w:rPr>
        <w:t>البوسنة والهرسك</w:t>
      </w:r>
    </w:p>
    <w:p w:rsidR="00C90C5B" w:rsidRDefault="00C90C5B" w:rsidP="007F3B92">
      <w:pPr>
        <w:pStyle w:val="SingleTxtGA"/>
        <w:rPr>
          <w:rFonts w:hint="cs"/>
          <w:rtl/>
        </w:rPr>
      </w:pPr>
      <w:r w:rsidRPr="00BE3A59">
        <w:rPr>
          <w:rFonts w:hint="cs"/>
          <w:sz w:val="30"/>
          <w:rtl/>
          <w:lang w:val="fr-CH"/>
        </w:rPr>
        <w:t>1-</w:t>
      </w:r>
      <w:r>
        <w:rPr>
          <w:rFonts w:hint="cs"/>
          <w:rtl/>
          <w:lang w:val="fr-CH"/>
        </w:rPr>
        <w:tab/>
        <w:t xml:space="preserve">نظرت لجنة </w:t>
      </w:r>
      <w:r w:rsidRPr="00F80079">
        <w:rPr>
          <w:rFonts w:hint="cs"/>
          <w:sz w:val="30"/>
          <w:rtl/>
          <w:lang w:val="fr-CH"/>
        </w:rPr>
        <w:t>مناهضة التعذيب</w:t>
      </w:r>
      <w:r>
        <w:rPr>
          <w:rFonts w:hint="cs"/>
          <w:b/>
          <w:bCs/>
          <w:sz w:val="30"/>
          <w:rtl/>
          <w:lang w:val="fr-CH"/>
        </w:rPr>
        <w:t xml:space="preserve"> </w:t>
      </w:r>
      <w:r>
        <w:rPr>
          <w:rFonts w:hint="cs"/>
          <w:rtl/>
          <w:lang w:val="fr-CH"/>
        </w:rPr>
        <w:t>في</w:t>
      </w:r>
      <w:r w:rsidRPr="00F80079">
        <w:rPr>
          <w:rFonts w:hint="cs"/>
          <w:sz w:val="30"/>
          <w:rtl/>
          <w:lang w:val="fr-CH"/>
        </w:rPr>
        <w:t xml:space="preserve"> </w:t>
      </w:r>
      <w:r>
        <w:rPr>
          <w:rFonts w:hint="cs"/>
          <w:sz w:val="30"/>
          <w:rtl/>
          <w:lang w:val="fr-CH"/>
        </w:rPr>
        <w:t>تقرير البوسنة والهرسك الجامع لتقاريرها الدورية من الثاني إلى الخامس</w:t>
      </w:r>
      <w:r>
        <w:rPr>
          <w:rFonts w:hint="cs"/>
          <w:rtl/>
          <w:lang w:val="fr-CH"/>
        </w:rPr>
        <w:t xml:space="preserve"> (</w:t>
      </w:r>
      <w:r>
        <w:t>CAT/C/BIH/2</w:t>
      </w:r>
      <w:r w:rsidR="007F3B92">
        <w:t>-5</w:t>
      </w:r>
      <w:r>
        <w:rPr>
          <w:rFonts w:hint="cs"/>
          <w:rtl/>
        </w:rPr>
        <w:t xml:space="preserve">) في جلستيها </w:t>
      </w:r>
      <w:r>
        <w:t>961</w:t>
      </w:r>
      <w:r>
        <w:rPr>
          <w:rFonts w:hint="cs"/>
          <w:rtl/>
        </w:rPr>
        <w:t xml:space="preserve"> و</w:t>
      </w:r>
      <w:r>
        <w:t>962</w:t>
      </w:r>
      <w:r>
        <w:rPr>
          <w:rFonts w:hint="cs"/>
          <w:rtl/>
        </w:rPr>
        <w:t xml:space="preserve">، المعقودتين في 4 و5 تشرين الثاني/نوفمبر 2010 </w:t>
      </w:r>
      <w:r w:rsidR="00E6308D">
        <w:rPr>
          <w:rFonts w:hint="cs"/>
          <w:rtl/>
        </w:rPr>
        <w:t>(</w:t>
      </w:r>
      <w:r w:rsidR="00E6308D">
        <w:t>CAT/C/SR.961</w:t>
      </w:r>
      <w:r w:rsidR="00E6308D">
        <w:rPr>
          <w:rFonts w:hint="cs"/>
          <w:rtl/>
        </w:rPr>
        <w:t xml:space="preserve"> و</w:t>
      </w:r>
      <w:r w:rsidR="00E6308D">
        <w:t>962</w:t>
      </w:r>
      <w:r w:rsidR="00E6308D">
        <w:rPr>
          <w:rFonts w:hint="cs"/>
          <w:rtl/>
        </w:rPr>
        <w:t>)</w:t>
      </w:r>
      <w:r>
        <w:rPr>
          <w:rFonts w:hint="cs"/>
          <w:rtl/>
        </w:rPr>
        <w:t xml:space="preserve"> واعتمدت، في جلستها 978 الملاحظات الختامية التالية</w:t>
      </w:r>
      <w:r w:rsidR="00E6308D">
        <w:rPr>
          <w:rFonts w:hint="cs"/>
          <w:rtl/>
        </w:rPr>
        <w:t xml:space="preserve"> (</w:t>
      </w:r>
      <w:r w:rsidR="00E6308D">
        <w:t>CAT/C/SR.978</w:t>
      </w:r>
      <w:r w:rsidR="00E6308D">
        <w:rPr>
          <w:rFonts w:hint="cs"/>
          <w:rtl/>
        </w:rPr>
        <w:t>)</w:t>
      </w:r>
      <w:r>
        <w:rPr>
          <w:rFonts w:hint="cs"/>
          <w:rtl/>
        </w:rPr>
        <w:t>.</w:t>
      </w:r>
    </w:p>
    <w:p w:rsidR="00C90C5B" w:rsidRDefault="00C90C5B" w:rsidP="00C90C5B">
      <w:pPr>
        <w:pStyle w:val="H1GA"/>
        <w:rPr>
          <w:rFonts w:hint="cs"/>
          <w:rtl/>
          <w:lang w:val="fr-CH"/>
        </w:rPr>
      </w:pPr>
      <w:r>
        <w:rPr>
          <w:rFonts w:hint="cs"/>
          <w:rtl/>
          <w:lang w:val="fr-CH"/>
        </w:rPr>
        <w:tab/>
        <w:t>ألف -</w:t>
      </w:r>
      <w:r>
        <w:rPr>
          <w:rFonts w:hint="cs"/>
          <w:rtl/>
          <w:lang w:val="fr-CH"/>
        </w:rPr>
        <w:tab/>
        <w:t>مقدمة</w:t>
      </w:r>
    </w:p>
    <w:p w:rsidR="00C90C5B" w:rsidRDefault="00C90C5B" w:rsidP="00CA514E">
      <w:pPr>
        <w:pStyle w:val="SingleTxtGA"/>
        <w:rPr>
          <w:rFonts w:hint="cs"/>
          <w:rtl/>
          <w:lang w:val="fr-CH"/>
        </w:rPr>
      </w:pPr>
      <w:r>
        <w:rPr>
          <w:rFonts w:hint="cs"/>
          <w:rtl/>
          <w:lang w:val="fr-CH"/>
        </w:rPr>
        <w:t>2-</w:t>
      </w:r>
      <w:r>
        <w:rPr>
          <w:rFonts w:hint="cs"/>
          <w:rtl/>
          <w:lang w:val="fr-CH"/>
        </w:rPr>
        <w:tab/>
        <w:t>ترحب اللجنة بتقديم البوسنة والهرسك للتقرير الجامع لتقاريرها الدورية من الثاني إلى الخامس.</w:t>
      </w:r>
      <w:r w:rsidR="008C01B1">
        <w:rPr>
          <w:rFonts w:hint="cs"/>
          <w:rtl/>
          <w:lang w:val="fr-CH"/>
        </w:rPr>
        <w:t xml:space="preserve"> </w:t>
      </w:r>
      <w:r>
        <w:rPr>
          <w:rFonts w:hint="cs"/>
          <w:rtl/>
          <w:lang w:val="fr-CH"/>
        </w:rPr>
        <w:t xml:space="preserve">كما </w:t>
      </w:r>
      <w:r w:rsidR="00CA514E">
        <w:rPr>
          <w:rFonts w:hint="cs"/>
          <w:rtl/>
          <w:lang w:val="fr-CH"/>
        </w:rPr>
        <w:t>ترحب</w:t>
      </w:r>
      <w:r>
        <w:rPr>
          <w:rFonts w:hint="cs"/>
          <w:rtl/>
          <w:lang w:val="fr-CH"/>
        </w:rPr>
        <w:t xml:space="preserve"> بكون التقرير قُدم وفقاً لإجراء تقديم التقارير الاختياري الجديد للجنة المؤلف م</w:t>
      </w:r>
      <w:r w:rsidR="00CA514E">
        <w:rPr>
          <w:rFonts w:hint="cs"/>
          <w:rtl/>
          <w:lang w:val="fr-CH"/>
        </w:rPr>
        <w:t xml:space="preserve">ن ردود الدولة الطرف على قائمة </w:t>
      </w:r>
      <w:r>
        <w:rPr>
          <w:rFonts w:hint="cs"/>
          <w:rtl/>
          <w:lang w:val="fr-CH"/>
        </w:rPr>
        <w:t xml:space="preserve">مسائل تعدها </w:t>
      </w:r>
      <w:r w:rsidR="00CA514E">
        <w:rPr>
          <w:rFonts w:hint="cs"/>
          <w:rtl/>
          <w:lang w:val="fr-CH"/>
        </w:rPr>
        <w:t xml:space="preserve">اللجنة </w:t>
      </w:r>
      <w:r>
        <w:rPr>
          <w:rFonts w:hint="cs"/>
          <w:rtl/>
          <w:lang w:val="fr-CH"/>
        </w:rPr>
        <w:t>وتقدمها. وتعرب اللجنة عن تقديرها للدولة الطرف لأنها وافقت على تقديم التقرير بموجب هذا الإجراء الجديد، الذي</w:t>
      </w:r>
      <w:r w:rsidR="00BB73F1">
        <w:rPr>
          <w:rFonts w:hint="eastAsia"/>
          <w:rtl/>
          <w:lang w:val="fr-CH"/>
        </w:rPr>
        <w:t> </w:t>
      </w:r>
      <w:r>
        <w:rPr>
          <w:rFonts w:hint="cs"/>
          <w:rtl/>
          <w:lang w:val="fr-CH"/>
        </w:rPr>
        <w:t>ييسر التعاون بين الدولة الطرف واللجنة.</w:t>
      </w:r>
    </w:p>
    <w:p w:rsidR="00C90C5B" w:rsidRDefault="00C90C5B" w:rsidP="00E84B24">
      <w:pPr>
        <w:pStyle w:val="SingleTxtGA"/>
        <w:rPr>
          <w:rFonts w:hint="cs"/>
          <w:rtl/>
          <w:lang w:val="fr-CH"/>
        </w:rPr>
      </w:pPr>
      <w:r>
        <w:rPr>
          <w:rFonts w:hint="cs"/>
          <w:rtl/>
          <w:lang w:val="fr-CH"/>
        </w:rPr>
        <w:t>3-</w:t>
      </w:r>
      <w:r>
        <w:rPr>
          <w:rFonts w:hint="cs"/>
          <w:rtl/>
          <w:lang w:val="fr-CH"/>
        </w:rPr>
        <w:tab/>
        <w:t>وتلاحظ اللجنة</w:t>
      </w:r>
      <w:r w:rsidR="00AB616D">
        <w:rPr>
          <w:rFonts w:hint="cs"/>
          <w:rtl/>
          <w:lang w:val="fr-CH"/>
        </w:rPr>
        <w:t xml:space="preserve"> </w:t>
      </w:r>
      <w:r>
        <w:rPr>
          <w:rFonts w:hint="cs"/>
          <w:rtl/>
          <w:lang w:val="fr-CH"/>
        </w:rPr>
        <w:t>مع الارتياح أن وفداً رفيع المستوى من الدولة الطرف اجتمع باللجنة خلال دورتها الخامسة والأربعين</w:t>
      </w:r>
      <w:r w:rsidR="006003A5">
        <w:rPr>
          <w:rFonts w:hint="cs"/>
          <w:rtl/>
          <w:lang w:val="fr-CH"/>
        </w:rPr>
        <w:t>،</w:t>
      </w:r>
      <w:r>
        <w:rPr>
          <w:rFonts w:hint="cs"/>
          <w:rtl/>
          <w:lang w:val="fr-CH"/>
        </w:rPr>
        <w:t xml:space="preserve"> وتأخذ علماً مع الارتياح أيضاً بالفرصة المتاحة لإجراء حوار بناء يشمل مجالات عديدة تغطيها الاتفاقية.</w:t>
      </w:r>
    </w:p>
    <w:p w:rsidR="00C90C5B" w:rsidRDefault="00C90C5B" w:rsidP="00C90C5B">
      <w:pPr>
        <w:pStyle w:val="SingleTxtGA"/>
        <w:rPr>
          <w:rFonts w:hint="cs"/>
          <w:rtl/>
          <w:lang w:val="fr-CH"/>
        </w:rPr>
      </w:pPr>
      <w:r>
        <w:rPr>
          <w:rFonts w:hint="cs"/>
          <w:rtl/>
          <w:lang w:val="fr-CH"/>
        </w:rPr>
        <w:t>4-</w:t>
      </w:r>
      <w:r>
        <w:rPr>
          <w:rFonts w:hint="cs"/>
          <w:rtl/>
          <w:lang w:val="fr-CH"/>
        </w:rPr>
        <w:tab/>
        <w:t>وتلاحظ اللجنة أن الدولة الطرف مؤلفة من كيانين، لكنها تذكر بأن البوسنة والهرسك هي دولة واحدة بموجب القانون الدولي وأنها ملتزمة بتنفيذ الاتفاقية بالكامل على المستوى المحلي.</w:t>
      </w:r>
    </w:p>
    <w:p w:rsidR="00C90C5B" w:rsidRDefault="00C90C5B" w:rsidP="00C90C5B">
      <w:pPr>
        <w:pStyle w:val="H1GA"/>
        <w:rPr>
          <w:rFonts w:hint="cs"/>
          <w:rtl/>
          <w:lang w:val="fr-CH"/>
        </w:rPr>
      </w:pPr>
      <w:r>
        <w:rPr>
          <w:rFonts w:hint="cs"/>
          <w:rtl/>
          <w:lang w:val="fr-CH"/>
        </w:rPr>
        <w:tab/>
        <w:t>باء -</w:t>
      </w:r>
      <w:r>
        <w:rPr>
          <w:rFonts w:hint="cs"/>
          <w:rtl/>
          <w:lang w:val="fr-CH"/>
        </w:rPr>
        <w:tab/>
        <w:t>الجوانب الإيجابية</w:t>
      </w:r>
    </w:p>
    <w:p w:rsidR="00C90C5B" w:rsidRDefault="00C90C5B" w:rsidP="00C90C5B">
      <w:pPr>
        <w:pStyle w:val="SingleTxtGA"/>
        <w:rPr>
          <w:rFonts w:hint="cs"/>
          <w:rtl/>
          <w:lang w:val="fr-CH"/>
        </w:rPr>
      </w:pPr>
      <w:r>
        <w:rPr>
          <w:rFonts w:hint="cs"/>
          <w:rtl/>
          <w:lang w:val="fr-CH"/>
        </w:rPr>
        <w:t>5-</w:t>
      </w:r>
      <w:r>
        <w:rPr>
          <w:rFonts w:hint="cs"/>
          <w:rtl/>
          <w:lang w:val="fr-CH"/>
        </w:rPr>
        <w:tab/>
        <w:t>ترحب اللجنة بقيام الدولة الطرف، منذ النظر في تقريرها الدوري الأولي، بالتصديق على الصكوك الدولية والإقليمية التالية:</w:t>
      </w:r>
    </w:p>
    <w:p w:rsidR="00C90C5B" w:rsidRDefault="00C90C5B" w:rsidP="00C90C5B">
      <w:pPr>
        <w:pStyle w:val="SingleTxtGA"/>
        <w:rPr>
          <w:rFonts w:hint="cs"/>
          <w:rtl/>
          <w:lang w:val="fr-CH"/>
        </w:rPr>
      </w:pPr>
      <w:r>
        <w:rPr>
          <w:rFonts w:hint="cs"/>
          <w:rtl/>
          <w:lang w:val="fr-CH"/>
        </w:rPr>
        <w:tab/>
        <w:t>(أ)</w:t>
      </w:r>
      <w:r>
        <w:rPr>
          <w:rFonts w:hint="cs"/>
          <w:rtl/>
          <w:lang w:val="fr-CH"/>
        </w:rPr>
        <w:tab/>
        <w:t xml:space="preserve">البروتوكول الاختياري لاتفاقية مناهضة التعذيب وغيره من ضروب المعاملة </w:t>
      </w:r>
      <w:r w:rsidR="006003A5">
        <w:rPr>
          <w:rFonts w:hint="cs"/>
          <w:rtl/>
          <w:lang w:val="fr-CH"/>
        </w:rPr>
        <w:t>أ</w:t>
      </w:r>
      <w:r>
        <w:rPr>
          <w:rFonts w:hint="cs"/>
          <w:rtl/>
          <w:lang w:val="fr-CH"/>
        </w:rPr>
        <w:t>و</w:t>
      </w:r>
      <w:r w:rsidR="006003A5">
        <w:rPr>
          <w:rFonts w:hint="cs"/>
          <w:rtl/>
          <w:lang w:val="fr-CH"/>
        </w:rPr>
        <w:t xml:space="preserve"> </w:t>
      </w:r>
      <w:r>
        <w:rPr>
          <w:rFonts w:hint="cs"/>
          <w:rtl/>
          <w:lang w:val="fr-CH"/>
        </w:rPr>
        <w:t xml:space="preserve">العقوبة القاسية أو اللاإنسانية أو المهينة، في 24 </w:t>
      </w:r>
      <w:r w:rsidRPr="006B60F2">
        <w:rPr>
          <w:rFonts w:hint="cs"/>
          <w:rtl/>
          <w:lang w:val="fr-CH"/>
        </w:rPr>
        <w:t xml:space="preserve">تشرين الأول/أكتوبر </w:t>
      </w:r>
      <w:r>
        <w:rPr>
          <w:rFonts w:hint="cs"/>
          <w:rtl/>
          <w:lang w:val="fr-CH"/>
        </w:rPr>
        <w:t>2008؛</w:t>
      </w:r>
    </w:p>
    <w:p w:rsidR="00C90C5B" w:rsidRDefault="00C90C5B" w:rsidP="00C90C5B">
      <w:pPr>
        <w:pStyle w:val="SingleTxtGA"/>
        <w:rPr>
          <w:rFonts w:hint="cs"/>
          <w:rtl/>
          <w:lang w:val="fr-CH"/>
        </w:rPr>
      </w:pPr>
      <w:r>
        <w:rPr>
          <w:rFonts w:hint="cs"/>
          <w:rtl/>
          <w:lang w:val="fr-CH"/>
        </w:rPr>
        <w:tab/>
        <w:t>(ب)</w:t>
      </w:r>
      <w:r>
        <w:rPr>
          <w:rFonts w:hint="cs"/>
          <w:rtl/>
          <w:lang w:val="fr-CH"/>
        </w:rPr>
        <w:tab/>
        <w:t xml:space="preserve">اتفاقية حقوق الأشخاص ذوي الإعاقة وبروتوكولها الاختياري، في 12 </w:t>
      </w:r>
      <w:r w:rsidRPr="006B60F2">
        <w:rPr>
          <w:rFonts w:hint="cs"/>
          <w:rtl/>
          <w:lang w:val="fr-CH"/>
        </w:rPr>
        <w:t xml:space="preserve">آذار/مارس </w:t>
      </w:r>
      <w:r>
        <w:rPr>
          <w:rFonts w:hint="cs"/>
          <w:rtl/>
          <w:lang w:val="fr-CH"/>
        </w:rPr>
        <w:t>2010؛</w:t>
      </w:r>
    </w:p>
    <w:p w:rsidR="00C90C5B" w:rsidRDefault="00C90C5B" w:rsidP="00C90C5B">
      <w:pPr>
        <w:pStyle w:val="SingleTxtGA"/>
        <w:rPr>
          <w:rFonts w:hint="cs"/>
          <w:rtl/>
          <w:lang w:val="fr-CH"/>
        </w:rPr>
      </w:pPr>
      <w:r>
        <w:rPr>
          <w:rFonts w:hint="cs"/>
          <w:rtl/>
          <w:lang w:val="fr-CH"/>
        </w:rPr>
        <w:tab/>
        <w:t>(ج)</w:t>
      </w:r>
      <w:r>
        <w:rPr>
          <w:rFonts w:hint="cs"/>
          <w:rtl/>
          <w:lang w:val="fr-CH"/>
        </w:rPr>
        <w:tab/>
        <w:t xml:space="preserve">اتفاقية مجلس أوروبا المتعلقة بمكافحة الاتجار بالبشر، في 11 </w:t>
      </w:r>
      <w:r w:rsidRPr="00971B43">
        <w:rPr>
          <w:rFonts w:hint="cs"/>
          <w:rtl/>
          <w:lang w:val="fr-CH"/>
        </w:rPr>
        <w:t>كانون الثاني/يناير</w:t>
      </w:r>
      <w:r>
        <w:rPr>
          <w:rFonts w:hint="cs"/>
          <w:rtl/>
          <w:lang w:val="fr-CH"/>
        </w:rPr>
        <w:t xml:space="preserve"> 2008.</w:t>
      </w:r>
    </w:p>
    <w:p w:rsidR="00C90C5B" w:rsidRDefault="00C90C5B" w:rsidP="00C90C5B">
      <w:pPr>
        <w:pStyle w:val="SingleTxtGA"/>
        <w:rPr>
          <w:rFonts w:hint="cs"/>
          <w:rtl/>
          <w:lang w:val="fr-CH"/>
        </w:rPr>
      </w:pPr>
      <w:r>
        <w:rPr>
          <w:rFonts w:hint="cs"/>
          <w:rtl/>
          <w:lang w:val="fr-CH"/>
        </w:rPr>
        <w:t>6-</w:t>
      </w:r>
      <w:r>
        <w:rPr>
          <w:rFonts w:hint="cs"/>
          <w:rtl/>
          <w:lang w:val="fr-CH"/>
        </w:rPr>
        <w:tab/>
        <w:t>وتلاحظ اللجنة جهود الدولة الطرف المستمرة لتنقيح تشريعها في مجالات تتعلق بالاتفاقية</w:t>
      </w:r>
      <w:r w:rsidR="006003A5">
        <w:rPr>
          <w:rFonts w:hint="cs"/>
          <w:rtl/>
          <w:lang w:val="fr-CH"/>
        </w:rPr>
        <w:t>،</w:t>
      </w:r>
      <w:r>
        <w:rPr>
          <w:rFonts w:hint="cs"/>
          <w:rtl/>
          <w:lang w:val="fr-CH"/>
        </w:rPr>
        <w:t xml:space="preserve"> بما في ذلك:</w:t>
      </w:r>
    </w:p>
    <w:p w:rsidR="00C90C5B" w:rsidRDefault="00C90C5B" w:rsidP="00C90C5B">
      <w:pPr>
        <w:pStyle w:val="SingleTxtGA"/>
        <w:rPr>
          <w:rFonts w:hint="cs"/>
          <w:rtl/>
          <w:lang w:val="fr-CH"/>
        </w:rPr>
      </w:pPr>
      <w:r>
        <w:rPr>
          <w:rFonts w:hint="cs"/>
          <w:rtl/>
          <w:lang w:val="fr-CH"/>
        </w:rPr>
        <w:tab/>
        <w:t>(أ)</w:t>
      </w:r>
      <w:r>
        <w:rPr>
          <w:rFonts w:hint="cs"/>
          <w:rtl/>
          <w:lang w:val="fr-CH"/>
        </w:rPr>
        <w:tab/>
        <w:t>اعتماد قانون تنقل وإقامة الأجانب ومنحهم اللجوء، في عام 2008؛</w:t>
      </w:r>
    </w:p>
    <w:p w:rsidR="00C90C5B" w:rsidRDefault="00C90C5B" w:rsidP="00C90C5B">
      <w:pPr>
        <w:pStyle w:val="SingleTxtGA"/>
        <w:rPr>
          <w:rFonts w:hint="cs"/>
          <w:rtl/>
          <w:lang w:val="fr-CH"/>
        </w:rPr>
      </w:pPr>
      <w:r>
        <w:rPr>
          <w:rFonts w:hint="cs"/>
          <w:rtl/>
          <w:lang w:val="fr-CH"/>
        </w:rPr>
        <w:tab/>
        <w:t>(ب)</w:t>
      </w:r>
      <w:r>
        <w:rPr>
          <w:rFonts w:hint="cs"/>
          <w:rtl/>
          <w:lang w:val="fr-CH"/>
        </w:rPr>
        <w:tab/>
        <w:t>اعتماد قانون منع التمييز في عام 2009؛</w:t>
      </w:r>
    </w:p>
    <w:p w:rsidR="00C90C5B" w:rsidRDefault="00C90C5B" w:rsidP="006003A5">
      <w:pPr>
        <w:pStyle w:val="SingleTxtGA"/>
        <w:rPr>
          <w:rFonts w:hint="cs"/>
          <w:rtl/>
          <w:lang w:val="fr-CH"/>
        </w:rPr>
      </w:pPr>
      <w:r>
        <w:rPr>
          <w:rFonts w:hint="cs"/>
          <w:rtl/>
          <w:lang w:val="fr-CH"/>
        </w:rPr>
        <w:tab/>
        <w:t>(ج)</w:t>
      </w:r>
      <w:r>
        <w:rPr>
          <w:rFonts w:hint="cs"/>
          <w:rtl/>
          <w:lang w:val="fr-CH"/>
        </w:rPr>
        <w:tab/>
        <w:t>اعتماد قانون المساعدة الدولية في عام 2009 الرامي إلى تعزيز التعاون الدولي، و</w:t>
      </w:r>
      <w:r w:rsidR="006003A5">
        <w:rPr>
          <w:rFonts w:hint="cs"/>
          <w:rtl/>
          <w:lang w:val="fr-CH"/>
        </w:rPr>
        <w:t>لا سيما</w:t>
      </w:r>
      <w:r>
        <w:rPr>
          <w:rFonts w:hint="cs"/>
          <w:rtl/>
          <w:lang w:val="fr-CH"/>
        </w:rPr>
        <w:t xml:space="preserve"> من خلال اتفاقات ثنائية مع البلدان المجاورة، لضمان حماية الضحايا ومحاكمة مرتكبي الجرائم المزعومين</w:t>
      </w:r>
      <w:r w:rsidR="006003A5">
        <w:rPr>
          <w:rFonts w:hint="cs"/>
          <w:rtl/>
          <w:lang w:val="fr-CH"/>
        </w:rPr>
        <w:t xml:space="preserve"> ومعاقبتهم</w:t>
      </w:r>
      <w:r>
        <w:rPr>
          <w:rFonts w:hint="cs"/>
          <w:rtl/>
          <w:lang w:val="fr-CH"/>
        </w:rPr>
        <w:t>.</w:t>
      </w:r>
    </w:p>
    <w:p w:rsidR="00C90C5B" w:rsidRDefault="00C90C5B" w:rsidP="006003A5">
      <w:pPr>
        <w:pStyle w:val="SingleTxtGA"/>
        <w:rPr>
          <w:rFonts w:hint="cs"/>
          <w:rtl/>
          <w:lang w:val="fr-CH"/>
        </w:rPr>
      </w:pPr>
      <w:r>
        <w:rPr>
          <w:rFonts w:hint="cs"/>
          <w:rtl/>
          <w:lang w:val="fr-CH"/>
        </w:rPr>
        <w:t>7-</w:t>
      </w:r>
      <w:r>
        <w:rPr>
          <w:rFonts w:hint="cs"/>
          <w:rtl/>
          <w:lang w:val="fr-CH"/>
        </w:rPr>
        <w:tab/>
        <w:t>كما ترحب اللجنة بجهود الدولة الطرف</w:t>
      </w:r>
      <w:r w:rsidR="006003A5">
        <w:rPr>
          <w:rFonts w:hint="cs"/>
          <w:rtl/>
          <w:lang w:val="fr-CH"/>
        </w:rPr>
        <w:t xml:space="preserve"> الرامية إلى </w:t>
      </w:r>
      <w:r>
        <w:rPr>
          <w:rFonts w:hint="cs"/>
          <w:rtl/>
          <w:lang w:val="fr-CH"/>
        </w:rPr>
        <w:t>تعديل سياس</w:t>
      </w:r>
      <w:r w:rsidR="006003A5">
        <w:rPr>
          <w:rFonts w:hint="cs"/>
          <w:rtl/>
          <w:lang w:val="fr-CH"/>
        </w:rPr>
        <w:t>ا</w:t>
      </w:r>
      <w:r>
        <w:rPr>
          <w:rFonts w:hint="cs"/>
          <w:rtl/>
          <w:lang w:val="fr-CH"/>
        </w:rPr>
        <w:t xml:space="preserve">تها وإجراءاتها </w:t>
      </w:r>
      <w:r w:rsidR="006003A5">
        <w:rPr>
          <w:rFonts w:hint="cs"/>
          <w:rtl/>
          <w:lang w:val="fr-CH"/>
        </w:rPr>
        <w:t xml:space="preserve">بغية زيادة </w:t>
      </w:r>
      <w:r>
        <w:rPr>
          <w:rFonts w:hint="cs"/>
          <w:rtl/>
          <w:lang w:val="fr-CH"/>
        </w:rPr>
        <w:t>ضمان حماية حقوق الإنسان وتنفيذ الاتفاقية</w:t>
      </w:r>
      <w:r w:rsidR="006003A5">
        <w:rPr>
          <w:rFonts w:hint="cs"/>
          <w:rtl/>
          <w:lang w:val="fr-CH"/>
        </w:rPr>
        <w:t>،</w:t>
      </w:r>
      <w:r>
        <w:rPr>
          <w:rFonts w:hint="cs"/>
          <w:rtl/>
          <w:lang w:val="fr-CH"/>
        </w:rPr>
        <w:t xml:space="preserve"> بما في ذلك</w:t>
      </w:r>
      <w:r w:rsidR="006003A5">
        <w:rPr>
          <w:rFonts w:hint="cs"/>
          <w:rtl/>
          <w:lang w:val="fr-CH"/>
        </w:rPr>
        <w:t xml:space="preserve"> ما يلي</w:t>
      </w:r>
      <w:r>
        <w:rPr>
          <w:rFonts w:hint="cs"/>
          <w:rtl/>
          <w:lang w:val="fr-CH"/>
        </w:rPr>
        <w:t>:</w:t>
      </w:r>
    </w:p>
    <w:p w:rsidR="00C90C5B" w:rsidRDefault="00C90C5B" w:rsidP="00C90C5B">
      <w:pPr>
        <w:pStyle w:val="SingleTxtGA"/>
        <w:rPr>
          <w:rFonts w:hint="cs"/>
          <w:rtl/>
          <w:lang w:val="fr-CH"/>
        </w:rPr>
      </w:pPr>
      <w:r>
        <w:rPr>
          <w:rFonts w:hint="cs"/>
          <w:rtl/>
          <w:lang w:val="fr-CH"/>
        </w:rPr>
        <w:tab/>
        <w:t>(أ)</w:t>
      </w:r>
      <w:r>
        <w:rPr>
          <w:rFonts w:hint="cs"/>
          <w:rtl/>
          <w:lang w:val="fr-CH"/>
        </w:rPr>
        <w:tab/>
        <w:t xml:space="preserve">اعتماد </w:t>
      </w:r>
      <w:r w:rsidR="00906D28">
        <w:rPr>
          <w:rFonts w:hint="cs"/>
          <w:rtl/>
          <w:lang w:val="fr-CH"/>
        </w:rPr>
        <w:t>استراتيج</w:t>
      </w:r>
      <w:r>
        <w:rPr>
          <w:rFonts w:hint="cs"/>
          <w:rtl/>
          <w:lang w:val="fr-CH"/>
        </w:rPr>
        <w:t>ية لمعالجة حالات جرائم الحرب، في عام 2008؛</w:t>
      </w:r>
    </w:p>
    <w:p w:rsidR="00C90C5B" w:rsidRDefault="00C90C5B" w:rsidP="006003A5">
      <w:pPr>
        <w:pStyle w:val="SingleTxtGA"/>
        <w:rPr>
          <w:rFonts w:hint="cs"/>
          <w:rtl/>
          <w:lang w:val="fr-CH"/>
        </w:rPr>
      </w:pPr>
      <w:r>
        <w:rPr>
          <w:rFonts w:hint="cs"/>
          <w:rtl/>
          <w:lang w:val="fr-CH"/>
        </w:rPr>
        <w:tab/>
        <w:t>(ب)</w:t>
      </w:r>
      <w:r>
        <w:rPr>
          <w:rFonts w:hint="cs"/>
          <w:rtl/>
          <w:lang w:val="fr-CH"/>
        </w:rPr>
        <w:tab/>
        <w:t xml:space="preserve">اعتماد </w:t>
      </w:r>
      <w:r w:rsidR="00906D28">
        <w:rPr>
          <w:rFonts w:hint="cs"/>
          <w:rtl/>
          <w:lang w:val="fr-CH"/>
        </w:rPr>
        <w:t>استراتيج</w:t>
      </w:r>
      <w:r>
        <w:rPr>
          <w:rFonts w:hint="cs"/>
          <w:rtl/>
          <w:lang w:val="fr-CH"/>
        </w:rPr>
        <w:t>ية منقحة لتنفيذ المرفق 7 من اتفاق دايتن</w:t>
      </w:r>
      <w:r w:rsidR="006003A5">
        <w:rPr>
          <w:rFonts w:hint="cs"/>
          <w:rtl/>
          <w:lang w:val="fr-CH"/>
        </w:rPr>
        <w:t xml:space="preserve"> للسلام</w:t>
      </w:r>
      <w:r>
        <w:rPr>
          <w:rFonts w:hint="cs"/>
          <w:rtl/>
          <w:lang w:val="fr-CH"/>
        </w:rPr>
        <w:t>، في عام</w:t>
      </w:r>
      <w:r w:rsidR="00BB73F1">
        <w:rPr>
          <w:rFonts w:hint="eastAsia"/>
          <w:rtl/>
          <w:lang w:val="fr-CH"/>
        </w:rPr>
        <w:t> </w:t>
      </w:r>
      <w:r>
        <w:rPr>
          <w:rFonts w:hint="cs"/>
          <w:rtl/>
          <w:lang w:val="fr-CH"/>
        </w:rPr>
        <w:t xml:space="preserve">2010 الرامي إلى تحسين مستويات معيشة الأشخاص الذين لا يزالون مشردين داخلياً العائدين </w:t>
      </w:r>
      <w:r w:rsidR="006003A5">
        <w:rPr>
          <w:rFonts w:hint="cs"/>
          <w:rtl/>
          <w:lang w:val="fr-CH"/>
        </w:rPr>
        <w:t xml:space="preserve">إلى </w:t>
      </w:r>
      <w:r>
        <w:rPr>
          <w:rFonts w:hint="cs"/>
          <w:rtl/>
          <w:lang w:val="fr-CH"/>
        </w:rPr>
        <w:t>البوسنة والهرسك؛</w:t>
      </w:r>
    </w:p>
    <w:p w:rsidR="00C90C5B" w:rsidRDefault="00C90C5B" w:rsidP="00C90C5B">
      <w:pPr>
        <w:pStyle w:val="SingleTxtGA"/>
        <w:rPr>
          <w:rFonts w:hint="cs"/>
          <w:rtl/>
          <w:lang w:val="fr-CH"/>
        </w:rPr>
      </w:pPr>
      <w:r>
        <w:rPr>
          <w:rFonts w:hint="cs"/>
          <w:rtl/>
          <w:lang w:val="fr-CH"/>
        </w:rPr>
        <w:tab/>
        <w:t>(ج)</w:t>
      </w:r>
      <w:r>
        <w:rPr>
          <w:rFonts w:hint="cs"/>
          <w:rtl/>
          <w:lang w:val="fr-CH"/>
        </w:rPr>
        <w:tab/>
        <w:t>اعتماد خطة العمل الوطنية الثالثة لمكافحة الاتجار بالبشر والهجرة غير القانونية في البوسنة والهرسك في الفترة 2008-2012؛</w:t>
      </w:r>
    </w:p>
    <w:p w:rsidR="00C90C5B" w:rsidRPr="00BB73F1" w:rsidRDefault="00C90C5B" w:rsidP="00C90C5B">
      <w:pPr>
        <w:pStyle w:val="SingleTxtGA"/>
        <w:rPr>
          <w:rFonts w:hint="cs"/>
          <w:spacing w:val="-4"/>
          <w:rtl/>
          <w:lang w:val="fr-CH"/>
        </w:rPr>
      </w:pPr>
      <w:r w:rsidRPr="00BB73F1">
        <w:rPr>
          <w:rFonts w:hint="cs"/>
          <w:spacing w:val="-4"/>
          <w:rtl/>
          <w:lang w:val="fr-CH"/>
        </w:rPr>
        <w:tab/>
        <w:t>(د)</w:t>
      </w:r>
      <w:r w:rsidRPr="00BB73F1">
        <w:rPr>
          <w:rFonts w:hint="cs"/>
          <w:spacing w:val="-4"/>
          <w:rtl/>
          <w:lang w:val="fr-CH"/>
        </w:rPr>
        <w:tab/>
        <w:t xml:space="preserve">اعتماد </w:t>
      </w:r>
      <w:r w:rsidR="00906D28">
        <w:rPr>
          <w:rFonts w:hint="cs"/>
          <w:spacing w:val="-4"/>
          <w:rtl/>
          <w:lang w:val="fr-CH"/>
        </w:rPr>
        <w:t>استراتيج</w:t>
      </w:r>
      <w:r w:rsidRPr="00BB73F1">
        <w:rPr>
          <w:rFonts w:hint="cs"/>
          <w:spacing w:val="-4"/>
          <w:rtl/>
          <w:lang w:val="fr-CH"/>
        </w:rPr>
        <w:t>ية وطنية لمكافحة العنف ضد الأطفال للفترة 2007-2010؛</w:t>
      </w:r>
    </w:p>
    <w:p w:rsidR="00C90C5B" w:rsidRDefault="00C90C5B" w:rsidP="00C90C5B">
      <w:pPr>
        <w:pStyle w:val="SingleTxtGA"/>
        <w:rPr>
          <w:rFonts w:hint="cs"/>
          <w:rtl/>
          <w:lang w:val="fr-CH"/>
        </w:rPr>
      </w:pPr>
      <w:r>
        <w:rPr>
          <w:rFonts w:hint="cs"/>
          <w:rtl/>
          <w:lang w:val="fr-CH"/>
        </w:rPr>
        <w:tab/>
        <w:t>(</w:t>
      </w:r>
      <w:r w:rsidRPr="007D11BB">
        <w:rPr>
          <w:rFonts w:hint="cs"/>
          <w:rtl/>
          <w:lang w:val="fr-CH"/>
        </w:rPr>
        <w:t>ﻫ</w:t>
      </w:r>
      <w:r>
        <w:rPr>
          <w:rFonts w:hint="cs"/>
          <w:rtl/>
          <w:lang w:val="fr-CH"/>
        </w:rPr>
        <w:t>)</w:t>
      </w:r>
      <w:r>
        <w:rPr>
          <w:rFonts w:hint="cs"/>
          <w:rtl/>
          <w:lang w:val="fr-CH"/>
        </w:rPr>
        <w:tab/>
        <w:t xml:space="preserve">اعتماد </w:t>
      </w:r>
      <w:r w:rsidR="00906D28">
        <w:rPr>
          <w:rFonts w:hint="cs"/>
          <w:rtl/>
          <w:lang w:val="fr-CH"/>
        </w:rPr>
        <w:t>استراتيج</w:t>
      </w:r>
      <w:r>
        <w:rPr>
          <w:rFonts w:hint="cs"/>
          <w:rtl/>
          <w:lang w:val="fr-CH"/>
        </w:rPr>
        <w:t>ية وطنية لمنع ومكافحة العنف المنزلي في البوسنة والهرسك للفترة 2008-2010؛</w:t>
      </w:r>
    </w:p>
    <w:p w:rsidR="00C90C5B" w:rsidRDefault="00C90C5B" w:rsidP="006003A5">
      <w:pPr>
        <w:pStyle w:val="SingleTxtGA"/>
        <w:rPr>
          <w:rFonts w:hint="cs"/>
          <w:rtl/>
          <w:lang w:val="fr-CH"/>
        </w:rPr>
      </w:pPr>
      <w:r>
        <w:rPr>
          <w:rFonts w:hint="cs"/>
          <w:rtl/>
          <w:lang w:val="fr-CH"/>
        </w:rPr>
        <w:tab/>
        <w:t>(و)</w:t>
      </w:r>
      <w:r>
        <w:rPr>
          <w:rFonts w:hint="cs"/>
          <w:rtl/>
          <w:lang w:val="fr-CH"/>
        </w:rPr>
        <w:tab/>
        <w:t xml:space="preserve">إنشاء فريق عامل لوضع </w:t>
      </w:r>
      <w:r w:rsidR="00906D28">
        <w:rPr>
          <w:rFonts w:hint="cs"/>
          <w:rtl/>
          <w:lang w:val="fr-CH"/>
        </w:rPr>
        <w:t>استراتيج</w:t>
      </w:r>
      <w:r>
        <w:rPr>
          <w:rFonts w:hint="cs"/>
          <w:rtl/>
          <w:lang w:val="fr-CH"/>
        </w:rPr>
        <w:t xml:space="preserve">ية الدولة للعدالة الانتقالية ترمي إلى تحسين </w:t>
      </w:r>
      <w:r w:rsidR="006003A5">
        <w:rPr>
          <w:rFonts w:hint="cs"/>
          <w:rtl/>
          <w:lang w:val="fr-CH"/>
        </w:rPr>
        <w:t xml:space="preserve">أوضاع </w:t>
      </w:r>
      <w:r>
        <w:rPr>
          <w:rFonts w:hint="cs"/>
          <w:rtl/>
          <w:lang w:val="fr-CH"/>
        </w:rPr>
        <w:t>جميع ضحايا الحرب وحمايتهم.</w:t>
      </w:r>
    </w:p>
    <w:p w:rsidR="00C90C5B" w:rsidRDefault="00C90C5B" w:rsidP="00C90C5B">
      <w:pPr>
        <w:pStyle w:val="H1GA"/>
        <w:rPr>
          <w:rFonts w:hint="cs"/>
          <w:rtl/>
          <w:lang w:val="fr-CH"/>
        </w:rPr>
      </w:pPr>
      <w:r>
        <w:rPr>
          <w:rFonts w:hint="cs"/>
          <w:rtl/>
          <w:lang w:val="fr-CH"/>
        </w:rPr>
        <w:tab/>
        <w:t>جيم -</w:t>
      </w:r>
      <w:r>
        <w:rPr>
          <w:rFonts w:hint="cs"/>
          <w:rtl/>
          <w:lang w:val="fr-CH"/>
        </w:rPr>
        <w:tab/>
        <w:t>دواع</w:t>
      </w:r>
      <w:r w:rsidR="006003A5">
        <w:rPr>
          <w:rFonts w:hint="cs"/>
          <w:rtl/>
          <w:lang w:val="fr-CH"/>
        </w:rPr>
        <w:t>ي</w:t>
      </w:r>
      <w:r>
        <w:rPr>
          <w:rFonts w:hint="cs"/>
          <w:rtl/>
          <w:lang w:val="fr-CH"/>
        </w:rPr>
        <w:t xml:space="preserve"> القلق الرئيسية والتوصيات</w:t>
      </w:r>
    </w:p>
    <w:p w:rsidR="00C90C5B" w:rsidRDefault="00C90C5B" w:rsidP="006003A5">
      <w:pPr>
        <w:pStyle w:val="H23GA"/>
        <w:rPr>
          <w:rFonts w:hint="cs"/>
          <w:rtl/>
          <w:lang w:val="fr-CH"/>
        </w:rPr>
      </w:pPr>
      <w:r>
        <w:rPr>
          <w:rFonts w:hint="cs"/>
          <w:rtl/>
          <w:lang w:val="fr-CH"/>
        </w:rPr>
        <w:tab/>
      </w:r>
      <w:r>
        <w:rPr>
          <w:rFonts w:hint="cs"/>
          <w:rtl/>
          <w:lang w:val="fr-CH"/>
        </w:rPr>
        <w:tab/>
        <w:t>جريمة التعذيب</w:t>
      </w:r>
      <w:r w:rsidR="006003A5">
        <w:rPr>
          <w:rFonts w:hint="cs"/>
          <w:rtl/>
          <w:lang w:val="fr-CH"/>
        </w:rPr>
        <w:t xml:space="preserve"> وتعريفها</w:t>
      </w:r>
    </w:p>
    <w:p w:rsidR="00C90C5B" w:rsidRDefault="00C90C5B" w:rsidP="006003A5">
      <w:pPr>
        <w:pStyle w:val="SingleTxtGA"/>
        <w:rPr>
          <w:rFonts w:hint="cs"/>
          <w:rtl/>
          <w:lang w:val="fr-CH"/>
        </w:rPr>
      </w:pPr>
      <w:r>
        <w:rPr>
          <w:rFonts w:hint="cs"/>
          <w:rtl/>
          <w:lang w:val="fr-CH"/>
        </w:rPr>
        <w:t>8-</w:t>
      </w:r>
      <w:r>
        <w:rPr>
          <w:rFonts w:hint="cs"/>
          <w:rtl/>
          <w:lang w:val="fr-CH"/>
        </w:rPr>
        <w:tab/>
        <w:t xml:space="preserve">فيما تلاحظ اللجنة أن الدولة الطرف تفكر في تعديل القانون الجنائي وتنسيق التعريف القانوني للتعذيب في الدولة وفي قوانين الكيانين، </w:t>
      </w:r>
      <w:r w:rsidR="006003A5">
        <w:rPr>
          <w:rFonts w:hint="cs"/>
          <w:rtl/>
          <w:lang w:val="fr-CH"/>
        </w:rPr>
        <w:t xml:space="preserve">إلا أنها </w:t>
      </w:r>
      <w:r>
        <w:rPr>
          <w:rFonts w:hint="cs"/>
          <w:rtl/>
          <w:lang w:val="fr-CH"/>
        </w:rPr>
        <w:t>لا تزال تشعر بالقلق لأن الدولة الطرف لم تدمج</w:t>
      </w:r>
      <w:r w:rsidR="00AB616D">
        <w:rPr>
          <w:rFonts w:hint="cs"/>
          <w:rtl/>
          <w:lang w:val="fr-CH"/>
        </w:rPr>
        <w:t xml:space="preserve">، </w:t>
      </w:r>
      <w:r>
        <w:rPr>
          <w:rFonts w:hint="cs"/>
          <w:rtl/>
          <w:lang w:val="fr-CH"/>
        </w:rPr>
        <w:t xml:space="preserve">حتى الآن، في قوانينها الداخلية جريمة التعذيب على النحو الذي تعرفه المادة 1 من الاتفاقية، </w:t>
      </w:r>
      <w:r w:rsidR="006003A5">
        <w:rPr>
          <w:rFonts w:hint="cs"/>
          <w:rtl/>
          <w:lang w:val="fr-CH"/>
        </w:rPr>
        <w:t>و</w:t>
      </w:r>
      <w:r>
        <w:rPr>
          <w:rFonts w:hint="cs"/>
          <w:rtl/>
          <w:lang w:val="fr-CH"/>
        </w:rPr>
        <w:t>لم تجرم التعذيب الممارس بتحريض من موظف عمومي أو أي شخص آخر يتصرف بصفة رسمية أو</w:t>
      </w:r>
      <w:r w:rsidRPr="005A7C6A">
        <w:rPr>
          <w:rFonts w:hint="cs"/>
          <w:rtl/>
          <w:lang w:val="fr-CH"/>
        </w:rPr>
        <w:t xml:space="preserve"> </w:t>
      </w:r>
      <w:r>
        <w:rPr>
          <w:rFonts w:hint="cs"/>
          <w:rtl/>
          <w:lang w:val="fr-CH"/>
        </w:rPr>
        <w:t>بموافقته أو سكوته (المادتان 1 و4).</w:t>
      </w:r>
    </w:p>
    <w:p w:rsidR="00C90C5B" w:rsidRPr="00C90C5B" w:rsidRDefault="00C90C5B" w:rsidP="006003A5">
      <w:pPr>
        <w:pStyle w:val="SingleTxtGA"/>
        <w:ind w:left="1928"/>
        <w:rPr>
          <w:rFonts w:hint="cs"/>
          <w:b/>
          <w:bCs/>
          <w:rtl/>
        </w:rPr>
      </w:pPr>
      <w:r w:rsidRPr="00C90C5B">
        <w:rPr>
          <w:rFonts w:hint="cs"/>
          <w:b/>
          <w:bCs/>
          <w:rtl/>
          <w:lang w:val="fr-CH"/>
        </w:rPr>
        <w:tab/>
        <w:t>تحث اللجنة الدولة الطرف، وفقاً لتوصياتها السابقة (</w:t>
      </w:r>
      <w:r w:rsidRPr="00C90C5B">
        <w:rPr>
          <w:b/>
          <w:bCs/>
          <w:szCs w:val="20"/>
        </w:rPr>
        <w:t>CAT/C/BIH/CO/1</w:t>
      </w:r>
      <w:r w:rsidRPr="00C90C5B">
        <w:rPr>
          <w:rFonts w:hint="cs"/>
          <w:b/>
          <w:bCs/>
          <w:rtl/>
        </w:rPr>
        <w:t>، الفقرة</w:t>
      </w:r>
      <w:r>
        <w:rPr>
          <w:rFonts w:hint="eastAsia"/>
          <w:b/>
          <w:bCs/>
          <w:rtl/>
        </w:rPr>
        <w:t> </w:t>
      </w:r>
      <w:r w:rsidRPr="00C90C5B">
        <w:rPr>
          <w:rFonts w:hint="cs"/>
          <w:b/>
          <w:bCs/>
          <w:rtl/>
        </w:rPr>
        <w:t>9) على التعجيل بعملية إدراج جريمة التعذيب، كما عرفتها الاتفاقية، في قوانين الدولة الطرف وكذلك مواءمة التعريف القانوني للتعذيب في جمهورية صربسكا ومقاطعة</w:t>
      </w:r>
      <w:r>
        <w:rPr>
          <w:rFonts w:hint="eastAsia"/>
          <w:b/>
          <w:bCs/>
          <w:rtl/>
        </w:rPr>
        <w:t> </w:t>
      </w:r>
      <w:r w:rsidRPr="00C90C5B">
        <w:rPr>
          <w:rFonts w:hint="cs"/>
          <w:b/>
          <w:bCs/>
          <w:rtl/>
        </w:rPr>
        <w:t xml:space="preserve">برتشكو مع القانون الجنائي </w:t>
      </w:r>
      <w:r w:rsidR="006003A5">
        <w:rPr>
          <w:rFonts w:hint="cs"/>
          <w:b/>
          <w:bCs/>
          <w:rtl/>
        </w:rPr>
        <w:t>ل</w:t>
      </w:r>
      <w:r w:rsidRPr="00C90C5B">
        <w:rPr>
          <w:rFonts w:hint="cs"/>
          <w:b/>
          <w:bCs/>
          <w:rtl/>
        </w:rPr>
        <w:t>لبوسنة والهرسك.</w:t>
      </w:r>
    </w:p>
    <w:p w:rsidR="00C90C5B" w:rsidRPr="00C90C5B" w:rsidRDefault="00C90C5B" w:rsidP="006003A5">
      <w:pPr>
        <w:pStyle w:val="SingleTxtGA"/>
        <w:ind w:left="1928"/>
        <w:rPr>
          <w:rFonts w:hint="cs"/>
          <w:b/>
          <w:bCs/>
          <w:rtl/>
        </w:rPr>
      </w:pPr>
      <w:r>
        <w:rPr>
          <w:rFonts w:hint="cs"/>
          <w:rtl/>
        </w:rPr>
        <w:tab/>
      </w:r>
      <w:r w:rsidRPr="00C90C5B">
        <w:rPr>
          <w:rFonts w:hint="cs"/>
          <w:b/>
          <w:bCs/>
          <w:rtl/>
        </w:rPr>
        <w:t>ينبغي للدولة الطرف أن تكفل أيضاً معاقبة هذه الجرائم بعقوبات مناسبة تُراعي طابعها الخطير على النحو المنصوص عليه في الفقرة 2 من المادة 4 من الاتفاقية.</w:t>
      </w:r>
    </w:p>
    <w:p w:rsidR="00C90C5B" w:rsidRDefault="00C90C5B" w:rsidP="00C90C5B">
      <w:pPr>
        <w:pStyle w:val="H23GA"/>
        <w:rPr>
          <w:rFonts w:hint="cs"/>
          <w:rtl/>
        </w:rPr>
      </w:pPr>
      <w:r>
        <w:rPr>
          <w:rFonts w:hint="cs"/>
          <w:rtl/>
        </w:rPr>
        <w:tab/>
      </w:r>
      <w:r>
        <w:rPr>
          <w:rFonts w:hint="cs"/>
          <w:rtl/>
        </w:rPr>
        <w:tab/>
        <w:t xml:space="preserve">جرائم الاغتصاب وغيره من أشكال الاعتداء الجنسي بوصفها جرائم حرب </w:t>
      </w:r>
    </w:p>
    <w:p w:rsidR="00C90C5B" w:rsidRDefault="00C90C5B" w:rsidP="006003A5">
      <w:pPr>
        <w:pStyle w:val="SingleTxtGA"/>
        <w:rPr>
          <w:rFonts w:hint="cs"/>
          <w:rtl/>
        </w:rPr>
      </w:pPr>
      <w:r>
        <w:rPr>
          <w:rFonts w:hint="cs"/>
          <w:rtl/>
        </w:rPr>
        <w:t>9-</w:t>
      </w:r>
      <w:r>
        <w:rPr>
          <w:rFonts w:hint="cs"/>
          <w:rtl/>
        </w:rPr>
        <w:tab/>
        <w:t xml:space="preserve">تعرب اللجنة عن بالغ </w:t>
      </w:r>
      <w:r w:rsidR="006003A5">
        <w:rPr>
          <w:rFonts w:hint="cs"/>
          <w:rtl/>
        </w:rPr>
        <w:t xml:space="preserve">قلقها </w:t>
      </w:r>
      <w:r>
        <w:rPr>
          <w:rFonts w:hint="cs"/>
          <w:rtl/>
        </w:rPr>
        <w:t>لأن تعريف جرائم الاعتداء الجنسي في القانون الجنائي</w:t>
      </w:r>
      <w:r w:rsidRPr="0017199C">
        <w:rPr>
          <w:rFonts w:hint="cs"/>
          <w:rtl/>
        </w:rPr>
        <w:t xml:space="preserve"> </w:t>
      </w:r>
      <w:r w:rsidR="006003A5">
        <w:rPr>
          <w:rFonts w:hint="cs"/>
          <w:rtl/>
        </w:rPr>
        <w:t>ب</w:t>
      </w:r>
      <w:r w:rsidR="00BB73F1">
        <w:rPr>
          <w:rFonts w:hint="cs"/>
          <w:rtl/>
        </w:rPr>
        <w:t>أ</w:t>
      </w:r>
      <w:r>
        <w:rPr>
          <w:rFonts w:hint="cs"/>
          <w:rtl/>
        </w:rPr>
        <w:t>نها جرائم حرب لا يتمشى مع التعريف الوارد في المعايير الدولية والسوابق القضائية للمحاكم الدولية ولأن المادتين 172 و173 من القانون الجنائي بصفة خاصة، قد تؤديان إلى الإفلات من العقاب على هذه الجرائم. وفضلاً عن ذلك، لا تزال اللجنة تشعر بالقلق لانعدام توفر بيانات دقيقة ومستوفاة بشأن عدد ضحايا الاغتصاب وغيره من أفعال الاعتداء الجنسي في زمن الحرب (المادتان 1 و4).</w:t>
      </w:r>
    </w:p>
    <w:p w:rsidR="00C90C5B" w:rsidRDefault="00C90C5B" w:rsidP="006003A5">
      <w:pPr>
        <w:pStyle w:val="SingleTxtGA"/>
        <w:ind w:left="1928"/>
        <w:rPr>
          <w:rFonts w:hint="cs"/>
          <w:b/>
          <w:bCs/>
          <w:rtl/>
        </w:rPr>
      </w:pPr>
      <w:r>
        <w:rPr>
          <w:rFonts w:hint="cs"/>
          <w:b/>
          <w:bCs/>
          <w:rtl/>
        </w:rPr>
        <w:tab/>
        <w:t>توصي اللجنة الدولة الطرف بتعديل القانون الجنائي ليتضمن تعريفاً للعنف الجنسي وفقاً للمعايير الدولية والسوابق القضائية ذات الصلة بمحاكمة مرتكبي جرائم الحرب المتمثلة في العنف الجنسي، واستبعاد شرط "القوة أو التهديد با</w:t>
      </w:r>
      <w:r w:rsidR="006003A5">
        <w:rPr>
          <w:rFonts w:hint="cs"/>
          <w:b/>
          <w:bCs/>
          <w:rtl/>
        </w:rPr>
        <w:t>لا</w:t>
      </w:r>
      <w:r>
        <w:rPr>
          <w:rFonts w:hint="cs"/>
          <w:b/>
          <w:bCs/>
          <w:rtl/>
        </w:rPr>
        <w:t xml:space="preserve">عتداء </w:t>
      </w:r>
      <w:r w:rsidR="006003A5">
        <w:rPr>
          <w:rFonts w:hint="cs"/>
          <w:b/>
          <w:bCs/>
          <w:rtl/>
        </w:rPr>
        <w:t>ال</w:t>
      </w:r>
      <w:r>
        <w:rPr>
          <w:rFonts w:hint="cs"/>
          <w:b/>
          <w:bCs/>
          <w:rtl/>
        </w:rPr>
        <w:t xml:space="preserve">مباشر" من التعريف الحالي. وكذلك، ينبغي للدولة الطرف أن تضمّن تقريرها المقبل بيانات إحصائية عن الحالات التي لم يُبت فيها </w:t>
      </w:r>
      <w:r w:rsidR="006003A5">
        <w:rPr>
          <w:rFonts w:hint="cs"/>
          <w:b/>
          <w:bCs/>
          <w:rtl/>
        </w:rPr>
        <w:t>و</w:t>
      </w:r>
      <w:r>
        <w:rPr>
          <w:rFonts w:hint="cs"/>
          <w:b/>
          <w:bCs/>
          <w:rtl/>
        </w:rPr>
        <w:t>المتعلقة بالاغتصاب وغيره من أشكال العنف الجنسي في زمن الحرب.</w:t>
      </w:r>
    </w:p>
    <w:p w:rsidR="00C90C5B" w:rsidRDefault="00C90C5B" w:rsidP="00C90C5B">
      <w:pPr>
        <w:pStyle w:val="H23GA"/>
        <w:rPr>
          <w:rFonts w:hint="cs"/>
          <w:rtl/>
        </w:rPr>
      </w:pPr>
      <w:r>
        <w:rPr>
          <w:rFonts w:hint="cs"/>
          <w:rtl/>
        </w:rPr>
        <w:tab/>
      </w:r>
      <w:r>
        <w:rPr>
          <w:rFonts w:hint="cs"/>
          <w:rtl/>
        </w:rPr>
        <w:tab/>
        <w:t>الضمانات القانونية الأساسية</w:t>
      </w:r>
    </w:p>
    <w:p w:rsidR="00C90C5B" w:rsidRDefault="00C90C5B" w:rsidP="006E521A">
      <w:pPr>
        <w:pStyle w:val="SingleTxtGA"/>
        <w:spacing w:line="360" w:lineRule="exact"/>
        <w:rPr>
          <w:rFonts w:hint="cs"/>
          <w:rtl/>
        </w:rPr>
      </w:pPr>
      <w:r>
        <w:rPr>
          <w:rFonts w:hint="cs"/>
          <w:rtl/>
        </w:rPr>
        <w:t>10-</w:t>
      </w:r>
      <w:r>
        <w:rPr>
          <w:rFonts w:hint="cs"/>
          <w:rtl/>
        </w:rPr>
        <w:tab/>
        <w:t>تلاحظ اللجنة</w:t>
      </w:r>
      <w:r w:rsidR="00AB616D">
        <w:rPr>
          <w:rFonts w:hint="cs"/>
          <w:rtl/>
        </w:rPr>
        <w:t xml:space="preserve">، </w:t>
      </w:r>
      <w:r>
        <w:rPr>
          <w:rFonts w:hint="cs"/>
          <w:rtl/>
        </w:rPr>
        <w:t>مع القلق، أن الأشخاص المحرومين من حريتهم لا يحصلون</w:t>
      </w:r>
      <w:r w:rsidR="00AB616D">
        <w:rPr>
          <w:rFonts w:hint="cs"/>
          <w:rtl/>
        </w:rPr>
        <w:t xml:space="preserve">، </w:t>
      </w:r>
      <w:r>
        <w:rPr>
          <w:rFonts w:hint="cs"/>
          <w:rtl/>
        </w:rPr>
        <w:t>عملياً، على كافة الضمانات القانونية الأساسية ابتداءً من لحظة احتجازهم (المادة 2).</w:t>
      </w:r>
    </w:p>
    <w:p w:rsidR="00C90C5B" w:rsidRDefault="00C90C5B" w:rsidP="00E84B24">
      <w:pPr>
        <w:pStyle w:val="SingleTxtGA"/>
        <w:spacing w:line="360" w:lineRule="exact"/>
        <w:ind w:left="1928"/>
        <w:rPr>
          <w:rFonts w:hint="cs"/>
          <w:b/>
          <w:bCs/>
          <w:rtl/>
        </w:rPr>
      </w:pPr>
      <w:r>
        <w:rPr>
          <w:rFonts w:hint="cs"/>
          <w:rtl/>
        </w:rPr>
        <w:tab/>
      </w:r>
      <w:r>
        <w:rPr>
          <w:rFonts w:hint="cs"/>
          <w:b/>
          <w:bCs/>
          <w:rtl/>
        </w:rPr>
        <w:t>توصي اللجنة الدولة الطرف بأن تتخذ جميع الضمانات القانونية والإدارية اللازمة لضمان تمتع المشتبه فيهم بالحق في الاتصال بمحام وبطبيب مستقل، يفضل أن يكون ذلك من خيارهم، وبإبلاغ أحد أقاربهم، وبإبلاغهم بحقوقهم وقت الاحتجاز، وبإحضارهم فوراً أمام قاض وفقاً للمعايير الدولية بغض النظر عن طبيعة الجريمة المزعومة.</w:t>
      </w:r>
    </w:p>
    <w:p w:rsidR="00C90C5B" w:rsidRDefault="00C90C5B" w:rsidP="006E521A">
      <w:pPr>
        <w:pStyle w:val="H23GA"/>
        <w:rPr>
          <w:rFonts w:hint="cs"/>
          <w:rtl/>
        </w:rPr>
      </w:pPr>
      <w:r>
        <w:rPr>
          <w:rFonts w:hint="cs"/>
          <w:rtl/>
        </w:rPr>
        <w:tab/>
      </w:r>
      <w:r>
        <w:rPr>
          <w:rFonts w:hint="cs"/>
          <w:rtl/>
        </w:rPr>
        <w:tab/>
        <w:t>أمين المظالم</w:t>
      </w:r>
    </w:p>
    <w:p w:rsidR="00C90C5B" w:rsidRDefault="00C90C5B" w:rsidP="00E84B24">
      <w:pPr>
        <w:pStyle w:val="SingleTxtGA"/>
        <w:spacing w:line="360" w:lineRule="exact"/>
        <w:rPr>
          <w:rFonts w:hint="cs"/>
          <w:rtl/>
        </w:rPr>
      </w:pPr>
      <w:r>
        <w:rPr>
          <w:rFonts w:hint="cs"/>
          <w:rtl/>
        </w:rPr>
        <w:t>11-</w:t>
      </w:r>
      <w:r>
        <w:rPr>
          <w:rFonts w:hint="cs"/>
          <w:rtl/>
        </w:rPr>
        <w:tab/>
      </w:r>
      <w:r w:rsidR="004D0A9E">
        <w:rPr>
          <w:rFonts w:hint="cs"/>
          <w:rtl/>
        </w:rPr>
        <w:t xml:space="preserve">فيما تأخذ اللجنة علماً </w:t>
      </w:r>
      <w:r w:rsidR="00E84B24">
        <w:rPr>
          <w:rFonts w:hint="cs"/>
          <w:rtl/>
        </w:rPr>
        <w:t>ب</w:t>
      </w:r>
      <w:r>
        <w:rPr>
          <w:rFonts w:hint="cs"/>
          <w:rtl/>
        </w:rPr>
        <w:t>توحيد مؤسسات أمين المظالم</w:t>
      </w:r>
      <w:r w:rsidR="004D0A9E" w:rsidRPr="004D0A9E">
        <w:rPr>
          <w:rFonts w:hint="cs"/>
          <w:rtl/>
        </w:rPr>
        <w:t xml:space="preserve"> </w:t>
      </w:r>
      <w:r w:rsidR="004D0A9E">
        <w:rPr>
          <w:rFonts w:hint="cs"/>
          <w:rtl/>
        </w:rPr>
        <w:t>مؤخراً</w:t>
      </w:r>
      <w:r>
        <w:rPr>
          <w:rFonts w:hint="cs"/>
          <w:rtl/>
        </w:rPr>
        <w:t>، في مكتب واحد للدولة هو مكتب أمين مظالم حقوق الإنسان</w:t>
      </w:r>
      <w:r w:rsidR="00E84B24">
        <w:rPr>
          <w:rFonts w:hint="cs"/>
          <w:rtl/>
        </w:rPr>
        <w:t>،</w:t>
      </w:r>
      <w:r>
        <w:rPr>
          <w:rFonts w:hint="cs"/>
          <w:rtl/>
        </w:rPr>
        <w:t xml:space="preserve"> وبتوسيع نطاق مهامه، يساورها القلق إزاء التقارير التي تفيد بانعدام استقلالية أمين المظالم، </w:t>
      </w:r>
      <w:r w:rsidR="004D0A9E">
        <w:rPr>
          <w:rFonts w:hint="cs"/>
          <w:rtl/>
        </w:rPr>
        <w:t xml:space="preserve">وفعاليته </w:t>
      </w:r>
      <w:r>
        <w:rPr>
          <w:rFonts w:hint="cs"/>
          <w:rtl/>
        </w:rPr>
        <w:t>المزعو</w:t>
      </w:r>
      <w:r w:rsidR="00E84B24">
        <w:rPr>
          <w:rFonts w:hint="cs"/>
          <w:rtl/>
        </w:rPr>
        <w:t>مة</w:t>
      </w:r>
      <w:r>
        <w:rPr>
          <w:rFonts w:hint="cs"/>
          <w:rtl/>
        </w:rPr>
        <w:t xml:space="preserve">، وكذلك الحاجة إلى تخصيص موارد كافية بغية أدائه لولاية منصبه. وتأسف اللجنة </w:t>
      </w:r>
      <w:r w:rsidR="004D0A9E">
        <w:rPr>
          <w:rFonts w:hint="cs"/>
          <w:rtl/>
        </w:rPr>
        <w:t xml:space="preserve">لعدم وجود </w:t>
      </w:r>
      <w:r>
        <w:rPr>
          <w:rFonts w:hint="cs"/>
          <w:rtl/>
        </w:rPr>
        <w:t>تفسير واضح لتدابير المتابعة المتخذة من جانب السلطات المختصة رداً على توصيات أمين المظالم بشأن مختلف أماكن الاحتجاز (</w:t>
      </w:r>
      <w:r w:rsidRPr="00C67BCB">
        <w:rPr>
          <w:szCs w:val="20"/>
        </w:rPr>
        <w:t>CAT/C/BIH/2-5</w:t>
      </w:r>
      <w:r>
        <w:rPr>
          <w:rFonts w:hint="cs"/>
          <w:rtl/>
        </w:rPr>
        <w:t>، الفقرة 227)</w:t>
      </w:r>
      <w:r w:rsidR="00BB73F1">
        <w:rPr>
          <w:rFonts w:hint="cs"/>
          <w:rtl/>
        </w:rPr>
        <w:t xml:space="preserve"> </w:t>
      </w:r>
      <w:r>
        <w:rPr>
          <w:rFonts w:hint="cs"/>
          <w:rtl/>
        </w:rPr>
        <w:t>(المادة</w:t>
      </w:r>
      <w:r w:rsidR="00BB73F1">
        <w:rPr>
          <w:rFonts w:hint="cs"/>
          <w:rtl/>
        </w:rPr>
        <w:t xml:space="preserve"> </w:t>
      </w:r>
      <w:r>
        <w:rPr>
          <w:rFonts w:hint="cs"/>
          <w:rtl/>
        </w:rPr>
        <w:t>2).</w:t>
      </w:r>
    </w:p>
    <w:p w:rsidR="00C90C5B" w:rsidRDefault="00C90C5B" w:rsidP="006E521A">
      <w:pPr>
        <w:pStyle w:val="SingleTxtGA"/>
        <w:spacing w:line="360" w:lineRule="exact"/>
        <w:ind w:left="1928"/>
        <w:rPr>
          <w:rFonts w:hint="cs"/>
          <w:b/>
          <w:bCs/>
          <w:rtl/>
        </w:rPr>
      </w:pPr>
      <w:r>
        <w:rPr>
          <w:rFonts w:hint="cs"/>
          <w:b/>
          <w:bCs/>
          <w:rtl/>
        </w:rPr>
        <w:tab/>
        <w:t>يتعين على الدولة الطرف أن تزيد جهودها لإعادة تشكيل وتعزيز مكتب أمين المظالم من خلال ما يلي:</w:t>
      </w:r>
    </w:p>
    <w:p w:rsidR="00C90C5B" w:rsidRDefault="00C90C5B" w:rsidP="006E521A">
      <w:pPr>
        <w:pStyle w:val="SingleTxtGA"/>
        <w:spacing w:line="360" w:lineRule="exact"/>
        <w:ind w:left="1928"/>
        <w:rPr>
          <w:rFonts w:hint="cs"/>
          <w:b/>
          <w:bCs/>
          <w:rtl/>
        </w:rPr>
      </w:pPr>
      <w:r>
        <w:rPr>
          <w:rFonts w:hint="cs"/>
          <w:b/>
          <w:bCs/>
          <w:rtl/>
        </w:rPr>
        <w:tab/>
        <w:t>(أ)</w:t>
      </w:r>
      <w:r>
        <w:rPr>
          <w:rFonts w:hint="cs"/>
          <w:b/>
          <w:bCs/>
          <w:rtl/>
        </w:rPr>
        <w:tab/>
        <w:t>اعتماد عملية تقوم على زيادة التشاور والانفتاح من أجل انتخاب وتعيين أمين المظالم بغية ضمان استقلاليته وفقاً للمبادئ المتعلقة بمركز المؤسسات الوطنية لتعزيز وحماية حقوق الإنسان (مبادئ باريس، قرار الجمعية العامة 48/134)؛</w:t>
      </w:r>
    </w:p>
    <w:p w:rsidR="00C90C5B" w:rsidRDefault="00C90C5B" w:rsidP="006E521A">
      <w:pPr>
        <w:pStyle w:val="SingleTxtGA"/>
        <w:spacing w:line="360" w:lineRule="exact"/>
        <w:ind w:left="1928"/>
        <w:rPr>
          <w:rFonts w:hint="cs"/>
          <w:b/>
          <w:bCs/>
          <w:rtl/>
        </w:rPr>
      </w:pPr>
      <w:r>
        <w:rPr>
          <w:rFonts w:hint="cs"/>
          <w:b/>
          <w:bCs/>
          <w:rtl/>
        </w:rPr>
        <w:tab/>
        <w:t>(ب)</w:t>
      </w:r>
      <w:r>
        <w:rPr>
          <w:rFonts w:hint="cs"/>
          <w:b/>
          <w:bCs/>
          <w:rtl/>
        </w:rPr>
        <w:tab/>
      </w:r>
      <w:r w:rsidR="004D0A9E">
        <w:rPr>
          <w:rFonts w:hint="cs"/>
          <w:b/>
          <w:bCs/>
          <w:rtl/>
        </w:rPr>
        <w:t>توفير</w:t>
      </w:r>
      <w:r>
        <w:rPr>
          <w:rFonts w:hint="cs"/>
          <w:b/>
          <w:bCs/>
          <w:rtl/>
        </w:rPr>
        <w:t xml:space="preserve"> الموارد البشرية والمادية والمالية الكافية؛</w:t>
      </w:r>
    </w:p>
    <w:p w:rsidR="00C90C5B" w:rsidRDefault="00C90C5B" w:rsidP="006E521A">
      <w:pPr>
        <w:pStyle w:val="SingleTxtGA"/>
        <w:spacing w:line="360" w:lineRule="exact"/>
        <w:ind w:left="1928"/>
        <w:rPr>
          <w:rFonts w:hint="cs"/>
          <w:b/>
          <w:bCs/>
          <w:rtl/>
        </w:rPr>
      </w:pPr>
      <w:r>
        <w:rPr>
          <w:rFonts w:hint="cs"/>
          <w:b/>
          <w:bCs/>
          <w:rtl/>
        </w:rPr>
        <w:tab/>
        <w:t>(ج)</w:t>
      </w:r>
      <w:r>
        <w:rPr>
          <w:rFonts w:hint="cs"/>
          <w:b/>
          <w:bCs/>
          <w:rtl/>
        </w:rPr>
        <w:tab/>
        <w:t xml:space="preserve">تطوير قدرات أمين المظالم لرصد جميع أمكان الاحتجاز في حال </w:t>
      </w:r>
      <w:r w:rsidR="004D0A9E">
        <w:rPr>
          <w:rFonts w:hint="cs"/>
          <w:b/>
          <w:bCs/>
          <w:rtl/>
        </w:rPr>
        <w:t>غياب</w:t>
      </w:r>
      <w:r>
        <w:rPr>
          <w:rFonts w:hint="cs"/>
          <w:b/>
          <w:bCs/>
          <w:rtl/>
        </w:rPr>
        <w:t xml:space="preserve"> مفتشية مستقلة للسجون؛</w:t>
      </w:r>
    </w:p>
    <w:p w:rsidR="00C90C5B" w:rsidRDefault="00C90C5B" w:rsidP="006E521A">
      <w:pPr>
        <w:pStyle w:val="SingleTxtGA"/>
        <w:spacing w:line="360" w:lineRule="exact"/>
        <w:ind w:left="1928"/>
        <w:rPr>
          <w:rFonts w:hint="cs"/>
          <w:b/>
          <w:bCs/>
          <w:rtl/>
        </w:rPr>
      </w:pPr>
      <w:r>
        <w:rPr>
          <w:rFonts w:hint="cs"/>
          <w:b/>
          <w:bCs/>
          <w:rtl/>
        </w:rPr>
        <w:tab/>
        <w:t>(د)</w:t>
      </w:r>
      <w:r>
        <w:rPr>
          <w:rFonts w:hint="cs"/>
          <w:b/>
          <w:bCs/>
          <w:rtl/>
        </w:rPr>
        <w:tab/>
        <w:t>ضمان تنفيذ توصيات أمين المظالم.</w:t>
      </w:r>
    </w:p>
    <w:p w:rsidR="00C90C5B" w:rsidRDefault="00C90C5B" w:rsidP="00C90C5B">
      <w:pPr>
        <w:pStyle w:val="H23GA"/>
        <w:rPr>
          <w:rFonts w:hint="cs"/>
          <w:rtl/>
        </w:rPr>
      </w:pPr>
      <w:r>
        <w:rPr>
          <w:rFonts w:hint="cs"/>
          <w:rtl/>
        </w:rPr>
        <w:tab/>
      </w:r>
      <w:r>
        <w:rPr>
          <w:rFonts w:hint="cs"/>
          <w:rtl/>
        </w:rPr>
        <w:tab/>
        <w:t>الإفلات من العقاب</w:t>
      </w:r>
    </w:p>
    <w:p w:rsidR="00C90C5B" w:rsidRDefault="00C90C5B" w:rsidP="00E84B24">
      <w:pPr>
        <w:pStyle w:val="SingleTxtGA"/>
        <w:rPr>
          <w:rFonts w:hint="cs"/>
          <w:rtl/>
        </w:rPr>
      </w:pPr>
      <w:r>
        <w:rPr>
          <w:rFonts w:hint="cs"/>
          <w:rtl/>
        </w:rPr>
        <w:t>12-</w:t>
      </w:r>
      <w:r>
        <w:rPr>
          <w:rFonts w:hint="cs"/>
          <w:rtl/>
        </w:rPr>
        <w:tab/>
        <w:t xml:space="preserve">تأخذ اللجنة علماً باعتماد الدولة الطرف </w:t>
      </w:r>
      <w:r w:rsidR="00906D28">
        <w:rPr>
          <w:rFonts w:hint="cs"/>
          <w:rtl/>
        </w:rPr>
        <w:t>استراتيج</w:t>
      </w:r>
      <w:r>
        <w:rPr>
          <w:rFonts w:hint="cs"/>
          <w:rtl/>
        </w:rPr>
        <w:t>ية للتصدي لحالات جرائم الحرب وببعض التقدم المحرز في محاكمة الأشخاص المس</w:t>
      </w:r>
      <w:r w:rsidR="00E84B24">
        <w:rPr>
          <w:rFonts w:hint="cs"/>
          <w:rtl/>
        </w:rPr>
        <w:t>ؤ</w:t>
      </w:r>
      <w:r>
        <w:rPr>
          <w:rFonts w:hint="cs"/>
          <w:rtl/>
        </w:rPr>
        <w:t>ولين عن أفعال التعذيب المرتكب</w:t>
      </w:r>
      <w:r w:rsidR="004D0A9E">
        <w:rPr>
          <w:rFonts w:hint="cs"/>
          <w:rtl/>
        </w:rPr>
        <w:t>ة خلال فترة النزاع 1992-</w:t>
      </w:r>
      <w:r>
        <w:rPr>
          <w:rFonts w:hint="cs"/>
          <w:rtl/>
        </w:rPr>
        <w:t>1995</w:t>
      </w:r>
      <w:r w:rsidR="004D0A9E">
        <w:rPr>
          <w:rFonts w:hint="cs"/>
          <w:rtl/>
        </w:rPr>
        <w:t>،</w:t>
      </w:r>
      <w:r>
        <w:rPr>
          <w:rFonts w:hint="cs"/>
          <w:rtl/>
        </w:rPr>
        <w:t xml:space="preserve"> بما في ذلك الاغتصاب وغيره من أفعال الاعتداء الجنسي المرتكبة في زمن الحرب. ومع ذلك، يساور اللجنة قلق بالغ لأنه </w:t>
      </w:r>
      <w:r w:rsidR="004D0A9E">
        <w:rPr>
          <w:rFonts w:hint="cs"/>
          <w:rtl/>
        </w:rPr>
        <w:t xml:space="preserve">بالنظر إلى </w:t>
      </w:r>
      <w:r>
        <w:rPr>
          <w:rFonts w:hint="cs"/>
          <w:rtl/>
        </w:rPr>
        <w:t xml:space="preserve">عدد الجرائم المرتكبة في زمن الحرب يتضح أن عدد </w:t>
      </w:r>
      <w:r w:rsidR="004D0A9E">
        <w:rPr>
          <w:rFonts w:hint="cs"/>
          <w:rtl/>
        </w:rPr>
        <w:t xml:space="preserve">القضايا </w:t>
      </w:r>
      <w:r>
        <w:rPr>
          <w:rFonts w:hint="cs"/>
          <w:rtl/>
        </w:rPr>
        <w:t xml:space="preserve">التي </w:t>
      </w:r>
      <w:r w:rsidR="004D0A9E">
        <w:rPr>
          <w:rFonts w:hint="cs"/>
          <w:rtl/>
        </w:rPr>
        <w:t>حكمت فيها</w:t>
      </w:r>
      <w:r w:rsidR="00AB616D">
        <w:rPr>
          <w:rFonts w:hint="cs"/>
          <w:rtl/>
        </w:rPr>
        <w:t xml:space="preserve"> </w:t>
      </w:r>
      <w:r>
        <w:rPr>
          <w:rFonts w:hint="cs"/>
          <w:rtl/>
        </w:rPr>
        <w:t>حتى الآن</w:t>
      </w:r>
      <w:r w:rsidR="004D0A9E">
        <w:rPr>
          <w:rFonts w:hint="cs"/>
          <w:rtl/>
        </w:rPr>
        <w:t xml:space="preserve"> هيئة القضاء في البوسنة والهرسك</w:t>
      </w:r>
      <w:r>
        <w:rPr>
          <w:rFonts w:hint="cs"/>
          <w:rtl/>
        </w:rPr>
        <w:t xml:space="preserve"> منخفض للغاية</w:t>
      </w:r>
      <w:r w:rsidR="004D0A9E">
        <w:rPr>
          <w:rFonts w:hint="cs"/>
          <w:rtl/>
        </w:rPr>
        <w:t>،</w:t>
      </w:r>
      <w:r>
        <w:rPr>
          <w:rFonts w:hint="cs"/>
          <w:rtl/>
        </w:rPr>
        <w:t xml:space="preserve"> وأن المحاكم المحلية لا تزال تواجه عقبات خطيرة في محاكمة مرتكبي جرائم الحرب. وفضلاً عن ذلك، تعرب اللجنة عن قلق بالغ لأن عدداً كبيراً من الأحكام الصادرة عن المحكمة الدستورية لم تنفذ وذلك حتى بعد مرور سنوات عديدة على اعتمادها</w:t>
      </w:r>
      <w:r w:rsidR="004D0A9E">
        <w:rPr>
          <w:rFonts w:hint="cs"/>
          <w:rtl/>
        </w:rPr>
        <w:t>،</w:t>
      </w:r>
      <w:r>
        <w:rPr>
          <w:rFonts w:hint="cs"/>
          <w:rtl/>
        </w:rPr>
        <w:t xml:space="preserve"> و</w:t>
      </w:r>
      <w:r w:rsidR="004D0A9E">
        <w:rPr>
          <w:rFonts w:hint="cs"/>
          <w:rtl/>
        </w:rPr>
        <w:t>ل</w:t>
      </w:r>
      <w:r>
        <w:rPr>
          <w:rFonts w:hint="cs"/>
          <w:rtl/>
        </w:rPr>
        <w:t xml:space="preserve">أن معظم </w:t>
      </w:r>
      <w:r w:rsidR="004D0A9E">
        <w:rPr>
          <w:rFonts w:hint="cs"/>
          <w:rtl/>
        </w:rPr>
        <w:t>ال</w:t>
      </w:r>
      <w:r>
        <w:rPr>
          <w:rFonts w:hint="cs"/>
          <w:rtl/>
        </w:rPr>
        <w:t xml:space="preserve">قرارات </w:t>
      </w:r>
      <w:r w:rsidR="004D0A9E">
        <w:rPr>
          <w:rFonts w:hint="cs"/>
          <w:rtl/>
        </w:rPr>
        <w:t xml:space="preserve">غير المنفذة </w:t>
      </w:r>
      <w:r>
        <w:rPr>
          <w:rFonts w:hint="cs"/>
          <w:rtl/>
        </w:rPr>
        <w:t>الصادرة عن المحكمة الدستورية تتعلق بحالات انتهاك حقوق الإنسان، و</w:t>
      </w:r>
      <w:r w:rsidR="006003A5">
        <w:rPr>
          <w:rFonts w:hint="cs"/>
          <w:rtl/>
        </w:rPr>
        <w:t>لا سيما</w:t>
      </w:r>
      <w:r>
        <w:rPr>
          <w:rFonts w:hint="cs"/>
          <w:rtl/>
        </w:rPr>
        <w:t xml:space="preserve"> حالات الأشخاص المفقودين (المواد 2 و9 و12).</w:t>
      </w:r>
    </w:p>
    <w:p w:rsidR="00C90C5B" w:rsidRDefault="00C90C5B" w:rsidP="004D0A9E">
      <w:pPr>
        <w:pStyle w:val="SingleTxtGA"/>
        <w:ind w:left="1928"/>
        <w:rPr>
          <w:rFonts w:hint="cs"/>
          <w:b/>
          <w:bCs/>
          <w:rtl/>
        </w:rPr>
      </w:pPr>
      <w:r>
        <w:rPr>
          <w:rFonts w:hint="cs"/>
          <w:rtl/>
        </w:rPr>
        <w:tab/>
      </w:r>
      <w:r>
        <w:rPr>
          <w:rFonts w:hint="cs"/>
          <w:b/>
          <w:bCs/>
          <w:rtl/>
        </w:rPr>
        <w:t>تحث اللجنة الدولة الطرف على مكافحة الإفلات من العقاب من خلال ضمان إجراء تحقيق فوري وفعال في جميع الإدعاءات المتعلقة بالجرائم المرتكبة في زمن الحرب ومكافحة ومعاقبة مرتكبي هذه الجرائم بعقوبات تتمشى والطبيعة الخطرة لهذه الجرائم. وفي هذا الصدد، تشجع اللجنة الدولة الطرف على تقديم المساعدة القضائية المتبادلة في جميع المسائل المتعلقة بالمحاكمات الجنائية ومواصلة تعزيز التعاون مع المحكمة الجنائية الدولية ليوغ</w:t>
      </w:r>
      <w:r w:rsidR="00E84B24">
        <w:rPr>
          <w:rFonts w:hint="cs"/>
          <w:b/>
          <w:bCs/>
          <w:rtl/>
        </w:rPr>
        <w:t>و</w:t>
      </w:r>
      <w:r>
        <w:rPr>
          <w:rFonts w:hint="cs"/>
          <w:b/>
          <w:bCs/>
          <w:rtl/>
        </w:rPr>
        <w:t>سلافيا السابقة. وفضلاً عن ذلك، من الضروري تنفيذ أحكام المحكمة الدستورية تنفيذاً كاملاً دون مزيد من التأخير، و</w:t>
      </w:r>
      <w:r w:rsidR="006003A5">
        <w:rPr>
          <w:rFonts w:hint="cs"/>
          <w:b/>
          <w:bCs/>
          <w:rtl/>
        </w:rPr>
        <w:t>لا سيما</w:t>
      </w:r>
      <w:r>
        <w:rPr>
          <w:rFonts w:hint="cs"/>
          <w:b/>
          <w:bCs/>
          <w:rtl/>
        </w:rPr>
        <w:t xml:space="preserve"> فيما يتعلق بحالات الاختفاء القسري، و</w:t>
      </w:r>
      <w:r w:rsidR="004D0A9E">
        <w:rPr>
          <w:rFonts w:hint="cs"/>
          <w:b/>
          <w:bCs/>
          <w:rtl/>
        </w:rPr>
        <w:t xml:space="preserve">مقاضاة التقصير في </w:t>
      </w:r>
      <w:r>
        <w:rPr>
          <w:rFonts w:hint="cs"/>
          <w:b/>
          <w:bCs/>
          <w:rtl/>
        </w:rPr>
        <w:t xml:space="preserve">الامتثال لهذه الأحكام. </w:t>
      </w:r>
    </w:p>
    <w:p w:rsidR="004D0A9E" w:rsidRDefault="004D0A9E" w:rsidP="004D0A9E">
      <w:pPr>
        <w:pStyle w:val="H23GA"/>
        <w:rPr>
          <w:rFonts w:hint="cs"/>
          <w:rtl/>
        </w:rPr>
      </w:pPr>
      <w:r>
        <w:rPr>
          <w:rFonts w:hint="cs"/>
          <w:rtl/>
        </w:rPr>
        <w:tab/>
      </w:r>
      <w:r>
        <w:rPr>
          <w:rFonts w:hint="cs"/>
          <w:rtl/>
        </w:rPr>
        <w:tab/>
        <w:t>العنف ضد النساء والأطفال، بما في ذلك العنف المنزلي</w:t>
      </w:r>
    </w:p>
    <w:p w:rsidR="00C90C5B" w:rsidRDefault="00C90C5B" w:rsidP="004D0A9E">
      <w:pPr>
        <w:pStyle w:val="SingleTxtGA"/>
        <w:rPr>
          <w:rFonts w:hint="cs"/>
          <w:b/>
          <w:bCs/>
          <w:rtl/>
        </w:rPr>
      </w:pPr>
      <w:r w:rsidRPr="00E55033">
        <w:rPr>
          <w:rFonts w:hint="cs"/>
          <w:rtl/>
        </w:rPr>
        <w:t>13-</w:t>
      </w:r>
      <w:r w:rsidRPr="00E55033">
        <w:rPr>
          <w:rFonts w:hint="cs"/>
          <w:rtl/>
        </w:rPr>
        <w:tab/>
        <w:t xml:space="preserve">فيما </w:t>
      </w:r>
      <w:r w:rsidR="004D0A9E">
        <w:rPr>
          <w:rFonts w:hint="cs"/>
          <w:rtl/>
        </w:rPr>
        <w:t>تحيط</w:t>
      </w:r>
      <w:r w:rsidRPr="00E55033">
        <w:rPr>
          <w:rFonts w:hint="cs"/>
          <w:rtl/>
        </w:rPr>
        <w:t xml:space="preserve"> اللجنة علماً بالتدابير القانونية والإدارية التي اتخذتها الدولة الطرف لمكافحة العنف القائم على نوع الجنس، بما في ذلك </w:t>
      </w:r>
      <w:r>
        <w:rPr>
          <w:rFonts w:hint="cs"/>
          <w:rtl/>
        </w:rPr>
        <w:t xml:space="preserve">القرار </w:t>
      </w:r>
      <w:r w:rsidRPr="00E55033">
        <w:rPr>
          <w:rFonts w:hint="cs"/>
          <w:rtl/>
        </w:rPr>
        <w:t>المتعلق بمكافحة العنف ضد المرأة في الأسرة</w:t>
      </w:r>
      <w:r>
        <w:rPr>
          <w:rFonts w:hint="cs"/>
          <w:rtl/>
        </w:rPr>
        <w:t>،</w:t>
      </w:r>
      <w:r w:rsidRPr="00E55033">
        <w:rPr>
          <w:rFonts w:hint="cs"/>
          <w:rtl/>
        </w:rPr>
        <w:t xml:space="preserve"> ال</w:t>
      </w:r>
      <w:r>
        <w:rPr>
          <w:rFonts w:hint="cs"/>
          <w:rtl/>
        </w:rPr>
        <w:t>ذ</w:t>
      </w:r>
      <w:r w:rsidRPr="00E55033">
        <w:rPr>
          <w:rFonts w:hint="cs"/>
          <w:rtl/>
        </w:rPr>
        <w:t xml:space="preserve">ي اعتمدته الجمعية البرلمانية، </w:t>
      </w:r>
      <w:r w:rsidR="004D0A9E">
        <w:rPr>
          <w:rFonts w:hint="cs"/>
          <w:rtl/>
        </w:rPr>
        <w:t xml:space="preserve">تعرب عن قلقها </w:t>
      </w:r>
      <w:r w:rsidRPr="00E55033">
        <w:rPr>
          <w:rFonts w:hint="cs"/>
          <w:rtl/>
        </w:rPr>
        <w:t xml:space="preserve">إزاء </w:t>
      </w:r>
      <w:r w:rsidR="004D0A9E">
        <w:rPr>
          <w:rFonts w:hint="cs"/>
          <w:rtl/>
        </w:rPr>
        <w:t xml:space="preserve">استمرار العنف ضد المرأة والطفل </w:t>
      </w:r>
      <w:r w:rsidRPr="00E55033">
        <w:rPr>
          <w:rFonts w:hint="cs"/>
          <w:rtl/>
        </w:rPr>
        <w:t>بما في ذلك العنف المنزلي. وفيما ترحب اللجنة بنية الدولة الطرف تعديل عناصر جرائم الاغتصاب من خلال إلغاء شرط</w:t>
      </w:r>
      <w:r>
        <w:rPr>
          <w:rFonts w:hint="cs"/>
          <w:rtl/>
        </w:rPr>
        <w:t>ي</w:t>
      </w:r>
      <w:r w:rsidRPr="00E55033">
        <w:rPr>
          <w:rFonts w:hint="cs"/>
          <w:rtl/>
        </w:rPr>
        <w:t xml:space="preserve"> </w:t>
      </w:r>
      <w:r>
        <w:rPr>
          <w:rFonts w:hint="cs"/>
          <w:rtl/>
        </w:rPr>
        <w:t xml:space="preserve">كل من </w:t>
      </w:r>
      <w:r w:rsidRPr="00E55033">
        <w:rPr>
          <w:rFonts w:hint="cs"/>
          <w:rtl/>
        </w:rPr>
        <w:t xml:space="preserve">الإيلاج والمقاومة الفعلية من جانب الضحية، يساورها القلق إزاء عدم كفاية المعلومات بشأن قوانين الكيانين التي تحظر وتجرم مثل هذا </w:t>
      </w:r>
      <w:r>
        <w:rPr>
          <w:rFonts w:hint="cs"/>
          <w:rtl/>
        </w:rPr>
        <w:t>العنف</w:t>
      </w:r>
      <w:r w:rsidRPr="00E55033">
        <w:rPr>
          <w:rFonts w:hint="cs"/>
          <w:rtl/>
        </w:rPr>
        <w:t xml:space="preserve"> وإزاء انخفاض عدد </w:t>
      </w:r>
      <w:r>
        <w:rPr>
          <w:rFonts w:hint="cs"/>
          <w:rtl/>
        </w:rPr>
        <w:t>حالات</w:t>
      </w:r>
      <w:r w:rsidRPr="00E55033">
        <w:rPr>
          <w:rFonts w:hint="cs"/>
          <w:rtl/>
        </w:rPr>
        <w:t xml:space="preserve"> </w:t>
      </w:r>
      <w:r>
        <w:rPr>
          <w:rFonts w:hint="cs"/>
          <w:rtl/>
        </w:rPr>
        <w:t>ال</w:t>
      </w:r>
      <w:r w:rsidRPr="00E55033">
        <w:rPr>
          <w:rFonts w:hint="cs"/>
          <w:rtl/>
        </w:rPr>
        <w:t xml:space="preserve">تحقيق </w:t>
      </w:r>
      <w:r>
        <w:rPr>
          <w:rFonts w:hint="cs"/>
          <w:rtl/>
        </w:rPr>
        <w:t>في</w:t>
      </w:r>
      <w:r w:rsidRPr="00E55033">
        <w:rPr>
          <w:rFonts w:hint="cs"/>
          <w:rtl/>
        </w:rPr>
        <w:t xml:space="preserve"> </w:t>
      </w:r>
      <w:r>
        <w:rPr>
          <w:rFonts w:hint="cs"/>
          <w:rtl/>
        </w:rPr>
        <w:t>دعاوى</w:t>
      </w:r>
      <w:r w:rsidRPr="00E55033">
        <w:rPr>
          <w:rFonts w:hint="cs"/>
          <w:rtl/>
        </w:rPr>
        <w:t xml:space="preserve"> العنف المنزلي</w:t>
      </w:r>
      <w:r>
        <w:rPr>
          <w:rFonts w:hint="cs"/>
          <w:rtl/>
        </w:rPr>
        <w:t xml:space="preserve"> ومحاكمة مرتكبيه</w:t>
      </w:r>
      <w:r w:rsidRPr="00E55033">
        <w:rPr>
          <w:rFonts w:hint="cs"/>
          <w:rtl/>
        </w:rPr>
        <w:t>. ويساور اللجنة القلق إزاء التقارير بشأن عدم كفاية تدابير الحماية وبرامج إعادة تأهيل الضحايا (المواد 1 و2 و4</w:t>
      </w:r>
      <w:r w:rsidR="00BB73F1">
        <w:rPr>
          <w:rFonts w:hint="cs"/>
          <w:rtl/>
        </w:rPr>
        <w:t xml:space="preserve"> </w:t>
      </w:r>
      <w:r w:rsidRPr="00E55033">
        <w:rPr>
          <w:rFonts w:hint="cs"/>
          <w:rtl/>
        </w:rPr>
        <w:t xml:space="preserve">و11 </w:t>
      </w:r>
      <w:r w:rsidR="004D0A9E">
        <w:rPr>
          <w:rFonts w:hint="cs"/>
          <w:rtl/>
        </w:rPr>
        <w:t xml:space="preserve">و12 </w:t>
      </w:r>
      <w:r w:rsidRPr="00E55033">
        <w:rPr>
          <w:rFonts w:hint="cs"/>
          <w:rtl/>
        </w:rPr>
        <w:t>و16).</w:t>
      </w:r>
    </w:p>
    <w:p w:rsidR="00C90C5B" w:rsidRDefault="00C90C5B" w:rsidP="00E84B24">
      <w:pPr>
        <w:pStyle w:val="SingleTxtGA"/>
        <w:ind w:left="2040"/>
        <w:rPr>
          <w:rFonts w:hint="cs"/>
          <w:b/>
          <w:bCs/>
          <w:rtl/>
        </w:rPr>
      </w:pPr>
      <w:r>
        <w:rPr>
          <w:rFonts w:hint="cs"/>
          <w:b/>
          <w:bCs/>
          <w:rtl/>
        </w:rPr>
        <w:tab/>
        <w:t>توصي اللجنة الدولة الطرف بتعزيز جهودها لمنع و</w:t>
      </w:r>
      <w:r w:rsidR="006B79E6">
        <w:rPr>
          <w:rFonts w:hint="cs"/>
          <w:b/>
          <w:bCs/>
          <w:rtl/>
        </w:rPr>
        <w:t xml:space="preserve">مقاضاة </w:t>
      </w:r>
      <w:r>
        <w:rPr>
          <w:rFonts w:hint="cs"/>
          <w:b/>
          <w:bCs/>
          <w:rtl/>
        </w:rPr>
        <w:t xml:space="preserve">ومعاقبة جميع أشكال العنف ضد </w:t>
      </w:r>
      <w:r w:rsidR="006B79E6">
        <w:rPr>
          <w:rFonts w:hint="cs"/>
          <w:b/>
          <w:bCs/>
          <w:rtl/>
        </w:rPr>
        <w:t xml:space="preserve">النساء </w:t>
      </w:r>
      <w:r>
        <w:rPr>
          <w:rFonts w:hint="cs"/>
          <w:b/>
          <w:bCs/>
          <w:rtl/>
        </w:rPr>
        <w:t>والأطفال</w:t>
      </w:r>
      <w:r w:rsidR="006B79E6">
        <w:rPr>
          <w:rFonts w:hint="cs"/>
          <w:b/>
          <w:bCs/>
          <w:rtl/>
        </w:rPr>
        <w:t>،</w:t>
      </w:r>
      <w:r>
        <w:rPr>
          <w:rFonts w:hint="cs"/>
          <w:b/>
          <w:bCs/>
          <w:rtl/>
        </w:rPr>
        <w:t xml:space="preserve"> بما في ذلك العنف المنزلي، وضمان التنفيذ الفعال والكامل للقوانين المعمول بها وال</w:t>
      </w:r>
      <w:r w:rsidR="00906D28">
        <w:rPr>
          <w:rFonts w:hint="cs"/>
          <w:b/>
          <w:bCs/>
          <w:rtl/>
        </w:rPr>
        <w:t>استراتيج</w:t>
      </w:r>
      <w:r>
        <w:rPr>
          <w:rFonts w:hint="cs"/>
          <w:b/>
          <w:bCs/>
          <w:rtl/>
        </w:rPr>
        <w:t>يات الوطنية المعتمدة لهذا الغرض</w:t>
      </w:r>
      <w:r w:rsidR="006B79E6">
        <w:rPr>
          <w:rFonts w:hint="cs"/>
          <w:b/>
          <w:bCs/>
          <w:rtl/>
        </w:rPr>
        <w:t>،</w:t>
      </w:r>
      <w:r>
        <w:rPr>
          <w:rFonts w:hint="cs"/>
          <w:b/>
          <w:bCs/>
          <w:rtl/>
        </w:rPr>
        <w:t xml:space="preserve"> بما في ذلك </w:t>
      </w:r>
      <w:r w:rsidR="00906D28">
        <w:rPr>
          <w:rFonts w:hint="cs"/>
          <w:b/>
          <w:bCs/>
          <w:rtl/>
        </w:rPr>
        <w:t>استراتيج</w:t>
      </w:r>
      <w:r>
        <w:rPr>
          <w:rFonts w:hint="cs"/>
          <w:b/>
          <w:bCs/>
          <w:rtl/>
        </w:rPr>
        <w:t>ية منع ومكافحة العنف المنزلي وال</w:t>
      </w:r>
      <w:r w:rsidR="00906D28">
        <w:rPr>
          <w:rFonts w:hint="cs"/>
          <w:b/>
          <w:bCs/>
          <w:rtl/>
        </w:rPr>
        <w:t>استراتيج</w:t>
      </w:r>
      <w:r>
        <w:rPr>
          <w:rFonts w:hint="cs"/>
          <w:b/>
          <w:bCs/>
          <w:rtl/>
        </w:rPr>
        <w:t xml:space="preserve">ية الوطنية لمكافحة العنف ضد الأطفال. ويتعين على الدولة الطرف أن تقدم الدعم للضحايا من خلال إنشاء </w:t>
      </w:r>
      <w:r w:rsidR="006B79E6">
        <w:rPr>
          <w:rFonts w:hint="cs"/>
          <w:b/>
          <w:bCs/>
          <w:rtl/>
        </w:rPr>
        <w:t>مآوى إضافية، وتوفير خدمات المش</w:t>
      </w:r>
      <w:r>
        <w:rPr>
          <w:rFonts w:hint="cs"/>
          <w:b/>
          <w:bCs/>
          <w:rtl/>
        </w:rPr>
        <w:t>ورة المجانية وغيرها من التدابير التي تعتبر ضرورية لحماية الضحايا. وفضلاً عن ذلك، تشجع اللجنة الدولة الطرف على تنظيم حملات توعية وتدريب أوسع نطاقاً،</w:t>
      </w:r>
      <w:r w:rsidR="006B79E6">
        <w:rPr>
          <w:rFonts w:hint="cs"/>
          <w:b/>
          <w:bCs/>
          <w:rtl/>
        </w:rPr>
        <w:t xml:space="preserve"> ل</w:t>
      </w:r>
      <w:r>
        <w:rPr>
          <w:rFonts w:hint="cs"/>
          <w:b/>
          <w:bCs/>
          <w:rtl/>
        </w:rPr>
        <w:t>لموظفين المكلفين بإنفاذ القوانين والقضاة والمحامين والعاملين الاجتماعيين الذين لهم صلة مباشرة بالضحايا وكذلك ل</w:t>
      </w:r>
      <w:r w:rsidR="006B79E6">
        <w:rPr>
          <w:rFonts w:hint="cs"/>
          <w:b/>
          <w:bCs/>
          <w:rtl/>
        </w:rPr>
        <w:t>عامة ا</w:t>
      </w:r>
      <w:r>
        <w:rPr>
          <w:rFonts w:hint="cs"/>
          <w:b/>
          <w:bCs/>
          <w:rtl/>
        </w:rPr>
        <w:t>لجمهور.</w:t>
      </w:r>
    </w:p>
    <w:p w:rsidR="00C90C5B" w:rsidRDefault="00C90C5B" w:rsidP="00C90C5B">
      <w:pPr>
        <w:pStyle w:val="H23GA"/>
        <w:rPr>
          <w:rFonts w:hint="cs"/>
          <w:rtl/>
          <w:lang w:val="fr-CH"/>
        </w:rPr>
      </w:pPr>
      <w:r>
        <w:rPr>
          <w:rFonts w:hint="cs"/>
          <w:rtl/>
          <w:lang w:val="fr-CH"/>
        </w:rPr>
        <w:tab/>
      </w:r>
      <w:r>
        <w:rPr>
          <w:rFonts w:hint="cs"/>
          <w:rtl/>
          <w:lang w:val="fr-CH"/>
        </w:rPr>
        <w:tab/>
        <w:t xml:space="preserve">الإعادة القسرية </w:t>
      </w:r>
    </w:p>
    <w:p w:rsidR="00C90C5B" w:rsidRDefault="00C90C5B" w:rsidP="00E84B24">
      <w:pPr>
        <w:pStyle w:val="SingleTxtGA"/>
        <w:rPr>
          <w:rFonts w:hint="cs"/>
          <w:rtl/>
          <w:lang w:val="fr-CH"/>
        </w:rPr>
      </w:pPr>
      <w:r>
        <w:rPr>
          <w:rFonts w:hint="cs"/>
          <w:rtl/>
          <w:lang w:val="fr-CH"/>
        </w:rPr>
        <w:t>14-</w:t>
      </w:r>
      <w:r>
        <w:rPr>
          <w:rFonts w:hint="cs"/>
          <w:rtl/>
          <w:lang w:val="fr-CH"/>
        </w:rPr>
        <w:tab/>
        <w:t xml:space="preserve">على الرغم من أن المادة 91 من قانون </w:t>
      </w:r>
      <w:r w:rsidR="00024E79">
        <w:rPr>
          <w:rFonts w:hint="cs"/>
          <w:rtl/>
          <w:lang w:val="fr-CH"/>
        </w:rPr>
        <w:t>تنقل وإقامة</w:t>
      </w:r>
      <w:r>
        <w:rPr>
          <w:rFonts w:hint="cs"/>
          <w:rtl/>
          <w:lang w:val="fr-CH"/>
        </w:rPr>
        <w:t xml:space="preserve"> الأجانب واللجوء المتعلقة بمبدأ حظر العودة (</w:t>
      </w:r>
      <w:r>
        <w:t>CAT/C/B</w:t>
      </w:r>
      <w:r w:rsidR="00024E79">
        <w:t>I</w:t>
      </w:r>
      <w:r>
        <w:t>H/2-5</w:t>
      </w:r>
      <w:r w:rsidRPr="005A41DD">
        <w:rPr>
          <w:rFonts w:hint="cs"/>
          <w:rtl/>
          <w:lang w:val="fr-CH"/>
        </w:rPr>
        <w:t>، الفقرة 76)</w:t>
      </w:r>
      <w:r>
        <w:rPr>
          <w:rFonts w:hint="cs"/>
          <w:rtl/>
          <w:lang w:val="fr-CH"/>
        </w:rPr>
        <w:t>، لا تزال اللجنة تشعر بالقلق إزاء التقارير التي تفيد بأن السلطات المختصة في البوسنة والهرسك فشلت في إجراء تقييم صحيح لخطر الإعادة القسرية التي يواجهها الأشخاص الذين يتقدمون بطلب للحصول على الحماية الدولية</w:t>
      </w:r>
      <w:r w:rsidR="00C81984">
        <w:rPr>
          <w:rFonts w:hint="cs"/>
          <w:rtl/>
          <w:lang w:val="fr-CH"/>
        </w:rPr>
        <w:t>،</w:t>
      </w:r>
      <w:r>
        <w:rPr>
          <w:rFonts w:hint="cs"/>
          <w:rtl/>
          <w:lang w:val="fr-CH"/>
        </w:rPr>
        <w:t xml:space="preserve"> ولأن</w:t>
      </w:r>
      <w:r w:rsidR="00C81984">
        <w:rPr>
          <w:rFonts w:hint="eastAsia"/>
          <w:rtl/>
          <w:lang w:val="fr-CH"/>
        </w:rPr>
        <w:t> </w:t>
      </w:r>
      <w:r>
        <w:rPr>
          <w:rFonts w:hint="cs"/>
          <w:rtl/>
          <w:lang w:val="fr-CH"/>
        </w:rPr>
        <w:t xml:space="preserve">الأشخاص الذين يعتبر أنهم </w:t>
      </w:r>
      <w:r w:rsidR="00C81984">
        <w:rPr>
          <w:rFonts w:hint="cs"/>
          <w:rtl/>
          <w:lang w:val="fr-CH"/>
        </w:rPr>
        <w:t xml:space="preserve">يشكلون خطراً على </w:t>
      </w:r>
      <w:r>
        <w:rPr>
          <w:rFonts w:hint="cs"/>
          <w:rtl/>
          <w:lang w:val="fr-CH"/>
        </w:rPr>
        <w:t>الأمن القومي يتعرضون للطرد أو الإعادة إلى دولة أخرى تتوفر</w:t>
      </w:r>
      <w:r w:rsidR="00C81984">
        <w:rPr>
          <w:rFonts w:hint="cs"/>
          <w:rtl/>
          <w:lang w:val="fr-CH"/>
        </w:rPr>
        <w:t xml:space="preserve"> بشأنها أسباب حقيقية تدعو إلى </w:t>
      </w:r>
      <w:r w:rsidR="00E84B24">
        <w:rPr>
          <w:rFonts w:hint="cs"/>
          <w:rtl/>
          <w:lang w:val="fr-CH"/>
        </w:rPr>
        <w:t xml:space="preserve">اعتقاد </w:t>
      </w:r>
      <w:r>
        <w:rPr>
          <w:rFonts w:hint="cs"/>
          <w:rtl/>
          <w:lang w:val="fr-CH"/>
        </w:rPr>
        <w:t xml:space="preserve">أنهم سيواجهون فيها خطر التعرض للتعذيب. كما يساور اللجنة القلق </w:t>
      </w:r>
      <w:r w:rsidR="00C81984">
        <w:rPr>
          <w:rFonts w:hint="cs"/>
          <w:rtl/>
          <w:lang w:val="fr-CH"/>
        </w:rPr>
        <w:t xml:space="preserve">إزاء المعدل المنخفض جداً لقبول طلبات اللجوء </w:t>
      </w:r>
      <w:r>
        <w:rPr>
          <w:rFonts w:hint="cs"/>
          <w:rtl/>
          <w:lang w:val="fr-CH"/>
        </w:rPr>
        <w:t>(المادة 3).</w:t>
      </w:r>
    </w:p>
    <w:p w:rsidR="00C90C5B" w:rsidRPr="00E84B24" w:rsidRDefault="00C90C5B" w:rsidP="006E521A">
      <w:pPr>
        <w:pStyle w:val="SingleTxtGA"/>
        <w:tabs>
          <w:tab w:val="clear" w:pos="1928"/>
        </w:tabs>
        <w:ind w:left="2040"/>
        <w:rPr>
          <w:rFonts w:hint="cs"/>
          <w:b/>
          <w:bCs/>
          <w:rtl/>
          <w:lang w:val="fr-CH"/>
        </w:rPr>
      </w:pPr>
      <w:r w:rsidRPr="00E84B24">
        <w:rPr>
          <w:rFonts w:hint="cs"/>
          <w:b/>
          <w:bCs/>
          <w:rtl/>
          <w:lang w:val="fr-CH"/>
        </w:rPr>
        <w:tab/>
        <w:t>ينبغي للدولة الطرف:</w:t>
      </w:r>
    </w:p>
    <w:p w:rsidR="00C90C5B" w:rsidRPr="002C2775" w:rsidRDefault="00C90C5B" w:rsidP="006E521A">
      <w:pPr>
        <w:pStyle w:val="SingleTxtGA"/>
        <w:tabs>
          <w:tab w:val="clear" w:pos="1928"/>
        </w:tabs>
        <w:ind w:left="1927"/>
        <w:rPr>
          <w:rFonts w:hint="cs"/>
          <w:b/>
          <w:bCs/>
          <w:spacing w:val="-2"/>
          <w:rtl/>
        </w:rPr>
      </w:pPr>
      <w:r w:rsidRPr="002C2775">
        <w:rPr>
          <w:rFonts w:hint="cs"/>
          <w:b/>
          <w:bCs/>
          <w:spacing w:val="-2"/>
          <w:rtl/>
          <w:lang w:val="fr-CH"/>
        </w:rPr>
        <w:tab/>
        <w:t>(أ)</w:t>
      </w:r>
      <w:r w:rsidRPr="002C2775">
        <w:rPr>
          <w:rFonts w:hint="cs"/>
          <w:b/>
          <w:bCs/>
          <w:spacing w:val="-2"/>
          <w:rtl/>
          <w:lang w:val="fr-CH"/>
        </w:rPr>
        <w:tab/>
        <w:t xml:space="preserve">أن تكفل </w:t>
      </w:r>
      <w:r w:rsidR="00C81984" w:rsidRPr="002C2775">
        <w:rPr>
          <w:rFonts w:hint="cs"/>
          <w:b/>
          <w:bCs/>
          <w:spacing w:val="-2"/>
          <w:rtl/>
          <w:lang w:val="fr-CH"/>
        </w:rPr>
        <w:t xml:space="preserve">ما يلي: </w:t>
      </w:r>
      <w:r w:rsidRPr="002C2775">
        <w:rPr>
          <w:rFonts w:hint="cs"/>
          <w:b/>
          <w:bCs/>
          <w:spacing w:val="-2"/>
          <w:rtl/>
          <w:lang w:val="fr-CH"/>
        </w:rPr>
        <w:t>‘</w:t>
      </w:r>
      <w:r w:rsidRPr="002C2775">
        <w:rPr>
          <w:rFonts w:hint="cs"/>
          <w:b/>
          <w:bCs/>
          <w:spacing w:val="-2"/>
          <w:rtl/>
        </w:rPr>
        <w:t>1‘ الضمانات الإجرائية ضد الإعادة القسرية و‘2‘ سبل الانتصاف الفعالة فيما يتعلق بشكاوى الإعادة القسرية في</w:t>
      </w:r>
      <w:r w:rsidR="006E521A" w:rsidRPr="002C2775">
        <w:rPr>
          <w:rFonts w:hint="eastAsia"/>
          <w:b/>
          <w:bCs/>
          <w:spacing w:val="-2"/>
          <w:rtl/>
        </w:rPr>
        <w:t> </w:t>
      </w:r>
      <w:r w:rsidRPr="002C2775">
        <w:rPr>
          <w:rFonts w:hint="cs"/>
          <w:b/>
          <w:bCs/>
          <w:spacing w:val="-2"/>
          <w:rtl/>
        </w:rPr>
        <w:t xml:space="preserve">إجراءات الطرد، بما في ذلك </w:t>
      </w:r>
      <w:r w:rsidR="00C81984" w:rsidRPr="002C2775">
        <w:rPr>
          <w:rFonts w:hint="cs"/>
          <w:b/>
          <w:bCs/>
          <w:spacing w:val="-2"/>
          <w:rtl/>
        </w:rPr>
        <w:t xml:space="preserve">مراجعة </w:t>
      </w:r>
      <w:r w:rsidRPr="002C2775">
        <w:rPr>
          <w:rFonts w:hint="cs"/>
          <w:b/>
          <w:bCs/>
          <w:spacing w:val="-2"/>
          <w:rtl/>
        </w:rPr>
        <w:t xml:space="preserve">هيئة قضائية مستقلة </w:t>
      </w:r>
      <w:r w:rsidR="00C81984" w:rsidRPr="002C2775">
        <w:rPr>
          <w:rFonts w:hint="cs"/>
          <w:b/>
          <w:bCs/>
          <w:spacing w:val="-2"/>
          <w:rtl/>
        </w:rPr>
        <w:t xml:space="preserve">للأحكام في </w:t>
      </w:r>
      <w:r w:rsidRPr="002C2775">
        <w:rPr>
          <w:rFonts w:hint="cs"/>
          <w:b/>
          <w:bCs/>
          <w:spacing w:val="-2"/>
          <w:rtl/>
        </w:rPr>
        <w:t>حالات الرفض؛</w:t>
      </w:r>
    </w:p>
    <w:p w:rsidR="00C90C5B" w:rsidRPr="00C81984" w:rsidRDefault="00C90C5B" w:rsidP="006E521A">
      <w:pPr>
        <w:pStyle w:val="SingleTxtGA"/>
        <w:tabs>
          <w:tab w:val="clear" w:pos="1928"/>
        </w:tabs>
        <w:ind w:left="1927"/>
        <w:rPr>
          <w:rFonts w:hint="cs"/>
          <w:b/>
          <w:bCs/>
          <w:rtl/>
        </w:rPr>
      </w:pPr>
      <w:r w:rsidRPr="00C81984">
        <w:rPr>
          <w:rFonts w:hint="cs"/>
          <w:b/>
          <w:bCs/>
          <w:rtl/>
        </w:rPr>
        <w:tab/>
        <w:t>(ب)</w:t>
      </w:r>
      <w:r w:rsidRPr="00C81984">
        <w:rPr>
          <w:rFonts w:hint="cs"/>
          <w:b/>
          <w:bCs/>
          <w:rtl/>
        </w:rPr>
        <w:tab/>
        <w:t xml:space="preserve">أن تضمن إجراء مراجعة </w:t>
      </w:r>
      <w:r w:rsidR="00C81984">
        <w:rPr>
          <w:rFonts w:hint="cs"/>
          <w:b/>
          <w:bCs/>
          <w:rtl/>
        </w:rPr>
        <w:t xml:space="preserve">مستفيضة </w:t>
      </w:r>
      <w:r w:rsidRPr="00C81984">
        <w:rPr>
          <w:rFonts w:hint="cs"/>
          <w:b/>
          <w:bCs/>
          <w:rtl/>
        </w:rPr>
        <w:t xml:space="preserve">لكل حالة </w:t>
      </w:r>
      <w:r w:rsidR="00C81984">
        <w:rPr>
          <w:rFonts w:hint="cs"/>
          <w:b/>
          <w:bCs/>
          <w:rtl/>
        </w:rPr>
        <w:t xml:space="preserve">من الحالات </w:t>
      </w:r>
      <w:r w:rsidRPr="00C81984">
        <w:rPr>
          <w:rFonts w:hint="cs"/>
          <w:b/>
          <w:bCs/>
          <w:rtl/>
        </w:rPr>
        <w:t>لطلبات اللجوء وإتاحة الفرصة أما</w:t>
      </w:r>
      <w:r w:rsidR="00C81984">
        <w:rPr>
          <w:rFonts w:hint="cs"/>
          <w:b/>
          <w:bCs/>
          <w:rtl/>
        </w:rPr>
        <w:t>م الأشخاص الذين تُرفض طلبات لجوئ</w:t>
      </w:r>
      <w:r w:rsidRPr="00C81984">
        <w:rPr>
          <w:rFonts w:hint="cs"/>
          <w:b/>
          <w:bCs/>
          <w:rtl/>
        </w:rPr>
        <w:t xml:space="preserve">هم لتقديم استئناف فعال يكون له أثر تعليق تنفيذ قرار </w:t>
      </w:r>
      <w:r w:rsidR="00C81984">
        <w:rPr>
          <w:rFonts w:hint="cs"/>
          <w:b/>
          <w:bCs/>
          <w:rtl/>
        </w:rPr>
        <w:t xml:space="preserve">الطرد </w:t>
      </w:r>
      <w:r w:rsidRPr="00C81984">
        <w:rPr>
          <w:rFonts w:hint="cs"/>
          <w:b/>
          <w:bCs/>
          <w:rtl/>
        </w:rPr>
        <w:t>أو الترحيل؛</w:t>
      </w:r>
    </w:p>
    <w:p w:rsidR="00C90C5B" w:rsidRPr="00C81984" w:rsidRDefault="00C90C5B" w:rsidP="006E521A">
      <w:pPr>
        <w:pStyle w:val="SingleTxtGA"/>
        <w:tabs>
          <w:tab w:val="clear" w:pos="1928"/>
        </w:tabs>
        <w:ind w:left="1927"/>
        <w:rPr>
          <w:rFonts w:hint="cs"/>
          <w:b/>
          <w:bCs/>
          <w:rtl/>
        </w:rPr>
      </w:pPr>
      <w:r w:rsidRPr="00C81984">
        <w:rPr>
          <w:rFonts w:hint="cs"/>
          <w:b/>
          <w:bCs/>
          <w:rtl/>
        </w:rPr>
        <w:tab/>
        <w:t>(ج)</w:t>
      </w:r>
      <w:r w:rsidRPr="00C81984">
        <w:rPr>
          <w:rFonts w:hint="cs"/>
          <w:b/>
          <w:bCs/>
          <w:rtl/>
        </w:rPr>
        <w:tab/>
        <w:t>أن تراجع إجراءاتها وممارساتها الحالية المتعلقة بالطرد والإعادة القسرية و</w:t>
      </w:r>
      <w:r w:rsidR="00C81984">
        <w:rPr>
          <w:rFonts w:hint="cs"/>
          <w:b/>
          <w:bCs/>
          <w:rtl/>
        </w:rPr>
        <w:t>ال</w:t>
      </w:r>
      <w:r w:rsidRPr="00C81984">
        <w:rPr>
          <w:rFonts w:hint="cs"/>
          <w:b/>
          <w:bCs/>
          <w:rtl/>
        </w:rPr>
        <w:t xml:space="preserve">تسليم وجعل تفسيرها </w:t>
      </w:r>
      <w:r w:rsidR="00C81984">
        <w:rPr>
          <w:rFonts w:hint="cs"/>
          <w:b/>
          <w:bCs/>
          <w:rtl/>
        </w:rPr>
        <w:t xml:space="preserve">للمفاهيم </w:t>
      </w:r>
      <w:r w:rsidRPr="00C81984">
        <w:rPr>
          <w:rFonts w:hint="cs"/>
          <w:b/>
          <w:bCs/>
          <w:rtl/>
        </w:rPr>
        <w:t xml:space="preserve">الرئيسية </w:t>
      </w:r>
      <w:r w:rsidR="00C81984">
        <w:rPr>
          <w:rFonts w:hint="cs"/>
          <w:b/>
          <w:bCs/>
          <w:rtl/>
        </w:rPr>
        <w:t>لقانون اللجوء المحلي ي</w:t>
      </w:r>
      <w:r w:rsidRPr="00C81984">
        <w:rPr>
          <w:rFonts w:hint="cs"/>
          <w:b/>
          <w:bCs/>
          <w:rtl/>
        </w:rPr>
        <w:t>تمشى بالكامل مع قانون اللجوء الدولي ومعايير حقوق الإنسان؛</w:t>
      </w:r>
    </w:p>
    <w:p w:rsidR="00C90C5B" w:rsidRPr="00C81984" w:rsidRDefault="00C90C5B" w:rsidP="006E521A">
      <w:pPr>
        <w:pStyle w:val="SingleTxtGA"/>
        <w:tabs>
          <w:tab w:val="clear" w:pos="1928"/>
        </w:tabs>
        <w:ind w:left="1927"/>
        <w:rPr>
          <w:rFonts w:hint="cs"/>
          <w:b/>
          <w:bCs/>
          <w:rtl/>
        </w:rPr>
      </w:pPr>
      <w:r w:rsidRPr="00C81984">
        <w:rPr>
          <w:rFonts w:hint="cs"/>
          <w:b/>
          <w:bCs/>
          <w:rtl/>
        </w:rPr>
        <w:tab/>
        <w:t>(د)</w:t>
      </w:r>
      <w:r w:rsidRPr="00C81984">
        <w:rPr>
          <w:rFonts w:hint="cs"/>
          <w:b/>
          <w:bCs/>
          <w:rtl/>
        </w:rPr>
        <w:tab/>
        <w:t>أن تواصل متابعة حالة مواطني البوسنة والهرسك الذين لا</w:t>
      </w:r>
      <w:r w:rsidR="006E521A">
        <w:rPr>
          <w:rFonts w:hint="eastAsia"/>
          <w:b/>
          <w:bCs/>
          <w:rtl/>
        </w:rPr>
        <w:t> </w:t>
      </w:r>
      <w:r w:rsidRPr="00C81984">
        <w:rPr>
          <w:rFonts w:hint="cs"/>
          <w:b/>
          <w:bCs/>
          <w:rtl/>
        </w:rPr>
        <w:t>يزالون قيد الاحتجاز في القاعدة العسكرية في خليج غوانتانامو، وإبقاء اللجنة على علم بها؛</w:t>
      </w:r>
    </w:p>
    <w:p w:rsidR="00C90C5B" w:rsidRPr="00C81984" w:rsidRDefault="00C90C5B" w:rsidP="002C2775">
      <w:pPr>
        <w:pStyle w:val="SingleTxtGA"/>
        <w:tabs>
          <w:tab w:val="clear" w:pos="1928"/>
        </w:tabs>
        <w:spacing w:line="360" w:lineRule="exact"/>
        <w:ind w:left="1927"/>
        <w:rPr>
          <w:rFonts w:hint="cs"/>
          <w:b/>
          <w:bCs/>
          <w:rtl/>
        </w:rPr>
      </w:pPr>
      <w:r w:rsidRPr="00C81984">
        <w:rPr>
          <w:rFonts w:hint="cs"/>
          <w:b/>
          <w:bCs/>
          <w:rtl/>
        </w:rPr>
        <w:tab/>
        <w:t>(</w:t>
      </w:r>
      <w:r w:rsidRPr="00C81984">
        <w:rPr>
          <w:rFonts w:hint="cs"/>
          <w:b/>
          <w:bCs/>
          <w:sz w:val="30"/>
          <w:rtl/>
        </w:rPr>
        <w:t>ﻫ</w:t>
      </w:r>
      <w:r w:rsidRPr="00C81984">
        <w:rPr>
          <w:rFonts w:hint="cs"/>
          <w:b/>
          <w:bCs/>
          <w:rtl/>
        </w:rPr>
        <w:t>)</w:t>
      </w:r>
      <w:r w:rsidRPr="00C81984">
        <w:rPr>
          <w:rFonts w:hint="cs"/>
          <w:b/>
          <w:bCs/>
          <w:rtl/>
        </w:rPr>
        <w:tab/>
        <w:t xml:space="preserve">أن تكفل عدم تقويض </w:t>
      </w:r>
      <w:r w:rsidR="00AC2042">
        <w:rPr>
          <w:rFonts w:hint="cs"/>
          <w:b/>
          <w:bCs/>
          <w:rtl/>
        </w:rPr>
        <w:t>اعتبارات</w:t>
      </w:r>
      <w:r w:rsidRPr="00C81984">
        <w:rPr>
          <w:rFonts w:hint="cs"/>
          <w:b/>
          <w:bCs/>
          <w:rtl/>
        </w:rPr>
        <w:t xml:space="preserve"> الأمن القومي لمبدأ عدم الإعادة القسرية وأن تمتثل بالكامل لالتزاماتها </w:t>
      </w:r>
      <w:r w:rsidR="00AC2042">
        <w:rPr>
          <w:rFonts w:hint="cs"/>
          <w:b/>
          <w:bCs/>
          <w:rtl/>
        </w:rPr>
        <w:t>باحترام</w:t>
      </w:r>
      <w:r w:rsidRPr="00C81984">
        <w:rPr>
          <w:rFonts w:hint="cs"/>
          <w:b/>
          <w:bCs/>
          <w:rtl/>
        </w:rPr>
        <w:t xml:space="preserve"> مبدأ الحظر المطلق للتعذيب في جميع الظروف، وفقاً</w:t>
      </w:r>
      <w:r w:rsidR="00AC2042">
        <w:rPr>
          <w:rFonts w:hint="eastAsia"/>
          <w:b/>
          <w:bCs/>
          <w:rtl/>
        </w:rPr>
        <w:t> </w:t>
      </w:r>
      <w:r w:rsidRPr="00C81984">
        <w:rPr>
          <w:rFonts w:hint="cs"/>
          <w:b/>
          <w:bCs/>
          <w:rtl/>
        </w:rPr>
        <w:t>للمادة 3 من الاتفاقية.</w:t>
      </w:r>
    </w:p>
    <w:p w:rsidR="00C90C5B" w:rsidRDefault="00C90C5B" w:rsidP="00E84B24">
      <w:pPr>
        <w:pStyle w:val="SingleTxtGA"/>
        <w:spacing w:line="360" w:lineRule="exact"/>
        <w:rPr>
          <w:rFonts w:hint="cs"/>
          <w:rtl/>
        </w:rPr>
      </w:pPr>
      <w:r>
        <w:rPr>
          <w:rFonts w:hint="cs"/>
          <w:rtl/>
        </w:rPr>
        <w:t>15-</w:t>
      </w:r>
      <w:r>
        <w:rPr>
          <w:rFonts w:hint="cs"/>
          <w:rtl/>
        </w:rPr>
        <w:tab/>
        <w:t xml:space="preserve">وفيما يتعلق بالأفراد الذين </w:t>
      </w:r>
      <w:r w:rsidR="00452B00">
        <w:rPr>
          <w:rFonts w:hint="cs"/>
          <w:rtl/>
        </w:rPr>
        <w:t xml:space="preserve">تجرِّدهم من الجنسية </w:t>
      </w:r>
      <w:r>
        <w:rPr>
          <w:rFonts w:hint="cs"/>
          <w:rtl/>
        </w:rPr>
        <w:t xml:space="preserve">اللجنة الحكومية المعنية </w:t>
      </w:r>
      <w:r w:rsidR="00452B00">
        <w:rPr>
          <w:rFonts w:hint="cs"/>
          <w:rtl/>
        </w:rPr>
        <w:t xml:space="preserve">بمراجعة </w:t>
      </w:r>
      <w:r>
        <w:rPr>
          <w:rFonts w:hint="cs"/>
          <w:rtl/>
        </w:rPr>
        <w:t>القرارات المتعلقة بتجنيس المواطنين الأجانب الذين تم فيما بعد احتجازهم في مركز الترحيل، تأخذ اللجنة علماً بتقرير الدولة الطرف الذي يدعي أنه تم من</w:t>
      </w:r>
      <w:r w:rsidR="00452B00">
        <w:rPr>
          <w:rFonts w:hint="cs"/>
          <w:rtl/>
        </w:rPr>
        <w:t>حهم حقوقاً قانونية للحصول على حماية قضائية. ومع ذلك</w:t>
      </w:r>
      <w:r>
        <w:rPr>
          <w:rFonts w:hint="cs"/>
          <w:rtl/>
        </w:rPr>
        <w:t xml:space="preserve"> لا تزال اللجنة تشعر بالقلق، بعد أن أخذت علماً بأوجه القلق التي أعربت عنها هيئات دولية </w:t>
      </w:r>
      <w:r w:rsidR="00452B00">
        <w:rPr>
          <w:rFonts w:hint="cs"/>
          <w:rtl/>
        </w:rPr>
        <w:t>عديدة</w:t>
      </w:r>
      <w:r>
        <w:rPr>
          <w:rFonts w:hint="cs"/>
          <w:rtl/>
        </w:rPr>
        <w:t xml:space="preserve">، لأنه لم يتم بشكل كامل توضيح الحالات المبلغ عنها بشأن الاحتجاز المطول في ظروف غير </w:t>
      </w:r>
      <w:r w:rsidR="00E84B24">
        <w:rPr>
          <w:rFonts w:hint="cs"/>
          <w:rtl/>
        </w:rPr>
        <w:t>لائقة</w:t>
      </w:r>
      <w:r>
        <w:rPr>
          <w:rFonts w:hint="cs"/>
          <w:rtl/>
        </w:rPr>
        <w:t xml:space="preserve"> للأفراد وحرمانهم من حقهم في الطعن بفعالية في قرارات رفض تجنيسهم، واحتجازهم وترحيلهم (المادتان 3 و16).</w:t>
      </w:r>
    </w:p>
    <w:p w:rsidR="00C90C5B" w:rsidRPr="00C90C5B" w:rsidRDefault="00C90C5B" w:rsidP="00E84B24">
      <w:pPr>
        <w:pStyle w:val="SingleTxtGA"/>
        <w:spacing w:line="360" w:lineRule="exact"/>
        <w:ind w:left="1928"/>
        <w:rPr>
          <w:rFonts w:hint="cs"/>
          <w:b/>
          <w:bCs/>
          <w:rtl/>
        </w:rPr>
      </w:pPr>
      <w:r w:rsidRPr="00C90C5B">
        <w:rPr>
          <w:rFonts w:hint="cs"/>
          <w:b/>
          <w:bCs/>
          <w:rtl/>
        </w:rPr>
        <w:tab/>
        <w:t xml:space="preserve">يتعين على الدولة الطرف أن تعيد النظر في ممارستها المتعلقة بالاحتجاز المطول </w:t>
      </w:r>
      <w:r w:rsidR="00452B00">
        <w:rPr>
          <w:rFonts w:hint="cs"/>
          <w:b/>
          <w:bCs/>
          <w:rtl/>
        </w:rPr>
        <w:t>ل</w:t>
      </w:r>
      <w:r w:rsidRPr="00C90C5B">
        <w:rPr>
          <w:rFonts w:hint="cs"/>
          <w:b/>
          <w:bCs/>
          <w:rtl/>
        </w:rPr>
        <w:t xml:space="preserve">لأفراد وأن تحترم بالكامل حقوقهم في الطعن </w:t>
      </w:r>
      <w:r w:rsidR="00452B00">
        <w:rPr>
          <w:rFonts w:hint="cs"/>
          <w:b/>
          <w:bCs/>
          <w:rtl/>
        </w:rPr>
        <w:t xml:space="preserve">الفعال </w:t>
      </w:r>
      <w:r w:rsidRPr="00C90C5B">
        <w:rPr>
          <w:rFonts w:hint="cs"/>
          <w:b/>
          <w:bCs/>
          <w:rtl/>
        </w:rPr>
        <w:t>في قرار</w:t>
      </w:r>
      <w:r w:rsidR="00452B00">
        <w:rPr>
          <w:rFonts w:hint="cs"/>
          <w:b/>
          <w:bCs/>
          <w:rtl/>
        </w:rPr>
        <w:t>ات</w:t>
      </w:r>
      <w:r w:rsidRPr="00C90C5B">
        <w:rPr>
          <w:rFonts w:hint="cs"/>
          <w:b/>
          <w:bCs/>
          <w:rtl/>
        </w:rPr>
        <w:t xml:space="preserve"> </w:t>
      </w:r>
      <w:r w:rsidR="00452B00">
        <w:rPr>
          <w:rFonts w:hint="cs"/>
          <w:b/>
          <w:bCs/>
          <w:rtl/>
        </w:rPr>
        <w:t>تجريدهم من جنسيتهم</w:t>
      </w:r>
      <w:r w:rsidRPr="00C90C5B">
        <w:rPr>
          <w:rFonts w:hint="cs"/>
          <w:b/>
          <w:bCs/>
          <w:rtl/>
        </w:rPr>
        <w:t>، واحتجازهم وترحيلهم. وفضلاً عن ذلك، ينبغي للدولة الطرف أن تكفل المبادئ الرئيسية المتعلقة بإجراءات اللجوء العادلة والفعالة، بما</w:t>
      </w:r>
      <w:r w:rsidR="002C2775">
        <w:rPr>
          <w:rFonts w:hint="eastAsia"/>
          <w:b/>
          <w:bCs/>
          <w:rtl/>
        </w:rPr>
        <w:t> </w:t>
      </w:r>
      <w:r w:rsidRPr="00C90C5B">
        <w:rPr>
          <w:rFonts w:hint="cs"/>
          <w:b/>
          <w:bCs/>
          <w:rtl/>
        </w:rPr>
        <w:t xml:space="preserve">في ذلك توفير خدمات الترجمة </w:t>
      </w:r>
      <w:r w:rsidR="00452B00">
        <w:rPr>
          <w:rFonts w:hint="cs"/>
          <w:b/>
          <w:bCs/>
          <w:rtl/>
        </w:rPr>
        <w:t>التحريرية و</w:t>
      </w:r>
      <w:r w:rsidRPr="00C90C5B">
        <w:rPr>
          <w:rFonts w:hint="cs"/>
          <w:b/>
          <w:bCs/>
          <w:rtl/>
        </w:rPr>
        <w:t>الشفوية المناسبة، و</w:t>
      </w:r>
      <w:r w:rsidR="00452B00">
        <w:rPr>
          <w:rFonts w:hint="cs"/>
          <w:b/>
          <w:bCs/>
          <w:rtl/>
        </w:rPr>
        <w:t>تقد</w:t>
      </w:r>
      <w:r w:rsidR="00E84B24">
        <w:rPr>
          <w:rFonts w:hint="cs"/>
          <w:b/>
          <w:bCs/>
          <w:rtl/>
        </w:rPr>
        <w:t>يم</w:t>
      </w:r>
      <w:r w:rsidR="00452B00">
        <w:rPr>
          <w:rFonts w:hint="cs"/>
          <w:b/>
          <w:bCs/>
          <w:rtl/>
        </w:rPr>
        <w:t xml:space="preserve"> </w:t>
      </w:r>
      <w:r w:rsidRPr="00C90C5B">
        <w:rPr>
          <w:rFonts w:hint="cs"/>
          <w:b/>
          <w:bCs/>
          <w:rtl/>
        </w:rPr>
        <w:t>المساعدة القانونية المجانية و</w:t>
      </w:r>
      <w:r w:rsidR="00452B00">
        <w:rPr>
          <w:rFonts w:hint="cs"/>
          <w:b/>
          <w:bCs/>
          <w:rtl/>
        </w:rPr>
        <w:t xml:space="preserve">توفير </w:t>
      </w:r>
      <w:r w:rsidRPr="00C90C5B">
        <w:rPr>
          <w:rFonts w:hint="cs"/>
          <w:b/>
          <w:bCs/>
          <w:rtl/>
        </w:rPr>
        <w:t>إمكانية وصول مقدمي الطلبات إلى ملفات قضاياهم.</w:t>
      </w:r>
    </w:p>
    <w:p w:rsidR="00C90C5B" w:rsidRDefault="00C90C5B" w:rsidP="00C90C5B">
      <w:pPr>
        <w:pStyle w:val="H23GA"/>
        <w:rPr>
          <w:rFonts w:hint="cs"/>
          <w:rtl/>
        </w:rPr>
      </w:pPr>
      <w:r>
        <w:rPr>
          <w:rFonts w:hint="cs"/>
          <w:rtl/>
        </w:rPr>
        <w:tab/>
      </w:r>
      <w:r>
        <w:rPr>
          <w:rFonts w:hint="cs"/>
          <w:rtl/>
        </w:rPr>
        <w:tab/>
        <w:t>عودة اللاجئين والأشخاص المشردين داخلياً</w:t>
      </w:r>
    </w:p>
    <w:p w:rsidR="00C90C5B" w:rsidRDefault="00C90C5B" w:rsidP="00E84B24">
      <w:pPr>
        <w:pStyle w:val="SingleTxtGA"/>
        <w:spacing w:line="360" w:lineRule="exact"/>
        <w:rPr>
          <w:rFonts w:hint="cs"/>
          <w:rtl/>
        </w:rPr>
      </w:pPr>
      <w:r>
        <w:rPr>
          <w:rFonts w:hint="cs"/>
          <w:rtl/>
        </w:rPr>
        <w:t>16-</w:t>
      </w:r>
      <w:r>
        <w:rPr>
          <w:rFonts w:hint="cs"/>
          <w:rtl/>
        </w:rPr>
        <w:tab/>
        <w:t>بالإضافة إلى المشاكل التي اعترفت بها الدولة الطرف ومنها الشواغل المتعلقة بأمن العائدين من الأقليات وعدم التحقيق في الجرائم ومحاكمة مرتكبيها، وأفعال العنف ضد اللاجئين والأشخاص المشردين داخلياً (</w:t>
      </w:r>
      <w:r>
        <w:t>CAT/C/BIH/2-5</w:t>
      </w:r>
      <w:r>
        <w:rPr>
          <w:rFonts w:hint="cs"/>
          <w:rtl/>
        </w:rPr>
        <w:t xml:space="preserve">، الفقرة 142)، تعرب اللجنة عن قلقها إزاء التقارير المستمرة التي </w:t>
      </w:r>
      <w:r w:rsidR="00452B00">
        <w:rPr>
          <w:rFonts w:hint="cs"/>
          <w:rtl/>
        </w:rPr>
        <w:t xml:space="preserve">تزعم </w:t>
      </w:r>
      <w:r>
        <w:rPr>
          <w:rFonts w:hint="cs"/>
          <w:rtl/>
        </w:rPr>
        <w:t>أن البرامج الموجودة المتعلقة باستعادة الملكية فشلت في مراعاة نوع الجنس والاحتياجات النفسية لضحايا العنف الجنسي. كما يساور اللجنة القلق إزاء انعدام الفرص الاقتصادية والأحوال المعيشية السيئة لهذه الفئات (المواد 3 و7 و12).</w:t>
      </w:r>
    </w:p>
    <w:p w:rsidR="00C90C5B" w:rsidRDefault="00C90C5B" w:rsidP="002C2775">
      <w:pPr>
        <w:pStyle w:val="SingleTxtGA"/>
        <w:spacing w:line="360" w:lineRule="exact"/>
        <w:ind w:left="1928"/>
        <w:rPr>
          <w:rFonts w:hint="cs"/>
          <w:b/>
          <w:bCs/>
          <w:rtl/>
        </w:rPr>
      </w:pPr>
      <w:r>
        <w:rPr>
          <w:rFonts w:hint="cs"/>
          <w:rtl/>
        </w:rPr>
        <w:tab/>
      </w:r>
      <w:r>
        <w:rPr>
          <w:rFonts w:hint="cs"/>
          <w:b/>
          <w:bCs/>
          <w:rtl/>
        </w:rPr>
        <w:t xml:space="preserve">توصي اللجنة الدولة الطرف بتكثيف جهودها لتيسير عودة اللاجئين والأشخاص المشردين، بما في ذلك من خلال بناء المساكن وما يصاحبها من هياكل أساسية والتصدي للأوضاع المحددة لأولئك الذين يواجهون، لولا ذلك، صعوبات في الاستفادة من </w:t>
      </w:r>
      <w:r w:rsidR="00452B00">
        <w:rPr>
          <w:rFonts w:hint="cs"/>
          <w:b/>
          <w:bCs/>
          <w:rtl/>
        </w:rPr>
        <w:t>ال</w:t>
      </w:r>
      <w:r>
        <w:rPr>
          <w:rFonts w:hint="cs"/>
          <w:b/>
          <w:bCs/>
          <w:rtl/>
        </w:rPr>
        <w:t xml:space="preserve">مساعدة </w:t>
      </w:r>
      <w:r w:rsidR="00452B00">
        <w:rPr>
          <w:rFonts w:hint="cs"/>
          <w:b/>
          <w:bCs/>
          <w:rtl/>
        </w:rPr>
        <w:t xml:space="preserve">من أجل </w:t>
      </w:r>
      <w:r>
        <w:rPr>
          <w:rFonts w:hint="cs"/>
          <w:b/>
          <w:bCs/>
          <w:rtl/>
        </w:rPr>
        <w:t xml:space="preserve">إعادة البناء. وينبغي للدولة الطرف أن تتخذ جميع التدابير اللازمة </w:t>
      </w:r>
      <w:r w:rsidR="00452B00">
        <w:rPr>
          <w:rFonts w:hint="cs"/>
          <w:b/>
          <w:bCs/>
          <w:rtl/>
        </w:rPr>
        <w:t xml:space="preserve">لتخطي </w:t>
      </w:r>
      <w:r>
        <w:rPr>
          <w:rFonts w:hint="cs"/>
          <w:b/>
          <w:bCs/>
          <w:rtl/>
        </w:rPr>
        <w:t xml:space="preserve">العقبات المحددة، </w:t>
      </w:r>
      <w:r w:rsidR="00452B00">
        <w:rPr>
          <w:rFonts w:hint="cs"/>
          <w:b/>
          <w:bCs/>
          <w:rtl/>
        </w:rPr>
        <w:t>بفعالية</w:t>
      </w:r>
      <w:r>
        <w:rPr>
          <w:rFonts w:hint="cs"/>
          <w:b/>
          <w:bCs/>
          <w:rtl/>
        </w:rPr>
        <w:t>، وضمان إجراء تحقيق صحيح وفوري في جميع جرائم وأفعال العنف ضد اللاجئين والأشخاص المشردين داخلياً، وملاحقة مرتكبي هذه الأفعال. وفضلاً عن ذلك، من الضروري تنفيذ توصيات ممثل الأمين العام المعني</w:t>
      </w:r>
      <w:r w:rsidR="00AB616D">
        <w:rPr>
          <w:rFonts w:hint="cs"/>
          <w:b/>
          <w:bCs/>
          <w:rtl/>
        </w:rPr>
        <w:t xml:space="preserve"> </w:t>
      </w:r>
      <w:r>
        <w:rPr>
          <w:rFonts w:hint="cs"/>
          <w:b/>
          <w:bCs/>
          <w:rtl/>
        </w:rPr>
        <w:t>بحقوق الإنسان للمشردين داخلياً في تقريره عن البعثة التي أجراها إلى البوسنة والهرسك (</w:t>
      </w:r>
      <w:r>
        <w:rPr>
          <w:b/>
          <w:bCs/>
        </w:rPr>
        <w:t>E/CN.4/2006/71/Add.4</w:t>
      </w:r>
      <w:r>
        <w:rPr>
          <w:rFonts w:hint="cs"/>
          <w:b/>
          <w:bCs/>
          <w:rtl/>
        </w:rPr>
        <w:t>)، تنفيذاً كاملاً.</w:t>
      </w:r>
    </w:p>
    <w:p w:rsidR="00C90C5B" w:rsidRDefault="00C90C5B" w:rsidP="00452B00">
      <w:pPr>
        <w:pStyle w:val="H23GA"/>
        <w:rPr>
          <w:rFonts w:hint="cs"/>
          <w:rtl/>
        </w:rPr>
      </w:pPr>
      <w:r>
        <w:rPr>
          <w:rFonts w:hint="cs"/>
          <w:rtl/>
        </w:rPr>
        <w:tab/>
      </w:r>
      <w:r>
        <w:rPr>
          <w:rFonts w:hint="cs"/>
          <w:rtl/>
        </w:rPr>
        <w:tab/>
        <w:t xml:space="preserve">حماية الشهود وتقديم الدعم </w:t>
      </w:r>
      <w:r w:rsidR="00452B00">
        <w:rPr>
          <w:rFonts w:hint="cs"/>
          <w:rtl/>
        </w:rPr>
        <w:t>لهم</w:t>
      </w:r>
    </w:p>
    <w:p w:rsidR="00C90C5B" w:rsidRDefault="00C90C5B" w:rsidP="002D707D">
      <w:pPr>
        <w:pStyle w:val="SingleTxtGA"/>
        <w:rPr>
          <w:rFonts w:hint="cs"/>
          <w:rtl/>
        </w:rPr>
      </w:pPr>
      <w:r>
        <w:rPr>
          <w:rFonts w:hint="cs"/>
          <w:rtl/>
        </w:rPr>
        <w:t>17-</w:t>
      </w:r>
      <w:r>
        <w:rPr>
          <w:rFonts w:hint="cs"/>
          <w:rtl/>
        </w:rPr>
        <w:tab/>
        <w:t xml:space="preserve">تأخذ اللجنة علماً ببعض التحسينات التي أدخلت على إجراءات حماية الشهود في المحاكمات الجنائية، </w:t>
      </w:r>
      <w:r w:rsidR="002D707D">
        <w:rPr>
          <w:rFonts w:hint="cs"/>
          <w:rtl/>
        </w:rPr>
        <w:t xml:space="preserve">إلا أنها </w:t>
      </w:r>
      <w:r>
        <w:rPr>
          <w:rFonts w:hint="cs"/>
          <w:rtl/>
        </w:rPr>
        <w:t xml:space="preserve">لا تزال تشعر </w:t>
      </w:r>
      <w:r w:rsidR="002D707D">
        <w:rPr>
          <w:rFonts w:hint="cs"/>
          <w:rtl/>
        </w:rPr>
        <w:t xml:space="preserve">في نفس الوقت </w:t>
      </w:r>
      <w:r>
        <w:rPr>
          <w:rFonts w:hint="cs"/>
          <w:rtl/>
        </w:rPr>
        <w:t xml:space="preserve">بقلق بالغ إزاء انعدام التدابير الكافية لحماية الشهود ودعمهم قبل المحاكمات وأثناءها وبعدها، وهو أمر له أثر سلبي على رغبة الشهود في المشاركة في عمليات التحقيق أو تقديم الشهادة في </w:t>
      </w:r>
      <w:r w:rsidR="00E84B24">
        <w:rPr>
          <w:rFonts w:hint="cs"/>
          <w:rtl/>
        </w:rPr>
        <w:t>المحاكمات و</w:t>
      </w:r>
      <w:r w:rsidR="002D707D">
        <w:rPr>
          <w:rFonts w:hint="cs"/>
          <w:rtl/>
        </w:rPr>
        <w:t>استعدادهم لذلك</w:t>
      </w:r>
      <w:r>
        <w:rPr>
          <w:rFonts w:hint="cs"/>
          <w:rtl/>
        </w:rPr>
        <w:t>. كما يساور اللجنة القلق إزاء الحالات المبلّغ عنها المتمثلة في قيام مرتكبي الأفعال بتخويف الشهود ومحاولة رشوتهم، وإزاء عدم كفاية الدعم المقدم إلى الشهود من جانب السلطات المختصة مثل الوكالة الحكومية للتحقيق والحماية (المواد 2 و11 و12</w:t>
      </w:r>
      <w:r w:rsidR="00BB73F1">
        <w:rPr>
          <w:rFonts w:hint="cs"/>
          <w:rtl/>
        </w:rPr>
        <w:t xml:space="preserve"> </w:t>
      </w:r>
      <w:r>
        <w:rPr>
          <w:rFonts w:hint="cs"/>
          <w:rtl/>
        </w:rPr>
        <w:t>و13</w:t>
      </w:r>
      <w:r w:rsidR="00BB73F1">
        <w:rPr>
          <w:rFonts w:hint="cs"/>
          <w:rtl/>
        </w:rPr>
        <w:t xml:space="preserve"> </w:t>
      </w:r>
      <w:r>
        <w:rPr>
          <w:rFonts w:hint="cs"/>
          <w:rtl/>
        </w:rPr>
        <w:t>و15).</w:t>
      </w:r>
    </w:p>
    <w:p w:rsidR="00C90C5B" w:rsidRDefault="00C90C5B" w:rsidP="002D707D">
      <w:pPr>
        <w:pStyle w:val="SingleTxtGA"/>
        <w:ind w:left="1928"/>
        <w:rPr>
          <w:rFonts w:hint="cs"/>
          <w:b/>
          <w:bCs/>
          <w:rtl/>
        </w:rPr>
      </w:pPr>
      <w:r>
        <w:rPr>
          <w:rFonts w:hint="cs"/>
          <w:b/>
          <w:bCs/>
          <w:rtl/>
        </w:rPr>
        <w:tab/>
        <w:t xml:space="preserve">تحث اللجنة الدولة الطرف على </w:t>
      </w:r>
      <w:r w:rsidR="002D707D">
        <w:rPr>
          <w:rFonts w:hint="cs"/>
          <w:b/>
          <w:bCs/>
          <w:rtl/>
        </w:rPr>
        <w:t xml:space="preserve">ضمان </w:t>
      </w:r>
      <w:r>
        <w:rPr>
          <w:rFonts w:hint="cs"/>
          <w:b/>
          <w:bCs/>
          <w:rtl/>
        </w:rPr>
        <w:t xml:space="preserve">حماية الضحايا بفعالية، وتجنب زيادة </w:t>
      </w:r>
      <w:r w:rsidR="002D707D">
        <w:rPr>
          <w:rFonts w:hint="cs"/>
          <w:b/>
          <w:bCs/>
          <w:rtl/>
        </w:rPr>
        <w:t>تعريضهم للمعاناة أو ل</w:t>
      </w:r>
      <w:r>
        <w:rPr>
          <w:rFonts w:hint="cs"/>
          <w:b/>
          <w:bCs/>
          <w:rtl/>
        </w:rPr>
        <w:t>لضغوط لسحب شهادتهم</w:t>
      </w:r>
      <w:r w:rsidR="002D707D">
        <w:rPr>
          <w:rFonts w:hint="cs"/>
          <w:b/>
          <w:bCs/>
          <w:rtl/>
        </w:rPr>
        <w:t>،</w:t>
      </w:r>
      <w:r>
        <w:rPr>
          <w:rFonts w:hint="cs"/>
          <w:b/>
          <w:bCs/>
          <w:rtl/>
        </w:rPr>
        <w:t xml:space="preserve"> وتجنب </w:t>
      </w:r>
      <w:r w:rsidR="002D707D">
        <w:rPr>
          <w:rFonts w:hint="cs"/>
          <w:b/>
          <w:bCs/>
          <w:rtl/>
        </w:rPr>
        <w:t xml:space="preserve">تعريضهم </w:t>
      </w:r>
      <w:r>
        <w:rPr>
          <w:rFonts w:hint="cs"/>
          <w:b/>
          <w:bCs/>
          <w:rtl/>
        </w:rPr>
        <w:t>للتهديد من جانب مرتكبي الأفعال المزعومين، و</w:t>
      </w:r>
      <w:r w:rsidR="006003A5">
        <w:rPr>
          <w:rFonts w:hint="cs"/>
          <w:b/>
          <w:bCs/>
          <w:rtl/>
        </w:rPr>
        <w:t>لا سيما</w:t>
      </w:r>
      <w:r>
        <w:rPr>
          <w:rFonts w:hint="cs"/>
          <w:b/>
          <w:bCs/>
          <w:rtl/>
        </w:rPr>
        <w:t xml:space="preserve"> من خلال ما يلي:</w:t>
      </w:r>
    </w:p>
    <w:p w:rsidR="00C90C5B" w:rsidRPr="002C2775" w:rsidRDefault="00C90C5B" w:rsidP="002C2775">
      <w:pPr>
        <w:pStyle w:val="SingleTxtGA"/>
        <w:ind w:left="1928"/>
        <w:rPr>
          <w:rFonts w:hint="cs"/>
          <w:b/>
          <w:bCs/>
          <w:spacing w:val="-2"/>
          <w:rtl/>
        </w:rPr>
      </w:pPr>
      <w:r w:rsidRPr="002C2775">
        <w:rPr>
          <w:rFonts w:hint="cs"/>
          <w:b/>
          <w:bCs/>
          <w:spacing w:val="-2"/>
          <w:rtl/>
        </w:rPr>
        <w:tab/>
        <w:t>(أ)</w:t>
      </w:r>
      <w:r w:rsidRPr="002C2775">
        <w:rPr>
          <w:rFonts w:hint="cs"/>
          <w:b/>
          <w:bCs/>
          <w:spacing w:val="-2"/>
          <w:rtl/>
        </w:rPr>
        <w:tab/>
        <w:t>تعزيز قدرة الهيئات المختصة</w:t>
      </w:r>
      <w:r w:rsidR="00E84B24">
        <w:rPr>
          <w:rFonts w:hint="cs"/>
          <w:b/>
          <w:bCs/>
          <w:spacing w:val="-2"/>
          <w:rtl/>
        </w:rPr>
        <w:t>،</w:t>
      </w:r>
      <w:r w:rsidRPr="002C2775">
        <w:rPr>
          <w:rFonts w:hint="cs"/>
          <w:b/>
          <w:bCs/>
          <w:spacing w:val="-2"/>
          <w:rtl/>
        </w:rPr>
        <w:t xml:space="preserve"> و</w:t>
      </w:r>
      <w:r w:rsidR="006003A5" w:rsidRPr="002C2775">
        <w:rPr>
          <w:rFonts w:hint="cs"/>
          <w:b/>
          <w:bCs/>
          <w:spacing w:val="-2"/>
          <w:rtl/>
        </w:rPr>
        <w:t>لا سيما</w:t>
      </w:r>
      <w:r w:rsidRPr="002C2775">
        <w:rPr>
          <w:rFonts w:hint="cs"/>
          <w:b/>
          <w:bCs/>
          <w:spacing w:val="-2"/>
          <w:rtl/>
        </w:rPr>
        <w:t xml:space="preserve"> الوكالة الحكومية للتحقيق والحماية ودائرتها لحماية الشهود</w:t>
      </w:r>
      <w:r w:rsidR="00E84B24">
        <w:rPr>
          <w:rFonts w:hint="cs"/>
          <w:b/>
          <w:bCs/>
          <w:spacing w:val="-2"/>
          <w:rtl/>
        </w:rPr>
        <w:t>،</w:t>
      </w:r>
      <w:r w:rsidRPr="002C2775">
        <w:rPr>
          <w:rFonts w:hint="cs"/>
          <w:b/>
          <w:bCs/>
          <w:spacing w:val="-2"/>
          <w:rtl/>
        </w:rPr>
        <w:t xml:space="preserve"> وضمان احترامها لحق الناجين في الخصوصية وتوفير تدابير الحماية الطويلة الأجل أو الدائمة للضحايا المعرضين لخطر كبير، بما</w:t>
      </w:r>
      <w:r w:rsidR="002C2775">
        <w:rPr>
          <w:rFonts w:hint="eastAsia"/>
          <w:b/>
          <w:bCs/>
          <w:spacing w:val="-2"/>
          <w:rtl/>
        </w:rPr>
        <w:t> </w:t>
      </w:r>
      <w:r w:rsidRPr="002C2775">
        <w:rPr>
          <w:rFonts w:hint="cs"/>
          <w:b/>
          <w:bCs/>
          <w:spacing w:val="-2"/>
          <w:rtl/>
        </w:rPr>
        <w:t>في ذلك تغيير هويتهم أو تغيير أماكنهم داخل البوسنة والهرسك أو خارجها</w:t>
      </w:r>
      <w:r w:rsidR="008C01B1" w:rsidRPr="002C2775">
        <w:rPr>
          <w:rFonts w:hint="cs"/>
          <w:b/>
          <w:bCs/>
          <w:spacing w:val="-2"/>
          <w:rtl/>
        </w:rPr>
        <w:t>؛</w:t>
      </w:r>
    </w:p>
    <w:p w:rsidR="00C90C5B" w:rsidRDefault="00C90C5B" w:rsidP="009976B6">
      <w:pPr>
        <w:pStyle w:val="SingleTxtGA"/>
        <w:ind w:left="1928"/>
        <w:rPr>
          <w:rFonts w:hint="cs"/>
          <w:b/>
          <w:bCs/>
          <w:rtl/>
        </w:rPr>
      </w:pPr>
      <w:r>
        <w:rPr>
          <w:rFonts w:hint="cs"/>
          <w:b/>
          <w:bCs/>
          <w:rtl/>
        </w:rPr>
        <w:tab/>
        <w:t>(ب)</w:t>
      </w:r>
      <w:r>
        <w:rPr>
          <w:rFonts w:hint="cs"/>
          <w:b/>
          <w:bCs/>
          <w:rtl/>
        </w:rPr>
        <w:tab/>
        <w:t xml:space="preserve">إيلاء مزيد من الاهتمام للاحتياجات النفسية للشهود بغية تقليل احتمال إصابة الناجين مجدداً بصدمات نفسية </w:t>
      </w:r>
      <w:r w:rsidR="002D707D">
        <w:rPr>
          <w:rFonts w:hint="cs"/>
          <w:b/>
          <w:bCs/>
          <w:rtl/>
        </w:rPr>
        <w:t>في الإجراءات</w:t>
      </w:r>
      <w:r>
        <w:rPr>
          <w:rFonts w:hint="cs"/>
          <w:b/>
          <w:bCs/>
          <w:rtl/>
        </w:rPr>
        <w:t xml:space="preserve"> أمام المحاكم؛</w:t>
      </w:r>
    </w:p>
    <w:p w:rsidR="00C90C5B" w:rsidRDefault="00C90C5B" w:rsidP="009976B6">
      <w:pPr>
        <w:pStyle w:val="SingleTxtGA"/>
        <w:ind w:left="1928"/>
        <w:rPr>
          <w:rFonts w:hint="cs"/>
          <w:b/>
          <w:bCs/>
          <w:rtl/>
        </w:rPr>
      </w:pPr>
      <w:r>
        <w:rPr>
          <w:rFonts w:hint="cs"/>
          <w:b/>
          <w:bCs/>
          <w:rtl/>
        </w:rPr>
        <w:tab/>
        <w:t>(ج)</w:t>
      </w:r>
      <w:r>
        <w:rPr>
          <w:rFonts w:hint="cs"/>
          <w:b/>
          <w:bCs/>
          <w:rtl/>
        </w:rPr>
        <w:tab/>
        <w:t xml:space="preserve">ضمان توفير السبل </w:t>
      </w:r>
      <w:r w:rsidR="002D707D">
        <w:rPr>
          <w:rFonts w:hint="cs"/>
          <w:b/>
          <w:bCs/>
          <w:rtl/>
        </w:rPr>
        <w:t xml:space="preserve">الملائمة </w:t>
      </w:r>
      <w:r>
        <w:rPr>
          <w:rFonts w:hint="cs"/>
          <w:b/>
          <w:bCs/>
          <w:rtl/>
        </w:rPr>
        <w:t>للشهود للتنقل من المحكمة وإليها</w:t>
      </w:r>
      <w:r w:rsidR="002D707D">
        <w:rPr>
          <w:rFonts w:hint="cs"/>
          <w:b/>
          <w:bCs/>
          <w:rtl/>
        </w:rPr>
        <w:t>،</w:t>
      </w:r>
      <w:r>
        <w:rPr>
          <w:rFonts w:hint="cs"/>
          <w:b/>
          <w:bCs/>
          <w:rtl/>
        </w:rPr>
        <w:t xml:space="preserve"> وتزويدهم بمن يصطحبهم أثناء سفرهم، عند الضرورة. </w:t>
      </w:r>
    </w:p>
    <w:p w:rsidR="00C90C5B" w:rsidRDefault="00C90C5B" w:rsidP="00C90C5B">
      <w:pPr>
        <w:pStyle w:val="H23GA"/>
        <w:rPr>
          <w:rFonts w:hint="cs"/>
          <w:rtl/>
        </w:rPr>
      </w:pPr>
      <w:r>
        <w:rPr>
          <w:rFonts w:hint="cs"/>
          <w:rtl/>
        </w:rPr>
        <w:tab/>
      </w:r>
      <w:r>
        <w:rPr>
          <w:rFonts w:hint="cs"/>
          <w:rtl/>
        </w:rPr>
        <w:tab/>
        <w:t>الانتصاف</w:t>
      </w:r>
      <w:r w:rsidR="002D707D">
        <w:rPr>
          <w:rFonts w:hint="cs"/>
          <w:rtl/>
        </w:rPr>
        <w:t>،</w:t>
      </w:r>
      <w:r>
        <w:rPr>
          <w:rFonts w:hint="cs"/>
          <w:rtl/>
        </w:rPr>
        <w:t xml:space="preserve"> بما في ذلك التعويض وإعادة التأهيل</w:t>
      </w:r>
    </w:p>
    <w:p w:rsidR="00C90C5B" w:rsidRDefault="00C90C5B" w:rsidP="002D707D">
      <w:pPr>
        <w:pStyle w:val="SingleTxtGA"/>
        <w:rPr>
          <w:rFonts w:hint="cs"/>
          <w:rtl/>
        </w:rPr>
      </w:pPr>
      <w:r>
        <w:rPr>
          <w:rFonts w:hint="cs"/>
          <w:rtl/>
        </w:rPr>
        <w:t>18-</w:t>
      </w:r>
      <w:r>
        <w:rPr>
          <w:rFonts w:hint="cs"/>
          <w:rtl/>
        </w:rPr>
        <w:tab/>
        <w:t>تأخذ اللجنة علماً بتعزيز الدولة الطرف جهودها لضمان حقوق الضحايا في الانتصاف</w:t>
      </w:r>
      <w:r w:rsidR="002D707D">
        <w:rPr>
          <w:rFonts w:hint="cs"/>
          <w:rtl/>
        </w:rPr>
        <w:t>،</w:t>
      </w:r>
      <w:r>
        <w:rPr>
          <w:rFonts w:hint="cs"/>
          <w:rtl/>
        </w:rPr>
        <w:t xml:space="preserve"> بما في ذلك وضع </w:t>
      </w:r>
      <w:r w:rsidR="00906D28">
        <w:rPr>
          <w:rFonts w:hint="cs"/>
          <w:rtl/>
        </w:rPr>
        <w:t>استراتيج</w:t>
      </w:r>
      <w:r>
        <w:rPr>
          <w:rFonts w:hint="cs"/>
          <w:rtl/>
        </w:rPr>
        <w:t xml:space="preserve">ية للعدالة الانتقالية. ومع ذلك، تعرب اللجنة عن قلقها إزاء </w:t>
      </w:r>
      <w:r w:rsidR="002D707D">
        <w:rPr>
          <w:rFonts w:hint="cs"/>
          <w:rtl/>
        </w:rPr>
        <w:t xml:space="preserve">بطء </w:t>
      </w:r>
      <w:r>
        <w:rPr>
          <w:rFonts w:hint="cs"/>
          <w:rtl/>
        </w:rPr>
        <w:t xml:space="preserve">عملية اعتماد مشروع </w:t>
      </w:r>
      <w:r w:rsidR="002D707D">
        <w:rPr>
          <w:rFonts w:hint="cs"/>
          <w:rtl/>
        </w:rPr>
        <w:t>ال</w:t>
      </w:r>
      <w:r>
        <w:rPr>
          <w:rFonts w:hint="cs"/>
          <w:rtl/>
        </w:rPr>
        <w:t>قانون بشأن حقوق ضحايا التعذيب</w:t>
      </w:r>
      <w:r w:rsidR="00E84B24">
        <w:rPr>
          <w:rFonts w:hint="cs"/>
          <w:rtl/>
        </w:rPr>
        <w:t>،</w:t>
      </w:r>
      <w:r>
        <w:rPr>
          <w:rFonts w:hint="cs"/>
          <w:rtl/>
        </w:rPr>
        <w:t xml:space="preserve"> وعدم وجود تعريف مناسب،</w:t>
      </w:r>
      <w:r w:rsidRPr="00AC4A63">
        <w:rPr>
          <w:rFonts w:hint="cs"/>
          <w:rtl/>
        </w:rPr>
        <w:t xml:space="preserve"> </w:t>
      </w:r>
      <w:r>
        <w:rPr>
          <w:rFonts w:hint="cs"/>
          <w:rtl/>
        </w:rPr>
        <w:t>في التشريعات الداخلية، لوضع ضحايا الحرب</w:t>
      </w:r>
      <w:r w:rsidRPr="006066C2">
        <w:rPr>
          <w:rFonts w:hint="cs"/>
          <w:rtl/>
        </w:rPr>
        <w:t xml:space="preserve"> </w:t>
      </w:r>
      <w:r>
        <w:rPr>
          <w:rFonts w:hint="cs"/>
          <w:rtl/>
        </w:rPr>
        <w:t>وحقوقهم المدنية، وعدم كفاية الدعم الطبي أو النفسي والحماية القانونية المتاحة للضحايا</w:t>
      </w:r>
      <w:r w:rsidR="002D707D">
        <w:rPr>
          <w:rFonts w:hint="cs"/>
          <w:rtl/>
        </w:rPr>
        <w:t>،</w:t>
      </w:r>
      <w:r>
        <w:rPr>
          <w:rFonts w:hint="cs"/>
          <w:rtl/>
        </w:rPr>
        <w:t xml:space="preserve"> و</w:t>
      </w:r>
      <w:r w:rsidR="006003A5">
        <w:rPr>
          <w:rFonts w:hint="cs"/>
          <w:rtl/>
        </w:rPr>
        <w:t>لا سيما</w:t>
      </w:r>
      <w:r>
        <w:rPr>
          <w:rFonts w:hint="cs"/>
          <w:rtl/>
        </w:rPr>
        <w:t xml:space="preserve"> ضحايا العنف الجنسي في زمن الحرب (المادة 14).</w:t>
      </w:r>
    </w:p>
    <w:p w:rsidR="00C90C5B" w:rsidRDefault="00C90C5B" w:rsidP="004804D7">
      <w:pPr>
        <w:pStyle w:val="SingleTxtGA"/>
        <w:ind w:left="1928"/>
        <w:rPr>
          <w:rFonts w:hint="cs"/>
          <w:b/>
          <w:bCs/>
          <w:rtl/>
        </w:rPr>
      </w:pPr>
      <w:r>
        <w:rPr>
          <w:rFonts w:hint="cs"/>
          <w:rtl/>
        </w:rPr>
        <w:tab/>
      </w:r>
      <w:r>
        <w:rPr>
          <w:rFonts w:hint="cs"/>
          <w:b/>
          <w:bCs/>
          <w:rtl/>
        </w:rPr>
        <w:t xml:space="preserve">توصي اللجنة الدولة الطرف </w:t>
      </w:r>
      <w:r w:rsidR="00906D28">
        <w:rPr>
          <w:rFonts w:hint="cs"/>
          <w:b/>
          <w:bCs/>
          <w:rtl/>
        </w:rPr>
        <w:t>بالقيام</w:t>
      </w:r>
      <w:r>
        <w:rPr>
          <w:rFonts w:hint="cs"/>
          <w:b/>
          <w:bCs/>
          <w:rtl/>
        </w:rPr>
        <w:t xml:space="preserve">، دون تأخير، </w:t>
      </w:r>
      <w:r w:rsidR="00906D28">
        <w:rPr>
          <w:rFonts w:hint="cs"/>
          <w:b/>
          <w:bCs/>
          <w:rtl/>
        </w:rPr>
        <w:t xml:space="preserve">باعتماد </w:t>
      </w:r>
      <w:r>
        <w:rPr>
          <w:rFonts w:hint="cs"/>
          <w:b/>
          <w:bCs/>
          <w:rtl/>
        </w:rPr>
        <w:t xml:space="preserve">مشروع </w:t>
      </w:r>
      <w:r w:rsidR="00906D28">
        <w:rPr>
          <w:rFonts w:hint="cs"/>
          <w:b/>
          <w:bCs/>
          <w:rtl/>
        </w:rPr>
        <w:t>ال</w:t>
      </w:r>
      <w:r>
        <w:rPr>
          <w:rFonts w:hint="cs"/>
          <w:b/>
          <w:bCs/>
          <w:rtl/>
        </w:rPr>
        <w:t xml:space="preserve">قانون </w:t>
      </w:r>
      <w:r w:rsidR="00906D28">
        <w:rPr>
          <w:rFonts w:hint="cs"/>
          <w:b/>
          <w:bCs/>
          <w:rtl/>
        </w:rPr>
        <w:t xml:space="preserve">بشأن </w:t>
      </w:r>
      <w:r>
        <w:rPr>
          <w:rFonts w:hint="cs"/>
          <w:b/>
          <w:bCs/>
          <w:rtl/>
        </w:rPr>
        <w:t>حقوق ضحايا التعذيب وضحايا الحرب المدنيين</w:t>
      </w:r>
      <w:r w:rsidR="00906D28">
        <w:rPr>
          <w:rFonts w:hint="cs"/>
          <w:b/>
          <w:bCs/>
          <w:rtl/>
        </w:rPr>
        <w:t>،</w:t>
      </w:r>
      <w:r>
        <w:rPr>
          <w:rFonts w:hint="cs"/>
          <w:b/>
          <w:bCs/>
          <w:rtl/>
        </w:rPr>
        <w:t xml:space="preserve"> و</w:t>
      </w:r>
      <w:r w:rsidR="00906D28">
        <w:rPr>
          <w:rFonts w:hint="cs"/>
          <w:b/>
          <w:bCs/>
          <w:rtl/>
        </w:rPr>
        <w:t>استراتيج</w:t>
      </w:r>
      <w:r>
        <w:rPr>
          <w:rFonts w:hint="cs"/>
          <w:b/>
          <w:bCs/>
          <w:rtl/>
        </w:rPr>
        <w:t xml:space="preserve">ية </w:t>
      </w:r>
      <w:r w:rsidR="00906D28">
        <w:rPr>
          <w:rFonts w:hint="cs"/>
          <w:b/>
          <w:bCs/>
          <w:rtl/>
        </w:rPr>
        <w:t>ا</w:t>
      </w:r>
      <w:r>
        <w:rPr>
          <w:rFonts w:hint="cs"/>
          <w:b/>
          <w:bCs/>
          <w:rtl/>
        </w:rPr>
        <w:t>لعدالة الانتقالية بغية حماية حقوق الضحايا بالكامل</w:t>
      </w:r>
      <w:r w:rsidR="00906D28">
        <w:rPr>
          <w:rFonts w:hint="cs"/>
          <w:b/>
          <w:bCs/>
          <w:rtl/>
        </w:rPr>
        <w:t>،</w:t>
      </w:r>
      <w:r>
        <w:rPr>
          <w:rFonts w:hint="cs"/>
          <w:b/>
          <w:bCs/>
          <w:rtl/>
        </w:rPr>
        <w:t xml:space="preserve"> بما في ذلك تقديم التعويض وإعادة التأهيل على أكمل </w:t>
      </w:r>
      <w:r w:rsidR="00906D28">
        <w:rPr>
          <w:rFonts w:hint="cs"/>
          <w:b/>
          <w:bCs/>
          <w:rtl/>
        </w:rPr>
        <w:t>وجه</w:t>
      </w:r>
      <w:r>
        <w:rPr>
          <w:rFonts w:hint="cs"/>
          <w:b/>
          <w:bCs/>
          <w:rtl/>
        </w:rPr>
        <w:t xml:space="preserve"> ممكن، بهدف </w:t>
      </w:r>
      <w:r w:rsidR="00906D28">
        <w:rPr>
          <w:rFonts w:hint="cs"/>
          <w:b/>
          <w:bCs/>
          <w:rtl/>
        </w:rPr>
        <w:t xml:space="preserve">تحقيق </w:t>
      </w:r>
      <w:r>
        <w:rPr>
          <w:rFonts w:hint="cs"/>
          <w:b/>
          <w:bCs/>
          <w:rtl/>
        </w:rPr>
        <w:t>الانتعاش البدني والنفسي وإعادة إدماج الضحايا في المجتمع</w:t>
      </w:r>
      <w:r w:rsidR="00906D28">
        <w:rPr>
          <w:rFonts w:hint="cs"/>
          <w:b/>
          <w:bCs/>
          <w:rtl/>
        </w:rPr>
        <w:t>.</w:t>
      </w:r>
      <w:r>
        <w:rPr>
          <w:rFonts w:hint="cs"/>
          <w:b/>
          <w:bCs/>
          <w:rtl/>
        </w:rPr>
        <w:t xml:space="preserve"> ولهذا الغرض، تشجع اللجنة الدولة الطرف بشدة على الحد من درجة تسييس هذه الجهود، ووضع </w:t>
      </w:r>
      <w:r w:rsidR="00906D28">
        <w:rPr>
          <w:rFonts w:hint="cs"/>
          <w:b/>
          <w:bCs/>
          <w:rtl/>
        </w:rPr>
        <w:t xml:space="preserve">اللمسات الأخيرة على </w:t>
      </w:r>
      <w:r>
        <w:rPr>
          <w:rFonts w:hint="cs"/>
          <w:b/>
          <w:bCs/>
          <w:rtl/>
        </w:rPr>
        <w:t xml:space="preserve">خطة عمل </w:t>
      </w:r>
      <w:r w:rsidR="00906D28">
        <w:rPr>
          <w:rFonts w:hint="cs"/>
          <w:b/>
          <w:bCs/>
          <w:rtl/>
        </w:rPr>
        <w:t xml:space="preserve">تنطوي على </w:t>
      </w:r>
      <w:r>
        <w:rPr>
          <w:rFonts w:hint="cs"/>
          <w:b/>
          <w:bCs/>
          <w:rtl/>
        </w:rPr>
        <w:t>تعريف واضح للأنشطة وما يقابلها من مسؤوليات فيما</w:t>
      </w:r>
      <w:r w:rsidR="004804D7">
        <w:rPr>
          <w:rFonts w:hint="eastAsia"/>
          <w:b/>
          <w:bCs/>
          <w:rtl/>
        </w:rPr>
        <w:t> </w:t>
      </w:r>
      <w:r>
        <w:rPr>
          <w:rFonts w:hint="cs"/>
          <w:b/>
          <w:bCs/>
          <w:rtl/>
        </w:rPr>
        <w:t>بين الدولة وسلطات الكيانين</w:t>
      </w:r>
      <w:r w:rsidR="00906D28">
        <w:rPr>
          <w:rFonts w:hint="cs"/>
          <w:b/>
          <w:bCs/>
          <w:rtl/>
        </w:rPr>
        <w:t>،</w:t>
      </w:r>
      <w:r>
        <w:rPr>
          <w:rFonts w:hint="cs"/>
          <w:b/>
          <w:bCs/>
          <w:rtl/>
        </w:rPr>
        <w:t xml:space="preserve"> وضمان تخصيص الموارد المالية الكافية.</w:t>
      </w:r>
    </w:p>
    <w:p w:rsidR="00C90C5B" w:rsidRDefault="00C90C5B" w:rsidP="00C90C5B">
      <w:pPr>
        <w:pStyle w:val="H23GA"/>
        <w:rPr>
          <w:rFonts w:hint="cs"/>
          <w:rtl/>
        </w:rPr>
      </w:pPr>
      <w:r>
        <w:rPr>
          <w:rFonts w:hint="cs"/>
          <w:rtl/>
        </w:rPr>
        <w:tab/>
      </w:r>
      <w:r>
        <w:rPr>
          <w:rFonts w:hint="cs"/>
          <w:rtl/>
        </w:rPr>
        <w:tab/>
        <w:t>ظروف الاحتجاز</w:t>
      </w:r>
    </w:p>
    <w:p w:rsidR="00C90C5B" w:rsidRDefault="00C90C5B" w:rsidP="00EA6C7E">
      <w:pPr>
        <w:pStyle w:val="SingleTxtGA"/>
        <w:rPr>
          <w:rFonts w:hint="cs"/>
          <w:rtl/>
        </w:rPr>
      </w:pPr>
      <w:r>
        <w:rPr>
          <w:rFonts w:hint="cs"/>
          <w:rtl/>
        </w:rPr>
        <w:t>19-</w:t>
      </w:r>
      <w:r>
        <w:rPr>
          <w:rFonts w:hint="cs"/>
          <w:rtl/>
        </w:rPr>
        <w:tab/>
      </w:r>
      <w:r w:rsidR="00EA6C7E">
        <w:rPr>
          <w:rFonts w:hint="cs"/>
          <w:rtl/>
        </w:rPr>
        <w:t>و</w:t>
      </w:r>
      <w:r>
        <w:rPr>
          <w:rFonts w:hint="cs"/>
          <w:rtl/>
        </w:rPr>
        <w:t xml:space="preserve">ترحب اللجنة بالتدابير التي اتخذتها الدولة الطرف لزيادة تحسين ظروف الاحتجاز، بما في ذلك بناء مرافق جديدة وتجديد الموجود منها، </w:t>
      </w:r>
      <w:r w:rsidR="00EA6C7E">
        <w:rPr>
          <w:rFonts w:hint="cs"/>
          <w:rtl/>
        </w:rPr>
        <w:t xml:space="preserve">إلا أنها </w:t>
      </w:r>
      <w:r>
        <w:rPr>
          <w:rFonts w:hint="cs"/>
          <w:rtl/>
        </w:rPr>
        <w:t>لا تزال تشعر بالقلق،</w:t>
      </w:r>
      <w:r w:rsidR="00E84B24">
        <w:rPr>
          <w:rFonts w:hint="cs"/>
          <w:rtl/>
        </w:rPr>
        <w:t xml:space="preserve"> </w:t>
      </w:r>
      <w:r>
        <w:rPr>
          <w:rFonts w:hint="cs"/>
          <w:rtl/>
        </w:rPr>
        <w:t xml:space="preserve">بصفة خاصة، إزاء المرافق </w:t>
      </w:r>
      <w:r w:rsidR="00EA6C7E">
        <w:rPr>
          <w:rFonts w:hint="cs"/>
          <w:rtl/>
        </w:rPr>
        <w:t>والظروف المادية والصحية الحالية</w:t>
      </w:r>
      <w:r>
        <w:rPr>
          <w:rFonts w:hint="cs"/>
          <w:rtl/>
        </w:rPr>
        <w:t xml:space="preserve">، واللجوء إلى الحبس الانفرادي، ومشاكل اكتظاظ </w:t>
      </w:r>
      <w:r w:rsidR="00EA6C7E">
        <w:rPr>
          <w:rFonts w:hint="cs"/>
          <w:rtl/>
        </w:rPr>
        <w:t>السجون</w:t>
      </w:r>
      <w:r>
        <w:rPr>
          <w:rFonts w:hint="cs"/>
          <w:rtl/>
        </w:rPr>
        <w:t>، واستمرار العنف فيما بين السجناء في بعض أماكن الحرمان من الحرية (المواد 11 و12 و16).</w:t>
      </w:r>
    </w:p>
    <w:p w:rsidR="00C90C5B" w:rsidRDefault="00C90C5B" w:rsidP="009976B6">
      <w:pPr>
        <w:pStyle w:val="SingleTxtGA"/>
        <w:ind w:left="1928"/>
        <w:rPr>
          <w:rFonts w:hint="cs"/>
          <w:b/>
          <w:bCs/>
          <w:rtl/>
        </w:rPr>
      </w:pPr>
      <w:r>
        <w:rPr>
          <w:rFonts w:hint="cs"/>
          <w:b/>
          <w:bCs/>
          <w:rtl/>
        </w:rPr>
        <w:tab/>
        <w:t xml:space="preserve">يتعين على </w:t>
      </w:r>
      <w:r w:rsidR="00EA6C7E">
        <w:rPr>
          <w:rFonts w:hint="cs"/>
          <w:b/>
          <w:bCs/>
          <w:rtl/>
        </w:rPr>
        <w:t>ال</w:t>
      </w:r>
      <w:r>
        <w:rPr>
          <w:rFonts w:hint="cs"/>
          <w:b/>
          <w:bCs/>
          <w:rtl/>
        </w:rPr>
        <w:t xml:space="preserve">دولة الطرف أن تكثف جهودها لجعل ظروف الاحتجاز في أماكن الحرمان من الحرية تتمشى مع القواعد النموذجية الدنيا لمعاملة السجناء (التي أقرها المجلس الاقتصادي والاجتماعي في قراريه 663 </w:t>
      </w:r>
      <w:r w:rsidR="00EA6C7E">
        <w:rPr>
          <w:rFonts w:hint="cs"/>
          <w:b/>
          <w:bCs/>
          <w:rtl/>
        </w:rPr>
        <w:t xml:space="preserve">جيم </w:t>
      </w:r>
      <w:r>
        <w:rPr>
          <w:rFonts w:hint="cs"/>
          <w:b/>
          <w:bCs/>
          <w:rtl/>
        </w:rPr>
        <w:t>(د-24) و2076 (د-62)</w:t>
      </w:r>
      <w:r w:rsidR="00BB73F1">
        <w:rPr>
          <w:rFonts w:hint="cs"/>
          <w:b/>
          <w:bCs/>
          <w:rtl/>
        </w:rPr>
        <w:t xml:space="preserve"> و</w:t>
      </w:r>
      <w:r>
        <w:rPr>
          <w:rFonts w:hint="cs"/>
          <w:b/>
          <w:bCs/>
          <w:rtl/>
        </w:rPr>
        <w:t xml:space="preserve">غيرها من المعايير </w:t>
      </w:r>
      <w:r w:rsidR="00EA6C7E">
        <w:rPr>
          <w:rFonts w:hint="cs"/>
          <w:b/>
          <w:bCs/>
          <w:rtl/>
        </w:rPr>
        <w:t>القانونية الدولية والوطنية ذات الصلة</w:t>
      </w:r>
      <w:r w:rsidR="00E84B24">
        <w:rPr>
          <w:rFonts w:hint="cs"/>
          <w:b/>
          <w:bCs/>
          <w:rtl/>
        </w:rPr>
        <w:t>،</w:t>
      </w:r>
      <w:r w:rsidR="00EA6C7E">
        <w:rPr>
          <w:rFonts w:hint="cs"/>
          <w:b/>
          <w:bCs/>
          <w:rtl/>
        </w:rPr>
        <w:t xml:space="preserve"> </w:t>
      </w:r>
      <w:r>
        <w:rPr>
          <w:rFonts w:hint="cs"/>
          <w:b/>
          <w:bCs/>
          <w:rtl/>
        </w:rPr>
        <w:t>و</w:t>
      </w:r>
      <w:r w:rsidR="006003A5">
        <w:rPr>
          <w:rFonts w:hint="cs"/>
          <w:b/>
          <w:bCs/>
          <w:rtl/>
        </w:rPr>
        <w:t>لا سيما</w:t>
      </w:r>
      <w:r>
        <w:rPr>
          <w:rFonts w:hint="cs"/>
          <w:b/>
          <w:bCs/>
          <w:rtl/>
        </w:rPr>
        <w:t xml:space="preserve"> من خلال</w:t>
      </w:r>
      <w:r w:rsidR="00EA6C7E">
        <w:rPr>
          <w:rFonts w:hint="cs"/>
          <w:b/>
          <w:bCs/>
          <w:rtl/>
        </w:rPr>
        <w:t xml:space="preserve"> ما يلي</w:t>
      </w:r>
      <w:r>
        <w:rPr>
          <w:rFonts w:hint="cs"/>
          <w:b/>
          <w:bCs/>
          <w:rtl/>
        </w:rPr>
        <w:t>:</w:t>
      </w:r>
    </w:p>
    <w:p w:rsidR="00C90C5B" w:rsidRDefault="00C90C5B" w:rsidP="009976B6">
      <w:pPr>
        <w:pStyle w:val="SingleTxtGA"/>
        <w:ind w:left="1928"/>
        <w:rPr>
          <w:rFonts w:hint="cs"/>
          <w:b/>
          <w:bCs/>
          <w:rtl/>
        </w:rPr>
      </w:pPr>
      <w:r>
        <w:rPr>
          <w:rFonts w:hint="cs"/>
          <w:b/>
          <w:bCs/>
          <w:rtl/>
        </w:rPr>
        <w:tab/>
        <w:t>(أ)</w:t>
      </w:r>
      <w:r>
        <w:rPr>
          <w:rFonts w:hint="cs"/>
          <w:b/>
          <w:bCs/>
          <w:rtl/>
        </w:rPr>
        <w:tab/>
        <w:t xml:space="preserve">تنسيق الإشراف القضائي </w:t>
      </w:r>
      <w:r w:rsidR="00437065">
        <w:rPr>
          <w:rFonts w:hint="cs"/>
          <w:b/>
          <w:bCs/>
          <w:rtl/>
        </w:rPr>
        <w:t xml:space="preserve">على </w:t>
      </w:r>
      <w:r>
        <w:rPr>
          <w:rFonts w:hint="cs"/>
          <w:b/>
          <w:bCs/>
          <w:rtl/>
        </w:rPr>
        <w:t>ظروف الاحتجاز فيما بين الهيئات المختصة وضمان إجراء تحقيق شامل في جميع إدعاءات الاعتداء أو إساءة المعاملة التي تُرتكب داخل مرافق الاحتجاز؛</w:t>
      </w:r>
    </w:p>
    <w:p w:rsidR="00C90C5B" w:rsidRDefault="00C90C5B" w:rsidP="009976B6">
      <w:pPr>
        <w:pStyle w:val="SingleTxtGA"/>
        <w:ind w:left="1928"/>
        <w:rPr>
          <w:rFonts w:hint="cs"/>
          <w:b/>
          <w:bCs/>
          <w:rtl/>
        </w:rPr>
      </w:pPr>
      <w:r>
        <w:rPr>
          <w:rFonts w:hint="cs"/>
          <w:b/>
          <w:bCs/>
          <w:rtl/>
        </w:rPr>
        <w:tab/>
        <w:t>(ب)</w:t>
      </w:r>
      <w:r>
        <w:rPr>
          <w:rFonts w:hint="cs"/>
          <w:b/>
          <w:bCs/>
          <w:rtl/>
        </w:rPr>
        <w:tab/>
        <w:t>وضع خطة شاملة للتصدي لموضوع العنف فيما بين السجناء والعنف الجنسي في جميع مرافق الاحتجاز</w:t>
      </w:r>
      <w:r w:rsidR="00437065">
        <w:rPr>
          <w:rFonts w:hint="cs"/>
          <w:b/>
          <w:bCs/>
          <w:rtl/>
        </w:rPr>
        <w:t>،</w:t>
      </w:r>
      <w:r>
        <w:rPr>
          <w:rFonts w:hint="cs"/>
          <w:b/>
          <w:bCs/>
          <w:rtl/>
        </w:rPr>
        <w:t xml:space="preserve"> بما في ذلك </w:t>
      </w:r>
      <w:r w:rsidR="00437065">
        <w:rPr>
          <w:rFonts w:hint="cs"/>
          <w:b/>
          <w:bCs/>
          <w:rtl/>
        </w:rPr>
        <w:t xml:space="preserve">في </w:t>
      </w:r>
      <w:r>
        <w:rPr>
          <w:rFonts w:hint="cs"/>
          <w:b/>
          <w:bCs/>
          <w:rtl/>
        </w:rPr>
        <w:t>سجن زينيكا</w:t>
      </w:r>
      <w:r w:rsidR="00AB616D">
        <w:rPr>
          <w:rFonts w:hint="cs"/>
          <w:b/>
          <w:bCs/>
          <w:rtl/>
        </w:rPr>
        <w:t xml:space="preserve">، </w:t>
      </w:r>
      <w:r>
        <w:rPr>
          <w:rFonts w:hint="cs"/>
          <w:b/>
          <w:bCs/>
          <w:rtl/>
        </w:rPr>
        <w:t>وضمان التحقيق الفعال في هذه الحالات؛</w:t>
      </w:r>
    </w:p>
    <w:p w:rsidR="00C90C5B" w:rsidRDefault="00C90C5B" w:rsidP="009976B6">
      <w:pPr>
        <w:pStyle w:val="SingleTxtGA"/>
        <w:ind w:left="1928"/>
        <w:rPr>
          <w:rFonts w:hint="cs"/>
          <w:b/>
          <w:bCs/>
          <w:rtl/>
        </w:rPr>
      </w:pPr>
      <w:r>
        <w:rPr>
          <w:rFonts w:hint="cs"/>
          <w:b/>
          <w:bCs/>
          <w:rtl/>
        </w:rPr>
        <w:tab/>
        <w:t>(ج)</w:t>
      </w:r>
      <w:r>
        <w:rPr>
          <w:rFonts w:hint="cs"/>
          <w:b/>
          <w:bCs/>
          <w:rtl/>
        </w:rPr>
        <w:tab/>
        <w:t>الحد من الاكتظاظ في السجون والن</w:t>
      </w:r>
      <w:r w:rsidR="00437065">
        <w:rPr>
          <w:rFonts w:hint="cs"/>
          <w:b/>
          <w:bCs/>
          <w:rtl/>
        </w:rPr>
        <w:t>ظر في أشكال الحبس غير الاحتجازي</w:t>
      </w:r>
      <w:r>
        <w:rPr>
          <w:rFonts w:hint="cs"/>
          <w:b/>
          <w:bCs/>
          <w:rtl/>
        </w:rPr>
        <w:t>؛</w:t>
      </w:r>
    </w:p>
    <w:p w:rsidR="00C90C5B" w:rsidRDefault="00C90C5B" w:rsidP="009976B6">
      <w:pPr>
        <w:pStyle w:val="SingleTxtGA"/>
        <w:ind w:left="1928"/>
        <w:rPr>
          <w:rFonts w:hint="cs"/>
          <w:b/>
          <w:bCs/>
          <w:rtl/>
        </w:rPr>
      </w:pPr>
      <w:r>
        <w:rPr>
          <w:rFonts w:hint="cs"/>
          <w:b/>
          <w:bCs/>
          <w:rtl/>
        </w:rPr>
        <w:tab/>
        <w:t>(د)</w:t>
      </w:r>
      <w:r>
        <w:rPr>
          <w:rFonts w:hint="cs"/>
          <w:b/>
          <w:bCs/>
          <w:rtl/>
        </w:rPr>
        <w:tab/>
        <w:t>ضمان عدم اللجوء إلى السجن الانفرادي إلا كتدبير يتخذ كملاذ أخير ولأقصر فترة ممكنة وفي إطار إشراف دقيق؛</w:t>
      </w:r>
    </w:p>
    <w:p w:rsidR="00C90C5B" w:rsidRDefault="00C90C5B" w:rsidP="009976B6">
      <w:pPr>
        <w:pStyle w:val="SingleTxtGA"/>
        <w:ind w:left="1928"/>
        <w:rPr>
          <w:rFonts w:hint="cs"/>
          <w:b/>
          <w:bCs/>
          <w:rtl/>
        </w:rPr>
      </w:pPr>
      <w:r>
        <w:rPr>
          <w:rFonts w:hint="cs"/>
          <w:b/>
          <w:bCs/>
          <w:rtl/>
        </w:rPr>
        <w:tab/>
        <w:t>(</w:t>
      </w:r>
      <w:r w:rsidRPr="00A94BB7">
        <w:rPr>
          <w:rFonts w:hint="cs"/>
          <w:b/>
          <w:bCs/>
          <w:sz w:val="30"/>
          <w:rtl/>
        </w:rPr>
        <w:t>ﻫ</w:t>
      </w:r>
      <w:r w:rsidR="003E77DC">
        <w:rPr>
          <w:rFonts w:hint="cs"/>
          <w:b/>
          <w:bCs/>
          <w:rtl/>
        </w:rPr>
        <w:t>)</w:t>
      </w:r>
      <w:r w:rsidR="003E77DC">
        <w:rPr>
          <w:rFonts w:hint="cs"/>
          <w:b/>
          <w:bCs/>
          <w:rtl/>
        </w:rPr>
        <w:tab/>
        <w:t>تعزيز الجهود لتحسين نظام السجون</w:t>
      </w:r>
      <w:r>
        <w:rPr>
          <w:rFonts w:hint="cs"/>
          <w:b/>
          <w:bCs/>
          <w:rtl/>
        </w:rPr>
        <w:t xml:space="preserve"> </w:t>
      </w:r>
      <w:r w:rsidR="00437065">
        <w:rPr>
          <w:rFonts w:hint="cs"/>
          <w:b/>
          <w:bCs/>
          <w:rtl/>
        </w:rPr>
        <w:t xml:space="preserve">لصالح السجناء، </w:t>
      </w:r>
      <w:r>
        <w:rPr>
          <w:rFonts w:hint="cs"/>
          <w:b/>
          <w:bCs/>
          <w:rtl/>
        </w:rPr>
        <w:t>و</w:t>
      </w:r>
      <w:r w:rsidR="006003A5">
        <w:rPr>
          <w:rFonts w:hint="cs"/>
          <w:b/>
          <w:bCs/>
          <w:rtl/>
        </w:rPr>
        <w:t>لا سيما</w:t>
      </w:r>
      <w:r>
        <w:rPr>
          <w:rFonts w:hint="cs"/>
          <w:b/>
          <w:bCs/>
          <w:rtl/>
        </w:rPr>
        <w:t xml:space="preserve"> الأنشطة المهنية والبدنية وتيسير إعادة إدماجهم في المجتمع؛</w:t>
      </w:r>
    </w:p>
    <w:p w:rsidR="00C90C5B" w:rsidRDefault="00C90C5B" w:rsidP="009976B6">
      <w:pPr>
        <w:pStyle w:val="SingleTxtGA"/>
        <w:ind w:left="1928"/>
        <w:rPr>
          <w:rFonts w:hint="cs"/>
          <w:b/>
          <w:bCs/>
          <w:rtl/>
        </w:rPr>
      </w:pPr>
      <w:r>
        <w:rPr>
          <w:rFonts w:hint="cs"/>
          <w:b/>
          <w:bCs/>
          <w:rtl/>
        </w:rPr>
        <w:tab/>
        <w:t>(و)</w:t>
      </w:r>
      <w:r>
        <w:rPr>
          <w:rFonts w:hint="cs"/>
          <w:b/>
          <w:bCs/>
          <w:rtl/>
        </w:rPr>
        <w:tab/>
        <w:t>ضمان احتجاز القاصرين بصورة منفصلة عن البالغين طوال فترة احتجازهم أو حبسهم</w:t>
      </w:r>
      <w:r w:rsidR="003E77DC">
        <w:rPr>
          <w:rFonts w:hint="cs"/>
          <w:b/>
          <w:bCs/>
          <w:rtl/>
        </w:rPr>
        <w:t>،</w:t>
      </w:r>
      <w:r>
        <w:rPr>
          <w:rFonts w:hint="cs"/>
          <w:b/>
          <w:bCs/>
          <w:rtl/>
        </w:rPr>
        <w:t xml:space="preserve"> وتوفير خدمات التثقيف والترفيه لهم؛</w:t>
      </w:r>
    </w:p>
    <w:p w:rsidR="00C90C5B" w:rsidRDefault="00C90C5B" w:rsidP="009976B6">
      <w:pPr>
        <w:pStyle w:val="SingleTxtGA"/>
        <w:ind w:left="1928"/>
        <w:rPr>
          <w:rFonts w:hint="cs"/>
          <w:b/>
          <w:bCs/>
          <w:rtl/>
        </w:rPr>
      </w:pPr>
      <w:r>
        <w:rPr>
          <w:rFonts w:hint="cs"/>
          <w:b/>
          <w:bCs/>
          <w:rtl/>
        </w:rPr>
        <w:tab/>
        <w:t>(ز)</w:t>
      </w:r>
      <w:r>
        <w:rPr>
          <w:rFonts w:hint="cs"/>
          <w:b/>
          <w:bCs/>
          <w:rtl/>
        </w:rPr>
        <w:tab/>
        <w:t>توفير المأوى اللائق والدعم النفسي لرعاية المحتجزين الذين تتطلب حالتهم إشراف</w:t>
      </w:r>
      <w:r w:rsidR="003E77DC">
        <w:rPr>
          <w:rFonts w:hint="cs"/>
          <w:b/>
          <w:bCs/>
          <w:rtl/>
        </w:rPr>
        <w:t>اً</w:t>
      </w:r>
      <w:r>
        <w:rPr>
          <w:rFonts w:hint="cs"/>
          <w:b/>
          <w:bCs/>
          <w:rtl/>
        </w:rPr>
        <w:t xml:space="preserve"> وعلاج</w:t>
      </w:r>
      <w:r w:rsidR="003E77DC">
        <w:rPr>
          <w:rFonts w:hint="cs"/>
          <w:b/>
          <w:bCs/>
          <w:rtl/>
        </w:rPr>
        <w:t>اً</w:t>
      </w:r>
      <w:r>
        <w:rPr>
          <w:rFonts w:hint="cs"/>
          <w:b/>
          <w:bCs/>
          <w:rtl/>
        </w:rPr>
        <w:t xml:space="preserve"> في إطار الطب النفسي.</w:t>
      </w:r>
    </w:p>
    <w:p w:rsidR="00C90C5B" w:rsidRDefault="00C90C5B" w:rsidP="00C90C5B">
      <w:pPr>
        <w:pStyle w:val="H23GA"/>
        <w:rPr>
          <w:rFonts w:hint="cs"/>
          <w:rtl/>
        </w:rPr>
      </w:pPr>
      <w:r>
        <w:rPr>
          <w:rFonts w:hint="cs"/>
          <w:rtl/>
        </w:rPr>
        <w:tab/>
      </w:r>
      <w:r>
        <w:rPr>
          <w:rFonts w:hint="cs"/>
          <w:rtl/>
        </w:rPr>
        <w:tab/>
        <w:t>مرافق الرعاية النفسانية</w:t>
      </w:r>
    </w:p>
    <w:p w:rsidR="00C90C5B" w:rsidRDefault="00C90C5B" w:rsidP="003E77DC">
      <w:pPr>
        <w:pStyle w:val="SingleTxtGA"/>
        <w:rPr>
          <w:rFonts w:hint="cs"/>
          <w:rtl/>
        </w:rPr>
      </w:pPr>
      <w:r>
        <w:rPr>
          <w:rFonts w:hint="cs"/>
          <w:rtl/>
        </w:rPr>
        <w:t>20-</w:t>
      </w:r>
      <w:r>
        <w:rPr>
          <w:rFonts w:hint="cs"/>
          <w:rtl/>
        </w:rPr>
        <w:tab/>
        <w:t xml:space="preserve">تأخذ اللجنة علماً بالتقدم المحرز في مرافق الرعاية النفسانية، بما في ذلك في مستشفى سوكولاك للرعاية النفسانية، </w:t>
      </w:r>
      <w:r w:rsidR="003E77DC">
        <w:rPr>
          <w:rFonts w:hint="cs"/>
          <w:rtl/>
        </w:rPr>
        <w:t xml:space="preserve">إلا أنها </w:t>
      </w:r>
      <w:r>
        <w:rPr>
          <w:rFonts w:hint="cs"/>
          <w:rtl/>
        </w:rPr>
        <w:t>لا تزال تشعر بالقلق إزاء القضايا المتعلقة بمؤسسات إيواء الأشخاص المعاقين ذهنياً و</w:t>
      </w:r>
      <w:r w:rsidR="006003A5">
        <w:rPr>
          <w:rFonts w:hint="cs"/>
          <w:rtl/>
        </w:rPr>
        <w:t>لا سيما</w:t>
      </w:r>
      <w:r>
        <w:rPr>
          <w:rFonts w:hint="cs"/>
          <w:rtl/>
        </w:rPr>
        <w:t xml:space="preserve"> فيما يتعلق باكتظاظ هذه المؤسسات وانعدام الدعم النفساني المناسب المقدم فيها من جانب هيئات مختصة (المادة 16).</w:t>
      </w:r>
    </w:p>
    <w:p w:rsidR="00C90C5B" w:rsidRDefault="00C90C5B" w:rsidP="009976B6">
      <w:pPr>
        <w:pStyle w:val="SingleTxtGA"/>
        <w:ind w:left="1928"/>
        <w:rPr>
          <w:rFonts w:hint="cs"/>
          <w:b/>
          <w:bCs/>
          <w:rtl/>
        </w:rPr>
      </w:pPr>
      <w:r w:rsidRPr="0043301E">
        <w:rPr>
          <w:rFonts w:hint="cs"/>
          <w:b/>
          <w:bCs/>
          <w:rtl/>
        </w:rPr>
        <w:tab/>
        <w:t>توصي اللجنة الدولة الطرف ب</w:t>
      </w:r>
      <w:r>
        <w:rPr>
          <w:rFonts w:hint="cs"/>
          <w:b/>
          <w:bCs/>
          <w:rtl/>
        </w:rPr>
        <w:t>أن تكفل</w:t>
      </w:r>
      <w:r w:rsidRPr="0043301E">
        <w:rPr>
          <w:rFonts w:hint="cs"/>
          <w:b/>
          <w:bCs/>
          <w:rtl/>
        </w:rPr>
        <w:t xml:space="preserve"> تقديم الدعم ال</w:t>
      </w:r>
      <w:r>
        <w:rPr>
          <w:rFonts w:hint="cs"/>
          <w:b/>
          <w:bCs/>
          <w:rtl/>
        </w:rPr>
        <w:t xml:space="preserve">نفساني المناسب للمرضى في مؤسسات الرعاية النفسانية من خلال أفرقة متعددة التخصصات، وبأن </w:t>
      </w:r>
      <w:r w:rsidR="003E77DC">
        <w:rPr>
          <w:rFonts w:hint="cs"/>
          <w:b/>
          <w:bCs/>
          <w:rtl/>
        </w:rPr>
        <w:t xml:space="preserve">تضمن </w:t>
      </w:r>
      <w:r>
        <w:rPr>
          <w:rFonts w:hint="cs"/>
          <w:b/>
          <w:bCs/>
          <w:rtl/>
        </w:rPr>
        <w:t xml:space="preserve">زيارة </w:t>
      </w:r>
      <w:r w:rsidR="003E77DC">
        <w:rPr>
          <w:rFonts w:hint="cs"/>
          <w:b/>
          <w:bCs/>
          <w:rtl/>
        </w:rPr>
        <w:t>هيئات مستقلة للرصد ل</w:t>
      </w:r>
      <w:r>
        <w:rPr>
          <w:rFonts w:hint="cs"/>
          <w:b/>
          <w:bCs/>
          <w:rtl/>
        </w:rPr>
        <w:t xml:space="preserve">جميع أماكن احتجاز مرضى الصحة العقلية لتلقي العلاج غير الطوعي، بانتظام، لضمان التنفيذ الصحيح للضمانات المعمول بها، وتطوير الأشكال البديلة للعلاج. وفضلاً عن ذلك، يتعين على الدولة الطرف أن تكفل التنفيذ الكامل وفي </w:t>
      </w:r>
      <w:r w:rsidR="003E77DC">
        <w:rPr>
          <w:rFonts w:hint="cs"/>
          <w:b/>
          <w:bCs/>
          <w:rtl/>
        </w:rPr>
        <w:t xml:space="preserve">الوقت المناسب </w:t>
      </w:r>
      <w:r>
        <w:rPr>
          <w:rFonts w:hint="cs"/>
          <w:b/>
          <w:bCs/>
          <w:rtl/>
        </w:rPr>
        <w:t>للتوصيات التي يقدمها أمناء المظالم، المدرجة في تقاريرهم الخاصة بشأن الحالة في مؤسسات إيواء الأشخاص المعاقين عقلياً.</w:t>
      </w:r>
    </w:p>
    <w:p w:rsidR="00C90C5B" w:rsidRDefault="00C90C5B" w:rsidP="003E77DC">
      <w:pPr>
        <w:pStyle w:val="H23GA"/>
        <w:rPr>
          <w:rFonts w:hint="cs"/>
          <w:rtl/>
        </w:rPr>
      </w:pPr>
      <w:r>
        <w:rPr>
          <w:rFonts w:hint="cs"/>
          <w:rtl/>
        </w:rPr>
        <w:tab/>
      </w:r>
      <w:r>
        <w:rPr>
          <w:rFonts w:hint="cs"/>
          <w:rtl/>
        </w:rPr>
        <w:tab/>
        <w:t xml:space="preserve">الشكاوى </w:t>
      </w:r>
      <w:r w:rsidR="003E77DC">
        <w:rPr>
          <w:rFonts w:hint="cs"/>
          <w:rtl/>
        </w:rPr>
        <w:t>الفردية</w:t>
      </w:r>
    </w:p>
    <w:p w:rsidR="00C90C5B" w:rsidRPr="00E00DEE" w:rsidRDefault="00C90C5B" w:rsidP="00F31503">
      <w:pPr>
        <w:pStyle w:val="SingleTxtGA"/>
        <w:rPr>
          <w:rFonts w:hint="cs"/>
          <w:rtl/>
        </w:rPr>
      </w:pPr>
      <w:r>
        <w:rPr>
          <w:rFonts w:hint="cs"/>
          <w:rtl/>
        </w:rPr>
        <w:t>21-</w:t>
      </w:r>
      <w:r>
        <w:rPr>
          <w:rFonts w:hint="cs"/>
          <w:rtl/>
        </w:rPr>
        <w:tab/>
        <w:t xml:space="preserve">على الرغم من المعلومات المقدمة في تقرير الدولة الطرف بشأن </w:t>
      </w:r>
      <w:r>
        <w:rPr>
          <w:rFonts w:hint="cs"/>
          <w:rtl/>
          <w:lang w:val="fr-CH"/>
        </w:rPr>
        <w:t xml:space="preserve">الإمكانية المتاحة </w:t>
      </w:r>
      <w:r w:rsidR="003E77DC">
        <w:rPr>
          <w:rFonts w:hint="cs"/>
          <w:rtl/>
          <w:lang w:val="fr-CH"/>
        </w:rPr>
        <w:t>ل</w:t>
      </w:r>
      <w:r>
        <w:rPr>
          <w:rFonts w:hint="cs"/>
          <w:rtl/>
          <w:lang w:val="fr-CH"/>
        </w:rPr>
        <w:t xml:space="preserve">لسجناء والمحتجزين لتقديم </w:t>
      </w:r>
      <w:r>
        <w:rPr>
          <w:rFonts w:hint="cs"/>
          <w:rtl/>
        </w:rPr>
        <w:t xml:space="preserve">شكاوى، يساور اللجنة القلق لأنها لا تزال تتلقى معلومات عن عدم وجود آلية مستقلة وفعالة لتقديم الشكاوى وإجراء تحقيق نزيه وكامل في ادعاءات التعذيب وإزاء عدم توفير ما هو موجود من إجراءات </w:t>
      </w:r>
      <w:r w:rsidR="00F31503">
        <w:rPr>
          <w:rFonts w:hint="cs"/>
          <w:rtl/>
        </w:rPr>
        <w:t>ل</w:t>
      </w:r>
      <w:r>
        <w:rPr>
          <w:rFonts w:hint="cs"/>
          <w:rtl/>
        </w:rPr>
        <w:t>تقديم الشكاوى للسجناء والمحتجزين (المادتان 12</w:t>
      </w:r>
      <w:r w:rsidR="00BB73F1">
        <w:rPr>
          <w:rFonts w:hint="cs"/>
          <w:rtl/>
        </w:rPr>
        <w:t xml:space="preserve"> </w:t>
      </w:r>
      <w:r>
        <w:rPr>
          <w:rFonts w:hint="cs"/>
          <w:rtl/>
        </w:rPr>
        <w:t>و13).</w:t>
      </w:r>
    </w:p>
    <w:p w:rsidR="00C90C5B" w:rsidRDefault="00C90C5B" w:rsidP="00E84B24">
      <w:pPr>
        <w:pStyle w:val="SingleTxtGA"/>
        <w:ind w:left="1928"/>
        <w:rPr>
          <w:rFonts w:hint="cs"/>
          <w:b/>
          <w:bCs/>
          <w:rtl/>
        </w:rPr>
      </w:pPr>
      <w:r>
        <w:rPr>
          <w:rFonts w:hint="cs"/>
          <w:b/>
          <w:bCs/>
          <w:rtl/>
          <w:lang w:val="fr-CH"/>
        </w:rPr>
        <w:tab/>
        <w:t xml:space="preserve">ينبغي للدولة الطرف أن تتأكد من أن كل فرد يدعي </w:t>
      </w:r>
      <w:r w:rsidR="009E4B16">
        <w:rPr>
          <w:rFonts w:hint="cs"/>
          <w:b/>
          <w:bCs/>
          <w:rtl/>
          <w:lang w:val="fr-CH"/>
        </w:rPr>
        <w:t xml:space="preserve">التعرض </w:t>
      </w:r>
      <w:r>
        <w:rPr>
          <w:rFonts w:hint="cs"/>
          <w:b/>
          <w:bCs/>
          <w:rtl/>
          <w:lang w:val="fr-CH"/>
        </w:rPr>
        <w:t>للتعذيب أو سوء المعاملة، يتمتع بالحق في تقديم شكوى إلى السلطات المختصة دون أي عائق ومن أن</w:t>
      </w:r>
      <w:r w:rsidR="009E4B16">
        <w:rPr>
          <w:rFonts w:hint="cs"/>
          <w:b/>
          <w:bCs/>
          <w:rtl/>
          <w:lang w:val="fr-CH"/>
        </w:rPr>
        <w:t>ه</w:t>
      </w:r>
      <w:r>
        <w:rPr>
          <w:rFonts w:hint="cs"/>
          <w:b/>
          <w:bCs/>
          <w:rtl/>
          <w:lang w:val="fr-CH"/>
        </w:rPr>
        <w:t xml:space="preserve"> بإمكان ذلك </w:t>
      </w:r>
      <w:r w:rsidR="00E84B24">
        <w:rPr>
          <w:rFonts w:hint="cs"/>
          <w:b/>
          <w:bCs/>
          <w:rtl/>
          <w:lang w:val="fr-CH"/>
        </w:rPr>
        <w:t>الفرد</w:t>
      </w:r>
      <w:r w:rsidR="00AB616D">
        <w:rPr>
          <w:rFonts w:hint="cs"/>
          <w:b/>
          <w:bCs/>
          <w:rtl/>
          <w:lang w:val="fr-CH"/>
        </w:rPr>
        <w:t xml:space="preserve">، </w:t>
      </w:r>
      <w:r w:rsidR="009E4B16">
        <w:rPr>
          <w:rFonts w:hint="cs"/>
          <w:b/>
          <w:bCs/>
          <w:rtl/>
          <w:lang w:val="fr-CH"/>
        </w:rPr>
        <w:t xml:space="preserve">بناءً </w:t>
      </w:r>
      <w:r>
        <w:rPr>
          <w:rFonts w:hint="cs"/>
          <w:b/>
          <w:bCs/>
          <w:rtl/>
          <w:lang w:val="fr-CH"/>
        </w:rPr>
        <w:t xml:space="preserve">على طلبه، </w:t>
      </w:r>
      <w:r w:rsidR="009E4B16">
        <w:rPr>
          <w:rFonts w:hint="cs"/>
          <w:b/>
          <w:bCs/>
          <w:rtl/>
          <w:lang w:val="fr-CH"/>
        </w:rPr>
        <w:t xml:space="preserve">الاطلاع على </w:t>
      </w:r>
      <w:r>
        <w:rPr>
          <w:rFonts w:hint="cs"/>
          <w:b/>
          <w:bCs/>
          <w:rtl/>
          <w:lang w:val="fr-CH"/>
        </w:rPr>
        <w:t xml:space="preserve">ملفه الطبي. وفضلاً عن ذلك، ووفقاً لتوصيات اللجنة الأوروبية لمنع التعذيب والمعاملة والعقوبة اللاإنسانية أو المهينة، ينبغي تزويد جميع المحتجزين والسجناء بالمعلومات عن إمكانية تقديم الشكاوى، بما في ذلك حقهم في </w:t>
      </w:r>
      <w:r w:rsidR="009E4B16">
        <w:rPr>
          <w:rFonts w:hint="cs"/>
          <w:b/>
          <w:bCs/>
          <w:rtl/>
          <w:lang w:val="fr-CH"/>
        </w:rPr>
        <w:t>التراسل</w:t>
      </w:r>
      <w:r>
        <w:rPr>
          <w:rFonts w:hint="cs"/>
          <w:b/>
          <w:bCs/>
          <w:rtl/>
          <w:lang w:val="fr-CH"/>
        </w:rPr>
        <w:t xml:space="preserve"> على أساس سري مع هيئات خارجية قضائية ومعنية بتقديم الشكاوى، ووضع صناديق مغلقة لتقديم للشكاوى، في السجون (</w:t>
      </w:r>
      <w:r>
        <w:rPr>
          <w:b/>
          <w:bCs/>
        </w:rPr>
        <w:t>CP</w:t>
      </w:r>
      <w:r w:rsidR="00E84B24">
        <w:rPr>
          <w:b/>
          <w:bCs/>
        </w:rPr>
        <w:t>T</w:t>
      </w:r>
      <w:r>
        <w:rPr>
          <w:b/>
          <w:bCs/>
        </w:rPr>
        <w:t>/Inf(2010)10</w:t>
      </w:r>
      <w:r>
        <w:rPr>
          <w:rFonts w:hint="cs"/>
          <w:b/>
          <w:bCs/>
          <w:rtl/>
        </w:rPr>
        <w:t>، الفقرة 36).</w:t>
      </w:r>
    </w:p>
    <w:p w:rsidR="00C90C5B" w:rsidRDefault="00C90C5B" w:rsidP="00C90C5B">
      <w:pPr>
        <w:pStyle w:val="H23GA"/>
        <w:rPr>
          <w:rFonts w:hint="cs"/>
          <w:rtl/>
        </w:rPr>
      </w:pPr>
      <w:r>
        <w:rPr>
          <w:rFonts w:hint="cs"/>
          <w:rtl/>
        </w:rPr>
        <w:tab/>
      </w:r>
      <w:r>
        <w:rPr>
          <w:rFonts w:hint="cs"/>
          <w:rtl/>
        </w:rPr>
        <w:tab/>
        <w:t>التدريب</w:t>
      </w:r>
    </w:p>
    <w:p w:rsidR="00C90C5B" w:rsidRDefault="00C90C5B" w:rsidP="007663D8">
      <w:pPr>
        <w:pStyle w:val="SingleTxtGA"/>
        <w:rPr>
          <w:rFonts w:hint="cs"/>
          <w:rtl/>
        </w:rPr>
      </w:pPr>
      <w:r>
        <w:rPr>
          <w:rFonts w:hint="cs"/>
          <w:rtl/>
        </w:rPr>
        <w:t>22-</w:t>
      </w:r>
      <w:r>
        <w:rPr>
          <w:rFonts w:hint="cs"/>
          <w:rtl/>
        </w:rPr>
        <w:tab/>
        <w:t xml:space="preserve">ترحب اللجنة بالمعلومات المفصلة المقدمة من الدولة الطرف بشأن برامج تدريب الموظفين المكلفين بإنفاذ القوانين </w:t>
      </w:r>
      <w:r w:rsidR="009E4B16">
        <w:rPr>
          <w:rFonts w:hint="cs"/>
          <w:rtl/>
        </w:rPr>
        <w:t>والسلطة</w:t>
      </w:r>
      <w:r>
        <w:rPr>
          <w:rFonts w:hint="cs"/>
          <w:rtl/>
        </w:rPr>
        <w:t xml:space="preserve"> القضائية، </w:t>
      </w:r>
      <w:r w:rsidR="009E4B16">
        <w:rPr>
          <w:rFonts w:hint="cs"/>
          <w:rtl/>
        </w:rPr>
        <w:t xml:space="preserve">إلا أنها </w:t>
      </w:r>
      <w:r>
        <w:rPr>
          <w:rFonts w:hint="cs"/>
          <w:rtl/>
        </w:rPr>
        <w:t xml:space="preserve">لا تزال تشعر بالقلق إزاء انعدام </w:t>
      </w:r>
      <w:r w:rsidR="009E4B16">
        <w:rPr>
          <w:rFonts w:hint="cs"/>
          <w:rtl/>
        </w:rPr>
        <w:t xml:space="preserve">توحيد </w:t>
      </w:r>
      <w:r>
        <w:rPr>
          <w:rFonts w:hint="cs"/>
          <w:rtl/>
        </w:rPr>
        <w:t>القدرات على مستوى الدولة لتدريب جميع الموظفين العموميين</w:t>
      </w:r>
      <w:r w:rsidR="00E84B24">
        <w:rPr>
          <w:rFonts w:hint="cs"/>
          <w:rtl/>
        </w:rPr>
        <w:t>،</w:t>
      </w:r>
      <w:r>
        <w:rPr>
          <w:rFonts w:hint="cs"/>
          <w:rtl/>
        </w:rPr>
        <w:t xml:space="preserve"> وإزاء عدم كفاية المعلومات المتعلقة برصد وتقييم فعالية هذه البرامج في منع التعذيب وإساءة المعاملة والكشف عنهما (المادتان 10 و16).</w:t>
      </w:r>
    </w:p>
    <w:p w:rsidR="00C90C5B" w:rsidRPr="00895247" w:rsidRDefault="00C90C5B" w:rsidP="007663D8">
      <w:pPr>
        <w:pStyle w:val="SingleTxtGA"/>
        <w:ind w:left="1928"/>
        <w:rPr>
          <w:rFonts w:hint="cs"/>
          <w:b/>
          <w:bCs/>
          <w:rtl/>
        </w:rPr>
      </w:pPr>
      <w:r w:rsidRPr="00895247">
        <w:rPr>
          <w:rFonts w:hint="cs"/>
          <w:b/>
          <w:bCs/>
          <w:rtl/>
        </w:rPr>
        <w:tab/>
        <w:t>توصي اللجنة الدولة الطرف بما يلي:</w:t>
      </w:r>
    </w:p>
    <w:p w:rsidR="00C90C5B" w:rsidRPr="00895247" w:rsidRDefault="00C90C5B" w:rsidP="007663D8">
      <w:pPr>
        <w:pStyle w:val="SingleTxtGA"/>
        <w:ind w:left="1928"/>
        <w:rPr>
          <w:rFonts w:hint="cs"/>
          <w:b/>
          <w:bCs/>
          <w:rtl/>
        </w:rPr>
      </w:pPr>
      <w:r w:rsidRPr="00895247">
        <w:rPr>
          <w:rFonts w:hint="cs"/>
          <w:b/>
          <w:bCs/>
          <w:rtl/>
        </w:rPr>
        <w:tab/>
        <w:t>(أ)</w:t>
      </w:r>
      <w:r w:rsidRPr="00895247">
        <w:rPr>
          <w:rFonts w:hint="cs"/>
          <w:b/>
          <w:bCs/>
          <w:rtl/>
        </w:rPr>
        <w:tab/>
        <w:t xml:space="preserve">أن تكفل حصول الموظفين الطبيين وغيرهم من العاملين </w:t>
      </w:r>
      <w:r w:rsidR="0038236D">
        <w:rPr>
          <w:rFonts w:hint="cs"/>
          <w:b/>
          <w:bCs/>
          <w:rtl/>
        </w:rPr>
        <w:t xml:space="preserve">المعنيين باحتجاز أو استجواب أو معاملة </w:t>
      </w:r>
      <w:r w:rsidRPr="00895247">
        <w:rPr>
          <w:rFonts w:hint="cs"/>
          <w:b/>
          <w:bCs/>
          <w:rtl/>
        </w:rPr>
        <w:t xml:space="preserve">أي شخص يخضع لأي شكل من أشكال </w:t>
      </w:r>
      <w:r w:rsidR="0038236D">
        <w:rPr>
          <w:rFonts w:hint="cs"/>
          <w:b/>
          <w:bCs/>
          <w:rtl/>
        </w:rPr>
        <w:t xml:space="preserve">التوقيف </w:t>
      </w:r>
      <w:r w:rsidRPr="00895247">
        <w:rPr>
          <w:rFonts w:hint="cs"/>
          <w:b/>
          <w:bCs/>
          <w:rtl/>
        </w:rPr>
        <w:t xml:space="preserve">أو الاحتجاز أو السجن، على تدريب منتظم على دليل التحقيق والتوثيق الفعالين في حالات التعذيب وغيرها من ضروب المعاملة </w:t>
      </w:r>
      <w:r w:rsidR="0038236D">
        <w:rPr>
          <w:rFonts w:hint="cs"/>
          <w:b/>
          <w:bCs/>
          <w:rtl/>
        </w:rPr>
        <w:t>أ</w:t>
      </w:r>
      <w:r w:rsidRPr="00895247">
        <w:rPr>
          <w:rFonts w:hint="cs"/>
          <w:b/>
          <w:bCs/>
          <w:rtl/>
        </w:rPr>
        <w:t>و</w:t>
      </w:r>
      <w:r w:rsidR="0038236D">
        <w:rPr>
          <w:rFonts w:hint="cs"/>
          <w:b/>
          <w:bCs/>
          <w:rtl/>
        </w:rPr>
        <w:t xml:space="preserve"> </w:t>
      </w:r>
      <w:r w:rsidRPr="00895247">
        <w:rPr>
          <w:rFonts w:hint="cs"/>
          <w:b/>
          <w:bCs/>
          <w:rtl/>
        </w:rPr>
        <w:t xml:space="preserve">العقوبة القاسية أو اللاإنسانية أو المهينة (بروتوكول اسطنبول)، </w:t>
      </w:r>
      <w:r w:rsidR="0038236D">
        <w:rPr>
          <w:rFonts w:hint="cs"/>
          <w:b/>
          <w:bCs/>
          <w:rtl/>
        </w:rPr>
        <w:t xml:space="preserve">وتأمين </w:t>
      </w:r>
      <w:r w:rsidRPr="00895247">
        <w:rPr>
          <w:rFonts w:hint="cs"/>
          <w:b/>
          <w:bCs/>
          <w:rtl/>
        </w:rPr>
        <w:t>ترجمة الدليل إلى</w:t>
      </w:r>
      <w:r w:rsidR="009976B6">
        <w:rPr>
          <w:rFonts w:hint="eastAsia"/>
          <w:b/>
          <w:bCs/>
          <w:rtl/>
        </w:rPr>
        <w:t> </w:t>
      </w:r>
      <w:r w:rsidRPr="00895247">
        <w:rPr>
          <w:rFonts w:hint="cs"/>
          <w:b/>
          <w:bCs/>
          <w:rtl/>
        </w:rPr>
        <w:t xml:space="preserve">جميع اللغات المناسبة </w:t>
      </w:r>
      <w:r w:rsidR="0038236D">
        <w:rPr>
          <w:rFonts w:hint="cs"/>
          <w:b/>
          <w:bCs/>
          <w:rtl/>
        </w:rPr>
        <w:t xml:space="preserve">وتطبيق ما جاء فيه </w:t>
      </w:r>
      <w:r w:rsidRPr="00895247">
        <w:rPr>
          <w:rFonts w:hint="cs"/>
          <w:b/>
          <w:bCs/>
          <w:rtl/>
        </w:rPr>
        <w:t>على أوسع نطاق ممكن؛</w:t>
      </w:r>
    </w:p>
    <w:p w:rsidR="00C90C5B" w:rsidRPr="00895247" w:rsidRDefault="00C90C5B" w:rsidP="007663D8">
      <w:pPr>
        <w:pStyle w:val="SingleTxtGA"/>
        <w:ind w:left="1928"/>
        <w:rPr>
          <w:rFonts w:hint="cs"/>
          <w:b/>
          <w:bCs/>
          <w:rtl/>
        </w:rPr>
      </w:pPr>
      <w:r w:rsidRPr="00895247">
        <w:rPr>
          <w:rFonts w:hint="cs"/>
          <w:b/>
          <w:bCs/>
          <w:rtl/>
        </w:rPr>
        <w:tab/>
        <w:t>(ب)</w:t>
      </w:r>
      <w:r w:rsidRPr="00895247">
        <w:rPr>
          <w:rFonts w:hint="cs"/>
          <w:b/>
          <w:bCs/>
          <w:rtl/>
        </w:rPr>
        <w:tab/>
        <w:t xml:space="preserve">أن تضع وتنفذ منهجية لتقييم فعالية مثل هذه البرامج التثقيفية والتدريبية </w:t>
      </w:r>
      <w:r w:rsidR="0038236D">
        <w:rPr>
          <w:rFonts w:hint="cs"/>
          <w:b/>
          <w:bCs/>
          <w:rtl/>
        </w:rPr>
        <w:t xml:space="preserve">وتأثيرها </w:t>
      </w:r>
      <w:r w:rsidRPr="00895247">
        <w:rPr>
          <w:rFonts w:hint="cs"/>
          <w:b/>
          <w:bCs/>
          <w:rtl/>
        </w:rPr>
        <w:t>على الحد من حالات التعذيب و</w:t>
      </w:r>
      <w:r w:rsidR="0038236D">
        <w:rPr>
          <w:rFonts w:hint="cs"/>
          <w:b/>
          <w:bCs/>
          <w:rtl/>
        </w:rPr>
        <w:t xml:space="preserve">سوء </w:t>
      </w:r>
      <w:r w:rsidRPr="00895247">
        <w:rPr>
          <w:rFonts w:hint="cs"/>
          <w:b/>
          <w:bCs/>
          <w:rtl/>
        </w:rPr>
        <w:t>المعاملة</w:t>
      </w:r>
      <w:r w:rsidR="0038236D">
        <w:rPr>
          <w:rFonts w:hint="cs"/>
          <w:b/>
          <w:bCs/>
          <w:rtl/>
        </w:rPr>
        <w:t>،</w:t>
      </w:r>
      <w:r w:rsidRPr="00895247">
        <w:rPr>
          <w:rFonts w:hint="cs"/>
          <w:b/>
          <w:bCs/>
          <w:rtl/>
        </w:rPr>
        <w:t xml:space="preserve"> وأن</w:t>
      </w:r>
      <w:r w:rsidR="009976B6">
        <w:rPr>
          <w:rFonts w:hint="eastAsia"/>
          <w:b/>
          <w:bCs/>
          <w:rtl/>
        </w:rPr>
        <w:t> </w:t>
      </w:r>
      <w:r w:rsidRPr="00895247">
        <w:rPr>
          <w:rFonts w:hint="cs"/>
          <w:b/>
          <w:bCs/>
          <w:rtl/>
        </w:rPr>
        <w:t xml:space="preserve">تجري تقييماً منتظماً للتدريب المقدم إلى </w:t>
      </w:r>
      <w:r w:rsidR="0038236D">
        <w:rPr>
          <w:rFonts w:hint="cs"/>
          <w:b/>
          <w:bCs/>
          <w:rtl/>
        </w:rPr>
        <w:t>موظفيها المكلفين بإنفاذ القوانين</w:t>
      </w:r>
      <w:r w:rsidRPr="00895247">
        <w:rPr>
          <w:rFonts w:hint="cs"/>
          <w:b/>
          <w:bCs/>
          <w:rtl/>
        </w:rPr>
        <w:t>؛</w:t>
      </w:r>
    </w:p>
    <w:p w:rsidR="00C90C5B" w:rsidRPr="00895247" w:rsidRDefault="00C90C5B" w:rsidP="007663D8">
      <w:pPr>
        <w:pStyle w:val="SingleTxtGA"/>
        <w:ind w:left="1928"/>
        <w:rPr>
          <w:rFonts w:hint="cs"/>
          <w:b/>
          <w:bCs/>
          <w:rtl/>
        </w:rPr>
      </w:pPr>
      <w:r w:rsidRPr="00895247">
        <w:rPr>
          <w:rFonts w:hint="cs"/>
          <w:b/>
          <w:bCs/>
          <w:rtl/>
        </w:rPr>
        <w:tab/>
        <w:t>(ج)</w:t>
      </w:r>
      <w:r w:rsidRPr="00895247">
        <w:rPr>
          <w:rFonts w:hint="cs"/>
          <w:b/>
          <w:bCs/>
          <w:rtl/>
        </w:rPr>
        <w:tab/>
        <w:t xml:space="preserve">أن تعزز جهودها لتنفيذ نهج يراعي الفوارق الجنسانية لدى تدريب الأشخاص </w:t>
      </w:r>
      <w:r w:rsidR="00F15CBA">
        <w:rPr>
          <w:rFonts w:hint="cs"/>
          <w:b/>
          <w:bCs/>
          <w:rtl/>
        </w:rPr>
        <w:t>المعنيين ب</w:t>
      </w:r>
      <w:r w:rsidR="00191245">
        <w:rPr>
          <w:rFonts w:hint="cs"/>
          <w:b/>
          <w:bCs/>
          <w:rtl/>
        </w:rPr>
        <w:t xml:space="preserve">عمليات احتجاز أو </w:t>
      </w:r>
      <w:r w:rsidRPr="00895247">
        <w:rPr>
          <w:rFonts w:hint="cs"/>
          <w:b/>
          <w:bCs/>
          <w:rtl/>
        </w:rPr>
        <w:t xml:space="preserve">استجواب أو معاملة </w:t>
      </w:r>
      <w:r w:rsidR="00191245">
        <w:rPr>
          <w:rFonts w:hint="cs"/>
          <w:b/>
          <w:bCs/>
          <w:rtl/>
        </w:rPr>
        <w:t xml:space="preserve">النساء اللاتي يتعرضن </w:t>
      </w:r>
      <w:r w:rsidRPr="00895247">
        <w:rPr>
          <w:rFonts w:hint="cs"/>
          <w:b/>
          <w:bCs/>
          <w:rtl/>
        </w:rPr>
        <w:t>لأي</w:t>
      </w:r>
      <w:r w:rsidR="00191245">
        <w:rPr>
          <w:rFonts w:hint="eastAsia"/>
          <w:b/>
          <w:bCs/>
          <w:rtl/>
        </w:rPr>
        <w:t> </w:t>
      </w:r>
      <w:r w:rsidRPr="00895247">
        <w:rPr>
          <w:rFonts w:hint="cs"/>
          <w:b/>
          <w:bCs/>
          <w:rtl/>
        </w:rPr>
        <w:t>شكل من أشكال التوقيف أو الاعتقال أو السجن؛</w:t>
      </w:r>
    </w:p>
    <w:p w:rsidR="00C90C5B" w:rsidRPr="00895247" w:rsidRDefault="00C90C5B" w:rsidP="007663D8">
      <w:pPr>
        <w:pStyle w:val="SingleTxtGA"/>
        <w:ind w:left="1928"/>
        <w:rPr>
          <w:rFonts w:hint="cs"/>
          <w:b/>
          <w:bCs/>
          <w:rtl/>
        </w:rPr>
      </w:pPr>
      <w:r w:rsidRPr="00895247">
        <w:rPr>
          <w:rFonts w:hint="cs"/>
          <w:b/>
          <w:bCs/>
          <w:rtl/>
        </w:rPr>
        <w:tab/>
        <w:t>(د)</w:t>
      </w:r>
      <w:r w:rsidRPr="00895247">
        <w:rPr>
          <w:rFonts w:hint="cs"/>
          <w:b/>
          <w:bCs/>
          <w:rtl/>
        </w:rPr>
        <w:tab/>
        <w:t>أن تعزز التدريب المهني للأشخاص العاملين في مؤسسات الحماية الاجتماعية المخصصة للأشخاص المصابين بإعاقة ذهنية وفي مستشفيات الأمراض العقلية.</w:t>
      </w:r>
    </w:p>
    <w:p w:rsidR="00C90C5B" w:rsidRDefault="00895247" w:rsidP="00895247">
      <w:pPr>
        <w:pStyle w:val="H23GA"/>
        <w:rPr>
          <w:rFonts w:hint="cs"/>
          <w:rtl/>
        </w:rPr>
      </w:pPr>
      <w:r>
        <w:rPr>
          <w:rFonts w:hint="cs"/>
          <w:rtl/>
        </w:rPr>
        <w:tab/>
      </w:r>
      <w:r>
        <w:rPr>
          <w:rFonts w:hint="cs"/>
          <w:rtl/>
        </w:rPr>
        <w:tab/>
      </w:r>
      <w:r w:rsidR="00C90C5B">
        <w:rPr>
          <w:rFonts w:hint="cs"/>
          <w:rtl/>
        </w:rPr>
        <w:t>الاتجار بالبشر</w:t>
      </w:r>
    </w:p>
    <w:p w:rsidR="00C90C5B" w:rsidRDefault="00C90C5B" w:rsidP="00F76686">
      <w:pPr>
        <w:pStyle w:val="SingleTxtGA"/>
        <w:rPr>
          <w:rFonts w:hint="cs"/>
          <w:rtl/>
        </w:rPr>
      </w:pPr>
      <w:r>
        <w:rPr>
          <w:rFonts w:hint="cs"/>
          <w:rtl/>
        </w:rPr>
        <w:t>23-</w:t>
      </w:r>
      <w:r>
        <w:rPr>
          <w:rFonts w:hint="cs"/>
          <w:rtl/>
        </w:rPr>
        <w:tab/>
        <w:t>تأخذ اللجنة علماً بالتدابير المتعددة التي اتخذتها الدولة الطرف</w:t>
      </w:r>
      <w:r w:rsidR="00F76686">
        <w:rPr>
          <w:rFonts w:hint="cs"/>
          <w:rtl/>
        </w:rPr>
        <w:t>،</w:t>
      </w:r>
      <w:r>
        <w:rPr>
          <w:rFonts w:hint="cs"/>
          <w:rtl/>
        </w:rPr>
        <w:t xml:space="preserve"> بما في ذلك اعتماد خطة </w:t>
      </w:r>
      <w:r w:rsidR="00F76686">
        <w:rPr>
          <w:rFonts w:hint="cs"/>
          <w:rtl/>
        </w:rPr>
        <w:t>ال</w:t>
      </w:r>
      <w:r>
        <w:rPr>
          <w:rFonts w:hint="cs"/>
          <w:rtl/>
        </w:rPr>
        <w:t xml:space="preserve">عمل </w:t>
      </w:r>
      <w:r w:rsidR="00F76686">
        <w:rPr>
          <w:rFonts w:hint="cs"/>
          <w:rtl/>
        </w:rPr>
        <w:t xml:space="preserve">الوطنية </w:t>
      </w:r>
      <w:r>
        <w:rPr>
          <w:rFonts w:hint="cs"/>
          <w:rtl/>
        </w:rPr>
        <w:t xml:space="preserve">لمكافحة الاتجار بالبشر والهجرة غير القانونية (2008-2010)، وإنشاء قاعدة بيانات مركزية لتحديد هوية ضحايا الاتجار وإصدار وزارة الأمن للوائح لحماية ضحايا الاتجار. ومع ذلك، لا تزال اللجنة تشعر بالقلق </w:t>
      </w:r>
      <w:r w:rsidR="00F76686">
        <w:rPr>
          <w:rFonts w:hint="cs"/>
          <w:rtl/>
        </w:rPr>
        <w:t xml:space="preserve">لعدم وجود </w:t>
      </w:r>
      <w:r>
        <w:rPr>
          <w:rFonts w:hint="cs"/>
          <w:rtl/>
        </w:rPr>
        <w:t>مادة في القانون الجنائي تتعلق بالعقوبات القانو</w:t>
      </w:r>
      <w:r w:rsidR="00F76686">
        <w:rPr>
          <w:rFonts w:hint="cs"/>
          <w:rtl/>
        </w:rPr>
        <w:t>نية للأشخاص الذين يرتكبون أو يشا</w:t>
      </w:r>
      <w:r>
        <w:rPr>
          <w:rFonts w:hint="cs"/>
          <w:rtl/>
        </w:rPr>
        <w:t xml:space="preserve">ركون في ارتكاب جريمة الاتجار وإزاء العقوبات غير الصارمة التي صدرت </w:t>
      </w:r>
      <w:r w:rsidR="00F76686">
        <w:rPr>
          <w:rFonts w:hint="cs"/>
          <w:rtl/>
        </w:rPr>
        <w:t xml:space="preserve">في قضايا </w:t>
      </w:r>
      <w:r>
        <w:rPr>
          <w:rFonts w:hint="cs"/>
          <w:rtl/>
        </w:rPr>
        <w:t>اتجار. كما تعرب اللجنة عن القلق إزاء بطء وتعقيد إجراءات الانتصاف لضحايا الاتجار (</w:t>
      </w:r>
      <w:r w:rsidR="00F76686">
        <w:rPr>
          <w:rFonts w:hint="cs"/>
          <w:rtl/>
        </w:rPr>
        <w:t>المواد</w:t>
      </w:r>
      <w:r>
        <w:rPr>
          <w:rFonts w:hint="cs"/>
          <w:rtl/>
        </w:rPr>
        <w:t xml:space="preserve"> 2 و4 و16).</w:t>
      </w:r>
    </w:p>
    <w:p w:rsidR="00C90C5B" w:rsidRPr="00894E1D" w:rsidRDefault="00C90C5B" w:rsidP="00894E1D">
      <w:pPr>
        <w:pStyle w:val="SingleTxtGA"/>
        <w:ind w:left="1928"/>
        <w:rPr>
          <w:rFonts w:hint="cs"/>
          <w:b/>
          <w:bCs/>
          <w:rtl/>
        </w:rPr>
      </w:pPr>
      <w:r w:rsidRPr="00894E1D">
        <w:rPr>
          <w:rFonts w:hint="cs"/>
          <w:b/>
          <w:bCs/>
          <w:rtl/>
        </w:rPr>
        <w:tab/>
        <w:t xml:space="preserve">ينبغي للدولة الطرف أن تعزز جهودها لمكافحة الاتجار </w:t>
      </w:r>
      <w:r w:rsidR="00EC66DC" w:rsidRPr="00894E1D">
        <w:rPr>
          <w:rFonts w:hint="cs"/>
          <w:b/>
          <w:bCs/>
          <w:rtl/>
        </w:rPr>
        <w:t>بالأشخاص،</w:t>
      </w:r>
      <w:r w:rsidRPr="00894E1D">
        <w:rPr>
          <w:rFonts w:hint="cs"/>
          <w:b/>
          <w:bCs/>
          <w:rtl/>
        </w:rPr>
        <w:t xml:space="preserve"> و</w:t>
      </w:r>
      <w:r w:rsidR="006003A5" w:rsidRPr="00894E1D">
        <w:rPr>
          <w:rFonts w:hint="cs"/>
          <w:b/>
          <w:bCs/>
          <w:rtl/>
        </w:rPr>
        <w:t>لا سيما</w:t>
      </w:r>
      <w:r w:rsidRPr="00894E1D">
        <w:rPr>
          <w:rFonts w:hint="cs"/>
          <w:b/>
          <w:bCs/>
          <w:rtl/>
        </w:rPr>
        <w:t xml:space="preserve"> النساء والأطفال</w:t>
      </w:r>
      <w:r w:rsidR="00EC66DC" w:rsidRPr="00894E1D">
        <w:rPr>
          <w:rFonts w:hint="cs"/>
          <w:b/>
          <w:bCs/>
          <w:rtl/>
        </w:rPr>
        <w:t>،</w:t>
      </w:r>
      <w:r w:rsidRPr="00894E1D">
        <w:rPr>
          <w:rFonts w:hint="cs"/>
          <w:b/>
          <w:bCs/>
          <w:rtl/>
        </w:rPr>
        <w:t xml:space="preserve"> وبصفة خاصة من خلال ما يلي:</w:t>
      </w:r>
    </w:p>
    <w:p w:rsidR="00C90C5B" w:rsidRDefault="00C90C5B" w:rsidP="00894E1D">
      <w:pPr>
        <w:pStyle w:val="SingleTxtGA"/>
        <w:ind w:left="1928"/>
        <w:rPr>
          <w:rFonts w:hint="cs"/>
          <w:b/>
          <w:bCs/>
          <w:rtl/>
        </w:rPr>
      </w:pPr>
      <w:r>
        <w:rPr>
          <w:rFonts w:hint="cs"/>
          <w:b/>
          <w:bCs/>
          <w:rtl/>
        </w:rPr>
        <w:tab/>
        <w:t>(أ)</w:t>
      </w:r>
      <w:r>
        <w:rPr>
          <w:rFonts w:hint="cs"/>
          <w:b/>
          <w:bCs/>
          <w:rtl/>
        </w:rPr>
        <w:tab/>
        <w:t>أن تضمن تعريف الاتجار في جميع أنحاء الدولة الطرف على أنه جريمة وفقاً للمعايير الدول</w:t>
      </w:r>
      <w:r w:rsidR="000F76A0">
        <w:rPr>
          <w:rFonts w:hint="cs"/>
          <w:b/>
          <w:bCs/>
          <w:rtl/>
        </w:rPr>
        <w:t>ي</w:t>
      </w:r>
      <w:r>
        <w:rPr>
          <w:rFonts w:hint="cs"/>
          <w:b/>
          <w:bCs/>
          <w:rtl/>
        </w:rPr>
        <w:t xml:space="preserve">ة وأن تعاقب مرتكبي هذه الجريمة بعقوبات مناسبة تأخذ في الحسبان </w:t>
      </w:r>
      <w:r w:rsidR="000F76A0">
        <w:rPr>
          <w:rFonts w:hint="cs"/>
          <w:b/>
          <w:bCs/>
          <w:rtl/>
        </w:rPr>
        <w:t>طبيعتها الخطرة</w:t>
      </w:r>
      <w:r>
        <w:rPr>
          <w:rFonts w:hint="cs"/>
          <w:b/>
          <w:bCs/>
          <w:rtl/>
        </w:rPr>
        <w:t>؛</w:t>
      </w:r>
    </w:p>
    <w:p w:rsidR="00C90C5B" w:rsidRDefault="00C90C5B" w:rsidP="00894E1D">
      <w:pPr>
        <w:pStyle w:val="SingleTxtGA"/>
        <w:ind w:left="1928"/>
        <w:rPr>
          <w:rFonts w:hint="cs"/>
          <w:b/>
          <w:bCs/>
          <w:rtl/>
        </w:rPr>
      </w:pPr>
      <w:r>
        <w:rPr>
          <w:rFonts w:hint="cs"/>
          <w:b/>
          <w:bCs/>
          <w:rtl/>
        </w:rPr>
        <w:tab/>
        <w:t>(ب)</w:t>
      </w:r>
      <w:r>
        <w:rPr>
          <w:rFonts w:hint="cs"/>
          <w:b/>
          <w:bCs/>
          <w:rtl/>
        </w:rPr>
        <w:tab/>
        <w:t>أن تحسن طريقة تحديد هوية ضحايا الاتجار وتوفير برامج إعادة تأهيلهم بشكل مناسب و</w:t>
      </w:r>
      <w:r w:rsidR="00C67CC1">
        <w:rPr>
          <w:rFonts w:hint="cs"/>
          <w:b/>
          <w:bCs/>
          <w:rtl/>
        </w:rPr>
        <w:t xml:space="preserve">تأمين </w:t>
      </w:r>
      <w:r>
        <w:rPr>
          <w:rFonts w:hint="cs"/>
          <w:b/>
          <w:bCs/>
          <w:rtl/>
        </w:rPr>
        <w:t>وصولهم الفعلي للرعاية الصحية والحصول على المشورة؛</w:t>
      </w:r>
    </w:p>
    <w:p w:rsidR="00C90C5B" w:rsidRDefault="00C90C5B" w:rsidP="00894E1D">
      <w:pPr>
        <w:pStyle w:val="SingleTxtGA"/>
        <w:ind w:left="1928"/>
        <w:rPr>
          <w:rFonts w:hint="cs"/>
          <w:b/>
          <w:bCs/>
          <w:rtl/>
        </w:rPr>
      </w:pPr>
      <w:r>
        <w:rPr>
          <w:rFonts w:hint="cs"/>
          <w:b/>
          <w:bCs/>
          <w:rtl/>
        </w:rPr>
        <w:tab/>
        <w:t>(ج)</w:t>
      </w:r>
      <w:r>
        <w:rPr>
          <w:rFonts w:hint="cs"/>
          <w:b/>
          <w:bCs/>
          <w:rtl/>
        </w:rPr>
        <w:tab/>
        <w:t>أن تقدم التدريب لجميع الموظفين المكلفين بإنفاذ القانون وغيرهم من المجموعات المعنية وأن تبث الوعي في الجمهور</w:t>
      </w:r>
      <w:r w:rsidRPr="00461BB4">
        <w:rPr>
          <w:rFonts w:hint="cs"/>
          <w:b/>
          <w:bCs/>
          <w:rtl/>
        </w:rPr>
        <w:t xml:space="preserve"> </w:t>
      </w:r>
      <w:r>
        <w:rPr>
          <w:rFonts w:hint="cs"/>
          <w:b/>
          <w:bCs/>
          <w:rtl/>
        </w:rPr>
        <w:t>بمشكلة الاتجار.</w:t>
      </w:r>
    </w:p>
    <w:p w:rsidR="00C90C5B" w:rsidRDefault="00895247" w:rsidP="00895247">
      <w:pPr>
        <w:pStyle w:val="H23GA"/>
        <w:rPr>
          <w:rFonts w:hint="cs"/>
          <w:rtl/>
        </w:rPr>
      </w:pPr>
      <w:r>
        <w:rPr>
          <w:rFonts w:hint="cs"/>
          <w:rtl/>
        </w:rPr>
        <w:tab/>
      </w:r>
      <w:r>
        <w:rPr>
          <w:rFonts w:hint="cs"/>
          <w:rtl/>
        </w:rPr>
        <w:tab/>
      </w:r>
      <w:r w:rsidR="00C90C5B">
        <w:rPr>
          <w:rFonts w:hint="cs"/>
          <w:rtl/>
        </w:rPr>
        <w:t>حالات الاختفاء القسري</w:t>
      </w:r>
    </w:p>
    <w:p w:rsidR="00C90C5B" w:rsidRDefault="00C90C5B" w:rsidP="00B338B5">
      <w:pPr>
        <w:pStyle w:val="SingleTxtGA"/>
        <w:rPr>
          <w:rFonts w:hint="cs"/>
          <w:rtl/>
        </w:rPr>
      </w:pPr>
      <w:r>
        <w:rPr>
          <w:rFonts w:hint="cs"/>
          <w:rtl/>
        </w:rPr>
        <w:t>24-</w:t>
      </w:r>
      <w:r>
        <w:rPr>
          <w:rFonts w:hint="cs"/>
          <w:rtl/>
        </w:rPr>
        <w:tab/>
        <w:t xml:space="preserve">تسلم اللجنة </w:t>
      </w:r>
      <w:r w:rsidR="00C67CC1">
        <w:rPr>
          <w:rFonts w:hint="cs"/>
          <w:rtl/>
        </w:rPr>
        <w:t xml:space="preserve">بإعلان الدولة الطرف </w:t>
      </w:r>
      <w:r>
        <w:rPr>
          <w:rFonts w:hint="cs"/>
          <w:rtl/>
        </w:rPr>
        <w:t xml:space="preserve">أن المعهد المعني بالمفقودين يعمل بصورة كاملة، </w:t>
      </w:r>
      <w:r w:rsidR="00B338B5">
        <w:rPr>
          <w:rFonts w:hint="cs"/>
          <w:rtl/>
        </w:rPr>
        <w:t>و</w:t>
      </w:r>
      <w:r>
        <w:rPr>
          <w:rFonts w:hint="cs"/>
          <w:rtl/>
        </w:rPr>
        <w:t xml:space="preserve">تأخذ علماً باستمرار التعاون مع اللجنة الدولية المعنية بالأشخاص المفقودين الرامي لتحديد هوية الأشخاص المفقودين، </w:t>
      </w:r>
      <w:r w:rsidR="00B338B5">
        <w:rPr>
          <w:rFonts w:hint="cs"/>
          <w:rtl/>
        </w:rPr>
        <w:t xml:space="preserve">إلا أنها قلقة </w:t>
      </w:r>
      <w:r>
        <w:rPr>
          <w:rFonts w:hint="cs"/>
          <w:rtl/>
        </w:rPr>
        <w:t xml:space="preserve">لعدم كفاية حماية حقوق أقارب الأشخاص المفقودين والتأخير في إنشاء صندوق على </w:t>
      </w:r>
      <w:r w:rsidR="00B338B5">
        <w:rPr>
          <w:rFonts w:hint="cs"/>
          <w:rtl/>
        </w:rPr>
        <w:t>ال</w:t>
      </w:r>
      <w:r>
        <w:rPr>
          <w:rFonts w:hint="cs"/>
          <w:rtl/>
        </w:rPr>
        <w:t xml:space="preserve">مستوى </w:t>
      </w:r>
      <w:r w:rsidR="00B338B5">
        <w:rPr>
          <w:rFonts w:hint="cs"/>
          <w:rtl/>
        </w:rPr>
        <w:t xml:space="preserve">الوطني </w:t>
      </w:r>
      <w:r>
        <w:rPr>
          <w:rFonts w:hint="cs"/>
          <w:rtl/>
        </w:rPr>
        <w:t>لتقديم المساعدة إليهم. كما تأسف اللجنة لانعدام التنسيق في قوانين الدولة الطرف</w:t>
      </w:r>
      <w:r w:rsidR="00E84B24">
        <w:rPr>
          <w:rFonts w:hint="cs"/>
          <w:rtl/>
        </w:rPr>
        <w:t>،</w:t>
      </w:r>
      <w:r>
        <w:rPr>
          <w:rFonts w:hint="cs"/>
          <w:rtl/>
        </w:rPr>
        <w:t xml:space="preserve"> مما يجعل من الصعب ملاحقة حالات الاختفاء القسري على أساس أنها جرائم ضد الإنسانية (المواد 1 و4 و14 و16).</w:t>
      </w:r>
    </w:p>
    <w:p w:rsidR="00C90C5B" w:rsidRDefault="00C90C5B" w:rsidP="00894E1D">
      <w:pPr>
        <w:pStyle w:val="SingleTxtGA"/>
        <w:ind w:left="1928"/>
        <w:rPr>
          <w:rFonts w:hint="cs"/>
          <w:b/>
          <w:bCs/>
          <w:rtl/>
        </w:rPr>
      </w:pPr>
      <w:r>
        <w:rPr>
          <w:rFonts w:hint="cs"/>
          <w:rtl/>
        </w:rPr>
        <w:tab/>
      </w:r>
      <w:r>
        <w:rPr>
          <w:rFonts w:hint="cs"/>
          <w:b/>
          <w:bCs/>
          <w:rtl/>
        </w:rPr>
        <w:t>توصي اللجنة الدولة الطرف</w:t>
      </w:r>
      <w:r w:rsidR="00AB616D">
        <w:rPr>
          <w:rFonts w:hint="cs"/>
          <w:b/>
          <w:bCs/>
          <w:rtl/>
        </w:rPr>
        <w:t xml:space="preserve">، </w:t>
      </w:r>
      <w:r>
        <w:rPr>
          <w:rFonts w:hint="cs"/>
          <w:b/>
          <w:bCs/>
          <w:rtl/>
        </w:rPr>
        <w:t xml:space="preserve">وفقاً للتوصيات الأولية التي قدمها الفريق العامل المعني بحالات الاختفاء القسري أو غير الطوعي </w:t>
      </w:r>
      <w:r w:rsidR="00B338B5">
        <w:rPr>
          <w:rFonts w:hint="cs"/>
          <w:b/>
          <w:bCs/>
          <w:rtl/>
        </w:rPr>
        <w:t>إثر بعثته ل</w:t>
      </w:r>
      <w:r>
        <w:rPr>
          <w:rFonts w:hint="cs"/>
          <w:b/>
          <w:bCs/>
          <w:rtl/>
        </w:rPr>
        <w:t xml:space="preserve">تقصي الحقائق في البوسنة والهرسك في </w:t>
      </w:r>
      <w:r w:rsidRPr="00390871">
        <w:rPr>
          <w:rFonts w:hint="cs"/>
          <w:b/>
          <w:bCs/>
          <w:sz w:val="30"/>
          <w:rtl/>
        </w:rPr>
        <w:t xml:space="preserve">حزيران/يونيه </w:t>
      </w:r>
      <w:r>
        <w:rPr>
          <w:rFonts w:hint="cs"/>
          <w:b/>
          <w:bCs/>
          <w:rtl/>
        </w:rPr>
        <w:t>2010، بما يلي:</w:t>
      </w:r>
    </w:p>
    <w:p w:rsidR="00C90C5B" w:rsidRDefault="00C90C5B" w:rsidP="00894E1D">
      <w:pPr>
        <w:pStyle w:val="SingleTxtGA"/>
        <w:ind w:left="1928"/>
        <w:rPr>
          <w:rFonts w:hint="cs"/>
          <w:b/>
          <w:bCs/>
          <w:rtl/>
        </w:rPr>
      </w:pPr>
      <w:r>
        <w:rPr>
          <w:rFonts w:hint="cs"/>
          <w:b/>
          <w:bCs/>
          <w:rtl/>
        </w:rPr>
        <w:tab/>
        <w:t>(أ)</w:t>
      </w:r>
      <w:r>
        <w:rPr>
          <w:rFonts w:hint="cs"/>
          <w:b/>
          <w:bCs/>
          <w:rtl/>
        </w:rPr>
        <w:tab/>
        <w:t>أن تضمن الاستقلالية التامة للمعهد المعني بالأشخاص المفقودين وأن تزوده بالمواد والموارد المالية والبشرية الكافية</w:t>
      </w:r>
      <w:r w:rsidR="00B338B5">
        <w:rPr>
          <w:rFonts w:hint="cs"/>
          <w:b/>
          <w:bCs/>
          <w:rtl/>
        </w:rPr>
        <w:t>،</w:t>
      </w:r>
      <w:r>
        <w:rPr>
          <w:rFonts w:hint="cs"/>
          <w:b/>
          <w:bCs/>
          <w:rtl/>
        </w:rPr>
        <w:t xml:space="preserve"> بما في ذلك التكنولوجيا المتاحة الض</w:t>
      </w:r>
      <w:r w:rsidR="00B338B5">
        <w:rPr>
          <w:rFonts w:hint="cs"/>
          <w:b/>
          <w:bCs/>
          <w:rtl/>
        </w:rPr>
        <w:t>رورية للكشف عن هوية الضحايا وإخراج</w:t>
      </w:r>
      <w:r>
        <w:rPr>
          <w:rFonts w:hint="cs"/>
          <w:b/>
          <w:bCs/>
          <w:rtl/>
        </w:rPr>
        <w:t xml:space="preserve"> الجثث من القبور؛</w:t>
      </w:r>
    </w:p>
    <w:p w:rsidR="00C90C5B" w:rsidRDefault="00C90C5B" w:rsidP="00894E1D">
      <w:pPr>
        <w:pStyle w:val="SingleTxtGA"/>
        <w:ind w:left="1928"/>
        <w:rPr>
          <w:rFonts w:hint="cs"/>
          <w:b/>
          <w:bCs/>
          <w:rtl/>
        </w:rPr>
      </w:pPr>
      <w:r>
        <w:rPr>
          <w:rFonts w:hint="cs"/>
          <w:b/>
          <w:bCs/>
          <w:rtl/>
        </w:rPr>
        <w:tab/>
        <w:t>(ب)</w:t>
      </w:r>
      <w:r>
        <w:rPr>
          <w:rFonts w:hint="cs"/>
          <w:b/>
          <w:bCs/>
          <w:rtl/>
        </w:rPr>
        <w:tab/>
        <w:t>أن تضمن</w:t>
      </w:r>
      <w:r w:rsidR="00AB616D">
        <w:rPr>
          <w:rFonts w:hint="cs"/>
          <w:b/>
          <w:bCs/>
          <w:rtl/>
        </w:rPr>
        <w:t xml:space="preserve">، </w:t>
      </w:r>
      <w:r>
        <w:rPr>
          <w:rFonts w:hint="cs"/>
          <w:b/>
          <w:bCs/>
          <w:rtl/>
        </w:rPr>
        <w:t xml:space="preserve">دون </w:t>
      </w:r>
      <w:r w:rsidR="00B338B5">
        <w:rPr>
          <w:rFonts w:hint="cs"/>
          <w:b/>
          <w:bCs/>
          <w:rtl/>
        </w:rPr>
        <w:t>مزيد من التأخ</w:t>
      </w:r>
      <w:r w:rsidR="00E84B24">
        <w:rPr>
          <w:rFonts w:hint="cs"/>
          <w:b/>
          <w:bCs/>
          <w:rtl/>
        </w:rPr>
        <w:t>ي</w:t>
      </w:r>
      <w:r w:rsidR="00B338B5">
        <w:rPr>
          <w:rFonts w:hint="cs"/>
          <w:b/>
          <w:bCs/>
          <w:rtl/>
        </w:rPr>
        <w:t>ر</w:t>
      </w:r>
      <w:r>
        <w:rPr>
          <w:rFonts w:hint="cs"/>
          <w:b/>
          <w:bCs/>
          <w:rtl/>
        </w:rPr>
        <w:t>، إنشاء صندوق لأسر الأشخاص المفقودين، وأن تضمن تمويله بالكامل؛</w:t>
      </w:r>
    </w:p>
    <w:p w:rsidR="00C90C5B" w:rsidRDefault="00C90C5B" w:rsidP="00894E1D">
      <w:pPr>
        <w:pStyle w:val="SingleTxtGA"/>
        <w:ind w:left="1928"/>
        <w:rPr>
          <w:rFonts w:hint="cs"/>
          <w:b/>
          <w:bCs/>
          <w:rtl/>
        </w:rPr>
      </w:pPr>
      <w:r>
        <w:rPr>
          <w:rFonts w:hint="cs"/>
          <w:b/>
          <w:bCs/>
          <w:rtl/>
        </w:rPr>
        <w:tab/>
        <w:t>(ج)</w:t>
      </w:r>
      <w:r>
        <w:rPr>
          <w:rFonts w:hint="cs"/>
          <w:b/>
          <w:bCs/>
          <w:rtl/>
        </w:rPr>
        <w:tab/>
        <w:t>أن تضع</w:t>
      </w:r>
      <w:r w:rsidR="00AB616D">
        <w:rPr>
          <w:rFonts w:hint="cs"/>
          <w:b/>
          <w:bCs/>
          <w:rtl/>
        </w:rPr>
        <w:t xml:space="preserve">، </w:t>
      </w:r>
      <w:r>
        <w:rPr>
          <w:rFonts w:hint="cs"/>
          <w:b/>
          <w:bCs/>
          <w:rtl/>
        </w:rPr>
        <w:t>دون مزيد من التأخير، الصيغة النهائية للسجل المركزي للأشخاص المفقودين، وأن تجعله متاحاً للجمهور؛</w:t>
      </w:r>
    </w:p>
    <w:p w:rsidR="00C90C5B" w:rsidRDefault="00C90C5B" w:rsidP="00E84B24">
      <w:pPr>
        <w:pStyle w:val="SingleTxtGA"/>
        <w:ind w:left="1928"/>
        <w:rPr>
          <w:rFonts w:hint="cs"/>
          <w:b/>
          <w:bCs/>
          <w:rtl/>
        </w:rPr>
      </w:pPr>
      <w:r>
        <w:rPr>
          <w:rFonts w:hint="cs"/>
          <w:b/>
          <w:bCs/>
          <w:rtl/>
        </w:rPr>
        <w:tab/>
        <w:t>(د)</w:t>
      </w:r>
      <w:r>
        <w:rPr>
          <w:rFonts w:hint="cs"/>
          <w:b/>
          <w:bCs/>
          <w:rtl/>
        </w:rPr>
        <w:tab/>
        <w:t xml:space="preserve">أن تحترم حق أسر الأشخاص المفقودين، بما في ذلك </w:t>
      </w:r>
      <w:r w:rsidR="00B338B5">
        <w:rPr>
          <w:rFonts w:hint="cs"/>
          <w:b/>
          <w:bCs/>
          <w:rtl/>
        </w:rPr>
        <w:t xml:space="preserve">الأسر التي تعيش </w:t>
      </w:r>
      <w:r>
        <w:rPr>
          <w:rFonts w:hint="cs"/>
          <w:b/>
          <w:bCs/>
          <w:rtl/>
        </w:rPr>
        <w:t>خارج البوسنة والهرسك، في معرفة الحقيقة من خلال إبقائهم</w:t>
      </w:r>
      <w:r w:rsidR="00E84B24">
        <w:rPr>
          <w:rFonts w:hint="cs"/>
          <w:b/>
          <w:bCs/>
          <w:rtl/>
        </w:rPr>
        <w:t>ا</w:t>
      </w:r>
      <w:r>
        <w:rPr>
          <w:rFonts w:hint="cs"/>
          <w:b/>
          <w:bCs/>
          <w:rtl/>
        </w:rPr>
        <w:t xml:space="preserve"> على ع</w:t>
      </w:r>
      <w:r w:rsidR="00B338B5">
        <w:rPr>
          <w:rFonts w:hint="cs"/>
          <w:b/>
          <w:bCs/>
          <w:rtl/>
        </w:rPr>
        <w:t>لم بالتقدم المحرز في عملية إ</w:t>
      </w:r>
      <w:r>
        <w:rPr>
          <w:rFonts w:hint="cs"/>
          <w:b/>
          <w:bCs/>
          <w:rtl/>
        </w:rPr>
        <w:t>خراج جث</w:t>
      </w:r>
      <w:r w:rsidR="00E84B24">
        <w:rPr>
          <w:rFonts w:hint="cs"/>
          <w:b/>
          <w:bCs/>
          <w:rtl/>
        </w:rPr>
        <w:t>ث</w:t>
      </w:r>
      <w:r>
        <w:rPr>
          <w:rFonts w:hint="cs"/>
          <w:b/>
          <w:bCs/>
          <w:rtl/>
        </w:rPr>
        <w:t xml:space="preserve"> </w:t>
      </w:r>
      <w:r w:rsidR="00B338B5">
        <w:rPr>
          <w:rFonts w:hint="cs"/>
          <w:b/>
          <w:bCs/>
          <w:rtl/>
        </w:rPr>
        <w:t xml:space="preserve">مفقوديهم </w:t>
      </w:r>
      <w:r>
        <w:rPr>
          <w:rFonts w:hint="cs"/>
          <w:b/>
          <w:bCs/>
          <w:rtl/>
        </w:rPr>
        <w:t xml:space="preserve">من القبر وتحديد هوية </w:t>
      </w:r>
      <w:r w:rsidR="00B338B5">
        <w:rPr>
          <w:rFonts w:hint="cs"/>
          <w:b/>
          <w:bCs/>
          <w:rtl/>
        </w:rPr>
        <w:t>ال</w:t>
      </w:r>
      <w:r>
        <w:rPr>
          <w:rFonts w:hint="cs"/>
          <w:b/>
          <w:bCs/>
          <w:rtl/>
        </w:rPr>
        <w:t>رفاة</w:t>
      </w:r>
      <w:r w:rsidR="007663D8">
        <w:rPr>
          <w:rFonts w:hint="cs"/>
          <w:b/>
          <w:bCs/>
          <w:rtl/>
        </w:rPr>
        <w:t>،</w:t>
      </w:r>
      <w:r>
        <w:rPr>
          <w:rFonts w:hint="cs"/>
          <w:b/>
          <w:bCs/>
          <w:rtl/>
        </w:rPr>
        <w:t xml:space="preserve"> </w:t>
      </w:r>
      <w:r w:rsidR="00B338B5">
        <w:rPr>
          <w:rFonts w:hint="cs"/>
          <w:b/>
          <w:bCs/>
          <w:rtl/>
        </w:rPr>
        <w:t>وتزويد الأسر</w:t>
      </w:r>
      <w:r>
        <w:rPr>
          <w:rFonts w:hint="cs"/>
          <w:b/>
          <w:bCs/>
          <w:rtl/>
        </w:rPr>
        <w:t xml:space="preserve"> بالمساعدة النفسية خلال هذه العملية؛</w:t>
      </w:r>
    </w:p>
    <w:p w:rsidR="00C90C5B" w:rsidRDefault="00C90C5B" w:rsidP="00894E1D">
      <w:pPr>
        <w:pStyle w:val="SingleTxtGA"/>
        <w:ind w:left="1928"/>
        <w:rPr>
          <w:rFonts w:hint="cs"/>
          <w:b/>
          <w:bCs/>
          <w:rtl/>
        </w:rPr>
      </w:pPr>
      <w:r>
        <w:rPr>
          <w:rFonts w:hint="cs"/>
          <w:b/>
          <w:bCs/>
          <w:rtl/>
        </w:rPr>
        <w:tab/>
        <w:t>(</w:t>
      </w:r>
      <w:r w:rsidRPr="008A796F">
        <w:rPr>
          <w:rFonts w:hint="cs"/>
          <w:b/>
          <w:bCs/>
          <w:sz w:val="30"/>
          <w:rtl/>
        </w:rPr>
        <w:t>ﻫ</w:t>
      </w:r>
      <w:r>
        <w:rPr>
          <w:rFonts w:hint="cs"/>
          <w:b/>
          <w:bCs/>
          <w:rtl/>
        </w:rPr>
        <w:t>)</w:t>
      </w:r>
      <w:r>
        <w:rPr>
          <w:rFonts w:hint="cs"/>
          <w:b/>
          <w:bCs/>
          <w:rtl/>
        </w:rPr>
        <w:tab/>
        <w:t>أن تمتثل لالتزامها في التحقيق في جميع حالات الاختفاء القسري؛</w:t>
      </w:r>
    </w:p>
    <w:p w:rsidR="00C90C5B" w:rsidRDefault="00C90C5B" w:rsidP="00894E1D">
      <w:pPr>
        <w:pStyle w:val="SingleTxtGA"/>
        <w:ind w:left="1928"/>
        <w:rPr>
          <w:rFonts w:hint="cs"/>
          <w:b/>
          <w:bCs/>
          <w:rtl/>
        </w:rPr>
      </w:pPr>
      <w:r>
        <w:rPr>
          <w:rFonts w:hint="cs"/>
          <w:b/>
          <w:bCs/>
          <w:rtl/>
        </w:rPr>
        <w:tab/>
        <w:t>(و)</w:t>
      </w:r>
      <w:r>
        <w:rPr>
          <w:rFonts w:hint="cs"/>
          <w:b/>
          <w:bCs/>
          <w:rtl/>
        </w:rPr>
        <w:tab/>
        <w:t>أن تنظر في التصديق على الاتفاقية الدولية لحماية جميع الأشخاص من الاختفاء القسري.</w:t>
      </w:r>
    </w:p>
    <w:p w:rsidR="00C90C5B" w:rsidRDefault="00895247" w:rsidP="00895247">
      <w:pPr>
        <w:pStyle w:val="H23GA"/>
        <w:rPr>
          <w:rFonts w:hint="cs"/>
          <w:rtl/>
        </w:rPr>
      </w:pPr>
      <w:r>
        <w:rPr>
          <w:rFonts w:hint="cs"/>
          <w:rtl/>
        </w:rPr>
        <w:tab/>
      </w:r>
      <w:r>
        <w:rPr>
          <w:rFonts w:hint="cs"/>
          <w:rtl/>
        </w:rPr>
        <w:tab/>
      </w:r>
      <w:r w:rsidR="00C90C5B">
        <w:rPr>
          <w:rFonts w:hint="cs"/>
          <w:rtl/>
        </w:rPr>
        <w:t>الآلية الوطنية للوقاية</w:t>
      </w:r>
    </w:p>
    <w:p w:rsidR="00C90C5B" w:rsidRDefault="00C90C5B" w:rsidP="00B338B5">
      <w:pPr>
        <w:pStyle w:val="SingleTxtGA"/>
        <w:rPr>
          <w:rFonts w:hint="cs"/>
          <w:rtl/>
        </w:rPr>
      </w:pPr>
      <w:r>
        <w:rPr>
          <w:rFonts w:hint="cs"/>
          <w:rtl/>
        </w:rPr>
        <w:t>25-</w:t>
      </w:r>
      <w:r>
        <w:rPr>
          <w:rFonts w:hint="cs"/>
          <w:rtl/>
        </w:rPr>
        <w:tab/>
        <w:t>تأخذ اللجنة علماً باستعداد الدولة الطرف لإنشاء آلية وطنية للوقاية</w:t>
      </w:r>
      <w:r w:rsidR="00AB616D">
        <w:rPr>
          <w:rFonts w:hint="cs"/>
          <w:rtl/>
        </w:rPr>
        <w:t xml:space="preserve">، </w:t>
      </w:r>
      <w:r>
        <w:rPr>
          <w:rFonts w:hint="cs"/>
          <w:rtl/>
        </w:rPr>
        <w:t xml:space="preserve">بالتعاون مع أمين المظالم وبدعم من بعثة منظمة الأمن والتعاون في أوروبا إلى البوسنة والهرسك، </w:t>
      </w:r>
      <w:r w:rsidR="00B338B5">
        <w:rPr>
          <w:rFonts w:hint="cs"/>
          <w:rtl/>
        </w:rPr>
        <w:t xml:space="preserve">إلا أنها </w:t>
      </w:r>
      <w:r>
        <w:rPr>
          <w:rFonts w:hint="cs"/>
          <w:rtl/>
        </w:rPr>
        <w:t>لا</w:t>
      </w:r>
      <w:r>
        <w:rPr>
          <w:rFonts w:hint="eastAsia"/>
          <w:rtl/>
        </w:rPr>
        <w:t> </w:t>
      </w:r>
      <w:r>
        <w:rPr>
          <w:rFonts w:hint="cs"/>
          <w:rtl/>
        </w:rPr>
        <w:t>تزال تشعر بالقلق إزاء التقارير التي تفيد بعدم</w:t>
      </w:r>
      <w:r w:rsidRPr="0098603F">
        <w:rPr>
          <w:rFonts w:hint="cs"/>
          <w:rtl/>
        </w:rPr>
        <w:t xml:space="preserve"> </w:t>
      </w:r>
      <w:r>
        <w:rPr>
          <w:rFonts w:hint="cs"/>
          <w:rtl/>
        </w:rPr>
        <w:t>اتخاذ السلطات ال</w:t>
      </w:r>
      <w:r w:rsidR="00B338B5">
        <w:rPr>
          <w:rFonts w:hint="cs"/>
          <w:rtl/>
        </w:rPr>
        <w:t>مختصة التدابير التشريعية واللوج</w:t>
      </w:r>
      <w:r>
        <w:rPr>
          <w:rFonts w:hint="cs"/>
          <w:rtl/>
        </w:rPr>
        <w:t>ستية الفعالة لإنشاء آلية وطنية مستقلة للوقاية تتمشى مع المواد من 17 إلى 23 من البروتوكول الاختياري الملحق باتفاقية مناهضة التعذيب (المواد 2 و11 و16).</w:t>
      </w:r>
    </w:p>
    <w:p w:rsidR="00C90C5B" w:rsidRPr="00C145C7" w:rsidRDefault="00C90C5B" w:rsidP="00894E1D">
      <w:pPr>
        <w:pStyle w:val="SingleTxtGA"/>
        <w:ind w:left="1928"/>
        <w:rPr>
          <w:rFonts w:hint="cs"/>
          <w:b/>
          <w:bCs/>
          <w:rtl/>
        </w:rPr>
      </w:pPr>
      <w:r>
        <w:rPr>
          <w:rFonts w:hint="cs"/>
          <w:rtl/>
        </w:rPr>
        <w:tab/>
      </w:r>
      <w:r>
        <w:rPr>
          <w:rFonts w:hint="cs"/>
          <w:b/>
          <w:bCs/>
          <w:rtl/>
        </w:rPr>
        <w:t>ينبغي للدولة الطرف، وفقاً للتوصيات التي قدمها الفريق العامل المعني بالاستعراض الدوري الشامل والتي وافقت عليها الدولة الطرف (</w:t>
      </w:r>
      <w:r>
        <w:rPr>
          <w:b/>
          <w:bCs/>
        </w:rPr>
        <w:t>A/HRC/14/16</w:t>
      </w:r>
      <w:r w:rsidRPr="00C145C7">
        <w:rPr>
          <w:rFonts w:hint="cs"/>
          <w:b/>
          <w:bCs/>
          <w:rtl/>
        </w:rPr>
        <w:t>، الفقرة 90 (التوصية 17) و</w:t>
      </w:r>
      <w:r w:rsidRPr="00C145C7">
        <w:rPr>
          <w:b/>
          <w:bCs/>
        </w:rPr>
        <w:t>A/HRC/14/16/Add.1</w:t>
      </w:r>
      <w:r w:rsidRPr="00C145C7">
        <w:rPr>
          <w:rFonts w:hint="cs"/>
          <w:b/>
          <w:bCs/>
          <w:rtl/>
        </w:rPr>
        <w:t>، الفقرة</w:t>
      </w:r>
      <w:r w:rsidR="00894E1D">
        <w:rPr>
          <w:rFonts w:hint="eastAsia"/>
          <w:b/>
          <w:bCs/>
          <w:rtl/>
        </w:rPr>
        <w:t> </w:t>
      </w:r>
      <w:r w:rsidRPr="00C145C7">
        <w:rPr>
          <w:rFonts w:hint="cs"/>
          <w:b/>
          <w:bCs/>
          <w:rtl/>
        </w:rPr>
        <w:t xml:space="preserve">10) أن تعجل </w:t>
      </w:r>
      <w:r w:rsidR="00B338B5">
        <w:rPr>
          <w:rFonts w:hint="cs"/>
          <w:b/>
          <w:bCs/>
          <w:rtl/>
        </w:rPr>
        <w:t>ب</w:t>
      </w:r>
      <w:r w:rsidRPr="00C145C7">
        <w:rPr>
          <w:rFonts w:hint="cs"/>
          <w:b/>
          <w:bCs/>
          <w:rtl/>
        </w:rPr>
        <w:t xml:space="preserve">إنشاء آلية وطنية للوقاية، تتمشى بالكامل مع أدنى متطلبات البروتوكول الاختياري. وينبغي </w:t>
      </w:r>
      <w:r w:rsidR="00B338B5">
        <w:rPr>
          <w:rFonts w:hint="cs"/>
          <w:b/>
          <w:bCs/>
          <w:rtl/>
        </w:rPr>
        <w:t>تزويد ا</w:t>
      </w:r>
      <w:r w:rsidRPr="00C145C7">
        <w:rPr>
          <w:rFonts w:hint="cs"/>
          <w:b/>
          <w:bCs/>
          <w:rtl/>
        </w:rPr>
        <w:t xml:space="preserve">لآلية الوطنية للوقاية </w:t>
      </w:r>
      <w:r w:rsidR="00B338B5">
        <w:rPr>
          <w:rFonts w:hint="cs"/>
          <w:b/>
          <w:bCs/>
          <w:rtl/>
        </w:rPr>
        <w:t>ب</w:t>
      </w:r>
      <w:r w:rsidRPr="00C145C7">
        <w:rPr>
          <w:rFonts w:hint="cs"/>
          <w:b/>
          <w:bCs/>
          <w:rtl/>
        </w:rPr>
        <w:t xml:space="preserve">الموارد المالية والبشرية والمادية الكافية </w:t>
      </w:r>
      <w:r>
        <w:rPr>
          <w:rFonts w:hint="cs"/>
          <w:b/>
          <w:bCs/>
          <w:rtl/>
        </w:rPr>
        <w:t>لكي</w:t>
      </w:r>
      <w:r w:rsidRPr="00C145C7">
        <w:rPr>
          <w:rFonts w:hint="cs"/>
          <w:b/>
          <w:bCs/>
          <w:rtl/>
        </w:rPr>
        <w:t xml:space="preserve"> </w:t>
      </w:r>
      <w:r>
        <w:rPr>
          <w:rFonts w:hint="cs"/>
          <w:b/>
          <w:bCs/>
          <w:rtl/>
        </w:rPr>
        <w:t>ت</w:t>
      </w:r>
      <w:r w:rsidRPr="00C145C7">
        <w:rPr>
          <w:rFonts w:hint="cs"/>
          <w:b/>
          <w:bCs/>
          <w:rtl/>
        </w:rPr>
        <w:t>ضطلع بولايتها على نحو فعال.</w:t>
      </w:r>
    </w:p>
    <w:p w:rsidR="00C90C5B" w:rsidRDefault="00895247" w:rsidP="00895247">
      <w:pPr>
        <w:pStyle w:val="H23GA"/>
        <w:rPr>
          <w:rFonts w:hint="cs"/>
          <w:rtl/>
        </w:rPr>
      </w:pPr>
      <w:r>
        <w:rPr>
          <w:rFonts w:hint="cs"/>
          <w:rtl/>
        </w:rPr>
        <w:tab/>
      </w:r>
      <w:r>
        <w:rPr>
          <w:rFonts w:hint="cs"/>
          <w:rtl/>
        </w:rPr>
        <w:tab/>
      </w:r>
      <w:r w:rsidR="00C90C5B">
        <w:rPr>
          <w:rFonts w:hint="cs"/>
          <w:rtl/>
        </w:rPr>
        <w:t>جمع البيانات</w:t>
      </w:r>
    </w:p>
    <w:p w:rsidR="00C90C5B" w:rsidRDefault="00C90C5B" w:rsidP="00B338B5">
      <w:pPr>
        <w:pStyle w:val="SingleTxtGA"/>
        <w:rPr>
          <w:rFonts w:hint="cs"/>
          <w:rtl/>
        </w:rPr>
      </w:pPr>
      <w:r>
        <w:rPr>
          <w:rFonts w:hint="cs"/>
          <w:rtl/>
        </w:rPr>
        <w:t>26-</w:t>
      </w:r>
      <w:r>
        <w:rPr>
          <w:rFonts w:hint="cs"/>
          <w:rtl/>
        </w:rPr>
        <w:tab/>
        <w:t xml:space="preserve">تأسف اللجنة </w:t>
      </w:r>
      <w:r w:rsidR="00B338B5">
        <w:rPr>
          <w:rFonts w:hint="cs"/>
          <w:rtl/>
        </w:rPr>
        <w:t>لعدم وجود بيانات شاملة ومصنفة</w:t>
      </w:r>
      <w:r>
        <w:rPr>
          <w:rFonts w:hint="cs"/>
          <w:rtl/>
        </w:rPr>
        <w:t xml:space="preserve"> عن الشكاوى وعمليات التحقيق والمحاكمات والإدانات المتعلقة بحالات التعذيب </w:t>
      </w:r>
      <w:r w:rsidR="00B338B5">
        <w:rPr>
          <w:rFonts w:hint="cs"/>
          <w:rtl/>
        </w:rPr>
        <w:t xml:space="preserve">وسوء </w:t>
      </w:r>
      <w:r>
        <w:rPr>
          <w:rFonts w:hint="cs"/>
          <w:rtl/>
        </w:rPr>
        <w:t>المعاملة من جانب المكلفين بإنفاذ القوانين والعاملين في السجون</w:t>
      </w:r>
      <w:r w:rsidR="00B338B5">
        <w:rPr>
          <w:rFonts w:hint="cs"/>
          <w:rtl/>
        </w:rPr>
        <w:t>،</w:t>
      </w:r>
      <w:r>
        <w:rPr>
          <w:rFonts w:hint="cs"/>
          <w:rtl/>
        </w:rPr>
        <w:t xml:space="preserve"> وحالات الاغتصاب وقت الحرب والاعتداء الجنسي</w:t>
      </w:r>
      <w:r w:rsidR="007663D8">
        <w:rPr>
          <w:rFonts w:hint="cs"/>
          <w:rtl/>
        </w:rPr>
        <w:t>،</w:t>
      </w:r>
      <w:r>
        <w:rPr>
          <w:rFonts w:hint="cs"/>
          <w:rtl/>
        </w:rPr>
        <w:t xml:space="preserve"> وحالات القتل خارج </w:t>
      </w:r>
      <w:r w:rsidR="00B338B5">
        <w:rPr>
          <w:rFonts w:hint="cs"/>
          <w:rtl/>
        </w:rPr>
        <w:t xml:space="preserve">نطاق القضاء، </w:t>
      </w:r>
      <w:r>
        <w:rPr>
          <w:rFonts w:hint="cs"/>
          <w:rtl/>
        </w:rPr>
        <w:t>وحالات الاختفاء القسري</w:t>
      </w:r>
      <w:r w:rsidR="00B338B5">
        <w:rPr>
          <w:rFonts w:hint="cs"/>
          <w:rtl/>
        </w:rPr>
        <w:t>،</w:t>
      </w:r>
      <w:r>
        <w:rPr>
          <w:rFonts w:hint="cs"/>
          <w:rtl/>
        </w:rPr>
        <w:t xml:space="preserve"> والاتجار</w:t>
      </w:r>
      <w:r w:rsidR="00B338B5">
        <w:rPr>
          <w:rFonts w:hint="cs"/>
          <w:rtl/>
        </w:rPr>
        <w:t>،</w:t>
      </w:r>
      <w:r>
        <w:rPr>
          <w:rFonts w:hint="cs"/>
          <w:rtl/>
        </w:rPr>
        <w:t xml:space="preserve"> والعنف المنزلي والجنسي</w:t>
      </w:r>
      <w:r w:rsidR="007663D8">
        <w:rPr>
          <w:rFonts w:hint="cs"/>
          <w:rtl/>
        </w:rPr>
        <w:t>،</w:t>
      </w:r>
      <w:r>
        <w:rPr>
          <w:rFonts w:hint="cs"/>
          <w:rtl/>
        </w:rPr>
        <w:t xml:space="preserve"> </w:t>
      </w:r>
      <w:r w:rsidR="00B338B5">
        <w:rPr>
          <w:rFonts w:hint="cs"/>
          <w:rtl/>
        </w:rPr>
        <w:t xml:space="preserve">وسُبُل </w:t>
      </w:r>
      <w:r>
        <w:rPr>
          <w:rFonts w:hint="cs"/>
          <w:rtl/>
        </w:rPr>
        <w:t>انتصاف الضحايا.</w:t>
      </w:r>
    </w:p>
    <w:p w:rsidR="00C90C5B" w:rsidRDefault="00C90C5B" w:rsidP="00414A71">
      <w:pPr>
        <w:pStyle w:val="SingleTxtGA"/>
        <w:ind w:left="1928"/>
        <w:rPr>
          <w:rFonts w:hint="cs"/>
          <w:b/>
          <w:bCs/>
          <w:rtl/>
        </w:rPr>
      </w:pPr>
      <w:r>
        <w:rPr>
          <w:rFonts w:hint="cs"/>
          <w:rtl/>
        </w:rPr>
        <w:tab/>
      </w:r>
      <w:r>
        <w:rPr>
          <w:rFonts w:hint="cs"/>
          <w:b/>
          <w:bCs/>
          <w:rtl/>
        </w:rPr>
        <w:t>ينبغي للدولة الطرف أن تقوم بجمع بيانات إحصائية مصنفة بحسب الجريمة والإ</w:t>
      </w:r>
      <w:r w:rsidR="00B338B5">
        <w:rPr>
          <w:rFonts w:hint="cs"/>
          <w:b/>
          <w:bCs/>
          <w:rtl/>
        </w:rPr>
        <w:t xml:space="preserve">ثنية والعمر والجنس تتعلق برصد </w:t>
      </w:r>
      <w:r>
        <w:rPr>
          <w:rFonts w:hint="cs"/>
          <w:b/>
          <w:bCs/>
          <w:rtl/>
        </w:rPr>
        <w:t xml:space="preserve">تنفيذ الاتفاقية على المستوى الوطني، بما في ذلك بيانات عن الشكاوى وحالات التحقيق والملاحقات والإدانات المتعلقة بحالات التعذيب </w:t>
      </w:r>
      <w:r w:rsidR="00B338B5">
        <w:rPr>
          <w:rFonts w:hint="cs"/>
          <w:b/>
          <w:bCs/>
          <w:rtl/>
        </w:rPr>
        <w:t>وسوء</w:t>
      </w:r>
      <w:r>
        <w:rPr>
          <w:rFonts w:hint="cs"/>
          <w:b/>
          <w:bCs/>
          <w:rtl/>
        </w:rPr>
        <w:t xml:space="preserve"> المعاملة، من جانب الموظفين المكلفين بإنفاذ القوانين والعاملين في السجون</w:t>
      </w:r>
      <w:r w:rsidR="00B338B5">
        <w:rPr>
          <w:rFonts w:hint="cs"/>
          <w:b/>
          <w:bCs/>
          <w:rtl/>
        </w:rPr>
        <w:t>،</w:t>
      </w:r>
      <w:r>
        <w:rPr>
          <w:rFonts w:hint="cs"/>
          <w:b/>
          <w:bCs/>
          <w:rtl/>
        </w:rPr>
        <w:t xml:space="preserve"> وحالات الاغتصاب والاعتداء الجنسي في زمن الحرب، وحالات القتل خارج </w:t>
      </w:r>
      <w:r w:rsidR="00B338B5">
        <w:rPr>
          <w:rFonts w:hint="cs"/>
          <w:b/>
          <w:bCs/>
          <w:rtl/>
        </w:rPr>
        <w:t xml:space="preserve">نطاق </w:t>
      </w:r>
      <w:r>
        <w:rPr>
          <w:rFonts w:hint="cs"/>
          <w:b/>
          <w:bCs/>
          <w:rtl/>
        </w:rPr>
        <w:t>القضاء</w:t>
      </w:r>
      <w:r w:rsidR="00B338B5">
        <w:rPr>
          <w:rFonts w:hint="cs"/>
          <w:b/>
          <w:bCs/>
          <w:rtl/>
        </w:rPr>
        <w:t>،</w:t>
      </w:r>
      <w:r>
        <w:rPr>
          <w:rFonts w:hint="cs"/>
          <w:b/>
          <w:bCs/>
          <w:rtl/>
        </w:rPr>
        <w:t xml:space="preserve"> وحالات الاختفاء القسري</w:t>
      </w:r>
      <w:r w:rsidR="00B338B5">
        <w:rPr>
          <w:rFonts w:hint="cs"/>
          <w:b/>
          <w:bCs/>
          <w:rtl/>
        </w:rPr>
        <w:t>،</w:t>
      </w:r>
      <w:r>
        <w:rPr>
          <w:rFonts w:hint="cs"/>
          <w:b/>
          <w:bCs/>
          <w:rtl/>
        </w:rPr>
        <w:t xml:space="preserve"> والاتجار والعنف المنزلي والجنسي</w:t>
      </w:r>
      <w:r w:rsidR="002B6CB3">
        <w:rPr>
          <w:rFonts w:hint="cs"/>
          <w:b/>
          <w:bCs/>
          <w:rtl/>
        </w:rPr>
        <w:t>،</w:t>
      </w:r>
      <w:r>
        <w:rPr>
          <w:rFonts w:hint="cs"/>
          <w:b/>
          <w:bCs/>
          <w:rtl/>
        </w:rPr>
        <w:t xml:space="preserve"> وسبل الانتصاف</w:t>
      </w:r>
      <w:r w:rsidR="002B6CB3">
        <w:rPr>
          <w:rFonts w:hint="cs"/>
          <w:b/>
          <w:bCs/>
          <w:rtl/>
        </w:rPr>
        <w:t>،</w:t>
      </w:r>
      <w:r>
        <w:rPr>
          <w:rFonts w:hint="cs"/>
          <w:b/>
          <w:bCs/>
          <w:rtl/>
        </w:rPr>
        <w:t xml:space="preserve"> بما</w:t>
      </w:r>
      <w:r>
        <w:rPr>
          <w:rFonts w:hint="eastAsia"/>
          <w:b/>
          <w:bCs/>
          <w:rtl/>
        </w:rPr>
        <w:t> </w:t>
      </w:r>
      <w:r>
        <w:rPr>
          <w:rFonts w:hint="cs"/>
          <w:b/>
          <w:bCs/>
          <w:rtl/>
        </w:rPr>
        <w:t>في ذلك التعويض وإعادة التأهيل</w:t>
      </w:r>
      <w:r w:rsidR="00B338B5">
        <w:rPr>
          <w:rFonts w:hint="cs"/>
          <w:b/>
          <w:bCs/>
          <w:rtl/>
        </w:rPr>
        <w:t>،</w:t>
      </w:r>
      <w:r>
        <w:rPr>
          <w:rFonts w:hint="cs"/>
          <w:b/>
          <w:bCs/>
          <w:rtl/>
        </w:rPr>
        <w:t xml:space="preserve"> المقدمة إلى الضحايا.</w:t>
      </w:r>
    </w:p>
    <w:p w:rsidR="00C90C5B" w:rsidRPr="00C145C7" w:rsidRDefault="00C90C5B" w:rsidP="007663D8">
      <w:pPr>
        <w:pStyle w:val="SingleTxtGA"/>
        <w:rPr>
          <w:rFonts w:hint="cs"/>
          <w:b/>
          <w:bCs/>
          <w:rtl/>
        </w:rPr>
      </w:pPr>
      <w:r>
        <w:rPr>
          <w:rFonts w:hint="cs"/>
          <w:rtl/>
        </w:rPr>
        <w:t>27-</w:t>
      </w:r>
      <w:r>
        <w:rPr>
          <w:rFonts w:hint="cs"/>
          <w:rtl/>
        </w:rPr>
        <w:tab/>
      </w:r>
      <w:r w:rsidRPr="00C145C7">
        <w:rPr>
          <w:rFonts w:hint="cs"/>
          <w:b/>
          <w:bCs/>
          <w:rtl/>
        </w:rPr>
        <w:t xml:space="preserve">وترجو اللجنة من الدولة الطرف </w:t>
      </w:r>
      <w:r>
        <w:rPr>
          <w:rFonts w:hint="cs"/>
          <w:b/>
          <w:bCs/>
          <w:rtl/>
        </w:rPr>
        <w:t>أن ت</w:t>
      </w:r>
      <w:r w:rsidRPr="00C145C7">
        <w:rPr>
          <w:rFonts w:hint="cs"/>
          <w:b/>
          <w:bCs/>
          <w:rtl/>
        </w:rPr>
        <w:t xml:space="preserve">نشر </w:t>
      </w:r>
      <w:r>
        <w:rPr>
          <w:rFonts w:hint="cs"/>
          <w:b/>
          <w:bCs/>
          <w:rtl/>
        </w:rPr>
        <w:t>على نطاق واسع،</w:t>
      </w:r>
      <w:r w:rsidR="007663D8">
        <w:rPr>
          <w:rFonts w:hint="cs"/>
          <w:b/>
          <w:bCs/>
          <w:rtl/>
        </w:rPr>
        <w:t xml:space="preserve"> </w:t>
      </w:r>
      <w:r>
        <w:rPr>
          <w:rFonts w:hint="cs"/>
          <w:b/>
          <w:bCs/>
          <w:rtl/>
        </w:rPr>
        <w:t>و</w:t>
      </w:r>
      <w:r w:rsidRPr="00C145C7">
        <w:rPr>
          <w:rFonts w:hint="cs"/>
          <w:b/>
          <w:bCs/>
          <w:rtl/>
        </w:rPr>
        <w:t>باللغات المناسبة،</w:t>
      </w:r>
      <w:r w:rsidR="002B6CB3">
        <w:rPr>
          <w:rFonts w:hint="cs"/>
          <w:b/>
          <w:bCs/>
          <w:rtl/>
        </w:rPr>
        <w:t xml:space="preserve"> </w:t>
      </w:r>
      <w:r w:rsidRPr="00C145C7">
        <w:rPr>
          <w:rFonts w:hint="cs"/>
          <w:b/>
          <w:bCs/>
          <w:rtl/>
        </w:rPr>
        <w:t>التقرير المقدم إلى اللجنة و</w:t>
      </w:r>
      <w:r>
        <w:rPr>
          <w:rFonts w:hint="cs"/>
          <w:b/>
          <w:bCs/>
          <w:rtl/>
        </w:rPr>
        <w:t>الملاحظات الختامية للجنة</w:t>
      </w:r>
      <w:r w:rsidR="00AB616D">
        <w:rPr>
          <w:rFonts w:hint="cs"/>
          <w:b/>
          <w:bCs/>
          <w:rtl/>
        </w:rPr>
        <w:t xml:space="preserve">، </w:t>
      </w:r>
      <w:r w:rsidRPr="00C145C7">
        <w:rPr>
          <w:rFonts w:hint="cs"/>
          <w:b/>
          <w:bCs/>
          <w:rtl/>
        </w:rPr>
        <w:t>عن طريق المواقع الرسمية على شبكة الإنترنت ووسائط الإعلام والمنظمات غير الحكومية.</w:t>
      </w:r>
    </w:p>
    <w:p w:rsidR="00C90C5B" w:rsidRDefault="00C90C5B" w:rsidP="002B6CB3">
      <w:pPr>
        <w:pStyle w:val="SingleTxtGA"/>
        <w:rPr>
          <w:rFonts w:hint="cs"/>
          <w:b/>
          <w:bCs/>
          <w:rtl/>
        </w:rPr>
      </w:pPr>
      <w:r>
        <w:rPr>
          <w:rFonts w:hint="cs"/>
          <w:rtl/>
        </w:rPr>
        <w:t>28-</w:t>
      </w:r>
      <w:r>
        <w:rPr>
          <w:rFonts w:hint="cs"/>
          <w:rtl/>
        </w:rPr>
        <w:tab/>
      </w:r>
      <w:r>
        <w:rPr>
          <w:rFonts w:hint="cs"/>
          <w:b/>
          <w:bCs/>
          <w:rtl/>
        </w:rPr>
        <w:t xml:space="preserve">وترجو اللجنة من الدولة الطرف أن تزودها في غضون </w:t>
      </w:r>
      <w:r w:rsidR="002B6CB3">
        <w:rPr>
          <w:rFonts w:hint="cs"/>
          <w:b/>
          <w:bCs/>
          <w:rtl/>
        </w:rPr>
        <w:t>سنة</w:t>
      </w:r>
      <w:r>
        <w:rPr>
          <w:rFonts w:hint="cs"/>
          <w:b/>
          <w:bCs/>
          <w:rtl/>
        </w:rPr>
        <w:t xml:space="preserve">، بمعلومات </w:t>
      </w:r>
      <w:r w:rsidR="002B6CB3">
        <w:rPr>
          <w:rFonts w:hint="cs"/>
          <w:b/>
          <w:bCs/>
          <w:rtl/>
        </w:rPr>
        <w:t xml:space="preserve">متابعة </w:t>
      </w:r>
      <w:r>
        <w:rPr>
          <w:rFonts w:hint="cs"/>
          <w:b/>
          <w:bCs/>
          <w:rtl/>
        </w:rPr>
        <w:t xml:space="preserve">عن ردها على توصيات اللجنة الواردة في الفقرات 9 و12 و18 و24 من </w:t>
      </w:r>
      <w:r w:rsidR="002B6CB3">
        <w:rPr>
          <w:rFonts w:hint="cs"/>
          <w:b/>
          <w:bCs/>
          <w:rtl/>
        </w:rPr>
        <w:t>هذه الوثيقة</w:t>
      </w:r>
      <w:r>
        <w:rPr>
          <w:rFonts w:hint="cs"/>
          <w:b/>
          <w:bCs/>
          <w:rtl/>
        </w:rPr>
        <w:t>.</w:t>
      </w:r>
    </w:p>
    <w:p w:rsidR="00C90C5B" w:rsidRDefault="00C90C5B" w:rsidP="002B6CB3">
      <w:pPr>
        <w:pStyle w:val="SingleTxtGA"/>
        <w:rPr>
          <w:rFonts w:hint="cs"/>
          <w:b/>
          <w:bCs/>
          <w:rtl/>
        </w:rPr>
      </w:pPr>
      <w:r>
        <w:rPr>
          <w:rFonts w:hint="cs"/>
          <w:rtl/>
        </w:rPr>
        <w:t>29-</w:t>
      </w:r>
      <w:r>
        <w:rPr>
          <w:rFonts w:hint="cs"/>
          <w:rtl/>
        </w:rPr>
        <w:tab/>
      </w:r>
      <w:r>
        <w:rPr>
          <w:rFonts w:hint="cs"/>
          <w:b/>
          <w:bCs/>
          <w:rtl/>
        </w:rPr>
        <w:t>وتدعو اللجنة الدولة الطرف إلى أن تقدم</w:t>
      </w:r>
      <w:r w:rsidR="00AB616D">
        <w:rPr>
          <w:rFonts w:hint="cs"/>
          <w:b/>
          <w:bCs/>
          <w:rtl/>
        </w:rPr>
        <w:t xml:space="preserve">، </w:t>
      </w:r>
      <w:r>
        <w:rPr>
          <w:rFonts w:hint="cs"/>
          <w:b/>
          <w:bCs/>
          <w:rtl/>
        </w:rPr>
        <w:t xml:space="preserve">في تقريرها الدوري المقبل، وفقاً </w:t>
      </w:r>
      <w:r w:rsidR="002B6CB3">
        <w:rPr>
          <w:rFonts w:hint="cs"/>
          <w:b/>
          <w:bCs/>
          <w:rtl/>
        </w:rPr>
        <w:t xml:space="preserve">لمبادئها </w:t>
      </w:r>
      <w:r>
        <w:rPr>
          <w:rFonts w:hint="cs"/>
          <w:b/>
          <w:bCs/>
          <w:rtl/>
        </w:rPr>
        <w:t xml:space="preserve">التوجيهية </w:t>
      </w:r>
      <w:r w:rsidR="002B6CB3">
        <w:rPr>
          <w:rFonts w:hint="cs"/>
          <w:b/>
          <w:bCs/>
          <w:rtl/>
        </w:rPr>
        <w:t>ل</w:t>
      </w:r>
      <w:r>
        <w:rPr>
          <w:rFonts w:hint="cs"/>
          <w:b/>
          <w:bCs/>
          <w:rtl/>
        </w:rPr>
        <w:t>تقديم التقارير</w:t>
      </w:r>
      <w:r w:rsidR="002B6CB3">
        <w:rPr>
          <w:rFonts w:hint="cs"/>
          <w:b/>
          <w:bCs/>
          <w:rtl/>
        </w:rPr>
        <w:t>،</w:t>
      </w:r>
      <w:r>
        <w:rPr>
          <w:rFonts w:hint="cs"/>
          <w:b/>
          <w:bCs/>
          <w:rtl/>
        </w:rPr>
        <w:t xml:space="preserve"> وأن تحترم </w:t>
      </w:r>
      <w:r w:rsidRPr="005B25F7">
        <w:rPr>
          <w:rFonts w:hint="cs"/>
          <w:b/>
          <w:bCs/>
          <w:rtl/>
          <w:lang w:bidi="ar"/>
        </w:rPr>
        <w:t>عدد الصفحات الأقصى المحدد بأربعين صفحة للتقارير الخاصة بالمعاهدات</w:t>
      </w:r>
      <w:r w:rsidR="008C01B1">
        <w:rPr>
          <w:rFonts w:hint="cs"/>
          <w:rtl/>
          <w:lang w:bidi="ar"/>
        </w:rPr>
        <w:t>.</w:t>
      </w:r>
      <w:r>
        <w:rPr>
          <w:rFonts w:hint="cs"/>
          <w:b/>
          <w:bCs/>
          <w:rtl/>
        </w:rPr>
        <w:t xml:space="preserve"> كما تدعو اللجنة الدولة الطرف إلى أن تقدم وثيقة أساسية مشتركة محدثة وفقاً لشروط تقديم </w:t>
      </w:r>
      <w:r w:rsidR="002B6CB3">
        <w:rPr>
          <w:rFonts w:hint="cs"/>
          <w:b/>
          <w:bCs/>
          <w:rtl/>
        </w:rPr>
        <w:t xml:space="preserve">الوثائق </w:t>
      </w:r>
      <w:r>
        <w:rPr>
          <w:rFonts w:hint="cs"/>
          <w:b/>
          <w:bCs/>
          <w:rtl/>
        </w:rPr>
        <w:t xml:space="preserve">الأساسية المشتركة </w:t>
      </w:r>
      <w:r w:rsidR="002B6CB3">
        <w:rPr>
          <w:rFonts w:hint="cs"/>
          <w:b/>
          <w:bCs/>
          <w:rtl/>
        </w:rPr>
        <w:t xml:space="preserve">المحدَّثة </w:t>
      </w:r>
      <w:r>
        <w:rPr>
          <w:rFonts w:hint="cs"/>
          <w:b/>
          <w:bCs/>
          <w:rtl/>
        </w:rPr>
        <w:t xml:space="preserve">الواردة في المبادئ التوجيهية المنسقة لتقديم التقارير </w:t>
      </w:r>
      <w:r w:rsidR="002B6CB3">
        <w:rPr>
          <w:rFonts w:hint="cs"/>
          <w:b/>
          <w:bCs/>
          <w:rtl/>
        </w:rPr>
        <w:t xml:space="preserve">بموجب معاهدات حقوق الإنسان الدولية </w:t>
      </w:r>
      <w:r>
        <w:rPr>
          <w:rFonts w:hint="cs"/>
          <w:b/>
          <w:bCs/>
          <w:rtl/>
        </w:rPr>
        <w:t>(</w:t>
      </w:r>
      <w:r>
        <w:rPr>
          <w:b/>
          <w:bCs/>
        </w:rPr>
        <w:t>HRI/GEN.2/Rev.6</w:t>
      </w:r>
      <w:r>
        <w:rPr>
          <w:rFonts w:hint="cs"/>
          <w:b/>
          <w:bCs/>
          <w:rtl/>
        </w:rPr>
        <w:t xml:space="preserve">) التي وافق عليها الاجتماع المشترك بين اللجان لهيئات معاهدات </w:t>
      </w:r>
      <w:r w:rsidR="002B6CB3">
        <w:rPr>
          <w:rFonts w:hint="cs"/>
          <w:b/>
          <w:bCs/>
          <w:rtl/>
        </w:rPr>
        <w:t xml:space="preserve">حقوق الإنسان، </w:t>
      </w:r>
      <w:r>
        <w:rPr>
          <w:rFonts w:hint="cs"/>
          <w:b/>
          <w:bCs/>
          <w:rtl/>
        </w:rPr>
        <w:t xml:space="preserve">وأن تحترم العدد الأقصى للصفحات المحدد ﺑ 80 صفحة للوثيقة الأساسية المشتركة. </w:t>
      </w:r>
      <w:r w:rsidR="002B6CB3">
        <w:rPr>
          <w:rFonts w:hint="cs"/>
          <w:b/>
          <w:bCs/>
          <w:rtl/>
        </w:rPr>
        <w:t>و</w:t>
      </w:r>
      <w:r>
        <w:rPr>
          <w:rFonts w:hint="cs"/>
          <w:b/>
          <w:bCs/>
          <w:rtl/>
        </w:rPr>
        <w:t xml:space="preserve">الوثيقة </w:t>
      </w:r>
      <w:r w:rsidR="002B6CB3">
        <w:rPr>
          <w:rFonts w:hint="cs"/>
          <w:b/>
          <w:bCs/>
          <w:rtl/>
        </w:rPr>
        <w:t xml:space="preserve">الخاصة بمعاهدة بعينها </w:t>
      </w:r>
      <w:r>
        <w:rPr>
          <w:rFonts w:hint="cs"/>
          <w:b/>
          <w:bCs/>
          <w:rtl/>
        </w:rPr>
        <w:t xml:space="preserve">والوثيقة الأساسية المشتركة </w:t>
      </w:r>
      <w:r w:rsidR="002B6CB3">
        <w:rPr>
          <w:rFonts w:hint="cs"/>
          <w:b/>
          <w:bCs/>
          <w:rtl/>
        </w:rPr>
        <w:t xml:space="preserve">تشكلان </w:t>
      </w:r>
      <w:r>
        <w:rPr>
          <w:rFonts w:hint="cs"/>
          <w:b/>
          <w:bCs/>
          <w:rtl/>
        </w:rPr>
        <w:t>معاً التزام الدولة الطرف بالإبلاغ بموجب الاتفاقية.</w:t>
      </w:r>
    </w:p>
    <w:p w:rsidR="00C90C5B" w:rsidRDefault="00C90C5B" w:rsidP="00895247">
      <w:pPr>
        <w:pStyle w:val="SingleTxtGA"/>
        <w:rPr>
          <w:rFonts w:hint="cs"/>
          <w:b/>
          <w:bCs/>
          <w:rtl/>
        </w:rPr>
      </w:pPr>
      <w:r>
        <w:rPr>
          <w:rFonts w:hint="cs"/>
          <w:rtl/>
        </w:rPr>
        <w:t>30-</w:t>
      </w:r>
      <w:r>
        <w:rPr>
          <w:rFonts w:hint="cs"/>
          <w:rtl/>
        </w:rPr>
        <w:tab/>
      </w:r>
      <w:r>
        <w:rPr>
          <w:rFonts w:hint="cs"/>
          <w:b/>
          <w:bCs/>
          <w:rtl/>
        </w:rPr>
        <w:t>والدولة الطرف مدعوة إلى تقديم تقريرها الدوري المقبل</w:t>
      </w:r>
      <w:r w:rsidR="002B6CB3">
        <w:rPr>
          <w:rFonts w:hint="cs"/>
          <w:b/>
          <w:bCs/>
          <w:rtl/>
        </w:rPr>
        <w:t>،</w:t>
      </w:r>
      <w:r>
        <w:rPr>
          <w:rFonts w:hint="cs"/>
          <w:b/>
          <w:bCs/>
          <w:rtl/>
        </w:rPr>
        <w:t xml:space="preserve"> الذي سيكون التقرير السادس، في موعد أقصاه</w:t>
      </w:r>
      <w:r w:rsidR="00895247">
        <w:rPr>
          <w:rFonts w:hint="cs"/>
          <w:b/>
          <w:bCs/>
          <w:rtl/>
        </w:rPr>
        <w:t xml:space="preserve"> </w:t>
      </w:r>
      <w:r>
        <w:rPr>
          <w:rFonts w:hint="cs"/>
          <w:b/>
          <w:bCs/>
          <w:rtl/>
        </w:rPr>
        <w:t xml:space="preserve">19 </w:t>
      </w:r>
      <w:r w:rsidRPr="00D02BD5">
        <w:rPr>
          <w:rFonts w:hint="cs"/>
          <w:b/>
          <w:bCs/>
          <w:sz w:val="30"/>
          <w:rtl/>
        </w:rPr>
        <w:t xml:space="preserve">تشرين الثاني/نوفمبر </w:t>
      </w:r>
      <w:r>
        <w:rPr>
          <w:rFonts w:hint="cs"/>
          <w:b/>
          <w:bCs/>
          <w:rtl/>
        </w:rPr>
        <w:t>2014.</w:t>
      </w:r>
    </w:p>
    <w:p w:rsidR="00C90C5B" w:rsidRPr="006F1F0E" w:rsidRDefault="00C90C5B" w:rsidP="00C90C5B">
      <w:pPr>
        <w:spacing w:before="120"/>
        <w:jc w:val="center"/>
        <w:rPr>
          <w:rFonts w:hint="cs"/>
          <w:u w:val="single"/>
          <w:rtl/>
        </w:rPr>
      </w:pPr>
      <w:r>
        <w:rPr>
          <w:u w:val="single"/>
          <w:rtl/>
        </w:rPr>
        <w:tab/>
      </w:r>
      <w:r>
        <w:rPr>
          <w:u w:val="single"/>
          <w:rtl/>
        </w:rPr>
        <w:tab/>
      </w:r>
      <w:r>
        <w:rPr>
          <w:u w:val="single"/>
          <w:rtl/>
        </w:rPr>
        <w:tab/>
      </w:r>
    </w:p>
    <w:sectPr w:rsidR="00C90C5B" w:rsidRPr="006F1F0E"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CB3" w:rsidRPr="00FE6865" w:rsidRDefault="00902CB3" w:rsidP="00FE6865">
      <w:pPr>
        <w:pStyle w:val="Footer"/>
      </w:pPr>
    </w:p>
  </w:endnote>
  <w:endnote w:type="continuationSeparator" w:id="0">
    <w:p w:rsidR="00902CB3" w:rsidRDefault="00902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247" w:rsidRPr="00C90C5B" w:rsidRDefault="00895247" w:rsidP="00C90C5B">
    <w:pPr>
      <w:pStyle w:val="Footer"/>
      <w:tabs>
        <w:tab w:val="right" w:pos="9598"/>
      </w:tabs>
    </w:pPr>
    <w:r>
      <w:t>GE.11-40383</w:t>
    </w:r>
    <w:r>
      <w:tab/>
    </w:r>
    <w:r w:rsidRPr="00C90C5B">
      <w:rPr>
        <w:b/>
        <w:sz w:val="18"/>
      </w:rPr>
      <w:fldChar w:fldCharType="begin"/>
    </w:r>
    <w:r w:rsidRPr="00C90C5B">
      <w:rPr>
        <w:b/>
        <w:sz w:val="18"/>
      </w:rPr>
      <w:instrText xml:space="preserve"> PAGE  \* MERGEFORMAT </w:instrText>
    </w:r>
    <w:r w:rsidRPr="00C90C5B">
      <w:rPr>
        <w:b/>
        <w:sz w:val="18"/>
      </w:rPr>
      <w:fldChar w:fldCharType="separate"/>
    </w:r>
    <w:r w:rsidR="00661BFA">
      <w:rPr>
        <w:b/>
        <w:noProof/>
        <w:sz w:val="18"/>
      </w:rPr>
      <w:t>10</w:t>
    </w:r>
    <w:r w:rsidRPr="00C90C5B">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247" w:rsidRPr="00C90C5B" w:rsidRDefault="00895247" w:rsidP="00C90C5B">
    <w:pPr>
      <w:pStyle w:val="Footer"/>
      <w:tabs>
        <w:tab w:val="right" w:pos="9598"/>
      </w:tabs>
      <w:rPr>
        <w:b/>
        <w:sz w:val="18"/>
      </w:rPr>
    </w:pPr>
    <w:r w:rsidRPr="00C90C5B">
      <w:rPr>
        <w:b/>
        <w:sz w:val="18"/>
      </w:rPr>
      <w:fldChar w:fldCharType="begin"/>
    </w:r>
    <w:r w:rsidRPr="00C90C5B">
      <w:rPr>
        <w:b/>
        <w:sz w:val="18"/>
      </w:rPr>
      <w:instrText xml:space="preserve"> PAGE  \* MERGEFORMAT </w:instrText>
    </w:r>
    <w:r w:rsidRPr="00C90C5B">
      <w:rPr>
        <w:b/>
        <w:sz w:val="18"/>
      </w:rPr>
      <w:fldChar w:fldCharType="separate"/>
    </w:r>
    <w:r w:rsidR="00661BFA">
      <w:rPr>
        <w:b/>
        <w:noProof/>
        <w:sz w:val="18"/>
      </w:rPr>
      <w:t>9</w:t>
    </w:r>
    <w:r w:rsidRPr="00C90C5B">
      <w:rPr>
        <w:b/>
        <w:sz w:val="18"/>
      </w:rPr>
      <w:fldChar w:fldCharType="end"/>
    </w:r>
    <w:r>
      <w:rPr>
        <w:b/>
        <w:sz w:val="18"/>
      </w:rPr>
      <w:tab/>
    </w:r>
    <w:r>
      <w:t>GE.11-40383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247" w:rsidRDefault="00895247" w:rsidP="00C90C5B">
    <w:pPr>
      <w:pStyle w:val="Footer"/>
      <w:jc w:val="right"/>
    </w:pPr>
    <w:r>
      <w:rPr>
        <w:sz w:val="20"/>
      </w:rPr>
      <w:t>(A)   GE.11-40383</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BB73F1">
      <w:rPr>
        <w:sz w:val="20"/>
      </w:rPr>
      <w:t xml:space="preserve">    250211    280211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CB3" w:rsidRDefault="00902CB3" w:rsidP="00834FF4">
      <w:pPr>
        <w:pStyle w:val="Footer"/>
        <w:bidi/>
        <w:spacing w:after="80" w:line="200" w:lineRule="exact"/>
        <w:ind w:left="680"/>
      </w:pPr>
      <w:r>
        <w:rPr>
          <w:rFonts w:hint="cs"/>
          <w:rtl/>
        </w:rPr>
        <w:t>__________</w:t>
      </w:r>
    </w:p>
  </w:footnote>
  <w:footnote w:type="continuationSeparator" w:id="0">
    <w:p w:rsidR="00902CB3" w:rsidRDefault="00902CB3" w:rsidP="00834FF4">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247" w:rsidRPr="00C90C5B" w:rsidRDefault="00895247" w:rsidP="00C90C5B">
    <w:pPr>
      <w:pStyle w:val="Header"/>
      <w:jc w:val="right"/>
    </w:pPr>
    <w:r w:rsidRPr="00C90C5B">
      <w:t>CAT/C/BIH/CO/2-5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247" w:rsidRPr="00C90C5B" w:rsidRDefault="00895247" w:rsidP="00C90C5B">
    <w:pPr>
      <w:pStyle w:val="Header"/>
      <w:jc w:val="left"/>
    </w:pPr>
    <w:r w:rsidRPr="00C90C5B">
      <w:t>CAT/C/BIH/CO/2-5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247" w:rsidRDefault="00895247"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895247" w:rsidRPr="002B399E" w:rsidRDefault="00895247"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895247" w:rsidRPr="002B399E" w:rsidRDefault="00895247"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895247" w:rsidRDefault="00895247"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10C3D6D"/>
    <w:multiLevelType w:val="hybridMultilevel"/>
    <w:tmpl w:val="4318793E"/>
    <w:lvl w:ilvl="0" w:tplc="9D8A4E54">
      <w:start w:val="25"/>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4"/>
  </w:num>
  <w:num w:numId="4">
    <w:abstractNumId w:val="11"/>
  </w:num>
  <w:num w:numId="5">
    <w:abstractNumId w:val="8"/>
  </w:num>
  <w:num w:numId="6">
    <w:abstractNumId w:val="21"/>
  </w:num>
  <w:num w:numId="7">
    <w:abstractNumId w:val="10"/>
  </w:num>
  <w:num w:numId="8">
    <w:abstractNumId w:val="9"/>
  </w:num>
  <w:num w:numId="9">
    <w:abstractNumId w:val="12"/>
  </w:num>
  <w:num w:numId="10">
    <w:abstractNumId w:val="20"/>
  </w:num>
  <w:num w:numId="11">
    <w:abstractNumId w:val="1"/>
  </w:num>
  <w:num w:numId="12">
    <w:abstractNumId w:val="14"/>
  </w:num>
  <w:num w:numId="13">
    <w:abstractNumId w:val="11"/>
  </w:num>
  <w:num w:numId="14">
    <w:abstractNumId w:val="8"/>
  </w:num>
  <w:num w:numId="15">
    <w:abstractNumId w:val="21"/>
  </w:num>
  <w:num w:numId="16">
    <w:abstractNumId w:val="1"/>
  </w:num>
  <w:num w:numId="17">
    <w:abstractNumId w:val="14"/>
  </w:num>
  <w:num w:numId="18">
    <w:abstractNumId w:val="11"/>
  </w:num>
  <w:num w:numId="19">
    <w:abstractNumId w:val="8"/>
  </w:num>
  <w:num w:numId="20">
    <w:abstractNumId w:val="21"/>
  </w:num>
  <w:num w:numId="21">
    <w:abstractNumId w:val="1"/>
  </w:num>
  <w:num w:numId="22">
    <w:abstractNumId w:val="14"/>
  </w:num>
  <w:num w:numId="23">
    <w:abstractNumId w:val="8"/>
  </w:num>
  <w:num w:numId="24">
    <w:abstractNumId w:val="21"/>
  </w:num>
  <w:num w:numId="25">
    <w:abstractNumId w:val="14"/>
  </w:num>
  <w:num w:numId="26">
    <w:abstractNumId w:val="1"/>
  </w:num>
  <w:num w:numId="27">
    <w:abstractNumId w:val="3"/>
  </w:num>
  <w:num w:numId="28">
    <w:abstractNumId w:val="2"/>
  </w:num>
  <w:num w:numId="29">
    <w:abstractNumId w:val="16"/>
  </w:num>
  <w:num w:numId="30">
    <w:abstractNumId w:val="4"/>
  </w:num>
  <w:num w:numId="31">
    <w:abstractNumId w:val="7"/>
  </w:num>
  <w:num w:numId="32">
    <w:abstractNumId w:val="15"/>
  </w:num>
  <w:num w:numId="33">
    <w:abstractNumId w:val="18"/>
  </w:num>
  <w:num w:numId="34">
    <w:abstractNumId w:val="22"/>
  </w:num>
  <w:num w:numId="35">
    <w:abstractNumId w:val="5"/>
  </w:num>
  <w:num w:numId="36">
    <w:abstractNumId w:val="17"/>
  </w:num>
  <w:num w:numId="37">
    <w:abstractNumId w:val="19"/>
  </w:num>
  <w:num w:numId="38">
    <w:abstractNumId w:val="0"/>
  </w:num>
  <w:num w:numId="39">
    <w:abstractNumId w:val="6"/>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4453"/>
    <w:rsid w:val="00024E79"/>
    <w:rsid w:val="00040E25"/>
    <w:rsid w:val="00042149"/>
    <w:rsid w:val="00063FEB"/>
    <w:rsid w:val="000648EA"/>
    <w:rsid w:val="000957C8"/>
    <w:rsid w:val="00097049"/>
    <w:rsid w:val="000A04D5"/>
    <w:rsid w:val="000B52F2"/>
    <w:rsid w:val="000D0EAE"/>
    <w:rsid w:val="000D5380"/>
    <w:rsid w:val="000D6654"/>
    <w:rsid w:val="000E103D"/>
    <w:rsid w:val="000F0264"/>
    <w:rsid w:val="000F2EBF"/>
    <w:rsid w:val="000F3A9F"/>
    <w:rsid w:val="000F5FF6"/>
    <w:rsid w:val="000F76A0"/>
    <w:rsid w:val="001022B5"/>
    <w:rsid w:val="00113FA5"/>
    <w:rsid w:val="001455A0"/>
    <w:rsid w:val="001602A3"/>
    <w:rsid w:val="00191245"/>
    <w:rsid w:val="001A5161"/>
    <w:rsid w:val="001A60BD"/>
    <w:rsid w:val="001E7E1C"/>
    <w:rsid w:val="002244FB"/>
    <w:rsid w:val="00227C4E"/>
    <w:rsid w:val="00232277"/>
    <w:rsid w:val="0023736D"/>
    <w:rsid w:val="00257225"/>
    <w:rsid w:val="00264453"/>
    <w:rsid w:val="002B6CB3"/>
    <w:rsid w:val="002C2775"/>
    <w:rsid w:val="002D707D"/>
    <w:rsid w:val="00310160"/>
    <w:rsid w:val="00341A8C"/>
    <w:rsid w:val="003519E6"/>
    <w:rsid w:val="0038236D"/>
    <w:rsid w:val="003B4356"/>
    <w:rsid w:val="003D13B5"/>
    <w:rsid w:val="003E77DC"/>
    <w:rsid w:val="003F08A8"/>
    <w:rsid w:val="00414A71"/>
    <w:rsid w:val="004250E3"/>
    <w:rsid w:val="00437065"/>
    <w:rsid w:val="004437A2"/>
    <w:rsid w:val="00452B00"/>
    <w:rsid w:val="00472A81"/>
    <w:rsid w:val="004804D7"/>
    <w:rsid w:val="004A20A6"/>
    <w:rsid w:val="004B2C92"/>
    <w:rsid w:val="004D0A9E"/>
    <w:rsid w:val="004D2276"/>
    <w:rsid w:val="004D6A3A"/>
    <w:rsid w:val="004F4AD7"/>
    <w:rsid w:val="00557CD3"/>
    <w:rsid w:val="00571432"/>
    <w:rsid w:val="005732A2"/>
    <w:rsid w:val="005762A5"/>
    <w:rsid w:val="00590BA3"/>
    <w:rsid w:val="005B46D9"/>
    <w:rsid w:val="005B7AE0"/>
    <w:rsid w:val="005F146F"/>
    <w:rsid w:val="005F71B6"/>
    <w:rsid w:val="006003A5"/>
    <w:rsid w:val="00654786"/>
    <w:rsid w:val="00660FD4"/>
    <w:rsid w:val="00661BFA"/>
    <w:rsid w:val="00686A4C"/>
    <w:rsid w:val="006A4425"/>
    <w:rsid w:val="006B00A4"/>
    <w:rsid w:val="006B4669"/>
    <w:rsid w:val="006B79E6"/>
    <w:rsid w:val="006E521A"/>
    <w:rsid w:val="006F6BF8"/>
    <w:rsid w:val="00707BDF"/>
    <w:rsid w:val="00710727"/>
    <w:rsid w:val="00715F45"/>
    <w:rsid w:val="00731815"/>
    <w:rsid w:val="00731B84"/>
    <w:rsid w:val="00734AE7"/>
    <w:rsid w:val="007663D8"/>
    <w:rsid w:val="0079344E"/>
    <w:rsid w:val="007E197F"/>
    <w:rsid w:val="007F3B92"/>
    <w:rsid w:val="007F68C4"/>
    <w:rsid w:val="008153DE"/>
    <w:rsid w:val="00834FF4"/>
    <w:rsid w:val="00852A10"/>
    <w:rsid w:val="00862634"/>
    <w:rsid w:val="00866C59"/>
    <w:rsid w:val="00877306"/>
    <w:rsid w:val="00894E1D"/>
    <w:rsid w:val="00895247"/>
    <w:rsid w:val="008A6242"/>
    <w:rsid w:val="008A679C"/>
    <w:rsid w:val="008B4BC6"/>
    <w:rsid w:val="008C01B1"/>
    <w:rsid w:val="00901E57"/>
    <w:rsid w:val="00902CB3"/>
    <w:rsid w:val="00906D28"/>
    <w:rsid w:val="009070DF"/>
    <w:rsid w:val="00935F0E"/>
    <w:rsid w:val="0095208F"/>
    <w:rsid w:val="00977B3F"/>
    <w:rsid w:val="009814AE"/>
    <w:rsid w:val="009901D3"/>
    <w:rsid w:val="00996BBE"/>
    <w:rsid w:val="009976B6"/>
    <w:rsid w:val="009B2C03"/>
    <w:rsid w:val="009D1DD5"/>
    <w:rsid w:val="009E4B16"/>
    <w:rsid w:val="009F722C"/>
    <w:rsid w:val="00A26157"/>
    <w:rsid w:val="00A265C3"/>
    <w:rsid w:val="00A43F9A"/>
    <w:rsid w:val="00A53F38"/>
    <w:rsid w:val="00A543D4"/>
    <w:rsid w:val="00AB616D"/>
    <w:rsid w:val="00AC2042"/>
    <w:rsid w:val="00AD0014"/>
    <w:rsid w:val="00AD4CF2"/>
    <w:rsid w:val="00AF0BBA"/>
    <w:rsid w:val="00B25BBD"/>
    <w:rsid w:val="00B30468"/>
    <w:rsid w:val="00B338B5"/>
    <w:rsid w:val="00B44E31"/>
    <w:rsid w:val="00BA4F7E"/>
    <w:rsid w:val="00BB2C41"/>
    <w:rsid w:val="00BB73F1"/>
    <w:rsid w:val="00BC55C8"/>
    <w:rsid w:val="00BC5C10"/>
    <w:rsid w:val="00BE2964"/>
    <w:rsid w:val="00C21623"/>
    <w:rsid w:val="00C24FBD"/>
    <w:rsid w:val="00C3449E"/>
    <w:rsid w:val="00C473BA"/>
    <w:rsid w:val="00C611ED"/>
    <w:rsid w:val="00C6490A"/>
    <w:rsid w:val="00C64FE1"/>
    <w:rsid w:val="00C67CC1"/>
    <w:rsid w:val="00C74296"/>
    <w:rsid w:val="00C81984"/>
    <w:rsid w:val="00C8345E"/>
    <w:rsid w:val="00C90C5B"/>
    <w:rsid w:val="00CA514E"/>
    <w:rsid w:val="00CA5F7C"/>
    <w:rsid w:val="00D51067"/>
    <w:rsid w:val="00D75657"/>
    <w:rsid w:val="00D960AD"/>
    <w:rsid w:val="00DA0E0E"/>
    <w:rsid w:val="00DB0C39"/>
    <w:rsid w:val="00DB7679"/>
    <w:rsid w:val="00DF1702"/>
    <w:rsid w:val="00DF4DD8"/>
    <w:rsid w:val="00DF668E"/>
    <w:rsid w:val="00E04826"/>
    <w:rsid w:val="00E14D2B"/>
    <w:rsid w:val="00E20DBA"/>
    <w:rsid w:val="00E6308D"/>
    <w:rsid w:val="00E6524A"/>
    <w:rsid w:val="00E660D6"/>
    <w:rsid w:val="00E771AB"/>
    <w:rsid w:val="00E84B24"/>
    <w:rsid w:val="00EA6C7E"/>
    <w:rsid w:val="00EA796F"/>
    <w:rsid w:val="00EB077B"/>
    <w:rsid w:val="00EB27E6"/>
    <w:rsid w:val="00EC50B9"/>
    <w:rsid w:val="00EC66DC"/>
    <w:rsid w:val="00ED26A0"/>
    <w:rsid w:val="00F15CBA"/>
    <w:rsid w:val="00F1727A"/>
    <w:rsid w:val="00F31503"/>
    <w:rsid w:val="00F34764"/>
    <w:rsid w:val="00F54E3C"/>
    <w:rsid w:val="00F7225E"/>
    <w:rsid w:val="00F76686"/>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14</Pages>
  <Words>3764</Words>
  <Characters>21460</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CAT/C/BIH/CO/2-5</vt:lpstr>
    </vt:vector>
  </TitlesOfParts>
  <Company>CSD</Company>
  <LinksUpToDate>false</LinksUpToDate>
  <CharactersWithSpaces>25174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CAT/C/BIH/CO/2-5</dc:title>
  <dc:subject>BORAN/B.HAMIDAN</dc:subject>
  <dc:creator>Gamal</dc:creator>
  <cp:keywords/>
  <dc:description>Riz</dc:description>
  <cp:lastModifiedBy>Gamal</cp:lastModifiedBy>
  <cp:revision>2</cp:revision>
  <cp:lastPrinted>2011-02-28T14:51:00Z</cp:lastPrinted>
  <dcterms:created xsi:type="dcterms:W3CDTF">2011-02-28T14:51:00Z</dcterms:created>
  <dcterms:modified xsi:type="dcterms:W3CDTF">2011-02-28T14:51:00Z</dcterms:modified>
</cp:coreProperties>
</file>