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07" w:rsidRDefault="00E10307" w:rsidP="00212F9F">
      <w:pPr>
        <w:framePr w:w="4025" w:h="2075" w:hSpace="180" w:wrap="around" w:vAnchor="text" w:hAnchor="page" w:x="852" w:y="-2535" w:anchorLock="1"/>
        <w:bidi w:val="0"/>
        <w:spacing w:before="0" w:after="0"/>
        <w:jc w:val="left"/>
        <w:rPr>
          <w:rFonts w:cs="Times New Roman"/>
          <w:szCs w:val="22"/>
          <w:lang w:eastAsia="en-US"/>
        </w:rPr>
      </w:pPr>
      <w:r>
        <w:rPr>
          <w:rFonts w:cs="Times New Roman"/>
          <w:szCs w:val="22"/>
          <w:lang w:eastAsia="en-US"/>
        </w:rPr>
        <w:t>Distr.</w:t>
      </w:r>
    </w:p>
    <w:p w:rsidR="00E10307" w:rsidRDefault="00E10307" w:rsidP="00212F9F">
      <w:pPr>
        <w:framePr w:w="4025" w:h="2075" w:hSpace="180" w:wrap="around" w:vAnchor="text" w:hAnchor="page" w:x="852" w:y="-2535" w:anchorLock="1"/>
        <w:bidi w:val="0"/>
        <w:spacing w:before="0"/>
        <w:jc w:val="left"/>
        <w:rPr>
          <w:rFonts w:cs="Times New Roman"/>
          <w:szCs w:val="22"/>
          <w:lang w:eastAsia="en-US"/>
        </w:rPr>
      </w:pPr>
      <w:r>
        <w:rPr>
          <w:rFonts w:cs="Times New Roman"/>
          <w:szCs w:val="22"/>
          <w:lang w:eastAsia="en-US"/>
        </w:rPr>
        <w:t>GENERAL</w:t>
      </w:r>
    </w:p>
    <w:p w:rsidR="00E10307" w:rsidRDefault="00E10307" w:rsidP="00212F9F">
      <w:pPr>
        <w:framePr w:w="4025" w:h="2075" w:hSpace="180" w:wrap="around" w:vAnchor="text" w:hAnchor="page" w:x="852" w:y="-2535" w:anchorLock="1"/>
        <w:bidi w:val="0"/>
        <w:spacing w:before="0" w:after="0"/>
        <w:jc w:val="left"/>
      </w:pPr>
      <w:r>
        <w:fldChar w:fldCharType="begin"/>
      </w:r>
      <w:r>
        <w:rPr>
          <w:szCs w:val="22"/>
          <w:lang w:eastAsia="en-US"/>
        </w:rPr>
        <w:instrText xml:space="preserve"> FILLIN  \* MERGEFORMAT </w:instrText>
      </w:r>
      <w:r>
        <w:fldChar w:fldCharType="separate"/>
      </w:r>
      <w:r w:rsidR="00642757">
        <w:rPr>
          <w:szCs w:val="22"/>
          <w:lang w:eastAsia="en-US"/>
        </w:rPr>
        <w:t>CAT/C/NZL/CO/5</w:t>
      </w:r>
      <w:r>
        <w:fldChar w:fldCharType="end"/>
      </w:r>
    </w:p>
    <w:p w:rsidR="00E10307" w:rsidRDefault="00E10307" w:rsidP="00212F9F">
      <w:pPr>
        <w:framePr w:w="4025" w:h="2075" w:hSpace="180" w:wrap="around" w:vAnchor="text" w:hAnchor="page" w:x="852" w:y="-2535"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642757">
        <w:rPr>
          <w:szCs w:val="22"/>
          <w:lang w:eastAsia="en-US"/>
        </w:rPr>
        <w:t>4 June 2009</w:t>
      </w:r>
      <w:r>
        <w:fldChar w:fldCharType="end"/>
      </w:r>
    </w:p>
    <w:p w:rsidR="00E10307" w:rsidRDefault="00E10307" w:rsidP="00212F9F">
      <w:pPr>
        <w:framePr w:w="4025" w:h="2075" w:hSpace="180" w:wrap="around" w:vAnchor="text" w:hAnchor="page" w:x="852" w:y="-2535" w:anchorLock="1"/>
        <w:bidi w:val="0"/>
        <w:spacing w:after="0"/>
        <w:jc w:val="left"/>
        <w:rPr>
          <w:rFonts w:cs="Times New Roman"/>
          <w:szCs w:val="22"/>
          <w:lang w:eastAsia="en-US"/>
        </w:rPr>
      </w:pPr>
      <w:r>
        <w:rPr>
          <w:rFonts w:cs="Times New Roman"/>
          <w:szCs w:val="22"/>
          <w:lang w:eastAsia="en-US"/>
        </w:rPr>
        <w:t>ARABIC</w:t>
      </w:r>
    </w:p>
    <w:p w:rsidR="00E10307" w:rsidRDefault="00E10307" w:rsidP="00212F9F">
      <w:pPr>
        <w:framePr w:w="4025" w:h="2075" w:hSpace="180" w:wrap="around" w:vAnchor="text" w:hAnchor="page" w:x="852" w:y="-2535" w:anchorLock="1"/>
        <w:bidi w:val="0"/>
        <w:spacing w:before="0" w:after="0"/>
        <w:jc w:val="left"/>
        <w:rPr>
          <w:rFonts w:cs="Times New Roman"/>
          <w:szCs w:val="22"/>
          <w:rtl/>
          <w:lang w:eastAsia="en-US"/>
        </w:rPr>
      </w:pPr>
      <w:r>
        <w:rPr>
          <w:rFonts w:cs="Times New Roman"/>
          <w:szCs w:val="22"/>
          <w:lang w:eastAsia="en-US"/>
        </w:rPr>
        <w:t>Original: ENGLISH</w:t>
      </w:r>
    </w:p>
    <w:p w:rsidR="00BF3134" w:rsidRPr="00BF3134" w:rsidRDefault="00BF3134" w:rsidP="00BF3134">
      <w:pPr>
        <w:spacing w:before="0" w:after="0" w:line="100" w:lineRule="exact"/>
        <w:rPr>
          <w:rFonts w:hint="cs"/>
          <w:sz w:val="4"/>
          <w:szCs w:val="12"/>
          <w:rtl/>
          <w:lang w:eastAsia="en-US"/>
        </w:rPr>
      </w:pPr>
    </w:p>
    <w:p w:rsidR="00E10307" w:rsidRPr="00BF3134" w:rsidRDefault="00E10307" w:rsidP="00CC29B8">
      <w:pPr>
        <w:spacing w:before="0" w:after="0" w:line="380" w:lineRule="exact"/>
        <w:rPr>
          <w:sz w:val="28"/>
          <w:szCs w:val="36"/>
          <w:rtl/>
          <w:lang w:eastAsia="en-US"/>
        </w:rPr>
      </w:pPr>
      <w:r w:rsidRPr="00BF3134">
        <w:rPr>
          <w:sz w:val="28"/>
          <w:szCs w:val="36"/>
          <w:rtl/>
          <w:lang w:eastAsia="en-US"/>
        </w:rPr>
        <w:t>ل</w:t>
      </w:r>
      <w:r w:rsidRPr="00BF3134">
        <w:rPr>
          <w:rFonts w:hint="cs"/>
          <w:sz w:val="28"/>
          <w:szCs w:val="36"/>
          <w:rtl/>
          <w:lang w:eastAsia="en-US"/>
        </w:rPr>
        <w:t>جن</w:t>
      </w:r>
      <w:r w:rsidRPr="00BF3134">
        <w:rPr>
          <w:sz w:val="28"/>
          <w:szCs w:val="36"/>
          <w:rtl/>
          <w:lang w:eastAsia="en-US"/>
        </w:rPr>
        <w:t xml:space="preserve">ة </w:t>
      </w:r>
      <w:r w:rsidRPr="00BF3134">
        <w:rPr>
          <w:rFonts w:hint="cs"/>
          <w:sz w:val="28"/>
          <w:szCs w:val="36"/>
          <w:rtl/>
          <w:lang w:eastAsia="en-US"/>
        </w:rPr>
        <w:t>مناهضة التعذيب</w:t>
      </w:r>
    </w:p>
    <w:p w:rsidR="00CC29B8" w:rsidRPr="00CC29B8" w:rsidRDefault="00CC29B8" w:rsidP="00CC29B8">
      <w:pPr>
        <w:spacing w:before="0" w:after="0" w:line="380" w:lineRule="exact"/>
        <w:rPr>
          <w:rFonts w:hint="cs"/>
          <w:rtl/>
        </w:rPr>
      </w:pPr>
      <w:r w:rsidRPr="00CC29B8">
        <w:rPr>
          <w:rFonts w:hint="cs"/>
          <w:rtl/>
        </w:rPr>
        <w:t>الدورة الثانية والأربعون</w:t>
      </w:r>
    </w:p>
    <w:p w:rsidR="00CC29B8" w:rsidRPr="00CC29B8" w:rsidRDefault="00CC29B8" w:rsidP="00CC29B8">
      <w:pPr>
        <w:spacing w:before="0" w:line="380" w:lineRule="exact"/>
        <w:rPr>
          <w:rFonts w:hint="cs"/>
          <w:rtl/>
        </w:rPr>
      </w:pPr>
      <w:r w:rsidRPr="00CC29B8">
        <w:rPr>
          <w:rFonts w:hint="cs"/>
          <w:rtl/>
        </w:rPr>
        <w:t>جنيف، 27 نيسان/أبريل - 15 أيار/مايو 2009</w:t>
      </w:r>
    </w:p>
    <w:p w:rsidR="00CC29B8" w:rsidRPr="00CC29B8" w:rsidRDefault="00CC29B8" w:rsidP="00CC29B8">
      <w:pPr>
        <w:spacing w:before="600" w:line="380" w:lineRule="exact"/>
        <w:jc w:val="center"/>
        <w:rPr>
          <w:rFonts w:hint="cs"/>
          <w:b/>
          <w:bCs/>
          <w:sz w:val="28"/>
          <w:szCs w:val="36"/>
          <w:rtl/>
          <w:lang w:eastAsia="en-US"/>
        </w:rPr>
      </w:pPr>
      <w:r w:rsidRPr="00CC29B8">
        <w:rPr>
          <w:rFonts w:hint="cs"/>
          <w:b/>
          <w:bCs/>
          <w:sz w:val="28"/>
          <w:szCs w:val="36"/>
          <w:rtl/>
          <w:lang w:eastAsia="en-US"/>
        </w:rPr>
        <w:t>النظر في التقارير المقدمة من الدول الأطراف بموجب</w:t>
      </w:r>
      <w:r w:rsidRPr="00CC29B8">
        <w:rPr>
          <w:b/>
          <w:bCs/>
          <w:sz w:val="28"/>
          <w:szCs w:val="36"/>
          <w:rtl/>
          <w:lang w:eastAsia="en-US"/>
        </w:rPr>
        <w:br/>
      </w:r>
      <w:r w:rsidRPr="00CC29B8">
        <w:rPr>
          <w:rFonts w:hint="cs"/>
          <w:b/>
          <w:bCs/>
          <w:sz w:val="28"/>
          <w:szCs w:val="36"/>
          <w:rtl/>
          <w:lang w:eastAsia="en-US"/>
        </w:rPr>
        <w:t>المادة 19 من الاتفاقية</w:t>
      </w:r>
    </w:p>
    <w:p w:rsidR="00CC29B8" w:rsidRPr="00CC29B8" w:rsidRDefault="00CC29B8" w:rsidP="00CC29B8">
      <w:pPr>
        <w:spacing w:before="0" w:line="380" w:lineRule="exact"/>
        <w:jc w:val="center"/>
        <w:rPr>
          <w:rFonts w:hint="cs"/>
          <w:b/>
          <w:bCs/>
          <w:rtl/>
          <w:lang w:eastAsia="en-US"/>
        </w:rPr>
      </w:pPr>
      <w:r w:rsidRPr="00CC29B8">
        <w:rPr>
          <w:rFonts w:hint="cs"/>
          <w:b/>
          <w:bCs/>
          <w:rtl/>
          <w:lang w:eastAsia="en-US"/>
        </w:rPr>
        <w:t>الملاحظات الختامية للجنة مناهضة التعذيب</w:t>
      </w:r>
    </w:p>
    <w:p w:rsidR="00CC29B8" w:rsidRPr="00CC29B8" w:rsidRDefault="00CC29B8" w:rsidP="00CC29B8">
      <w:pPr>
        <w:spacing w:before="0" w:line="380" w:lineRule="exact"/>
        <w:jc w:val="center"/>
        <w:rPr>
          <w:rFonts w:hint="cs"/>
          <w:b/>
          <w:bCs/>
          <w:sz w:val="28"/>
          <w:szCs w:val="36"/>
          <w:rtl/>
          <w:lang w:eastAsia="en-US"/>
        </w:rPr>
      </w:pPr>
      <w:r w:rsidRPr="00CC29B8">
        <w:rPr>
          <w:rFonts w:hint="cs"/>
          <w:b/>
          <w:bCs/>
          <w:sz w:val="28"/>
          <w:szCs w:val="36"/>
          <w:rtl/>
          <w:lang w:eastAsia="en-US"/>
        </w:rPr>
        <w:t>نيوزيلندا</w:t>
      </w:r>
    </w:p>
    <w:p w:rsidR="00CC29B8" w:rsidRPr="004246FB" w:rsidRDefault="00CC29B8" w:rsidP="00CC29B8">
      <w:pPr>
        <w:spacing w:before="0" w:line="380" w:lineRule="exact"/>
        <w:rPr>
          <w:rFonts w:hint="cs"/>
          <w:spacing w:val="0"/>
          <w:rtl/>
          <w:lang w:eastAsia="en-US"/>
        </w:rPr>
      </w:pPr>
      <w:r w:rsidRPr="004246FB">
        <w:rPr>
          <w:rFonts w:hint="cs"/>
          <w:spacing w:val="0"/>
          <w:rtl/>
          <w:lang w:eastAsia="en-US"/>
        </w:rPr>
        <w:t>1-</w:t>
      </w:r>
      <w:r w:rsidRPr="004246FB">
        <w:rPr>
          <w:rFonts w:hint="cs"/>
          <w:spacing w:val="0"/>
          <w:rtl/>
          <w:lang w:eastAsia="en-US"/>
        </w:rPr>
        <w:tab/>
        <w:t xml:space="preserve">نظرت لجنة مناهضة التعذيب في التقرير الدوري الخامس لنيوزلندا </w:t>
      </w:r>
      <w:r w:rsidRPr="004246FB">
        <w:rPr>
          <w:spacing w:val="0"/>
          <w:lang w:eastAsia="en-US"/>
        </w:rPr>
        <w:t>(CAT/C/NLZ/5)</w:t>
      </w:r>
      <w:r w:rsidRPr="004246FB">
        <w:rPr>
          <w:rFonts w:hint="cs"/>
          <w:spacing w:val="0"/>
          <w:rtl/>
          <w:lang w:eastAsia="en-US"/>
        </w:rPr>
        <w:t xml:space="preserve"> في جلستيها 875 و876 </w:t>
      </w:r>
      <w:r w:rsidRPr="004246FB">
        <w:rPr>
          <w:spacing w:val="0"/>
          <w:lang w:eastAsia="en-US"/>
        </w:rPr>
        <w:t>CAT/C/SR.875)</w:t>
      </w:r>
      <w:r w:rsidRPr="004246FB">
        <w:rPr>
          <w:rFonts w:hint="cs"/>
          <w:spacing w:val="0"/>
          <w:rtl/>
          <w:lang w:eastAsia="en-US"/>
        </w:rPr>
        <w:t xml:space="preserve"> و</w:t>
      </w:r>
      <w:r w:rsidR="00DE0A0A" w:rsidRPr="004246FB">
        <w:rPr>
          <w:spacing w:val="0"/>
          <w:lang w:eastAsia="en-US"/>
        </w:rPr>
        <w:t>SR.</w:t>
      </w:r>
      <w:r w:rsidRPr="004246FB">
        <w:rPr>
          <w:spacing w:val="0"/>
          <w:lang w:eastAsia="en-US"/>
        </w:rPr>
        <w:t>876</w:t>
      </w:r>
      <w:r w:rsidRPr="004246FB">
        <w:rPr>
          <w:rFonts w:hint="cs"/>
          <w:spacing w:val="0"/>
          <w:rtl/>
          <w:lang w:eastAsia="en-US"/>
        </w:rPr>
        <w:t xml:space="preserve">) المعقودتين في 1 و4 أيار/مايو 2009، واعتمدت في جلستها 892 </w:t>
      </w:r>
      <w:r w:rsidRPr="004246FB">
        <w:rPr>
          <w:spacing w:val="0"/>
          <w:lang w:eastAsia="en-US"/>
        </w:rPr>
        <w:t>(CAT/C/SR.892)</w:t>
      </w:r>
      <w:r w:rsidRPr="004246FB">
        <w:rPr>
          <w:rFonts w:hint="cs"/>
          <w:spacing w:val="0"/>
          <w:rtl/>
          <w:lang w:eastAsia="en-US"/>
        </w:rPr>
        <w:t>، الملاحظات الختامية التالية.</w:t>
      </w:r>
    </w:p>
    <w:p w:rsidR="00CC29B8" w:rsidRPr="00CC29B8" w:rsidRDefault="00CC29B8" w:rsidP="00CC29B8">
      <w:pPr>
        <w:spacing w:before="0" w:line="380" w:lineRule="exact"/>
        <w:jc w:val="center"/>
        <w:rPr>
          <w:rFonts w:hint="cs"/>
          <w:b/>
          <w:bCs/>
          <w:rtl/>
          <w:lang w:eastAsia="en-US"/>
        </w:rPr>
      </w:pPr>
      <w:r w:rsidRPr="00CC29B8">
        <w:rPr>
          <w:rFonts w:hint="cs"/>
          <w:b/>
          <w:bCs/>
          <w:rtl/>
          <w:lang w:eastAsia="en-US"/>
        </w:rPr>
        <w:t xml:space="preserve">ألف </w:t>
      </w:r>
      <w:r>
        <w:rPr>
          <w:rFonts w:hint="cs"/>
          <w:b/>
          <w:bCs/>
          <w:rtl/>
          <w:lang w:eastAsia="en-US"/>
        </w:rPr>
        <w:t>-</w:t>
      </w:r>
      <w:r w:rsidRPr="00CC29B8">
        <w:rPr>
          <w:rFonts w:hint="cs"/>
          <w:b/>
          <w:bCs/>
          <w:rtl/>
          <w:lang w:eastAsia="en-US"/>
        </w:rPr>
        <w:t xml:space="preserve"> مقدمة</w:t>
      </w:r>
    </w:p>
    <w:p w:rsidR="00CC29B8" w:rsidRPr="00CC29B8" w:rsidRDefault="00CC29B8" w:rsidP="00DE0A0A">
      <w:pPr>
        <w:spacing w:before="0" w:line="380" w:lineRule="exact"/>
        <w:rPr>
          <w:rFonts w:hint="cs"/>
          <w:spacing w:val="4"/>
          <w:rtl/>
          <w:lang w:eastAsia="en-US"/>
        </w:rPr>
      </w:pPr>
      <w:r w:rsidRPr="00CC29B8">
        <w:rPr>
          <w:rFonts w:hint="cs"/>
          <w:spacing w:val="4"/>
          <w:rtl/>
          <w:lang w:eastAsia="en-US"/>
        </w:rPr>
        <w:t>2-</w:t>
      </w:r>
      <w:r w:rsidRPr="00CC29B8">
        <w:rPr>
          <w:rFonts w:hint="cs"/>
          <w:spacing w:val="4"/>
          <w:rtl/>
          <w:lang w:eastAsia="en-US"/>
        </w:rPr>
        <w:tab/>
        <w:t xml:space="preserve">ترحّب اللجنة بتقديم نيوزيلندا تقريرها الدوري الخامس </w:t>
      </w:r>
      <w:r w:rsidR="00DE0A0A">
        <w:rPr>
          <w:rFonts w:hint="cs"/>
          <w:spacing w:val="4"/>
          <w:rtl/>
          <w:lang w:eastAsia="en-US"/>
        </w:rPr>
        <w:t>وب</w:t>
      </w:r>
      <w:r w:rsidRPr="00CC29B8">
        <w:rPr>
          <w:rFonts w:hint="cs"/>
          <w:spacing w:val="4"/>
          <w:rtl/>
          <w:lang w:eastAsia="en-US"/>
        </w:rPr>
        <w:t>الردود على قائمة المسائل</w:t>
      </w:r>
      <w:r w:rsidR="00DE0A0A">
        <w:rPr>
          <w:rFonts w:hint="cs"/>
          <w:spacing w:val="4"/>
          <w:rtl/>
          <w:lang w:eastAsia="en-US"/>
        </w:rPr>
        <w:t>،</w:t>
      </w:r>
      <w:r w:rsidRPr="00CC29B8">
        <w:rPr>
          <w:rFonts w:hint="cs"/>
          <w:spacing w:val="4"/>
          <w:rtl/>
          <w:lang w:eastAsia="en-US"/>
        </w:rPr>
        <w:t xml:space="preserve"> </w:t>
      </w:r>
      <w:r w:rsidR="00DE0A0A">
        <w:rPr>
          <w:rFonts w:hint="cs"/>
          <w:spacing w:val="4"/>
          <w:rtl/>
          <w:lang w:eastAsia="en-US"/>
        </w:rPr>
        <w:t xml:space="preserve">وهي ردود </w:t>
      </w:r>
      <w:r w:rsidRPr="00CC29B8">
        <w:rPr>
          <w:rFonts w:hint="cs"/>
          <w:spacing w:val="4"/>
          <w:rtl/>
          <w:lang w:eastAsia="en-US"/>
        </w:rPr>
        <w:t>وفّرت معلومات إضافية بشأن التدابير التشريعية والإدارية والقضائية والتدابير الأخرى التي اتخذتها الدولة الطرف تنفيذاً للاتفاقية. وت</w:t>
      </w:r>
      <w:r w:rsidR="00DE0A0A">
        <w:rPr>
          <w:rFonts w:hint="cs"/>
          <w:spacing w:val="4"/>
          <w:rtl/>
          <w:lang w:eastAsia="en-US"/>
        </w:rPr>
        <w:t xml:space="preserve">رحب </w:t>
      </w:r>
      <w:r w:rsidRPr="00CC29B8">
        <w:rPr>
          <w:rFonts w:hint="cs"/>
          <w:spacing w:val="4"/>
          <w:rtl/>
          <w:lang w:eastAsia="en-US"/>
        </w:rPr>
        <w:t xml:space="preserve">اللجنة أيضاً </w:t>
      </w:r>
      <w:r w:rsidR="00DE0A0A">
        <w:rPr>
          <w:rFonts w:hint="cs"/>
          <w:spacing w:val="4"/>
          <w:rtl/>
          <w:lang w:eastAsia="en-US"/>
        </w:rPr>
        <w:t xml:space="preserve">بالحوار </w:t>
      </w:r>
      <w:r w:rsidRPr="00CC29B8">
        <w:rPr>
          <w:rFonts w:hint="cs"/>
          <w:spacing w:val="4"/>
          <w:rtl/>
          <w:lang w:eastAsia="en-US"/>
        </w:rPr>
        <w:t>البنّاء الذي أجري مع وفد كفء ومتعدد القطاعات.</w:t>
      </w:r>
    </w:p>
    <w:p w:rsidR="00CC29B8" w:rsidRPr="00CC29B8" w:rsidRDefault="00CC29B8" w:rsidP="00CC29B8">
      <w:pPr>
        <w:spacing w:before="0" w:line="380" w:lineRule="exact"/>
        <w:jc w:val="center"/>
        <w:rPr>
          <w:rFonts w:hint="cs"/>
          <w:b/>
          <w:bCs/>
          <w:rtl/>
          <w:lang w:eastAsia="en-US"/>
        </w:rPr>
      </w:pPr>
      <w:r w:rsidRPr="00CC29B8">
        <w:rPr>
          <w:rFonts w:hint="cs"/>
          <w:b/>
          <w:bCs/>
          <w:rtl/>
          <w:lang w:eastAsia="en-US"/>
        </w:rPr>
        <w:t xml:space="preserve">باء </w:t>
      </w:r>
      <w:r>
        <w:rPr>
          <w:rFonts w:hint="cs"/>
          <w:b/>
          <w:bCs/>
          <w:rtl/>
          <w:lang w:eastAsia="en-US"/>
        </w:rPr>
        <w:t xml:space="preserve">- </w:t>
      </w:r>
      <w:r w:rsidRPr="00CC29B8">
        <w:rPr>
          <w:rFonts w:hint="cs"/>
          <w:b/>
          <w:bCs/>
          <w:rtl/>
          <w:lang w:eastAsia="en-US"/>
        </w:rPr>
        <w:t>الجوانب الإيجابية</w:t>
      </w:r>
    </w:p>
    <w:p w:rsidR="00CC29B8" w:rsidRPr="00CC29B8" w:rsidRDefault="00CC29B8" w:rsidP="00312565">
      <w:pPr>
        <w:spacing w:before="0" w:after="120" w:line="380" w:lineRule="exact"/>
        <w:rPr>
          <w:rFonts w:hint="cs"/>
          <w:rtl/>
          <w:lang w:eastAsia="en-US"/>
        </w:rPr>
      </w:pPr>
      <w:r w:rsidRPr="00CC29B8">
        <w:rPr>
          <w:rFonts w:hint="cs"/>
          <w:rtl/>
          <w:lang w:eastAsia="en-US"/>
        </w:rPr>
        <w:t>3-</w:t>
      </w:r>
      <w:r w:rsidRPr="00CC29B8">
        <w:rPr>
          <w:rFonts w:hint="cs"/>
          <w:rtl/>
          <w:lang w:eastAsia="en-US"/>
        </w:rPr>
        <w:tab/>
        <w:t>تلاحظ اللجنة، مع التقدير، ما يلي:</w:t>
      </w:r>
    </w:p>
    <w:p w:rsidR="00CC29B8" w:rsidRPr="00CC29B8" w:rsidRDefault="00CC29B8" w:rsidP="00312565">
      <w:pPr>
        <w:spacing w:before="0" w:after="120" w:line="380" w:lineRule="exact"/>
        <w:rPr>
          <w:rFonts w:hint="cs"/>
          <w:rtl/>
          <w:lang w:eastAsia="en-US"/>
        </w:rPr>
      </w:pPr>
      <w:r w:rsidRPr="00CC29B8">
        <w:rPr>
          <w:rFonts w:hint="cs"/>
          <w:rtl/>
          <w:lang w:eastAsia="en-US"/>
        </w:rPr>
        <w:tab/>
        <w:t>(أ)</w:t>
      </w:r>
      <w:r w:rsidRPr="00CC29B8">
        <w:rPr>
          <w:rFonts w:hint="cs"/>
          <w:rtl/>
          <w:lang w:eastAsia="en-US"/>
        </w:rPr>
        <w:tab/>
        <w:t>التصديق على البروتوكول الاختياري للاتفاقية في 14 آذار/مارس 2007 وإنشاء آليات وقائية وطنية تنسِّق بينها اللجنة النيوزيلندية لحقوق الإنسان؛</w:t>
      </w:r>
    </w:p>
    <w:p w:rsidR="00CC29B8" w:rsidRPr="00CC29B8" w:rsidRDefault="00CC29B8" w:rsidP="00312565">
      <w:pPr>
        <w:spacing w:before="0" w:after="120" w:line="380" w:lineRule="exact"/>
        <w:rPr>
          <w:rFonts w:hint="cs"/>
          <w:rtl/>
          <w:lang w:eastAsia="en-US"/>
        </w:rPr>
      </w:pPr>
      <w:r w:rsidRPr="00CC29B8">
        <w:rPr>
          <w:rFonts w:hint="cs"/>
          <w:rtl/>
          <w:lang w:eastAsia="en-US"/>
        </w:rPr>
        <w:tab/>
        <w:t>(ب)</w:t>
      </w:r>
      <w:r w:rsidRPr="00CC29B8">
        <w:rPr>
          <w:rFonts w:hint="cs"/>
          <w:rtl/>
          <w:lang w:eastAsia="en-US"/>
        </w:rPr>
        <w:tab/>
        <w:t>التصديق على اتفاقية الأشخاص ذوي الإعاقة في 25 أيلول/سبتمبر 2008؛</w:t>
      </w:r>
    </w:p>
    <w:p w:rsidR="00CC29B8" w:rsidRPr="00CC29B8" w:rsidRDefault="00CC29B8" w:rsidP="00DE0A0A">
      <w:pPr>
        <w:spacing w:before="0" w:after="120" w:line="380" w:lineRule="exact"/>
        <w:rPr>
          <w:rFonts w:hint="cs"/>
          <w:rtl/>
          <w:lang w:eastAsia="en-US"/>
        </w:rPr>
      </w:pPr>
      <w:r w:rsidRPr="00CC29B8">
        <w:rPr>
          <w:rFonts w:hint="cs"/>
          <w:rtl/>
          <w:lang w:eastAsia="en-US"/>
        </w:rPr>
        <w:tab/>
        <w:t>(ج)</w:t>
      </w:r>
      <w:r w:rsidRPr="00CC29B8">
        <w:rPr>
          <w:rFonts w:hint="cs"/>
          <w:rtl/>
          <w:lang w:eastAsia="en-US"/>
        </w:rPr>
        <w:tab/>
        <w:t xml:space="preserve">الانضمام إلى الاتفاقية </w:t>
      </w:r>
      <w:r w:rsidR="00DE0A0A">
        <w:rPr>
          <w:rFonts w:hint="cs"/>
          <w:rtl/>
          <w:lang w:eastAsia="en-US"/>
        </w:rPr>
        <w:t>المتعلقة</w:t>
      </w:r>
      <w:r w:rsidRPr="00CC29B8">
        <w:rPr>
          <w:rFonts w:hint="cs"/>
          <w:rtl/>
          <w:lang w:eastAsia="en-US"/>
        </w:rPr>
        <w:t xml:space="preserve"> </w:t>
      </w:r>
      <w:r w:rsidR="00DE0A0A">
        <w:rPr>
          <w:rFonts w:hint="cs"/>
          <w:rtl/>
          <w:lang w:eastAsia="en-US"/>
        </w:rPr>
        <w:t>ب</w:t>
      </w:r>
      <w:r w:rsidRPr="00CC29B8">
        <w:rPr>
          <w:rFonts w:hint="cs"/>
          <w:rtl/>
          <w:lang w:eastAsia="en-US"/>
        </w:rPr>
        <w:t>خفض حالات انعدام الجنسية في 20 أيلول/سبتمبر 2006؛</w:t>
      </w:r>
    </w:p>
    <w:p w:rsidR="00CC29B8" w:rsidRPr="00CC29B8" w:rsidRDefault="00CC29B8" w:rsidP="00312565">
      <w:pPr>
        <w:spacing w:before="0" w:after="120" w:line="380" w:lineRule="exact"/>
        <w:rPr>
          <w:rFonts w:hint="cs"/>
          <w:rtl/>
          <w:lang w:eastAsia="en-US"/>
        </w:rPr>
      </w:pPr>
      <w:r w:rsidRPr="00CC29B8">
        <w:rPr>
          <w:rFonts w:hint="cs"/>
          <w:rtl/>
          <w:lang w:eastAsia="en-US"/>
        </w:rPr>
        <w:tab/>
        <w:t>(د)</w:t>
      </w:r>
      <w:r w:rsidRPr="00CC29B8">
        <w:rPr>
          <w:rFonts w:hint="cs"/>
          <w:rtl/>
          <w:lang w:eastAsia="en-US"/>
        </w:rPr>
        <w:tab/>
        <w:t>التصديق على نظام روما الأساسي للمحكمة الجنائية الدولية في 7 أيلول/سبتمبر 2000؛</w:t>
      </w:r>
    </w:p>
    <w:p w:rsidR="00CC29B8" w:rsidRPr="00CC29B8" w:rsidRDefault="00CC29B8" w:rsidP="00312565">
      <w:pPr>
        <w:spacing w:before="0" w:after="120" w:line="380" w:lineRule="exact"/>
        <w:rPr>
          <w:rFonts w:hint="cs"/>
          <w:rtl/>
          <w:lang w:eastAsia="en-US"/>
        </w:rPr>
      </w:pPr>
      <w:r w:rsidRPr="00CC29B8">
        <w:rPr>
          <w:rFonts w:hint="cs"/>
          <w:rtl/>
          <w:lang w:eastAsia="en-US"/>
        </w:rPr>
        <w:tab/>
        <w:t>(ﻫ)</w:t>
      </w:r>
      <w:r w:rsidRPr="00CC29B8">
        <w:rPr>
          <w:rFonts w:hint="cs"/>
          <w:rtl/>
          <w:lang w:eastAsia="en-US"/>
        </w:rPr>
        <w:tab/>
        <w:t xml:space="preserve">مراجعات التشريعات التي تنظم عمل الشرطة والإجراءات التأديبية، وهي مراجعات أفضت إلى إدخال تحسينات على القانون في هذين المجالين، </w:t>
      </w:r>
      <w:r w:rsidR="00C87ED5">
        <w:rPr>
          <w:rFonts w:hint="cs"/>
          <w:rtl/>
          <w:lang w:eastAsia="en-US"/>
        </w:rPr>
        <w:t>لا </w:t>
      </w:r>
      <w:proofErr w:type="spellStart"/>
      <w:r w:rsidR="00C87ED5">
        <w:rPr>
          <w:rFonts w:hint="cs"/>
          <w:rtl/>
          <w:lang w:eastAsia="en-US"/>
        </w:rPr>
        <w:t>سيما</w:t>
      </w:r>
      <w:proofErr w:type="spellEnd"/>
      <w:r w:rsidRPr="00CC29B8">
        <w:rPr>
          <w:rFonts w:hint="cs"/>
          <w:rtl/>
          <w:lang w:eastAsia="en-US"/>
        </w:rPr>
        <w:t xml:space="preserve"> من خلال قانون عمل الشرطة الصادر في عام 2008؛</w:t>
      </w:r>
    </w:p>
    <w:p w:rsidR="00CC29B8" w:rsidRPr="00CC29B8" w:rsidRDefault="00CC29B8" w:rsidP="00245861">
      <w:pPr>
        <w:spacing w:before="0" w:after="120" w:line="380" w:lineRule="exact"/>
        <w:rPr>
          <w:rFonts w:hint="cs"/>
          <w:rtl/>
          <w:lang w:eastAsia="en-US"/>
        </w:rPr>
      </w:pPr>
      <w:r w:rsidRPr="00CC29B8">
        <w:rPr>
          <w:rFonts w:hint="cs"/>
          <w:rtl/>
          <w:lang w:eastAsia="en-US"/>
        </w:rPr>
        <w:tab/>
        <w:t>(و)</w:t>
      </w:r>
      <w:r w:rsidRPr="00CC29B8">
        <w:rPr>
          <w:rFonts w:hint="cs"/>
          <w:rtl/>
          <w:lang w:eastAsia="en-US"/>
        </w:rPr>
        <w:tab/>
        <w:t>سنّ القانون المعدِّل للقانون الجنائي الصادر في عام 2007 الذي يلغي الدفاع القانوني عن استخدام القوّة المعقولة "على سبيل التأديب" في المادة 59 من القانون الجنائي الصادر في عام 1961 ويحظر</w:t>
      </w:r>
      <w:r w:rsidR="00245861">
        <w:rPr>
          <w:rFonts w:hint="eastAsia"/>
          <w:rtl/>
          <w:lang w:eastAsia="en-US"/>
        </w:rPr>
        <w:t> </w:t>
      </w:r>
      <w:r w:rsidRPr="00CC29B8">
        <w:rPr>
          <w:rFonts w:hint="cs"/>
          <w:rtl/>
          <w:lang w:eastAsia="en-US"/>
        </w:rPr>
        <w:t>العقوبة البدنية؛</w:t>
      </w:r>
    </w:p>
    <w:p w:rsidR="00CC29B8" w:rsidRPr="00CC29B8" w:rsidRDefault="00CC29B8" w:rsidP="00CC29B8">
      <w:pPr>
        <w:spacing w:before="0" w:line="380" w:lineRule="exact"/>
        <w:rPr>
          <w:rFonts w:hint="cs"/>
          <w:rtl/>
          <w:lang w:eastAsia="en-US"/>
        </w:rPr>
      </w:pPr>
      <w:r w:rsidRPr="00CC29B8">
        <w:rPr>
          <w:rFonts w:hint="cs"/>
          <w:rtl/>
          <w:lang w:eastAsia="en-US"/>
        </w:rPr>
        <w:tab/>
        <w:t>(ز)</w:t>
      </w:r>
      <w:r w:rsidRPr="00CC29B8">
        <w:rPr>
          <w:rFonts w:hint="cs"/>
          <w:rtl/>
          <w:lang w:eastAsia="en-US"/>
        </w:rPr>
        <w:tab/>
        <w:t>إلغاء عقوبة الإعدام بموجب قانون إلغاء عقوبة الإعدام الصادر في عام 1989.</w:t>
      </w:r>
    </w:p>
    <w:p w:rsidR="00CC29B8" w:rsidRPr="00CC29B8" w:rsidRDefault="00CC29B8" w:rsidP="00CC29B8">
      <w:pPr>
        <w:spacing w:before="0" w:line="380" w:lineRule="exact"/>
        <w:jc w:val="center"/>
        <w:rPr>
          <w:rFonts w:hint="cs"/>
          <w:b/>
          <w:bCs/>
          <w:rtl/>
          <w:lang w:eastAsia="en-US"/>
        </w:rPr>
      </w:pPr>
      <w:r w:rsidRPr="00CC29B8">
        <w:rPr>
          <w:rFonts w:hint="cs"/>
          <w:b/>
          <w:bCs/>
          <w:rtl/>
          <w:lang w:eastAsia="en-US"/>
        </w:rPr>
        <w:t>جيم - دواعي القلق الرئيسية والتوصيات</w:t>
      </w:r>
    </w:p>
    <w:p w:rsidR="00CC29B8" w:rsidRPr="00CC29B8" w:rsidRDefault="00CC29B8" w:rsidP="00CC29B8">
      <w:pPr>
        <w:spacing w:before="0" w:line="380" w:lineRule="exact"/>
        <w:rPr>
          <w:rFonts w:hint="cs"/>
          <w:b/>
          <w:bCs/>
          <w:rtl/>
          <w:lang w:eastAsia="en-US"/>
        </w:rPr>
      </w:pPr>
      <w:r w:rsidRPr="00CC29B8">
        <w:rPr>
          <w:rFonts w:hint="cs"/>
          <w:b/>
          <w:bCs/>
          <w:rtl/>
          <w:lang w:eastAsia="en-US"/>
        </w:rPr>
        <w:t>إدراج أحكام الاتفاقية في التشريعات الوطنية</w:t>
      </w:r>
    </w:p>
    <w:p w:rsidR="00CC29B8" w:rsidRPr="00CC29B8" w:rsidRDefault="00CC29B8" w:rsidP="00E1691B">
      <w:pPr>
        <w:spacing w:before="0" w:line="380" w:lineRule="exact"/>
        <w:rPr>
          <w:rFonts w:hint="cs"/>
          <w:spacing w:val="0"/>
          <w:rtl/>
          <w:lang w:eastAsia="en-US"/>
        </w:rPr>
      </w:pPr>
      <w:r w:rsidRPr="00CC29B8">
        <w:rPr>
          <w:rFonts w:hint="cs"/>
          <w:spacing w:val="0"/>
          <w:rtl/>
          <w:lang w:eastAsia="en-US"/>
        </w:rPr>
        <w:t>4-</w:t>
      </w:r>
      <w:r w:rsidRPr="00CC29B8">
        <w:rPr>
          <w:rFonts w:hint="cs"/>
          <w:spacing w:val="0"/>
          <w:rtl/>
          <w:lang w:eastAsia="en-US"/>
        </w:rPr>
        <w:tab/>
        <w:t>مع أن اللجنة تقدّر الخطوات التي اتخذتها الدولة الطرف من أجل جعل قوانينها الداخلية تتوافق مع التزاماتها بموجب الاتفاقية، فإنها تشعر بالقلق لكون أحكام الاتفاقية لم تدرَج بشكل كامل في القوانين الداخلية. وتلاحظ اللجنة بقلق أنه رغـم كون شرعة الحقوق النيوزيلندية تجعل عدداً من أحكام الاتفاقية نافذة، بما فيها المادة 2، فإن مركزها لا</w:t>
      </w:r>
      <w:r>
        <w:rPr>
          <w:rFonts w:hint="eastAsia"/>
          <w:spacing w:val="0"/>
          <w:rtl/>
          <w:lang w:eastAsia="en-US"/>
        </w:rPr>
        <w:t> </w:t>
      </w:r>
      <w:r w:rsidRPr="00CC29B8">
        <w:rPr>
          <w:rFonts w:hint="cs"/>
          <w:spacing w:val="0"/>
          <w:rtl/>
          <w:lang w:eastAsia="en-US"/>
        </w:rPr>
        <w:t xml:space="preserve">يعلو على مركز التشريعات العادية في النظام القانوني الداخلي، وهو ما قد يؤدي إلى سنّ قوانين </w:t>
      </w:r>
      <w:r w:rsidR="00E1691B">
        <w:rPr>
          <w:rFonts w:hint="cs"/>
          <w:spacing w:val="0"/>
          <w:rtl/>
          <w:lang w:eastAsia="en-US"/>
        </w:rPr>
        <w:t>تتعارض مع</w:t>
      </w:r>
      <w:r w:rsidRPr="00CC29B8">
        <w:rPr>
          <w:rFonts w:hint="cs"/>
          <w:spacing w:val="0"/>
          <w:rtl/>
          <w:lang w:eastAsia="en-US"/>
        </w:rPr>
        <w:t xml:space="preserve"> الاتفاقية. </w:t>
      </w:r>
      <w:r w:rsidRPr="008B1C67">
        <w:rPr>
          <w:rFonts w:hint="cs"/>
          <w:spacing w:val="0"/>
          <w:rtl/>
          <w:lang w:eastAsia="en-US"/>
        </w:rPr>
        <w:t>وتلاحظ اللجنة كذلك أن قرارات المحاكم قليلاً ما تشير إلى الصكوك الدولية لحقوق الإنسان، بما فيها الاتفاقية. (المادة 2)</w:t>
      </w:r>
    </w:p>
    <w:p w:rsidR="00CC29B8" w:rsidRPr="00CC29B8" w:rsidRDefault="00CC29B8" w:rsidP="00CC29B8">
      <w:pPr>
        <w:spacing w:before="0" w:line="380" w:lineRule="exact"/>
        <w:rPr>
          <w:rFonts w:hint="cs"/>
          <w:b/>
          <w:bCs/>
          <w:rtl/>
          <w:lang w:eastAsia="en-US"/>
        </w:rPr>
      </w:pPr>
      <w:r w:rsidRPr="00CC29B8">
        <w:rPr>
          <w:rFonts w:hint="cs"/>
          <w:rtl/>
          <w:lang w:eastAsia="en-US"/>
        </w:rPr>
        <w:tab/>
      </w:r>
      <w:r w:rsidR="002D655E">
        <w:rPr>
          <w:rFonts w:hint="cs"/>
          <w:b/>
          <w:bCs/>
          <w:rtl/>
          <w:lang w:eastAsia="en-US"/>
        </w:rPr>
        <w:t>ينبغي للدولة</w:t>
      </w:r>
      <w:r w:rsidRPr="00CC29B8">
        <w:rPr>
          <w:rFonts w:hint="cs"/>
          <w:b/>
          <w:bCs/>
          <w:rtl/>
          <w:lang w:eastAsia="en-US"/>
        </w:rPr>
        <w:t xml:space="preserve"> الطرف أن تقوم بما يلي:</w:t>
      </w:r>
    </w:p>
    <w:p w:rsidR="00CC29B8" w:rsidRPr="00CC29B8" w:rsidRDefault="008B1C67" w:rsidP="008B1C67">
      <w:pPr>
        <w:spacing w:before="0" w:line="380" w:lineRule="exact"/>
        <w:ind w:firstLine="720"/>
        <w:rPr>
          <w:rFonts w:hint="cs"/>
          <w:b/>
          <w:bCs/>
          <w:rtl/>
          <w:lang w:eastAsia="en-US"/>
        </w:rPr>
      </w:pPr>
      <w:r>
        <w:rPr>
          <w:rFonts w:hint="cs"/>
          <w:b/>
          <w:bCs/>
          <w:rtl/>
          <w:lang w:eastAsia="en-US"/>
        </w:rPr>
        <w:t>(أ)</w:t>
      </w:r>
      <w:r>
        <w:rPr>
          <w:rFonts w:hint="cs"/>
          <w:b/>
          <w:bCs/>
          <w:rtl/>
          <w:lang w:eastAsia="en-US"/>
        </w:rPr>
        <w:tab/>
      </w:r>
      <w:r w:rsidR="00CC29B8" w:rsidRPr="00CC29B8">
        <w:rPr>
          <w:rFonts w:hint="cs"/>
          <w:b/>
          <w:bCs/>
          <w:rtl/>
          <w:lang w:eastAsia="en-US"/>
        </w:rPr>
        <w:t>سنّ تشريع شامل لإدراج جميع أحكام الاتفاقية في القانون الداخلي؛</w:t>
      </w:r>
    </w:p>
    <w:p w:rsidR="00CC29B8" w:rsidRPr="00CC29B8" w:rsidRDefault="008B1C67" w:rsidP="008B1C67">
      <w:pPr>
        <w:spacing w:before="0" w:line="380" w:lineRule="exact"/>
        <w:ind w:firstLine="720"/>
        <w:rPr>
          <w:rFonts w:hint="cs"/>
          <w:b/>
          <w:bCs/>
          <w:lang w:eastAsia="en-US"/>
        </w:rPr>
      </w:pPr>
      <w:r>
        <w:rPr>
          <w:rFonts w:hint="cs"/>
          <w:b/>
          <w:bCs/>
          <w:rtl/>
          <w:lang w:eastAsia="en-US"/>
        </w:rPr>
        <w:t>(ب)</w:t>
      </w:r>
      <w:r>
        <w:rPr>
          <w:rFonts w:hint="cs"/>
          <w:b/>
          <w:bCs/>
          <w:rtl/>
          <w:lang w:eastAsia="en-US"/>
        </w:rPr>
        <w:tab/>
      </w:r>
      <w:r w:rsidR="00CC29B8" w:rsidRPr="00CC29B8">
        <w:rPr>
          <w:rFonts w:hint="cs"/>
          <w:b/>
          <w:bCs/>
          <w:rtl/>
          <w:lang w:eastAsia="en-US"/>
        </w:rPr>
        <w:t>إنشاء آلية لضمان التوافق الدائم بين القانون الداخلي والاتفاقية؛</w:t>
      </w:r>
    </w:p>
    <w:p w:rsidR="00CC29B8" w:rsidRPr="00CC29B8" w:rsidRDefault="00CC29B8" w:rsidP="008B1C67">
      <w:pPr>
        <w:spacing w:before="0" w:line="380" w:lineRule="exact"/>
        <w:ind w:firstLine="720"/>
        <w:rPr>
          <w:rFonts w:hint="cs"/>
          <w:b/>
          <w:bCs/>
          <w:rtl/>
          <w:lang w:eastAsia="en-US"/>
        </w:rPr>
      </w:pPr>
      <w:r w:rsidRPr="00CC29B8">
        <w:rPr>
          <w:rFonts w:hint="cs"/>
          <w:b/>
          <w:bCs/>
          <w:rtl/>
          <w:lang w:eastAsia="en-US"/>
        </w:rPr>
        <w:t>(ج)</w:t>
      </w:r>
      <w:r w:rsidRPr="00CC29B8">
        <w:rPr>
          <w:rFonts w:hint="cs"/>
          <w:b/>
          <w:bCs/>
          <w:rtl/>
          <w:lang w:eastAsia="en-US"/>
        </w:rPr>
        <w:tab/>
        <w:t>تنظيم برامج تدريبية للقضاة على أحكام الاتفاقية والقرارات الصادرة عن اللجنة.</w:t>
      </w:r>
    </w:p>
    <w:p w:rsidR="00CC29B8" w:rsidRPr="00CC29B8" w:rsidRDefault="00CC29B8" w:rsidP="00E1691B">
      <w:pPr>
        <w:spacing w:before="0" w:line="380" w:lineRule="exact"/>
        <w:rPr>
          <w:rFonts w:hint="cs"/>
          <w:b/>
          <w:bCs/>
          <w:rtl/>
          <w:lang w:eastAsia="en-US"/>
        </w:rPr>
      </w:pPr>
      <w:r w:rsidRPr="00CC29B8">
        <w:rPr>
          <w:rFonts w:hint="cs"/>
          <w:b/>
          <w:bCs/>
          <w:rtl/>
          <w:lang w:eastAsia="en-US"/>
        </w:rPr>
        <w:t xml:space="preserve">حماية </w:t>
      </w:r>
      <w:r w:rsidR="00E1691B">
        <w:rPr>
          <w:rFonts w:hint="cs"/>
          <w:b/>
          <w:bCs/>
          <w:rtl/>
          <w:lang w:eastAsia="en-US"/>
        </w:rPr>
        <w:t>الأقليات</w:t>
      </w:r>
      <w:r w:rsidRPr="00CC29B8">
        <w:rPr>
          <w:rFonts w:hint="cs"/>
          <w:b/>
          <w:bCs/>
          <w:rtl/>
          <w:lang w:eastAsia="en-US"/>
        </w:rPr>
        <w:t xml:space="preserve"> من التعذيب ومن سوء المعاملة</w:t>
      </w:r>
    </w:p>
    <w:p w:rsidR="00CC29B8" w:rsidRPr="008B1C67" w:rsidRDefault="00CC29B8" w:rsidP="00E1691B">
      <w:pPr>
        <w:spacing w:before="0" w:line="380" w:lineRule="exact"/>
        <w:rPr>
          <w:rFonts w:hint="cs"/>
          <w:spacing w:val="2"/>
          <w:rtl/>
          <w:lang w:eastAsia="en-US"/>
        </w:rPr>
      </w:pPr>
      <w:r w:rsidRPr="008B1C67">
        <w:rPr>
          <w:rFonts w:hint="cs"/>
          <w:spacing w:val="2"/>
          <w:rtl/>
          <w:lang w:eastAsia="en-US"/>
        </w:rPr>
        <w:t>5-</w:t>
      </w:r>
      <w:r w:rsidRPr="008B1C67">
        <w:rPr>
          <w:rFonts w:hint="cs"/>
          <w:spacing w:val="2"/>
          <w:rtl/>
          <w:lang w:eastAsia="en-US"/>
        </w:rPr>
        <w:tab/>
        <w:t xml:space="preserve">مع أن اللجنة تحيط علماً </w:t>
      </w:r>
      <w:r w:rsidR="00E1691B">
        <w:rPr>
          <w:rFonts w:hint="cs"/>
          <w:spacing w:val="2"/>
          <w:rtl/>
          <w:lang w:eastAsia="en-US"/>
        </w:rPr>
        <w:t>بالخطة</w:t>
      </w:r>
      <w:r w:rsidRPr="008B1C67">
        <w:rPr>
          <w:rFonts w:hint="cs"/>
          <w:spacing w:val="2"/>
          <w:rtl/>
          <w:lang w:eastAsia="en-US"/>
        </w:rPr>
        <w:t xml:space="preserve"> </w:t>
      </w:r>
      <w:proofErr w:type="spellStart"/>
      <w:r w:rsidRPr="008B1C67">
        <w:rPr>
          <w:rFonts w:hint="cs"/>
          <w:spacing w:val="2"/>
          <w:rtl/>
          <w:lang w:eastAsia="en-US"/>
        </w:rPr>
        <w:t>الاستراتيجي</w:t>
      </w:r>
      <w:r w:rsidR="00E1691B">
        <w:rPr>
          <w:rFonts w:hint="cs"/>
          <w:spacing w:val="2"/>
          <w:rtl/>
          <w:lang w:eastAsia="en-US"/>
        </w:rPr>
        <w:t>ة</w:t>
      </w:r>
      <w:proofErr w:type="spellEnd"/>
      <w:r w:rsidRPr="008B1C67">
        <w:rPr>
          <w:rFonts w:hint="cs"/>
          <w:spacing w:val="2"/>
          <w:rtl/>
          <w:lang w:eastAsia="en-US"/>
        </w:rPr>
        <w:t xml:space="preserve"> الخاص</w:t>
      </w:r>
      <w:r w:rsidR="00E1691B">
        <w:rPr>
          <w:rFonts w:hint="cs"/>
          <w:spacing w:val="2"/>
          <w:rtl/>
          <w:lang w:eastAsia="en-US"/>
        </w:rPr>
        <w:t>ة بالماوري الت</w:t>
      </w:r>
      <w:r w:rsidRPr="008B1C67">
        <w:rPr>
          <w:rFonts w:hint="cs"/>
          <w:spacing w:val="2"/>
          <w:rtl/>
          <w:lang w:eastAsia="en-US"/>
        </w:rPr>
        <w:t>ي وضعته</w:t>
      </w:r>
      <w:r w:rsidR="00E1691B">
        <w:rPr>
          <w:rFonts w:hint="cs"/>
          <w:spacing w:val="2"/>
          <w:rtl/>
          <w:lang w:eastAsia="en-US"/>
        </w:rPr>
        <w:t>ا</w:t>
      </w:r>
      <w:r w:rsidRPr="008B1C67">
        <w:rPr>
          <w:rFonts w:hint="cs"/>
          <w:spacing w:val="2"/>
          <w:rtl/>
          <w:lang w:eastAsia="en-US"/>
        </w:rPr>
        <w:t xml:space="preserve"> دائرة الإجراءات التأديبية، فضلاً عن مختلف المبادرات التي </w:t>
      </w:r>
      <w:r w:rsidR="00E1691B">
        <w:rPr>
          <w:rFonts w:hint="cs"/>
          <w:spacing w:val="2"/>
          <w:rtl/>
          <w:lang w:eastAsia="en-US"/>
        </w:rPr>
        <w:t>اتخذتها</w:t>
      </w:r>
      <w:r w:rsidRPr="008B1C67">
        <w:rPr>
          <w:rFonts w:hint="cs"/>
          <w:spacing w:val="2"/>
          <w:rtl/>
          <w:lang w:eastAsia="en-US"/>
        </w:rPr>
        <w:t xml:space="preserve"> وزارة العدل لخفض نسبة الجرائم التي يرتكبها الماوري، فإنها تشعر بالجزع إزاء ارتفاع أعداد السجناء من الماوري ومن سكان جزر المحيط الهادئ مقارنة بغيرهم، وخاصة منهم النساء اللواتي يمثّلن 60 في المائة من مجموع السجينات، حسب المعلومات المتوفرة لدى اللجنة. وتشعر اللجنة بالقلق أيضاً من وجود الماوري بنسبة مفرطة على جميع مستويات عملية العدالة الجنائية، إلى جانب عدم كفاية الضمانات المتوفّرة لحماية حقوق الأقليات من التمييز والتهميش، وهو ما يجعلهم أكثر عرضة للتعذيب وسوء المعاملة. (المادة 2)</w:t>
      </w:r>
    </w:p>
    <w:p w:rsidR="00CC29B8" w:rsidRPr="00E1691B" w:rsidRDefault="00CC29B8" w:rsidP="00E1691B">
      <w:pPr>
        <w:spacing w:before="0" w:line="380" w:lineRule="exact"/>
        <w:ind w:left="720"/>
        <w:rPr>
          <w:rFonts w:hint="cs"/>
          <w:b/>
          <w:bCs/>
          <w:spacing w:val="4"/>
          <w:rtl/>
          <w:lang w:eastAsia="en-US"/>
        </w:rPr>
      </w:pPr>
      <w:r w:rsidRPr="00E1691B">
        <w:rPr>
          <w:rFonts w:hint="cs"/>
          <w:b/>
          <w:bCs/>
          <w:spacing w:val="4"/>
          <w:rtl/>
          <w:lang w:eastAsia="en-US"/>
        </w:rPr>
        <w:t xml:space="preserve">تذكّر اللجنة بأن حماية بعض الأقليات أو الأفراد </w:t>
      </w:r>
      <w:proofErr w:type="spellStart"/>
      <w:r w:rsidRPr="00E1691B">
        <w:rPr>
          <w:rFonts w:hint="cs"/>
          <w:b/>
          <w:bCs/>
          <w:spacing w:val="4"/>
          <w:rtl/>
          <w:lang w:eastAsia="en-US"/>
        </w:rPr>
        <w:t>المهمّشين</w:t>
      </w:r>
      <w:proofErr w:type="spellEnd"/>
      <w:r w:rsidRPr="00E1691B">
        <w:rPr>
          <w:rFonts w:hint="cs"/>
          <w:b/>
          <w:bCs/>
          <w:spacing w:val="4"/>
          <w:rtl/>
          <w:lang w:eastAsia="en-US"/>
        </w:rPr>
        <w:t xml:space="preserve"> أو الفئات السكانية المعرضة بشكل خاص للتعذيب ه</w:t>
      </w:r>
      <w:r w:rsidR="00E1691B" w:rsidRPr="00E1691B">
        <w:rPr>
          <w:rFonts w:hint="cs"/>
          <w:b/>
          <w:bCs/>
          <w:spacing w:val="4"/>
          <w:rtl/>
          <w:lang w:eastAsia="en-US"/>
        </w:rPr>
        <w:t>ي</w:t>
      </w:r>
      <w:r w:rsidRPr="00E1691B">
        <w:rPr>
          <w:rFonts w:hint="cs"/>
          <w:b/>
          <w:bCs/>
          <w:spacing w:val="4"/>
          <w:rtl/>
          <w:lang w:eastAsia="en-US"/>
        </w:rPr>
        <w:t xml:space="preserve"> جزء من التزام الدولة الطرف بمنع التعذيب وسوء المعاملة. وفي هذا الصدد، ينبغي </w:t>
      </w:r>
      <w:r w:rsidR="00E1691B" w:rsidRPr="00E1691B">
        <w:rPr>
          <w:rFonts w:hint="cs"/>
          <w:b/>
          <w:bCs/>
          <w:spacing w:val="4"/>
          <w:rtl/>
          <w:lang w:eastAsia="en-US"/>
        </w:rPr>
        <w:t>ل</w:t>
      </w:r>
      <w:r w:rsidRPr="00E1691B">
        <w:rPr>
          <w:rFonts w:hint="cs"/>
          <w:b/>
          <w:bCs/>
          <w:spacing w:val="4"/>
          <w:rtl/>
          <w:lang w:eastAsia="en-US"/>
        </w:rPr>
        <w:t xml:space="preserve">لدولة الطرف أن تتخذ مزيداً من التدابير، بما في ذلك تدابير قانونية وإدارية وقضائية، لخفض </w:t>
      </w:r>
      <w:r w:rsidR="00E1691B" w:rsidRPr="00E1691B">
        <w:rPr>
          <w:rFonts w:hint="cs"/>
          <w:b/>
          <w:bCs/>
          <w:spacing w:val="4"/>
          <w:rtl/>
          <w:lang w:eastAsia="en-US"/>
        </w:rPr>
        <w:t>ال</w:t>
      </w:r>
      <w:r w:rsidRPr="00E1691B">
        <w:rPr>
          <w:rFonts w:hint="cs"/>
          <w:b/>
          <w:bCs/>
          <w:spacing w:val="4"/>
          <w:rtl/>
          <w:lang w:eastAsia="en-US"/>
        </w:rPr>
        <w:t xml:space="preserve">نسبة </w:t>
      </w:r>
      <w:r w:rsidR="00E1691B" w:rsidRPr="00E1691B">
        <w:rPr>
          <w:rFonts w:hint="cs"/>
          <w:b/>
          <w:bCs/>
          <w:spacing w:val="4"/>
          <w:rtl/>
          <w:lang w:eastAsia="en-US"/>
        </w:rPr>
        <w:t>المفرطة ل</w:t>
      </w:r>
      <w:r w:rsidRPr="00E1691B">
        <w:rPr>
          <w:rFonts w:hint="cs"/>
          <w:b/>
          <w:bCs/>
          <w:spacing w:val="4"/>
          <w:rtl/>
          <w:lang w:eastAsia="en-US"/>
        </w:rPr>
        <w:t>لأفراد من الماوري ومن جزر المحيط الهادئ في السجون، و</w:t>
      </w:r>
      <w:r w:rsidR="00C87ED5">
        <w:rPr>
          <w:rFonts w:hint="cs"/>
          <w:b/>
          <w:bCs/>
          <w:spacing w:val="4"/>
          <w:rtl/>
          <w:lang w:eastAsia="en-US"/>
        </w:rPr>
        <w:t>لا </w:t>
      </w:r>
      <w:proofErr w:type="spellStart"/>
      <w:r w:rsidR="00C87ED5">
        <w:rPr>
          <w:rFonts w:hint="cs"/>
          <w:b/>
          <w:bCs/>
          <w:spacing w:val="4"/>
          <w:rtl/>
          <w:lang w:eastAsia="en-US"/>
        </w:rPr>
        <w:t>سيما</w:t>
      </w:r>
      <w:proofErr w:type="spellEnd"/>
      <w:r w:rsidRPr="00E1691B">
        <w:rPr>
          <w:rFonts w:hint="cs"/>
          <w:b/>
          <w:bCs/>
          <w:spacing w:val="4"/>
          <w:rtl/>
          <w:lang w:eastAsia="en-US"/>
        </w:rPr>
        <w:t xml:space="preserve"> </w:t>
      </w:r>
      <w:r w:rsidR="00E1691B" w:rsidRPr="00E1691B">
        <w:rPr>
          <w:rFonts w:hint="cs"/>
          <w:b/>
          <w:bCs/>
          <w:spacing w:val="4"/>
          <w:rtl/>
          <w:lang w:eastAsia="en-US"/>
        </w:rPr>
        <w:t xml:space="preserve">النساء </w:t>
      </w:r>
      <w:r w:rsidRPr="00E1691B">
        <w:rPr>
          <w:rFonts w:hint="cs"/>
          <w:b/>
          <w:bCs/>
          <w:spacing w:val="4"/>
          <w:rtl/>
          <w:lang w:eastAsia="en-US"/>
        </w:rPr>
        <w:t xml:space="preserve">منهم. وينبغي </w:t>
      </w:r>
      <w:r w:rsidR="00E1691B">
        <w:rPr>
          <w:rFonts w:hint="cs"/>
          <w:b/>
          <w:bCs/>
          <w:spacing w:val="4"/>
          <w:rtl/>
          <w:lang w:eastAsia="en-US"/>
        </w:rPr>
        <w:t>ل</w:t>
      </w:r>
      <w:r w:rsidRPr="00E1691B">
        <w:rPr>
          <w:rFonts w:hint="cs"/>
          <w:b/>
          <w:bCs/>
          <w:spacing w:val="4"/>
          <w:rtl/>
          <w:lang w:eastAsia="en-US"/>
        </w:rPr>
        <w:t xml:space="preserve">لدولة الطرف كذلك أن توفّر تدريباً مناسباً للقضاة وللموظفين المكلّفين بإنفاذ القانون يضع في الاعتبار أيضاً الالتزام بحماية الأقليات ويراعي المنظور </w:t>
      </w:r>
      <w:proofErr w:type="spellStart"/>
      <w:r w:rsidRPr="00E1691B">
        <w:rPr>
          <w:rFonts w:hint="cs"/>
          <w:b/>
          <w:bCs/>
          <w:spacing w:val="4"/>
          <w:rtl/>
          <w:lang w:eastAsia="en-US"/>
        </w:rPr>
        <w:t>الجنساني</w:t>
      </w:r>
      <w:proofErr w:type="spellEnd"/>
      <w:r w:rsidRPr="00E1691B">
        <w:rPr>
          <w:rFonts w:hint="cs"/>
          <w:b/>
          <w:bCs/>
          <w:spacing w:val="4"/>
          <w:rtl/>
          <w:lang w:eastAsia="en-US"/>
        </w:rPr>
        <w:t>. و</w:t>
      </w:r>
      <w:r w:rsidR="002D655E">
        <w:rPr>
          <w:rFonts w:hint="cs"/>
          <w:b/>
          <w:bCs/>
          <w:spacing w:val="4"/>
          <w:rtl/>
          <w:lang w:eastAsia="en-US"/>
        </w:rPr>
        <w:t>ينبغي للدولة</w:t>
      </w:r>
      <w:r w:rsidRPr="00E1691B">
        <w:rPr>
          <w:rFonts w:hint="cs"/>
          <w:b/>
          <w:bCs/>
          <w:spacing w:val="4"/>
          <w:rtl/>
          <w:lang w:eastAsia="en-US"/>
        </w:rPr>
        <w:t xml:space="preserve"> الطرف كذلك أن تضطلع ببحث معمّق في الأسباب الجذرية لهذه الظاهرة لكي تضع الضمانات الملائمة من أجل </w:t>
      </w:r>
      <w:r w:rsidR="00E1691B">
        <w:rPr>
          <w:rFonts w:hint="cs"/>
          <w:b/>
          <w:bCs/>
          <w:spacing w:val="4"/>
          <w:rtl/>
          <w:lang w:eastAsia="en-US"/>
        </w:rPr>
        <w:t>ضمان</w:t>
      </w:r>
      <w:r w:rsidRPr="00E1691B">
        <w:rPr>
          <w:rFonts w:hint="cs"/>
          <w:b/>
          <w:bCs/>
          <w:spacing w:val="4"/>
          <w:rtl/>
          <w:lang w:eastAsia="en-US"/>
        </w:rPr>
        <w:t xml:space="preserve"> </w:t>
      </w:r>
      <w:r w:rsidR="00E1691B">
        <w:rPr>
          <w:rFonts w:hint="cs"/>
          <w:b/>
          <w:bCs/>
          <w:spacing w:val="4"/>
          <w:rtl/>
          <w:lang w:eastAsia="en-US"/>
        </w:rPr>
        <w:t>ال</w:t>
      </w:r>
      <w:r w:rsidRPr="00E1691B">
        <w:rPr>
          <w:rFonts w:hint="cs"/>
          <w:b/>
          <w:bCs/>
          <w:spacing w:val="4"/>
          <w:rtl/>
          <w:lang w:eastAsia="en-US"/>
        </w:rPr>
        <w:t xml:space="preserve">حماية </w:t>
      </w:r>
      <w:r w:rsidR="00E1691B">
        <w:rPr>
          <w:rFonts w:hint="cs"/>
          <w:b/>
          <w:bCs/>
          <w:spacing w:val="4"/>
          <w:rtl/>
          <w:lang w:eastAsia="en-US"/>
        </w:rPr>
        <w:t>ال</w:t>
      </w:r>
      <w:r w:rsidRPr="00E1691B">
        <w:rPr>
          <w:rFonts w:hint="cs"/>
          <w:b/>
          <w:bCs/>
          <w:spacing w:val="4"/>
          <w:rtl/>
          <w:lang w:eastAsia="en-US"/>
        </w:rPr>
        <w:t>تامة للأقليات من التمييز والتهميش اللذين يجعلانها أكثر عرضة للتعذيب وسوء المعاملة.</w:t>
      </w:r>
    </w:p>
    <w:p w:rsidR="00CC29B8" w:rsidRPr="00CC29B8" w:rsidRDefault="00CC29B8" w:rsidP="00E1691B">
      <w:pPr>
        <w:spacing w:before="0" w:line="380" w:lineRule="exact"/>
        <w:rPr>
          <w:rFonts w:hint="cs"/>
          <w:b/>
          <w:bCs/>
          <w:rtl/>
          <w:lang w:eastAsia="en-US"/>
        </w:rPr>
      </w:pPr>
      <w:r w:rsidRPr="00CC29B8">
        <w:rPr>
          <w:rFonts w:hint="cs"/>
          <w:b/>
          <w:bCs/>
          <w:rtl/>
          <w:lang w:eastAsia="en-US"/>
        </w:rPr>
        <w:t xml:space="preserve">احتجاز طالبي اللجوء والمهاجرين </w:t>
      </w:r>
      <w:r w:rsidR="00E1691B">
        <w:rPr>
          <w:rFonts w:hint="cs"/>
          <w:b/>
          <w:bCs/>
          <w:rtl/>
          <w:lang w:eastAsia="en-US"/>
        </w:rPr>
        <w:t>غير الحائزين على</w:t>
      </w:r>
      <w:r w:rsidRPr="00CC29B8">
        <w:rPr>
          <w:rFonts w:hint="cs"/>
          <w:b/>
          <w:bCs/>
          <w:rtl/>
          <w:lang w:eastAsia="en-US"/>
        </w:rPr>
        <w:t xml:space="preserve"> وثائق</w:t>
      </w:r>
      <w:r w:rsidR="00E1691B">
        <w:rPr>
          <w:rFonts w:hint="cs"/>
          <w:b/>
          <w:bCs/>
          <w:rtl/>
          <w:lang w:eastAsia="en-US"/>
        </w:rPr>
        <w:t xml:space="preserve"> </w:t>
      </w:r>
      <w:proofErr w:type="spellStart"/>
      <w:r w:rsidR="00E1691B">
        <w:rPr>
          <w:rFonts w:hint="cs"/>
          <w:b/>
          <w:bCs/>
          <w:rtl/>
          <w:lang w:eastAsia="en-US"/>
        </w:rPr>
        <w:t>ثبوتية</w:t>
      </w:r>
      <w:proofErr w:type="spellEnd"/>
      <w:r w:rsidRPr="00CC29B8">
        <w:rPr>
          <w:rFonts w:hint="cs"/>
          <w:b/>
          <w:bCs/>
          <w:rtl/>
          <w:lang w:eastAsia="en-US"/>
        </w:rPr>
        <w:t xml:space="preserve"> وعدم إعادتهم قسراً</w:t>
      </w:r>
    </w:p>
    <w:p w:rsidR="00CC29B8" w:rsidRPr="00CC29B8" w:rsidRDefault="00CC29B8" w:rsidP="00E1691B">
      <w:pPr>
        <w:spacing w:before="0" w:line="380" w:lineRule="exact"/>
        <w:rPr>
          <w:rFonts w:hint="cs"/>
          <w:rtl/>
          <w:lang w:eastAsia="en-US"/>
        </w:rPr>
      </w:pPr>
      <w:r w:rsidRPr="00CC29B8">
        <w:rPr>
          <w:rFonts w:hint="cs"/>
          <w:rtl/>
          <w:lang w:eastAsia="en-US"/>
        </w:rPr>
        <w:t>6-</w:t>
      </w:r>
      <w:r w:rsidRPr="00CC29B8">
        <w:rPr>
          <w:rFonts w:hint="cs"/>
          <w:rtl/>
          <w:lang w:eastAsia="en-US"/>
        </w:rPr>
        <w:tab/>
        <w:t xml:space="preserve">مع أن اللجنة </w:t>
      </w:r>
      <w:r w:rsidR="00E1691B">
        <w:rPr>
          <w:rFonts w:hint="cs"/>
          <w:rtl/>
          <w:lang w:eastAsia="en-US"/>
        </w:rPr>
        <w:t xml:space="preserve">تلاحظ </w:t>
      </w:r>
      <w:r w:rsidRPr="00CC29B8">
        <w:rPr>
          <w:rFonts w:hint="cs"/>
          <w:rtl/>
          <w:lang w:eastAsia="en-US"/>
        </w:rPr>
        <w:t xml:space="preserve">أن مشروع قانون الهجرة قد استعمل لغة المادة 3 من الاتفاقية، فإنها تلاحظ بقلق أن طالبي اللجوء والمهاجرين </w:t>
      </w:r>
      <w:r w:rsidR="00E1691B">
        <w:rPr>
          <w:rFonts w:hint="cs"/>
          <w:rtl/>
          <w:lang w:eastAsia="en-US"/>
        </w:rPr>
        <w:t xml:space="preserve">غير الحائزين على </w:t>
      </w:r>
      <w:r w:rsidRPr="00CC29B8">
        <w:rPr>
          <w:rFonts w:hint="cs"/>
          <w:rtl/>
          <w:lang w:eastAsia="en-US"/>
        </w:rPr>
        <w:t xml:space="preserve">وثائق </w:t>
      </w:r>
      <w:proofErr w:type="spellStart"/>
      <w:r w:rsidR="00E1691B">
        <w:rPr>
          <w:rFonts w:hint="cs"/>
          <w:rtl/>
          <w:lang w:eastAsia="en-US"/>
        </w:rPr>
        <w:t>ثبوتية</w:t>
      </w:r>
      <w:proofErr w:type="spellEnd"/>
      <w:r w:rsidR="00E1691B">
        <w:rPr>
          <w:rFonts w:hint="cs"/>
          <w:rtl/>
          <w:lang w:eastAsia="en-US"/>
        </w:rPr>
        <w:t xml:space="preserve"> </w:t>
      </w:r>
      <w:r w:rsidRPr="00CC29B8">
        <w:rPr>
          <w:rFonts w:hint="cs"/>
          <w:rtl/>
          <w:lang w:eastAsia="en-US"/>
        </w:rPr>
        <w:t xml:space="preserve">لا يزالون يُحتجزون في مرافق ذات إجراءات أمنية مخففة وأخرى إصلاحية. ويساور اللجنة </w:t>
      </w:r>
      <w:r w:rsidR="00E1691B" w:rsidRPr="00CC29B8">
        <w:rPr>
          <w:rFonts w:hint="cs"/>
          <w:rtl/>
          <w:lang w:eastAsia="en-US"/>
        </w:rPr>
        <w:t xml:space="preserve">قلق </w:t>
      </w:r>
      <w:r w:rsidRPr="00CC29B8">
        <w:rPr>
          <w:rFonts w:hint="cs"/>
          <w:rtl/>
          <w:lang w:eastAsia="en-US"/>
        </w:rPr>
        <w:t xml:space="preserve">أيضاً من استمرار صدور شهادات الخطر الأمني بموجب قانون الهجرة، وهو ما قد يؤدي إلى انتهاك المادة 3 من الاتفاقية، لأنه يجوز للسلطات </w:t>
      </w:r>
      <w:r w:rsidR="00E1691B">
        <w:rPr>
          <w:rFonts w:hint="cs"/>
          <w:rtl/>
          <w:lang w:eastAsia="en-US"/>
        </w:rPr>
        <w:t>إبعاد</w:t>
      </w:r>
      <w:r w:rsidRPr="00CC29B8">
        <w:rPr>
          <w:rFonts w:hint="cs"/>
          <w:rtl/>
          <w:lang w:eastAsia="en-US"/>
        </w:rPr>
        <w:t xml:space="preserve"> أو ترحيل </w:t>
      </w:r>
      <w:r w:rsidR="00E1691B">
        <w:rPr>
          <w:rFonts w:hint="cs"/>
          <w:rtl/>
          <w:lang w:eastAsia="en-US"/>
        </w:rPr>
        <w:t xml:space="preserve">أي </w:t>
      </w:r>
      <w:r w:rsidRPr="00CC29B8">
        <w:rPr>
          <w:rFonts w:hint="cs"/>
          <w:rtl/>
          <w:lang w:eastAsia="en-US"/>
        </w:rPr>
        <w:t xml:space="preserve">شخص يُعتبر </w:t>
      </w:r>
      <w:r w:rsidR="00E1691B">
        <w:rPr>
          <w:rFonts w:hint="cs"/>
          <w:rtl/>
          <w:lang w:eastAsia="en-US"/>
        </w:rPr>
        <w:t>أنه يشك</w:t>
      </w:r>
      <w:r w:rsidRPr="00CC29B8">
        <w:rPr>
          <w:rFonts w:hint="cs"/>
          <w:rtl/>
          <w:lang w:eastAsia="en-US"/>
        </w:rPr>
        <w:t xml:space="preserve">ل خطراً على الأمن القومي دون أن يتعيّن عليها إبداء أسباب مفصّلة أو الإفصاح عن معلومات سرّية للشخص المعني. وتشعر اللجنة بالقلق كذلك لأن استخدام الدولة الطرف للمعلومات السرّية لأغراض احتجاز طالبي اللجوء والمهاجرين </w:t>
      </w:r>
      <w:r w:rsidR="00E1691B">
        <w:rPr>
          <w:rFonts w:hint="cs"/>
          <w:rtl/>
          <w:lang w:eastAsia="en-US"/>
        </w:rPr>
        <w:t xml:space="preserve">غير الحائزين على </w:t>
      </w:r>
      <w:r w:rsidRPr="00CC29B8">
        <w:rPr>
          <w:rFonts w:hint="cs"/>
          <w:rtl/>
          <w:lang w:eastAsia="en-US"/>
        </w:rPr>
        <w:t xml:space="preserve">وثائق </w:t>
      </w:r>
      <w:proofErr w:type="spellStart"/>
      <w:r w:rsidR="00E1691B">
        <w:rPr>
          <w:rFonts w:hint="cs"/>
          <w:rtl/>
          <w:lang w:eastAsia="en-US"/>
        </w:rPr>
        <w:t>ثبوتية</w:t>
      </w:r>
      <w:proofErr w:type="spellEnd"/>
      <w:r w:rsidR="00E1691B">
        <w:rPr>
          <w:rFonts w:hint="cs"/>
          <w:rtl/>
          <w:lang w:eastAsia="en-US"/>
        </w:rPr>
        <w:t xml:space="preserve"> </w:t>
      </w:r>
      <w:r w:rsidRPr="00CC29B8">
        <w:rPr>
          <w:rFonts w:hint="cs"/>
          <w:rtl/>
          <w:lang w:eastAsia="en-US"/>
        </w:rPr>
        <w:t xml:space="preserve">قد يؤدي إلى انتهاك حقهم الأساسي في </w:t>
      </w:r>
      <w:r w:rsidR="00E1691B">
        <w:rPr>
          <w:rFonts w:hint="cs"/>
          <w:rtl/>
          <w:lang w:eastAsia="en-US"/>
        </w:rPr>
        <w:t>ال</w:t>
      </w:r>
      <w:r w:rsidRPr="00CC29B8">
        <w:rPr>
          <w:rFonts w:hint="cs"/>
          <w:rtl/>
          <w:lang w:eastAsia="en-US"/>
        </w:rPr>
        <w:t xml:space="preserve">محاكمة حسب الأصول وقد يعرّضهم </w:t>
      </w:r>
      <w:r w:rsidR="00E1691B">
        <w:rPr>
          <w:rFonts w:hint="cs"/>
          <w:rtl/>
          <w:lang w:eastAsia="en-US"/>
        </w:rPr>
        <w:t xml:space="preserve">للإبعاد </w:t>
      </w:r>
      <w:r w:rsidRPr="00CC29B8">
        <w:rPr>
          <w:rFonts w:hint="cs"/>
          <w:rtl/>
          <w:lang w:eastAsia="en-US"/>
        </w:rPr>
        <w:t>إلى بلدان قد يتعرضون فيها لخطر التعذيب. (المادتان 2و3)</w:t>
      </w:r>
    </w:p>
    <w:p w:rsidR="00CC29B8" w:rsidRPr="00CC29B8" w:rsidRDefault="00E1691B" w:rsidP="00E1691B">
      <w:pPr>
        <w:tabs>
          <w:tab w:val="left" w:pos="714"/>
        </w:tabs>
        <w:spacing w:before="0" w:line="380" w:lineRule="exact"/>
        <w:ind w:left="714"/>
        <w:rPr>
          <w:rFonts w:hint="cs"/>
          <w:b/>
          <w:bCs/>
          <w:rtl/>
          <w:lang w:eastAsia="en-US"/>
        </w:rPr>
      </w:pPr>
      <w:r>
        <w:rPr>
          <w:rFonts w:hint="cs"/>
          <w:b/>
          <w:bCs/>
          <w:rtl/>
          <w:lang w:eastAsia="en-US"/>
        </w:rPr>
        <w:t>ينبغي ل</w:t>
      </w:r>
      <w:r w:rsidR="00CC29B8" w:rsidRPr="00CC29B8">
        <w:rPr>
          <w:rFonts w:hint="cs"/>
          <w:b/>
          <w:bCs/>
          <w:rtl/>
          <w:lang w:eastAsia="en-US"/>
        </w:rPr>
        <w:t>لدولة الطرف أن تنظر في وضع حد لممارسة احت</w:t>
      </w:r>
      <w:r>
        <w:rPr>
          <w:rFonts w:hint="cs"/>
          <w:b/>
          <w:bCs/>
          <w:rtl/>
          <w:lang w:eastAsia="en-US"/>
        </w:rPr>
        <w:t>جاز طالبي اللجوء والمهاجرين غير الحائزين على</w:t>
      </w:r>
      <w:r w:rsidR="00CC29B8" w:rsidRPr="00CC29B8">
        <w:rPr>
          <w:rFonts w:hint="cs"/>
          <w:b/>
          <w:bCs/>
          <w:rtl/>
          <w:lang w:eastAsia="en-US"/>
        </w:rPr>
        <w:t xml:space="preserve"> وثائق</w:t>
      </w:r>
      <w:r>
        <w:rPr>
          <w:rFonts w:hint="cs"/>
          <w:b/>
          <w:bCs/>
          <w:rtl/>
          <w:lang w:eastAsia="en-US"/>
        </w:rPr>
        <w:t xml:space="preserve"> </w:t>
      </w:r>
      <w:proofErr w:type="spellStart"/>
      <w:r>
        <w:rPr>
          <w:rFonts w:hint="cs"/>
          <w:b/>
          <w:bCs/>
          <w:rtl/>
          <w:lang w:eastAsia="en-US"/>
        </w:rPr>
        <w:t>ثبوتية</w:t>
      </w:r>
      <w:proofErr w:type="spellEnd"/>
      <w:r w:rsidR="00CC29B8" w:rsidRPr="00CC29B8">
        <w:rPr>
          <w:rFonts w:hint="cs"/>
          <w:b/>
          <w:bCs/>
          <w:rtl/>
          <w:lang w:eastAsia="en-US"/>
        </w:rPr>
        <w:t xml:space="preserve"> في مرافق ذات إجراءات أمنية مخففة وأخرى إصلاحية، وأن تضمن توافق أسباب رفض منح اللجوء مع المعايير الدولية، وخصوصاً مع الاتفاقية ا</w:t>
      </w:r>
      <w:r w:rsidR="008B1C67">
        <w:rPr>
          <w:rFonts w:hint="cs"/>
          <w:b/>
          <w:bCs/>
          <w:rtl/>
          <w:lang w:eastAsia="en-US"/>
        </w:rPr>
        <w:t xml:space="preserve">لخاصة بوضع اللاجئين لعام 1951. </w:t>
      </w:r>
      <w:r w:rsidR="00CC29B8" w:rsidRPr="00CC29B8">
        <w:rPr>
          <w:rFonts w:hint="cs"/>
          <w:b/>
          <w:bCs/>
          <w:rtl/>
          <w:lang w:eastAsia="en-US"/>
        </w:rPr>
        <w:t xml:space="preserve">وفي الحالة التي يكون فيها الشخص معرّضاً للتعذيب إذا ما أعيد إلى بلده الأصلي، ينبغي </w:t>
      </w:r>
      <w:r>
        <w:rPr>
          <w:rFonts w:hint="cs"/>
          <w:b/>
          <w:bCs/>
          <w:rtl/>
          <w:lang w:eastAsia="en-US"/>
        </w:rPr>
        <w:t>ل</w:t>
      </w:r>
      <w:r w:rsidR="00CC29B8" w:rsidRPr="00CC29B8">
        <w:rPr>
          <w:rFonts w:hint="cs"/>
          <w:b/>
          <w:bCs/>
          <w:rtl/>
          <w:lang w:eastAsia="en-US"/>
        </w:rPr>
        <w:t xml:space="preserve">لدولة الطرف أن تدرس مطالبته دراسة وافية، </w:t>
      </w:r>
      <w:r>
        <w:rPr>
          <w:rFonts w:hint="cs"/>
          <w:b/>
          <w:bCs/>
          <w:rtl/>
          <w:lang w:eastAsia="en-US"/>
        </w:rPr>
        <w:t xml:space="preserve">مع </w:t>
      </w:r>
      <w:r w:rsidR="00CC29B8" w:rsidRPr="00CC29B8">
        <w:rPr>
          <w:rFonts w:hint="cs"/>
          <w:b/>
          <w:bCs/>
          <w:rtl/>
          <w:lang w:eastAsia="en-US"/>
        </w:rPr>
        <w:t>ا</w:t>
      </w:r>
      <w:r>
        <w:rPr>
          <w:rFonts w:hint="cs"/>
          <w:b/>
          <w:bCs/>
          <w:rtl/>
          <w:lang w:eastAsia="en-US"/>
        </w:rPr>
        <w:t>لا</w:t>
      </w:r>
      <w:r w:rsidR="00CC29B8" w:rsidRPr="00CC29B8">
        <w:rPr>
          <w:rFonts w:hint="cs"/>
          <w:b/>
          <w:bCs/>
          <w:rtl/>
          <w:lang w:eastAsia="en-US"/>
        </w:rPr>
        <w:t xml:space="preserve">متثال </w:t>
      </w:r>
      <w:r>
        <w:rPr>
          <w:rFonts w:hint="cs"/>
          <w:b/>
          <w:bCs/>
          <w:rtl/>
          <w:lang w:eastAsia="en-US"/>
        </w:rPr>
        <w:t>ال</w:t>
      </w:r>
      <w:r w:rsidR="00CC29B8" w:rsidRPr="00CC29B8">
        <w:rPr>
          <w:rFonts w:hint="cs"/>
          <w:b/>
          <w:bCs/>
          <w:rtl/>
          <w:lang w:eastAsia="en-US"/>
        </w:rPr>
        <w:t>كامل لأحكام المادة 3 من الاتفاقية. وينبغي</w:t>
      </w:r>
      <w:r>
        <w:rPr>
          <w:rFonts w:hint="eastAsia"/>
          <w:b/>
          <w:bCs/>
          <w:rtl/>
          <w:lang w:eastAsia="en-US"/>
        </w:rPr>
        <w:t> </w:t>
      </w:r>
      <w:r>
        <w:rPr>
          <w:rFonts w:hint="cs"/>
          <w:b/>
          <w:bCs/>
          <w:rtl/>
          <w:lang w:eastAsia="en-US"/>
        </w:rPr>
        <w:t>ل</w:t>
      </w:r>
      <w:r w:rsidR="00CC29B8" w:rsidRPr="00CC29B8">
        <w:rPr>
          <w:rFonts w:hint="cs"/>
          <w:b/>
          <w:bCs/>
          <w:rtl/>
          <w:lang w:eastAsia="en-US"/>
        </w:rPr>
        <w:t xml:space="preserve">لدولة الطرف كذلك أن تضمن، مثلما </w:t>
      </w:r>
      <w:r>
        <w:rPr>
          <w:rFonts w:hint="cs"/>
          <w:b/>
          <w:bCs/>
          <w:rtl/>
          <w:lang w:eastAsia="en-US"/>
        </w:rPr>
        <w:t xml:space="preserve">ذكر </w:t>
      </w:r>
      <w:r w:rsidR="00CC29B8" w:rsidRPr="00CC29B8">
        <w:rPr>
          <w:rFonts w:hint="cs"/>
          <w:b/>
          <w:bCs/>
          <w:rtl/>
          <w:lang w:eastAsia="en-US"/>
        </w:rPr>
        <w:t xml:space="preserve">الوفد، حق المحتجزين من طالبي اللجوء والمهاجرين </w:t>
      </w:r>
      <w:r>
        <w:rPr>
          <w:rFonts w:hint="cs"/>
          <w:b/>
          <w:bCs/>
          <w:rtl/>
          <w:lang w:eastAsia="en-US"/>
        </w:rPr>
        <w:t xml:space="preserve">غير الحائزين على </w:t>
      </w:r>
      <w:r w:rsidR="00CC29B8" w:rsidRPr="00CC29B8">
        <w:rPr>
          <w:rFonts w:hint="cs"/>
          <w:b/>
          <w:bCs/>
          <w:rtl/>
          <w:lang w:eastAsia="en-US"/>
        </w:rPr>
        <w:t xml:space="preserve">وثائق </w:t>
      </w:r>
      <w:proofErr w:type="spellStart"/>
      <w:r>
        <w:rPr>
          <w:rFonts w:hint="cs"/>
          <w:b/>
          <w:bCs/>
          <w:rtl/>
          <w:lang w:eastAsia="en-US"/>
        </w:rPr>
        <w:t>ثبوتية</w:t>
      </w:r>
      <w:proofErr w:type="spellEnd"/>
      <w:r>
        <w:rPr>
          <w:rFonts w:hint="cs"/>
          <w:b/>
          <w:bCs/>
          <w:rtl/>
          <w:lang w:eastAsia="en-US"/>
        </w:rPr>
        <w:t xml:space="preserve"> </w:t>
      </w:r>
      <w:r w:rsidR="00CC29B8" w:rsidRPr="00CC29B8">
        <w:rPr>
          <w:rFonts w:hint="cs"/>
          <w:b/>
          <w:bCs/>
          <w:rtl/>
          <w:lang w:eastAsia="en-US"/>
        </w:rPr>
        <w:t xml:space="preserve">في المثول أمام المحكمة وفي </w:t>
      </w:r>
      <w:r>
        <w:rPr>
          <w:rFonts w:hint="cs"/>
          <w:b/>
          <w:bCs/>
          <w:rtl/>
          <w:lang w:eastAsia="en-US"/>
        </w:rPr>
        <w:t xml:space="preserve">اللجوء إلى </w:t>
      </w:r>
      <w:r w:rsidR="00CC29B8" w:rsidRPr="00CC29B8">
        <w:rPr>
          <w:rFonts w:hint="cs"/>
          <w:b/>
          <w:bCs/>
          <w:rtl/>
          <w:lang w:eastAsia="en-US"/>
        </w:rPr>
        <w:t>سبيل طعنٍ فعّالٍ بموجب مشروع قانون الهجرة.</w:t>
      </w:r>
    </w:p>
    <w:p w:rsidR="00CC29B8" w:rsidRPr="00CC29B8" w:rsidRDefault="00CC29B8" w:rsidP="00CC29B8">
      <w:pPr>
        <w:spacing w:before="0" w:line="380" w:lineRule="exact"/>
        <w:rPr>
          <w:rFonts w:hint="cs"/>
          <w:b/>
          <w:bCs/>
          <w:rtl/>
          <w:lang w:eastAsia="en-US"/>
        </w:rPr>
      </w:pPr>
      <w:r w:rsidRPr="00CC29B8">
        <w:rPr>
          <w:rFonts w:hint="cs"/>
          <w:b/>
          <w:bCs/>
          <w:rtl/>
          <w:lang w:eastAsia="en-US"/>
        </w:rPr>
        <w:t>تدريب الموظفين المكلّفين بإنفاذ القانون وموظفي دائرة الهجرة</w:t>
      </w:r>
    </w:p>
    <w:p w:rsidR="00CC29B8" w:rsidRPr="00CC29B8" w:rsidRDefault="00CC29B8" w:rsidP="00E1691B">
      <w:pPr>
        <w:spacing w:before="0" w:line="380" w:lineRule="exact"/>
        <w:rPr>
          <w:rFonts w:hint="cs"/>
          <w:rtl/>
          <w:lang w:eastAsia="en-US"/>
        </w:rPr>
      </w:pPr>
      <w:r w:rsidRPr="00CC29B8">
        <w:rPr>
          <w:rFonts w:hint="cs"/>
          <w:rtl/>
          <w:lang w:eastAsia="en-US"/>
        </w:rPr>
        <w:t>7-</w:t>
      </w:r>
      <w:r w:rsidRPr="00CC29B8">
        <w:rPr>
          <w:rFonts w:hint="cs"/>
          <w:rtl/>
          <w:lang w:eastAsia="en-US"/>
        </w:rPr>
        <w:tab/>
        <w:t xml:space="preserve">تلاحظ اللجنة أن عناصر الشرطة المعيّنين حديثاً وموظفي السجون وأفراد القوات المسلحة يتلقّون تدريباً </w:t>
      </w:r>
      <w:r w:rsidR="00E1691B">
        <w:rPr>
          <w:rFonts w:hint="cs"/>
          <w:rtl/>
          <w:lang w:eastAsia="en-US"/>
        </w:rPr>
        <w:t xml:space="preserve">بشأن </w:t>
      </w:r>
      <w:r w:rsidRPr="00CC29B8">
        <w:rPr>
          <w:rFonts w:hint="cs"/>
          <w:rtl/>
          <w:lang w:eastAsia="en-US"/>
        </w:rPr>
        <w:t>الالتزامات في مجال حقوق الإنسان. بيد أنها تشعر بالقلق إزاء عدم كفاية التدريب المتوفر لموظفي دائرة الهجرة ولل</w:t>
      </w:r>
      <w:r w:rsidR="00E1691B">
        <w:rPr>
          <w:rFonts w:hint="cs"/>
          <w:rtl/>
          <w:lang w:eastAsia="en-US"/>
        </w:rPr>
        <w:t>موظفين</w:t>
      </w:r>
      <w:r w:rsidRPr="00CC29B8">
        <w:rPr>
          <w:rFonts w:hint="cs"/>
          <w:rtl/>
          <w:lang w:eastAsia="en-US"/>
        </w:rPr>
        <w:t xml:space="preserve"> في مراكز احتجاز المهاجرين. (المادة 10)</w:t>
      </w:r>
    </w:p>
    <w:p w:rsidR="00CC29B8" w:rsidRPr="00CC29B8" w:rsidRDefault="00CC29B8" w:rsidP="00BE5DBF">
      <w:pPr>
        <w:tabs>
          <w:tab w:val="left" w:pos="714"/>
        </w:tabs>
        <w:spacing w:before="0" w:line="380" w:lineRule="exact"/>
        <w:ind w:left="714"/>
        <w:rPr>
          <w:rFonts w:hint="cs"/>
          <w:b/>
          <w:bCs/>
          <w:rtl/>
          <w:lang w:eastAsia="en-US"/>
        </w:rPr>
      </w:pPr>
      <w:r w:rsidRPr="00CC29B8">
        <w:rPr>
          <w:rFonts w:hint="cs"/>
          <w:b/>
          <w:bCs/>
          <w:rtl/>
          <w:lang w:eastAsia="en-US"/>
        </w:rPr>
        <w:t xml:space="preserve">ينبغي </w:t>
      </w:r>
      <w:r w:rsidR="00E1691B">
        <w:rPr>
          <w:rFonts w:hint="cs"/>
          <w:b/>
          <w:bCs/>
          <w:rtl/>
          <w:lang w:eastAsia="en-US"/>
        </w:rPr>
        <w:t>للدولة</w:t>
      </w:r>
      <w:r w:rsidRPr="00CC29B8">
        <w:rPr>
          <w:rFonts w:hint="cs"/>
          <w:b/>
          <w:bCs/>
          <w:rtl/>
          <w:lang w:eastAsia="en-US"/>
        </w:rPr>
        <w:t xml:space="preserve"> الطرف أن تضمن التثقيف والتدريب المنتظم لجميع </w:t>
      </w:r>
      <w:proofErr w:type="spellStart"/>
      <w:r w:rsidR="00E1691B">
        <w:rPr>
          <w:rFonts w:hint="cs"/>
          <w:b/>
          <w:bCs/>
          <w:rtl/>
          <w:lang w:eastAsia="en-US"/>
        </w:rPr>
        <w:t>المسؤولين</w:t>
      </w:r>
      <w:proofErr w:type="spellEnd"/>
      <w:r w:rsidR="00E1691B">
        <w:rPr>
          <w:rFonts w:hint="cs"/>
          <w:b/>
          <w:bCs/>
          <w:rtl/>
          <w:lang w:eastAsia="en-US"/>
        </w:rPr>
        <w:t xml:space="preserve"> و</w:t>
      </w:r>
      <w:r w:rsidRPr="00CC29B8">
        <w:rPr>
          <w:rFonts w:hint="cs"/>
          <w:b/>
          <w:bCs/>
          <w:rtl/>
          <w:lang w:eastAsia="en-US"/>
        </w:rPr>
        <w:t xml:space="preserve">الموظفين في مجال الهجرة الذين يعملون في مراكز الاحتجاز التابعة لدائرة الهجرة، بمن فيهم </w:t>
      </w:r>
      <w:proofErr w:type="spellStart"/>
      <w:r w:rsidRPr="00CC29B8">
        <w:rPr>
          <w:rFonts w:hint="cs"/>
          <w:b/>
          <w:bCs/>
          <w:rtl/>
          <w:lang w:eastAsia="en-US"/>
        </w:rPr>
        <w:t>الطواقم</w:t>
      </w:r>
      <w:proofErr w:type="spellEnd"/>
      <w:r w:rsidRPr="00CC29B8">
        <w:rPr>
          <w:rFonts w:hint="cs"/>
          <w:b/>
          <w:bCs/>
          <w:rtl/>
          <w:lang w:eastAsia="en-US"/>
        </w:rPr>
        <w:t xml:space="preserve"> الطبية</w:t>
      </w:r>
      <w:r w:rsidR="002D655E">
        <w:rPr>
          <w:rFonts w:hint="cs"/>
          <w:b/>
          <w:bCs/>
          <w:rtl/>
          <w:lang w:eastAsia="en-US"/>
        </w:rPr>
        <w:t>. وينبغي ل</w:t>
      </w:r>
      <w:r w:rsidRPr="00CC29B8">
        <w:rPr>
          <w:rFonts w:hint="cs"/>
          <w:b/>
          <w:bCs/>
          <w:rtl/>
          <w:lang w:eastAsia="en-US"/>
        </w:rPr>
        <w:t xml:space="preserve">لدولة الطرف أيضاً أن تستمر في ضمان إتاحة التدريب الملائم للعاملين </w:t>
      </w:r>
      <w:r w:rsidR="002D655E">
        <w:rPr>
          <w:rFonts w:hint="cs"/>
          <w:b/>
          <w:bCs/>
          <w:rtl/>
          <w:lang w:eastAsia="en-US"/>
        </w:rPr>
        <w:t>فيما يتعلق بكشف عل</w:t>
      </w:r>
      <w:r w:rsidRPr="00CC29B8">
        <w:rPr>
          <w:rFonts w:hint="cs"/>
          <w:b/>
          <w:bCs/>
          <w:rtl/>
          <w:lang w:eastAsia="en-US"/>
        </w:rPr>
        <w:t>ا</w:t>
      </w:r>
      <w:r w:rsidR="002D655E">
        <w:rPr>
          <w:rFonts w:hint="cs"/>
          <w:b/>
          <w:bCs/>
          <w:rtl/>
          <w:lang w:eastAsia="en-US"/>
        </w:rPr>
        <w:t>ما</w:t>
      </w:r>
      <w:r w:rsidRPr="00CC29B8">
        <w:rPr>
          <w:rFonts w:hint="cs"/>
          <w:b/>
          <w:bCs/>
          <w:rtl/>
          <w:lang w:eastAsia="en-US"/>
        </w:rPr>
        <w:t>ت التعذيب البدني والنفسي وسوء المعاملة ال</w:t>
      </w:r>
      <w:r w:rsidR="002D655E">
        <w:rPr>
          <w:rFonts w:hint="cs"/>
          <w:b/>
          <w:bCs/>
          <w:rtl/>
          <w:lang w:eastAsia="en-US"/>
        </w:rPr>
        <w:t>لذي</w:t>
      </w:r>
      <w:r w:rsidRPr="00CC29B8">
        <w:rPr>
          <w:rFonts w:hint="cs"/>
          <w:b/>
          <w:bCs/>
          <w:rtl/>
          <w:lang w:eastAsia="en-US"/>
        </w:rPr>
        <w:t>ن يتعرض لهما الأشخاص المحرومو</w:t>
      </w:r>
      <w:r w:rsidR="002D655E">
        <w:rPr>
          <w:rFonts w:hint="cs"/>
          <w:b/>
          <w:bCs/>
          <w:rtl/>
          <w:lang w:eastAsia="en-US"/>
        </w:rPr>
        <w:t>ن من حريتهم، وينبغي ل</w:t>
      </w:r>
      <w:r w:rsidRPr="00CC29B8">
        <w:rPr>
          <w:rFonts w:hint="cs"/>
          <w:b/>
          <w:bCs/>
          <w:rtl/>
          <w:lang w:eastAsia="en-US"/>
        </w:rPr>
        <w:t xml:space="preserve">ها أن تدرج أحكام بروتوكول اسطنبول (دليل التقصي والتوثيق الفعّالين للتعذيب وغيره من ضروب المعاملة أو العقوبة القاسية أو </w:t>
      </w:r>
      <w:proofErr w:type="spellStart"/>
      <w:r w:rsidRPr="00CC29B8">
        <w:rPr>
          <w:rFonts w:hint="cs"/>
          <w:b/>
          <w:bCs/>
          <w:rtl/>
          <w:lang w:eastAsia="en-US"/>
        </w:rPr>
        <w:t>اللاإنسانية</w:t>
      </w:r>
      <w:proofErr w:type="spellEnd"/>
      <w:r w:rsidRPr="00CC29B8">
        <w:rPr>
          <w:rFonts w:hint="cs"/>
          <w:b/>
          <w:bCs/>
          <w:rtl/>
          <w:lang w:eastAsia="en-US"/>
        </w:rPr>
        <w:t xml:space="preserve"> أو المهينة) في تدريب جميع المهنيين الذين يقومون بالتحقيق في حالات التعذيب وبتوثيقها. وبالإضافة إلى ذلك، </w:t>
      </w:r>
      <w:r w:rsidR="002D655E">
        <w:rPr>
          <w:rFonts w:hint="cs"/>
          <w:b/>
          <w:bCs/>
          <w:rtl/>
          <w:lang w:eastAsia="en-US"/>
        </w:rPr>
        <w:t>ينبغي للدولة</w:t>
      </w:r>
      <w:r w:rsidRPr="00CC29B8">
        <w:rPr>
          <w:rFonts w:hint="cs"/>
          <w:b/>
          <w:bCs/>
          <w:rtl/>
          <w:lang w:eastAsia="en-US"/>
        </w:rPr>
        <w:t xml:space="preserve"> الطرف أن تواصل تقييم</w:t>
      </w:r>
      <w:r w:rsidR="002D655E">
        <w:rPr>
          <w:rFonts w:hint="cs"/>
          <w:b/>
          <w:bCs/>
          <w:rtl/>
          <w:lang w:eastAsia="en-US"/>
        </w:rPr>
        <w:t xml:space="preserve"> مدى</w:t>
      </w:r>
      <w:r w:rsidRPr="00CC29B8">
        <w:rPr>
          <w:rFonts w:hint="cs"/>
          <w:b/>
          <w:bCs/>
          <w:rtl/>
          <w:lang w:eastAsia="en-US"/>
        </w:rPr>
        <w:t xml:space="preserve"> فعالية و</w:t>
      </w:r>
      <w:r w:rsidR="002D655E">
        <w:rPr>
          <w:rFonts w:hint="cs"/>
          <w:b/>
          <w:bCs/>
          <w:rtl/>
          <w:lang w:eastAsia="en-US"/>
        </w:rPr>
        <w:t xml:space="preserve">تأثير </w:t>
      </w:r>
      <w:r w:rsidRPr="00CC29B8">
        <w:rPr>
          <w:rFonts w:hint="cs"/>
          <w:b/>
          <w:bCs/>
          <w:rtl/>
          <w:lang w:eastAsia="en-US"/>
        </w:rPr>
        <w:t>جميع برامجها التدريبية المتعلقة بمنع التعذيب وسوء المعاملة وبالحماية منهما.</w:t>
      </w:r>
    </w:p>
    <w:p w:rsidR="00CC29B8" w:rsidRPr="00CC29B8" w:rsidRDefault="00CC29B8" w:rsidP="00CC29B8">
      <w:pPr>
        <w:spacing w:before="0" w:line="380" w:lineRule="exact"/>
        <w:rPr>
          <w:rFonts w:hint="cs"/>
          <w:b/>
          <w:bCs/>
          <w:rtl/>
          <w:lang w:eastAsia="en-US"/>
        </w:rPr>
      </w:pPr>
      <w:r w:rsidRPr="00CC29B8">
        <w:rPr>
          <w:rFonts w:hint="cs"/>
          <w:b/>
          <w:bCs/>
          <w:rtl/>
          <w:lang w:eastAsia="en-US"/>
        </w:rPr>
        <w:t>قضاء الأحداث</w:t>
      </w:r>
    </w:p>
    <w:p w:rsidR="00CC29B8" w:rsidRPr="002D655E" w:rsidRDefault="00CC29B8" w:rsidP="002D655E">
      <w:pPr>
        <w:spacing w:before="0" w:line="380" w:lineRule="exact"/>
        <w:rPr>
          <w:rFonts w:hint="cs"/>
          <w:spacing w:val="2"/>
          <w:rtl/>
          <w:lang w:eastAsia="en-US"/>
        </w:rPr>
      </w:pPr>
      <w:r w:rsidRPr="002D655E">
        <w:rPr>
          <w:rFonts w:hint="cs"/>
          <w:spacing w:val="2"/>
          <w:rtl/>
          <w:lang w:eastAsia="en-US"/>
        </w:rPr>
        <w:t>8-</w:t>
      </w:r>
      <w:r w:rsidRPr="002D655E">
        <w:rPr>
          <w:rFonts w:hint="cs"/>
          <w:spacing w:val="2"/>
          <w:rtl/>
          <w:lang w:eastAsia="en-US"/>
        </w:rPr>
        <w:tab/>
        <w:t xml:space="preserve">مع أن اللجنة ترحب بالبيان الصادر عن الدولة الطرف </w:t>
      </w:r>
      <w:r w:rsidR="002D655E" w:rsidRPr="002D655E">
        <w:rPr>
          <w:rFonts w:hint="cs"/>
          <w:spacing w:val="2"/>
          <w:rtl/>
          <w:lang w:eastAsia="en-US"/>
        </w:rPr>
        <w:t>ومفاده</w:t>
      </w:r>
      <w:r w:rsidRPr="002D655E">
        <w:rPr>
          <w:rFonts w:hint="cs"/>
          <w:spacing w:val="2"/>
          <w:rtl/>
          <w:lang w:eastAsia="en-US"/>
        </w:rPr>
        <w:t xml:space="preserve"> أن دائرة الإجراءات التأديبية </w:t>
      </w:r>
      <w:r w:rsidR="002D655E" w:rsidRPr="002D655E">
        <w:rPr>
          <w:rFonts w:hint="cs"/>
          <w:spacing w:val="2"/>
          <w:rtl/>
          <w:lang w:eastAsia="en-US"/>
        </w:rPr>
        <w:t xml:space="preserve">قد </w:t>
      </w:r>
      <w:r w:rsidRPr="002D655E">
        <w:rPr>
          <w:rFonts w:hint="cs"/>
          <w:spacing w:val="2"/>
          <w:rtl/>
          <w:lang w:eastAsia="en-US"/>
        </w:rPr>
        <w:t xml:space="preserve">أنشأت أربع وحدات متخصصة للشبان في سجون الذكور في عام 2005، فإنها تشعر بالقلق لأنه لا يتم بصورة منهجية فصل الجانحين الأحداث عن الجانحين </w:t>
      </w:r>
      <w:r w:rsidR="002D655E" w:rsidRPr="002D655E">
        <w:rPr>
          <w:rFonts w:hint="cs"/>
          <w:spacing w:val="2"/>
          <w:rtl/>
          <w:lang w:eastAsia="en-US"/>
        </w:rPr>
        <w:t>الكبار</w:t>
      </w:r>
      <w:r w:rsidRPr="002D655E">
        <w:rPr>
          <w:rFonts w:hint="cs"/>
          <w:spacing w:val="2"/>
          <w:rtl/>
          <w:lang w:eastAsia="en-US"/>
        </w:rPr>
        <w:t>، ولأن الجانحين الأحداث</w:t>
      </w:r>
      <w:r w:rsidR="002D655E" w:rsidRPr="002D655E">
        <w:rPr>
          <w:rFonts w:hint="cs"/>
          <w:spacing w:val="2"/>
          <w:rtl/>
          <w:lang w:eastAsia="en-US"/>
        </w:rPr>
        <w:t xml:space="preserve"> يظلون</w:t>
      </w:r>
      <w:r w:rsidRPr="002D655E">
        <w:rPr>
          <w:rFonts w:hint="cs"/>
          <w:spacing w:val="2"/>
          <w:rtl/>
          <w:lang w:eastAsia="en-US"/>
        </w:rPr>
        <w:t>، في بعض الحالات،</w:t>
      </w:r>
      <w:r w:rsidR="00DE0A0A" w:rsidRPr="002D655E">
        <w:rPr>
          <w:rFonts w:hint="cs"/>
          <w:spacing w:val="2"/>
          <w:rtl/>
          <w:lang w:eastAsia="en-US"/>
        </w:rPr>
        <w:t xml:space="preserve"> </w:t>
      </w:r>
      <w:r w:rsidR="002D655E" w:rsidRPr="002D655E">
        <w:rPr>
          <w:rFonts w:hint="cs"/>
          <w:spacing w:val="2"/>
          <w:rtl/>
          <w:lang w:eastAsia="en-US"/>
        </w:rPr>
        <w:t xml:space="preserve">محتجزين </w:t>
      </w:r>
      <w:r w:rsidRPr="002D655E">
        <w:rPr>
          <w:rFonts w:hint="cs"/>
          <w:spacing w:val="2"/>
          <w:rtl/>
          <w:lang w:eastAsia="en-US"/>
        </w:rPr>
        <w:t xml:space="preserve">شهوراً في زنازين مخافر الشرطة. وعلاوة على ذلك، يساور اللجنة </w:t>
      </w:r>
      <w:r w:rsidR="002D655E" w:rsidRPr="002D655E">
        <w:rPr>
          <w:rFonts w:hint="cs"/>
          <w:spacing w:val="2"/>
          <w:rtl/>
          <w:lang w:eastAsia="en-US"/>
        </w:rPr>
        <w:t xml:space="preserve">قلق </w:t>
      </w:r>
      <w:r w:rsidRPr="002D655E">
        <w:rPr>
          <w:rFonts w:hint="cs"/>
          <w:spacing w:val="2"/>
          <w:rtl/>
          <w:lang w:eastAsia="en-US"/>
        </w:rPr>
        <w:t>بشأن صغر السن التي تُحمَّل فيها المسؤولية الجنائية وإزاء عدم منح الحماية الخاصة المنصوص عليها في قانون الأطفال والشباب وأسرهم الصادر في عام 1989 لجميع الأشخاص المخالفين للقانون</w:t>
      </w:r>
      <w:r w:rsidR="002D655E" w:rsidRPr="002D655E">
        <w:rPr>
          <w:rFonts w:hint="cs"/>
          <w:spacing w:val="2"/>
          <w:rtl/>
          <w:lang w:eastAsia="en-US"/>
        </w:rPr>
        <w:t xml:space="preserve"> ممن تقل أعمارهم عن 18 سنة.</w:t>
      </w:r>
      <w:r w:rsidRPr="002D655E">
        <w:rPr>
          <w:rFonts w:hint="cs"/>
          <w:spacing w:val="2"/>
          <w:rtl/>
          <w:lang w:eastAsia="en-US"/>
        </w:rPr>
        <w:t xml:space="preserve"> وتشعر اللجنة بالقلق أيضاً لأن الدولة الطرف </w:t>
      </w:r>
      <w:r w:rsidR="002D655E" w:rsidRPr="002D655E">
        <w:rPr>
          <w:rFonts w:hint="cs"/>
          <w:spacing w:val="2"/>
          <w:rtl/>
          <w:lang w:eastAsia="en-US"/>
        </w:rPr>
        <w:t>قد تمسكت ب</w:t>
      </w:r>
      <w:r w:rsidRPr="002D655E">
        <w:rPr>
          <w:rFonts w:hint="cs"/>
          <w:spacing w:val="2"/>
          <w:rtl/>
          <w:lang w:eastAsia="en-US"/>
        </w:rPr>
        <w:t>تحفظها على المادة</w:t>
      </w:r>
      <w:r w:rsidR="002D655E">
        <w:rPr>
          <w:rFonts w:hint="eastAsia"/>
          <w:spacing w:val="2"/>
          <w:rtl/>
          <w:lang w:eastAsia="en-US"/>
        </w:rPr>
        <w:t> </w:t>
      </w:r>
      <w:r w:rsidRPr="002D655E">
        <w:rPr>
          <w:rFonts w:hint="cs"/>
          <w:spacing w:val="2"/>
          <w:rtl/>
          <w:lang w:eastAsia="en-US"/>
        </w:rPr>
        <w:t xml:space="preserve">37(ج) من اتفاقية حقوق الطفل بشأن اختلاط الجانحين الأحداث </w:t>
      </w:r>
      <w:r w:rsidR="002D655E" w:rsidRPr="002D655E">
        <w:rPr>
          <w:rFonts w:hint="cs"/>
          <w:spacing w:val="2"/>
          <w:rtl/>
          <w:lang w:eastAsia="en-US"/>
        </w:rPr>
        <w:t>والكبار</w:t>
      </w:r>
      <w:r w:rsidRPr="002D655E">
        <w:rPr>
          <w:rFonts w:hint="cs"/>
          <w:spacing w:val="2"/>
          <w:rtl/>
          <w:lang w:eastAsia="en-US"/>
        </w:rPr>
        <w:t>. (المادتان 11 و16)</w:t>
      </w:r>
    </w:p>
    <w:p w:rsidR="00CC29B8" w:rsidRPr="00CC29B8" w:rsidRDefault="002D655E" w:rsidP="00AB28A0">
      <w:pPr>
        <w:spacing w:before="0" w:after="120" w:line="380" w:lineRule="exact"/>
        <w:ind w:firstLine="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w:t>
      </w:r>
    </w:p>
    <w:p w:rsidR="00CC29B8" w:rsidRPr="00CC29B8" w:rsidRDefault="00CC29B8" w:rsidP="00AB28A0">
      <w:pPr>
        <w:spacing w:before="0" w:after="120" w:line="380" w:lineRule="exact"/>
        <w:ind w:firstLine="720"/>
        <w:rPr>
          <w:rFonts w:hint="cs"/>
          <w:b/>
          <w:bCs/>
          <w:rtl/>
          <w:lang w:eastAsia="en-US"/>
        </w:rPr>
      </w:pPr>
      <w:r w:rsidRPr="00CC29B8">
        <w:rPr>
          <w:rFonts w:hint="cs"/>
          <w:b/>
          <w:bCs/>
          <w:rtl/>
          <w:lang w:eastAsia="en-US"/>
        </w:rPr>
        <w:t>(أ)</w:t>
      </w:r>
      <w:r w:rsidRPr="00CC29B8">
        <w:rPr>
          <w:rFonts w:hint="cs"/>
          <w:b/>
          <w:bCs/>
          <w:rtl/>
          <w:lang w:eastAsia="en-US"/>
        </w:rPr>
        <w:tab/>
        <w:t>أن تضمن تنفيذ معايير قضاء الأحداث وكذلك قواعد الأمم المتحدة النموذجية الدنيا لإدارة شؤون قضاء الأحداث (قواعد بيجين) ومبادئ الأمم المتحدة التوجيهية لمنع جنوح الأحداث (مبادئ الرياض التوجيهية) تنفيذاً كاملاً، وبالتالي رفع سن المسؤولية الجنائية تقيداً بالمعايير الدولية المقبولة؛</w:t>
      </w:r>
    </w:p>
    <w:p w:rsidR="00CC29B8" w:rsidRPr="00AB28A0" w:rsidRDefault="00CC29B8" w:rsidP="00AB28A0">
      <w:pPr>
        <w:spacing w:before="0" w:after="120" w:line="380" w:lineRule="exact"/>
        <w:ind w:firstLine="720"/>
        <w:rPr>
          <w:rFonts w:hint="cs"/>
          <w:b/>
          <w:bCs/>
          <w:spacing w:val="0"/>
          <w:rtl/>
          <w:lang w:eastAsia="en-US"/>
        </w:rPr>
      </w:pPr>
      <w:r w:rsidRPr="00AB28A0">
        <w:rPr>
          <w:rFonts w:hint="cs"/>
          <w:b/>
          <w:bCs/>
          <w:spacing w:val="0"/>
          <w:rtl/>
          <w:lang w:eastAsia="en-US"/>
        </w:rPr>
        <w:t>(ب)</w:t>
      </w:r>
      <w:r w:rsidRPr="00AB28A0">
        <w:rPr>
          <w:rFonts w:hint="cs"/>
          <w:b/>
          <w:bCs/>
          <w:spacing w:val="0"/>
          <w:rtl/>
          <w:lang w:eastAsia="en-US"/>
        </w:rPr>
        <w:tab/>
        <w:t xml:space="preserve">أن </w:t>
      </w:r>
      <w:r w:rsidR="00AB28A0" w:rsidRPr="00AB28A0">
        <w:rPr>
          <w:rFonts w:hint="cs"/>
          <w:b/>
          <w:bCs/>
          <w:spacing w:val="0"/>
          <w:rtl/>
          <w:lang w:eastAsia="en-US"/>
        </w:rPr>
        <w:t>تضمن اعتماد</w:t>
      </w:r>
      <w:r w:rsidRPr="00AB28A0">
        <w:rPr>
          <w:rFonts w:hint="cs"/>
          <w:b/>
          <w:bCs/>
          <w:spacing w:val="0"/>
          <w:rtl/>
          <w:lang w:eastAsia="en-US"/>
        </w:rPr>
        <w:t xml:space="preserve"> مشروع القانون المعدِّل لقانون الأطفال والشباب وأسرهم الصادر في عام</w:t>
      </w:r>
      <w:r w:rsidR="00AB28A0">
        <w:rPr>
          <w:rFonts w:hint="eastAsia"/>
          <w:b/>
          <w:bCs/>
          <w:spacing w:val="0"/>
          <w:rtl/>
          <w:lang w:eastAsia="en-US"/>
        </w:rPr>
        <w:t> </w:t>
      </w:r>
      <w:r w:rsidRPr="00AB28A0">
        <w:rPr>
          <w:rFonts w:hint="cs"/>
          <w:b/>
          <w:bCs/>
          <w:spacing w:val="0"/>
          <w:rtl/>
          <w:lang w:eastAsia="en-US"/>
        </w:rPr>
        <w:t>1989 بغية ضمان منح حماية خاصة لجميع الأشخاص دون المخالفين للقانون</w:t>
      </w:r>
      <w:r w:rsidR="00AB28A0" w:rsidRPr="00AB28A0">
        <w:rPr>
          <w:rFonts w:hint="cs"/>
          <w:b/>
          <w:bCs/>
          <w:spacing w:val="0"/>
          <w:rtl/>
          <w:lang w:eastAsia="en-US"/>
        </w:rPr>
        <w:t xml:space="preserve"> ممن تقل أعمارهم عن 18 سنة</w:t>
      </w:r>
      <w:r w:rsidRPr="00AB28A0">
        <w:rPr>
          <w:rFonts w:hint="cs"/>
          <w:b/>
          <w:bCs/>
          <w:spacing w:val="0"/>
          <w:rtl/>
          <w:lang w:eastAsia="en-US"/>
        </w:rPr>
        <w:t>؛</w:t>
      </w:r>
    </w:p>
    <w:p w:rsidR="00CC29B8" w:rsidRPr="00CC29B8" w:rsidRDefault="00CC29B8" w:rsidP="004C0731">
      <w:pPr>
        <w:spacing w:before="0" w:after="120" w:line="380" w:lineRule="exact"/>
        <w:ind w:firstLine="720"/>
        <w:rPr>
          <w:rFonts w:hint="cs"/>
          <w:b/>
          <w:bCs/>
          <w:rtl/>
          <w:lang w:eastAsia="en-US"/>
        </w:rPr>
      </w:pPr>
      <w:r w:rsidRPr="00CC29B8">
        <w:rPr>
          <w:rFonts w:hint="cs"/>
          <w:b/>
          <w:bCs/>
          <w:rtl/>
          <w:lang w:eastAsia="en-US"/>
        </w:rPr>
        <w:t>(ج)</w:t>
      </w:r>
      <w:r w:rsidRPr="00CC29B8">
        <w:rPr>
          <w:rFonts w:hint="cs"/>
          <w:b/>
          <w:bCs/>
          <w:rtl/>
          <w:lang w:eastAsia="en-US"/>
        </w:rPr>
        <w:tab/>
        <w:t xml:space="preserve">أن تضمن توفر عدد كاف من المرافق الخاصة بالشباب حتى يُفصل جميع الأحداث المخالفين للقانون عن </w:t>
      </w:r>
      <w:r w:rsidR="004C0731">
        <w:rPr>
          <w:rFonts w:hint="cs"/>
          <w:b/>
          <w:bCs/>
          <w:rtl/>
          <w:lang w:eastAsia="en-US"/>
        </w:rPr>
        <w:t>الكبار</w:t>
      </w:r>
      <w:r w:rsidRPr="00CC29B8">
        <w:rPr>
          <w:rFonts w:hint="cs"/>
          <w:b/>
          <w:bCs/>
          <w:rtl/>
          <w:lang w:eastAsia="en-US"/>
        </w:rPr>
        <w:t xml:space="preserve"> أثناء الاحتجاز السابق للمحاكمة وكذلك بعد اتخاذ إجراء تأديبي؛</w:t>
      </w:r>
    </w:p>
    <w:p w:rsidR="00CC29B8" w:rsidRPr="00CC29B8" w:rsidRDefault="00CC29B8" w:rsidP="008B1C67">
      <w:pPr>
        <w:spacing w:before="0" w:line="380" w:lineRule="exact"/>
        <w:ind w:firstLine="720"/>
        <w:rPr>
          <w:rFonts w:hint="cs"/>
          <w:b/>
          <w:bCs/>
          <w:rtl/>
          <w:lang w:eastAsia="en-US"/>
        </w:rPr>
      </w:pPr>
      <w:r w:rsidRPr="00CC29B8">
        <w:rPr>
          <w:rFonts w:hint="cs"/>
          <w:b/>
          <w:bCs/>
          <w:rtl/>
          <w:lang w:eastAsia="en-US"/>
        </w:rPr>
        <w:t>(د)</w:t>
      </w:r>
      <w:r w:rsidRPr="00CC29B8">
        <w:rPr>
          <w:rFonts w:hint="cs"/>
          <w:b/>
          <w:bCs/>
          <w:rtl/>
          <w:lang w:eastAsia="en-US"/>
        </w:rPr>
        <w:tab/>
        <w:t xml:space="preserve">أن تعجل بإجراء التغييرات في التشريعات والإجراءات الإدارية التي </w:t>
      </w:r>
      <w:proofErr w:type="spellStart"/>
      <w:r w:rsidRPr="00CC29B8">
        <w:rPr>
          <w:rFonts w:hint="cs"/>
          <w:b/>
          <w:bCs/>
          <w:rtl/>
          <w:lang w:eastAsia="en-US"/>
        </w:rPr>
        <w:t>يستلزمها</w:t>
      </w:r>
      <w:proofErr w:type="spellEnd"/>
      <w:r w:rsidRPr="00CC29B8">
        <w:rPr>
          <w:rFonts w:hint="cs"/>
          <w:b/>
          <w:bCs/>
          <w:rtl/>
          <w:lang w:eastAsia="en-US"/>
        </w:rPr>
        <w:t xml:space="preserve"> سحب تحفظها على الفقرة (ج) من المادة 37 من اتفاقية حقوق الطفل.</w:t>
      </w:r>
    </w:p>
    <w:p w:rsidR="00CC29B8" w:rsidRPr="00CC29B8" w:rsidRDefault="00CC29B8" w:rsidP="00CC29B8">
      <w:pPr>
        <w:spacing w:before="0" w:line="380" w:lineRule="exact"/>
        <w:rPr>
          <w:rFonts w:hint="cs"/>
          <w:b/>
          <w:bCs/>
          <w:rtl/>
          <w:lang w:eastAsia="en-US"/>
        </w:rPr>
      </w:pPr>
      <w:r w:rsidRPr="00CC29B8">
        <w:rPr>
          <w:rFonts w:hint="cs"/>
          <w:b/>
          <w:bCs/>
          <w:rtl/>
          <w:lang w:eastAsia="en-US"/>
        </w:rPr>
        <w:t>ظروف الاحتجاز</w:t>
      </w:r>
    </w:p>
    <w:p w:rsidR="00CC29B8" w:rsidRPr="00CC29B8" w:rsidRDefault="00CC29B8" w:rsidP="00BE5DBF">
      <w:pPr>
        <w:spacing w:before="0" w:line="380" w:lineRule="exact"/>
        <w:rPr>
          <w:rFonts w:hint="cs"/>
          <w:rtl/>
          <w:lang w:eastAsia="en-US"/>
        </w:rPr>
      </w:pPr>
      <w:r w:rsidRPr="00CC29B8">
        <w:rPr>
          <w:rFonts w:hint="cs"/>
          <w:rtl/>
          <w:lang w:eastAsia="en-US"/>
        </w:rPr>
        <w:t>9-</w:t>
      </w:r>
      <w:r w:rsidRPr="00CC29B8">
        <w:rPr>
          <w:rFonts w:hint="cs"/>
          <w:rtl/>
          <w:lang w:eastAsia="en-US"/>
        </w:rPr>
        <w:tab/>
      </w:r>
      <w:r w:rsidR="004C0731">
        <w:rPr>
          <w:rFonts w:hint="cs"/>
          <w:rtl/>
          <w:lang w:eastAsia="en-US"/>
        </w:rPr>
        <w:t xml:space="preserve">تلاحظ اللجنة بقلق </w:t>
      </w:r>
      <w:r w:rsidRPr="00CC29B8">
        <w:rPr>
          <w:rFonts w:hint="cs"/>
          <w:rtl/>
          <w:lang w:eastAsia="en-US"/>
        </w:rPr>
        <w:t>عدم كفاية عدد مرافق السج</w:t>
      </w:r>
      <w:r w:rsidR="004C0731">
        <w:rPr>
          <w:rFonts w:hint="cs"/>
          <w:rtl/>
          <w:lang w:eastAsia="en-US"/>
        </w:rPr>
        <w:t>و</w:t>
      </w:r>
      <w:r w:rsidRPr="00CC29B8">
        <w:rPr>
          <w:rFonts w:hint="cs"/>
          <w:rtl/>
          <w:lang w:eastAsia="en-US"/>
        </w:rPr>
        <w:t>ن في ضوء الارتفاع المتوقع في أعداد السجناء الذي قد</w:t>
      </w:r>
      <w:r w:rsidR="00BE5DBF">
        <w:rPr>
          <w:rFonts w:hint="eastAsia"/>
          <w:rtl/>
          <w:lang w:eastAsia="en-US"/>
        </w:rPr>
        <w:t> </w:t>
      </w:r>
      <w:r w:rsidRPr="00CC29B8">
        <w:rPr>
          <w:rFonts w:hint="cs"/>
          <w:rtl/>
          <w:lang w:eastAsia="en-US"/>
        </w:rPr>
        <w:t xml:space="preserve">يؤدي إلى </w:t>
      </w:r>
      <w:r w:rsidR="004C0731">
        <w:rPr>
          <w:rFonts w:hint="cs"/>
          <w:rtl/>
          <w:lang w:eastAsia="en-US"/>
        </w:rPr>
        <w:t xml:space="preserve">ممارسة </w:t>
      </w:r>
      <w:r w:rsidRPr="00CC29B8">
        <w:rPr>
          <w:rFonts w:hint="cs"/>
          <w:rtl/>
          <w:lang w:eastAsia="en-US"/>
        </w:rPr>
        <w:t xml:space="preserve">العنف </w:t>
      </w:r>
      <w:r w:rsidR="004C0731">
        <w:rPr>
          <w:rFonts w:hint="cs"/>
          <w:rtl/>
          <w:lang w:eastAsia="en-US"/>
        </w:rPr>
        <w:t xml:space="preserve">فيما </w:t>
      </w:r>
      <w:r w:rsidRPr="00CC29B8">
        <w:rPr>
          <w:rFonts w:hint="cs"/>
          <w:rtl/>
          <w:lang w:eastAsia="en-US"/>
        </w:rPr>
        <w:t>بينهم</w:t>
      </w:r>
      <w:r w:rsidR="004C0731">
        <w:rPr>
          <w:rFonts w:hint="cs"/>
          <w:rtl/>
          <w:lang w:eastAsia="en-US"/>
        </w:rPr>
        <w:t xml:space="preserve">. ويساور اللجنة </w:t>
      </w:r>
      <w:r w:rsidRPr="00CC29B8">
        <w:rPr>
          <w:rFonts w:hint="cs"/>
          <w:rtl/>
          <w:lang w:eastAsia="en-US"/>
        </w:rPr>
        <w:t xml:space="preserve">قلق أيضاً بسبب عدم كفاية ما يتم توفيره من رعاية </w:t>
      </w:r>
      <w:r w:rsidR="004C0731">
        <w:rPr>
          <w:rFonts w:hint="cs"/>
          <w:rtl/>
          <w:lang w:eastAsia="en-US"/>
        </w:rPr>
        <w:t>للصحة ال</w:t>
      </w:r>
      <w:r w:rsidRPr="00CC29B8">
        <w:rPr>
          <w:rFonts w:hint="cs"/>
          <w:rtl/>
          <w:lang w:eastAsia="en-US"/>
        </w:rPr>
        <w:t>عقلية ومن خدمات قانونية للسجناء المصابين بمرض عقلي. وتشعر اللجنة بالقلق إزاء استخدام سلطات السجون أدوات لتقييد الحركة من شأنها أن تتسبب في ألم وإذلال لا داعي لهما. (المادتان 11 و16)</w:t>
      </w:r>
    </w:p>
    <w:p w:rsidR="00CC29B8" w:rsidRPr="00CC29B8" w:rsidRDefault="00CC29B8" w:rsidP="00BE5DBF">
      <w:pPr>
        <w:spacing w:before="0" w:line="380" w:lineRule="exact"/>
        <w:ind w:left="720"/>
        <w:rPr>
          <w:rFonts w:hint="cs"/>
          <w:b/>
          <w:bCs/>
          <w:rtl/>
          <w:lang w:eastAsia="en-US"/>
        </w:rPr>
      </w:pPr>
      <w:r w:rsidRPr="00CC29B8">
        <w:rPr>
          <w:rFonts w:hint="cs"/>
          <w:b/>
          <w:bCs/>
          <w:rtl/>
          <w:lang w:eastAsia="en-US"/>
        </w:rPr>
        <w:t xml:space="preserve">من أجل تحسين الترتيبات المتخذة للتحفظ على الأشخاص المحرومين من حريتهم، </w:t>
      </w:r>
      <w:r w:rsidR="002D655E">
        <w:rPr>
          <w:rFonts w:hint="cs"/>
          <w:b/>
          <w:bCs/>
          <w:rtl/>
          <w:lang w:eastAsia="en-US"/>
        </w:rPr>
        <w:t>ينبغي للدولة</w:t>
      </w:r>
      <w:r w:rsidRPr="00CC29B8">
        <w:rPr>
          <w:rFonts w:hint="cs"/>
          <w:b/>
          <w:bCs/>
          <w:rtl/>
          <w:lang w:eastAsia="en-US"/>
        </w:rPr>
        <w:t xml:space="preserve"> الطرف أن تتخذ تدابير للحد من الاكتظاظ، بما في ذلك </w:t>
      </w:r>
      <w:r w:rsidR="004C0731">
        <w:rPr>
          <w:rFonts w:hint="cs"/>
          <w:b/>
          <w:bCs/>
          <w:rtl/>
          <w:lang w:eastAsia="en-US"/>
        </w:rPr>
        <w:t>النظر في اعتماد</w:t>
      </w:r>
      <w:r w:rsidRPr="00CC29B8">
        <w:rPr>
          <w:rFonts w:hint="cs"/>
          <w:b/>
          <w:bCs/>
          <w:rtl/>
          <w:lang w:eastAsia="en-US"/>
        </w:rPr>
        <w:t xml:space="preserve"> أشكال احتجاز بديلة تماشياً مع قواعد الأمم المتحدة النموذجية الدنيا للتدابير غير الاحتجازية (قواعد طوكيو)، وأن تضمن عدم استخدام الاحتجاز، في قضايا الأطفال المخالفين للقانون إلاّ بعد استنفاد جميع التدابير الأخرى. وينبغي </w:t>
      </w:r>
      <w:r w:rsidR="004C0731">
        <w:rPr>
          <w:rFonts w:hint="cs"/>
          <w:b/>
          <w:bCs/>
          <w:rtl/>
          <w:lang w:eastAsia="en-US"/>
        </w:rPr>
        <w:t xml:space="preserve">لها أيضاً أن توفر خدمات </w:t>
      </w:r>
      <w:r w:rsidRPr="00CC29B8">
        <w:rPr>
          <w:rFonts w:hint="cs"/>
          <w:b/>
          <w:bCs/>
          <w:rtl/>
          <w:lang w:eastAsia="en-US"/>
        </w:rPr>
        <w:t xml:space="preserve">رعاية </w:t>
      </w:r>
      <w:r w:rsidR="004C0731">
        <w:rPr>
          <w:rFonts w:hint="cs"/>
          <w:b/>
          <w:bCs/>
          <w:rtl/>
          <w:lang w:eastAsia="en-US"/>
        </w:rPr>
        <w:t xml:space="preserve">الصحة </w:t>
      </w:r>
      <w:r w:rsidRPr="00CC29B8">
        <w:rPr>
          <w:rFonts w:hint="cs"/>
          <w:b/>
          <w:bCs/>
          <w:rtl/>
          <w:lang w:eastAsia="en-US"/>
        </w:rPr>
        <w:t>العقلية والخدمات القانونية الملائمة لجميع الأشخاص المحرومين من حريتهم، وخاصة للسجناء المصابين بمرض عقلي. و</w:t>
      </w:r>
      <w:r w:rsidR="002D655E">
        <w:rPr>
          <w:rFonts w:hint="cs"/>
          <w:b/>
          <w:bCs/>
          <w:rtl/>
          <w:lang w:eastAsia="en-US"/>
        </w:rPr>
        <w:t>ينبغي للدولة</w:t>
      </w:r>
      <w:r w:rsidRPr="00CC29B8">
        <w:rPr>
          <w:rFonts w:hint="cs"/>
          <w:b/>
          <w:bCs/>
          <w:rtl/>
          <w:lang w:eastAsia="en-US"/>
        </w:rPr>
        <w:t xml:space="preserve"> الطرف أن تُبقي قيد</w:t>
      </w:r>
      <w:r w:rsidR="00BE5DBF">
        <w:rPr>
          <w:rFonts w:hint="eastAsia"/>
          <w:b/>
          <w:bCs/>
          <w:rtl/>
          <w:lang w:eastAsia="en-US"/>
        </w:rPr>
        <w:t> </w:t>
      </w:r>
      <w:r w:rsidRPr="00CC29B8">
        <w:rPr>
          <w:rFonts w:hint="cs"/>
          <w:b/>
          <w:bCs/>
          <w:rtl/>
          <w:lang w:eastAsia="en-US"/>
        </w:rPr>
        <w:t>الاستعراض المستمر استخدامَ أدوات تقييد الحركة التي قد تتسبب في ألم وإذلال لا داعي لهما، وأن تضمن عدم استخدامها إلاّ عند الضرورة، وأن يسجَّل استخدامها كما ينبغي.</w:t>
      </w:r>
    </w:p>
    <w:p w:rsidR="00CC29B8" w:rsidRPr="00CC29B8" w:rsidRDefault="00CC29B8" w:rsidP="00CC29B8">
      <w:pPr>
        <w:spacing w:before="0" w:line="380" w:lineRule="exact"/>
        <w:rPr>
          <w:rFonts w:hint="cs"/>
          <w:b/>
          <w:bCs/>
          <w:rtl/>
          <w:lang w:eastAsia="en-US"/>
        </w:rPr>
      </w:pPr>
      <w:r w:rsidRPr="00CC29B8">
        <w:rPr>
          <w:rFonts w:hint="cs"/>
          <w:b/>
          <w:bCs/>
          <w:rtl/>
          <w:lang w:eastAsia="en-US"/>
        </w:rPr>
        <w:t>ضمان الملاحقة القضائية</w:t>
      </w:r>
    </w:p>
    <w:p w:rsidR="00CC29B8" w:rsidRPr="00CC29B8" w:rsidRDefault="00CC29B8" w:rsidP="004C0731">
      <w:pPr>
        <w:spacing w:before="0" w:line="380" w:lineRule="exact"/>
        <w:rPr>
          <w:rFonts w:hint="cs"/>
          <w:rtl/>
          <w:lang w:eastAsia="en-US"/>
        </w:rPr>
      </w:pPr>
      <w:r w:rsidRPr="00CC29B8">
        <w:rPr>
          <w:rFonts w:hint="cs"/>
          <w:rtl/>
          <w:lang w:eastAsia="en-US"/>
        </w:rPr>
        <w:t>10-</w:t>
      </w:r>
      <w:r w:rsidRPr="00CC29B8">
        <w:rPr>
          <w:rFonts w:hint="cs"/>
          <w:rtl/>
          <w:lang w:eastAsia="en-US"/>
        </w:rPr>
        <w:tab/>
      </w:r>
      <w:r w:rsidR="004C0731">
        <w:rPr>
          <w:rFonts w:hint="cs"/>
          <w:rtl/>
          <w:lang w:eastAsia="en-US"/>
        </w:rPr>
        <w:t xml:space="preserve">يساور اللجنة قلق </w:t>
      </w:r>
      <w:r w:rsidRPr="00CC29B8">
        <w:rPr>
          <w:rFonts w:hint="cs"/>
          <w:rtl/>
          <w:lang w:eastAsia="en-US"/>
        </w:rPr>
        <w:t xml:space="preserve">لأن قانون جرائم التعذيب الصادر في عام 1989 ينص على عدم البدء في إجراءات قضائية بقصد محاكمة ومعاقبة أي شخص توجه إليه تهمة التعذيب بموجب القانون المذكور إلاّ بموافقة </w:t>
      </w:r>
      <w:r w:rsidR="004C0731">
        <w:rPr>
          <w:rFonts w:hint="cs"/>
          <w:rtl/>
          <w:lang w:eastAsia="en-US"/>
        </w:rPr>
        <w:t>النائب</w:t>
      </w:r>
      <w:r w:rsidRPr="00CC29B8">
        <w:rPr>
          <w:rFonts w:hint="cs"/>
          <w:rtl/>
          <w:lang w:eastAsia="en-US"/>
        </w:rPr>
        <w:t xml:space="preserve"> العام. و</w:t>
      </w:r>
      <w:r w:rsidR="004C0731">
        <w:rPr>
          <w:rFonts w:hint="cs"/>
          <w:rtl/>
          <w:lang w:eastAsia="en-US"/>
        </w:rPr>
        <w:t xml:space="preserve">يساور اللجنة قلق </w:t>
      </w:r>
      <w:r w:rsidRPr="00CC29B8">
        <w:rPr>
          <w:rFonts w:hint="cs"/>
          <w:rtl/>
          <w:lang w:eastAsia="en-US"/>
        </w:rPr>
        <w:t>أيضاً لأنه في حال ادعاء ارتكاب أحد أفراد القوات المسلحة النيوزيلندية جريمةً يسري عليها قانون جرائم التعذيب، فإن القائد العسكري الذي يخضع له الشخص المعني قد يقرر عدم توجيه أي تهم بموجب ذلك القانون أو عدم إحالة الادعاء إلى السلطة المدنية الملائمة للتحقيق فيها إذا رأى أن ذلك الادعاء لا</w:t>
      </w:r>
      <w:r w:rsidR="004C0731">
        <w:rPr>
          <w:rFonts w:hint="eastAsia"/>
          <w:rtl/>
          <w:lang w:eastAsia="en-US"/>
        </w:rPr>
        <w:t> </w:t>
      </w:r>
      <w:r w:rsidRPr="00CC29B8">
        <w:rPr>
          <w:rFonts w:hint="cs"/>
          <w:rtl/>
          <w:lang w:eastAsia="en-US"/>
        </w:rPr>
        <w:t xml:space="preserve">يستند إلى أساس. وأخيراً، </w:t>
      </w:r>
      <w:r w:rsidR="004C0731">
        <w:rPr>
          <w:rFonts w:hint="cs"/>
          <w:rtl/>
          <w:lang w:eastAsia="en-US"/>
        </w:rPr>
        <w:t xml:space="preserve">يساور اللجنة قلق </w:t>
      </w:r>
      <w:r w:rsidRPr="00CC29B8">
        <w:rPr>
          <w:rFonts w:hint="cs"/>
          <w:rtl/>
          <w:lang w:eastAsia="en-US"/>
        </w:rPr>
        <w:t xml:space="preserve">أيضاً لأنه في حال ادعاء ارتكاب جريمة خطيرة، من نوع الجرائم التي يسري عليها قانون جرائم التعذيب، يُترك للشرطة </w:t>
      </w:r>
      <w:r w:rsidR="004C0731">
        <w:rPr>
          <w:rFonts w:hint="cs"/>
          <w:rtl/>
          <w:lang w:eastAsia="en-US"/>
        </w:rPr>
        <w:t xml:space="preserve">أن تقرر </w:t>
      </w:r>
      <w:r w:rsidRPr="00CC29B8">
        <w:rPr>
          <w:rFonts w:hint="cs"/>
          <w:rtl/>
          <w:lang w:eastAsia="en-US"/>
        </w:rPr>
        <w:t xml:space="preserve">ملاحقة المرتكب المزعوم إذا تبين أن ذلك يخدم المصلحة العامة شريطة الحصول على موافقة </w:t>
      </w:r>
      <w:r w:rsidR="004C0731">
        <w:rPr>
          <w:rFonts w:hint="cs"/>
          <w:rtl/>
          <w:lang w:eastAsia="en-US"/>
        </w:rPr>
        <w:t>النائب</w:t>
      </w:r>
      <w:r w:rsidRPr="00CC29B8">
        <w:rPr>
          <w:rFonts w:hint="cs"/>
          <w:rtl/>
          <w:lang w:eastAsia="en-US"/>
        </w:rPr>
        <w:t xml:space="preserve"> العام. (المادة 12)</w:t>
      </w:r>
    </w:p>
    <w:p w:rsidR="00CC29B8" w:rsidRPr="00CC29B8" w:rsidRDefault="00CC29B8" w:rsidP="004C0731">
      <w:pPr>
        <w:spacing w:before="0" w:line="380" w:lineRule="exact"/>
        <w:ind w:left="720"/>
        <w:rPr>
          <w:rFonts w:hint="cs"/>
          <w:b/>
          <w:bCs/>
          <w:rtl/>
          <w:lang w:eastAsia="en-US"/>
        </w:rPr>
      </w:pPr>
      <w:r w:rsidRPr="00CC29B8">
        <w:rPr>
          <w:rFonts w:hint="cs"/>
          <w:b/>
          <w:bCs/>
          <w:rtl/>
          <w:lang w:eastAsia="en-US"/>
        </w:rPr>
        <w:t xml:space="preserve">ينبغي للدولة الطرف أن </w:t>
      </w:r>
      <w:r w:rsidR="004C0731">
        <w:rPr>
          <w:rFonts w:hint="cs"/>
          <w:b/>
          <w:bCs/>
          <w:rtl/>
          <w:lang w:eastAsia="en-US"/>
        </w:rPr>
        <w:t>تنظر في</w:t>
      </w:r>
      <w:r w:rsidRPr="00CC29B8">
        <w:rPr>
          <w:rFonts w:hint="cs"/>
          <w:b/>
          <w:bCs/>
          <w:rtl/>
          <w:lang w:eastAsia="en-US"/>
        </w:rPr>
        <w:t xml:space="preserve"> التخلي عن النظام الذي يمنح </w:t>
      </w:r>
      <w:r w:rsidR="004C0731">
        <w:rPr>
          <w:rFonts w:hint="cs"/>
          <w:b/>
          <w:bCs/>
          <w:rtl/>
          <w:lang w:eastAsia="en-US"/>
        </w:rPr>
        <w:t>النائب</w:t>
      </w:r>
      <w:r w:rsidRPr="00CC29B8">
        <w:rPr>
          <w:rFonts w:hint="cs"/>
          <w:b/>
          <w:bCs/>
          <w:rtl/>
          <w:lang w:eastAsia="en-US"/>
        </w:rPr>
        <w:t xml:space="preserve"> العام السلطة التقديرية لكي يقرر الملاحقة من عدمها حتى في القضايا التي </w:t>
      </w:r>
      <w:r w:rsidRPr="00CC29B8">
        <w:rPr>
          <w:rFonts w:hint="eastAsia"/>
          <w:b/>
          <w:bCs/>
          <w:rtl/>
          <w:lang w:eastAsia="en-US"/>
        </w:rPr>
        <w:t>يتوفر فيها سبب معقول للاعتقاد بأن فعل التعذيب قد ارت</w:t>
      </w:r>
      <w:r w:rsidRPr="00CC29B8">
        <w:rPr>
          <w:rFonts w:hint="cs"/>
          <w:b/>
          <w:bCs/>
          <w:rtl/>
          <w:lang w:eastAsia="en-US"/>
        </w:rPr>
        <w:t>ُ</w:t>
      </w:r>
      <w:r w:rsidRPr="00CC29B8">
        <w:rPr>
          <w:rFonts w:hint="eastAsia"/>
          <w:b/>
          <w:bCs/>
          <w:rtl/>
          <w:lang w:eastAsia="en-US"/>
        </w:rPr>
        <w:t xml:space="preserve">كب، </w:t>
      </w:r>
      <w:r w:rsidR="004C0731">
        <w:rPr>
          <w:rFonts w:hint="cs"/>
          <w:b/>
          <w:bCs/>
          <w:rtl/>
          <w:lang w:eastAsia="en-US"/>
        </w:rPr>
        <w:t>كما</w:t>
      </w:r>
      <w:r w:rsidRPr="00CC29B8">
        <w:rPr>
          <w:rFonts w:hint="cs"/>
          <w:b/>
          <w:bCs/>
          <w:rtl/>
          <w:lang w:eastAsia="en-US"/>
        </w:rPr>
        <w:t xml:space="preserve"> يمنح ا</w:t>
      </w:r>
      <w:r w:rsidRPr="00CC29B8">
        <w:rPr>
          <w:rFonts w:hint="eastAsia"/>
          <w:b/>
          <w:bCs/>
          <w:rtl/>
          <w:lang w:eastAsia="en-US"/>
        </w:rPr>
        <w:t>لشرطة السلطة التقديرية لملاحقة المرتك</w:t>
      </w:r>
      <w:r w:rsidRPr="00CC29B8">
        <w:rPr>
          <w:rFonts w:hint="cs"/>
          <w:b/>
          <w:bCs/>
          <w:rtl/>
          <w:lang w:eastAsia="en-US"/>
        </w:rPr>
        <w:t>ِ</w:t>
      </w:r>
      <w:r w:rsidRPr="00CC29B8">
        <w:rPr>
          <w:rFonts w:hint="eastAsia"/>
          <w:b/>
          <w:bCs/>
          <w:rtl/>
          <w:lang w:eastAsia="en-US"/>
        </w:rPr>
        <w:t>بين المزعومين على أساس اعتبار</w:t>
      </w:r>
      <w:r w:rsidR="004C0731">
        <w:rPr>
          <w:rFonts w:hint="cs"/>
          <w:b/>
          <w:bCs/>
          <w:rtl/>
          <w:lang w:eastAsia="en-US"/>
        </w:rPr>
        <w:t>ات</w:t>
      </w:r>
      <w:r w:rsidRPr="00CC29B8">
        <w:rPr>
          <w:rFonts w:hint="eastAsia"/>
          <w:b/>
          <w:bCs/>
          <w:rtl/>
          <w:lang w:eastAsia="en-US"/>
        </w:rPr>
        <w:t xml:space="preserve"> المصلحة العامة. </w:t>
      </w:r>
      <w:r w:rsidRPr="00CC29B8">
        <w:rPr>
          <w:rFonts w:hint="cs"/>
          <w:b/>
          <w:bCs/>
          <w:rtl/>
          <w:lang w:eastAsia="en-US"/>
        </w:rPr>
        <w:t xml:space="preserve">وبالإضافة إلى ذلك، </w:t>
      </w:r>
      <w:r w:rsidR="002D655E">
        <w:rPr>
          <w:rFonts w:hint="cs"/>
          <w:b/>
          <w:bCs/>
          <w:rtl/>
          <w:lang w:eastAsia="en-US"/>
        </w:rPr>
        <w:t>ينبغي للدولة</w:t>
      </w:r>
      <w:r w:rsidRPr="00CC29B8">
        <w:rPr>
          <w:rFonts w:hint="cs"/>
          <w:b/>
          <w:bCs/>
          <w:rtl/>
          <w:lang w:eastAsia="en-US"/>
        </w:rPr>
        <w:t xml:space="preserve"> الطرف أن تضمن البدء </w:t>
      </w:r>
      <w:r w:rsidR="004C0731" w:rsidRPr="00CC29B8">
        <w:rPr>
          <w:rFonts w:hint="cs"/>
          <w:b/>
          <w:bCs/>
          <w:rtl/>
          <w:lang w:eastAsia="en-US"/>
        </w:rPr>
        <w:t xml:space="preserve">على الفور </w:t>
      </w:r>
      <w:r w:rsidRPr="00CC29B8">
        <w:rPr>
          <w:rFonts w:hint="cs"/>
          <w:b/>
          <w:bCs/>
          <w:rtl/>
          <w:lang w:eastAsia="en-US"/>
        </w:rPr>
        <w:t>في تحقيقات نزيهة وفعالة في حال توفر سبب معقول للاعتقاد بأن فعل تعذيب قد ارتُكب حتى في الحالات التي يرى فيها قائد عسكري أن الادعاء لا يستند إلى أساس</w:t>
      </w:r>
      <w:r w:rsidR="004C0731">
        <w:rPr>
          <w:rFonts w:hint="cs"/>
          <w:b/>
          <w:bCs/>
          <w:rtl/>
          <w:lang w:eastAsia="en-US"/>
        </w:rPr>
        <w:t xml:space="preserve"> وجيه</w:t>
      </w:r>
      <w:r w:rsidRPr="00CC29B8">
        <w:rPr>
          <w:rFonts w:hint="cs"/>
          <w:b/>
          <w:bCs/>
          <w:rtl/>
          <w:lang w:eastAsia="en-US"/>
        </w:rPr>
        <w:t>.</w:t>
      </w:r>
    </w:p>
    <w:p w:rsidR="00CC29B8" w:rsidRPr="00CC29B8" w:rsidRDefault="00CC29B8" w:rsidP="00CC29B8">
      <w:pPr>
        <w:spacing w:before="0" w:line="380" w:lineRule="exact"/>
        <w:rPr>
          <w:rFonts w:hint="cs"/>
          <w:b/>
          <w:bCs/>
          <w:rtl/>
          <w:lang w:eastAsia="en-US"/>
        </w:rPr>
      </w:pPr>
      <w:r w:rsidRPr="00CC29B8">
        <w:rPr>
          <w:rFonts w:hint="cs"/>
          <w:b/>
          <w:bCs/>
          <w:rtl/>
          <w:lang w:eastAsia="en-US"/>
        </w:rPr>
        <w:t>ادعاءات سوء المعاملة</w:t>
      </w:r>
    </w:p>
    <w:p w:rsidR="00CC29B8" w:rsidRPr="00CC29B8" w:rsidRDefault="00CC29B8" w:rsidP="004C0731">
      <w:pPr>
        <w:spacing w:before="0" w:line="380" w:lineRule="exact"/>
        <w:rPr>
          <w:rFonts w:hint="cs"/>
          <w:rtl/>
          <w:lang w:eastAsia="en-US"/>
        </w:rPr>
      </w:pPr>
      <w:r w:rsidRPr="00CC29B8">
        <w:rPr>
          <w:rFonts w:hint="cs"/>
          <w:rtl/>
          <w:lang w:eastAsia="en-US"/>
        </w:rPr>
        <w:t>11-</w:t>
      </w:r>
      <w:r w:rsidRPr="00CC29B8">
        <w:rPr>
          <w:rFonts w:hint="cs"/>
          <w:rtl/>
          <w:lang w:eastAsia="en-US"/>
        </w:rPr>
        <w:tab/>
        <w:t xml:space="preserve">تشعر اللجنة بالقلق إزاء عدم التحقيق في ادعاءات حدوث معاملة قاسية أو </w:t>
      </w:r>
      <w:proofErr w:type="spellStart"/>
      <w:r w:rsidRPr="00CC29B8">
        <w:rPr>
          <w:rFonts w:hint="cs"/>
          <w:rtl/>
          <w:lang w:eastAsia="en-US"/>
        </w:rPr>
        <w:t>لاإنسانية</w:t>
      </w:r>
      <w:proofErr w:type="spellEnd"/>
      <w:r w:rsidRPr="00CC29B8">
        <w:rPr>
          <w:rFonts w:hint="cs"/>
          <w:rtl/>
          <w:lang w:eastAsia="en-US"/>
        </w:rPr>
        <w:t xml:space="preserve"> أو مهينة على أيدي أشخاص يتصرفون بصفة رسمية في حق أطفال </w:t>
      </w:r>
      <w:r w:rsidR="004C0731">
        <w:rPr>
          <w:rFonts w:hint="cs"/>
          <w:rtl/>
          <w:lang w:eastAsia="en-US"/>
        </w:rPr>
        <w:t>مودعين في</w:t>
      </w:r>
      <w:r w:rsidRPr="00CC29B8">
        <w:rPr>
          <w:rFonts w:hint="cs"/>
          <w:rtl/>
          <w:lang w:eastAsia="en-US"/>
        </w:rPr>
        <w:t xml:space="preserve"> مؤسسات </w:t>
      </w:r>
      <w:r w:rsidR="004C0731">
        <w:rPr>
          <w:rFonts w:hint="cs"/>
          <w:rtl/>
          <w:lang w:eastAsia="en-US"/>
        </w:rPr>
        <w:t>تابعة ل</w:t>
      </w:r>
      <w:r w:rsidRPr="00CC29B8">
        <w:rPr>
          <w:rFonts w:hint="cs"/>
          <w:rtl/>
          <w:lang w:eastAsia="en-US"/>
        </w:rPr>
        <w:t xml:space="preserve">لدولة وفي حق مرضى </w:t>
      </w:r>
      <w:r w:rsidR="004C0731">
        <w:rPr>
          <w:rFonts w:hint="cs"/>
          <w:rtl/>
          <w:lang w:eastAsia="en-US"/>
        </w:rPr>
        <w:t xml:space="preserve">يعالجون </w:t>
      </w:r>
      <w:r w:rsidRPr="00CC29B8">
        <w:rPr>
          <w:rFonts w:hint="cs"/>
          <w:rtl/>
          <w:lang w:eastAsia="en-US"/>
        </w:rPr>
        <w:t>في</w:t>
      </w:r>
      <w:r w:rsidR="004C0731">
        <w:rPr>
          <w:rFonts w:hint="eastAsia"/>
          <w:rtl/>
          <w:lang w:eastAsia="en-US"/>
        </w:rPr>
        <w:t> </w:t>
      </w:r>
      <w:r w:rsidRPr="00CC29B8">
        <w:rPr>
          <w:rFonts w:hint="cs"/>
          <w:rtl/>
          <w:lang w:eastAsia="en-US"/>
        </w:rPr>
        <w:t xml:space="preserve">مستشفيات </w:t>
      </w:r>
      <w:r w:rsidR="004C0731">
        <w:rPr>
          <w:rFonts w:hint="cs"/>
          <w:rtl/>
          <w:lang w:eastAsia="en-US"/>
        </w:rPr>
        <w:t>للأمراض ال</w:t>
      </w:r>
      <w:r w:rsidRPr="00CC29B8">
        <w:rPr>
          <w:rFonts w:hint="cs"/>
          <w:rtl/>
          <w:lang w:eastAsia="en-US"/>
        </w:rPr>
        <w:t xml:space="preserve">نفسانية، كما تشعر بالقلق إزاء عدم ملاحقة مرتكبي تلك الأفعال وعدم توفير سبل انتصاف للضحايا، بما في ذلك </w:t>
      </w:r>
      <w:r w:rsidR="004C0731">
        <w:rPr>
          <w:rFonts w:hint="cs"/>
          <w:rtl/>
          <w:lang w:eastAsia="en-US"/>
        </w:rPr>
        <w:t>التعويض وإعادة التأهيل الملائم</w:t>
      </w:r>
      <w:r w:rsidRPr="00CC29B8">
        <w:rPr>
          <w:rFonts w:hint="cs"/>
          <w:rtl/>
          <w:lang w:eastAsia="en-US"/>
        </w:rPr>
        <w:t>. (المواد 12 و14 و16)</w:t>
      </w:r>
    </w:p>
    <w:p w:rsidR="00CC29B8" w:rsidRPr="00CC29B8" w:rsidRDefault="002D655E" w:rsidP="008B1C67">
      <w:pPr>
        <w:spacing w:before="0" w:line="380" w:lineRule="exact"/>
        <w:ind w:left="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 أن تتخذ تدابير مناسبة لضمان التحقيق الفوري والنزيه في ادعاءات حدوث معاملة قاسية أو </w:t>
      </w:r>
      <w:proofErr w:type="spellStart"/>
      <w:r w:rsidR="00CC29B8" w:rsidRPr="00CC29B8">
        <w:rPr>
          <w:rFonts w:hint="cs"/>
          <w:b/>
          <w:bCs/>
          <w:rtl/>
          <w:lang w:eastAsia="en-US"/>
        </w:rPr>
        <w:t>لاإنسانية</w:t>
      </w:r>
      <w:proofErr w:type="spellEnd"/>
      <w:r w:rsidR="00CC29B8" w:rsidRPr="00CC29B8">
        <w:rPr>
          <w:rFonts w:hint="cs"/>
          <w:b/>
          <w:bCs/>
          <w:rtl/>
          <w:lang w:eastAsia="en-US"/>
        </w:rPr>
        <w:t xml:space="preserve"> أو مهينة في "القضايا التاريخية"، ولضمان ملاحقة المرتكِبين وإتاحة سبل انتصاف للضحايا، بما فيها التعويض وإعادة التأهيل الملائمان.</w:t>
      </w:r>
    </w:p>
    <w:p w:rsidR="00CC29B8" w:rsidRPr="00CC29B8" w:rsidRDefault="00CC29B8" w:rsidP="004C0731">
      <w:pPr>
        <w:spacing w:before="0" w:line="380" w:lineRule="exact"/>
        <w:rPr>
          <w:rFonts w:hint="cs"/>
          <w:b/>
          <w:bCs/>
          <w:rtl/>
          <w:lang w:eastAsia="en-US"/>
        </w:rPr>
      </w:pPr>
      <w:r w:rsidRPr="00CC29B8">
        <w:rPr>
          <w:rFonts w:hint="cs"/>
          <w:b/>
          <w:bCs/>
          <w:rtl/>
          <w:lang w:eastAsia="en-US"/>
        </w:rPr>
        <w:t xml:space="preserve">الهيئة المستقلة لمراقبة </w:t>
      </w:r>
      <w:r w:rsidR="004C0731">
        <w:rPr>
          <w:rFonts w:hint="cs"/>
          <w:b/>
          <w:bCs/>
          <w:rtl/>
          <w:lang w:eastAsia="en-US"/>
        </w:rPr>
        <w:t>سلوك</w:t>
      </w:r>
      <w:r w:rsidRPr="00CC29B8">
        <w:rPr>
          <w:rFonts w:hint="cs"/>
          <w:b/>
          <w:bCs/>
          <w:rtl/>
          <w:lang w:eastAsia="en-US"/>
        </w:rPr>
        <w:t xml:space="preserve"> الشرطة</w:t>
      </w:r>
    </w:p>
    <w:p w:rsidR="00CC29B8" w:rsidRPr="006F3095" w:rsidRDefault="00CC29B8" w:rsidP="004C0731">
      <w:pPr>
        <w:spacing w:before="0" w:line="380" w:lineRule="exact"/>
        <w:rPr>
          <w:rFonts w:hint="cs"/>
          <w:spacing w:val="2"/>
          <w:rtl/>
          <w:lang w:eastAsia="en-US"/>
        </w:rPr>
      </w:pPr>
      <w:r w:rsidRPr="006F3095">
        <w:rPr>
          <w:rFonts w:hint="cs"/>
          <w:spacing w:val="2"/>
          <w:rtl/>
          <w:lang w:eastAsia="en-US"/>
        </w:rPr>
        <w:t>12-</w:t>
      </w:r>
      <w:r w:rsidRPr="006F3095">
        <w:rPr>
          <w:rFonts w:hint="cs"/>
          <w:spacing w:val="2"/>
          <w:rtl/>
          <w:lang w:eastAsia="en-US"/>
        </w:rPr>
        <w:tab/>
        <w:t xml:space="preserve">على الرغم من </w:t>
      </w:r>
      <w:r w:rsidR="004C0731" w:rsidRPr="006F3095">
        <w:rPr>
          <w:rFonts w:hint="cs"/>
          <w:spacing w:val="2"/>
          <w:rtl/>
          <w:lang w:eastAsia="en-US"/>
        </w:rPr>
        <w:t>تأكيدات</w:t>
      </w:r>
      <w:r w:rsidRPr="006F3095">
        <w:rPr>
          <w:rFonts w:hint="cs"/>
          <w:spacing w:val="2"/>
          <w:rtl/>
          <w:lang w:eastAsia="en-US"/>
        </w:rPr>
        <w:t xml:space="preserve"> الدولة الطرف، لا يزال القلق يساور اللجنة لأن إشراك الهيئة المستقلة لمراقبة </w:t>
      </w:r>
      <w:r w:rsidR="004C0731" w:rsidRPr="006F3095">
        <w:rPr>
          <w:rFonts w:hint="cs"/>
          <w:spacing w:val="2"/>
          <w:rtl/>
          <w:lang w:eastAsia="en-US"/>
        </w:rPr>
        <w:t>سلوك</w:t>
      </w:r>
      <w:r w:rsidRPr="006F3095">
        <w:rPr>
          <w:rFonts w:hint="cs"/>
          <w:spacing w:val="2"/>
          <w:rtl/>
          <w:lang w:eastAsia="en-US"/>
        </w:rPr>
        <w:t xml:space="preserve"> الشرطة لضباط الشرطة الحاليين والسابقين في التحقيقات النزيهة والفعالة في أعمال التعذيب وسوء المعاملة التي يُدعى أن أفراداً من الشرطة قد ارتكبوها </w:t>
      </w:r>
      <w:r w:rsidR="004C0731" w:rsidRPr="006F3095">
        <w:rPr>
          <w:rFonts w:hint="cs"/>
          <w:spacing w:val="2"/>
          <w:rtl/>
          <w:lang w:eastAsia="en-US"/>
        </w:rPr>
        <w:t xml:space="preserve">هو أمر </w:t>
      </w:r>
      <w:r w:rsidRPr="006F3095">
        <w:rPr>
          <w:rFonts w:hint="cs"/>
          <w:spacing w:val="2"/>
          <w:rtl/>
          <w:lang w:eastAsia="en-US"/>
        </w:rPr>
        <w:t>من شأنه أن يضر بحياد تلك الهيئة، وفقاً لأحكام الاتفاقية. (المادة 12)</w:t>
      </w:r>
    </w:p>
    <w:p w:rsidR="00CC29B8" w:rsidRPr="00CC29B8" w:rsidRDefault="002D655E" w:rsidP="004C0731">
      <w:pPr>
        <w:spacing w:before="0" w:line="380" w:lineRule="exact"/>
        <w:ind w:left="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 أن </w:t>
      </w:r>
      <w:r w:rsidR="004C0731">
        <w:rPr>
          <w:rFonts w:hint="cs"/>
          <w:b/>
          <w:bCs/>
          <w:rtl/>
          <w:lang w:eastAsia="en-US"/>
        </w:rPr>
        <w:t>تواصل</w:t>
      </w:r>
      <w:r w:rsidR="004246FB">
        <w:rPr>
          <w:rFonts w:hint="cs"/>
          <w:b/>
          <w:bCs/>
          <w:rtl/>
          <w:lang w:eastAsia="en-US"/>
        </w:rPr>
        <w:t xml:space="preserve"> تعزيز</w:t>
      </w:r>
      <w:r w:rsidR="004C0731">
        <w:rPr>
          <w:rFonts w:hint="cs"/>
          <w:b/>
          <w:bCs/>
          <w:rtl/>
          <w:lang w:eastAsia="en-US"/>
        </w:rPr>
        <w:t xml:space="preserve"> </w:t>
      </w:r>
      <w:r w:rsidR="00CC29B8" w:rsidRPr="00CC29B8">
        <w:rPr>
          <w:rFonts w:hint="cs"/>
          <w:b/>
          <w:bCs/>
          <w:rtl/>
          <w:lang w:eastAsia="en-US"/>
        </w:rPr>
        <w:t xml:space="preserve">استقلالية الهيئة المستقلة لمراقبة </w:t>
      </w:r>
      <w:r w:rsidR="004C0731">
        <w:rPr>
          <w:rFonts w:hint="cs"/>
          <w:b/>
          <w:bCs/>
          <w:rtl/>
          <w:lang w:eastAsia="en-US"/>
        </w:rPr>
        <w:t xml:space="preserve">سلوك </w:t>
      </w:r>
      <w:r w:rsidR="00CC29B8" w:rsidRPr="00CC29B8">
        <w:rPr>
          <w:rFonts w:hint="cs"/>
          <w:b/>
          <w:bCs/>
          <w:rtl/>
          <w:lang w:eastAsia="en-US"/>
        </w:rPr>
        <w:t xml:space="preserve">الشرطة التي ينبغي تعيين العاملين فيها من بين خبراء مستقلين من خارج </w:t>
      </w:r>
      <w:r w:rsidR="004C0731">
        <w:rPr>
          <w:rFonts w:hint="cs"/>
          <w:b/>
          <w:bCs/>
          <w:rtl/>
          <w:lang w:eastAsia="en-US"/>
        </w:rPr>
        <w:t>جهاز</w:t>
      </w:r>
      <w:r w:rsidR="00CC29B8" w:rsidRPr="00CC29B8">
        <w:rPr>
          <w:rFonts w:hint="cs"/>
          <w:b/>
          <w:bCs/>
          <w:rtl/>
          <w:lang w:eastAsia="en-US"/>
        </w:rPr>
        <w:t xml:space="preserve"> الشرطة.</w:t>
      </w:r>
    </w:p>
    <w:p w:rsidR="00CC29B8" w:rsidRPr="00CC29B8" w:rsidRDefault="00CC29B8" w:rsidP="004C0731">
      <w:pPr>
        <w:spacing w:before="0" w:line="380" w:lineRule="exact"/>
        <w:rPr>
          <w:rFonts w:hint="cs"/>
          <w:rtl/>
          <w:lang w:eastAsia="en-US"/>
        </w:rPr>
      </w:pPr>
      <w:r w:rsidRPr="00CC29B8">
        <w:rPr>
          <w:rFonts w:hint="cs"/>
          <w:rtl/>
          <w:lang w:eastAsia="en-US"/>
        </w:rPr>
        <w:t>13-</w:t>
      </w:r>
      <w:r w:rsidRPr="00CC29B8">
        <w:rPr>
          <w:rFonts w:hint="cs"/>
          <w:rtl/>
          <w:lang w:eastAsia="en-US"/>
        </w:rPr>
        <w:tab/>
        <w:t xml:space="preserve">وتشعر اللجنة بالقلق لأن الهيئة المستقلة لمراقبة </w:t>
      </w:r>
      <w:r w:rsidR="004C0731">
        <w:rPr>
          <w:rFonts w:hint="cs"/>
          <w:rtl/>
          <w:lang w:eastAsia="en-US"/>
        </w:rPr>
        <w:t>سلوك</w:t>
      </w:r>
      <w:r w:rsidRPr="00CC29B8">
        <w:rPr>
          <w:rFonts w:hint="cs"/>
          <w:rtl/>
          <w:lang w:eastAsia="en-US"/>
        </w:rPr>
        <w:t xml:space="preserve"> الشرطة قد تقرر عدم اتخاذ أي إجراء بشأن الشكاوى، بما فيها الشكاوى المقدمة بسبب فعل تعذيب أو سوء معاملة، في الحالة التي يكون فيها صاحب الشكوى على علم بموضوعها منذ مدة تزيد عن 12 شهراً قبل تقديم الشكوى. (المادة 12)</w:t>
      </w:r>
    </w:p>
    <w:p w:rsidR="00CC29B8" w:rsidRPr="00CC29B8" w:rsidRDefault="002D655E" w:rsidP="004C0731">
      <w:pPr>
        <w:spacing w:before="0" w:line="380" w:lineRule="exact"/>
        <w:ind w:left="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 أن تتخذ جميع التدابير القانونية والإجرائية الضرورية لضمان عدم خضوع جريمة التعذيب لأجل تقادم محدد </w:t>
      </w:r>
      <w:r w:rsidR="004C0731">
        <w:rPr>
          <w:rFonts w:hint="cs"/>
          <w:b/>
          <w:bCs/>
          <w:rtl/>
          <w:lang w:eastAsia="en-US"/>
        </w:rPr>
        <w:t>بمدة</w:t>
      </w:r>
      <w:r w:rsidR="00CC29B8" w:rsidRPr="00CC29B8">
        <w:rPr>
          <w:rFonts w:hint="cs"/>
          <w:b/>
          <w:bCs/>
          <w:rtl/>
          <w:lang w:eastAsia="en-US"/>
        </w:rPr>
        <w:t xml:space="preserve"> 12 شهراً، وأن تقوم بالتحقيق الفوري والنزيه في ادعاءات ارتكاب أفعال تعذيب، وأن تلاحق مرتكبيها المزعومين وفق الأصول وتعاقبهم في حال ثبوت الجرم عليهم وتمنح الضحايا تعويضاً ملائماً.</w:t>
      </w:r>
    </w:p>
    <w:p w:rsidR="00CC29B8" w:rsidRPr="00CC29B8" w:rsidRDefault="00CC29B8" w:rsidP="00CC29B8">
      <w:pPr>
        <w:spacing w:before="0" w:line="380" w:lineRule="exact"/>
        <w:rPr>
          <w:rFonts w:hint="cs"/>
          <w:b/>
          <w:bCs/>
          <w:rtl/>
          <w:lang w:eastAsia="en-US"/>
        </w:rPr>
      </w:pPr>
      <w:r w:rsidRPr="00CC29B8">
        <w:rPr>
          <w:rFonts w:hint="cs"/>
          <w:b/>
          <w:bCs/>
          <w:rtl/>
          <w:lang w:eastAsia="en-US"/>
        </w:rPr>
        <w:t>سحب التحفظ على المادة 14</w:t>
      </w:r>
    </w:p>
    <w:p w:rsidR="00CC29B8" w:rsidRPr="004C0731" w:rsidRDefault="00CC29B8" w:rsidP="004C0731">
      <w:pPr>
        <w:spacing w:before="0" w:line="380" w:lineRule="exact"/>
        <w:rPr>
          <w:rFonts w:hint="cs"/>
          <w:spacing w:val="2"/>
          <w:rtl/>
          <w:lang w:eastAsia="en-US"/>
        </w:rPr>
      </w:pPr>
      <w:r w:rsidRPr="004C0731">
        <w:rPr>
          <w:rFonts w:hint="cs"/>
          <w:spacing w:val="2"/>
          <w:rtl/>
          <w:lang w:eastAsia="en-US"/>
        </w:rPr>
        <w:t>14-</w:t>
      </w:r>
      <w:r w:rsidRPr="004C0731">
        <w:rPr>
          <w:rFonts w:hint="cs"/>
          <w:spacing w:val="2"/>
          <w:rtl/>
          <w:lang w:eastAsia="en-US"/>
        </w:rPr>
        <w:tab/>
        <w:t xml:space="preserve">تشعر اللجنة بالقلق إزاء </w:t>
      </w:r>
      <w:r w:rsidR="004C0731" w:rsidRPr="004C0731">
        <w:rPr>
          <w:rFonts w:hint="cs"/>
          <w:spacing w:val="2"/>
          <w:rtl/>
          <w:lang w:eastAsia="en-US"/>
        </w:rPr>
        <w:t>تمسك</w:t>
      </w:r>
      <w:r w:rsidRPr="004C0731">
        <w:rPr>
          <w:rFonts w:hint="cs"/>
          <w:spacing w:val="2"/>
          <w:rtl/>
          <w:lang w:eastAsia="en-US"/>
        </w:rPr>
        <w:t xml:space="preserve"> الدولة الطرف </w:t>
      </w:r>
      <w:r w:rsidR="004C0731" w:rsidRPr="004C0731">
        <w:rPr>
          <w:rFonts w:hint="cs"/>
          <w:spacing w:val="2"/>
          <w:rtl/>
          <w:lang w:eastAsia="en-US"/>
        </w:rPr>
        <w:t>ب</w:t>
      </w:r>
      <w:r w:rsidRPr="004C0731">
        <w:rPr>
          <w:rFonts w:hint="cs"/>
          <w:spacing w:val="2"/>
          <w:rtl/>
          <w:lang w:eastAsia="en-US"/>
        </w:rPr>
        <w:t xml:space="preserve">تحفظها </w:t>
      </w:r>
      <w:r w:rsidR="004C0731" w:rsidRPr="004C0731">
        <w:rPr>
          <w:rFonts w:hint="cs"/>
          <w:spacing w:val="2"/>
          <w:rtl/>
          <w:lang w:eastAsia="en-US"/>
        </w:rPr>
        <w:t xml:space="preserve">على </w:t>
      </w:r>
      <w:r w:rsidRPr="004C0731">
        <w:rPr>
          <w:rFonts w:hint="cs"/>
          <w:spacing w:val="2"/>
          <w:rtl/>
          <w:lang w:eastAsia="en-US"/>
        </w:rPr>
        <w:t>المادة 14 من الاتفاقية، وهو تحفظ يتنافى مع الاتفاقية نصاً وروحاً، كما يتنافى مع التزامها بضمان حقوق ضحايا التعذيب في الحصول على تعويض عادل وملائم بما</w:t>
      </w:r>
      <w:r w:rsidR="004C0731">
        <w:rPr>
          <w:rFonts w:hint="eastAsia"/>
          <w:spacing w:val="2"/>
          <w:rtl/>
          <w:lang w:eastAsia="en-US"/>
        </w:rPr>
        <w:t> </w:t>
      </w:r>
      <w:r w:rsidRPr="004C0731">
        <w:rPr>
          <w:rFonts w:hint="cs"/>
          <w:spacing w:val="2"/>
          <w:rtl/>
          <w:lang w:eastAsia="en-US"/>
        </w:rPr>
        <w:t>في ذلك إتاحة الوسائل لهم لإعادة تأهيلهم على أكمل وجه. و</w:t>
      </w:r>
      <w:r w:rsidR="004C0731" w:rsidRPr="004C0731">
        <w:rPr>
          <w:rFonts w:hint="cs"/>
          <w:spacing w:val="2"/>
          <w:rtl/>
          <w:lang w:eastAsia="en-US"/>
        </w:rPr>
        <w:t xml:space="preserve">يساور اللجنة قلق </w:t>
      </w:r>
      <w:r w:rsidRPr="004C0731">
        <w:rPr>
          <w:rFonts w:hint="cs"/>
          <w:spacing w:val="2"/>
          <w:rtl/>
          <w:lang w:eastAsia="en-US"/>
        </w:rPr>
        <w:t xml:space="preserve">أيضاً لأن قانون مطالبات السجناء والضحايا الصادر في عام 2005 </w:t>
      </w:r>
      <w:r w:rsidR="004C0731" w:rsidRPr="004C0731">
        <w:rPr>
          <w:rFonts w:hint="cs"/>
          <w:spacing w:val="2"/>
          <w:rtl/>
          <w:lang w:eastAsia="en-US"/>
        </w:rPr>
        <w:t>يقيد</w:t>
      </w:r>
      <w:r w:rsidR="004246FB">
        <w:rPr>
          <w:rFonts w:hint="cs"/>
          <w:spacing w:val="2"/>
          <w:rtl/>
          <w:lang w:eastAsia="en-US"/>
        </w:rPr>
        <w:t>ّ</w:t>
      </w:r>
      <w:r w:rsidRPr="004C0731">
        <w:rPr>
          <w:rFonts w:hint="cs"/>
          <w:spacing w:val="2"/>
          <w:rtl/>
          <w:lang w:eastAsia="en-US"/>
        </w:rPr>
        <w:t xml:space="preserve"> الحكم بتعويضات لصالح السجناء ودفع تلك التعويضات لهم. (المادة 14)</w:t>
      </w:r>
    </w:p>
    <w:p w:rsidR="00CC29B8" w:rsidRPr="00CC29B8" w:rsidRDefault="002D655E" w:rsidP="008B1C67">
      <w:pPr>
        <w:spacing w:before="0" w:line="380" w:lineRule="exact"/>
        <w:ind w:left="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 أن تنظر في سحب تحفظها على المادة 14 من الاتفاقية وأن تضمن تقديم تعويض عادل وملائم لجميع ضحايا التعذيب من خلال ولايتها القضائية المدنية.</w:t>
      </w:r>
    </w:p>
    <w:p w:rsidR="00CC29B8" w:rsidRPr="00CC29B8" w:rsidRDefault="00CC29B8" w:rsidP="00191B51">
      <w:pPr>
        <w:spacing w:before="0" w:line="380" w:lineRule="exact"/>
        <w:rPr>
          <w:rFonts w:hint="cs"/>
          <w:b/>
          <w:bCs/>
          <w:rtl/>
          <w:lang w:eastAsia="en-US"/>
        </w:rPr>
      </w:pPr>
      <w:r w:rsidRPr="00CC29B8">
        <w:rPr>
          <w:rFonts w:hint="cs"/>
          <w:b/>
          <w:bCs/>
          <w:rtl/>
          <w:lang w:eastAsia="en-US"/>
        </w:rPr>
        <w:t xml:space="preserve">استخدام الأقوال </w:t>
      </w:r>
      <w:r w:rsidR="00191B51">
        <w:rPr>
          <w:rFonts w:hint="cs"/>
          <w:b/>
          <w:bCs/>
          <w:rtl/>
          <w:lang w:eastAsia="en-US"/>
        </w:rPr>
        <w:t>المنتزعة نتيجة ل</w:t>
      </w:r>
      <w:r w:rsidRPr="00CC29B8">
        <w:rPr>
          <w:rFonts w:hint="cs"/>
          <w:b/>
          <w:bCs/>
          <w:rtl/>
          <w:lang w:eastAsia="en-US"/>
        </w:rPr>
        <w:t>لتعذيب</w:t>
      </w:r>
    </w:p>
    <w:p w:rsidR="00CC29B8" w:rsidRPr="006F3095" w:rsidRDefault="00CC29B8" w:rsidP="00191B51">
      <w:pPr>
        <w:spacing w:before="0" w:line="380" w:lineRule="exact"/>
        <w:rPr>
          <w:rFonts w:hint="cs"/>
          <w:spacing w:val="2"/>
          <w:rtl/>
          <w:lang w:eastAsia="en-US"/>
        </w:rPr>
      </w:pPr>
      <w:r w:rsidRPr="006F3095">
        <w:rPr>
          <w:rFonts w:hint="cs"/>
          <w:spacing w:val="2"/>
          <w:rtl/>
          <w:lang w:eastAsia="en-US"/>
        </w:rPr>
        <w:t>15-</w:t>
      </w:r>
      <w:r w:rsidRPr="006F3095">
        <w:rPr>
          <w:rFonts w:hint="cs"/>
          <w:spacing w:val="2"/>
          <w:rtl/>
          <w:lang w:eastAsia="en-US"/>
        </w:rPr>
        <w:tab/>
        <w:t xml:space="preserve">تلاحظ اللجنة أن قانون الأدلة لعام 2006 ينص على أنه في حال إثارة محامي الدفاع في قضية من القضايا مسألة كون الأقوال التي أدلى بها المدّعى عليه قد تأثّرت </w:t>
      </w:r>
      <w:r w:rsidR="00191B51" w:rsidRPr="006F3095">
        <w:rPr>
          <w:rFonts w:hint="cs"/>
          <w:spacing w:val="2"/>
          <w:rtl/>
          <w:lang w:eastAsia="en-US"/>
        </w:rPr>
        <w:t>بتعرضه للقمع</w:t>
      </w:r>
      <w:r w:rsidRPr="006F3095">
        <w:rPr>
          <w:rFonts w:hint="cs"/>
          <w:spacing w:val="2"/>
          <w:rtl/>
          <w:lang w:eastAsia="en-US"/>
        </w:rPr>
        <w:t xml:space="preserve">، يجب على القاضي ألاّ يقبل </w:t>
      </w:r>
      <w:r w:rsidR="00191B51" w:rsidRPr="006F3095">
        <w:rPr>
          <w:rFonts w:hint="cs"/>
          <w:spacing w:val="2"/>
          <w:rtl/>
          <w:lang w:eastAsia="en-US"/>
        </w:rPr>
        <w:t xml:space="preserve">تلك الأقوال </w:t>
      </w:r>
      <w:r w:rsidRPr="006F3095">
        <w:rPr>
          <w:rFonts w:hint="cs"/>
          <w:spacing w:val="2"/>
          <w:rtl/>
          <w:lang w:eastAsia="en-US"/>
        </w:rPr>
        <w:t>إلاّ إذا استطاعت النيابة العامة أن تبرهن بما لا يدع مجالاً للشك المعقول أن أقوال المدّعى عليه لم تتأثر</w:t>
      </w:r>
      <w:r w:rsidR="00191B51" w:rsidRPr="006F3095">
        <w:rPr>
          <w:rFonts w:hint="cs"/>
          <w:spacing w:val="2"/>
          <w:rtl/>
          <w:lang w:eastAsia="en-US"/>
        </w:rPr>
        <w:t xml:space="preserve"> بتعرضه</w:t>
      </w:r>
      <w:r w:rsidRPr="006F3095">
        <w:rPr>
          <w:rFonts w:hint="cs"/>
          <w:spacing w:val="2"/>
          <w:rtl/>
          <w:lang w:eastAsia="en-US"/>
        </w:rPr>
        <w:t xml:space="preserve"> "</w:t>
      </w:r>
      <w:r w:rsidR="00191B51" w:rsidRPr="006F3095">
        <w:rPr>
          <w:rFonts w:hint="cs"/>
          <w:spacing w:val="2"/>
          <w:rtl/>
          <w:lang w:eastAsia="en-US"/>
        </w:rPr>
        <w:t>للقمع</w:t>
      </w:r>
      <w:r w:rsidRPr="006F3095">
        <w:rPr>
          <w:rFonts w:hint="cs"/>
          <w:spacing w:val="2"/>
          <w:rtl/>
          <w:lang w:eastAsia="en-US"/>
        </w:rPr>
        <w:t>". وعلاوة عل ذلك، وفي حال تم ال</w:t>
      </w:r>
      <w:r w:rsidR="00191B51" w:rsidRPr="006F3095">
        <w:rPr>
          <w:rFonts w:hint="cs"/>
          <w:spacing w:val="2"/>
          <w:rtl/>
          <w:lang w:eastAsia="en-US"/>
        </w:rPr>
        <w:t>حصول على الأدلة بطريقة غير سليمة، وَجَب أن</w:t>
      </w:r>
      <w:r w:rsidRPr="006F3095">
        <w:rPr>
          <w:rFonts w:hint="cs"/>
          <w:spacing w:val="2"/>
          <w:rtl/>
          <w:lang w:eastAsia="en-US"/>
        </w:rPr>
        <w:t xml:space="preserve"> تتم الموازنة بين مقبولية </w:t>
      </w:r>
      <w:r w:rsidR="00191B51" w:rsidRPr="006F3095">
        <w:rPr>
          <w:rFonts w:hint="cs"/>
          <w:spacing w:val="2"/>
          <w:rtl/>
          <w:lang w:eastAsia="en-US"/>
        </w:rPr>
        <w:t xml:space="preserve">أقوال </w:t>
      </w:r>
      <w:r w:rsidRPr="006F3095">
        <w:rPr>
          <w:rFonts w:hint="cs"/>
          <w:spacing w:val="2"/>
          <w:rtl/>
          <w:lang w:eastAsia="en-US"/>
        </w:rPr>
        <w:t>المدّعى عليه والعوامل المذكورة في القانون. و</w:t>
      </w:r>
      <w:r w:rsidR="004C0731" w:rsidRPr="006F3095">
        <w:rPr>
          <w:rFonts w:hint="cs"/>
          <w:spacing w:val="2"/>
          <w:rtl/>
          <w:lang w:eastAsia="en-US"/>
        </w:rPr>
        <w:t xml:space="preserve">يساور اللجنة قلق </w:t>
      </w:r>
      <w:r w:rsidRPr="006F3095">
        <w:rPr>
          <w:rFonts w:hint="cs"/>
          <w:spacing w:val="2"/>
          <w:rtl/>
          <w:lang w:eastAsia="en-US"/>
        </w:rPr>
        <w:t>لأنه لم يتم إدراج المادة 15 من الاتفاقية بشكل كامل في القانون</w:t>
      </w:r>
      <w:r w:rsidR="00191B51" w:rsidRPr="006F3095">
        <w:rPr>
          <w:rFonts w:hint="cs"/>
          <w:spacing w:val="2"/>
          <w:rtl/>
          <w:lang w:eastAsia="en-US"/>
        </w:rPr>
        <w:t>،</w:t>
      </w:r>
      <w:r w:rsidRPr="006F3095">
        <w:rPr>
          <w:rFonts w:hint="cs"/>
          <w:spacing w:val="2"/>
          <w:rtl/>
          <w:lang w:eastAsia="en-US"/>
        </w:rPr>
        <w:t xml:space="preserve"> وهي المادة التي تنص على أنه ينبغي للدولة أن تضمن عدم </w:t>
      </w:r>
      <w:r w:rsidR="00191B51" w:rsidRPr="006F3095">
        <w:rPr>
          <w:rFonts w:hint="cs"/>
          <w:spacing w:val="2"/>
          <w:rtl/>
          <w:lang w:eastAsia="en-US"/>
        </w:rPr>
        <w:t xml:space="preserve">قبول </w:t>
      </w:r>
      <w:r w:rsidRPr="006F3095">
        <w:rPr>
          <w:rFonts w:hint="cs"/>
          <w:spacing w:val="2"/>
          <w:rtl/>
          <w:lang w:eastAsia="en-US"/>
        </w:rPr>
        <w:t>أي قولٍ يَثبُت أنه تم الإدلاء به تحت التعذيب كدليل في أي دعوى قضائية، ما عدا استخدامه ضد الشخص المتهم بالتعذيب كدليل على الإدلاء به. (المادة 15)</w:t>
      </w:r>
    </w:p>
    <w:p w:rsidR="00CC29B8" w:rsidRPr="008B1C67" w:rsidRDefault="002D655E" w:rsidP="00191B51">
      <w:pPr>
        <w:spacing w:before="0" w:line="380" w:lineRule="exact"/>
        <w:ind w:left="720"/>
        <w:rPr>
          <w:rFonts w:hint="cs"/>
          <w:b/>
          <w:bCs/>
          <w:spacing w:val="2"/>
          <w:rtl/>
          <w:lang w:eastAsia="en-US"/>
        </w:rPr>
      </w:pPr>
      <w:r>
        <w:rPr>
          <w:rFonts w:hint="cs"/>
          <w:b/>
          <w:bCs/>
          <w:spacing w:val="2"/>
          <w:rtl/>
          <w:lang w:eastAsia="en-US"/>
        </w:rPr>
        <w:t>ينبغي للدولة</w:t>
      </w:r>
      <w:r w:rsidR="00CC29B8" w:rsidRPr="008B1C67">
        <w:rPr>
          <w:rFonts w:hint="cs"/>
          <w:b/>
          <w:bCs/>
          <w:spacing w:val="2"/>
          <w:rtl/>
          <w:lang w:eastAsia="en-US"/>
        </w:rPr>
        <w:t xml:space="preserve"> الطرف أن تجعل التشريعات القائمة المتعلقة بالأدلة التي تُستخدم في الدعاوى القضائية </w:t>
      </w:r>
      <w:r w:rsidR="00191B51">
        <w:rPr>
          <w:rFonts w:hint="cs"/>
          <w:b/>
          <w:bCs/>
          <w:spacing w:val="2"/>
          <w:rtl/>
          <w:lang w:eastAsia="en-US"/>
        </w:rPr>
        <w:t>متوافقة</w:t>
      </w:r>
      <w:r w:rsidR="00CC29B8" w:rsidRPr="008B1C67">
        <w:rPr>
          <w:rFonts w:hint="cs"/>
          <w:b/>
          <w:bCs/>
          <w:spacing w:val="2"/>
          <w:rtl/>
          <w:lang w:eastAsia="en-US"/>
        </w:rPr>
        <w:t xml:space="preserve"> مع أحكام المادة 15 من الاتفاقية حتى يُستبعد بشكل صريح أي دليل </w:t>
      </w:r>
      <w:r w:rsidR="00191B51">
        <w:rPr>
          <w:rFonts w:hint="cs"/>
          <w:b/>
          <w:bCs/>
          <w:spacing w:val="2"/>
          <w:rtl/>
          <w:lang w:eastAsia="en-US"/>
        </w:rPr>
        <w:t>يُنتزع نتيجةً ل</w:t>
      </w:r>
      <w:r w:rsidR="00CC29B8" w:rsidRPr="008B1C67">
        <w:rPr>
          <w:rFonts w:hint="cs"/>
          <w:b/>
          <w:bCs/>
          <w:spacing w:val="2"/>
          <w:rtl/>
          <w:lang w:eastAsia="en-US"/>
        </w:rPr>
        <w:t>لتعذيب.</w:t>
      </w:r>
    </w:p>
    <w:p w:rsidR="00CC29B8" w:rsidRPr="00CC29B8" w:rsidRDefault="00CC29B8" w:rsidP="00CC29B8">
      <w:pPr>
        <w:spacing w:before="0" w:line="380" w:lineRule="exact"/>
        <w:rPr>
          <w:rFonts w:hint="cs"/>
          <w:b/>
          <w:bCs/>
          <w:rtl/>
          <w:lang w:eastAsia="en-US"/>
        </w:rPr>
      </w:pPr>
      <w:r w:rsidRPr="00CC29B8">
        <w:rPr>
          <w:rFonts w:hint="cs"/>
          <w:b/>
          <w:bCs/>
          <w:rtl/>
          <w:lang w:eastAsia="en-US"/>
        </w:rPr>
        <w:t xml:space="preserve">استخدام أسلحة </w:t>
      </w:r>
      <w:proofErr w:type="spellStart"/>
      <w:r w:rsidRPr="00CC29B8">
        <w:rPr>
          <w:rFonts w:hint="cs"/>
          <w:b/>
          <w:bCs/>
          <w:rtl/>
          <w:lang w:eastAsia="en-US"/>
        </w:rPr>
        <w:t>تيزر</w:t>
      </w:r>
      <w:proofErr w:type="spellEnd"/>
      <w:r w:rsidR="00191B51">
        <w:rPr>
          <w:rFonts w:hint="cs"/>
          <w:b/>
          <w:bCs/>
          <w:rtl/>
          <w:lang w:eastAsia="en-US"/>
        </w:rPr>
        <w:t xml:space="preserve"> </w:t>
      </w:r>
      <w:proofErr w:type="spellStart"/>
      <w:r w:rsidR="00191B51">
        <w:rPr>
          <w:rFonts w:hint="cs"/>
          <w:b/>
          <w:bCs/>
          <w:rtl/>
          <w:lang w:eastAsia="en-US"/>
        </w:rPr>
        <w:t>المُشلّة</w:t>
      </w:r>
      <w:proofErr w:type="spellEnd"/>
      <w:r w:rsidR="00191B51">
        <w:rPr>
          <w:rFonts w:hint="cs"/>
          <w:b/>
          <w:bCs/>
          <w:rtl/>
          <w:lang w:eastAsia="en-US"/>
        </w:rPr>
        <w:t xml:space="preserve"> للحركة</w:t>
      </w:r>
    </w:p>
    <w:p w:rsidR="00CC29B8" w:rsidRPr="006F3095" w:rsidRDefault="00CC29B8" w:rsidP="00C87ED5">
      <w:pPr>
        <w:spacing w:before="0" w:line="380" w:lineRule="exact"/>
        <w:rPr>
          <w:rFonts w:hint="cs"/>
          <w:spacing w:val="2"/>
          <w:rtl/>
          <w:lang w:eastAsia="en-US"/>
        </w:rPr>
      </w:pPr>
      <w:r w:rsidRPr="006F3095">
        <w:rPr>
          <w:rFonts w:hint="cs"/>
          <w:spacing w:val="2"/>
          <w:rtl/>
          <w:lang w:eastAsia="en-US"/>
        </w:rPr>
        <w:t>16-</w:t>
      </w:r>
      <w:r w:rsidRPr="006F3095">
        <w:rPr>
          <w:rFonts w:hint="cs"/>
          <w:spacing w:val="2"/>
          <w:rtl/>
          <w:lang w:eastAsia="en-US"/>
        </w:rPr>
        <w:tab/>
        <w:t>مع أن اللجنة تحيط علماً ب</w:t>
      </w:r>
      <w:r w:rsidR="00C87ED5" w:rsidRPr="006F3095">
        <w:rPr>
          <w:rFonts w:hint="cs"/>
          <w:spacing w:val="2"/>
          <w:rtl/>
          <w:lang w:eastAsia="en-US"/>
        </w:rPr>
        <w:t xml:space="preserve">تأكيدات </w:t>
      </w:r>
      <w:r w:rsidRPr="006F3095">
        <w:rPr>
          <w:rFonts w:hint="cs"/>
          <w:spacing w:val="2"/>
          <w:rtl/>
          <w:lang w:eastAsia="en-US"/>
        </w:rPr>
        <w:t xml:space="preserve">الدولة الطرف </w:t>
      </w:r>
      <w:r w:rsidR="00C87ED5" w:rsidRPr="006F3095">
        <w:rPr>
          <w:rFonts w:hint="cs"/>
          <w:spacing w:val="2"/>
          <w:rtl/>
          <w:lang w:eastAsia="en-US"/>
        </w:rPr>
        <w:t xml:space="preserve">بأن </w:t>
      </w:r>
      <w:r w:rsidRPr="006F3095">
        <w:rPr>
          <w:rFonts w:hint="cs"/>
          <w:spacing w:val="2"/>
          <w:rtl/>
          <w:lang w:eastAsia="en-US"/>
        </w:rPr>
        <w:t xml:space="preserve">أسلحة </w:t>
      </w:r>
      <w:proofErr w:type="spellStart"/>
      <w:r w:rsidRPr="006F3095">
        <w:rPr>
          <w:rFonts w:hint="cs"/>
          <w:spacing w:val="2"/>
          <w:rtl/>
          <w:lang w:eastAsia="en-US"/>
        </w:rPr>
        <w:t>تيزر</w:t>
      </w:r>
      <w:proofErr w:type="spellEnd"/>
      <w:r w:rsidRPr="006F3095">
        <w:rPr>
          <w:rFonts w:hint="cs"/>
          <w:spacing w:val="2"/>
          <w:rtl/>
          <w:lang w:eastAsia="en-US"/>
        </w:rPr>
        <w:t xml:space="preserve"> </w:t>
      </w:r>
      <w:proofErr w:type="spellStart"/>
      <w:r w:rsidR="00C87ED5" w:rsidRPr="006F3095">
        <w:rPr>
          <w:rFonts w:hint="cs"/>
          <w:spacing w:val="2"/>
          <w:rtl/>
          <w:lang w:eastAsia="en-US"/>
        </w:rPr>
        <w:t>المُشلّة</w:t>
      </w:r>
      <w:proofErr w:type="spellEnd"/>
      <w:r w:rsidR="00C87ED5" w:rsidRPr="006F3095">
        <w:rPr>
          <w:rFonts w:hint="cs"/>
          <w:spacing w:val="2"/>
          <w:rtl/>
          <w:lang w:eastAsia="en-US"/>
        </w:rPr>
        <w:t xml:space="preserve"> للحركة لن تُستخدم </w:t>
      </w:r>
      <w:r w:rsidRPr="006F3095">
        <w:rPr>
          <w:rFonts w:hint="cs"/>
          <w:spacing w:val="2"/>
          <w:rtl/>
          <w:lang w:eastAsia="en-US"/>
        </w:rPr>
        <w:t xml:space="preserve">إلاّ من قِبل </w:t>
      </w:r>
      <w:r w:rsidR="00C87ED5" w:rsidRPr="006F3095">
        <w:rPr>
          <w:rFonts w:hint="cs"/>
          <w:spacing w:val="2"/>
          <w:rtl/>
          <w:lang w:eastAsia="en-US"/>
        </w:rPr>
        <w:t xml:space="preserve">موظفين </w:t>
      </w:r>
      <w:r w:rsidRPr="006F3095">
        <w:rPr>
          <w:rFonts w:hint="cs"/>
          <w:spacing w:val="2"/>
          <w:rtl/>
          <w:lang w:eastAsia="en-US"/>
        </w:rPr>
        <w:t>مدربين ومشهود لهم بالكفاءة</w:t>
      </w:r>
      <w:r w:rsidR="00C87ED5" w:rsidRPr="006F3095">
        <w:rPr>
          <w:rFonts w:hint="cs"/>
          <w:spacing w:val="2"/>
          <w:rtl/>
          <w:lang w:eastAsia="en-US"/>
        </w:rPr>
        <w:t xml:space="preserve"> وإذا </w:t>
      </w:r>
      <w:r w:rsidRPr="006F3095">
        <w:rPr>
          <w:rFonts w:hint="cs"/>
          <w:spacing w:val="2"/>
          <w:rtl/>
          <w:lang w:eastAsia="en-US"/>
        </w:rPr>
        <w:t xml:space="preserve">كان لدى الموظف </w:t>
      </w:r>
      <w:r w:rsidR="00C87ED5" w:rsidRPr="006F3095">
        <w:rPr>
          <w:rFonts w:hint="cs"/>
          <w:spacing w:val="2"/>
          <w:rtl/>
          <w:lang w:eastAsia="en-US"/>
        </w:rPr>
        <w:t xml:space="preserve">يعتقد </w:t>
      </w:r>
      <w:r w:rsidRPr="006F3095">
        <w:rPr>
          <w:rFonts w:hint="cs"/>
          <w:spacing w:val="2"/>
          <w:rtl/>
          <w:lang w:eastAsia="en-US"/>
        </w:rPr>
        <w:t>اعتقاد</w:t>
      </w:r>
      <w:r w:rsidR="00C87ED5" w:rsidRPr="006F3095">
        <w:rPr>
          <w:rFonts w:hint="cs"/>
          <w:spacing w:val="2"/>
          <w:rtl/>
          <w:lang w:eastAsia="en-US"/>
        </w:rPr>
        <w:t>اً</w:t>
      </w:r>
      <w:r w:rsidRPr="006F3095">
        <w:rPr>
          <w:rFonts w:hint="cs"/>
          <w:spacing w:val="2"/>
          <w:rtl/>
          <w:lang w:eastAsia="en-US"/>
        </w:rPr>
        <w:t xml:space="preserve"> صادق</w:t>
      </w:r>
      <w:r w:rsidR="00C87ED5" w:rsidRPr="006F3095">
        <w:rPr>
          <w:rFonts w:hint="cs"/>
          <w:spacing w:val="2"/>
          <w:rtl/>
          <w:lang w:eastAsia="en-US"/>
        </w:rPr>
        <w:t>اً</w:t>
      </w:r>
      <w:r w:rsidRPr="006F3095">
        <w:rPr>
          <w:rFonts w:hint="cs"/>
          <w:spacing w:val="2"/>
          <w:rtl/>
          <w:lang w:eastAsia="en-US"/>
        </w:rPr>
        <w:t xml:space="preserve"> بأن الشخص </w:t>
      </w:r>
      <w:r w:rsidR="00C87ED5" w:rsidRPr="006F3095">
        <w:rPr>
          <w:rFonts w:hint="cs"/>
          <w:spacing w:val="2"/>
          <w:rtl/>
          <w:lang w:eastAsia="en-US"/>
        </w:rPr>
        <w:t xml:space="preserve">الذي يُستخدم ضده هذا السلاح </w:t>
      </w:r>
      <w:r w:rsidRPr="006F3095">
        <w:rPr>
          <w:rFonts w:hint="cs"/>
          <w:spacing w:val="2"/>
          <w:rtl/>
          <w:lang w:eastAsia="en-US"/>
        </w:rPr>
        <w:t xml:space="preserve">قادر على تنفيذ ما يهدد به وكان </w:t>
      </w:r>
      <w:r w:rsidR="00C87ED5" w:rsidRPr="006F3095">
        <w:rPr>
          <w:rFonts w:hint="cs"/>
          <w:spacing w:val="2"/>
          <w:rtl/>
          <w:lang w:eastAsia="en-US"/>
        </w:rPr>
        <w:t>هناك ما يسوّغ هذا الاستخدام</w:t>
      </w:r>
      <w:r w:rsidRPr="006F3095">
        <w:rPr>
          <w:rFonts w:hint="cs"/>
          <w:spacing w:val="2"/>
          <w:rtl/>
          <w:lang w:eastAsia="en-US"/>
        </w:rPr>
        <w:t xml:space="preserve">، فإنها تشعر بقلق عميق </w:t>
      </w:r>
      <w:r w:rsidR="00C87ED5" w:rsidRPr="006F3095">
        <w:rPr>
          <w:rFonts w:hint="cs"/>
          <w:spacing w:val="2"/>
          <w:rtl/>
          <w:lang w:eastAsia="en-US"/>
        </w:rPr>
        <w:t xml:space="preserve">لأن </w:t>
      </w:r>
      <w:r w:rsidRPr="006F3095">
        <w:rPr>
          <w:rFonts w:hint="cs"/>
          <w:spacing w:val="2"/>
          <w:rtl/>
          <w:lang w:eastAsia="en-US"/>
        </w:rPr>
        <w:t xml:space="preserve">الشرطة النيوزيلندية </w:t>
      </w:r>
      <w:r w:rsidR="00C87ED5" w:rsidRPr="006F3095">
        <w:rPr>
          <w:rFonts w:hint="cs"/>
          <w:spacing w:val="2"/>
          <w:rtl/>
          <w:lang w:eastAsia="en-US"/>
        </w:rPr>
        <w:t xml:space="preserve"> قد بدأت تستخدم </w:t>
      </w:r>
      <w:r w:rsidRPr="006F3095">
        <w:rPr>
          <w:rFonts w:hint="cs"/>
          <w:spacing w:val="2"/>
          <w:rtl/>
          <w:lang w:eastAsia="en-US"/>
        </w:rPr>
        <w:t>تلك الأسلحة. ويساور</w:t>
      </w:r>
      <w:r w:rsidR="00C87ED5" w:rsidRPr="006F3095">
        <w:rPr>
          <w:rFonts w:hint="cs"/>
          <w:spacing w:val="2"/>
          <w:rtl/>
          <w:lang w:eastAsia="en-US"/>
        </w:rPr>
        <w:t xml:space="preserve"> اللجنة </w:t>
      </w:r>
      <w:r w:rsidRPr="006F3095">
        <w:rPr>
          <w:rFonts w:hint="cs"/>
          <w:spacing w:val="2"/>
          <w:rtl/>
          <w:lang w:eastAsia="en-US"/>
        </w:rPr>
        <w:t xml:space="preserve">قلق لأن استخدام تلك الأسلحة يتسبب في ألم </w:t>
      </w:r>
      <w:r w:rsidR="00C87ED5" w:rsidRPr="006F3095">
        <w:rPr>
          <w:rFonts w:hint="cs"/>
          <w:spacing w:val="2"/>
          <w:rtl/>
          <w:lang w:eastAsia="en-US"/>
        </w:rPr>
        <w:t>مبرح</w:t>
      </w:r>
      <w:r w:rsidRPr="006F3095">
        <w:rPr>
          <w:rFonts w:hint="cs"/>
          <w:spacing w:val="2"/>
          <w:rtl/>
          <w:lang w:eastAsia="en-US"/>
        </w:rPr>
        <w:t xml:space="preserve"> يمثل شكلاً من أشكال التعذيب، بل إنه قد يؤدي إلى الموت في بعض الحالات. وبالإضافة إلى ذلك، يساور اللجنة قلق </w:t>
      </w:r>
      <w:r w:rsidR="00C87ED5" w:rsidRPr="006F3095">
        <w:rPr>
          <w:rFonts w:hint="cs"/>
          <w:spacing w:val="2"/>
          <w:rtl/>
          <w:lang w:eastAsia="en-US"/>
        </w:rPr>
        <w:t xml:space="preserve">إزاء </w:t>
      </w:r>
      <w:r w:rsidRPr="006F3095">
        <w:rPr>
          <w:rFonts w:hint="cs"/>
          <w:spacing w:val="2"/>
          <w:rtl/>
          <w:lang w:eastAsia="en-US"/>
        </w:rPr>
        <w:t xml:space="preserve">ورود تقارير تفيد بأن أسلحة </w:t>
      </w:r>
      <w:proofErr w:type="spellStart"/>
      <w:r w:rsidRPr="006F3095">
        <w:rPr>
          <w:rFonts w:hint="cs"/>
          <w:spacing w:val="2"/>
          <w:rtl/>
          <w:lang w:eastAsia="en-US"/>
        </w:rPr>
        <w:t>تيزر</w:t>
      </w:r>
      <w:proofErr w:type="spellEnd"/>
      <w:r w:rsidRPr="006F3095">
        <w:rPr>
          <w:rFonts w:hint="cs"/>
          <w:spacing w:val="2"/>
          <w:rtl/>
          <w:lang w:eastAsia="en-US"/>
        </w:rPr>
        <w:t xml:space="preserve"> تُستخدم غالباً ضد الماوري والشباب أثناء فترة المحاكمة. (المادتان 2 و16)</w:t>
      </w:r>
    </w:p>
    <w:p w:rsidR="00CC29B8" w:rsidRPr="00CC29B8" w:rsidRDefault="002D655E" w:rsidP="00C87ED5">
      <w:pPr>
        <w:spacing w:before="0" w:line="380" w:lineRule="exact"/>
        <w:ind w:left="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 أن تنظر في الاستغناء عن استخدام أسلحة </w:t>
      </w:r>
      <w:proofErr w:type="spellStart"/>
      <w:r w:rsidR="00C87ED5">
        <w:rPr>
          <w:rFonts w:hint="cs"/>
          <w:b/>
          <w:bCs/>
          <w:rtl/>
          <w:lang w:eastAsia="en-US"/>
        </w:rPr>
        <w:t>تيزر</w:t>
      </w:r>
      <w:proofErr w:type="spellEnd"/>
      <w:r w:rsidR="00CC29B8" w:rsidRPr="00CC29B8">
        <w:rPr>
          <w:rFonts w:hint="cs"/>
          <w:b/>
          <w:bCs/>
          <w:rtl/>
          <w:lang w:eastAsia="en-US"/>
        </w:rPr>
        <w:t xml:space="preserve"> التي يبدو أن أثرها على الحالة البدنية والعقلية للأشخاص المستهدفين بها ينتهك المادتين 2 و16 من الاتفاقية.</w:t>
      </w:r>
    </w:p>
    <w:p w:rsidR="00CC29B8" w:rsidRPr="00CC29B8" w:rsidRDefault="00CC29B8" w:rsidP="00CC29B8">
      <w:pPr>
        <w:spacing w:before="0" w:line="380" w:lineRule="exact"/>
        <w:rPr>
          <w:rFonts w:hint="cs"/>
          <w:b/>
          <w:bCs/>
          <w:rtl/>
          <w:lang w:eastAsia="en-US"/>
        </w:rPr>
      </w:pPr>
      <w:r w:rsidRPr="00CC29B8">
        <w:rPr>
          <w:rFonts w:hint="cs"/>
          <w:b/>
          <w:bCs/>
          <w:rtl/>
          <w:lang w:eastAsia="en-US"/>
        </w:rPr>
        <w:t>العنف ضد المرأة</w:t>
      </w:r>
    </w:p>
    <w:p w:rsidR="00CC29B8" w:rsidRPr="00C87ED5" w:rsidRDefault="00CC29B8" w:rsidP="004246FB">
      <w:pPr>
        <w:spacing w:before="0" w:line="380" w:lineRule="exact"/>
        <w:rPr>
          <w:rFonts w:hint="cs"/>
          <w:spacing w:val="2"/>
          <w:rtl/>
          <w:lang w:eastAsia="en-US"/>
        </w:rPr>
      </w:pPr>
      <w:r w:rsidRPr="00C87ED5">
        <w:rPr>
          <w:rFonts w:hint="cs"/>
          <w:spacing w:val="2"/>
          <w:rtl/>
          <w:lang w:eastAsia="en-US"/>
        </w:rPr>
        <w:t>17-</w:t>
      </w:r>
      <w:r w:rsidRPr="00C87ED5">
        <w:rPr>
          <w:rFonts w:hint="cs"/>
          <w:spacing w:val="2"/>
          <w:rtl/>
          <w:lang w:eastAsia="en-US"/>
        </w:rPr>
        <w:tab/>
        <w:t>في حين أن اللجنة تقدّر مختلف المبادرات التي اتخذتها الدولة الطرف بغرض القضاء على العنف ضد المرأة، فإنها لا تزال تشعر بالقلق إزاء استمرار انتشار</w:t>
      </w:r>
      <w:r w:rsidR="00C87ED5" w:rsidRPr="00C87ED5">
        <w:rPr>
          <w:rFonts w:hint="cs"/>
          <w:spacing w:val="2"/>
          <w:rtl/>
          <w:lang w:eastAsia="en-US"/>
        </w:rPr>
        <w:t xml:space="preserve"> ممارسة</w:t>
      </w:r>
      <w:r w:rsidRPr="00C87ED5">
        <w:rPr>
          <w:rFonts w:hint="cs"/>
          <w:spacing w:val="2"/>
          <w:rtl/>
          <w:lang w:eastAsia="en-US"/>
        </w:rPr>
        <w:t xml:space="preserve"> العنف ضد النساء، خاصة النساء من الماوري ومن جزر المحيط الهادي ونساء الأقليات، وإزاء انخفاض معدلات الملاحقة القضائية والإدانة في جرائم العنف ضد النساء، كما جاء أيضاً على لسان اللجنة المعنية بالقضاء على التمييز ضد المرأة </w:t>
      </w:r>
      <w:r w:rsidRPr="00C87ED5">
        <w:rPr>
          <w:spacing w:val="2"/>
          <w:lang w:eastAsia="en-US"/>
        </w:rPr>
        <w:t>CEDAW/C/NZL/CO/6)</w:t>
      </w:r>
      <w:r w:rsidRPr="00C87ED5">
        <w:rPr>
          <w:rFonts w:hint="cs"/>
          <w:spacing w:val="2"/>
          <w:rtl/>
          <w:lang w:eastAsia="en-US"/>
        </w:rPr>
        <w:t>، الفقرة 24). (المادة 16)</w:t>
      </w:r>
    </w:p>
    <w:p w:rsidR="00CC29B8" w:rsidRPr="00B14F35" w:rsidRDefault="002D655E" w:rsidP="004246FB">
      <w:pPr>
        <w:spacing w:before="0" w:line="380" w:lineRule="exact"/>
        <w:ind w:left="720"/>
        <w:rPr>
          <w:rFonts w:hint="cs"/>
          <w:b/>
          <w:bCs/>
          <w:spacing w:val="0"/>
          <w:rtl/>
          <w:lang w:eastAsia="en-US"/>
        </w:rPr>
      </w:pPr>
      <w:r>
        <w:rPr>
          <w:rFonts w:hint="cs"/>
          <w:b/>
          <w:bCs/>
          <w:spacing w:val="0"/>
          <w:rtl/>
          <w:lang w:eastAsia="en-US"/>
        </w:rPr>
        <w:t>ينبغي للدولة</w:t>
      </w:r>
      <w:r w:rsidR="00CC29B8" w:rsidRPr="00B14F35">
        <w:rPr>
          <w:rFonts w:hint="cs"/>
          <w:b/>
          <w:bCs/>
          <w:spacing w:val="0"/>
          <w:rtl/>
          <w:lang w:eastAsia="en-US"/>
        </w:rPr>
        <w:t xml:space="preserve"> الطرف أن تضمن التحقيق الفوري والنزيه في جميع الادعاءات المعقولة </w:t>
      </w:r>
      <w:r w:rsidR="00C87ED5">
        <w:rPr>
          <w:rFonts w:hint="cs"/>
          <w:b/>
          <w:bCs/>
          <w:spacing w:val="0"/>
          <w:rtl/>
          <w:lang w:eastAsia="en-US"/>
        </w:rPr>
        <w:t>المتعلقة بممارسة أعمال</w:t>
      </w:r>
      <w:r w:rsidR="00CC29B8" w:rsidRPr="00B14F35">
        <w:rPr>
          <w:rFonts w:hint="cs"/>
          <w:b/>
          <w:bCs/>
          <w:spacing w:val="0"/>
          <w:rtl/>
          <w:lang w:eastAsia="en-US"/>
        </w:rPr>
        <w:t xml:space="preserve"> العنف ضد النساء، وملاحقة مرتكبيه</w:t>
      </w:r>
      <w:r w:rsidR="00C87ED5">
        <w:rPr>
          <w:rFonts w:hint="cs"/>
          <w:b/>
          <w:bCs/>
          <w:spacing w:val="0"/>
          <w:rtl/>
          <w:lang w:eastAsia="en-US"/>
        </w:rPr>
        <w:t>ا</w:t>
      </w:r>
      <w:r w:rsidR="00CC29B8" w:rsidRPr="00B14F35">
        <w:rPr>
          <w:rFonts w:hint="cs"/>
          <w:b/>
          <w:bCs/>
          <w:spacing w:val="0"/>
          <w:rtl/>
          <w:lang w:eastAsia="en-US"/>
        </w:rPr>
        <w:t xml:space="preserve"> المزعومين وفق الأصول، ومعاقبتهم إذا ثبت عليهم الجرم، و</w:t>
      </w:r>
      <w:r w:rsidR="00C87ED5">
        <w:rPr>
          <w:rFonts w:hint="cs"/>
          <w:b/>
          <w:bCs/>
          <w:spacing w:val="0"/>
          <w:rtl/>
          <w:lang w:eastAsia="en-US"/>
        </w:rPr>
        <w:t xml:space="preserve">إتاحة </w:t>
      </w:r>
      <w:r w:rsidR="00CC29B8" w:rsidRPr="00B14F35">
        <w:rPr>
          <w:rFonts w:hint="cs"/>
          <w:b/>
          <w:bCs/>
          <w:spacing w:val="0"/>
          <w:rtl/>
          <w:lang w:eastAsia="en-US"/>
        </w:rPr>
        <w:t>سبيل انتصاف ملائم</w:t>
      </w:r>
      <w:r w:rsidR="00C87ED5">
        <w:rPr>
          <w:rFonts w:hint="cs"/>
          <w:b/>
          <w:bCs/>
          <w:spacing w:val="0"/>
          <w:rtl/>
          <w:lang w:eastAsia="en-US"/>
        </w:rPr>
        <w:t xml:space="preserve"> للضحايا</w:t>
      </w:r>
      <w:r w:rsidR="00CC29B8" w:rsidRPr="00B14F35">
        <w:rPr>
          <w:rFonts w:hint="cs"/>
          <w:b/>
          <w:bCs/>
          <w:spacing w:val="0"/>
          <w:rtl/>
          <w:lang w:eastAsia="en-US"/>
        </w:rPr>
        <w:t>، بما في ذلك التعويض وإعادة التأهيل. و</w:t>
      </w:r>
      <w:r>
        <w:rPr>
          <w:rFonts w:hint="cs"/>
          <w:b/>
          <w:bCs/>
          <w:spacing w:val="0"/>
          <w:rtl/>
          <w:lang w:eastAsia="en-US"/>
        </w:rPr>
        <w:t>ينبغي للدولة</w:t>
      </w:r>
      <w:r w:rsidR="00CC29B8" w:rsidRPr="00B14F35">
        <w:rPr>
          <w:rFonts w:hint="cs"/>
          <w:b/>
          <w:bCs/>
          <w:spacing w:val="0"/>
          <w:rtl/>
          <w:lang w:eastAsia="en-US"/>
        </w:rPr>
        <w:t xml:space="preserve"> الطرف أيضاً أن تتخذ تدابير </w:t>
      </w:r>
      <w:proofErr w:type="spellStart"/>
      <w:r w:rsidR="00CC29B8" w:rsidRPr="00B14F35">
        <w:rPr>
          <w:rFonts w:hint="cs"/>
          <w:b/>
          <w:bCs/>
          <w:spacing w:val="0"/>
          <w:rtl/>
          <w:lang w:eastAsia="en-US"/>
        </w:rPr>
        <w:t>حمائية</w:t>
      </w:r>
      <w:proofErr w:type="spellEnd"/>
      <w:r w:rsidR="00CC29B8" w:rsidRPr="00B14F35">
        <w:rPr>
          <w:rFonts w:hint="cs"/>
          <w:b/>
          <w:bCs/>
          <w:spacing w:val="0"/>
          <w:rtl/>
          <w:lang w:eastAsia="en-US"/>
        </w:rPr>
        <w:t xml:space="preserve"> إضافية لفائدة النساء، </w:t>
      </w:r>
      <w:r w:rsidR="00C87ED5">
        <w:rPr>
          <w:rFonts w:hint="cs"/>
          <w:b/>
          <w:bCs/>
          <w:spacing w:val="0"/>
          <w:rtl/>
          <w:lang w:eastAsia="en-US"/>
        </w:rPr>
        <w:t>ك</w:t>
      </w:r>
      <w:r w:rsidR="00CC29B8" w:rsidRPr="00B14F35">
        <w:rPr>
          <w:rFonts w:hint="cs"/>
          <w:b/>
          <w:bCs/>
          <w:spacing w:val="0"/>
          <w:rtl/>
          <w:lang w:eastAsia="en-US"/>
        </w:rPr>
        <w:t>تمكين الشرطة من إصدار أوامر حماية. وينبغي للدولة الطرف أن</w:t>
      </w:r>
      <w:r w:rsidR="00B14F35">
        <w:rPr>
          <w:rFonts w:hint="eastAsia"/>
          <w:b/>
          <w:bCs/>
          <w:spacing w:val="0"/>
          <w:rtl/>
          <w:lang w:eastAsia="en-US"/>
        </w:rPr>
        <w:t> </w:t>
      </w:r>
      <w:r w:rsidR="00CC29B8" w:rsidRPr="00B14F35">
        <w:rPr>
          <w:rFonts w:hint="cs"/>
          <w:b/>
          <w:bCs/>
          <w:spacing w:val="0"/>
          <w:rtl/>
          <w:lang w:eastAsia="en-US"/>
        </w:rPr>
        <w:t xml:space="preserve">تواصل </w:t>
      </w:r>
      <w:r w:rsidR="00C87ED5">
        <w:rPr>
          <w:rFonts w:hint="cs"/>
          <w:b/>
          <w:bCs/>
          <w:spacing w:val="0"/>
          <w:rtl/>
          <w:lang w:eastAsia="en-US"/>
        </w:rPr>
        <w:t>تنفيذ</w:t>
      </w:r>
      <w:r w:rsidR="00CC29B8" w:rsidRPr="00B14F35">
        <w:rPr>
          <w:rFonts w:hint="cs"/>
          <w:b/>
          <w:bCs/>
          <w:spacing w:val="0"/>
          <w:rtl/>
          <w:lang w:eastAsia="en-US"/>
        </w:rPr>
        <w:t xml:space="preserve"> برامج توعية </w:t>
      </w:r>
      <w:proofErr w:type="spellStart"/>
      <w:r w:rsidR="00CC29B8" w:rsidRPr="00B14F35">
        <w:rPr>
          <w:rFonts w:hint="cs"/>
          <w:b/>
          <w:bCs/>
          <w:spacing w:val="0"/>
          <w:rtl/>
          <w:lang w:eastAsia="en-US"/>
        </w:rPr>
        <w:t>وتحسيس</w:t>
      </w:r>
      <w:proofErr w:type="spellEnd"/>
      <w:r w:rsidR="00CC29B8" w:rsidRPr="00B14F35">
        <w:rPr>
          <w:rFonts w:hint="cs"/>
          <w:b/>
          <w:bCs/>
          <w:spacing w:val="0"/>
          <w:rtl/>
          <w:lang w:eastAsia="en-US"/>
        </w:rPr>
        <w:t xml:space="preserve"> للجمهور من أجل منع حدوث العنف ضد النساء واجتثاثه.</w:t>
      </w:r>
    </w:p>
    <w:p w:rsidR="00CC29B8" w:rsidRPr="00CC29B8" w:rsidRDefault="00CC29B8" w:rsidP="00CC29B8">
      <w:pPr>
        <w:spacing w:before="0" w:line="380" w:lineRule="exact"/>
        <w:rPr>
          <w:rFonts w:hint="cs"/>
          <w:b/>
          <w:bCs/>
          <w:rtl/>
          <w:lang w:eastAsia="en-US"/>
        </w:rPr>
      </w:pPr>
      <w:r w:rsidRPr="00CC29B8">
        <w:rPr>
          <w:rFonts w:hint="cs"/>
          <w:b/>
          <w:bCs/>
          <w:rtl/>
          <w:lang w:eastAsia="en-US"/>
        </w:rPr>
        <w:t>جمع البيانات</w:t>
      </w:r>
    </w:p>
    <w:p w:rsidR="00CC29B8" w:rsidRPr="00CC29B8" w:rsidRDefault="00CC29B8" w:rsidP="00BE5DBF">
      <w:pPr>
        <w:spacing w:before="0" w:line="380" w:lineRule="exact"/>
        <w:rPr>
          <w:rFonts w:hint="cs"/>
          <w:rtl/>
          <w:lang w:eastAsia="en-US"/>
        </w:rPr>
      </w:pPr>
      <w:r w:rsidRPr="00CC29B8">
        <w:rPr>
          <w:rFonts w:hint="cs"/>
          <w:rtl/>
          <w:lang w:eastAsia="en-US"/>
        </w:rPr>
        <w:t>18-</w:t>
      </w:r>
      <w:r w:rsidRPr="00CC29B8">
        <w:rPr>
          <w:rFonts w:hint="cs"/>
          <w:rtl/>
          <w:lang w:eastAsia="en-US"/>
        </w:rPr>
        <w:tab/>
        <w:t>تأسف اللجنة لقلّة البيانات والمعلومات الإحصائية، خاصة منها تلك المتعلقة بادعاءات التعذيب، وبنوع</w:t>
      </w:r>
      <w:r w:rsidR="00BE5DBF">
        <w:rPr>
          <w:rFonts w:hint="eastAsia"/>
          <w:rtl/>
          <w:lang w:eastAsia="en-US"/>
        </w:rPr>
        <w:t> </w:t>
      </w:r>
      <w:r w:rsidRPr="00CC29B8">
        <w:rPr>
          <w:rFonts w:hint="cs"/>
          <w:rtl/>
          <w:lang w:eastAsia="en-US"/>
        </w:rPr>
        <w:t>الشكاوى وعددها، وبملاحقة المرتكبين وإدانتهم إذا ما ثبت عليهم الجرم، وكذلك بتعويض الضحايا وإعادة تأهيلهم. (المواد 2 و12 و13 و14 و16)</w:t>
      </w:r>
    </w:p>
    <w:p w:rsidR="00CC29B8" w:rsidRPr="00CC29B8" w:rsidRDefault="002D655E" w:rsidP="00C87ED5">
      <w:pPr>
        <w:spacing w:before="0" w:line="380" w:lineRule="exact"/>
        <w:ind w:left="720"/>
        <w:rPr>
          <w:rFonts w:hint="cs"/>
          <w:b/>
          <w:bCs/>
          <w:rtl/>
          <w:lang w:eastAsia="en-US"/>
        </w:rPr>
      </w:pPr>
      <w:r>
        <w:rPr>
          <w:rFonts w:hint="cs"/>
          <w:b/>
          <w:bCs/>
          <w:rtl/>
          <w:lang w:eastAsia="en-US"/>
        </w:rPr>
        <w:t>ينبغي للدولة</w:t>
      </w:r>
      <w:r w:rsidR="00CC29B8" w:rsidRPr="00CC29B8">
        <w:rPr>
          <w:rFonts w:hint="cs"/>
          <w:b/>
          <w:bCs/>
          <w:rtl/>
          <w:lang w:eastAsia="en-US"/>
        </w:rPr>
        <w:t xml:space="preserve"> الطرف أن توفّر بيانات إحصائية مفصلة، مصنفة حسب نوع الجريمة </w:t>
      </w:r>
      <w:r w:rsidR="00C87ED5">
        <w:rPr>
          <w:rFonts w:hint="cs"/>
          <w:b/>
          <w:bCs/>
          <w:rtl/>
          <w:lang w:eastAsia="en-US"/>
        </w:rPr>
        <w:t xml:space="preserve">والأصل </w:t>
      </w:r>
      <w:proofErr w:type="spellStart"/>
      <w:r w:rsidR="00C87ED5">
        <w:rPr>
          <w:rFonts w:hint="cs"/>
          <w:b/>
          <w:bCs/>
          <w:rtl/>
          <w:lang w:eastAsia="en-US"/>
        </w:rPr>
        <w:t>الإثني</w:t>
      </w:r>
      <w:proofErr w:type="spellEnd"/>
      <w:r w:rsidR="00CC29B8" w:rsidRPr="00CC29B8">
        <w:rPr>
          <w:rFonts w:hint="cs"/>
          <w:b/>
          <w:bCs/>
          <w:rtl/>
          <w:lang w:eastAsia="en-US"/>
        </w:rPr>
        <w:t xml:space="preserve"> ونوع الجنس، بشأن الشكاوى المتعلقة بالتعذيب وسوء المعاملة اللذ</w:t>
      </w:r>
      <w:r w:rsidR="00C87ED5">
        <w:rPr>
          <w:rFonts w:hint="cs"/>
          <w:b/>
          <w:bCs/>
          <w:rtl/>
          <w:lang w:eastAsia="en-US"/>
        </w:rPr>
        <w:t>ي</w:t>
      </w:r>
      <w:r w:rsidR="00CC29B8" w:rsidRPr="00CC29B8">
        <w:rPr>
          <w:rFonts w:hint="cs"/>
          <w:b/>
          <w:bCs/>
          <w:rtl/>
          <w:lang w:eastAsia="en-US"/>
        </w:rPr>
        <w:t>ن يُدّعى ارتكابهما من قِبل الموظفين المكلفين بإنفاذ القانون، وكذلك بشأن التحقيقات والملاحقات القضائية والعقوبات الجنائية والتأديبية ذات الصلة.</w:t>
      </w:r>
    </w:p>
    <w:p w:rsidR="00CC29B8" w:rsidRPr="00CC29B8" w:rsidRDefault="00CC29B8" w:rsidP="00C87ED5">
      <w:pPr>
        <w:spacing w:before="0" w:line="380" w:lineRule="exact"/>
        <w:rPr>
          <w:rFonts w:hint="cs"/>
          <w:rtl/>
          <w:lang w:eastAsia="en-US"/>
        </w:rPr>
      </w:pPr>
      <w:r w:rsidRPr="00CC29B8">
        <w:rPr>
          <w:rFonts w:hint="cs"/>
          <w:rtl/>
          <w:lang w:eastAsia="en-US"/>
        </w:rPr>
        <w:t>19-</w:t>
      </w:r>
      <w:r w:rsidRPr="00CC29B8">
        <w:rPr>
          <w:rFonts w:hint="cs"/>
          <w:rtl/>
          <w:lang w:eastAsia="en-US"/>
        </w:rPr>
        <w:tab/>
        <w:t xml:space="preserve">وتدعو اللجنة الدولة الطرف إلى التصديق على معاهدات الأمم المتحدة لحقوق الإنسان التي </w:t>
      </w:r>
      <w:r w:rsidR="00C87ED5">
        <w:rPr>
          <w:rFonts w:hint="cs"/>
          <w:rtl/>
          <w:lang w:eastAsia="en-US"/>
        </w:rPr>
        <w:t>لم تصبح</w:t>
      </w:r>
      <w:r w:rsidRPr="00CC29B8">
        <w:rPr>
          <w:rFonts w:hint="cs"/>
          <w:rtl/>
          <w:lang w:eastAsia="en-US"/>
        </w:rPr>
        <w:t xml:space="preserve"> طرفاً فيها بعد، و</w:t>
      </w:r>
      <w:r w:rsidR="00C87ED5">
        <w:rPr>
          <w:rFonts w:hint="cs"/>
          <w:rtl/>
          <w:lang w:eastAsia="en-US"/>
        </w:rPr>
        <w:t>لا </w:t>
      </w:r>
      <w:proofErr w:type="spellStart"/>
      <w:r w:rsidR="00C87ED5">
        <w:rPr>
          <w:rFonts w:hint="cs"/>
          <w:rtl/>
          <w:lang w:eastAsia="en-US"/>
        </w:rPr>
        <w:t>سيما</w:t>
      </w:r>
      <w:proofErr w:type="spellEnd"/>
      <w:r w:rsidRPr="00CC29B8">
        <w:rPr>
          <w:rFonts w:hint="cs"/>
          <w:rtl/>
          <w:lang w:eastAsia="en-US"/>
        </w:rPr>
        <w:t xml:space="preserve"> اتفاقية حماية حقوق جميع العمال المهاجرين وأفراد أسرهم والاتفاقية الدولية لحماية جميع الأشخاص من الاختفاء القسري.</w:t>
      </w:r>
    </w:p>
    <w:p w:rsidR="00CC29B8" w:rsidRPr="00CC29B8" w:rsidRDefault="00CC29B8" w:rsidP="00CC29B8">
      <w:pPr>
        <w:spacing w:before="0" w:line="380" w:lineRule="exact"/>
        <w:rPr>
          <w:rFonts w:hint="cs"/>
          <w:rtl/>
          <w:lang w:eastAsia="en-US"/>
        </w:rPr>
      </w:pPr>
      <w:r w:rsidRPr="00CC29B8">
        <w:rPr>
          <w:rFonts w:hint="cs"/>
          <w:rtl/>
          <w:lang w:eastAsia="en-US"/>
        </w:rPr>
        <w:t>20-</w:t>
      </w:r>
      <w:r w:rsidRPr="00CC29B8">
        <w:rPr>
          <w:rFonts w:hint="cs"/>
          <w:rtl/>
          <w:lang w:eastAsia="en-US"/>
        </w:rPr>
        <w:tab/>
        <w:t>وتشجع اللجنة الدولة الطرف على نشر التقارير التي تقدمها الدولة الطرف إلى اللجنة والملاحظات الختامية الصادرة عن هذه الأخيرة على نطاق واسع، باللغات المناسبة، من خلال المواقع الرسمية على شبكة الإنترنت، وعن طريق وسائط الإعلام والمنظمات غير الحكومية.</w:t>
      </w:r>
    </w:p>
    <w:p w:rsidR="00CC29B8" w:rsidRPr="00CC29B8" w:rsidRDefault="00CC29B8" w:rsidP="00CC29B8">
      <w:pPr>
        <w:spacing w:before="0" w:line="380" w:lineRule="exact"/>
        <w:rPr>
          <w:rFonts w:hint="cs"/>
          <w:rtl/>
          <w:lang w:eastAsia="en-US"/>
        </w:rPr>
      </w:pPr>
      <w:r w:rsidRPr="00CC29B8">
        <w:rPr>
          <w:rFonts w:hint="cs"/>
          <w:rtl/>
          <w:lang w:eastAsia="en-US"/>
        </w:rPr>
        <w:t>21-</w:t>
      </w:r>
      <w:r w:rsidRPr="00CC29B8">
        <w:rPr>
          <w:rFonts w:hint="cs"/>
          <w:rtl/>
          <w:lang w:eastAsia="en-US"/>
        </w:rPr>
        <w:tab/>
        <w:t>وتطلب اللجنة إلى الدولة الطرف أن توفر، في غضون سنة واحدة، معلومات بشأن التدابير المتخذة استجابةً لتوصيات اللجنة كما وردت في الفقرات 9 و11 و14 و16.</w:t>
      </w:r>
    </w:p>
    <w:p w:rsidR="00CC29B8" w:rsidRPr="00CC29B8" w:rsidRDefault="00CC29B8" w:rsidP="00C87ED5">
      <w:pPr>
        <w:spacing w:before="0" w:line="380" w:lineRule="exact"/>
        <w:rPr>
          <w:rFonts w:hint="cs"/>
          <w:rtl/>
          <w:lang w:eastAsia="en-US"/>
        </w:rPr>
      </w:pPr>
      <w:r w:rsidRPr="00CC29B8">
        <w:rPr>
          <w:rFonts w:hint="cs"/>
          <w:rtl/>
          <w:lang w:eastAsia="en-US"/>
        </w:rPr>
        <w:t>22-</w:t>
      </w:r>
      <w:r w:rsidRPr="00CC29B8">
        <w:rPr>
          <w:rFonts w:hint="cs"/>
          <w:rtl/>
          <w:lang w:eastAsia="en-US"/>
        </w:rPr>
        <w:tab/>
        <w:t xml:space="preserve">والدولة الطرف مدعوّة لأن تقدّم تقريرها القادم، الذي سيُعتبر تقريرَها الدوري السادس، </w:t>
      </w:r>
      <w:r w:rsidR="00C87ED5">
        <w:rPr>
          <w:rFonts w:hint="cs"/>
          <w:rtl/>
          <w:lang w:eastAsia="en-US"/>
        </w:rPr>
        <w:t>في موعد أقصاه</w:t>
      </w:r>
      <w:r w:rsidR="00C87ED5">
        <w:rPr>
          <w:rFonts w:hint="eastAsia"/>
          <w:rtl/>
          <w:lang w:eastAsia="en-US"/>
        </w:rPr>
        <w:t> </w:t>
      </w:r>
      <w:r w:rsidRPr="00CC29B8">
        <w:rPr>
          <w:rFonts w:hint="cs"/>
          <w:rtl/>
          <w:lang w:eastAsia="en-US"/>
        </w:rPr>
        <w:t>15 أيار/مايو 2013.</w:t>
      </w:r>
    </w:p>
    <w:p w:rsidR="00CC29B8" w:rsidRPr="00CC29B8" w:rsidRDefault="00B14F35" w:rsidP="00B14F35">
      <w:pPr>
        <w:spacing w:before="0" w:line="380" w:lineRule="exact"/>
        <w:jc w:val="center"/>
        <w:rPr>
          <w:rFonts w:hint="cs"/>
          <w:rtl/>
          <w:lang w:eastAsia="en-US"/>
        </w:rPr>
      </w:pPr>
      <w:r>
        <w:rPr>
          <w:rFonts w:hint="cs"/>
          <w:rtl/>
          <w:lang w:eastAsia="en-US"/>
        </w:rPr>
        <w:t>- - - - -</w:t>
      </w:r>
    </w:p>
    <w:sectPr w:rsidR="00CC29B8" w:rsidRPr="00CC29B8" w:rsidSect="00312565">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CB" w:rsidRDefault="00FE40CB">
      <w:r>
        <w:separator/>
      </w:r>
    </w:p>
  </w:endnote>
  <w:endnote w:type="continuationSeparator" w:id="0">
    <w:p w:rsidR="00FE40CB" w:rsidRDefault="00FE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D5" w:rsidRDefault="00C87ED5" w:rsidP="00312565">
    <w:pPr>
      <w:pStyle w:val="Footer"/>
      <w:bidi w:val="0"/>
      <w:jc w:val="right"/>
      <w:rPr>
        <w:rtl/>
        <w:lang w:eastAsia="en-US"/>
      </w:rPr>
    </w:pPr>
    <w:r>
      <w:rPr>
        <w:szCs w:val="22"/>
        <w:lang w:eastAsia="en-US"/>
      </w:rPr>
      <w:t>(A)     GE.09-42764    210709    210709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CB" w:rsidRDefault="00FE40CB">
      <w:pPr>
        <w:pStyle w:val="FootnoteText"/>
        <w:numPr>
          <w:ilvl w:val="0"/>
          <w:numId w:val="0"/>
        </w:numPr>
        <w:ind w:right="0"/>
        <w:rPr>
          <w:szCs w:val="22"/>
          <w:lang w:eastAsia="en-US"/>
        </w:rPr>
      </w:pPr>
      <w:r>
        <w:separator/>
      </w:r>
    </w:p>
  </w:footnote>
  <w:footnote w:type="continuationSeparator" w:id="0">
    <w:p w:rsidR="00FE40CB" w:rsidRDefault="00FE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56"/>
    </w:tblGrid>
    <w:tr w:rsidR="00C87ED5" w:rsidTr="00312565">
      <w:tblPrEx>
        <w:tblCellMar>
          <w:top w:w="0" w:type="dxa"/>
          <w:bottom w:w="0" w:type="dxa"/>
        </w:tblCellMar>
      </w:tblPrEx>
      <w:tc>
        <w:tcPr>
          <w:tcW w:w="2056" w:type="dxa"/>
          <w:shd w:val="clear" w:color="auto" w:fill="auto"/>
        </w:tcPr>
        <w:p w:rsidR="00C87ED5" w:rsidRDefault="00C87ED5" w:rsidP="00312565">
          <w:pPr>
            <w:pStyle w:val="Header"/>
            <w:bidi w:val="0"/>
          </w:pPr>
          <w:r>
            <w:t>CAT/C/NZL/CO/5</w:t>
          </w:r>
        </w:p>
        <w:p w:rsidR="00C87ED5" w:rsidRDefault="00C87ED5" w:rsidP="00312565">
          <w:pPr>
            <w:pStyle w:val="Header"/>
            <w:bidi w:val="0"/>
          </w:pPr>
          <w:r>
            <w:t xml:space="preserve">Page </w:t>
          </w:r>
          <w:r>
            <w:fldChar w:fldCharType="begin"/>
          </w:r>
          <w:r>
            <w:instrText xml:space="preserve"> PAGE  \* MERGEFORMAT </w:instrText>
          </w:r>
          <w:r>
            <w:fldChar w:fldCharType="separate"/>
          </w:r>
          <w:r w:rsidR="001F2FC3">
            <w:rPr>
              <w:noProof/>
            </w:rPr>
            <w:t>8</w:t>
          </w:r>
          <w:r>
            <w:fldChar w:fldCharType="end"/>
          </w:r>
        </w:p>
      </w:tc>
    </w:tr>
  </w:tbl>
  <w:p w:rsidR="00C87ED5" w:rsidRPr="00312565" w:rsidRDefault="00C87ED5" w:rsidP="00312565">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D5" w:rsidRDefault="00C87ED5" w:rsidP="00312565">
    <w:pPr>
      <w:pStyle w:val="Header"/>
      <w:bidi w:val="0"/>
    </w:pPr>
    <w:r>
      <w:t>CAT/C/NZL/CO/5</w:t>
    </w:r>
  </w:p>
  <w:p w:rsidR="00C87ED5" w:rsidRPr="00312565" w:rsidRDefault="00C87ED5" w:rsidP="00312565">
    <w:pPr>
      <w:pStyle w:val="Header"/>
      <w:bidi w:val="0"/>
    </w:pPr>
    <w:r>
      <w:t xml:space="preserve">Page </w:t>
    </w:r>
    <w:r>
      <w:fldChar w:fldCharType="begin"/>
    </w:r>
    <w:r>
      <w:instrText xml:space="preserve"> PAGE  \* MERGEFORMAT </w:instrText>
    </w:r>
    <w:r>
      <w:fldChar w:fldCharType="separate"/>
    </w:r>
    <w:r w:rsidR="004246FB">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D5" w:rsidRDefault="00C87ED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C87ED5" w:rsidRDefault="00C87ED5">
    <w:pPr>
      <w:pBdr>
        <w:bottom w:val="single" w:sz="6" w:space="1" w:color="auto"/>
      </w:pBdr>
      <w:bidi w:val="0"/>
      <w:spacing w:before="0" w:after="0"/>
      <w:rPr>
        <w:rFonts w:cs="Times New Roman"/>
        <w:szCs w:val="22"/>
        <w:lang w:eastAsia="en-US"/>
      </w:rPr>
    </w:pPr>
  </w:p>
  <w:p w:rsidR="00C87ED5" w:rsidRDefault="00C87ED5" w:rsidP="00212F9F">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44058810" r:id="rId2"/>
      </w:pict>
    </w:r>
  </w:p>
  <w:p w:rsidR="00C87ED5" w:rsidRDefault="00C87ED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39.2pt;margin-top:1.25pt;width:190.5pt;height:72.8pt;z-index:-2;mso-wrap-edited:f;mso-position-horizontal-relative:page" wrapcoords="-80 -372 -80 21972 21761 21972 21761 -372 -80 -372" o:allowincell="f" filled="f" stroked="f" strokeweight="2.25pt">
          <v:textbox style="mso-next-textbox:#_x0000_s1026" inset="0,0,0,0">
            <w:txbxContent>
              <w:p w:rsidR="00C87ED5" w:rsidRDefault="00C87ED5">
                <w:pPr>
                  <w:spacing w:before="0" w:after="0" w:line="440" w:lineRule="exact"/>
                  <w:jc w:val="left"/>
                  <w:rPr>
                    <w:rFonts w:hint="cs"/>
                    <w:b/>
                    <w:bCs/>
                    <w:spacing w:val="0"/>
                    <w:sz w:val="44"/>
                    <w:szCs w:val="44"/>
                    <w:rtl/>
                  </w:rPr>
                </w:pPr>
                <w:r>
                  <w:rPr>
                    <w:rFonts w:hint="cs"/>
                    <w:b/>
                    <w:bCs/>
                    <w:spacing w:val="0"/>
                    <w:sz w:val="44"/>
                    <w:szCs w:val="44"/>
                    <w:rtl/>
                  </w:rPr>
                  <w:t>اتفاقية مناهضة التعذيب وغيره من ضروب المعاملة أو العقوبة القاسية أو اللاإنسانية أو المهينة</w:t>
                </w:r>
              </w:p>
            </w:txbxContent>
          </v:textbox>
          <w10:wrap type="tight" anchorx="page"/>
        </v:shape>
      </w:pict>
    </w:r>
  </w:p>
  <w:p w:rsidR="00C87ED5" w:rsidRDefault="00C87ED5" w:rsidP="00212F9F">
    <w:pPr>
      <w:pStyle w:val="Header"/>
      <w:bidi w:val="0"/>
      <w:spacing w:before="120"/>
      <w:rPr>
        <w:szCs w:val="22"/>
        <w:lang w:eastAsia="en-US"/>
      </w:rPr>
    </w:pPr>
  </w:p>
  <w:p w:rsidR="00C87ED5" w:rsidRDefault="00C87ED5">
    <w:pPr>
      <w:pStyle w:val="Header"/>
      <w:bidi w:val="0"/>
      <w:rPr>
        <w:szCs w:val="22"/>
        <w:lang w:eastAsia="en-US"/>
      </w:rPr>
    </w:pPr>
  </w:p>
  <w:p w:rsidR="00C87ED5" w:rsidRDefault="00C87ED5">
    <w:pPr>
      <w:pStyle w:val="Header"/>
      <w:bidi w:val="0"/>
      <w:rPr>
        <w:rtl/>
        <w:lang w:eastAsia="en-US"/>
      </w:rPr>
    </w:pPr>
  </w:p>
  <w:p w:rsidR="00C87ED5" w:rsidRDefault="00C87ED5">
    <w:pPr>
      <w:pStyle w:val="Header"/>
      <w:bidi w:val="0"/>
      <w:rPr>
        <w:rtl/>
        <w:lang w:eastAsia="en-US"/>
      </w:rPr>
    </w:pPr>
  </w:p>
  <w:p w:rsidR="00C87ED5" w:rsidRDefault="00C87ED5" w:rsidP="00212F9F">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26E02151"/>
    <w:multiLevelType w:val="hybridMultilevel"/>
    <w:tmpl w:val="4B00A9F2"/>
    <w:lvl w:ilvl="0" w:tplc="D974F784">
      <w:start w:val="1"/>
      <w:numFmt w:val="arabicAlpha"/>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8"/>
  </w:num>
  <w:num w:numId="4">
    <w:abstractNumId w:val="6"/>
  </w:num>
  <w:num w:numId="5">
    <w:abstractNumId w:val="5"/>
  </w:num>
  <w:num w:numId="6">
    <w:abstractNumId w:val="0"/>
  </w:num>
  <w:num w:numId="7">
    <w:abstractNumId w:val="4"/>
  </w:num>
  <w:num w:numId="8">
    <w:abstractNumId w:val="7"/>
  </w:num>
  <w:num w:numId="9">
    <w:abstractNumId w:val="9"/>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757"/>
    <w:rsid w:val="000556A5"/>
    <w:rsid w:val="00191B51"/>
    <w:rsid w:val="001C40B0"/>
    <w:rsid w:val="001F2FC3"/>
    <w:rsid w:val="00212F9F"/>
    <w:rsid w:val="00245861"/>
    <w:rsid w:val="002D655E"/>
    <w:rsid w:val="00312565"/>
    <w:rsid w:val="004246FB"/>
    <w:rsid w:val="004C0731"/>
    <w:rsid w:val="0060784F"/>
    <w:rsid w:val="00642757"/>
    <w:rsid w:val="00673547"/>
    <w:rsid w:val="006F3095"/>
    <w:rsid w:val="008B1C67"/>
    <w:rsid w:val="008B37FD"/>
    <w:rsid w:val="00AB28A0"/>
    <w:rsid w:val="00B14F35"/>
    <w:rsid w:val="00B60B15"/>
    <w:rsid w:val="00BE5DBF"/>
    <w:rsid w:val="00BF3134"/>
    <w:rsid w:val="00C87ED5"/>
    <w:rsid w:val="00CC29B8"/>
    <w:rsid w:val="00DE0A0A"/>
    <w:rsid w:val="00E10307"/>
    <w:rsid w:val="00E1691B"/>
    <w:rsid w:val="00F52A6E"/>
    <w:rsid w:val="00F74945"/>
    <w:rsid w:val="00FE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8</Pages>
  <Words>2507</Words>
  <Characters>14292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Gamal</dc:creator>
  <cp:keywords/>
  <dc:description/>
  <cp:lastModifiedBy>Gamal</cp:lastModifiedBy>
  <cp:revision>2</cp:revision>
  <cp:lastPrinted>2009-07-21T10:39:00Z</cp:lastPrinted>
  <dcterms:created xsi:type="dcterms:W3CDTF">2009-07-21T12:42:00Z</dcterms:created>
  <dcterms:modified xsi:type="dcterms:W3CDTF">2009-07-21T12:42:00Z</dcterms:modified>
</cp:coreProperties>
</file>