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bottom w:val="none" w:sz="0" w:space="0" w:color="auto"/>
        </w:tblBorders>
        <w:tblLayout w:type="fixed"/>
        <w:tblCellMar>
          <w:left w:w="0" w:type="dxa"/>
          <w:right w:w="0" w:type="dxa"/>
        </w:tblCellMar>
        <w:tblLook w:val="01E0"/>
      </w:tblPr>
      <w:tblGrid>
        <w:gridCol w:w="1280"/>
        <w:gridCol w:w="3420"/>
        <w:gridCol w:w="2120"/>
        <w:gridCol w:w="2819"/>
      </w:tblGrid>
      <w:tr w:rsidR="007511D7" w:rsidRPr="00D65A62" w:rsidTr="002B43B0">
        <w:trPr>
          <w:cnfStyle w:val="100000000000"/>
          <w:trHeight w:hRule="exact" w:val="851"/>
        </w:trPr>
        <w:tc>
          <w:tcPr>
            <w:tcW w:w="4700" w:type="dxa"/>
            <w:gridSpan w:val="2"/>
            <w:tcBorders>
              <w:bottom w:val="single" w:sz="4" w:space="0" w:color="auto"/>
            </w:tcBorders>
            <w:vAlign w:val="bottom"/>
          </w:tcPr>
          <w:p w:rsidR="007511D7" w:rsidRPr="00635870" w:rsidRDefault="007511D7" w:rsidP="002B43B0">
            <w:pPr>
              <w:spacing w:after="80" w:line="300" w:lineRule="exact"/>
              <w:rPr>
                <w:sz w:val="28"/>
              </w:rPr>
            </w:pPr>
            <w:r>
              <w:rPr>
                <w:sz w:val="28"/>
              </w:rPr>
              <w:t>Организация Объединенных Наций</w:t>
            </w:r>
          </w:p>
        </w:tc>
        <w:tc>
          <w:tcPr>
            <w:tcW w:w="4939" w:type="dxa"/>
            <w:gridSpan w:val="2"/>
            <w:tcBorders>
              <w:bottom w:val="single" w:sz="4" w:space="0" w:color="auto"/>
            </w:tcBorders>
            <w:vAlign w:val="bottom"/>
          </w:tcPr>
          <w:p w:rsidR="007511D7" w:rsidRPr="00D65A62" w:rsidRDefault="007511D7" w:rsidP="002B43B0">
            <w:pPr>
              <w:jc w:val="right"/>
              <w:rPr>
                <w:sz w:val="20"/>
                <w:lang w:val="en-US"/>
              </w:rPr>
            </w:pPr>
            <w:r w:rsidRPr="002F7307">
              <w:rPr>
                <w:sz w:val="40"/>
                <w:szCs w:val="40"/>
                <w:lang w:val="en-US"/>
              </w:rPr>
              <w:t>CERD</w:t>
            </w:r>
            <w:r w:rsidRPr="00D65A62">
              <w:rPr>
                <w:sz w:val="20"/>
                <w:lang w:val="en-US"/>
              </w:rPr>
              <w:t>/</w:t>
            </w:r>
            <w:fldSimple w:instr=" FILLIN  &quot;Введите часть символа после CERD/&quot;  \* MERGEFORMAT ">
              <w:r w:rsidR="00720CD3">
                <w:t>C/SWE/19-21</w:t>
              </w:r>
            </w:fldSimple>
          </w:p>
        </w:tc>
      </w:tr>
      <w:tr w:rsidR="007511D7" w:rsidRPr="00635870" w:rsidTr="002B43B0">
        <w:trPr>
          <w:trHeight w:hRule="exact" w:val="2835"/>
        </w:trPr>
        <w:tc>
          <w:tcPr>
            <w:tcW w:w="1280" w:type="dxa"/>
            <w:tcBorders>
              <w:top w:val="single" w:sz="4" w:space="0" w:color="auto"/>
              <w:bottom w:val="single" w:sz="12" w:space="0" w:color="auto"/>
            </w:tcBorders>
          </w:tcPr>
          <w:p w:rsidR="007511D7" w:rsidRPr="00635870" w:rsidRDefault="007511D7" w:rsidP="002B43B0">
            <w:pPr>
              <w:spacing w:before="120"/>
              <w:jc w:val="center"/>
            </w:pPr>
            <w:r w:rsidRPr="0063587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7511D7" w:rsidRPr="007511D7" w:rsidRDefault="007511D7" w:rsidP="007511D7">
            <w:pPr>
              <w:suppressAutoHyphens/>
              <w:spacing w:before="120" w:line="380" w:lineRule="exact"/>
              <w:rPr>
                <w:b/>
                <w:spacing w:val="-4"/>
                <w:w w:val="100"/>
                <w:sz w:val="34"/>
                <w:szCs w:val="40"/>
              </w:rPr>
            </w:pPr>
            <w:r w:rsidRPr="007511D7">
              <w:rPr>
                <w:b/>
                <w:spacing w:val="-4"/>
                <w:w w:val="100"/>
                <w:sz w:val="34"/>
                <w:szCs w:val="40"/>
              </w:rPr>
              <w:t>Международная конвенция</w:t>
            </w:r>
            <w:r w:rsidRPr="007511D7">
              <w:rPr>
                <w:b/>
                <w:spacing w:val="-4"/>
                <w:w w:val="100"/>
                <w:sz w:val="34"/>
                <w:szCs w:val="40"/>
              </w:rPr>
              <w:br/>
              <w:t>о ликвидации всех форм</w:t>
            </w:r>
            <w:r w:rsidRPr="007511D7">
              <w:rPr>
                <w:b/>
                <w:spacing w:val="-4"/>
                <w:w w:val="100"/>
                <w:sz w:val="34"/>
                <w:szCs w:val="40"/>
              </w:rPr>
              <w:br/>
              <w:t>расовой дискриминации</w:t>
            </w:r>
          </w:p>
        </w:tc>
        <w:tc>
          <w:tcPr>
            <w:tcW w:w="2819" w:type="dxa"/>
            <w:tcBorders>
              <w:top w:val="single" w:sz="4" w:space="0" w:color="auto"/>
              <w:bottom w:val="single" w:sz="12" w:space="0" w:color="auto"/>
            </w:tcBorders>
          </w:tcPr>
          <w:p w:rsidR="007511D7" w:rsidRPr="00D65A62" w:rsidRDefault="007511D7" w:rsidP="002B43B0">
            <w:pPr>
              <w:spacing w:before="240" w:after="0"/>
              <w:rPr>
                <w:sz w:val="20"/>
                <w:lang w:val="en-US"/>
              </w:rPr>
            </w:pPr>
            <w:r w:rsidRPr="00D65A62">
              <w:rPr>
                <w:sz w:val="20"/>
                <w:lang w:val="en-US"/>
              </w:rPr>
              <w:t>Distr</w:t>
            </w:r>
            <w:r w:rsidRPr="00D65A62">
              <w:rPr>
                <w:sz w:val="20"/>
              </w:rPr>
              <w:t>.:</w:t>
            </w:r>
            <w:r w:rsidRPr="00D65A62">
              <w:rPr>
                <w:sz w:val="20"/>
                <w:lang w:val="en-US"/>
              </w:rPr>
              <w:t xml:space="preserve"> </w:t>
            </w:r>
            <w:bookmarkStart w:id="0" w:name="ПолеСоСписком1"/>
            <w:r w:rsidRPr="00D65A62">
              <w:rPr>
                <w:sz w:val="20"/>
              </w:rPr>
              <w:fldChar w:fldCharType="begin">
                <w:ffData>
                  <w:name w:val="ПолеСоСписком1"/>
                  <w:enabled/>
                  <w:calcOnExit w:val="0"/>
                  <w:ddList>
                    <w:listEntry w:val="General"/>
                    <w:listEntry w:val="Limited"/>
                    <w:listEntry w:val="Restricted"/>
                  </w:ddList>
                </w:ffData>
              </w:fldChar>
            </w:r>
            <w:r w:rsidRPr="00D65A62">
              <w:rPr>
                <w:sz w:val="20"/>
                <w:lang w:val="en-US"/>
              </w:rPr>
              <w:instrText xml:space="preserve"> FORMDROPDOWN </w:instrText>
            </w:r>
            <w:r w:rsidRPr="00D65A62">
              <w:rPr>
                <w:sz w:val="20"/>
              </w:rPr>
            </w:r>
            <w:r w:rsidRPr="00D65A62">
              <w:rPr>
                <w:sz w:val="20"/>
              </w:rPr>
              <w:fldChar w:fldCharType="end"/>
            </w:r>
            <w:bookmarkEnd w:id="0"/>
          </w:p>
          <w:p w:rsidR="007511D7" w:rsidRPr="00D65A62" w:rsidRDefault="007511D7" w:rsidP="002B43B0">
            <w:pPr>
              <w:spacing w:before="0" w:after="0"/>
              <w:rPr>
                <w:sz w:val="20"/>
                <w:lang w:val="en-US"/>
              </w:rPr>
            </w:pPr>
            <w:fldSimple w:instr=" FILLIN  &quot;Введите дату документа&quot; \* MERGEFORMAT ">
              <w:r w:rsidR="00720CD3">
                <w:rPr>
                  <w:sz w:val="20"/>
                  <w:lang w:val="en-US"/>
                </w:rPr>
                <w:t>5 November 2012</w:t>
              </w:r>
            </w:fldSimple>
          </w:p>
          <w:p w:rsidR="007511D7" w:rsidRPr="00D65A62" w:rsidRDefault="007511D7" w:rsidP="002B43B0">
            <w:pPr>
              <w:spacing w:before="0" w:after="0"/>
              <w:rPr>
                <w:sz w:val="20"/>
              </w:rPr>
            </w:pPr>
            <w:r w:rsidRPr="00D65A62">
              <w:rPr>
                <w:sz w:val="20"/>
                <w:lang w:val="en-US"/>
              </w:rPr>
              <w:t>Russian</w:t>
            </w:r>
          </w:p>
          <w:p w:rsidR="007511D7" w:rsidRPr="00D65A62" w:rsidRDefault="007511D7" w:rsidP="002B43B0">
            <w:pPr>
              <w:spacing w:before="0" w:after="0"/>
              <w:rPr>
                <w:sz w:val="20"/>
              </w:rPr>
            </w:pPr>
            <w:r w:rsidRPr="00D65A62">
              <w:rPr>
                <w:sz w:val="20"/>
                <w:lang w:val="en-US"/>
              </w:rPr>
              <w:t>Original</w:t>
            </w:r>
            <w:r w:rsidRPr="00D65A62">
              <w:rPr>
                <w:sz w:val="20"/>
              </w:rPr>
              <w:t xml:space="preserve">: </w:t>
            </w:r>
            <w:bookmarkStart w:id="1" w:name="ПолеСоСписком2"/>
            <w:r w:rsidRPr="00D65A62">
              <w:rPr>
                <w:sz w:val="20"/>
              </w:rPr>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sidRPr="00D65A62">
              <w:rPr>
                <w:sz w:val="20"/>
                <w:lang w:val="en-US"/>
              </w:rPr>
              <w:instrText xml:space="preserve"> FORMDROPDOWN </w:instrText>
            </w:r>
            <w:r w:rsidRPr="00D65A62">
              <w:rPr>
                <w:sz w:val="20"/>
              </w:rPr>
            </w:r>
            <w:r w:rsidRPr="00D65A62">
              <w:rPr>
                <w:sz w:val="20"/>
              </w:rPr>
              <w:fldChar w:fldCharType="end"/>
            </w:r>
            <w:bookmarkEnd w:id="1"/>
          </w:p>
          <w:p w:rsidR="007511D7" w:rsidRPr="00635870" w:rsidRDefault="007511D7" w:rsidP="002B43B0"/>
        </w:tc>
      </w:tr>
    </w:tbl>
    <w:p w:rsidR="00871D57" w:rsidRPr="00871D57" w:rsidRDefault="00871D57" w:rsidP="00871D57">
      <w:pPr>
        <w:spacing w:before="120"/>
        <w:rPr>
          <w:b/>
          <w:sz w:val="24"/>
          <w:szCs w:val="24"/>
        </w:rPr>
      </w:pPr>
      <w:r w:rsidRPr="00871D57">
        <w:rPr>
          <w:b/>
          <w:sz w:val="24"/>
          <w:szCs w:val="24"/>
        </w:rPr>
        <w:t>Комитет по ликвидации расовой дискриминации</w:t>
      </w:r>
    </w:p>
    <w:p w:rsidR="00871D57" w:rsidRPr="00F672DD" w:rsidRDefault="00A045A3" w:rsidP="00A045A3">
      <w:pPr>
        <w:pStyle w:val="HChGR"/>
      </w:pPr>
      <w:r w:rsidRPr="000557E5">
        <w:tab/>
      </w:r>
      <w:r w:rsidRPr="000557E5">
        <w:tab/>
      </w:r>
      <w:r w:rsidR="00871D57" w:rsidRPr="00F672DD">
        <w:t>Рассмотрение докладов, представленных государствам</w:t>
      </w:r>
      <w:r>
        <w:t>и-участниками в соответствии со</w:t>
      </w:r>
      <w:r w:rsidR="00F823E7">
        <w:t> </w:t>
      </w:r>
      <w:r w:rsidR="00871D57" w:rsidRPr="00F672DD">
        <w:t>статьей</w:t>
      </w:r>
      <w:r w:rsidR="000557E5">
        <w:t xml:space="preserve"> </w:t>
      </w:r>
      <w:r w:rsidR="00871D57" w:rsidRPr="00F672DD">
        <w:t>9 Конвенции</w:t>
      </w:r>
    </w:p>
    <w:p w:rsidR="00871D57" w:rsidRPr="00F672DD" w:rsidRDefault="00871D57" w:rsidP="00A045A3">
      <w:pPr>
        <w:pStyle w:val="H1GR"/>
      </w:pPr>
      <w:r w:rsidRPr="00F672DD">
        <w:tab/>
      </w:r>
      <w:r w:rsidRPr="00F672DD">
        <w:tab/>
        <w:t>Девятнадцатый</w:t>
      </w:r>
      <w:r w:rsidR="00F823E7">
        <w:t>−</w:t>
      </w:r>
      <w:r w:rsidRPr="00F672DD">
        <w:t>двадцать первый периодические доклады</w:t>
      </w:r>
      <w:r w:rsidR="00B25C8F">
        <w:t> </w:t>
      </w:r>
      <w:r w:rsidRPr="00F672DD">
        <w:t>государств-участников, подлежащие представлению</w:t>
      </w:r>
      <w:r w:rsidR="00B25C8F">
        <w:t> </w:t>
      </w:r>
      <w:r w:rsidRPr="00F672DD">
        <w:t>в</w:t>
      </w:r>
      <w:r w:rsidR="00B25C8F">
        <w:t> </w:t>
      </w:r>
      <w:r w:rsidRPr="00F672DD">
        <w:t>2013</w:t>
      </w:r>
      <w:r w:rsidR="00F823E7">
        <w:t> </w:t>
      </w:r>
      <w:r w:rsidRPr="00F672DD">
        <w:t>году</w:t>
      </w:r>
    </w:p>
    <w:p w:rsidR="00871D57" w:rsidRPr="00F672DD" w:rsidRDefault="00871D57" w:rsidP="00A045A3">
      <w:pPr>
        <w:pStyle w:val="HChGR"/>
        <w:rPr>
          <w:vertAlign w:val="superscript"/>
        </w:rPr>
      </w:pPr>
      <w:r w:rsidRPr="00F672DD">
        <w:tab/>
      </w:r>
      <w:r w:rsidRPr="00F672DD">
        <w:tab/>
        <w:t>Швеция</w:t>
      </w:r>
      <w:r w:rsidRPr="00A045A3">
        <w:rPr>
          <w:b w:val="0"/>
          <w:sz w:val="18"/>
          <w:szCs w:val="18"/>
        </w:rPr>
        <w:footnoteReference w:customMarkFollows="1" w:id="1"/>
        <w:t xml:space="preserve">* </w:t>
      </w:r>
      <w:r w:rsidRPr="00A045A3">
        <w:rPr>
          <w:b w:val="0"/>
          <w:sz w:val="18"/>
          <w:szCs w:val="18"/>
        </w:rPr>
        <w:footnoteReference w:customMarkFollows="1" w:id="2"/>
        <w:t>**</w:t>
      </w:r>
    </w:p>
    <w:p w:rsidR="00871D57" w:rsidRPr="00F672DD" w:rsidRDefault="00871D57" w:rsidP="00A045A3">
      <w:pPr>
        <w:pStyle w:val="SingleTxtGR"/>
        <w:jc w:val="right"/>
      </w:pPr>
      <w:r w:rsidRPr="00F672DD">
        <w:t>[6 июля 2012 года]</w:t>
      </w:r>
    </w:p>
    <w:p w:rsidR="00A045A3" w:rsidRPr="00A045A3" w:rsidRDefault="00871D57" w:rsidP="00A045A3">
      <w:pPr>
        <w:suppressAutoHyphens/>
        <w:spacing w:after="120"/>
        <w:rPr>
          <w:sz w:val="28"/>
        </w:rPr>
      </w:pPr>
      <w:r w:rsidRPr="00F672DD">
        <w:rPr>
          <w:vertAlign w:val="superscript"/>
        </w:rPr>
        <w:br w:type="page"/>
      </w:r>
      <w:r w:rsidR="00A045A3" w:rsidRPr="00A045A3">
        <w:rPr>
          <w:sz w:val="28"/>
        </w:rPr>
        <w:t>Содержание</w:t>
      </w:r>
    </w:p>
    <w:p w:rsidR="00A045A3" w:rsidRPr="00A045A3" w:rsidRDefault="00A045A3" w:rsidP="00A045A3">
      <w:pPr>
        <w:tabs>
          <w:tab w:val="right" w:pos="8929"/>
          <w:tab w:val="right" w:pos="9638"/>
        </w:tabs>
        <w:suppressAutoHyphens/>
        <w:spacing w:after="120"/>
        <w:ind w:left="283"/>
      </w:pPr>
      <w:r w:rsidRPr="00A045A3">
        <w:rPr>
          <w:i/>
          <w:sz w:val="18"/>
        </w:rPr>
        <w:tab/>
        <w:t>Пункты</w:t>
      </w:r>
      <w:r w:rsidRPr="00A045A3">
        <w:rPr>
          <w:i/>
          <w:sz w:val="18"/>
        </w:rPr>
        <w:tab/>
        <w:t>Стр.</w:t>
      </w:r>
    </w:p>
    <w:p w:rsidR="00871D57" w:rsidRPr="00F672DD" w:rsidRDefault="00871D57" w:rsidP="00A045A3">
      <w:pPr>
        <w:tabs>
          <w:tab w:val="right" w:pos="850"/>
          <w:tab w:val="left" w:pos="1134"/>
          <w:tab w:val="left" w:pos="1559"/>
          <w:tab w:val="left" w:pos="1984"/>
          <w:tab w:val="left" w:leader="dot" w:pos="7654"/>
          <w:tab w:val="right" w:pos="8929"/>
          <w:tab w:val="right" w:pos="9638"/>
        </w:tabs>
        <w:suppressAutoHyphens/>
        <w:spacing w:after="120"/>
      </w:pPr>
      <w:r w:rsidRPr="00F672DD">
        <w:tab/>
      </w:r>
      <w:r w:rsidRPr="00A045A3">
        <w:t>I</w:t>
      </w:r>
      <w:r w:rsidRPr="00F672DD">
        <w:t>.</w:t>
      </w:r>
      <w:r w:rsidRPr="00F672DD">
        <w:tab/>
        <w:t>Введение</w:t>
      </w:r>
      <w:r w:rsidRPr="00F672DD">
        <w:tab/>
      </w:r>
      <w:r w:rsidRPr="00F672DD">
        <w:tab/>
        <w:t>1</w:t>
      </w:r>
      <w:r w:rsidRPr="00F672DD">
        <w:tab/>
        <w:t>3</w:t>
      </w:r>
    </w:p>
    <w:p w:rsidR="00871D57" w:rsidRPr="00F672DD" w:rsidRDefault="00871D57" w:rsidP="00A045A3">
      <w:pPr>
        <w:tabs>
          <w:tab w:val="right" w:pos="850"/>
          <w:tab w:val="left" w:pos="1134"/>
          <w:tab w:val="left" w:pos="1559"/>
          <w:tab w:val="left" w:pos="1984"/>
          <w:tab w:val="left" w:leader="dot" w:pos="7654"/>
          <w:tab w:val="right" w:pos="8929"/>
          <w:tab w:val="right" w:pos="9638"/>
        </w:tabs>
        <w:suppressAutoHyphens/>
        <w:spacing w:after="120"/>
      </w:pPr>
      <w:r w:rsidRPr="00F672DD">
        <w:tab/>
      </w:r>
      <w:r w:rsidRPr="00A045A3">
        <w:t>II</w:t>
      </w:r>
      <w:r w:rsidRPr="00F672DD">
        <w:t>.</w:t>
      </w:r>
      <w:r w:rsidRPr="00F672DD">
        <w:tab/>
        <w:t xml:space="preserve">Демографическая статистика и исследования по вопросам </w:t>
      </w:r>
      <w:r w:rsidR="00A045A3">
        <w:br/>
      </w:r>
      <w:r w:rsidR="00A045A3">
        <w:tab/>
      </w:r>
      <w:r w:rsidR="00A045A3">
        <w:tab/>
      </w:r>
      <w:r w:rsidR="00C41E69" w:rsidRPr="00F672DD">
        <w:t xml:space="preserve">дискриминации </w:t>
      </w:r>
      <w:r w:rsidRPr="00F672DD">
        <w:t>и ксенофобии (с учетом пункта</w:t>
      </w:r>
      <w:r w:rsidR="000557E5">
        <w:t xml:space="preserve"> </w:t>
      </w:r>
      <w:r w:rsidRPr="00F672DD">
        <w:t xml:space="preserve">10 рекомендаций </w:t>
      </w:r>
      <w:r w:rsidR="00C41E69">
        <w:br/>
      </w:r>
      <w:r w:rsidR="00C41E69">
        <w:tab/>
      </w:r>
      <w:r w:rsidR="00C41E69">
        <w:tab/>
      </w:r>
      <w:r w:rsidRPr="00F672DD">
        <w:t>Комитета)</w:t>
      </w:r>
      <w:r w:rsidRPr="00F672DD">
        <w:tab/>
      </w:r>
      <w:r w:rsidRPr="00F672DD">
        <w:tab/>
        <w:t>2–14</w:t>
      </w:r>
      <w:r w:rsidRPr="00F672DD">
        <w:tab/>
        <w:t>3</w:t>
      </w:r>
    </w:p>
    <w:p w:rsidR="00871D57" w:rsidRPr="00F672DD" w:rsidRDefault="00871D57" w:rsidP="00A045A3">
      <w:pPr>
        <w:tabs>
          <w:tab w:val="right" w:pos="850"/>
          <w:tab w:val="left" w:pos="1134"/>
          <w:tab w:val="left" w:pos="1559"/>
          <w:tab w:val="left" w:pos="1984"/>
          <w:tab w:val="left" w:leader="dot" w:pos="7654"/>
          <w:tab w:val="right" w:pos="8929"/>
          <w:tab w:val="right" w:pos="9638"/>
        </w:tabs>
        <w:suppressAutoHyphens/>
        <w:spacing w:after="120"/>
      </w:pPr>
      <w:r w:rsidRPr="00F672DD">
        <w:tab/>
      </w:r>
      <w:r w:rsidRPr="00F672DD">
        <w:tab/>
      </w:r>
      <w:r w:rsidRPr="00A045A3">
        <w:t>A</w:t>
      </w:r>
      <w:r w:rsidRPr="00F672DD">
        <w:t>.</w:t>
      </w:r>
      <w:r w:rsidRPr="00F672DD">
        <w:tab/>
        <w:t>Демографическая статистика</w:t>
      </w:r>
      <w:r w:rsidRPr="00F672DD">
        <w:tab/>
      </w:r>
      <w:r w:rsidRPr="00F672DD">
        <w:tab/>
        <w:t>2–8</w:t>
      </w:r>
      <w:r w:rsidRPr="00F672DD">
        <w:tab/>
        <w:t>3</w:t>
      </w:r>
    </w:p>
    <w:p w:rsidR="00871D57" w:rsidRPr="00F672DD" w:rsidRDefault="00871D57" w:rsidP="00A045A3">
      <w:pPr>
        <w:tabs>
          <w:tab w:val="right" w:pos="850"/>
          <w:tab w:val="left" w:pos="1134"/>
          <w:tab w:val="left" w:pos="1559"/>
          <w:tab w:val="left" w:pos="1984"/>
          <w:tab w:val="left" w:leader="dot" w:pos="7654"/>
          <w:tab w:val="right" w:pos="8929"/>
          <w:tab w:val="right" w:pos="9638"/>
        </w:tabs>
        <w:suppressAutoHyphens/>
        <w:spacing w:after="120"/>
      </w:pPr>
      <w:r w:rsidRPr="00F672DD">
        <w:tab/>
      </w:r>
      <w:r w:rsidRPr="00F672DD">
        <w:tab/>
      </w:r>
      <w:r w:rsidRPr="00A045A3">
        <w:t>B</w:t>
      </w:r>
      <w:r w:rsidRPr="00F672DD">
        <w:t>.</w:t>
      </w:r>
      <w:r w:rsidRPr="00F672DD">
        <w:tab/>
        <w:t xml:space="preserve">Некоторые исследования по вопросам дискриминации </w:t>
      </w:r>
      <w:r w:rsidR="00C41E69">
        <w:br/>
      </w:r>
      <w:r w:rsidR="00C41E69">
        <w:tab/>
      </w:r>
      <w:r w:rsidR="00C41E69">
        <w:tab/>
      </w:r>
      <w:r w:rsidR="00C41E69">
        <w:tab/>
      </w:r>
      <w:r w:rsidRPr="00F672DD">
        <w:t>и ксенофобии</w:t>
      </w:r>
      <w:r w:rsidRPr="00F672DD">
        <w:tab/>
      </w:r>
      <w:r w:rsidRPr="00F672DD">
        <w:tab/>
        <w:t>9–14</w:t>
      </w:r>
      <w:r w:rsidRPr="00F672DD">
        <w:tab/>
        <w:t>6</w:t>
      </w:r>
    </w:p>
    <w:p w:rsidR="00871D57" w:rsidRPr="00F672DD" w:rsidRDefault="00871D57" w:rsidP="00A045A3">
      <w:pPr>
        <w:tabs>
          <w:tab w:val="right" w:pos="850"/>
          <w:tab w:val="left" w:pos="1134"/>
          <w:tab w:val="left" w:pos="1559"/>
          <w:tab w:val="left" w:pos="1984"/>
          <w:tab w:val="left" w:leader="dot" w:pos="7654"/>
          <w:tab w:val="right" w:pos="8929"/>
          <w:tab w:val="right" w:pos="9638"/>
        </w:tabs>
        <w:suppressAutoHyphens/>
        <w:spacing w:after="120"/>
      </w:pPr>
      <w:r w:rsidRPr="00F672DD">
        <w:tab/>
      </w:r>
      <w:r w:rsidRPr="00A045A3">
        <w:t>III</w:t>
      </w:r>
      <w:r w:rsidRPr="00F672DD">
        <w:t>.</w:t>
      </w:r>
      <w:r w:rsidRPr="00F672DD">
        <w:tab/>
        <w:t>Информация, касающаяся статей 2</w:t>
      </w:r>
      <w:r w:rsidR="00C41E69">
        <w:t>−</w:t>
      </w:r>
      <w:r w:rsidRPr="00F672DD">
        <w:t>7</w:t>
      </w:r>
      <w:r w:rsidRPr="00F672DD">
        <w:tab/>
      </w:r>
      <w:r w:rsidRPr="00F672DD">
        <w:tab/>
        <w:t>15–182</w:t>
      </w:r>
      <w:r w:rsidRPr="00F672DD">
        <w:tab/>
        <w:t>7</w:t>
      </w:r>
    </w:p>
    <w:p w:rsidR="00871D57" w:rsidRPr="00F672DD" w:rsidRDefault="00871D57" w:rsidP="00C41E69">
      <w:pPr>
        <w:tabs>
          <w:tab w:val="right" w:pos="850"/>
          <w:tab w:val="left" w:pos="1134"/>
          <w:tab w:val="left" w:pos="1559"/>
          <w:tab w:val="left" w:pos="1984"/>
          <w:tab w:val="left" w:leader="dot" w:pos="7654"/>
          <w:tab w:val="right" w:pos="8929"/>
          <w:tab w:val="right" w:pos="9638"/>
        </w:tabs>
        <w:suppressAutoHyphens/>
        <w:spacing w:after="80"/>
      </w:pPr>
      <w:r w:rsidRPr="00F672DD">
        <w:tab/>
      </w:r>
      <w:r w:rsidRPr="00F672DD">
        <w:tab/>
      </w:r>
      <w:r w:rsidRPr="00F672DD">
        <w:tab/>
        <w:t>Статья 2.1</w:t>
      </w:r>
      <w:r w:rsidRPr="00F672DD">
        <w:tab/>
      </w:r>
      <w:r w:rsidRPr="00F672DD">
        <w:tab/>
        <w:t>15–61</w:t>
      </w:r>
      <w:r w:rsidRPr="00F672DD">
        <w:tab/>
        <w:t>7</w:t>
      </w:r>
    </w:p>
    <w:p w:rsidR="00871D57" w:rsidRPr="00F672DD" w:rsidRDefault="00871D57" w:rsidP="00C41E69">
      <w:pPr>
        <w:tabs>
          <w:tab w:val="right" w:pos="850"/>
          <w:tab w:val="left" w:pos="1134"/>
          <w:tab w:val="left" w:pos="1559"/>
          <w:tab w:val="left" w:pos="1984"/>
          <w:tab w:val="left" w:leader="dot" w:pos="7654"/>
          <w:tab w:val="right" w:pos="8929"/>
          <w:tab w:val="right" w:pos="9638"/>
        </w:tabs>
        <w:suppressAutoHyphens/>
        <w:spacing w:after="80"/>
      </w:pPr>
      <w:r w:rsidRPr="00F672DD">
        <w:tab/>
      </w:r>
      <w:r w:rsidRPr="00F672DD">
        <w:tab/>
      </w:r>
      <w:r w:rsidRPr="00F672DD">
        <w:tab/>
        <w:t>Статья 2.2</w:t>
      </w:r>
      <w:r w:rsidRPr="00F672DD">
        <w:tab/>
      </w:r>
      <w:r w:rsidRPr="00F672DD">
        <w:tab/>
        <w:t>62–111</w:t>
      </w:r>
      <w:r w:rsidRPr="00F672DD">
        <w:tab/>
        <w:t>18</w:t>
      </w:r>
    </w:p>
    <w:p w:rsidR="00871D57" w:rsidRPr="00F672DD" w:rsidRDefault="00871D57" w:rsidP="00C41E69">
      <w:pPr>
        <w:tabs>
          <w:tab w:val="right" w:pos="850"/>
          <w:tab w:val="left" w:pos="1134"/>
          <w:tab w:val="left" w:pos="1559"/>
          <w:tab w:val="left" w:pos="1984"/>
          <w:tab w:val="left" w:leader="dot" w:pos="7654"/>
          <w:tab w:val="right" w:pos="8929"/>
          <w:tab w:val="right" w:pos="9638"/>
        </w:tabs>
        <w:suppressAutoHyphens/>
        <w:spacing w:after="80"/>
      </w:pPr>
      <w:r w:rsidRPr="00F672DD">
        <w:tab/>
      </w:r>
      <w:r w:rsidRPr="00F672DD">
        <w:tab/>
      </w:r>
      <w:r w:rsidRPr="00F672DD">
        <w:tab/>
        <w:t>Статья 3</w:t>
      </w:r>
      <w:r w:rsidRPr="00F672DD">
        <w:tab/>
      </w:r>
      <w:r w:rsidRPr="00F672DD">
        <w:tab/>
        <w:t>112–115</w:t>
      </w:r>
      <w:r w:rsidRPr="00F672DD">
        <w:tab/>
        <w:t>28</w:t>
      </w:r>
    </w:p>
    <w:p w:rsidR="00871D57" w:rsidRPr="00F672DD" w:rsidRDefault="00871D57" w:rsidP="00C41E69">
      <w:pPr>
        <w:tabs>
          <w:tab w:val="right" w:pos="850"/>
          <w:tab w:val="left" w:pos="1134"/>
          <w:tab w:val="left" w:pos="1559"/>
          <w:tab w:val="left" w:pos="1984"/>
          <w:tab w:val="left" w:leader="dot" w:pos="7654"/>
          <w:tab w:val="right" w:pos="8929"/>
          <w:tab w:val="right" w:pos="9638"/>
        </w:tabs>
        <w:suppressAutoHyphens/>
        <w:spacing w:after="80"/>
      </w:pPr>
      <w:r w:rsidRPr="00F672DD">
        <w:tab/>
      </w:r>
      <w:r w:rsidRPr="00F672DD">
        <w:tab/>
      </w:r>
      <w:r w:rsidRPr="00F672DD">
        <w:tab/>
        <w:t>Статья 4</w:t>
      </w:r>
      <w:r w:rsidRPr="00F672DD">
        <w:tab/>
      </w:r>
      <w:r w:rsidRPr="00F672DD">
        <w:tab/>
        <w:t>116–121</w:t>
      </w:r>
      <w:r w:rsidRPr="00F672DD">
        <w:tab/>
        <w:t>29</w:t>
      </w:r>
    </w:p>
    <w:p w:rsidR="00871D57" w:rsidRPr="00A11D2B" w:rsidRDefault="00871D57" w:rsidP="00C41E69">
      <w:pPr>
        <w:tabs>
          <w:tab w:val="right" w:pos="850"/>
          <w:tab w:val="left" w:pos="1134"/>
          <w:tab w:val="left" w:pos="1559"/>
          <w:tab w:val="left" w:pos="1984"/>
          <w:tab w:val="left" w:leader="dot" w:pos="7654"/>
          <w:tab w:val="right" w:pos="8929"/>
          <w:tab w:val="right" w:pos="9638"/>
        </w:tabs>
        <w:suppressAutoHyphens/>
        <w:spacing w:after="80"/>
      </w:pPr>
      <w:r w:rsidRPr="00F672DD">
        <w:tab/>
      </w:r>
      <w:r w:rsidRPr="00F672DD">
        <w:tab/>
      </w:r>
      <w:r w:rsidRPr="00F672DD">
        <w:tab/>
        <w:t>Статья 5</w:t>
      </w:r>
      <w:r w:rsidRPr="00F672DD">
        <w:tab/>
      </w:r>
      <w:r w:rsidRPr="00F672DD">
        <w:tab/>
        <w:t>122–169</w:t>
      </w:r>
      <w:r w:rsidRPr="00F672DD">
        <w:tab/>
        <w:t>3</w:t>
      </w:r>
      <w:r w:rsidR="009F2ACF" w:rsidRPr="00A11D2B">
        <w:t>1</w:t>
      </w:r>
    </w:p>
    <w:p w:rsidR="00871D57" w:rsidRPr="00A11D2B" w:rsidRDefault="00871D57" w:rsidP="00C41E69">
      <w:pPr>
        <w:tabs>
          <w:tab w:val="right" w:pos="850"/>
          <w:tab w:val="left" w:pos="1134"/>
          <w:tab w:val="left" w:pos="1559"/>
          <w:tab w:val="left" w:pos="1984"/>
          <w:tab w:val="left" w:leader="dot" w:pos="7654"/>
          <w:tab w:val="right" w:pos="8929"/>
          <w:tab w:val="right" w:pos="9638"/>
        </w:tabs>
        <w:suppressAutoHyphens/>
        <w:spacing w:after="80"/>
      </w:pPr>
      <w:r w:rsidRPr="00F672DD">
        <w:tab/>
      </w:r>
      <w:r w:rsidRPr="00F672DD">
        <w:tab/>
      </w:r>
      <w:r w:rsidRPr="00F672DD">
        <w:tab/>
        <w:t>Статья 6</w:t>
      </w:r>
      <w:r w:rsidRPr="00F672DD">
        <w:tab/>
      </w:r>
      <w:r w:rsidRPr="00F672DD">
        <w:tab/>
        <w:t>170–172</w:t>
      </w:r>
      <w:r w:rsidRPr="00F672DD">
        <w:tab/>
      </w:r>
      <w:r w:rsidR="00A11D2B" w:rsidRPr="00A11D2B">
        <w:t>40</w:t>
      </w:r>
    </w:p>
    <w:p w:rsidR="00871D57" w:rsidRPr="00A11D2B" w:rsidRDefault="00871D57" w:rsidP="00C41E69">
      <w:pPr>
        <w:tabs>
          <w:tab w:val="right" w:pos="850"/>
          <w:tab w:val="left" w:pos="1134"/>
          <w:tab w:val="left" w:pos="1559"/>
          <w:tab w:val="left" w:pos="1984"/>
          <w:tab w:val="left" w:leader="dot" w:pos="7654"/>
          <w:tab w:val="right" w:pos="8929"/>
          <w:tab w:val="right" w:pos="9638"/>
        </w:tabs>
        <w:suppressAutoHyphens/>
        <w:spacing w:after="80"/>
      </w:pPr>
      <w:r w:rsidRPr="00F672DD">
        <w:tab/>
      </w:r>
      <w:r w:rsidRPr="00F672DD">
        <w:tab/>
      </w:r>
      <w:r w:rsidRPr="00F672DD">
        <w:tab/>
        <w:t>Статья 7</w:t>
      </w:r>
      <w:r w:rsidRPr="00F672DD">
        <w:tab/>
      </w:r>
      <w:r w:rsidRPr="00F672DD">
        <w:tab/>
        <w:t>173–182</w:t>
      </w:r>
      <w:r w:rsidRPr="00F672DD">
        <w:tab/>
        <w:t>4</w:t>
      </w:r>
      <w:r w:rsidR="00A11D2B" w:rsidRPr="00A11D2B">
        <w:t>1</w:t>
      </w:r>
    </w:p>
    <w:p w:rsidR="00871D57" w:rsidRPr="00A11D2B" w:rsidRDefault="00871D57" w:rsidP="00A045A3">
      <w:pPr>
        <w:tabs>
          <w:tab w:val="right" w:pos="850"/>
          <w:tab w:val="left" w:pos="1134"/>
          <w:tab w:val="left" w:pos="1559"/>
          <w:tab w:val="left" w:pos="1984"/>
          <w:tab w:val="left" w:leader="dot" w:pos="7654"/>
          <w:tab w:val="right" w:pos="8929"/>
          <w:tab w:val="right" w:pos="9638"/>
        </w:tabs>
        <w:suppressAutoHyphens/>
        <w:spacing w:after="120"/>
      </w:pPr>
      <w:r w:rsidRPr="00F672DD">
        <w:tab/>
      </w:r>
      <w:r w:rsidRPr="00A045A3">
        <w:t>IV</w:t>
      </w:r>
      <w:r w:rsidRPr="00F672DD">
        <w:t>.</w:t>
      </w:r>
      <w:r w:rsidRPr="00F672DD">
        <w:tab/>
        <w:t>Другие рекомендации Комитета</w:t>
      </w:r>
      <w:r w:rsidRPr="00F672DD">
        <w:tab/>
      </w:r>
      <w:r w:rsidRPr="00F672DD">
        <w:tab/>
        <w:t>183–184</w:t>
      </w:r>
      <w:r w:rsidRPr="00F672DD">
        <w:tab/>
        <w:t>4</w:t>
      </w:r>
      <w:r w:rsidR="00A11D2B" w:rsidRPr="00A11D2B">
        <w:t>3</w:t>
      </w:r>
    </w:p>
    <w:p w:rsidR="00871D57" w:rsidRPr="00A11D2B" w:rsidRDefault="00871D57" w:rsidP="00A045A3">
      <w:pPr>
        <w:tabs>
          <w:tab w:val="right" w:pos="850"/>
          <w:tab w:val="left" w:pos="1134"/>
          <w:tab w:val="left" w:pos="1559"/>
          <w:tab w:val="left" w:pos="1984"/>
          <w:tab w:val="left" w:leader="dot" w:pos="7654"/>
          <w:tab w:val="right" w:pos="8929"/>
          <w:tab w:val="right" w:pos="9638"/>
        </w:tabs>
        <w:suppressAutoHyphens/>
        <w:spacing w:after="120"/>
      </w:pPr>
      <w:r w:rsidRPr="00F672DD">
        <w:tab/>
      </w:r>
      <w:r w:rsidRPr="00F672DD">
        <w:tab/>
      </w:r>
      <w:r w:rsidRPr="00A045A3">
        <w:t>A</w:t>
      </w:r>
      <w:r w:rsidRPr="00F672DD">
        <w:t>.</w:t>
      </w:r>
      <w:r w:rsidRPr="00F672DD">
        <w:tab/>
        <w:t xml:space="preserve">Международная конвенция о защите прав всех </w:t>
      </w:r>
      <w:r w:rsidR="00C41E69">
        <w:br/>
      </w:r>
      <w:r w:rsidR="00C41E69">
        <w:tab/>
      </w:r>
      <w:r w:rsidR="00C41E69">
        <w:tab/>
      </w:r>
      <w:r w:rsidR="00C41E69">
        <w:tab/>
      </w:r>
      <w:r w:rsidRPr="00F672DD">
        <w:t>трудящихся-мигрантов и членов их семей (с учетом пункта</w:t>
      </w:r>
      <w:r w:rsidR="000557E5">
        <w:t xml:space="preserve"> </w:t>
      </w:r>
      <w:r w:rsidRPr="00F672DD">
        <w:t xml:space="preserve">23 </w:t>
      </w:r>
      <w:r w:rsidR="00D47CE9">
        <w:br/>
      </w:r>
      <w:r w:rsidR="00D47CE9">
        <w:tab/>
      </w:r>
      <w:r w:rsidR="00D47CE9">
        <w:tab/>
      </w:r>
      <w:r w:rsidR="00D47CE9">
        <w:tab/>
      </w:r>
      <w:r w:rsidRPr="00F672DD">
        <w:t>рекомендаций Комитета)</w:t>
      </w:r>
      <w:r w:rsidRPr="00F672DD">
        <w:tab/>
      </w:r>
      <w:r w:rsidRPr="00F672DD">
        <w:tab/>
        <w:t>183</w:t>
      </w:r>
      <w:r w:rsidRPr="00F672DD">
        <w:tab/>
        <w:t>4</w:t>
      </w:r>
      <w:r w:rsidR="00A11D2B" w:rsidRPr="00A11D2B">
        <w:t>3</w:t>
      </w:r>
    </w:p>
    <w:p w:rsidR="00871D57" w:rsidRPr="00000A4A" w:rsidRDefault="00871D57" w:rsidP="00A045A3">
      <w:pPr>
        <w:tabs>
          <w:tab w:val="right" w:pos="850"/>
          <w:tab w:val="left" w:pos="1134"/>
          <w:tab w:val="left" w:pos="1559"/>
          <w:tab w:val="left" w:pos="1984"/>
          <w:tab w:val="left" w:leader="dot" w:pos="7654"/>
          <w:tab w:val="right" w:pos="8929"/>
          <w:tab w:val="right" w:pos="9638"/>
        </w:tabs>
        <w:suppressAutoHyphens/>
        <w:spacing w:after="120"/>
      </w:pPr>
      <w:r w:rsidRPr="00F672DD">
        <w:tab/>
      </w:r>
      <w:r w:rsidRPr="00F672DD">
        <w:tab/>
      </w:r>
      <w:r w:rsidRPr="00A045A3">
        <w:t>B</w:t>
      </w:r>
      <w:r w:rsidRPr="00F672DD">
        <w:t>.</w:t>
      </w:r>
      <w:r w:rsidRPr="00F672DD">
        <w:tab/>
        <w:t>Дурбанская декларация (с учетом пункта</w:t>
      </w:r>
      <w:r w:rsidR="000557E5">
        <w:t xml:space="preserve"> </w:t>
      </w:r>
      <w:r w:rsidRPr="00F672DD">
        <w:t xml:space="preserve">24 рекомендаций </w:t>
      </w:r>
      <w:r w:rsidR="00C41E69">
        <w:br/>
      </w:r>
      <w:r w:rsidR="00C41E69">
        <w:tab/>
      </w:r>
      <w:r w:rsidR="00C41E69">
        <w:tab/>
      </w:r>
      <w:r w:rsidR="00C41E69">
        <w:tab/>
      </w:r>
      <w:r w:rsidRPr="00F672DD">
        <w:t>Комитета)</w:t>
      </w:r>
      <w:r w:rsidRPr="00F672DD">
        <w:tab/>
      </w:r>
      <w:r w:rsidRPr="00F672DD">
        <w:tab/>
        <w:t>184</w:t>
      </w:r>
      <w:r w:rsidRPr="00F672DD">
        <w:tab/>
        <w:t>4</w:t>
      </w:r>
      <w:r w:rsidR="00000A4A" w:rsidRPr="00000A4A">
        <w:t>3</w:t>
      </w:r>
    </w:p>
    <w:p w:rsidR="00871D57" w:rsidRPr="00F672DD" w:rsidRDefault="00871D57" w:rsidP="00A045A3">
      <w:pPr>
        <w:tabs>
          <w:tab w:val="right" w:pos="850"/>
          <w:tab w:val="left" w:pos="1134"/>
          <w:tab w:val="left" w:pos="1559"/>
          <w:tab w:val="left" w:pos="1984"/>
          <w:tab w:val="left" w:leader="dot" w:pos="7654"/>
          <w:tab w:val="right" w:pos="8929"/>
          <w:tab w:val="right" w:pos="9638"/>
        </w:tabs>
        <w:suppressAutoHyphens/>
        <w:spacing w:after="120"/>
      </w:pPr>
      <w:r w:rsidRPr="00F672DD">
        <w:t>Таблицы</w:t>
      </w:r>
    </w:p>
    <w:p w:rsidR="00871D57" w:rsidRPr="00F672DD" w:rsidRDefault="00871D57" w:rsidP="00D47CE9">
      <w:pPr>
        <w:tabs>
          <w:tab w:val="right" w:pos="850"/>
          <w:tab w:val="left" w:pos="1134"/>
          <w:tab w:val="left" w:pos="1559"/>
          <w:tab w:val="left" w:pos="1984"/>
          <w:tab w:val="left" w:leader="dot" w:pos="9000"/>
          <w:tab w:val="right" w:pos="9360"/>
          <w:tab w:val="right" w:pos="9638"/>
        </w:tabs>
        <w:suppressAutoHyphens/>
        <w:spacing w:after="120"/>
      </w:pPr>
      <w:r w:rsidRPr="00F672DD">
        <w:tab/>
        <w:t>1.</w:t>
      </w:r>
      <w:r w:rsidRPr="00F672DD">
        <w:tab/>
        <w:t xml:space="preserve">Население в разбивке по признаку происхождения </w:t>
      </w:r>
      <w:r w:rsidR="00D47CE9">
        <w:br/>
      </w:r>
      <w:r w:rsidR="00D47CE9">
        <w:tab/>
      </w:r>
      <w:r w:rsidR="00D47CE9">
        <w:tab/>
      </w:r>
      <w:r w:rsidRPr="00F672DD">
        <w:t>(по состоянию на 31</w:t>
      </w:r>
      <w:r w:rsidR="000557E5">
        <w:t xml:space="preserve"> </w:t>
      </w:r>
      <w:r w:rsidRPr="00F672DD">
        <w:t>декабря 2011</w:t>
      </w:r>
      <w:r w:rsidR="000557E5">
        <w:t xml:space="preserve"> </w:t>
      </w:r>
      <w:r w:rsidRPr="00F672DD">
        <w:t>года)</w:t>
      </w:r>
      <w:r w:rsidRPr="00F672DD">
        <w:tab/>
      </w:r>
      <w:r w:rsidRPr="00F672DD">
        <w:tab/>
      </w:r>
      <w:r w:rsidRPr="00F672DD">
        <w:tab/>
        <w:t>3</w:t>
      </w:r>
    </w:p>
    <w:p w:rsidR="00871D57" w:rsidRPr="00F672DD" w:rsidRDefault="00871D57" w:rsidP="00D47CE9">
      <w:pPr>
        <w:tabs>
          <w:tab w:val="right" w:pos="850"/>
          <w:tab w:val="left" w:pos="1134"/>
          <w:tab w:val="left" w:pos="1559"/>
          <w:tab w:val="left" w:pos="1984"/>
          <w:tab w:val="left" w:leader="dot" w:pos="9000"/>
          <w:tab w:val="right" w:pos="9360"/>
          <w:tab w:val="right" w:pos="9638"/>
        </w:tabs>
        <w:suppressAutoHyphens/>
        <w:spacing w:after="120"/>
      </w:pPr>
      <w:r w:rsidRPr="00F672DD">
        <w:tab/>
        <w:t>2.</w:t>
      </w:r>
      <w:r w:rsidRPr="00F672DD">
        <w:tab/>
        <w:t xml:space="preserve">Население иностранного происхождения в разбивке по регионам рождения </w:t>
      </w:r>
      <w:r w:rsidRPr="00F672DD">
        <w:br/>
      </w:r>
      <w:r w:rsidR="00D47CE9">
        <w:tab/>
      </w:r>
      <w:r w:rsidR="00D47CE9">
        <w:tab/>
      </w:r>
      <w:r w:rsidRPr="00F672DD">
        <w:t>(по состоянию на 31</w:t>
      </w:r>
      <w:r w:rsidR="000557E5">
        <w:t xml:space="preserve"> </w:t>
      </w:r>
      <w:r w:rsidRPr="00F672DD">
        <w:t>декабря 2011</w:t>
      </w:r>
      <w:r w:rsidR="000557E5">
        <w:t xml:space="preserve"> </w:t>
      </w:r>
      <w:r w:rsidRPr="00F672DD">
        <w:t>года)</w:t>
      </w:r>
      <w:r w:rsidRPr="00F672DD">
        <w:tab/>
      </w:r>
      <w:r w:rsidRPr="00F672DD">
        <w:tab/>
      </w:r>
      <w:r w:rsidRPr="00F672DD">
        <w:tab/>
        <w:t>3</w:t>
      </w:r>
    </w:p>
    <w:p w:rsidR="00871D57" w:rsidRPr="00F672DD" w:rsidRDefault="00871D57" w:rsidP="00D47CE9">
      <w:pPr>
        <w:tabs>
          <w:tab w:val="right" w:pos="850"/>
          <w:tab w:val="left" w:pos="1134"/>
          <w:tab w:val="left" w:pos="1559"/>
          <w:tab w:val="left" w:pos="1984"/>
          <w:tab w:val="left" w:leader="dot" w:pos="9000"/>
          <w:tab w:val="right" w:pos="9360"/>
          <w:tab w:val="right" w:pos="9638"/>
        </w:tabs>
        <w:suppressAutoHyphens/>
        <w:spacing w:after="120"/>
      </w:pPr>
      <w:r w:rsidRPr="00F672DD">
        <w:tab/>
        <w:t>3.</w:t>
      </w:r>
      <w:r w:rsidRPr="00F672DD">
        <w:tab/>
        <w:t>Страны происхождения наиболее многочисленных групп населения,</w:t>
      </w:r>
      <w:r w:rsidR="00D47CE9" w:rsidRPr="00D47CE9">
        <w:t xml:space="preserve"> </w:t>
      </w:r>
      <w:r w:rsidR="00D47CE9" w:rsidRPr="00F672DD">
        <w:t>родившегося</w:t>
      </w:r>
      <w:r w:rsidRPr="00F672DD">
        <w:br/>
      </w:r>
      <w:r w:rsidRPr="00F672DD">
        <w:tab/>
      </w:r>
      <w:r w:rsidRPr="00F672DD">
        <w:tab/>
        <w:t>за границей (по состоянию на 31 декабря 2011</w:t>
      </w:r>
      <w:r w:rsidR="000557E5">
        <w:t xml:space="preserve"> </w:t>
      </w:r>
      <w:r w:rsidRPr="00F672DD">
        <w:t>года)</w:t>
      </w:r>
      <w:r w:rsidRPr="00F672DD">
        <w:tab/>
      </w:r>
      <w:r w:rsidRPr="00F672DD">
        <w:tab/>
      </w:r>
      <w:r w:rsidRPr="00F672DD">
        <w:tab/>
        <w:t>4</w:t>
      </w:r>
    </w:p>
    <w:p w:rsidR="00871D57" w:rsidRPr="00A11D2B" w:rsidRDefault="00871D57" w:rsidP="00D47CE9">
      <w:pPr>
        <w:tabs>
          <w:tab w:val="right" w:pos="850"/>
          <w:tab w:val="left" w:pos="1134"/>
          <w:tab w:val="left" w:pos="1559"/>
          <w:tab w:val="left" w:pos="1984"/>
          <w:tab w:val="left" w:leader="dot" w:pos="9000"/>
          <w:tab w:val="right" w:pos="9360"/>
          <w:tab w:val="right" w:pos="9638"/>
        </w:tabs>
        <w:suppressAutoHyphens/>
        <w:spacing w:after="120"/>
      </w:pPr>
      <w:r w:rsidRPr="00F672DD">
        <w:tab/>
        <w:t>4.</w:t>
      </w:r>
      <w:r w:rsidRPr="00F672DD">
        <w:tab/>
        <w:t xml:space="preserve">Языки, на которых осуществляется обучение в учебных заведениях, </w:t>
      </w:r>
      <w:r w:rsidR="00D47CE9" w:rsidRPr="00F672DD">
        <w:t>охваченных</w:t>
      </w:r>
      <w:r w:rsidRPr="00F672DD">
        <w:br/>
      </w:r>
      <w:r w:rsidR="00D47CE9">
        <w:tab/>
      </w:r>
      <w:r w:rsidR="00D47CE9">
        <w:tab/>
      </w:r>
      <w:r w:rsidRPr="00F672DD">
        <w:t>системой обязательного школьного образования (2011/12</w:t>
      </w:r>
      <w:r w:rsidR="000557E5">
        <w:t xml:space="preserve"> </w:t>
      </w:r>
      <w:r w:rsidRPr="00F672DD">
        <w:t>учебный год)</w:t>
      </w:r>
      <w:r w:rsidRPr="00F672DD">
        <w:tab/>
      </w:r>
      <w:r w:rsidRPr="00F672DD">
        <w:tab/>
      </w:r>
      <w:r w:rsidRPr="00F672DD">
        <w:tab/>
      </w:r>
      <w:r w:rsidR="00A11D2B" w:rsidRPr="00A11D2B">
        <w:t>5</w:t>
      </w:r>
    </w:p>
    <w:p w:rsidR="00871D57" w:rsidRPr="00F672DD" w:rsidRDefault="00871D57" w:rsidP="00D47CE9">
      <w:pPr>
        <w:tabs>
          <w:tab w:val="right" w:pos="850"/>
          <w:tab w:val="left" w:pos="1134"/>
          <w:tab w:val="left" w:pos="1559"/>
          <w:tab w:val="left" w:pos="1984"/>
          <w:tab w:val="left" w:leader="dot" w:pos="9000"/>
          <w:tab w:val="right" w:pos="9360"/>
          <w:tab w:val="right" w:pos="9638"/>
        </w:tabs>
        <w:suppressAutoHyphens/>
        <w:spacing w:after="120"/>
      </w:pPr>
      <w:r w:rsidRPr="00F672DD">
        <w:tab/>
        <w:t>5.</w:t>
      </w:r>
      <w:r w:rsidRPr="00F672DD">
        <w:tab/>
        <w:t xml:space="preserve">Преступления, связанные с возбуждением ненависти в отношении национальных </w:t>
      </w:r>
      <w:r w:rsidR="00C41E69">
        <w:br/>
      </w:r>
      <w:r w:rsidR="00C41E69">
        <w:tab/>
      </w:r>
      <w:r w:rsidR="00C41E69">
        <w:tab/>
      </w:r>
      <w:r w:rsidRPr="00F672DD">
        <w:t>или этнических групп</w:t>
      </w:r>
      <w:r w:rsidRPr="00F672DD">
        <w:tab/>
      </w:r>
      <w:r w:rsidRPr="00F672DD">
        <w:tab/>
      </w:r>
      <w:r w:rsidRPr="00F672DD">
        <w:tab/>
        <w:t>11</w:t>
      </w:r>
    </w:p>
    <w:p w:rsidR="00871D57" w:rsidRPr="00F672DD" w:rsidRDefault="00871D57" w:rsidP="00D47CE9">
      <w:pPr>
        <w:tabs>
          <w:tab w:val="right" w:pos="850"/>
          <w:tab w:val="left" w:pos="1134"/>
          <w:tab w:val="left" w:pos="1559"/>
          <w:tab w:val="left" w:pos="1984"/>
          <w:tab w:val="left" w:leader="dot" w:pos="9000"/>
          <w:tab w:val="right" w:pos="9360"/>
          <w:tab w:val="right" w:pos="9638"/>
        </w:tabs>
        <w:suppressAutoHyphens/>
        <w:spacing w:after="120"/>
      </w:pPr>
      <w:r w:rsidRPr="00F672DD">
        <w:tab/>
        <w:t>6.</w:t>
      </w:r>
      <w:r w:rsidRPr="00F672DD">
        <w:tab/>
        <w:t>Незаконная дискриминация</w:t>
      </w:r>
      <w:r w:rsidRPr="00F672DD">
        <w:tab/>
      </w:r>
      <w:r w:rsidRPr="00F672DD">
        <w:tab/>
      </w:r>
      <w:r w:rsidRPr="00F672DD">
        <w:tab/>
        <w:t>11</w:t>
      </w:r>
    </w:p>
    <w:p w:rsidR="00871D57" w:rsidRPr="00F672DD" w:rsidRDefault="00871D57" w:rsidP="00D47CE9">
      <w:pPr>
        <w:tabs>
          <w:tab w:val="right" w:pos="850"/>
          <w:tab w:val="left" w:pos="1134"/>
          <w:tab w:val="left" w:pos="1559"/>
          <w:tab w:val="left" w:pos="1984"/>
          <w:tab w:val="left" w:leader="dot" w:pos="9000"/>
          <w:tab w:val="right" w:pos="9360"/>
          <w:tab w:val="right" w:pos="9638"/>
        </w:tabs>
        <w:suppressAutoHyphens/>
        <w:spacing w:after="120"/>
      </w:pPr>
      <w:r w:rsidRPr="00F672DD">
        <w:tab/>
        <w:t>7.</w:t>
      </w:r>
      <w:r w:rsidRPr="00F672DD">
        <w:tab/>
        <w:t xml:space="preserve">Жалобы на дискриминацию по этническому признаку в разбивке </w:t>
      </w:r>
      <w:r w:rsidRPr="00F672DD">
        <w:br/>
      </w:r>
      <w:r w:rsidRPr="00F672DD">
        <w:tab/>
      </w:r>
      <w:r w:rsidRPr="00F672DD">
        <w:tab/>
        <w:t>по социальным секторам</w:t>
      </w:r>
      <w:r w:rsidRPr="00F672DD">
        <w:tab/>
      </w:r>
      <w:r w:rsidRPr="00F672DD">
        <w:tab/>
      </w:r>
      <w:r w:rsidRPr="00F672DD">
        <w:tab/>
        <w:t>14</w:t>
      </w:r>
    </w:p>
    <w:p w:rsidR="00871D57" w:rsidRPr="00F672DD" w:rsidRDefault="00871D57" w:rsidP="00D47CE9">
      <w:pPr>
        <w:tabs>
          <w:tab w:val="right" w:pos="850"/>
          <w:tab w:val="left" w:pos="1134"/>
          <w:tab w:val="left" w:pos="1559"/>
          <w:tab w:val="left" w:pos="1984"/>
          <w:tab w:val="left" w:leader="dot" w:pos="9000"/>
          <w:tab w:val="right" w:pos="9360"/>
          <w:tab w:val="right" w:pos="9638"/>
        </w:tabs>
        <w:suppressAutoHyphens/>
        <w:spacing w:after="120"/>
      </w:pPr>
      <w:r w:rsidRPr="00F672DD">
        <w:tab/>
        <w:t>8.</w:t>
      </w:r>
      <w:r w:rsidRPr="00F672DD">
        <w:tab/>
        <w:t>Закрытые дела о дискриминации по признаку этнической принадлежности</w:t>
      </w:r>
      <w:r w:rsidRPr="00F672DD">
        <w:tab/>
      </w:r>
      <w:r w:rsidRPr="00F672DD">
        <w:tab/>
      </w:r>
      <w:r w:rsidRPr="00F672DD">
        <w:tab/>
        <w:t>15</w:t>
      </w:r>
    </w:p>
    <w:p w:rsidR="00871D57" w:rsidRPr="00A11D2B" w:rsidRDefault="00871D57" w:rsidP="00D47CE9">
      <w:pPr>
        <w:tabs>
          <w:tab w:val="right" w:pos="850"/>
          <w:tab w:val="left" w:pos="1134"/>
          <w:tab w:val="left" w:pos="1559"/>
          <w:tab w:val="left" w:pos="1984"/>
          <w:tab w:val="left" w:leader="dot" w:pos="9000"/>
          <w:tab w:val="right" w:pos="9360"/>
          <w:tab w:val="right" w:pos="9638"/>
        </w:tabs>
        <w:suppressAutoHyphens/>
        <w:spacing w:after="120"/>
      </w:pPr>
      <w:r w:rsidRPr="00F672DD">
        <w:tab/>
        <w:t>9.</w:t>
      </w:r>
      <w:r w:rsidRPr="00F672DD">
        <w:tab/>
        <w:t>Показатели занятости населения в возрасте 15–74 лет (в</w:t>
      </w:r>
      <w:r w:rsidR="00F823E7">
        <w:t xml:space="preserve"> </w:t>
      </w:r>
      <w:r w:rsidR="002F1881">
        <w:t>%</w:t>
      </w:r>
      <w:r w:rsidRPr="00F672DD">
        <w:t>)</w:t>
      </w:r>
      <w:r w:rsidRPr="00F672DD">
        <w:tab/>
      </w:r>
      <w:r w:rsidRPr="00F672DD">
        <w:tab/>
      </w:r>
      <w:r w:rsidRPr="00F672DD">
        <w:tab/>
        <w:t>3</w:t>
      </w:r>
      <w:r w:rsidR="00A11D2B" w:rsidRPr="00A11D2B">
        <w:t>8</w:t>
      </w:r>
    </w:p>
    <w:p w:rsidR="00871D57" w:rsidRPr="00A11D2B" w:rsidRDefault="00871D57" w:rsidP="00D47CE9">
      <w:pPr>
        <w:tabs>
          <w:tab w:val="right" w:pos="850"/>
          <w:tab w:val="left" w:pos="1134"/>
          <w:tab w:val="left" w:pos="1559"/>
          <w:tab w:val="left" w:pos="1984"/>
          <w:tab w:val="left" w:leader="dot" w:pos="9000"/>
          <w:tab w:val="right" w:pos="9360"/>
          <w:tab w:val="right" w:pos="9638"/>
        </w:tabs>
        <w:suppressAutoHyphens/>
        <w:spacing w:after="120"/>
      </w:pPr>
      <w:r w:rsidRPr="00F672DD">
        <w:tab/>
        <w:t>10.</w:t>
      </w:r>
      <w:r w:rsidRPr="00F672DD">
        <w:tab/>
        <w:t>Уровень безработицы среди населения в возрасте 15–74 лет (в</w:t>
      </w:r>
      <w:r w:rsidR="00F823E7">
        <w:t xml:space="preserve"> </w:t>
      </w:r>
      <w:r w:rsidR="002F1881">
        <w:t>%</w:t>
      </w:r>
      <w:r w:rsidRPr="00F672DD">
        <w:t>)</w:t>
      </w:r>
      <w:r w:rsidRPr="00F672DD">
        <w:tab/>
      </w:r>
      <w:r w:rsidRPr="00F672DD">
        <w:tab/>
      </w:r>
      <w:r w:rsidRPr="00F672DD">
        <w:tab/>
        <w:t>3</w:t>
      </w:r>
      <w:r w:rsidR="00A11D2B" w:rsidRPr="00A11D2B">
        <w:t>8</w:t>
      </w:r>
    </w:p>
    <w:p w:rsidR="00871D57" w:rsidRPr="00871D57" w:rsidRDefault="00871D57" w:rsidP="00635822">
      <w:pPr>
        <w:pStyle w:val="HChGR"/>
      </w:pPr>
      <w:r w:rsidRPr="00F672DD">
        <w:rPr>
          <w:vertAlign w:val="superscript"/>
        </w:rPr>
        <w:br w:type="page"/>
      </w:r>
      <w:r w:rsidRPr="00F672DD">
        <w:tab/>
      </w:r>
      <w:r w:rsidRPr="00F672DD">
        <w:rPr>
          <w:lang w:val="en-GB"/>
        </w:rPr>
        <w:t>I</w:t>
      </w:r>
      <w:r w:rsidRPr="00871D57">
        <w:t>.</w:t>
      </w:r>
      <w:r w:rsidRPr="00871D57">
        <w:tab/>
      </w:r>
      <w:r w:rsidRPr="00F672DD">
        <w:t>Введение</w:t>
      </w:r>
    </w:p>
    <w:p w:rsidR="00871D57" w:rsidRPr="00F672DD" w:rsidRDefault="00635822" w:rsidP="00871D57">
      <w:pPr>
        <w:pStyle w:val="SingleTxtGR"/>
      </w:pPr>
      <w:r>
        <w:t>1.</w:t>
      </w:r>
      <w:r>
        <w:tab/>
      </w:r>
      <w:r w:rsidR="00871D57" w:rsidRPr="00F672DD">
        <w:t>Швеция настоящим представляет в одном документе свои девятнадцатый, двадцатый и двадцать первый доклады о мерах, принимаемых ею в соответс</w:t>
      </w:r>
      <w:r w:rsidR="00871D57" w:rsidRPr="00F672DD">
        <w:t>т</w:t>
      </w:r>
      <w:r w:rsidR="00871D57" w:rsidRPr="00F672DD">
        <w:t>вии с Международной конвенцией о ликвидации всех форм расовой дискрим</w:t>
      </w:r>
      <w:r w:rsidR="00871D57" w:rsidRPr="00F672DD">
        <w:t>и</w:t>
      </w:r>
      <w:r w:rsidR="00871D57" w:rsidRPr="00F672DD">
        <w:t>нации. Согласно рекомендации Комитета по ликвидации расовой дискримин</w:t>
      </w:r>
      <w:r w:rsidR="00871D57" w:rsidRPr="00F672DD">
        <w:t>а</w:t>
      </w:r>
      <w:r w:rsidR="00871D57" w:rsidRPr="00F672DD">
        <w:t>ции настоящий доклад представляет собой обновленную версию предыдущих докладов Швеции. Наиболее подробно в нем рассматриваются вопросы, затр</w:t>
      </w:r>
      <w:r w:rsidR="00871D57" w:rsidRPr="00F672DD">
        <w:t>о</w:t>
      </w:r>
      <w:r w:rsidR="00871D57" w:rsidRPr="00F672DD">
        <w:t>нутые в заключительных замечаниях Комитета по семнадцатому и восемнадц</w:t>
      </w:r>
      <w:r w:rsidR="00871D57" w:rsidRPr="00F672DD">
        <w:t>а</w:t>
      </w:r>
      <w:r w:rsidR="00871D57" w:rsidRPr="00F672DD">
        <w:t>тому до</w:t>
      </w:r>
      <w:r w:rsidR="00871D57" w:rsidRPr="00F672DD">
        <w:t>к</w:t>
      </w:r>
      <w:r w:rsidR="00871D57" w:rsidRPr="00F672DD">
        <w:t>ладам Швеции.</w:t>
      </w:r>
    </w:p>
    <w:p w:rsidR="00871D57" w:rsidRPr="00F672DD" w:rsidRDefault="00871D57" w:rsidP="00635822">
      <w:pPr>
        <w:pStyle w:val="HChGR"/>
      </w:pPr>
      <w:r w:rsidRPr="00F672DD">
        <w:tab/>
      </w:r>
      <w:r w:rsidRPr="00635822">
        <w:t>II</w:t>
      </w:r>
      <w:r w:rsidRPr="00F672DD">
        <w:t>.</w:t>
      </w:r>
      <w:r w:rsidRPr="00F672DD">
        <w:tab/>
        <w:t>Демографическая статистика и исследования по</w:t>
      </w:r>
      <w:r w:rsidR="007A6387">
        <w:t> </w:t>
      </w:r>
      <w:r w:rsidRPr="00F672DD">
        <w:t>вопросам дискриминации и ксенофобии</w:t>
      </w:r>
      <w:r w:rsidR="007A6387">
        <w:br/>
      </w:r>
      <w:r w:rsidRPr="00F672DD">
        <w:t>(с учетом пункта</w:t>
      </w:r>
      <w:r w:rsidR="000557E5">
        <w:t xml:space="preserve"> </w:t>
      </w:r>
      <w:r w:rsidRPr="00F672DD">
        <w:t>10 рекомендаций Комитета)</w:t>
      </w:r>
    </w:p>
    <w:p w:rsidR="00871D57" w:rsidRPr="00F672DD" w:rsidRDefault="00871D57" w:rsidP="00635822">
      <w:pPr>
        <w:pStyle w:val="H1GR"/>
      </w:pPr>
      <w:r w:rsidRPr="00F672DD">
        <w:tab/>
      </w:r>
      <w:r w:rsidRPr="00F672DD">
        <w:rPr>
          <w:lang w:val="en-GB"/>
        </w:rPr>
        <w:t>A</w:t>
      </w:r>
      <w:r w:rsidRPr="00F672DD">
        <w:t>.</w:t>
      </w:r>
      <w:r w:rsidRPr="00F672DD">
        <w:tab/>
        <w:t>Демографическая статистика</w:t>
      </w:r>
    </w:p>
    <w:p w:rsidR="00871D57" w:rsidRPr="00F672DD" w:rsidRDefault="00635822" w:rsidP="00871D57">
      <w:pPr>
        <w:pStyle w:val="SingleTxtGR"/>
      </w:pPr>
      <w:r>
        <w:t>2.</w:t>
      </w:r>
      <w:r>
        <w:tab/>
      </w:r>
      <w:r w:rsidR="00871D57" w:rsidRPr="00F672DD">
        <w:t>Данные демографической статистики публикуются Статистическим управл</w:t>
      </w:r>
      <w:r w:rsidR="00871D57" w:rsidRPr="00F672DD">
        <w:t>е</w:t>
      </w:r>
      <w:r w:rsidR="00871D57" w:rsidRPr="00F672DD">
        <w:t>нием Швеции и другими органами. Эти данные дезагрегируются по признаку пола, гражданства, страны рождения и т.д. (см.</w:t>
      </w:r>
      <w:r w:rsidR="000557E5">
        <w:t xml:space="preserve"> </w:t>
      </w:r>
      <w:r w:rsidR="00871D57" w:rsidRPr="00F672DD">
        <w:t>таблицы ниже).</w:t>
      </w:r>
    </w:p>
    <w:p w:rsidR="00871D57" w:rsidRPr="009305AA" w:rsidRDefault="00871D57" w:rsidP="00635822">
      <w:pPr>
        <w:pStyle w:val="SingleTxtGR"/>
        <w:jc w:val="left"/>
        <w:rPr>
          <w:sz w:val="16"/>
          <w:szCs w:val="16"/>
        </w:rPr>
      </w:pPr>
      <w:r w:rsidRPr="00F672DD">
        <w:t>Таблица 1</w:t>
      </w:r>
      <w:r w:rsidRPr="00F672DD">
        <w:br/>
      </w:r>
      <w:r w:rsidRPr="00635822">
        <w:rPr>
          <w:b/>
        </w:rPr>
        <w:t>Население в разбивке по признаку происхождения</w:t>
      </w:r>
      <w:r w:rsidRPr="00635822">
        <w:rPr>
          <w:b/>
        </w:rPr>
        <w:br/>
      </w:r>
      <w:r w:rsidRPr="009305AA">
        <w:rPr>
          <w:sz w:val="16"/>
          <w:szCs w:val="16"/>
        </w:rPr>
        <w:t>(по состоянию на 31</w:t>
      </w:r>
      <w:r w:rsidR="000557E5" w:rsidRPr="009305AA">
        <w:rPr>
          <w:sz w:val="16"/>
          <w:szCs w:val="16"/>
        </w:rPr>
        <w:t xml:space="preserve"> </w:t>
      </w:r>
      <w:r w:rsidRPr="009305AA">
        <w:rPr>
          <w:sz w:val="16"/>
          <w:szCs w:val="16"/>
        </w:rPr>
        <w:t>декабря 2011</w:t>
      </w:r>
      <w:r w:rsidR="000557E5" w:rsidRPr="009305AA">
        <w:rPr>
          <w:sz w:val="16"/>
          <w:szCs w:val="16"/>
        </w:rPr>
        <w:t xml:space="preserve"> </w:t>
      </w:r>
      <w:r w:rsidRPr="009305AA">
        <w:rPr>
          <w:sz w:val="16"/>
          <w:szCs w:val="16"/>
        </w:rPr>
        <w:t>года)</w:t>
      </w:r>
    </w:p>
    <w:tbl>
      <w:tblPr>
        <w:tblStyle w:val="TabNum"/>
        <w:tblW w:w="7370" w:type="dxa"/>
        <w:tblInd w:w="1134" w:type="dxa"/>
        <w:tblLook w:val="01E0"/>
      </w:tblPr>
      <w:tblGrid>
        <w:gridCol w:w="4928"/>
        <w:gridCol w:w="1348"/>
        <w:gridCol w:w="1238"/>
      </w:tblGrid>
      <w:tr w:rsidR="00871D57" w:rsidRPr="00635822" w:rsidTr="00635822">
        <w:trPr>
          <w:trHeight w:val="240"/>
          <w:tblHeader/>
        </w:trPr>
        <w:tc>
          <w:tcPr>
            <w:cnfStyle w:val="001000000000"/>
            <w:tcW w:w="4928" w:type="dxa"/>
            <w:tcBorders>
              <w:bottom w:val="single" w:sz="12" w:space="0" w:color="auto"/>
            </w:tcBorders>
            <w:shd w:val="clear" w:color="auto" w:fill="auto"/>
            <w:noWrap/>
          </w:tcPr>
          <w:p w:rsidR="00871D57" w:rsidRPr="00635822" w:rsidRDefault="00871D57" w:rsidP="00F33DE6">
            <w:pPr>
              <w:spacing w:before="80" w:after="80" w:line="200" w:lineRule="exact"/>
              <w:rPr>
                <w:i/>
                <w:sz w:val="16"/>
              </w:rPr>
            </w:pPr>
          </w:p>
        </w:tc>
        <w:tc>
          <w:tcPr>
            <w:tcW w:w="1348" w:type="dxa"/>
            <w:tcBorders>
              <w:top w:val="single" w:sz="4" w:space="0" w:color="auto"/>
              <w:bottom w:val="single" w:sz="12" w:space="0" w:color="auto"/>
            </w:tcBorders>
            <w:shd w:val="clear" w:color="auto" w:fill="auto"/>
            <w:noWrap/>
          </w:tcPr>
          <w:p w:rsidR="00871D57" w:rsidRPr="00635822" w:rsidRDefault="00871D57" w:rsidP="00635822">
            <w:pPr>
              <w:spacing w:before="80" w:after="80" w:line="200" w:lineRule="exact"/>
              <w:cnfStyle w:val="000000000000"/>
              <w:rPr>
                <w:i/>
                <w:sz w:val="16"/>
              </w:rPr>
            </w:pPr>
            <w:r w:rsidRPr="00635822">
              <w:rPr>
                <w:i/>
                <w:sz w:val="16"/>
              </w:rPr>
              <w:t>Число</w:t>
            </w:r>
          </w:p>
        </w:tc>
        <w:tc>
          <w:tcPr>
            <w:tcW w:w="1238" w:type="dxa"/>
            <w:tcBorders>
              <w:top w:val="single" w:sz="4" w:space="0" w:color="auto"/>
              <w:bottom w:val="single" w:sz="12" w:space="0" w:color="auto"/>
            </w:tcBorders>
            <w:shd w:val="clear" w:color="auto" w:fill="auto"/>
            <w:noWrap/>
          </w:tcPr>
          <w:p w:rsidR="00871D57" w:rsidRPr="00635822" w:rsidRDefault="00871D57" w:rsidP="00635822">
            <w:pPr>
              <w:spacing w:before="80" w:after="80" w:line="200" w:lineRule="exact"/>
              <w:cnfStyle w:val="000000000000"/>
              <w:rPr>
                <w:i/>
                <w:sz w:val="16"/>
              </w:rPr>
            </w:pPr>
            <w:r w:rsidRPr="00635822">
              <w:rPr>
                <w:i/>
                <w:sz w:val="16"/>
              </w:rPr>
              <w:t>В</w:t>
            </w:r>
            <w:r w:rsidR="00FD6BA6">
              <w:rPr>
                <w:i/>
                <w:sz w:val="16"/>
              </w:rPr>
              <w:t xml:space="preserve"> процента</w:t>
            </w:r>
            <w:r w:rsidRPr="00635822">
              <w:rPr>
                <w:i/>
                <w:sz w:val="16"/>
              </w:rPr>
              <w:t>х</w:t>
            </w:r>
          </w:p>
        </w:tc>
      </w:tr>
      <w:tr w:rsidR="00871D57" w:rsidRPr="00635822" w:rsidTr="00635822">
        <w:trPr>
          <w:trHeight w:val="240"/>
        </w:trPr>
        <w:tc>
          <w:tcPr>
            <w:cnfStyle w:val="001000000000"/>
            <w:tcW w:w="4928" w:type="dxa"/>
            <w:tcBorders>
              <w:top w:val="single" w:sz="12" w:space="0" w:color="auto"/>
            </w:tcBorders>
            <w:noWrap/>
          </w:tcPr>
          <w:p w:rsidR="00871D57" w:rsidRPr="00635822" w:rsidRDefault="00871D57" w:rsidP="00635822">
            <w:r w:rsidRPr="00635822">
              <w:t>Всего</w:t>
            </w:r>
          </w:p>
        </w:tc>
        <w:tc>
          <w:tcPr>
            <w:tcW w:w="1348" w:type="dxa"/>
            <w:tcBorders>
              <w:top w:val="single" w:sz="12" w:space="0" w:color="auto"/>
            </w:tcBorders>
            <w:noWrap/>
          </w:tcPr>
          <w:p w:rsidR="00871D57" w:rsidRPr="00635822" w:rsidRDefault="00871D57" w:rsidP="00635822">
            <w:pPr>
              <w:cnfStyle w:val="000000000000"/>
            </w:pPr>
            <w:r w:rsidRPr="00635822">
              <w:t>9 482 855</w:t>
            </w:r>
          </w:p>
        </w:tc>
        <w:tc>
          <w:tcPr>
            <w:tcW w:w="1238" w:type="dxa"/>
            <w:tcBorders>
              <w:top w:val="single" w:sz="12" w:space="0" w:color="auto"/>
            </w:tcBorders>
            <w:noWrap/>
          </w:tcPr>
          <w:p w:rsidR="00871D57" w:rsidRPr="00635822" w:rsidRDefault="00871D57" w:rsidP="00635822">
            <w:pPr>
              <w:cnfStyle w:val="000000000000"/>
            </w:pPr>
            <w:r w:rsidRPr="00635822">
              <w:t>100</w:t>
            </w:r>
          </w:p>
        </w:tc>
      </w:tr>
      <w:tr w:rsidR="00871D57" w:rsidRPr="00635822" w:rsidTr="00635822">
        <w:trPr>
          <w:trHeight w:val="240"/>
        </w:trPr>
        <w:tc>
          <w:tcPr>
            <w:cnfStyle w:val="001000000000"/>
            <w:tcW w:w="4928" w:type="dxa"/>
            <w:noWrap/>
          </w:tcPr>
          <w:p w:rsidR="00871D57" w:rsidRPr="00635822" w:rsidRDefault="00871D57" w:rsidP="00635822">
            <w:r w:rsidRPr="00635822">
              <w:t>Лица, родившиеся за границей</w:t>
            </w:r>
          </w:p>
        </w:tc>
        <w:tc>
          <w:tcPr>
            <w:tcW w:w="1348" w:type="dxa"/>
            <w:noWrap/>
          </w:tcPr>
          <w:p w:rsidR="00871D57" w:rsidRPr="00635822" w:rsidRDefault="00871D57" w:rsidP="00635822">
            <w:pPr>
              <w:cnfStyle w:val="000000000000"/>
            </w:pPr>
            <w:r w:rsidRPr="00635822">
              <w:t>1 427 296</w:t>
            </w:r>
          </w:p>
        </w:tc>
        <w:tc>
          <w:tcPr>
            <w:tcW w:w="1238" w:type="dxa"/>
            <w:noWrap/>
          </w:tcPr>
          <w:p w:rsidR="00871D57" w:rsidRPr="00635822" w:rsidRDefault="00871D57" w:rsidP="00635822">
            <w:pPr>
              <w:cnfStyle w:val="000000000000"/>
            </w:pPr>
            <w:r w:rsidRPr="00635822">
              <w:t>15,1</w:t>
            </w:r>
          </w:p>
        </w:tc>
      </w:tr>
      <w:tr w:rsidR="00871D57" w:rsidRPr="00635822" w:rsidTr="00635822">
        <w:trPr>
          <w:trHeight w:val="240"/>
        </w:trPr>
        <w:tc>
          <w:tcPr>
            <w:cnfStyle w:val="001000000000"/>
            <w:tcW w:w="4928" w:type="dxa"/>
            <w:noWrap/>
          </w:tcPr>
          <w:p w:rsidR="00871D57" w:rsidRPr="00635822" w:rsidRDefault="00871D57" w:rsidP="00635822">
            <w:r w:rsidRPr="00635822">
              <w:t>Лица, родившиеся в Швеции, в том числе:</w:t>
            </w:r>
          </w:p>
        </w:tc>
        <w:tc>
          <w:tcPr>
            <w:tcW w:w="1348" w:type="dxa"/>
            <w:noWrap/>
          </w:tcPr>
          <w:p w:rsidR="00871D57" w:rsidRPr="00635822" w:rsidRDefault="00871D57" w:rsidP="00635822">
            <w:pPr>
              <w:cnfStyle w:val="000000000000"/>
            </w:pPr>
            <w:r w:rsidRPr="00635822">
              <w:t>8 055 559</w:t>
            </w:r>
          </w:p>
        </w:tc>
        <w:tc>
          <w:tcPr>
            <w:tcW w:w="1238" w:type="dxa"/>
            <w:noWrap/>
          </w:tcPr>
          <w:p w:rsidR="00871D57" w:rsidRPr="00635822" w:rsidRDefault="00871D57" w:rsidP="00635822">
            <w:pPr>
              <w:cnfStyle w:val="000000000000"/>
            </w:pPr>
            <w:r w:rsidRPr="00635822">
              <w:t>84,9</w:t>
            </w:r>
          </w:p>
        </w:tc>
      </w:tr>
      <w:tr w:rsidR="00871D57" w:rsidRPr="00635822" w:rsidTr="00635822">
        <w:trPr>
          <w:trHeight w:val="240"/>
        </w:trPr>
        <w:tc>
          <w:tcPr>
            <w:cnfStyle w:val="001000000000"/>
            <w:tcW w:w="4928" w:type="dxa"/>
            <w:noWrap/>
          </w:tcPr>
          <w:p w:rsidR="00871D57" w:rsidRPr="00635822" w:rsidRDefault="00871D57" w:rsidP="004439DB">
            <w:pPr>
              <w:spacing w:line="220" w:lineRule="exact"/>
              <w:ind w:left="284"/>
            </w:pPr>
            <w:r w:rsidRPr="00635822">
              <w:t>лица, оба родителя которых родились за гран</w:t>
            </w:r>
            <w:r w:rsidRPr="00635822">
              <w:t>и</w:t>
            </w:r>
            <w:r w:rsidRPr="00635822">
              <w:t>цей</w:t>
            </w:r>
          </w:p>
        </w:tc>
        <w:tc>
          <w:tcPr>
            <w:tcW w:w="1348" w:type="dxa"/>
            <w:noWrap/>
          </w:tcPr>
          <w:p w:rsidR="00871D57" w:rsidRPr="00635822" w:rsidRDefault="00871D57" w:rsidP="00635822">
            <w:pPr>
              <w:cnfStyle w:val="000000000000"/>
            </w:pPr>
            <w:r w:rsidRPr="00635822">
              <w:t>430 253</w:t>
            </w:r>
          </w:p>
        </w:tc>
        <w:tc>
          <w:tcPr>
            <w:tcW w:w="1238" w:type="dxa"/>
            <w:noWrap/>
          </w:tcPr>
          <w:p w:rsidR="00871D57" w:rsidRPr="00635822" w:rsidRDefault="00871D57" w:rsidP="00635822">
            <w:pPr>
              <w:cnfStyle w:val="000000000000"/>
            </w:pPr>
            <w:r w:rsidRPr="00635822">
              <w:t>4,5</w:t>
            </w:r>
          </w:p>
        </w:tc>
      </w:tr>
      <w:tr w:rsidR="00871D57" w:rsidRPr="00635822" w:rsidTr="00635822">
        <w:trPr>
          <w:trHeight w:val="240"/>
        </w:trPr>
        <w:tc>
          <w:tcPr>
            <w:cnfStyle w:val="001000000000"/>
            <w:tcW w:w="4928" w:type="dxa"/>
            <w:noWrap/>
          </w:tcPr>
          <w:p w:rsidR="00871D57" w:rsidRPr="00635822" w:rsidRDefault="00871D57" w:rsidP="004439DB">
            <w:pPr>
              <w:spacing w:line="220" w:lineRule="exact"/>
              <w:ind w:left="284"/>
            </w:pPr>
            <w:r w:rsidRPr="00635822">
              <w:t xml:space="preserve">лица, один из родителей которых родился </w:t>
            </w:r>
            <w:r w:rsidR="00F823E7">
              <w:br/>
            </w:r>
            <w:r w:rsidRPr="00635822">
              <w:t>в Шв</w:t>
            </w:r>
            <w:r w:rsidRPr="00635822">
              <w:t>е</w:t>
            </w:r>
            <w:r w:rsidRPr="00635822">
              <w:t>ции, а другой за границей</w:t>
            </w:r>
          </w:p>
        </w:tc>
        <w:tc>
          <w:tcPr>
            <w:tcW w:w="1348" w:type="dxa"/>
            <w:noWrap/>
          </w:tcPr>
          <w:p w:rsidR="00871D57" w:rsidRPr="00635822" w:rsidRDefault="00871D57" w:rsidP="00635822">
            <w:pPr>
              <w:cnfStyle w:val="000000000000"/>
            </w:pPr>
            <w:r w:rsidRPr="00635822">
              <w:t>666 723</w:t>
            </w:r>
          </w:p>
        </w:tc>
        <w:tc>
          <w:tcPr>
            <w:tcW w:w="1238" w:type="dxa"/>
            <w:noWrap/>
          </w:tcPr>
          <w:p w:rsidR="00871D57" w:rsidRPr="00635822" w:rsidRDefault="00871D57" w:rsidP="00635822">
            <w:pPr>
              <w:cnfStyle w:val="000000000000"/>
            </w:pPr>
            <w:r w:rsidRPr="00635822">
              <w:t>7,0</w:t>
            </w:r>
          </w:p>
        </w:tc>
      </w:tr>
      <w:tr w:rsidR="00871D57" w:rsidRPr="00635822" w:rsidTr="00635822">
        <w:trPr>
          <w:trHeight w:val="240"/>
        </w:trPr>
        <w:tc>
          <w:tcPr>
            <w:cnfStyle w:val="001000000000"/>
            <w:tcW w:w="4928" w:type="dxa"/>
            <w:noWrap/>
          </w:tcPr>
          <w:p w:rsidR="00871D57" w:rsidRPr="00635822" w:rsidRDefault="00871D57" w:rsidP="004439DB">
            <w:pPr>
              <w:spacing w:line="220" w:lineRule="exact"/>
              <w:ind w:left="284"/>
            </w:pPr>
            <w:r w:rsidRPr="00635822">
              <w:t>лица, оба родителя которых родились в Шв</w:t>
            </w:r>
            <w:r w:rsidRPr="00635822">
              <w:t>е</w:t>
            </w:r>
            <w:r w:rsidRPr="00635822">
              <w:t>ции</w:t>
            </w:r>
          </w:p>
        </w:tc>
        <w:tc>
          <w:tcPr>
            <w:tcW w:w="1348" w:type="dxa"/>
            <w:noWrap/>
          </w:tcPr>
          <w:p w:rsidR="00871D57" w:rsidRPr="00635822" w:rsidRDefault="00871D57" w:rsidP="00635822">
            <w:pPr>
              <w:cnfStyle w:val="000000000000"/>
            </w:pPr>
            <w:r w:rsidRPr="00635822">
              <w:t>6 958 583</w:t>
            </w:r>
          </w:p>
        </w:tc>
        <w:tc>
          <w:tcPr>
            <w:tcW w:w="1238" w:type="dxa"/>
            <w:noWrap/>
          </w:tcPr>
          <w:p w:rsidR="00871D57" w:rsidRPr="00635822" w:rsidRDefault="00871D57" w:rsidP="00635822">
            <w:pPr>
              <w:cnfStyle w:val="000000000000"/>
            </w:pPr>
            <w:r w:rsidRPr="00635822">
              <w:t>73,4</w:t>
            </w:r>
          </w:p>
        </w:tc>
      </w:tr>
    </w:tbl>
    <w:p w:rsidR="00871D57" w:rsidRPr="00635822" w:rsidRDefault="00871D57" w:rsidP="00635822">
      <w:pPr>
        <w:pStyle w:val="SingleTxtGR"/>
        <w:spacing w:before="120" w:line="220" w:lineRule="exact"/>
        <w:ind w:firstLine="125"/>
        <w:rPr>
          <w:sz w:val="18"/>
          <w:szCs w:val="18"/>
        </w:rPr>
      </w:pPr>
      <w:r w:rsidRPr="00635822">
        <w:rPr>
          <w:i/>
          <w:sz w:val="18"/>
          <w:szCs w:val="18"/>
        </w:rPr>
        <w:t>Источник</w:t>
      </w:r>
      <w:r w:rsidRPr="00635822">
        <w:rPr>
          <w:sz w:val="18"/>
          <w:szCs w:val="18"/>
        </w:rPr>
        <w:t>: Статистическое управление Швеции.</w:t>
      </w:r>
    </w:p>
    <w:p w:rsidR="00871D57" w:rsidRPr="009305AA" w:rsidRDefault="00871D57" w:rsidP="00CA436A">
      <w:pPr>
        <w:pStyle w:val="SingleTxtGR"/>
        <w:jc w:val="left"/>
        <w:rPr>
          <w:sz w:val="16"/>
          <w:szCs w:val="16"/>
        </w:rPr>
      </w:pPr>
      <w:r w:rsidRPr="00F672DD">
        <w:t>Таблица 2</w:t>
      </w:r>
      <w:r w:rsidRPr="00F672DD">
        <w:br/>
      </w:r>
      <w:r w:rsidRPr="00F672DD">
        <w:rPr>
          <w:b/>
        </w:rPr>
        <w:t xml:space="preserve">Население иностранного происхождения в разбивке по регионам рождения </w:t>
      </w:r>
      <w:r w:rsidRPr="00F672DD">
        <w:rPr>
          <w:b/>
        </w:rPr>
        <w:br/>
      </w:r>
      <w:r w:rsidRPr="009305AA">
        <w:rPr>
          <w:sz w:val="16"/>
          <w:szCs w:val="16"/>
        </w:rPr>
        <w:t>(по состоянию на 31</w:t>
      </w:r>
      <w:r w:rsidR="000557E5" w:rsidRPr="009305AA">
        <w:rPr>
          <w:sz w:val="16"/>
          <w:szCs w:val="16"/>
        </w:rPr>
        <w:t xml:space="preserve"> </w:t>
      </w:r>
      <w:r w:rsidRPr="009305AA">
        <w:rPr>
          <w:sz w:val="16"/>
          <w:szCs w:val="16"/>
        </w:rPr>
        <w:t>декабря 2011</w:t>
      </w:r>
      <w:r w:rsidR="000557E5" w:rsidRPr="009305AA">
        <w:rPr>
          <w:sz w:val="16"/>
          <w:szCs w:val="16"/>
        </w:rPr>
        <w:t xml:space="preserve"> </w:t>
      </w:r>
      <w:r w:rsidRPr="009305AA">
        <w:rPr>
          <w:sz w:val="16"/>
          <w:szCs w:val="16"/>
        </w:rPr>
        <w:t>года)</w:t>
      </w:r>
    </w:p>
    <w:tbl>
      <w:tblPr>
        <w:tblStyle w:val="TabNum"/>
        <w:tblW w:w="7370" w:type="dxa"/>
        <w:tblInd w:w="1134" w:type="dxa"/>
        <w:tblLook w:val="01E0"/>
      </w:tblPr>
      <w:tblGrid>
        <w:gridCol w:w="4928"/>
        <w:gridCol w:w="1336"/>
        <w:gridCol w:w="1226"/>
      </w:tblGrid>
      <w:tr w:rsidR="00871D57" w:rsidRPr="00CA436A" w:rsidTr="00CA436A">
        <w:trPr>
          <w:trHeight w:val="300"/>
          <w:tblHeader/>
        </w:trPr>
        <w:tc>
          <w:tcPr>
            <w:cnfStyle w:val="001000000000"/>
            <w:tcW w:w="4928" w:type="dxa"/>
            <w:tcBorders>
              <w:bottom w:val="single" w:sz="12" w:space="0" w:color="auto"/>
            </w:tcBorders>
            <w:shd w:val="clear" w:color="auto" w:fill="auto"/>
            <w:noWrap/>
          </w:tcPr>
          <w:p w:rsidR="00871D57" w:rsidRPr="00CA436A" w:rsidRDefault="00871D57" w:rsidP="00CA436A">
            <w:pPr>
              <w:spacing w:before="80" w:after="80" w:line="200" w:lineRule="exact"/>
              <w:rPr>
                <w:i/>
                <w:sz w:val="16"/>
              </w:rPr>
            </w:pPr>
          </w:p>
        </w:tc>
        <w:tc>
          <w:tcPr>
            <w:tcW w:w="1336" w:type="dxa"/>
            <w:tcBorders>
              <w:top w:val="single" w:sz="4" w:space="0" w:color="auto"/>
              <w:bottom w:val="single" w:sz="12" w:space="0" w:color="auto"/>
            </w:tcBorders>
            <w:shd w:val="clear" w:color="auto" w:fill="auto"/>
            <w:noWrap/>
          </w:tcPr>
          <w:p w:rsidR="00871D57" w:rsidRPr="00CA436A" w:rsidRDefault="00871D57" w:rsidP="00CA436A">
            <w:pPr>
              <w:spacing w:before="80" w:after="80" w:line="200" w:lineRule="exact"/>
              <w:cnfStyle w:val="000000000000"/>
              <w:rPr>
                <w:i/>
                <w:sz w:val="16"/>
              </w:rPr>
            </w:pPr>
            <w:r w:rsidRPr="00CA436A">
              <w:rPr>
                <w:i/>
                <w:sz w:val="16"/>
              </w:rPr>
              <w:t>Число</w:t>
            </w:r>
          </w:p>
        </w:tc>
        <w:tc>
          <w:tcPr>
            <w:tcW w:w="1226" w:type="dxa"/>
            <w:tcBorders>
              <w:top w:val="single" w:sz="4" w:space="0" w:color="auto"/>
              <w:bottom w:val="single" w:sz="12" w:space="0" w:color="auto"/>
            </w:tcBorders>
            <w:shd w:val="clear" w:color="auto" w:fill="auto"/>
            <w:noWrap/>
          </w:tcPr>
          <w:p w:rsidR="00871D57" w:rsidRPr="00CA436A" w:rsidRDefault="00FD6BA6" w:rsidP="00CA436A">
            <w:pPr>
              <w:spacing w:before="80" w:after="80" w:line="200" w:lineRule="exact"/>
              <w:cnfStyle w:val="000000000000"/>
              <w:rPr>
                <w:i/>
                <w:sz w:val="16"/>
              </w:rPr>
            </w:pPr>
            <w:r w:rsidRPr="00635822">
              <w:rPr>
                <w:i/>
                <w:sz w:val="16"/>
              </w:rPr>
              <w:t>В</w:t>
            </w:r>
            <w:r>
              <w:rPr>
                <w:i/>
                <w:sz w:val="16"/>
              </w:rPr>
              <w:t xml:space="preserve"> процента</w:t>
            </w:r>
            <w:r w:rsidRPr="00635822">
              <w:rPr>
                <w:i/>
                <w:sz w:val="16"/>
              </w:rPr>
              <w:t>х</w:t>
            </w:r>
          </w:p>
        </w:tc>
      </w:tr>
      <w:tr w:rsidR="00871D57" w:rsidRPr="00CA436A" w:rsidTr="00CA436A">
        <w:trPr>
          <w:trHeight w:val="300"/>
        </w:trPr>
        <w:tc>
          <w:tcPr>
            <w:cnfStyle w:val="001000000000"/>
            <w:tcW w:w="4928" w:type="dxa"/>
            <w:tcBorders>
              <w:top w:val="single" w:sz="12" w:space="0" w:color="auto"/>
            </w:tcBorders>
            <w:noWrap/>
          </w:tcPr>
          <w:p w:rsidR="00871D57" w:rsidRPr="00CA436A" w:rsidRDefault="00871D57" w:rsidP="00CA436A">
            <w:r w:rsidRPr="00CA436A">
              <w:t>Африка</w:t>
            </w:r>
          </w:p>
        </w:tc>
        <w:tc>
          <w:tcPr>
            <w:tcW w:w="1336" w:type="dxa"/>
            <w:tcBorders>
              <w:top w:val="single" w:sz="12" w:space="0" w:color="auto"/>
            </w:tcBorders>
            <w:noWrap/>
          </w:tcPr>
          <w:p w:rsidR="00871D57" w:rsidRPr="00CA436A" w:rsidRDefault="00871D57" w:rsidP="00CA436A">
            <w:pPr>
              <w:cnfStyle w:val="000000000000"/>
            </w:pPr>
            <w:r w:rsidRPr="00CA436A">
              <w:t>123 291</w:t>
            </w:r>
          </w:p>
        </w:tc>
        <w:tc>
          <w:tcPr>
            <w:tcW w:w="1226" w:type="dxa"/>
            <w:tcBorders>
              <w:top w:val="single" w:sz="12" w:space="0" w:color="auto"/>
            </w:tcBorders>
            <w:noWrap/>
          </w:tcPr>
          <w:p w:rsidR="00871D57" w:rsidRPr="00CA436A" w:rsidRDefault="00871D57" w:rsidP="00CA436A">
            <w:pPr>
              <w:cnfStyle w:val="000000000000"/>
            </w:pPr>
            <w:r w:rsidRPr="00CA436A">
              <w:t>8,6</w:t>
            </w:r>
          </w:p>
        </w:tc>
      </w:tr>
      <w:tr w:rsidR="00871D57" w:rsidRPr="00CA436A" w:rsidTr="00CA436A">
        <w:trPr>
          <w:trHeight w:val="300"/>
        </w:trPr>
        <w:tc>
          <w:tcPr>
            <w:cnfStyle w:val="001000000000"/>
            <w:tcW w:w="4928" w:type="dxa"/>
            <w:noWrap/>
          </w:tcPr>
          <w:p w:rsidR="00871D57" w:rsidRPr="00CA436A" w:rsidRDefault="00871D57" w:rsidP="00CA436A">
            <w:r w:rsidRPr="00CA436A">
              <w:t>Азия</w:t>
            </w:r>
          </w:p>
        </w:tc>
        <w:tc>
          <w:tcPr>
            <w:tcW w:w="1336" w:type="dxa"/>
            <w:noWrap/>
          </w:tcPr>
          <w:p w:rsidR="00871D57" w:rsidRPr="00CA436A" w:rsidRDefault="00871D57" w:rsidP="00CA436A">
            <w:pPr>
              <w:cnfStyle w:val="000000000000"/>
            </w:pPr>
            <w:r w:rsidRPr="00CA436A">
              <w:t>430 284</w:t>
            </w:r>
          </w:p>
        </w:tc>
        <w:tc>
          <w:tcPr>
            <w:tcW w:w="1226" w:type="dxa"/>
            <w:noWrap/>
          </w:tcPr>
          <w:p w:rsidR="00871D57" w:rsidRPr="00CA436A" w:rsidRDefault="00871D57" w:rsidP="00CA436A">
            <w:pPr>
              <w:cnfStyle w:val="000000000000"/>
            </w:pPr>
            <w:r w:rsidRPr="00CA436A">
              <w:t>30,1</w:t>
            </w:r>
          </w:p>
        </w:tc>
      </w:tr>
      <w:tr w:rsidR="00871D57" w:rsidRPr="00CA436A" w:rsidTr="00CA436A">
        <w:trPr>
          <w:trHeight w:val="300"/>
        </w:trPr>
        <w:tc>
          <w:tcPr>
            <w:cnfStyle w:val="001000000000"/>
            <w:tcW w:w="4928" w:type="dxa"/>
            <w:noWrap/>
          </w:tcPr>
          <w:p w:rsidR="00871D57" w:rsidRPr="00CA436A" w:rsidRDefault="00871D57" w:rsidP="00CA436A">
            <w:r w:rsidRPr="00CA436A">
              <w:t xml:space="preserve">Страны Европейского союза, за исключением стран </w:t>
            </w:r>
            <w:r w:rsidR="00F823E7">
              <w:br/>
            </w:r>
            <w:r w:rsidRPr="00CA436A">
              <w:t>С</w:t>
            </w:r>
            <w:r w:rsidRPr="00CA436A">
              <w:t>е</w:t>
            </w:r>
            <w:r w:rsidRPr="00CA436A">
              <w:t>верной Европы</w:t>
            </w:r>
          </w:p>
        </w:tc>
        <w:tc>
          <w:tcPr>
            <w:tcW w:w="1336" w:type="dxa"/>
            <w:tcBorders>
              <w:bottom w:val="nil"/>
            </w:tcBorders>
            <w:noWrap/>
          </w:tcPr>
          <w:p w:rsidR="00871D57" w:rsidRPr="00CA436A" w:rsidRDefault="00871D57" w:rsidP="00CA436A">
            <w:pPr>
              <w:cnfStyle w:val="000000000000"/>
            </w:pPr>
            <w:r w:rsidRPr="00CA436A">
              <w:br/>
              <w:t>277 806</w:t>
            </w:r>
          </w:p>
        </w:tc>
        <w:tc>
          <w:tcPr>
            <w:tcW w:w="1226" w:type="dxa"/>
            <w:tcBorders>
              <w:bottom w:val="nil"/>
            </w:tcBorders>
            <w:noWrap/>
          </w:tcPr>
          <w:p w:rsidR="00871D57" w:rsidRPr="00CA436A" w:rsidRDefault="00871D57" w:rsidP="00CA436A">
            <w:pPr>
              <w:cnfStyle w:val="000000000000"/>
            </w:pPr>
            <w:r w:rsidRPr="00CA436A">
              <w:br/>
              <w:t>19,5</w:t>
            </w:r>
          </w:p>
        </w:tc>
      </w:tr>
      <w:tr w:rsidR="00871D57" w:rsidRPr="00CA436A" w:rsidTr="002E6163">
        <w:trPr>
          <w:trHeight w:val="300"/>
        </w:trPr>
        <w:tc>
          <w:tcPr>
            <w:cnfStyle w:val="001000000000"/>
            <w:tcW w:w="4928" w:type="dxa"/>
            <w:tcBorders>
              <w:top w:val="nil"/>
            </w:tcBorders>
            <w:noWrap/>
          </w:tcPr>
          <w:p w:rsidR="00871D57" w:rsidRPr="00CA436A" w:rsidRDefault="00871D57" w:rsidP="00CA436A">
            <w:r w:rsidRPr="00CA436A">
              <w:t>Европа, за исключением 27</w:t>
            </w:r>
            <w:r w:rsidR="000557E5">
              <w:t xml:space="preserve"> </w:t>
            </w:r>
            <w:r w:rsidRPr="00CA436A">
              <w:t>стран Европейского союза и стран Северной Европы</w:t>
            </w:r>
          </w:p>
        </w:tc>
        <w:tc>
          <w:tcPr>
            <w:tcW w:w="1336" w:type="dxa"/>
            <w:tcBorders>
              <w:top w:val="nil"/>
              <w:bottom w:val="nil"/>
            </w:tcBorders>
            <w:noWrap/>
          </w:tcPr>
          <w:p w:rsidR="00871D57" w:rsidRPr="00CA436A" w:rsidRDefault="00871D57" w:rsidP="00CA436A">
            <w:pPr>
              <w:cnfStyle w:val="000000000000"/>
            </w:pPr>
            <w:r w:rsidRPr="00CA436A">
              <w:br/>
              <w:t>227 145</w:t>
            </w:r>
          </w:p>
        </w:tc>
        <w:tc>
          <w:tcPr>
            <w:tcW w:w="1226" w:type="dxa"/>
            <w:tcBorders>
              <w:top w:val="nil"/>
              <w:bottom w:val="nil"/>
            </w:tcBorders>
            <w:noWrap/>
          </w:tcPr>
          <w:p w:rsidR="00871D57" w:rsidRPr="00CA436A" w:rsidRDefault="00871D57" w:rsidP="00CA436A">
            <w:pPr>
              <w:cnfStyle w:val="000000000000"/>
            </w:pPr>
            <w:r w:rsidRPr="00CA436A">
              <w:br/>
              <w:t>15,9</w:t>
            </w:r>
          </w:p>
        </w:tc>
      </w:tr>
      <w:tr w:rsidR="00871D57" w:rsidRPr="00CA436A" w:rsidTr="002E6163">
        <w:trPr>
          <w:trHeight w:val="300"/>
        </w:trPr>
        <w:tc>
          <w:tcPr>
            <w:cnfStyle w:val="001000000000"/>
            <w:tcW w:w="4928" w:type="dxa"/>
            <w:tcBorders>
              <w:top w:val="nil"/>
            </w:tcBorders>
            <w:noWrap/>
          </w:tcPr>
          <w:p w:rsidR="00871D57" w:rsidRPr="00CA436A" w:rsidRDefault="00871D57" w:rsidP="00CA436A">
            <w:r w:rsidRPr="00CA436A">
              <w:t>Северная Америка</w:t>
            </w:r>
          </w:p>
        </w:tc>
        <w:tc>
          <w:tcPr>
            <w:tcW w:w="1336" w:type="dxa"/>
            <w:tcBorders>
              <w:top w:val="nil"/>
              <w:bottom w:val="nil"/>
            </w:tcBorders>
            <w:noWrap/>
          </w:tcPr>
          <w:p w:rsidR="00871D57" w:rsidRPr="00CA436A" w:rsidRDefault="00871D57" w:rsidP="00CA436A">
            <w:pPr>
              <w:cnfStyle w:val="000000000000"/>
            </w:pPr>
            <w:r w:rsidRPr="00CA436A">
              <w:t>32 284</w:t>
            </w:r>
          </w:p>
        </w:tc>
        <w:tc>
          <w:tcPr>
            <w:tcW w:w="1226" w:type="dxa"/>
            <w:tcBorders>
              <w:top w:val="nil"/>
              <w:bottom w:val="nil"/>
            </w:tcBorders>
            <w:noWrap/>
          </w:tcPr>
          <w:p w:rsidR="00871D57" w:rsidRPr="00CA436A" w:rsidRDefault="00871D57" w:rsidP="00CA436A">
            <w:pPr>
              <w:cnfStyle w:val="000000000000"/>
            </w:pPr>
            <w:r w:rsidRPr="00CA436A">
              <w:t>2,3</w:t>
            </w:r>
          </w:p>
        </w:tc>
      </w:tr>
      <w:tr w:rsidR="00871D57" w:rsidRPr="00CA436A" w:rsidTr="002E6163">
        <w:trPr>
          <w:trHeight w:val="300"/>
        </w:trPr>
        <w:tc>
          <w:tcPr>
            <w:cnfStyle w:val="001000000000"/>
            <w:tcW w:w="4928" w:type="dxa"/>
            <w:noWrap/>
          </w:tcPr>
          <w:p w:rsidR="00871D57" w:rsidRPr="00CA436A" w:rsidRDefault="00871D57" w:rsidP="00CA436A">
            <w:r w:rsidRPr="00CA436A">
              <w:t>Страны Северной Европы, за исключением Швеции</w:t>
            </w:r>
          </w:p>
        </w:tc>
        <w:tc>
          <w:tcPr>
            <w:tcW w:w="1336" w:type="dxa"/>
            <w:tcBorders>
              <w:top w:val="nil"/>
            </w:tcBorders>
            <w:noWrap/>
          </w:tcPr>
          <w:p w:rsidR="00871D57" w:rsidRPr="00CA436A" w:rsidRDefault="00871D57" w:rsidP="00CA436A">
            <w:pPr>
              <w:cnfStyle w:val="000000000000"/>
            </w:pPr>
            <w:r w:rsidRPr="00CA436A">
              <w:t>259 743</w:t>
            </w:r>
          </w:p>
        </w:tc>
        <w:tc>
          <w:tcPr>
            <w:tcW w:w="1226" w:type="dxa"/>
            <w:tcBorders>
              <w:top w:val="nil"/>
            </w:tcBorders>
            <w:noWrap/>
          </w:tcPr>
          <w:p w:rsidR="00871D57" w:rsidRPr="00CA436A" w:rsidRDefault="00871D57" w:rsidP="00CA436A">
            <w:pPr>
              <w:cnfStyle w:val="000000000000"/>
            </w:pPr>
            <w:r w:rsidRPr="00CA436A">
              <w:t>18,2</w:t>
            </w:r>
          </w:p>
        </w:tc>
      </w:tr>
      <w:tr w:rsidR="00871D57" w:rsidRPr="00CA436A" w:rsidTr="00CA436A">
        <w:trPr>
          <w:trHeight w:val="300"/>
        </w:trPr>
        <w:tc>
          <w:tcPr>
            <w:cnfStyle w:val="001000000000"/>
            <w:tcW w:w="4928" w:type="dxa"/>
            <w:noWrap/>
          </w:tcPr>
          <w:p w:rsidR="00871D57" w:rsidRPr="00CA436A" w:rsidRDefault="00871D57" w:rsidP="00CA436A">
            <w:r w:rsidRPr="00CA436A">
              <w:t>Страны Тихоокеанского региона</w:t>
            </w:r>
          </w:p>
        </w:tc>
        <w:tc>
          <w:tcPr>
            <w:tcW w:w="1336" w:type="dxa"/>
            <w:noWrap/>
          </w:tcPr>
          <w:p w:rsidR="00871D57" w:rsidRPr="00CA436A" w:rsidRDefault="00871D57" w:rsidP="00CA436A">
            <w:pPr>
              <w:cnfStyle w:val="000000000000"/>
            </w:pPr>
            <w:r w:rsidRPr="00CA436A">
              <w:t>4 716</w:t>
            </w:r>
          </w:p>
        </w:tc>
        <w:tc>
          <w:tcPr>
            <w:tcW w:w="1226" w:type="dxa"/>
            <w:noWrap/>
          </w:tcPr>
          <w:p w:rsidR="00871D57" w:rsidRPr="00CA436A" w:rsidRDefault="00871D57" w:rsidP="00CA436A">
            <w:pPr>
              <w:cnfStyle w:val="000000000000"/>
            </w:pPr>
            <w:r w:rsidRPr="00CA436A">
              <w:t>0,3</w:t>
            </w:r>
          </w:p>
        </w:tc>
      </w:tr>
      <w:tr w:rsidR="00871D57" w:rsidRPr="00CA436A" w:rsidTr="00CA436A">
        <w:trPr>
          <w:trHeight w:val="300"/>
        </w:trPr>
        <w:tc>
          <w:tcPr>
            <w:cnfStyle w:val="001000000000"/>
            <w:tcW w:w="4928" w:type="dxa"/>
            <w:noWrap/>
          </w:tcPr>
          <w:p w:rsidR="00871D57" w:rsidRPr="00CA436A" w:rsidRDefault="00871D57" w:rsidP="00CA436A">
            <w:r w:rsidRPr="00CA436A">
              <w:t>Происхождение неизвестно</w:t>
            </w:r>
          </w:p>
        </w:tc>
        <w:tc>
          <w:tcPr>
            <w:tcW w:w="1336" w:type="dxa"/>
            <w:noWrap/>
          </w:tcPr>
          <w:p w:rsidR="00871D57" w:rsidRPr="00CA436A" w:rsidRDefault="00871D57" w:rsidP="00CA436A">
            <w:pPr>
              <w:cnfStyle w:val="000000000000"/>
            </w:pPr>
            <w:r w:rsidRPr="00CA436A">
              <w:t>894</w:t>
            </w:r>
          </w:p>
        </w:tc>
        <w:tc>
          <w:tcPr>
            <w:tcW w:w="1226" w:type="dxa"/>
            <w:noWrap/>
          </w:tcPr>
          <w:p w:rsidR="00871D57" w:rsidRPr="00CA436A" w:rsidRDefault="00871D57" w:rsidP="00CA436A">
            <w:pPr>
              <w:cnfStyle w:val="000000000000"/>
            </w:pPr>
            <w:r w:rsidRPr="00CA436A">
              <w:t>0,1</w:t>
            </w:r>
          </w:p>
        </w:tc>
      </w:tr>
      <w:tr w:rsidR="00871D57" w:rsidRPr="00CA436A" w:rsidTr="00CA436A">
        <w:trPr>
          <w:trHeight w:val="300"/>
        </w:trPr>
        <w:tc>
          <w:tcPr>
            <w:cnfStyle w:val="001000000000"/>
            <w:tcW w:w="4928" w:type="dxa"/>
            <w:noWrap/>
          </w:tcPr>
          <w:p w:rsidR="00871D57" w:rsidRPr="00CA436A" w:rsidRDefault="00871D57" w:rsidP="00CA436A">
            <w:r w:rsidRPr="00CA436A">
              <w:t>Советский Союз</w:t>
            </w:r>
          </w:p>
        </w:tc>
        <w:tc>
          <w:tcPr>
            <w:tcW w:w="1336" w:type="dxa"/>
            <w:noWrap/>
          </w:tcPr>
          <w:p w:rsidR="00871D57" w:rsidRPr="00CA436A" w:rsidRDefault="00871D57" w:rsidP="00CA436A">
            <w:pPr>
              <w:cnfStyle w:val="000000000000"/>
            </w:pPr>
            <w:r w:rsidRPr="00CA436A">
              <w:t>6 119</w:t>
            </w:r>
          </w:p>
        </w:tc>
        <w:tc>
          <w:tcPr>
            <w:tcW w:w="1226" w:type="dxa"/>
            <w:noWrap/>
          </w:tcPr>
          <w:p w:rsidR="00871D57" w:rsidRPr="00CA436A" w:rsidRDefault="00871D57" w:rsidP="00CA436A">
            <w:pPr>
              <w:cnfStyle w:val="000000000000"/>
            </w:pPr>
            <w:r w:rsidRPr="00CA436A">
              <w:t>0,4</w:t>
            </w:r>
          </w:p>
        </w:tc>
      </w:tr>
      <w:tr w:rsidR="00871D57" w:rsidRPr="00CA436A" w:rsidTr="00565693">
        <w:trPr>
          <w:trHeight w:val="300"/>
        </w:trPr>
        <w:tc>
          <w:tcPr>
            <w:cnfStyle w:val="001000000000"/>
            <w:tcW w:w="4928" w:type="dxa"/>
            <w:tcBorders>
              <w:bottom w:val="single" w:sz="4" w:space="0" w:color="auto"/>
            </w:tcBorders>
            <w:noWrap/>
          </w:tcPr>
          <w:p w:rsidR="00871D57" w:rsidRPr="00CA436A" w:rsidRDefault="00871D57" w:rsidP="00CA436A">
            <w:r w:rsidRPr="00CA436A">
              <w:t>Южная Америка</w:t>
            </w:r>
          </w:p>
        </w:tc>
        <w:tc>
          <w:tcPr>
            <w:tcW w:w="1336" w:type="dxa"/>
            <w:tcBorders>
              <w:bottom w:val="single" w:sz="4" w:space="0" w:color="auto"/>
            </w:tcBorders>
            <w:noWrap/>
          </w:tcPr>
          <w:p w:rsidR="00871D57" w:rsidRPr="00CA436A" w:rsidRDefault="00871D57" w:rsidP="00CA436A">
            <w:pPr>
              <w:cnfStyle w:val="000000000000"/>
            </w:pPr>
            <w:r w:rsidRPr="00CA436A">
              <w:t>65 014</w:t>
            </w:r>
          </w:p>
        </w:tc>
        <w:tc>
          <w:tcPr>
            <w:tcW w:w="1226" w:type="dxa"/>
            <w:tcBorders>
              <w:bottom w:val="single" w:sz="4" w:space="0" w:color="auto"/>
            </w:tcBorders>
            <w:noWrap/>
          </w:tcPr>
          <w:p w:rsidR="00871D57" w:rsidRPr="00CA436A" w:rsidRDefault="00871D57" w:rsidP="00CA436A">
            <w:pPr>
              <w:cnfStyle w:val="000000000000"/>
            </w:pPr>
            <w:r w:rsidRPr="00CA436A">
              <w:t>4,6</w:t>
            </w:r>
          </w:p>
        </w:tc>
      </w:tr>
      <w:tr w:rsidR="00871D57" w:rsidRPr="00AD7AB4" w:rsidTr="00565693">
        <w:trPr>
          <w:trHeight w:val="300"/>
        </w:trPr>
        <w:tc>
          <w:tcPr>
            <w:cnfStyle w:val="001000000000"/>
            <w:tcW w:w="4928" w:type="dxa"/>
            <w:tcBorders>
              <w:top w:val="single" w:sz="4" w:space="0" w:color="auto"/>
            </w:tcBorders>
            <w:noWrap/>
          </w:tcPr>
          <w:p w:rsidR="00871D57" w:rsidRPr="00AD7AB4" w:rsidRDefault="00871D57" w:rsidP="00AD7AB4">
            <w:pPr>
              <w:ind w:firstLine="170"/>
              <w:rPr>
                <w:b/>
              </w:rPr>
            </w:pPr>
            <w:r w:rsidRPr="00AD7AB4">
              <w:rPr>
                <w:b/>
              </w:rPr>
              <w:t>Итого, население иностранного происхождения</w:t>
            </w:r>
          </w:p>
        </w:tc>
        <w:tc>
          <w:tcPr>
            <w:tcW w:w="1336" w:type="dxa"/>
            <w:tcBorders>
              <w:top w:val="single" w:sz="4" w:space="0" w:color="auto"/>
              <w:bottom w:val="single" w:sz="12" w:space="0" w:color="auto"/>
            </w:tcBorders>
            <w:noWrap/>
          </w:tcPr>
          <w:p w:rsidR="00871D57" w:rsidRPr="00AD7AB4" w:rsidRDefault="00871D57" w:rsidP="00CA436A">
            <w:pPr>
              <w:cnfStyle w:val="000000000000"/>
              <w:rPr>
                <w:b/>
              </w:rPr>
            </w:pPr>
            <w:r w:rsidRPr="00AD7AB4">
              <w:rPr>
                <w:b/>
              </w:rPr>
              <w:t>1 427 296</w:t>
            </w:r>
          </w:p>
        </w:tc>
        <w:tc>
          <w:tcPr>
            <w:tcW w:w="1226" w:type="dxa"/>
            <w:tcBorders>
              <w:top w:val="single" w:sz="4" w:space="0" w:color="auto"/>
              <w:bottom w:val="single" w:sz="12" w:space="0" w:color="auto"/>
            </w:tcBorders>
            <w:noWrap/>
          </w:tcPr>
          <w:p w:rsidR="00871D57" w:rsidRPr="00AD7AB4" w:rsidRDefault="00871D57" w:rsidP="00CA436A">
            <w:pPr>
              <w:cnfStyle w:val="000000000000"/>
              <w:rPr>
                <w:b/>
              </w:rPr>
            </w:pPr>
            <w:r w:rsidRPr="00AD7AB4">
              <w:rPr>
                <w:b/>
              </w:rPr>
              <w:t>100,0</w:t>
            </w:r>
          </w:p>
        </w:tc>
      </w:tr>
    </w:tbl>
    <w:p w:rsidR="00871D57" w:rsidRPr="00635822" w:rsidRDefault="00871D57" w:rsidP="00635822">
      <w:pPr>
        <w:pStyle w:val="SingleTxtGR"/>
        <w:spacing w:before="120" w:line="220" w:lineRule="exact"/>
        <w:ind w:firstLine="125"/>
        <w:rPr>
          <w:i/>
          <w:sz w:val="18"/>
          <w:szCs w:val="18"/>
        </w:rPr>
      </w:pPr>
      <w:r w:rsidRPr="00635822">
        <w:rPr>
          <w:i/>
          <w:sz w:val="18"/>
          <w:szCs w:val="18"/>
        </w:rPr>
        <w:t xml:space="preserve">Источник: </w:t>
      </w:r>
      <w:r w:rsidRPr="00CA436A">
        <w:rPr>
          <w:sz w:val="18"/>
          <w:szCs w:val="18"/>
        </w:rPr>
        <w:t>Статистическое управление Швеции.</w:t>
      </w:r>
      <w:r w:rsidRPr="00635822">
        <w:rPr>
          <w:i/>
          <w:sz w:val="18"/>
          <w:szCs w:val="18"/>
        </w:rPr>
        <w:t xml:space="preserve"> </w:t>
      </w:r>
    </w:p>
    <w:p w:rsidR="00871D57" w:rsidRPr="00F672DD" w:rsidRDefault="00CA436A" w:rsidP="00871D57">
      <w:pPr>
        <w:pStyle w:val="SingleTxtGR"/>
      </w:pPr>
      <w:r>
        <w:t>3.</w:t>
      </w:r>
      <w:r>
        <w:tab/>
      </w:r>
      <w:r w:rsidR="00871D57" w:rsidRPr="00F672DD">
        <w:t>Данные об основных странах происхождения лиц, родившихся за гран</w:t>
      </w:r>
      <w:r w:rsidR="00871D57" w:rsidRPr="00F672DD">
        <w:t>и</w:t>
      </w:r>
      <w:r w:rsidR="00871D57" w:rsidRPr="00F672DD">
        <w:t>цей, приводятся в таблице ниже.</w:t>
      </w:r>
    </w:p>
    <w:p w:rsidR="00871D57" w:rsidRPr="00A97F6D" w:rsidRDefault="00871D57" w:rsidP="00750AFD">
      <w:pPr>
        <w:pStyle w:val="SingleTxtGR"/>
        <w:suppressAutoHyphens/>
        <w:jc w:val="left"/>
        <w:rPr>
          <w:b/>
          <w:sz w:val="16"/>
          <w:szCs w:val="16"/>
        </w:rPr>
      </w:pPr>
      <w:r w:rsidRPr="00F672DD">
        <w:t>Таблица 3</w:t>
      </w:r>
      <w:r w:rsidRPr="00F672DD">
        <w:br/>
      </w:r>
      <w:r w:rsidRPr="00F672DD">
        <w:rPr>
          <w:b/>
        </w:rPr>
        <w:t>Страны происхождения наиболее многочисленных групп населения, родившегося за границей</w:t>
      </w:r>
      <w:r w:rsidRPr="00CA436A">
        <w:rPr>
          <w:i/>
          <w:sz w:val="18"/>
          <w:szCs w:val="18"/>
        </w:rPr>
        <w:t xml:space="preserve"> </w:t>
      </w:r>
      <w:r w:rsidR="00CA436A">
        <w:rPr>
          <w:i/>
          <w:sz w:val="18"/>
          <w:szCs w:val="18"/>
        </w:rPr>
        <w:br/>
      </w:r>
      <w:r w:rsidRPr="00A97F6D">
        <w:rPr>
          <w:sz w:val="16"/>
          <w:szCs w:val="16"/>
        </w:rPr>
        <w:t>(по состоянию на 31 декабря 2011</w:t>
      </w:r>
      <w:r w:rsidR="000557E5" w:rsidRPr="00A97F6D">
        <w:rPr>
          <w:sz w:val="16"/>
          <w:szCs w:val="16"/>
        </w:rPr>
        <w:t xml:space="preserve"> </w:t>
      </w:r>
      <w:r w:rsidRPr="00A97F6D">
        <w:rPr>
          <w:sz w:val="16"/>
          <w:szCs w:val="16"/>
        </w:rPr>
        <w:t>года)</w:t>
      </w:r>
      <w:r w:rsidRPr="00A97F6D">
        <w:rPr>
          <w:b/>
          <w:sz w:val="16"/>
          <w:szCs w:val="16"/>
        </w:rPr>
        <w:t xml:space="preserve"> </w:t>
      </w:r>
    </w:p>
    <w:tbl>
      <w:tblPr>
        <w:tblStyle w:val="TabNum"/>
        <w:tblW w:w="7650" w:type="dxa"/>
        <w:tblInd w:w="1134" w:type="dxa"/>
        <w:tblLook w:val="01E0"/>
      </w:tblPr>
      <w:tblGrid>
        <w:gridCol w:w="3394"/>
        <w:gridCol w:w="1620"/>
        <w:gridCol w:w="1260"/>
        <w:gridCol w:w="1376"/>
      </w:tblGrid>
      <w:tr w:rsidR="00871D57" w:rsidRPr="00F16EB7" w:rsidTr="00665BC5">
        <w:trPr>
          <w:trHeight w:val="300"/>
          <w:tblHeader/>
        </w:trPr>
        <w:tc>
          <w:tcPr>
            <w:cnfStyle w:val="001000000000"/>
            <w:tcW w:w="3394" w:type="dxa"/>
            <w:tcBorders>
              <w:bottom w:val="single" w:sz="12" w:space="0" w:color="auto"/>
            </w:tcBorders>
            <w:shd w:val="clear" w:color="auto" w:fill="auto"/>
            <w:noWrap/>
          </w:tcPr>
          <w:p w:rsidR="00871D57" w:rsidRPr="00F16EB7" w:rsidRDefault="00871D57" w:rsidP="00F16EB7">
            <w:pPr>
              <w:spacing w:before="80" w:after="80" w:line="200" w:lineRule="exact"/>
              <w:rPr>
                <w:i/>
                <w:sz w:val="16"/>
              </w:rPr>
            </w:pPr>
            <w:r w:rsidRPr="00F16EB7">
              <w:rPr>
                <w:i/>
                <w:sz w:val="16"/>
              </w:rPr>
              <w:t>Страна происхождения</w:t>
            </w:r>
          </w:p>
        </w:tc>
        <w:tc>
          <w:tcPr>
            <w:tcW w:w="1620" w:type="dxa"/>
            <w:tcBorders>
              <w:top w:val="single" w:sz="4" w:space="0" w:color="auto"/>
              <w:bottom w:val="single" w:sz="12" w:space="0" w:color="auto"/>
            </w:tcBorders>
            <w:shd w:val="clear" w:color="auto" w:fill="auto"/>
          </w:tcPr>
          <w:p w:rsidR="00871D57" w:rsidRPr="00F16EB7" w:rsidRDefault="00871D57" w:rsidP="00F16EB7">
            <w:pPr>
              <w:spacing w:before="80" w:after="80" w:line="200" w:lineRule="exact"/>
              <w:cnfStyle w:val="000000000000"/>
              <w:rPr>
                <w:i/>
                <w:sz w:val="16"/>
              </w:rPr>
            </w:pPr>
            <w:r w:rsidRPr="00F16EB7">
              <w:rPr>
                <w:i/>
                <w:sz w:val="16"/>
              </w:rPr>
              <w:t>Женщины</w:t>
            </w:r>
          </w:p>
        </w:tc>
        <w:tc>
          <w:tcPr>
            <w:tcW w:w="1260" w:type="dxa"/>
            <w:tcBorders>
              <w:top w:val="single" w:sz="4" w:space="0" w:color="auto"/>
              <w:bottom w:val="single" w:sz="12" w:space="0" w:color="auto"/>
            </w:tcBorders>
            <w:shd w:val="clear" w:color="auto" w:fill="auto"/>
          </w:tcPr>
          <w:p w:rsidR="00871D57" w:rsidRPr="00F16EB7" w:rsidRDefault="00871D57" w:rsidP="00F16EB7">
            <w:pPr>
              <w:spacing w:before="80" w:after="80" w:line="200" w:lineRule="exact"/>
              <w:cnfStyle w:val="000000000000"/>
              <w:rPr>
                <w:i/>
                <w:sz w:val="16"/>
              </w:rPr>
            </w:pPr>
            <w:r w:rsidRPr="00F16EB7">
              <w:rPr>
                <w:i/>
                <w:sz w:val="16"/>
              </w:rPr>
              <w:t>Мужчины</w:t>
            </w:r>
          </w:p>
        </w:tc>
        <w:tc>
          <w:tcPr>
            <w:tcW w:w="1376" w:type="dxa"/>
            <w:tcBorders>
              <w:top w:val="single" w:sz="4" w:space="0" w:color="auto"/>
              <w:bottom w:val="single" w:sz="12" w:space="0" w:color="auto"/>
            </w:tcBorders>
            <w:shd w:val="clear" w:color="auto" w:fill="auto"/>
          </w:tcPr>
          <w:p w:rsidR="00871D57" w:rsidRPr="00F16EB7" w:rsidRDefault="00871D57" w:rsidP="00F16EB7">
            <w:pPr>
              <w:spacing w:before="80" w:after="80" w:line="200" w:lineRule="exact"/>
              <w:cnfStyle w:val="000000000000"/>
              <w:rPr>
                <w:i/>
                <w:sz w:val="16"/>
              </w:rPr>
            </w:pPr>
            <w:r w:rsidRPr="00F16EB7">
              <w:rPr>
                <w:i/>
                <w:sz w:val="16"/>
              </w:rPr>
              <w:t>Итого</w:t>
            </w:r>
          </w:p>
        </w:tc>
      </w:tr>
      <w:tr w:rsidR="00871D57" w:rsidRPr="00F16EB7" w:rsidTr="00665BC5">
        <w:trPr>
          <w:trHeight w:val="300"/>
        </w:trPr>
        <w:tc>
          <w:tcPr>
            <w:cnfStyle w:val="001000000000"/>
            <w:tcW w:w="3394" w:type="dxa"/>
            <w:tcBorders>
              <w:top w:val="single" w:sz="12" w:space="0" w:color="auto"/>
            </w:tcBorders>
            <w:noWrap/>
          </w:tcPr>
          <w:p w:rsidR="00871D57" w:rsidRPr="00F16EB7" w:rsidRDefault="00871D57" w:rsidP="00F16EB7">
            <w:r w:rsidRPr="00F16EB7">
              <w:t>Финляндия</w:t>
            </w:r>
          </w:p>
        </w:tc>
        <w:tc>
          <w:tcPr>
            <w:tcW w:w="1620" w:type="dxa"/>
            <w:tcBorders>
              <w:top w:val="single" w:sz="12" w:space="0" w:color="auto"/>
            </w:tcBorders>
            <w:noWrap/>
          </w:tcPr>
          <w:p w:rsidR="00871D57" w:rsidRPr="00F16EB7" w:rsidRDefault="00871D57" w:rsidP="00F16EB7">
            <w:pPr>
              <w:cnfStyle w:val="000000000000"/>
            </w:pPr>
            <w:r w:rsidRPr="00F16EB7">
              <w:t>99 539</w:t>
            </w:r>
          </w:p>
        </w:tc>
        <w:tc>
          <w:tcPr>
            <w:tcW w:w="1260" w:type="dxa"/>
            <w:tcBorders>
              <w:top w:val="single" w:sz="12" w:space="0" w:color="auto"/>
            </w:tcBorders>
            <w:noWrap/>
          </w:tcPr>
          <w:p w:rsidR="00871D57" w:rsidRPr="00F16EB7" w:rsidRDefault="00871D57" w:rsidP="00F16EB7">
            <w:pPr>
              <w:cnfStyle w:val="000000000000"/>
            </w:pPr>
            <w:r w:rsidRPr="00F16EB7">
              <w:t>67 184</w:t>
            </w:r>
          </w:p>
        </w:tc>
        <w:tc>
          <w:tcPr>
            <w:tcW w:w="1376" w:type="dxa"/>
            <w:tcBorders>
              <w:top w:val="single" w:sz="12" w:space="0" w:color="auto"/>
            </w:tcBorders>
            <w:noWrap/>
          </w:tcPr>
          <w:p w:rsidR="00871D57" w:rsidRPr="00F16EB7" w:rsidRDefault="00871D57" w:rsidP="00F16EB7">
            <w:pPr>
              <w:cnfStyle w:val="000000000000"/>
            </w:pPr>
            <w:r w:rsidRPr="00F16EB7">
              <w:t>166 723</w:t>
            </w:r>
          </w:p>
        </w:tc>
      </w:tr>
      <w:tr w:rsidR="00871D57" w:rsidRPr="00F16EB7" w:rsidTr="00665BC5">
        <w:trPr>
          <w:trHeight w:val="300"/>
        </w:trPr>
        <w:tc>
          <w:tcPr>
            <w:cnfStyle w:val="001000000000"/>
            <w:tcW w:w="3394" w:type="dxa"/>
            <w:noWrap/>
          </w:tcPr>
          <w:p w:rsidR="00871D57" w:rsidRPr="00F16EB7" w:rsidRDefault="00871D57" w:rsidP="00F16EB7">
            <w:r w:rsidRPr="00F16EB7">
              <w:t>Ирак</w:t>
            </w:r>
          </w:p>
        </w:tc>
        <w:tc>
          <w:tcPr>
            <w:tcW w:w="1620" w:type="dxa"/>
            <w:noWrap/>
          </w:tcPr>
          <w:p w:rsidR="00871D57" w:rsidRPr="00F16EB7" w:rsidRDefault="00871D57" w:rsidP="00F16EB7">
            <w:pPr>
              <w:cnfStyle w:val="000000000000"/>
            </w:pPr>
            <w:r w:rsidRPr="00F16EB7">
              <w:t>57 648</w:t>
            </w:r>
          </w:p>
        </w:tc>
        <w:tc>
          <w:tcPr>
            <w:tcW w:w="1260" w:type="dxa"/>
            <w:noWrap/>
          </w:tcPr>
          <w:p w:rsidR="00871D57" w:rsidRPr="00F16EB7" w:rsidRDefault="00871D57" w:rsidP="00F16EB7">
            <w:pPr>
              <w:cnfStyle w:val="000000000000"/>
            </w:pPr>
            <w:r w:rsidRPr="00F16EB7">
              <w:t>67 851</w:t>
            </w:r>
          </w:p>
        </w:tc>
        <w:tc>
          <w:tcPr>
            <w:tcW w:w="1376" w:type="dxa"/>
            <w:noWrap/>
          </w:tcPr>
          <w:p w:rsidR="00871D57" w:rsidRPr="00F16EB7" w:rsidRDefault="00871D57" w:rsidP="00F16EB7">
            <w:pPr>
              <w:cnfStyle w:val="000000000000"/>
            </w:pPr>
            <w:r w:rsidRPr="00F16EB7">
              <w:t>125 499</w:t>
            </w:r>
          </w:p>
        </w:tc>
      </w:tr>
      <w:tr w:rsidR="00871D57" w:rsidRPr="00F16EB7" w:rsidTr="00665BC5">
        <w:trPr>
          <w:trHeight w:val="300"/>
        </w:trPr>
        <w:tc>
          <w:tcPr>
            <w:cnfStyle w:val="001000000000"/>
            <w:tcW w:w="3394" w:type="dxa"/>
            <w:noWrap/>
          </w:tcPr>
          <w:p w:rsidR="00871D57" w:rsidRPr="00F16EB7" w:rsidRDefault="00871D57" w:rsidP="00F16EB7">
            <w:r w:rsidRPr="00F16EB7">
              <w:t>Польша</w:t>
            </w:r>
          </w:p>
        </w:tc>
        <w:tc>
          <w:tcPr>
            <w:tcW w:w="1620" w:type="dxa"/>
            <w:noWrap/>
          </w:tcPr>
          <w:p w:rsidR="00871D57" w:rsidRPr="00F16EB7" w:rsidRDefault="00871D57" w:rsidP="00F16EB7">
            <w:pPr>
              <w:cnfStyle w:val="000000000000"/>
            </w:pPr>
            <w:r w:rsidRPr="00F16EB7">
              <w:t>41 416</w:t>
            </w:r>
          </w:p>
        </w:tc>
        <w:tc>
          <w:tcPr>
            <w:tcW w:w="1260" w:type="dxa"/>
            <w:noWrap/>
          </w:tcPr>
          <w:p w:rsidR="00871D57" w:rsidRPr="00F16EB7" w:rsidRDefault="00871D57" w:rsidP="00F16EB7">
            <w:pPr>
              <w:cnfStyle w:val="000000000000"/>
            </w:pPr>
            <w:r w:rsidRPr="00F16EB7">
              <w:t>31 449</w:t>
            </w:r>
          </w:p>
        </w:tc>
        <w:tc>
          <w:tcPr>
            <w:tcW w:w="1376" w:type="dxa"/>
            <w:noWrap/>
          </w:tcPr>
          <w:p w:rsidR="00871D57" w:rsidRPr="00F16EB7" w:rsidRDefault="00871D57" w:rsidP="00F16EB7">
            <w:pPr>
              <w:cnfStyle w:val="000000000000"/>
            </w:pPr>
            <w:r w:rsidRPr="00F16EB7">
              <w:t>72 865</w:t>
            </w:r>
          </w:p>
        </w:tc>
      </w:tr>
      <w:tr w:rsidR="00871D57" w:rsidRPr="00F16EB7" w:rsidTr="00665BC5">
        <w:trPr>
          <w:trHeight w:val="300"/>
        </w:trPr>
        <w:tc>
          <w:tcPr>
            <w:cnfStyle w:val="001000000000"/>
            <w:tcW w:w="3394" w:type="dxa"/>
            <w:noWrap/>
          </w:tcPr>
          <w:p w:rsidR="00871D57" w:rsidRPr="00F16EB7" w:rsidRDefault="00871D57" w:rsidP="00F16EB7">
            <w:r w:rsidRPr="00F16EB7">
              <w:t>Югославия</w:t>
            </w:r>
          </w:p>
        </w:tc>
        <w:tc>
          <w:tcPr>
            <w:tcW w:w="1620" w:type="dxa"/>
            <w:noWrap/>
          </w:tcPr>
          <w:p w:rsidR="00871D57" w:rsidRPr="00F16EB7" w:rsidRDefault="00871D57" w:rsidP="00F16EB7">
            <w:pPr>
              <w:cnfStyle w:val="000000000000"/>
            </w:pPr>
            <w:r w:rsidRPr="00F16EB7">
              <w:t>34 616</w:t>
            </w:r>
          </w:p>
        </w:tc>
        <w:tc>
          <w:tcPr>
            <w:tcW w:w="1260" w:type="dxa"/>
            <w:noWrap/>
          </w:tcPr>
          <w:p w:rsidR="00871D57" w:rsidRPr="00F16EB7" w:rsidRDefault="00871D57" w:rsidP="00F16EB7">
            <w:pPr>
              <w:cnfStyle w:val="000000000000"/>
            </w:pPr>
            <w:r w:rsidRPr="00F16EB7">
              <w:t>35 434</w:t>
            </w:r>
          </w:p>
        </w:tc>
        <w:tc>
          <w:tcPr>
            <w:tcW w:w="1376" w:type="dxa"/>
            <w:noWrap/>
          </w:tcPr>
          <w:p w:rsidR="00871D57" w:rsidRPr="00F16EB7" w:rsidRDefault="00871D57" w:rsidP="00F16EB7">
            <w:pPr>
              <w:cnfStyle w:val="000000000000"/>
            </w:pPr>
            <w:r w:rsidRPr="00F16EB7">
              <w:t>70 050</w:t>
            </w:r>
          </w:p>
        </w:tc>
      </w:tr>
      <w:tr w:rsidR="00871D57" w:rsidRPr="00F16EB7" w:rsidTr="00665BC5">
        <w:trPr>
          <w:trHeight w:val="300"/>
        </w:trPr>
        <w:tc>
          <w:tcPr>
            <w:cnfStyle w:val="001000000000"/>
            <w:tcW w:w="3394" w:type="dxa"/>
            <w:noWrap/>
          </w:tcPr>
          <w:p w:rsidR="00871D57" w:rsidRPr="00F16EB7" w:rsidRDefault="00871D57" w:rsidP="00F16EB7">
            <w:r w:rsidRPr="00F16EB7">
              <w:t>Иран</w:t>
            </w:r>
          </w:p>
        </w:tc>
        <w:tc>
          <w:tcPr>
            <w:tcW w:w="1620" w:type="dxa"/>
            <w:noWrap/>
          </w:tcPr>
          <w:p w:rsidR="00871D57" w:rsidRPr="00F16EB7" w:rsidRDefault="00871D57" w:rsidP="00F16EB7">
            <w:pPr>
              <w:cnfStyle w:val="000000000000"/>
            </w:pPr>
            <w:r w:rsidRPr="00F16EB7">
              <w:t>30 264</w:t>
            </w:r>
          </w:p>
        </w:tc>
        <w:tc>
          <w:tcPr>
            <w:tcW w:w="1260" w:type="dxa"/>
            <w:noWrap/>
          </w:tcPr>
          <w:p w:rsidR="00871D57" w:rsidRPr="00F16EB7" w:rsidRDefault="00871D57" w:rsidP="00F16EB7">
            <w:pPr>
              <w:cnfStyle w:val="000000000000"/>
            </w:pPr>
            <w:r w:rsidRPr="00F16EB7">
              <w:t>33 564</w:t>
            </w:r>
          </w:p>
        </w:tc>
        <w:tc>
          <w:tcPr>
            <w:tcW w:w="1376" w:type="dxa"/>
            <w:noWrap/>
          </w:tcPr>
          <w:p w:rsidR="00871D57" w:rsidRPr="00F16EB7" w:rsidRDefault="00871D57" w:rsidP="00F16EB7">
            <w:pPr>
              <w:cnfStyle w:val="000000000000"/>
            </w:pPr>
            <w:r w:rsidRPr="00F16EB7">
              <w:t>63 828</w:t>
            </w:r>
          </w:p>
        </w:tc>
      </w:tr>
      <w:tr w:rsidR="00871D57" w:rsidRPr="00F16EB7" w:rsidTr="00665BC5">
        <w:trPr>
          <w:trHeight w:val="300"/>
        </w:trPr>
        <w:tc>
          <w:tcPr>
            <w:cnfStyle w:val="001000000000"/>
            <w:tcW w:w="3394" w:type="dxa"/>
            <w:noWrap/>
          </w:tcPr>
          <w:p w:rsidR="00871D57" w:rsidRPr="00F16EB7" w:rsidRDefault="00871D57" w:rsidP="00F16EB7">
            <w:r w:rsidRPr="00F16EB7">
              <w:t>Босния и Герцеговина</w:t>
            </w:r>
          </w:p>
        </w:tc>
        <w:tc>
          <w:tcPr>
            <w:tcW w:w="1620" w:type="dxa"/>
            <w:noWrap/>
          </w:tcPr>
          <w:p w:rsidR="00871D57" w:rsidRPr="00F16EB7" w:rsidRDefault="00871D57" w:rsidP="00F16EB7">
            <w:pPr>
              <w:cnfStyle w:val="000000000000"/>
            </w:pPr>
            <w:r w:rsidRPr="00F16EB7">
              <w:t>28 539</w:t>
            </w:r>
          </w:p>
        </w:tc>
        <w:tc>
          <w:tcPr>
            <w:tcW w:w="1260" w:type="dxa"/>
            <w:noWrap/>
          </w:tcPr>
          <w:p w:rsidR="00871D57" w:rsidRPr="00F16EB7" w:rsidRDefault="00871D57" w:rsidP="00F16EB7">
            <w:pPr>
              <w:cnfStyle w:val="000000000000"/>
            </w:pPr>
            <w:r w:rsidRPr="00F16EB7">
              <w:t>27 751</w:t>
            </w:r>
          </w:p>
        </w:tc>
        <w:tc>
          <w:tcPr>
            <w:tcW w:w="1376" w:type="dxa"/>
            <w:noWrap/>
          </w:tcPr>
          <w:p w:rsidR="00871D57" w:rsidRPr="00F16EB7" w:rsidRDefault="00871D57" w:rsidP="00F16EB7">
            <w:pPr>
              <w:cnfStyle w:val="000000000000"/>
            </w:pPr>
            <w:r w:rsidRPr="00F16EB7">
              <w:t>56 290</w:t>
            </w:r>
          </w:p>
        </w:tc>
      </w:tr>
      <w:tr w:rsidR="00871D57" w:rsidRPr="00F16EB7" w:rsidTr="00665BC5">
        <w:trPr>
          <w:trHeight w:val="300"/>
        </w:trPr>
        <w:tc>
          <w:tcPr>
            <w:cnfStyle w:val="001000000000"/>
            <w:tcW w:w="3394" w:type="dxa"/>
            <w:noWrap/>
          </w:tcPr>
          <w:p w:rsidR="00871D57" w:rsidRPr="00F16EB7" w:rsidRDefault="00871D57" w:rsidP="00F16EB7">
            <w:r w:rsidRPr="00F16EB7">
              <w:t>Германия</w:t>
            </w:r>
          </w:p>
        </w:tc>
        <w:tc>
          <w:tcPr>
            <w:tcW w:w="1620" w:type="dxa"/>
            <w:noWrap/>
          </w:tcPr>
          <w:p w:rsidR="00871D57" w:rsidRPr="00F16EB7" w:rsidRDefault="00871D57" w:rsidP="00F16EB7">
            <w:pPr>
              <w:cnfStyle w:val="000000000000"/>
            </w:pPr>
            <w:r w:rsidRPr="00F16EB7">
              <w:t>25 720</w:t>
            </w:r>
          </w:p>
        </w:tc>
        <w:tc>
          <w:tcPr>
            <w:tcW w:w="1260" w:type="dxa"/>
            <w:noWrap/>
          </w:tcPr>
          <w:p w:rsidR="00871D57" w:rsidRPr="00F16EB7" w:rsidRDefault="00871D57" w:rsidP="00F16EB7">
            <w:pPr>
              <w:cnfStyle w:val="000000000000"/>
            </w:pPr>
            <w:r w:rsidRPr="00F16EB7">
              <w:t>22 722</w:t>
            </w:r>
          </w:p>
        </w:tc>
        <w:tc>
          <w:tcPr>
            <w:tcW w:w="1376" w:type="dxa"/>
            <w:noWrap/>
          </w:tcPr>
          <w:p w:rsidR="00871D57" w:rsidRPr="00F16EB7" w:rsidRDefault="00871D57" w:rsidP="00F16EB7">
            <w:pPr>
              <w:cnfStyle w:val="000000000000"/>
            </w:pPr>
            <w:r w:rsidRPr="00F16EB7">
              <w:t>48 442</w:t>
            </w:r>
          </w:p>
        </w:tc>
      </w:tr>
      <w:tr w:rsidR="00871D57" w:rsidRPr="00F16EB7" w:rsidTr="00665BC5">
        <w:trPr>
          <w:trHeight w:val="300"/>
        </w:trPr>
        <w:tc>
          <w:tcPr>
            <w:cnfStyle w:val="001000000000"/>
            <w:tcW w:w="3394" w:type="dxa"/>
            <w:noWrap/>
          </w:tcPr>
          <w:p w:rsidR="00871D57" w:rsidRPr="00F16EB7" w:rsidRDefault="00871D57" w:rsidP="00F16EB7">
            <w:r w:rsidRPr="00F16EB7">
              <w:t>Дания</w:t>
            </w:r>
          </w:p>
        </w:tc>
        <w:tc>
          <w:tcPr>
            <w:tcW w:w="1620" w:type="dxa"/>
            <w:noWrap/>
          </w:tcPr>
          <w:p w:rsidR="00871D57" w:rsidRPr="00F16EB7" w:rsidRDefault="00871D57" w:rsidP="00F16EB7">
            <w:pPr>
              <w:cnfStyle w:val="000000000000"/>
            </w:pPr>
            <w:r w:rsidRPr="00F16EB7">
              <w:t>20 944</w:t>
            </w:r>
          </w:p>
        </w:tc>
        <w:tc>
          <w:tcPr>
            <w:tcW w:w="1260" w:type="dxa"/>
            <w:noWrap/>
          </w:tcPr>
          <w:p w:rsidR="00871D57" w:rsidRPr="00F16EB7" w:rsidRDefault="00871D57" w:rsidP="00F16EB7">
            <w:pPr>
              <w:cnfStyle w:val="000000000000"/>
            </w:pPr>
            <w:r w:rsidRPr="00F16EB7">
              <w:t>24 007</w:t>
            </w:r>
          </w:p>
        </w:tc>
        <w:tc>
          <w:tcPr>
            <w:tcW w:w="1376" w:type="dxa"/>
            <w:noWrap/>
          </w:tcPr>
          <w:p w:rsidR="00871D57" w:rsidRPr="00F16EB7" w:rsidRDefault="00871D57" w:rsidP="00F16EB7">
            <w:pPr>
              <w:cnfStyle w:val="000000000000"/>
            </w:pPr>
            <w:r w:rsidRPr="00F16EB7">
              <w:t>44 951</w:t>
            </w:r>
          </w:p>
        </w:tc>
      </w:tr>
      <w:tr w:rsidR="00871D57" w:rsidRPr="00F16EB7" w:rsidTr="00665BC5">
        <w:trPr>
          <w:trHeight w:val="300"/>
        </w:trPr>
        <w:tc>
          <w:tcPr>
            <w:cnfStyle w:val="001000000000"/>
            <w:tcW w:w="3394" w:type="dxa"/>
            <w:noWrap/>
          </w:tcPr>
          <w:p w:rsidR="00871D57" w:rsidRPr="00F16EB7" w:rsidRDefault="00871D57" w:rsidP="00F16EB7">
            <w:r w:rsidRPr="00F16EB7">
              <w:t>Турция</w:t>
            </w:r>
          </w:p>
        </w:tc>
        <w:tc>
          <w:tcPr>
            <w:tcW w:w="1620" w:type="dxa"/>
            <w:noWrap/>
          </w:tcPr>
          <w:p w:rsidR="00871D57" w:rsidRPr="00F16EB7" w:rsidRDefault="00871D57" w:rsidP="00F16EB7">
            <w:pPr>
              <w:cnfStyle w:val="000000000000"/>
            </w:pPr>
            <w:r w:rsidRPr="00F16EB7">
              <w:t>19 727</w:t>
            </w:r>
          </w:p>
        </w:tc>
        <w:tc>
          <w:tcPr>
            <w:tcW w:w="1260" w:type="dxa"/>
            <w:noWrap/>
          </w:tcPr>
          <w:p w:rsidR="00871D57" w:rsidRPr="00F16EB7" w:rsidRDefault="00871D57" w:rsidP="00F16EB7">
            <w:pPr>
              <w:cnfStyle w:val="000000000000"/>
            </w:pPr>
            <w:r w:rsidRPr="00F16EB7">
              <w:t>24 182</w:t>
            </w:r>
          </w:p>
        </w:tc>
        <w:tc>
          <w:tcPr>
            <w:tcW w:w="1376" w:type="dxa"/>
            <w:noWrap/>
          </w:tcPr>
          <w:p w:rsidR="00871D57" w:rsidRPr="00F16EB7" w:rsidRDefault="00871D57" w:rsidP="00F16EB7">
            <w:pPr>
              <w:cnfStyle w:val="000000000000"/>
            </w:pPr>
            <w:r w:rsidRPr="00F16EB7">
              <w:t>43 909</w:t>
            </w:r>
          </w:p>
        </w:tc>
      </w:tr>
      <w:tr w:rsidR="00871D57" w:rsidRPr="00F16EB7" w:rsidTr="00665BC5">
        <w:trPr>
          <w:trHeight w:val="300"/>
        </w:trPr>
        <w:tc>
          <w:tcPr>
            <w:cnfStyle w:val="001000000000"/>
            <w:tcW w:w="3394" w:type="dxa"/>
            <w:noWrap/>
          </w:tcPr>
          <w:p w:rsidR="00871D57" w:rsidRPr="00F16EB7" w:rsidRDefault="00871D57" w:rsidP="00F16EB7">
            <w:r w:rsidRPr="00F16EB7">
              <w:t>Норвегия</w:t>
            </w:r>
          </w:p>
        </w:tc>
        <w:tc>
          <w:tcPr>
            <w:tcW w:w="1620" w:type="dxa"/>
            <w:noWrap/>
          </w:tcPr>
          <w:p w:rsidR="00871D57" w:rsidRPr="00F16EB7" w:rsidRDefault="00871D57" w:rsidP="00F16EB7">
            <w:pPr>
              <w:cnfStyle w:val="000000000000"/>
            </w:pPr>
            <w:r w:rsidRPr="00F16EB7">
              <w:t>24 154</w:t>
            </w:r>
          </w:p>
        </w:tc>
        <w:tc>
          <w:tcPr>
            <w:tcW w:w="1260" w:type="dxa"/>
            <w:noWrap/>
          </w:tcPr>
          <w:p w:rsidR="00871D57" w:rsidRPr="00F16EB7" w:rsidRDefault="00871D57" w:rsidP="00F16EB7">
            <w:pPr>
              <w:cnfStyle w:val="000000000000"/>
            </w:pPr>
            <w:r w:rsidRPr="00F16EB7">
              <w:t>18 904</w:t>
            </w:r>
          </w:p>
        </w:tc>
        <w:tc>
          <w:tcPr>
            <w:tcW w:w="1376" w:type="dxa"/>
            <w:noWrap/>
          </w:tcPr>
          <w:p w:rsidR="00871D57" w:rsidRPr="00F16EB7" w:rsidRDefault="00871D57" w:rsidP="00F16EB7">
            <w:pPr>
              <w:cnfStyle w:val="000000000000"/>
            </w:pPr>
            <w:r w:rsidRPr="00F16EB7">
              <w:t>43 058</w:t>
            </w:r>
          </w:p>
        </w:tc>
      </w:tr>
      <w:tr w:rsidR="00871D57" w:rsidRPr="00F16EB7" w:rsidTr="00665BC5">
        <w:trPr>
          <w:trHeight w:val="300"/>
        </w:trPr>
        <w:tc>
          <w:tcPr>
            <w:cnfStyle w:val="001000000000"/>
            <w:tcW w:w="3394" w:type="dxa"/>
            <w:noWrap/>
          </w:tcPr>
          <w:p w:rsidR="00871D57" w:rsidRPr="00F16EB7" w:rsidRDefault="00871D57" w:rsidP="00F16EB7">
            <w:r w:rsidRPr="00F16EB7">
              <w:t>Сомали</w:t>
            </w:r>
          </w:p>
        </w:tc>
        <w:tc>
          <w:tcPr>
            <w:tcW w:w="1620" w:type="dxa"/>
            <w:noWrap/>
          </w:tcPr>
          <w:p w:rsidR="00871D57" w:rsidRPr="00F16EB7" w:rsidRDefault="00871D57" w:rsidP="00F16EB7">
            <w:pPr>
              <w:cnfStyle w:val="000000000000"/>
            </w:pPr>
            <w:r w:rsidRPr="00F16EB7">
              <w:t>19 900</w:t>
            </w:r>
          </w:p>
        </w:tc>
        <w:tc>
          <w:tcPr>
            <w:tcW w:w="1260" w:type="dxa"/>
            <w:noWrap/>
          </w:tcPr>
          <w:p w:rsidR="00871D57" w:rsidRPr="00F16EB7" w:rsidRDefault="00871D57" w:rsidP="00F16EB7">
            <w:pPr>
              <w:cnfStyle w:val="000000000000"/>
            </w:pPr>
            <w:r w:rsidRPr="00F16EB7">
              <w:t>20 265</w:t>
            </w:r>
          </w:p>
        </w:tc>
        <w:tc>
          <w:tcPr>
            <w:tcW w:w="1376" w:type="dxa"/>
            <w:noWrap/>
          </w:tcPr>
          <w:p w:rsidR="00871D57" w:rsidRPr="00F16EB7" w:rsidRDefault="00871D57" w:rsidP="00F16EB7">
            <w:pPr>
              <w:cnfStyle w:val="000000000000"/>
            </w:pPr>
            <w:r w:rsidRPr="00F16EB7">
              <w:t>40 165</w:t>
            </w:r>
          </w:p>
        </w:tc>
      </w:tr>
      <w:tr w:rsidR="00871D57" w:rsidRPr="00F16EB7" w:rsidTr="00665BC5">
        <w:trPr>
          <w:trHeight w:val="300"/>
        </w:trPr>
        <w:tc>
          <w:tcPr>
            <w:cnfStyle w:val="001000000000"/>
            <w:tcW w:w="3394" w:type="dxa"/>
            <w:noWrap/>
          </w:tcPr>
          <w:p w:rsidR="00871D57" w:rsidRPr="00F16EB7" w:rsidRDefault="00871D57" w:rsidP="00F16EB7">
            <w:r w:rsidRPr="00F16EB7">
              <w:t>Таиланд</w:t>
            </w:r>
          </w:p>
        </w:tc>
        <w:tc>
          <w:tcPr>
            <w:tcW w:w="1620" w:type="dxa"/>
            <w:noWrap/>
          </w:tcPr>
          <w:p w:rsidR="00871D57" w:rsidRPr="00F16EB7" w:rsidRDefault="00871D57" w:rsidP="00F16EB7">
            <w:pPr>
              <w:cnfStyle w:val="000000000000"/>
            </w:pPr>
            <w:r w:rsidRPr="00F16EB7">
              <w:t>26 261</w:t>
            </w:r>
          </w:p>
        </w:tc>
        <w:tc>
          <w:tcPr>
            <w:tcW w:w="1260" w:type="dxa"/>
            <w:noWrap/>
          </w:tcPr>
          <w:p w:rsidR="00871D57" w:rsidRPr="00F16EB7" w:rsidRDefault="00871D57" w:rsidP="00F16EB7">
            <w:pPr>
              <w:cnfStyle w:val="000000000000"/>
            </w:pPr>
            <w:r w:rsidRPr="00F16EB7">
              <w:t>7 352</w:t>
            </w:r>
          </w:p>
        </w:tc>
        <w:tc>
          <w:tcPr>
            <w:tcW w:w="1376" w:type="dxa"/>
            <w:noWrap/>
          </w:tcPr>
          <w:p w:rsidR="00871D57" w:rsidRPr="00F16EB7" w:rsidRDefault="00871D57" w:rsidP="00F16EB7">
            <w:pPr>
              <w:cnfStyle w:val="000000000000"/>
            </w:pPr>
            <w:r w:rsidRPr="00F16EB7">
              <w:t>33 613</w:t>
            </w:r>
          </w:p>
        </w:tc>
      </w:tr>
      <w:tr w:rsidR="00871D57" w:rsidRPr="00F16EB7" w:rsidTr="00665BC5">
        <w:trPr>
          <w:trHeight w:val="300"/>
        </w:trPr>
        <w:tc>
          <w:tcPr>
            <w:cnfStyle w:val="001000000000"/>
            <w:tcW w:w="3394" w:type="dxa"/>
            <w:noWrap/>
          </w:tcPr>
          <w:p w:rsidR="00871D57" w:rsidRPr="00F16EB7" w:rsidRDefault="00871D57" w:rsidP="00F16EB7">
            <w:r w:rsidRPr="00F16EB7">
              <w:t>Чили</w:t>
            </w:r>
          </w:p>
        </w:tc>
        <w:tc>
          <w:tcPr>
            <w:tcW w:w="1620" w:type="dxa"/>
            <w:noWrap/>
          </w:tcPr>
          <w:p w:rsidR="00871D57" w:rsidRPr="00F16EB7" w:rsidRDefault="00871D57" w:rsidP="00F16EB7">
            <w:pPr>
              <w:cnfStyle w:val="000000000000"/>
            </w:pPr>
            <w:r w:rsidRPr="00F16EB7">
              <w:t>14 076</w:t>
            </w:r>
          </w:p>
        </w:tc>
        <w:tc>
          <w:tcPr>
            <w:tcW w:w="1260" w:type="dxa"/>
            <w:noWrap/>
          </w:tcPr>
          <w:p w:rsidR="00871D57" w:rsidRPr="00F16EB7" w:rsidRDefault="00871D57" w:rsidP="00F16EB7">
            <w:pPr>
              <w:cnfStyle w:val="000000000000"/>
            </w:pPr>
            <w:r w:rsidRPr="00F16EB7">
              <w:t>14 309</w:t>
            </w:r>
          </w:p>
        </w:tc>
        <w:tc>
          <w:tcPr>
            <w:tcW w:w="1376" w:type="dxa"/>
            <w:noWrap/>
          </w:tcPr>
          <w:p w:rsidR="00871D57" w:rsidRPr="00F16EB7" w:rsidRDefault="00871D57" w:rsidP="00F16EB7">
            <w:pPr>
              <w:cnfStyle w:val="000000000000"/>
            </w:pPr>
            <w:r w:rsidRPr="00F16EB7">
              <w:t>28 385</w:t>
            </w:r>
          </w:p>
        </w:tc>
      </w:tr>
      <w:tr w:rsidR="00871D57" w:rsidRPr="00F16EB7" w:rsidTr="00665BC5">
        <w:trPr>
          <w:trHeight w:val="300"/>
        </w:trPr>
        <w:tc>
          <w:tcPr>
            <w:cnfStyle w:val="001000000000"/>
            <w:tcW w:w="3394" w:type="dxa"/>
            <w:noWrap/>
          </w:tcPr>
          <w:p w:rsidR="00871D57" w:rsidRPr="00F16EB7" w:rsidRDefault="00871D57" w:rsidP="00F16EB7">
            <w:r w:rsidRPr="00F16EB7">
              <w:t>Китай</w:t>
            </w:r>
          </w:p>
        </w:tc>
        <w:tc>
          <w:tcPr>
            <w:tcW w:w="1620" w:type="dxa"/>
            <w:noWrap/>
          </w:tcPr>
          <w:p w:rsidR="00871D57" w:rsidRPr="00F16EB7" w:rsidRDefault="00871D57" w:rsidP="00F16EB7">
            <w:pPr>
              <w:cnfStyle w:val="000000000000"/>
            </w:pPr>
            <w:r w:rsidRPr="00F16EB7">
              <w:t>15 502</w:t>
            </w:r>
          </w:p>
        </w:tc>
        <w:tc>
          <w:tcPr>
            <w:tcW w:w="1260" w:type="dxa"/>
            <w:noWrap/>
          </w:tcPr>
          <w:p w:rsidR="00871D57" w:rsidRPr="00F16EB7" w:rsidRDefault="00871D57" w:rsidP="00F16EB7">
            <w:pPr>
              <w:cnfStyle w:val="000000000000"/>
            </w:pPr>
            <w:r w:rsidRPr="00F16EB7">
              <w:t>10 155</w:t>
            </w:r>
          </w:p>
        </w:tc>
        <w:tc>
          <w:tcPr>
            <w:tcW w:w="1376" w:type="dxa"/>
            <w:noWrap/>
          </w:tcPr>
          <w:p w:rsidR="00871D57" w:rsidRPr="00F16EB7" w:rsidRDefault="00871D57" w:rsidP="00F16EB7">
            <w:pPr>
              <w:cnfStyle w:val="000000000000"/>
            </w:pPr>
            <w:r w:rsidRPr="00F16EB7">
              <w:t>25 657</w:t>
            </w:r>
          </w:p>
        </w:tc>
      </w:tr>
      <w:tr w:rsidR="00871D57" w:rsidRPr="00F16EB7" w:rsidTr="00665BC5">
        <w:trPr>
          <w:trHeight w:val="300"/>
        </w:trPr>
        <w:tc>
          <w:tcPr>
            <w:cnfStyle w:val="001000000000"/>
            <w:tcW w:w="3394" w:type="dxa"/>
            <w:noWrap/>
          </w:tcPr>
          <w:p w:rsidR="00871D57" w:rsidRPr="00F16EB7" w:rsidRDefault="00871D57" w:rsidP="00F16EB7">
            <w:r w:rsidRPr="00F16EB7">
              <w:t>Ливан</w:t>
            </w:r>
          </w:p>
        </w:tc>
        <w:tc>
          <w:tcPr>
            <w:tcW w:w="1620" w:type="dxa"/>
            <w:noWrap/>
          </w:tcPr>
          <w:p w:rsidR="00871D57" w:rsidRPr="00F16EB7" w:rsidRDefault="00871D57" w:rsidP="00F16EB7">
            <w:pPr>
              <w:cnfStyle w:val="000000000000"/>
            </w:pPr>
            <w:r w:rsidRPr="00F16EB7">
              <w:t>10 851</w:t>
            </w:r>
          </w:p>
        </w:tc>
        <w:tc>
          <w:tcPr>
            <w:tcW w:w="1260" w:type="dxa"/>
            <w:noWrap/>
          </w:tcPr>
          <w:p w:rsidR="00871D57" w:rsidRPr="00F16EB7" w:rsidRDefault="00871D57" w:rsidP="00F16EB7">
            <w:pPr>
              <w:cnfStyle w:val="000000000000"/>
            </w:pPr>
            <w:r w:rsidRPr="00F16EB7">
              <w:t>13 543</w:t>
            </w:r>
          </w:p>
        </w:tc>
        <w:tc>
          <w:tcPr>
            <w:tcW w:w="1376" w:type="dxa"/>
            <w:noWrap/>
          </w:tcPr>
          <w:p w:rsidR="00871D57" w:rsidRPr="00F16EB7" w:rsidRDefault="00871D57" w:rsidP="00F16EB7">
            <w:pPr>
              <w:cnfStyle w:val="000000000000"/>
            </w:pPr>
            <w:r w:rsidRPr="00F16EB7">
              <w:t>24 394</w:t>
            </w:r>
          </w:p>
        </w:tc>
      </w:tr>
      <w:tr w:rsidR="00871D57" w:rsidRPr="00F16EB7" w:rsidTr="00665BC5">
        <w:trPr>
          <w:trHeight w:val="300"/>
        </w:trPr>
        <w:tc>
          <w:tcPr>
            <w:cnfStyle w:val="001000000000"/>
            <w:tcW w:w="3394" w:type="dxa"/>
            <w:noWrap/>
          </w:tcPr>
          <w:p w:rsidR="00871D57" w:rsidRPr="00F16EB7" w:rsidRDefault="00871D57" w:rsidP="00F16EB7">
            <w:r w:rsidRPr="00F16EB7">
              <w:t>Сирия</w:t>
            </w:r>
          </w:p>
        </w:tc>
        <w:tc>
          <w:tcPr>
            <w:tcW w:w="1620" w:type="dxa"/>
            <w:noWrap/>
          </w:tcPr>
          <w:p w:rsidR="00871D57" w:rsidRPr="00F16EB7" w:rsidRDefault="00871D57" w:rsidP="00F16EB7">
            <w:pPr>
              <w:cnfStyle w:val="000000000000"/>
            </w:pPr>
            <w:r w:rsidRPr="00F16EB7">
              <w:t>10 850</w:t>
            </w:r>
          </w:p>
        </w:tc>
        <w:tc>
          <w:tcPr>
            <w:tcW w:w="1260" w:type="dxa"/>
            <w:noWrap/>
          </w:tcPr>
          <w:p w:rsidR="00871D57" w:rsidRPr="00F16EB7" w:rsidRDefault="00871D57" w:rsidP="00F16EB7">
            <w:pPr>
              <w:cnfStyle w:val="000000000000"/>
            </w:pPr>
            <w:r w:rsidRPr="00F16EB7">
              <w:t>11 507</w:t>
            </w:r>
          </w:p>
        </w:tc>
        <w:tc>
          <w:tcPr>
            <w:tcW w:w="1376" w:type="dxa"/>
            <w:noWrap/>
          </w:tcPr>
          <w:p w:rsidR="00871D57" w:rsidRPr="00F16EB7" w:rsidRDefault="00871D57" w:rsidP="00F16EB7">
            <w:pPr>
              <w:cnfStyle w:val="000000000000"/>
            </w:pPr>
            <w:r w:rsidRPr="00F16EB7">
              <w:t>22 357</w:t>
            </w:r>
          </w:p>
        </w:tc>
      </w:tr>
      <w:tr w:rsidR="00871D57" w:rsidRPr="00F16EB7" w:rsidTr="00665BC5">
        <w:trPr>
          <w:trHeight w:val="300"/>
        </w:trPr>
        <w:tc>
          <w:tcPr>
            <w:cnfStyle w:val="001000000000"/>
            <w:tcW w:w="3394" w:type="dxa"/>
            <w:noWrap/>
          </w:tcPr>
          <w:p w:rsidR="00871D57" w:rsidRPr="00F16EB7" w:rsidRDefault="00871D57" w:rsidP="00F16EB7">
            <w:r w:rsidRPr="00F16EB7">
              <w:t>Соединенное Королевство</w:t>
            </w:r>
          </w:p>
        </w:tc>
        <w:tc>
          <w:tcPr>
            <w:tcW w:w="1620" w:type="dxa"/>
            <w:noWrap/>
          </w:tcPr>
          <w:p w:rsidR="00871D57" w:rsidRPr="00F16EB7" w:rsidRDefault="00871D57" w:rsidP="00F16EB7">
            <w:pPr>
              <w:cnfStyle w:val="000000000000"/>
            </w:pPr>
            <w:r w:rsidRPr="00F16EB7">
              <w:t>7 391</w:t>
            </w:r>
          </w:p>
        </w:tc>
        <w:tc>
          <w:tcPr>
            <w:tcW w:w="1260" w:type="dxa"/>
            <w:noWrap/>
          </w:tcPr>
          <w:p w:rsidR="00871D57" w:rsidRPr="00F16EB7" w:rsidRDefault="00871D57" w:rsidP="00F16EB7">
            <w:pPr>
              <w:cnfStyle w:val="000000000000"/>
            </w:pPr>
            <w:r w:rsidRPr="00F16EB7">
              <w:t>14 492</w:t>
            </w:r>
          </w:p>
        </w:tc>
        <w:tc>
          <w:tcPr>
            <w:tcW w:w="1376" w:type="dxa"/>
            <w:noWrap/>
          </w:tcPr>
          <w:p w:rsidR="00871D57" w:rsidRPr="00F16EB7" w:rsidRDefault="00871D57" w:rsidP="00F16EB7">
            <w:pPr>
              <w:cnfStyle w:val="000000000000"/>
            </w:pPr>
            <w:r w:rsidRPr="00F16EB7">
              <w:t>21 883</w:t>
            </w:r>
          </w:p>
        </w:tc>
      </w:tr>
      <w:tr w:rsidR="00871D57" w:rsidRPr="00F16EB7" w:rsidTr="00665BC5">
        <w:trPr>
          <w:trHeight w:val="300"/>
        </w:trPr>
        <w:tc>
          <w:tcPr>
            <w:cnfStyle w:val="001000000000"/>
            <w:tcW w:w="3394" w:type="dxa"/>
            <w:noWrap/>
          </w:tcPr>
          <w:p w:rsidR="00871D57" w:rsidRPr="00F16EB7" w:rsidRDefault="00871D57" w:rsidP="00F16EB7">
            <w:r w:rsidRPr="00F16EB7">
              <w:t>Румыния</w:t>
            </w:r>
          </w:p>
        </w:tc>
        <w:tc>
          <w:tcPr>
            <w:tcW w:w="1620" w:type="dxa"/>
            <w:noWrap/>
          </w:tcPr>
          <w:p w:rsidR="00871D57" w:rsidRPr="00F16EB7" w:rsidRDefault="00871D57" w:rsidP="00F16EB7">
            <w:pPr>
              <w:cnfStyle w:val="000000000000"/>
            </w:pPr>
            <w:r w:rsidRPr="00F16EB7">
              <w:t>10 912</w:t>
            </w:r>
          </w:p>
        </w:tc>
        <w:tc>
          <w:tcPr>
            <w:tcW w:w="1260" w:type="dxa"/>
            <w:noWrap/>
          </w:tcPr>
          <w:p w:rsidR="00871D57" w:rsidRPr="00F16EB7" w:rsidRDefault="00871D57" w:rsidP="00F16EB7">
            <w:pPr>
              <w:cnfStyle w:val="000000000000"/>
            </w:pPr>
            <w:r w:rsidRPr="00F16EB7">
              <w:t>10 104</w:t>
            </w:r>
          </w:p>
        </w:tc>
        <w:tc>
          <w:tcPr>
            <w:tcW w:w="1376" w:type="dxa"/>
            <w:noWrap/>
          </w:tcPr>
          <w:p w:rsidR="00871D57" w:rsidRPr="00F16EB7" w:rsidRDefault="00871D57" w:rsidP="00F16EB7">
            <w:pPr>
              <w:cnfStyle w:val="000000000000"/>
            </w:pPr>
            <w:r w:rsidRPr="00F16EB7">
              <w:t>21 016</w:t>
            </w:r>
          </w:p>
        </w:tc>
      </w:tr>
      <w:tr w:rsidR="00871D57" w:rsidRPr="00F16EB7" w:rsidTr="00665BC5">
        <w:trPr>
          <w:trHeight w:val="300"/>
        </w:trPr>
        <w:tc>
          <w:tcPr>
            <w:cnfStyle w:val="001000000000"/>
            <w:tcW w:w="3394" w:type="dxa"/>
            <w:noWrap/>
          </w:tcPr>
          <w:p w:rsidR="00871D57" w:rsidRPr="00F16EB7" w:rsidRDefault="00871D57" w:rsidP="00F16EB7">
            <w:r w:rsidRPr="00F16EB7">
              <w:t>Индия</w:t>
            </w:r>
          </w:p>
        </w:tc>
        <w:tc>
          <w:tcPr>
            <w:tcW w:w="1620" w:type="dxa"/>
            <w:noWrap/>
          </w:tcPr>
          <w:p w:rsidR="00871D57" w:rsidRPr="00F16EB7" w:rsidRDefault="00871D57" w:rsidP="00F16EB7">
            <w:pPr>
              <w:cnfStyle w:val="000000000000"/>
            </w:pPr>
            <w:r w:rsidRPr="00F16EB7">
              <w:t>9 146</w:t>
            </w:r>
          </w:p>
        </w:tc>
        <w:tc>
          <w:tcPr>
            <w:tcW w:w="1260" w:type="dxa"/>
            <w:noWrap/>
          </w:tcPr>
          <w:p w:rsidR="00871D57" w:rsidRPr="00F16EB7" w:rsidRDefault="00871D57" w:rsidP="00F16EB7">
            <w:pPr>
              <w:cnfStyle w:val="000000000000"/>
            </w:pPr>
            <w:r w:rsidRPr="00F16EB7">
              <w:t>9 476</w:t>
            </w:r>
          </w:p>
        </w:tc>
        <w:tc>
          <w:tcPr>
            <w:tcW w:w="1376" w:type="dxa"/>
            <w:noWrap/>
          </w:tcPr>
          <w:p w:rsidR="00871D57" w:rsidRPr="00F16EB7" w:rsidRDefault="00871D57" w:rsidP="00F16EB7">
            <w:pPr>
              <w:cnfStyle w:val="000000000000"/>
            </w:pPr>
            <w:r w:rsidRPr="00F16EB7">
              <w:t>18 622</w:t>
            </w:r>
          </w:p>
        </w:tc>
      </w:tr>
      <w:tr w:rsidR="00871D57" w:rsidRPr="00F16EB7" w:rsidTr="00665BC5">
        <w:trPr>
          <w:trHeight w:val="300"/>
        </w:trPr>
        <w:tc>
          <w:tcPr>
            <w:cnfStyle w:val="001000000000"/>
            <w:tcW w:w="3394" w:type="dxa"/>
            <w:noWrap/>
          </w:tcPr>
          <w:p w:rsidR="00871D57" w:rsidRPr="00F16EB7" w:rsidRDefault="00871D57" w:rsidP="00F16EB7">
            <w:r w:rsidRPr="00F16EB7">
              <w:t>Соединенные Штаты</w:t>
            </w:r>
          </w:p>
        </w:tc>
        <w:tc>
          <w:tcPr>
            <w:tcW w:w="1620" w:type="dxa"/>
            <w:noWrap/>
          </w:tcPr>
          <w:p w:rsidR="00871D57" w:rsidRPr="00F16EB7" w:rsidRDefault="00871D57" w:rsidP="00F16EB7">
            <w:pPr>
              <w:cnfStyle w:val="000000000000"/>
            </w:pPr>
            <w:r w:rsidRPr="00F16EB7">
              <w:t>8 415</w:t>
            </w:r>
          </w:p>
        </w:tc>
        <w:tc>
          <w:tcPr>
            <w:tcW w:w="1260" w:type="dxa"/>
            <w:noWrap/>
          </w:tcPr>
          <w:p w:rsidR="00871D57" w:rsidRPr="00F16EB7" w:rsidRDefault="00871D57" w:rsidP="00F16EB7">
            <w:pPr>
              <w:cnfStyle w:val="000000000000"/>
            </w:pPr>
            <w:r w:rsidRPr="00F16EB7">
              <w:t>9 340</w:t>
            </w:r>
          </w:p>
        </w:tc>
        <w:tc>
          <w:tcPr>
            <w:tcW w:w="1376" w:type="dxa"/>
            <w:noWrap/>
          </w:tcPr>
          <w:p w:rsidR="00871D57" w:rsidRPr="00F16EB7" w:rsidRDefault="00871D57" w:rsidP="00F16EB7">
            <w:pPr>
              <w:cnfStyle w:val="000000000000"/>
            </w:pPr>
            <w:r w:rsidRPr="00F16EB7">
              <w:t>17 755</w:t>
            </w:r>
          </w:p>
        </w:tc>
      </w:tr>
    </w:tbl>
    <w:p w:rsidR="00871D57" w:rsidRPr="00635822" w:rsidRDefault="00871D57" w:rsidP="00635822">
      <w:pPr>
        <w:pStyle w:val="SingleTxtGR"/>
        <w:spacing w:before="120" w:line="220" w:lineRule="exact"/>
        <w:ind w:firstLine="125"/>
        <w:rPr>
          <w:i/>
          <w:sz w:val="18"/>
          <w:szCs w:val="18"/>
        </w:rPr>
      </w:pPr>
      <w:r w:rsidRPr="00635822">
        <w:rPr>
          <w:i/>
          <w:sz w:val="18"/>
          <w:szCs w:val="18"/>
        </w:rPr>
        <w:t>Источник:</w:t>
      </w:r>
      <w:r w:rsidRPr="00F16EB7">
        <w:rPr>
          <w:sz w:val="18"/>
          <w:szCs w:val="18"/>
        </w:rPr>
        <w:t xml:space="preserve"> Статистическое управление Швеции.</w:t>
      </w:r>
    </w:p>
    <w:p w:rsidR="00871D57" w:rsidRPr="00F672DD" w:rsidRDefault="00F16EB7" w:rsidP="00871D57">
      <w:pPr>
        <w:pStyle w:val="SingleTxtGR"/>
      </w:pPr>
      <w:r>
        <w:t>4.</w:t>
      </w:r>
      <w:r>
        <w:tab/>
      </w:r>
      <w:r w:rsidR="00871D57" w:rsidRPr="00F672DD">
        <w:t>Швеция не ведет официального статистического учета населения в ра</w:t>
      </w:r>
      <w:r w:rsidR="00871D57" w:rsidRPr="00F672DD">
        <w:t>з</w:t>
      </w:r>
      <w:r w:rsidR="00871D57" w:rsidRPr="00F672DD">
        <w:t>бивке по этническому признаку. В соответствии с Законом о личных данных (1998:204) передача личных данных, раскрывающих расовую принадлежность, этническое происхождение или вероисповедание, запрещена. Поэтому в н</w:t>
      </w:r>
      <w:r w:rsidR="00871D57" w:rsidRPr="00F672DD">
        <w:t>а</w:t>
      </w:r>
      <w:r w:rsidR="00871D57" w:rsidRPr="00F672DD">
        <w:t>стоящее время Швеция не может представить полной статистической информ</w:t>
      </w:r>
      <w:r w:rsidR="00871D57" w:rsidRPr="00F672DD">
        <w:t>а</w:t>
      </w:r>
      <w:r w:rsidR="00871D57" w:rsidRPr="00F672DD">
        <w:t>ции, касающейся, например, национальных меньшинств. Имеющиеся статист</w:t>
      </w:r>
      <w:r w:rsidR="00871D57" w:rsidRPr="00F672DD">
        <w:t>и</w:t>
      </w:r>
      <w:r w:rsidR="00871D57" w:rsidRPr="00F672DD">
        <w:t>ческие данные дают представление лишь о гражданстве и странах происхожд</w:t>
      </w:r>
      <w:r w:rsidR="00871D57" w:rsidRPr="00F672DD">
        <w:t>е</w:t>
      </w:r>
      <w:r w:rsidR="00871D57" w:rsidRPr="00F672DD">
        <w:t>ния ее жителей.</w:t>
      </w:r>
    </w:p>
    <w:p w:rsidR="00871D57" w:rsidRPr="00F672DD" w:rsidRDefault="00F16EB7" w:rsidP="00871D57">
      <w:pPr>
        <w:pStyle w:val="SingleTxtGR"/>
      </w:pPr>
      <w:r>
        <w:t>5.</w:t>
      </w:r>
      <w:r>
        <w:tab/>
      </w:r>
      <w:r w:rsidR="00871D57" w:rsidRPr="00F672DD">
        <w:t>Правительство поручило Омбудсмену по вопросам равенства провести предварительное исследование, посвященное методам определения состава н</w:t>
      </w:r>
      <w:r w:rsidR="00871D57" w:rsidRPr="00F672DD">
        <w:t>а</w:t>
      </w:r>
      <w:r w:rsidR="00871D57" w:rsidRPr="00F672DD">
        <w:t>селения и оценки условий жизни. Предполагается, что Омбудсмен по вопросам равенства в консультации со Статистическим управлением Швеции, Наци</w:t>
      </w:r>
      <w:r w:rsidR="00871D57" w:rsidRPr="00F672DD">
        <w:t>о</w:t>
      </w:r>
      <w:r w:rsidR="00871D57" w:rsidRPr="00F672DD">
        <w:t>нальным институтом здравоохранения и Комиссией по проверке данных изучит в</w:t>
      </w:r>
      <w:r w:rsidR="00871D57" w:rsidRPr="00F672DD">
        <w:t>о</w:t>
      </w:r>
      <w:r w:rsidR="00871D57" w:rsidRPr="00F672DD">
        <w:t>прос о том, какие методы можно было бы использовать для сбора данных об условиях жизни населения, включая данные о примерной численности лиц, о</w:t>
      </w:r>
      <w:r w:rsidR="00871D57" w:rsidRPr="00F672DD">
        <w:t>т</w:t>
      </w:r>
      <w:r w:rsidR="00871D57" w:rsidRPr="00F672DD">
        <w:t>носящих себя к национальным меньшинствам, с тем чтобы иметь возможность представлять информацию о дискриминации по различным признакам, пер</w:t>
      </w:r>
      <w:r w:rsidR="00871D57" w:rsidRPr="00F672DD">
        <w:t>е</w:t>
      </w:r>
      <w:r w:rsidR="00871D57" w:rsidRPr="00F672DD">
        <w:t>численным в Законе о дискриминации (2008:567), которая сейчас не собирается и не публ</w:t>
      </w:r>
      <w:r w:rsidR="00871D57" w:rsidRPr="00F672DD">
        <w:t>и</w:t>
      </w:r>
      <w:r w:rsidR="00871D57" w:rsidRPr="00F672DD">
        <w:t>куется в рамках официальной статистики. Омбудсмену по вопросам равенства надлежит также изучить вопрос о том, какие из данных, касающихся состава населения и условий жизни, имеются в настоящее время, и составить "инвентарный перечень" методов, которые можно было бы использовать для сбора таких данных без ущерба для анонимности и неприкосновенности ли</w:t>
      </w:r>
      <w:r w:rsidR="00871D57" w:rsidRPr="00F672DD">
        <w:t>ч</w:t>
      </w:r>
      <w:r w:rsidR="00871D57" w:rsidRPr="00F672DD">
        <w:t>ной жизни соответствующих лиц, а также уточнить юридические основания для использ</w:t>
      </w:r>
      <w:r w:rsidR="00871D57" w:rsidRPr="00F672DD">
        <w:t>о</w:t>
      </w:r>
      <w:r w:rsidR="00871D57" w:rsidRPr="00F672DD">
        <w:t>вания таких методов и, сопоставив различные методы, рекомендовать метод или методы, представляющиеся наиболее подходящими для проведения более всеобъемлющего исследования по вопросу о составе населения и услов</w:t>
      </w:r>
      <w:r w:rsidR="00871D57" w:rsidRPr="00F672DD">
        <w:t>и</w:t>
      </w:r>
      <w:r w:rsidR="00871D57" w:rsidRPr="00F672DD">
        <w:t>ях жизни, если будет принято соответствующее решение.</w:t>
      </w:r>
    </w:p>
    <w:p w:rsidR="00871D57" w:rsidRPr="00F672DD" w:rsidRDefault="00F16EB7" w:rsidP="00871D57">
      <w:pPr>
        <w:pStyle w:val="SingleTxtGR"/>
      </w:pPr>
      <w:r>
        <w:t>6.</w:t>
      </w:r>
      <w:r>
        <w:tab/>
      </w:r>
      <w:r w:rsidR="00871D57" w:rsidRPr="00F672DD">
        <w:t>В Швеции ведется статистический учет учащихся, имеющих право на обуч</w:t>
      </w:r>
      <w:r w:rsidR="00871D57" w:rsidRPr="00F672DD">
        <w:t>е</w:t>
      </w:r>
      <w:r w:rsidR="00871D57" w:rsidRPr="00F672DD">
        <w:t>ние на родном языке. В 2011/12 учебном году такое право имели в общей сложности 183</w:t>
      </w:r>
      <w:r w:rsidR="000557E5" w:rsidRPr="000557E5">
        <w:t xml:space="preserve"> </w:t>
      </w:r>
      <w:r w:rsidR="00871D57" w:rsidRPr="00F672DD">
        <w:t>676 учащихся, охваченных системой обязательного школьного образования (или 20,7</w:t>
      </w:r>
      <w:r w:rsidR="00FD6BA6">
        <w:t>%</w:t>
      </w:r>
      <w:r w:rsidR="00871D57" w:rsidRPr="00F672DD">
        <w:t xml:space="preserve"> от общего числа таких учащихся). Из них этим правом пользовались 100</w:t>
      </w:r>
      <w:r w:rsidR="000557E5" w:rsidRPr="000557E5">
        <w:t xml:space="preserve"> </w:t>
      </w:r>
      <w:r w:rsidR="00871D57" w:rsidRPr="00F672DD">
        <w:t>410 учащихся (или 54,7</w:t>
      </w:r>
      <w:r w:rsidR="00FD6BA6">
        <w:t>%</w:t>
      </w:r>
      <w:r w:rsidR="00871D57" w:rsidRPr="00F672DD">
        <w:t>). Тот факт, что на родном языке обучались не все учащиеся, имеющие право на такое обучение, объясняется л</w:t>
      </w:r>
      <w:r w:rsidR="00871D57" w:rsidRPr="00F672DD">
        <w:t>и</w:t>
      </w:r>
      <w:r w:rsidR="00871D57" w:rsidRPr="00F672DD">
        <w:t>бо тем, что муниципальные органы не обязаны обеспечивать обучение на ро</w:t>
      </w:r>
      <w:r w:rsidR="00871D57" w:rsidRPr="00F672DD">
        <w:t>д</w:t>
      </w:r>
      <w:r w:rsidR="00871D57" w:rsidRPr="00F672DD">
        <w:t>ном языке, если на этом языке пожелало обучаться менее пяти учащихся (что, однако, не касается языков национальных меньшинств), либо тем, что не уд</w:t>
      </w:r>
      <w:r w:rsidR="00871D57" w:rsidRPr="00F672DD">
        <w:t>а</w:t>
      </w:r>
      <w:r w:rsidR="00871D57" w:rsidRPr="00F672DD">
        <w:t>лось найти подходящего учителя, либо отсутствием у учащихся желания об</w:t>
      </w:r>
      <w:r w:rsidR="00871D57" w:rsidRPr="00F672DD">
        <w:t>у</w:t>
      </w:r>
      <w:r w:rsidR="00871D57" w:rsidRPr="00F672DD">
        <w:t>чаться на родном языке.</w:t>
      </w:r>
    </w:p>
    <w:p w:rsidR="00871D57" w:rsidRPr="00F672DD" w:rsidRDefault="00F16EB7" w:rsidP="00871D57">
      <w:pPr>
        <w:pStyle w:val="SingleTxtGR"/>
      </w:pPr>
      <w:r>
        <w:t>7.</w:t>
      </w:r>
      <w:r>
        <w:tab/>
      </w:r>
      <w:r w:rsidR="00871D57" w:rsidRPr="00F672DD">
        <w:t>Статистические данные о языках, на которых осуществляется обучение в</w:t>
      </w:r>
      <w:r w:rsidR="002E6163">
        <w:rPr>
          <w:lang w:val="en-US"/>
        </w:rPr>
        <w:t> </w:t>
      </w:r>
      <w:r w:rsidR="00871D57" w:rsidRPr="00F672DD">
        <w:t>учебных заведениях, охваченных системой обязательного школьного образ</w:t>
      </w:r>
      <w:r w:rsidR="00871D57" w:rsidRPr="00F672DD">
        <w:t>о</w:t>
      </w:r>
      <w:r w:rsidR="00871D57" w:rsidRPr="00F672DD">
        <w:t>вания, приводятся в табл</w:t>
      </w:r>
      <w:r w:rsidR="00871D57" w:rsidRPr="00F672DD">
        <w:t>и</w:t>
      </w:r>
      <w:r w:rsidR="00871D57" w:rsidRPr="00F672DD">
        <w:t>це ниже.</w:t>
      </w:r>
    </w:p>
    <w:p w:rsidR="00871D57" w:rsidRPr="00DC4F8C" w:rsidRDefault="00871D57" w:rsidP="006D2249">
      <w:pPr>
        <w:pStyle w:val="SingleTxtGR"/>
        <w:suppressAutoHyphens/>
        <w:jc w:val="left"/>
        <w:rPr>
          <w:sz w:val="16"/>
          <w:szCs w:val="16"/>
        </w:rPr>
      </w:pPr>
      <w:r w:rsidRPr="00F672DD">
        <w:t>Таблица 4</w:t>
      </w:r>
      <w:r w:rsidRPr="00F672DD">
        <w:br/>
      </w:r>
      <w:r w:rsidRPr="00F672DD">
        <w:rPr>
          <w:b/>
        </w:rPr>
        <w:t xml:space="preserve">Языки, на которых осуществляется обучение в учебных заведениях, охваченных системой обязательного школьного образования </w:t>
      </w:r>
      <w:r w:rsidR="00F16EB7">
        <w:rPr>
          <w:b/>
        </w:rPr>
        <w:br/>
      </w:r>
      <w:r w:rsidRPr="00DC4F8C">
        <w:rPr>
          <w:sz w:val="16"/>
          <w:szCs w:val="16"/>
        </w:rPr>
        <w:t>(2011/12</w:t>
      </w:r>
      <w:r w:rsidR="000557E5" w:rsidRPr="00DC4F8C">
        <w:rPr>
          <w:sz w:val="16"/>
          <w:szCs w:val="16"/>
        </w:rPr>
        <w:t xml:space="preserve"> </w:t>
      </w:r>
      <w:r w:rsidRPr="00DC4F8C">
        <w:rPr>
          <w:sz w:val="16"/>
          <w:szCs w:val="16"/>
        </w:rPr>
        <w:t>учебный год)</w:t>
      </w:r>
    </w:p>
    <w:tbl>
      <w:tblPr>
        <w:tblStyle w:val="TabNum"/>
        <w:tblW w:w="7370" w:type="dxa"/>
        <w:tblInd w:w="1134" w:type="dxa"/>
        <w:tblLook w:val="01E0"/>
      </w:tblPr>
      <w:tblGrid>
        <w:gridCol w:w="3155"/>
        <w:gridCol w:w="2235"/>
        <w:gridCol w:w="1980"/>
      </w:tblGrid>
      <w:tr w:rsidR="00871D57" w:rsidRPr="00F16EB7" w:rsidTr="00F16EB7">
        <w:trPr>
          <w:trHeight w:val="240"/>
          <w:tblHeader/>
        </w:trPr>
        <w:tc>
          <w:tcPr>
            <w:cnfStyle w:val="001000000000"/>
            <w:tcW w:w="3156" w:type="dxa"/>
            <w:tcBorders>
              <w:bottom w:val="single" w:sz="12" w:space="0" w:color="auto"/>
            </w:tcBorders>
            <w:shd w:val="clear" w:color="auto" w:fill="auto"/>
          </w:tcPr>
          <w:p w:rsidR="00871D57" w:rsidRPr="00F16EB7" w:rsidRDefault="00871D57" w:rsidP="00F16EB7">
            <w:pPr>
              <w:spacing w:before="80" w:after="80" w:line="200" w:lineRule="exact"/>
              <w:rPr>
                <w:i/>
                <w:sz w:val="16"/>
              </w:rPr>
            </w:pPr>
          </w:p>
        </w:tc>
        <w:tc>
          <w:tcPr>
            <w:tcW w:w="2239" w:type="dxa"/>
            <w:tcBorders>
              <w:top w:val="single" w:sz="4" w:space="0" w:color="auto"/>
              <w:bottom w:val="single" w:sz="12" w:space="0" w:color="auto"/>
            </w:tcBorders>
            <w:shd w:val="clear" w:color="auto" w:fill="auto"/>
          </w:tcPr>
          <w:p w:rsidR="00871D57" w:rsidRPr="00F16EB7" w:rsidRDefault="00871D57" w:rsidP="00F16EB7">
            <w:pPr>
              <w:spacing w:before="80" w:after="80" w:line="200" w:lineRule="exact"/>
              <w:cnfStyle w:val="000000000000"/>
              <w:rPr>
                <w:i/>
                <w:sz w:val="16"/>
              </w:rPr>
            </w:pPr>
            <w:r w:rsidRPr="00F16EB7">
              <w:rPr>
                <w:i/>
                <w:sz w:val="16"/>
              </w:rPr>
              <w:t>Число учащихся, име</w:t>
            </w:r>
            <w:r w:rsidRPr="00F16EB7">
              <w:rPr>
                <w:i/>
                <w:sz w:val="16"/>
              </w:rPr>
              <w:t>ю</w:t>
            </w:r>
            <w:r w:rsidRPr="00F16EB7">
              <w:rPr>
                <w:i/>
                <w:sz w:val="16"/>
              </w:rPr>
              <w:t>щих право на об</w:t>
            </w:r>
            <w:r w:rsidRPr="00F16EB7">
              <w:rPr>
                <w:i/>
                <w:sz w:val="16"/>
              </w:rPr>
              <w:t>у</w:t>
            </w:r>
            <w:r w:rsidRPr="00F16EB7">
              <w:rPr>
                <w:i/>
                <w:sz w:val="16"/>
              </w:rPr>
              <w:t xml:space="preserve">чение </w:t>
            </w:r>
            <w:r w:rsidRPr="00F16EB7">
              <w:rPr>
                <w:i/>
                <w:sz w:val="16"/>
              </w:rPr>
              <w:br/>
              <w:t>на родном языке</w:t>
            </w:r>
          </w:p>
        </w:tc>
        <w:tc>
          <w:tcPr>
            <w:tcW w:w="1984" w:type="dxa"/>
            <w:tcBorders>
              <w:top w:val="single" w:sz="4" w:space="0" w:color="auto"/>
              <w:bottom w:val="single" w:sz="12" w:space="0" w:color="auto"/>
            </w:tcBorders>
            <w:shd w:val="clear" w:color="auto" w:fill="auto"/>
          </w:tcPr>
          <w:p w:rsidR="00871D57" w:rsidRPr="00F16EB7" w:rsidRDefault="00871D57" w:rsidP="00F16EB7">
            <w:pPr>
              <w:spacing w:before="80" w:after="80" w:line="200" w:lineRule="exact"/>
              <w:cnfStyle w:val="000000000000"/>
              <w:rPr>
                <w:i/>
                <w:sz w:val="16"/>
              </w:rPr>
            </w:pPr>
            <w:r w:rsidRPr="00F16EB7">
              <w:rPr>
                <w:i/>
                <w:sz w:val="16"/>
              </w:rPr>
              <w:t>Число учащихся,</w:t>
            </w:r>
            <w:r w:rsidR="00F16EB7">
              <w:rPr>
                <w:i/>
                <w:sz w:val="16"/>
              </w:rPr>
              <w:br/>
            </w:r>
            <w:r w:rsidRPr="00F16EB7">
              <w:rPr>
                <w:i/>
                <w:sz w:val="16"/>
              </w:rPr>
              <w:t>об</w:t>
            </w:r>
            <w:r w:rsidRPr="00F16EB7">
              <w:rPr>
                <w:i/>
                <w:sz w:val="16"/>
              </w:rPr>
              <w:t>у</w:t>
            </w:r>
            <w:r w:rsidRPr="00F16EB7">
              <w:rPr>
                <w:i/>
                <w:sz w:val="16"/>
              </w:rPr>
              <w:t xml:space="preserve">чающихся </w:t>
            </w:r>
            <w:r w:rsidRPr="00F16EB7">
              <w:rPr>
                <w:i/>
                <w:sz w:val="16"/>
              </w:rPr>
              <w:br/>
              <w:t>на родном языке</w:t>
            </w:r>
          </w:p>
        </w:tc>
      </w:tr>
      <w:tr w:rsidR="00871D57" w:rsidRPr="00F16EB7" w:rsidTr="00F16EB7">
        <w:trPr>
          <w:trHeight w:val="240"/>
        </w:trPr>
        <w:tc>
          <w:tcPr>
            <w:cnfStyle w:val="001000000000"/>
            <w:tcW w:w="3156" w:type="dxa"/>
            <w:tcBorders>
              <w:top w:val="single" w:sz="12" w:space="0" w:color="auto"/>
            </w:tcBorders>
          </w:tcPr>
          <w:p w:rsidR="00871D57" w:rsidRPr="00F16EB7" w:rsidRDefault="00871D57" w:rsidP="00F16EB7">
            <w:r w:rsidRPr="00F16EB7">
              <w:t>Арабский</w:t>
            </w:r>
          </w:p>
        </w:tc>
        <w:tc>
          <w:tcPr>
            <w:tcW w:w="2239" w:type="dxa"/>
            <w:tcBorders>
              <w:top w:val="single" w:sz="12" w:space="0" w:color="auto"/>
            </w:tcBorders>
          </w:tcPr>
          <w:p w:rsidR="00871D57" w:rsidRPr="00F16EB7" w:rsidRDefault="00871D57" w:rsidP="00F16EB7">
            <w:pPr>
              <w:cnfStyle w:val="000000000000"/>
            </w:pPr>
            <w:r w:rsidRPr="00F16EB7">
              <w:t>33 037</w:t>
            </w:r>
          </w:p>
        </w:tc>
        <w:tc>
          <w:tcPr>
            <w:tcW w:w="1984" w:type="dxa"/>
            <w:tcBorders>
              <w:top w:val="single" w:sz="12" w:space="0" w:color="auto"/>
            </w:tcBorders>
          </w:tcPr>
          <w:p w:rsidR="00871D57" w:rsidRPr="00F16EB7" w:rsidRDefault="00871D57" w:rsidP="00F16EB7">
            <w:pPr>
              <w:cnfStyle w:val="000000000000"/>
            </w:pPr>
            <w:r w:rsidRPr="00F16EB7">
              <w:t>22 390</w:t>
            </w:r>
          </w:p>
        </w:tc>
      </w:tr>
      <w:tr w:rsidR="00871D57" w:rsidRPr="00F16EB7" w:rsidTr="00F16EB7">
        <w:trPr>
          <w:trHeight w:val="240"/>
        </w:trPr>
        <w:tc>
          <w:tcPr>
            <w:cnfStyle w:val="001000000000"/>
            <w:tcW w:w="3156" w:type="dxa"/>
          </w:tcPr>
          <w:p w:rsidR="00871D57" w:rsidRPr="00F16EB7" w:rsidRDefault="00871D57" w:rsidP="00F16EB7">
            <w:r w:rsidRPr="00F16EB7">
              <w:t>Сомалийский</w:t>
            </w:r>
          </w:p>
        </w:tc>
        <w:tc>
          <w:tcPr>
            <w:tcW w:w="2239" w:type="dxa"/>
            <w:tcBorders>
              <w:bottom w:val="nil"/>
            </w:tcBorders>
          </w:tcPr>
          <w:p w:rsidR="00871D57" w:rsidRPr="00F16EB7" w:rsidRDefault="00871D57" w:rsidP="00F16EB7">
            <w:pPr>
              <w:cnfStyle w:val="000000000000"/>
            </w:pPr>
            <w:r w:rsidRPr="00F16EB7">
              <w:t>10 206</w:t>
            </w:r>
          </w:p>
        </w:tc>
        <w:tc>
          <w:tcPr>
            <w:tcW w:w="1984" w:type="dxa"/>
            <w:tcBorders>
              <w:bottom w:val="nil"/>
            </w:tcBorders>
          </w:tcPr>
          <w:p w:rsidR="00871D57" w:rsidRPr="00F16EB7" w:rsidRDefault="00871D57" w:rsidP="00F16EB7">
            <w:pPr>
              <w:cnfStyle w:val="000000000000"/>
            </w:pPr>
            <w:r w:rsidRPr="00F16EB7">
              <w:t>7 521</w:t>
            </w:r>
          </w:p>
        </w:tc>
      </w:tr>
      <w:tr w:rsidR="00871D57" w:rsidRPr="00F16EB7" w:rsidTr="00DC4F8C">
        <w:trPr>
          <w:trHeight w:val="240"/>
        </w:trPr>
        <w:tc>
          <w:tcPr>
            <w:cnfStyle w:val="001000000000"/>
            <w:tcW w:w="3156" w:type="dxa"/>
            <w:tcBorders>
              <w:top w:val="nil"/>
            </w:tcBorders>
          </w:tcPr>
          <w:p w:rsidR="00871D57" w:rsidRPr="00F16EB7" w:rsidRDefault="00871D57" w:rsidP="00F16EB7">
            <w:r w:rsidRPr="00F16EB7">
              <w:t>Боснийский/сербский/хорватский</w:t>
            </w:r>
          </w:p>
        </w:tc>
        <w:tc>
          <w:tcPr>
            <w:tcW w:w="2239" w:type="dxa"/>
            <w:tcBorders>
              <w:top w:val="nil"/>
              <w:bottom w:val="nil"/>
            </w:tcBorders>
          </w:tcPr>
          <w:p w:rsidR="00871D57" w:rsidRPr="00F16EB7" w:rsidRDefault="00871D57" w:rsidP="00F16EB7">
            <w:pPr>
              <w:cnfStyle w:val="000000000000"/>
            </w:pPr>
            <w:r w:rsidRPr="00F16EB7">
              <w:t>13 759</w:t>
            </w:r>
          </w:p>
        </w:tc>
        <w:tc>
          <w:tcPr>
            <w:tcW w:w="1984" w:type="dxa"/>
            <w:tcBorders>
              <w:top w:val="nil"/>
              <w:bottom w:val="nil"/>
            </w:tcBorders>
          </w:tcPr>
          <w:p w:rsidR="00871D57" w:rsidRPr="00F16EB7" w:rsidRDefault="00871D57" w:rsidP="00F16EB7">
            <w:pPr>
              <w:cnfStyle w:val="000000000000"/>
            </w:pPr>
            <w:r w:rsidRPr="00F16EB7">
              <w:t>6 691</w:t>
            </w:r>
          </w:p>
        </w:tc>
      </w:tr>
      <w:tr w:rsidR="00871D57" w:rsidRPr="00F16EB7" w:rsidTr="00DC4F8C">
        <w:trPr>
          <w:trHeight w:val="240"/>
        </w:trPr>
        <w:tc>
          <w:tcPr>
            <w:cnfStyle w:val="001000000000"/>
            <w:tcW w:w="3156" w:type="dxa"/>
            <w:tcBorders>
              <w:top w:val="nil"/>
            </w:tcBorders>
          </w:tcPr>
          <w:p w:rsidR="00871D57" w:rsidRPr="00F16EB7" w:rsidRDefault="00871D57" w:rsidP="00F16EB7">
            <w:r w:rsidRPr="00F16EB7">
              <w:t>Испанский</w:t>
            </w:r>
          </w:p>
        </w:tc>
        <w:tc>
          <w:tcPr>
            <w:tcW w:w="2239" w:type="dxa"/>
            <w:tcBorders>
              <w:top w:val="nil"/>
              <w:bottom w:val="nil"/>
            </w:tcBorders>
          </w:tcPr>
          <w:p w:rsidR="00871D57" w:rsidRPr="00F16EB7" w:rsidRDefault="00871D57" w:rsidP="00F16EB7">
            <w:pPr>
              <w:cnfStyle w:val="000000000000"/>
            </w:pPr>
            <w:r w:rsidRPr="00F16EB7">
              <w:t>10 911</w:t>
            </w:r>
          </w:p>
        </w:tc>
        <w:tc>
          <w:tcPr>
            <w:tcW w:w="1984" w:type="dxa"/>
            <w:tcBorders>
              <w:top w:val="nil"/>
              <w:bottom w:val="nil"/>
            </w:tcBorders>
          </w:tcPr>
          <w:p w:rsidR="00871D57" w:rsidRPr="00F16EB7" w:rsidRDefault="00871D57" w:rsidP="00F16EB7">
            <w:pPr>
              <w:cnfStyle w:val="000000000000"/>
            </w:pPr>
            <w:r w:rsidRPr="00F16EB7">
              <w:t>5 753</w:t>
            </w:r>
          </w:p>
        </w:tc>
      </w:tr>
      <w:tr w:rsidR="00871D57" w:rsidRPr="00F16EB7" w:rsidTr="00DC4F8C">
        <w:trPr>
          <w:trHeight w:val="240"/>
        </w:trPr>
        <w:tc>
          <w:tcPr>
            <w:cnfStyle w:val="001000000000"/>
            <w:tcW w:w="3156" w:type="dxa"/>
          </w:tcPr>
          <w:p w:rsidR="00871D57" w:rsidRPr="00F16EB7" w:rsidRDefault="00871D57" w:rsidP="00F16EB7">
            <w:r w:rsidRPr="00F16EB7">
              <w:t>Английский</w:t>
            </w:r>
          </w:p>
        </w:tc>
        <w:tc>
          <w:tcPr>
            <w:tcW w:w="2239" w:type="dxa"/>
            <w:tcBorders>
              <w:top w:val="nil"/>
            </w:tcBorders>
          </w:tcPr>
          <w:p w:rsidR="00871D57" w:rsidRPr="00F16EB7" w:rsidRDefault="00871D57" w:rsidP="00F16EB7">
            <w:pPr>
              <w:cnfStyle w:val="000000000000"/>
            </w:pPr>
            <w:r w:rsidRPr="00F16EB7">
              <w:t>11 276</w:t>
            </w:r>
          </w:p>
        </w:tc>
        <w:tc>
          <w:tcPr>
            <w:tcW w:w="1984" w:type="dxa"/>
            <w:tcBorders>
              <w:top w:val="nil"/>
            </w:tcBorders>
          </w:tcPr>
          <w:p w:rsidR="00871D57" w:rsidRPr="00F16EB7" w:rsidRDefault="00871D57" w:rsidP="00F16EB7">
            <w:pPr>
              <w:cnfStyle w:val="000000000000"/>
            </w:pPr>
            <w:r w:rsidRPr="00F16EB7">
              <w:t>5 453</w:t>
            </w:r>
          </w:p>
        </w:tc>
      </w:tr>
      <w:tr w:rsidR="00871D57" w:rsidRPr="00F16EB7" w:rsidTr="00F16EB7">
        <w:trPr>
          <w:trHeight w:val="240"/>
        </w:trPr>
        <w:tc>
          <w:tcPr>
            <w:cnfStyle w:val="001000000000"/>
            <w:tcW w:w="3156" w:type="dxa"/>
          </w:tcPr>
          <w:p w:rsidR="00871D57" w:rsidRPr="00F16EB7" w:rsidRDefault="00871D57" w:rsidP="00F16EB7">
            <w:r w:rsidRPr="00F16EB7">
              <w:t>Албанский</w:t>
            </w:r>
          </w:p>
        </w:tc>
        <w:tc>
          <w:tcPr>
            <w:tcW w:w="2239" w:type="dxa"/>
          </w:tcPr>
          <w:p w:rsidR="00871D57" w:rsidRPr="00F16EB7" w:rsidRDefault="00871D57" w:rsidP="00F16EB7">
            <w:pPr>
              <w:cnfStyle w:val="000000000000"/>
            </w:pPr>
            <w:r w:rsidRPr="00F16EB7">
              <w:t>7 138</w:t>
            </w:r>
          </w:p>
        </w:tc>
        <w:tc>
          <w:tcPr>
            <w:tcW w:w="1984" w:type="dxa"/>
          </w:tcPr>
          <w:p w:rsidR="00871D57" w:rsidRPr="00F16EB7" w:rsidRDefault="00871D57" w:rsidP="00F16EB7">
            <w:pPr>
              <w:cnfStyle w:val="000000000000"/>
            </w:pPr>
            <w:r w:rsidRPr="00F16EB7">
              <w:t>4 450</w:t>
            </w:r>
          </w:p>
        </w:tc>
      </w:tr>
      <w:tr w:rsidR="00871D57" w:rsidRPr="00F16EB7" w:rsidTr="00F16EB7">
        <w:trPr>
          <w:trHeight w:val="240"/>
        </w:trPr>
        <w:tc>
          <w:tcPr>
            <w:cnfStyle w:val="001000000000"/>
            <w:tcW w:w="3156" w:type="dxa"/>
          </w:tcPr>
          <w:p w:rsidR="00871D57" w:rsidRPr="00F16EB7" w:rsidRDefault="00871D57" w:rsidP="00F16EB7">
            <w:r w:rsidRPr="00F16EB7">
              <w:t>Персидский</w:t>
            </w:r>
          </w:p>
        </w:tc>
        <w:tc>
          <w:tcPr>
            <w:tcW w:w="2239" w:type="dxa"/>
          </w:tcPr>
          <w:p w:rsidR="00871D57" w:rsidRPr="00F16EB7" w:rsidRDefault="00871D57" w:rsidP="00F16EB7">
            <w:pPr>
              <w:cnfStyle w:val="000000000000"/>
            </w:pPr>
            <w:r w:rsidRPr="00F16EB7">
              <w:t>6 648</w:t>
            </w:r>
          </w:p>
        </w:tc>
        <w:tc>
          <w:tcPr>
            <w:tcW w:w="1984" w:type="dxa"/>
          </w:tcPr>
          <w:p w:rsidR="00871D57" w:rsidRPr="00F16EB7" w:rsidRDefault="00871D57" w:rsidP="00F16EB7">
            <w:pPr>
              <w:cnfStyle w:val="000000000000"/>
            </w:pPr>
            <w:r w:rsidRPr="00F16EB7">
              <w:t>3 911</w:t>
            </w:r>
          </w:p>
        </w:tc>
      </w:tr>
      <w:tr w:rsidR="00871D57" w:rsidRPr="00F16EB7" w:rsidTr="00F16EB7">
        <w:trPr>
          <w:trHeight w:val="240"/>
        </w:trPr>
        <w:tc>
          <w:tcPr>
            <w:cnfStyle w:val="001000000000"/>
            <w:tcW w:w="3156" w:type="dxa"/>
          </w:tcPr>
          <w:p w:rsidR="00871D57" w:rsidRPr="00F16EB7" w:rsidRDefault="00871D57" w:rsidP="00F16EB7">
            <w:r w:rsidRPr="00F16EB7">
              <w:t>Финский</w:t>
            </w:r>
          </w:p>
        </w:tc>
        <w:tc>
          <w:tcPr>
            <w:tcW w:w="2239" w:type="dxa"/>
          </w:tcPr>
          <w:p w:rsidR="00871D57" w:rsidRPr="00F16EB7" w:rsidRDefault="00871D57" w:rsidP="00F16EB7">
            <w:pPr>
              <w:cnfStyle w:val="000000000000"/>
            </w:pPr>
            <w:r w:rsidRPr="00F16EB7">
              <w:t>8 372</w:t>
            </w:r>
          </w:p>
        </w:tc>
        <w:tc>
          <w:tcPr>
            <w:tcW w:w="1984" w:type="dxa"/>
          </w:tcPr>
          <w:p w:rsidR="00871D57" w:rsidRPr="00F16EB7" w:rsidRDefault="00871D57" w:rsidP="00F16EB7">
            <w:pPr>
              <w:cnfStyle w:val="000000000000"/>
            </w:pPr>
            <w:r w:rsidRPr="00F16EB7">
              <w:t>3 838</w:t>
            </w:r>
          </w:p>
        </w:tc>
      </w:tr>
      <w:tr w:rsidR="00871D57" w:rsidRPr="00F16EB7" w:rsidTr="00F16EB7">
        <w:trPr>
          <w:trHeight w:val="240"/>
        </w:trPr>
        <w:tc>
          <w:tcPr>
            <w:cnfStyle w:val="001000000000"/>
            <w:tcW w:w="3156" w:type="dxa"/>
          </w:tcPr>
          <w:p w:rsidR="00871D57" w:rsidRPr="00F16EB7" w:rsidRDefault="00871D57" w:rsidP="00F16EB7">
            <w:r w:rsidRPr="00F16EB7">
              <w:t>Турецкий</w:t>
            </w:r>
          </w:p>
        </w:tc>
        <w:tc>
          <w:tcPr>
            <w:tcW w:w="2239" w:type="dxa"/>
          </w:tcPr>
          <w:p w:rsidR="00871D57" w:rsidRPr="00F16EB7" w:rsidRDefault="00871D57" w:rsidP="00F16EB7">
            <w:pPr>
              <w:cnfStyle w:val="000000000000"/>
            </w:pPr>
            <w:r w:rsidRPr="00F16EB7">
              <w:t>6 102</w:t>
            </w:r>
          </w:p>
        </w:tc>
        <w:tc>
          <w:tcPr>
            <w:tcW w:w="1984" w:type="dxa"/>
          </w:tcPr>
          <w:p w:rsidR="00871D57" w:rsidRPr="00F16EB7" w:rsidRDefault="00871D57" w:rsidP="00F16EB7">
            <w:pPr>
              <w:cnfStyle w:val="000000000000"/>
            </w:pPr>
            <w:r w:rsidRPr="00F16EB7">
              <w:t>3 574</w:t>
            </w:r>
          </w:p>
        </w:tc>
      </w:tr>
      <w:tr w:rsidR="00871D57" w:rsidRPr="00F16EB7" w:rsidTr="00F16EB7">
        <w:trPr>
          <w:trHeight w:val="240"/>
        </w:trPr>
        <w:tc>
          <w:tcPr>
            <w:cnfStyle w:val="001000000000"/>
            <w:tcW w:w="3156" w:type="dxa"/>
          </w:tcPr>
          <w:p w:rsidR="00871D57" w:rsidRPr="00F16EB7" w:rsidRDefault="00871D57" w:rsidP="00F16EB7">
            <w:r w:rsidRPr="00F16EB7">
              <w:t>Польский</w:t>
            </w:r>
          </w:p>
        </w:tc>
        <w:tc>
          <w:tcPr>
            <w:tcW w:w="2239" w:type="dxa"/>
          </w:tcPr>
          <w:p w:rsidR="00871D57" w:rsidRPr="00F16EB7" w:rsidRDefault="00871D57" w:rsidP="00F16EB7">
            <w:pPr>
              <w:cnfStyle w:val="000000000000"/>
            </w:pPr>
            <w:r w:rsidRPr="00F16EB7">
              <w:t>6 164</w:t>
            </w:r>
          </w:p>
        </w:tc>
        <w:tc>
          <w:tcPr>
            <w:tcW w:w="1984" w:type="dxa"/>
          </w:tcPr>
          <w:p w:rsidR="00871D57" w:rsidRPr="00F16EB7" w:rsidRDefault="00871D57" w:rsidP="00F16EB7">
            <w:pPr>
              <w:cnfStyle w:val="000000000000"/>
            </w:pPr>
            <w:r w:rsidRPr="00F16EB7">
              <w:t>3 520</w:t>
            </w:r>
          </w:p>
        </w:tc>
      </w:tr>
      <w:tr w:rsidR="00871D57" w:rsidRPr="00F16EB7" w:rsidTr="00F16EB7">
        <w:trPr>
          <w:trHeight w:val="240"/>
        </w:trPr>
        <w:tc>
          <w:tcPr>
            <w:cnfStyle w:val="001000000000"/>
            <w:tcW w:w="3156" w:type="dxa"/>
          </w:tcPr>
          <w:p w:rsidR="00871D57" w:rsidRPr="00F16EB7" w:rsidRDefault="00871D57" w:rsidP="00F16EB7">
            <w:r w:rsidRPr="00F16EB7">
              <w:t>Другие языки (135)</w:t>
            </w:r>
          </w:p>
        </w:tc>
        <w:tc>
          <w:tcPr>
            <w:tcW w:w="2239" w:type="dxa"/>
          </w:tcPr>
          <w:p w:rsidR="00871D57" w:rsidRPr="00F16EB7" w:rsidRDefault="00871D57" w:rsidP="00F16EB7">
            <w:pPr>
              <w:cnfStyle w:val="000000000000"/>
            </w:pPr>
            <w:r w:rsidRPr="00F16EB7">
              <w:t>68 026</w:t>
            </w:r>
          </w:p>
        </w:tc>
        <w:tc>
          <w:tcPr>
            <w:tcW w:w="1984" w:type="dxa"/>
          </w:tcPr>
          <w:p w:rsidR="00871D57" w:rsidRPr="00F16EB7" w:rsidRDefault="00871D57" w:rsidP="00F16EB7">
            <w:pPr>
              <w:cnfStyle w:val="000000000000"/>
            </w:pPr>
            <w:r w:rsidRPr="00F16EB7">
              <w:t>33 130</w:t>
            </w:r>
          </w:p>
        </w:tc>
      </w:tr>
    </w:tbl>
    <w:p w:rsidR="00871D57" w:rsidRPr="00635822" w:rsidRDefault="00871D57" w:rsidP="00635822">
      <w:pPr>
        <w:pStyle w:val="SingleTxtGR"/>
        <w:spacing w:before="120" w:line="220" w:lineRule="exact"/>
        <w:ind w:firstLine="125"/>
        <w:rPr>
          <w:i/>
          <w:sz w:val="18"/>
          <w:szCs w:val="18"/>
        </w:rPr>
      </w:pPr>
      <w:r w:rsidRPr="00635822">
        <w:rPr>
          <w:i/>
          <w:sz w:val="18"/>
          <w:szCs w:val="18"/>
        </w:rPr>
        <w:t xml:space="preserve">Источник: </w:t>
      </w:r>
      <w:r w:rsidRPr="00C2200B">
        <w:rPr>
          <w:sz w:val="18"/>
          <w:szCs w:val="18"/>
        </w:rPr>
        <w:t>Национальное агентство по вопросам образования.</w:t>
      </w:r>
    </w:p>
    <w:p w:rsidR="00871D57" w:rsidRPr="00F672DD" w:rsidRDefault="00C2200B" w:rsidP="00871D57">
      <w:pPr>
        <w:pStyle w:val="SingleTxtGR"/>
      </w:pPr>
      <w:r>
        <w:t>8.</w:t>
      </w:r>
      <w:r>
        <w:tab/>
      </w:r>
      <w:r w:rsidR="00871D57" w:rsidRPr="00F672DD">
        <w:t>Ведущаяся в Швеции официальная статистика преступности не предп</w:t>
      </w:r>
      <w:r w:rsidR="00871D57" w:rsidRPr="00F672DD">
        <w:t>о</w:t>
      </w:r>
      <w:r w:rsidR="00871D57" w:rsidRPr="00F672DD">
        <w:t>лагает сбора данных об этническом составе заключенных. Учета этнического происхождения заключенных не ведется и Службой исполнения наказаний. С</w:t>
      </w:r>
      <w:r w:rsidR="00871D57" w:rsidRPr="00F672DD">
        <w:t>о</w:t>
      </w:r>
      <w:r w:rsidR="00871D57" w:rsidRPr="00F672DD">
        <w:t>гласно имеющимся статистическим данным в последние пять лет доля ин</w:t>
      </w:r>
      <w:r w:rsidR="00871D57" w:rsidRPr="00F672DD">
        <w:t>о</w:t>
      </w:r>
      <w:r w:rsidR="00871D57" w:rsidRPr="00F672DD">
        <w:t>странных граждан среди заключенных колеблется в диапазоне 26</w:t>
      </w:r>
      <w:r w:rsidR="00FD6BA6">
        <w:t>−</w:t>
      </w:r>
      <w:r w:rsidR="00871D57" w:rsidRPr="00F672DD">
        <w:t>29</w:t>
      </w:r>
      <w:r w:rsidR="00FD6BA6">
        <w:t>%</w:t>
      </w:r>
      <w:r w:rsidR="00871D57" w:rsidRPr="00F672DD">
        <w:t>.</w:t>
      </w:r>
    </w:p>
    <w:p w:rsidR="00871D57" w:rsidRPr="00F672DD" w:rsidRDefault="00871D57" w:rsidP="00C2200B">
      <w:pPr>
        <w:pStyle w:val="H1GR"/>
      </w:pPr>
      <w:r w:rsidRPr="00F672DD">
        <w:tab/>
      </w:r>
      <w:r w:rsidRPr="00F672DD">
        <w:rPr>
          <w:lang w:val="en-GB"/>
        </w:rPr>
        <w:t>B</w:t>
      </w:r>
      <w:r w:rsidRPr="00F672DD">
        <w:t>.</w:t>
      </w:r>
      <w:r w:rsidRPr="00F672DD">
        <w:tab/>
        <w:t>Некоторые исследования по вопросам дискриминации и</w:t>
      </w:r>
      <w:r w:rsidR="00176048">
        <w:t> </w:t>
      </w:r>
      <w:r w:rsidRPr="00F672DD">
        <w:t>ксенофобии</w:t>
      </w:r>
    </w:p>
    <w:p w:rsidR="00871D57" w:rsidRPr="00F672DD" w:rsidRDefault="00C2200B" w:rsidP="00871D57">
      <w:pPr>
        <w:pStyle w:val="SingleTxtGR"/>
      </w:pPr>
      <w:r>
        <w:t>9.</w:t>
      </w:r>
      <w:r>
        <w:tab/>
      </w:r>
      <w:r w:rsidR="00871D57" w:rsidRPr="00F672DD">
        <w:t>В 2010</w:t>
      </w:r>
      <w:r w:rsidR="000557E5" w:rsidRPr="000557E5">
        <w:t xml:space="preserve"> </w:t>
      </w:r>
      <w:r w:rsidR="00871D57" w:rsidRPr="00F672DD">
        <w:t>году Омбудсмен по вопросам равенства подготовил по поручению правительства доклад, озаглавленный "Ситуация с дискриминацией: краткий доклад и анализ, основанные на опыте лиц,</w:t>
      </w:r>
      <w:r w:rsidR="00FD6BA6">
        <w:t xml:space="preserve"> подвергшихся дискриминации". В</w:t>
      </w:r>
      <w:r w:rsidR="00F823E7">
        <w:t> </w:t>
      </w:r>
      <w:r w:rsidR="00871D57" w:rsidRPr="00F672DD">
        <w:t>докладе описываются случаи дискриминации в самых различных областях жизни, в том числе в областях, на которые не распространяется действующее законодательство. В нем также говорится о некоторой неопределенности, во</w:t>
      </w:r>
      <w:r w:rsidR="00871D57" w:rsidRPr="00F672DD">
        <w:t>з</w:t>
      </w:r>
      <w:r w:rsidR="00871D57" w:rsidRPr="00F672DD">
        <w:t>никающей в связи с Законом о дискриминации, когда люди не знают, к кому о</w:t>
      </w:r>
      <w:r w:rsidR="00871D57" w:rsidRPr="00F672DD">
        <w:t>б</w:t>
      </w:r>
      <w:r w:rsidR="00871D57" w:rsidRPr="00F672DD">
        <w:t>ращаться в тех случаях, когда им кажется, что их дискриминируют, и чего им следует ож</w:t>
      </w:r>
      <w:r w:rsidR="00871D57" w:rsidRPr="00F672DD">
        <w:t>и</w:t>
      </w:r>
      <w:r w:rsidR="00871D57" w:rsidRPr="00F672DD">
        <w:t xml:space="preserve">дать в случае подачи жалобы. </w:t>
      </w:r>
    </w:p>
    <w:p w:rsidR="00871D57" w:rsidRPr="00F672DD" w:rsidRDefault="00C2200B" w:rsidP="00871D57">
      <w:pPr>
        <w:pStyle w:val="SingleTxtGR"/>
      </w:pPr>
      <w:r>
        <w:t>10.</w:t>
      </w:r>
      <w:r>
        <w:tab/>
      </w:r>
      <w:r w:rsidR="00871D57" w:rsidRPr="00F672DD">
        <w:t>В 2010</w:t>
      </w:r>
      <w:r w:rsidR="000557E5" w:rsidRPr="000557E5">
        <w:t xml:space="preserve"> </w:t>
      </w:r>
      <w:r w:rsidR="00871D57" w:rsidRPr="00F672DD">
        <w:t>году Омбудсмен по вопросам равенства по поручению правител</w:t>
      </w:r>
      <w:r w:rsidR="00871D57" w:rsidRPr="00F672DD">
        <w:t>ь</w:t>
      </w:r>
      <w:r w:rsidR="00871D57" w:rsidRPr="00F672DD">
        <w:t>ства представил также доклад о дискриминации на рынке жилья. При подгото</w:t>
      </w:r>
      <w:r w:rsidR="00871D57" w:rsidRPr="00F672DD">
        <w:t>в</w:t>
      </w:r>
      <w:r w:rsidR="00871D57" w:rsidRPr="00F672DD">
        <w:t>ке этого доклада была изучена соответствующая практика, включая практику аренды жилья и практику на рынке брокерских услуг. Проведенное исследов</w:t>
      </w:r>
      <w:r w:rsidR="00871D57" w:rsidRPr="00F672DD">
        <w:t>а</w:t>
      </w:r>
      <w:r w:rsidR="00871D57" w:rsidRPr="00F672DD">
        <w:t>ние показало, что арендаторы жилья сталкиваю</w:t>
      </w:r>
      <w:r w:rsidR="00871D57" w:rsidRPr="00F672DD">
        <w:t>т</w:t>
      </w:r>
      <w:r w:rsidR="00871D57" w:rsidRPr="00F672DD">
        <w:t>ся с дискриминацией чаще, чем его собственники и что чаще всего поводом для дискриминации служит этнич</w:t>
      </w:r>
      <w:r w:rsidR="00871D57" w:rsidRPr="00F672DD">
        <w:t>е</w:t>
      </w:r>
      <w:r w:rsidR="00871D57" w:rsidRPr="00F672DD">
        <w:t>ская принадлежность. На рынке арендованного жилья объектом ди</w:t>
      </w:r>
      <w:r w:rsidR="00871D57" w:rsidRPr="00F672DD">
        <w:t>с</w:t>
      </w:r>
      <w:r w:rsidR="00871D57" w:rsidRPr="00F672DD">
        <w:t>криминации в большинстве случаев становятся лица иностранного происхождения, а на ранке брокерских услуг</w:t>
      </w:r>
      <w:r w:rsidR="006B159C">
        <w:t xml:space="preserve"> − </w:t>
      </w:r>
      <w:r w:rsidR="00871D57" w:rsidRPr="00F672DD">
        <w:t>финские цыгане и мусульмане.</w:t>
      </w:r>
    </w:p>
    <w:p w:rsidR="00871D57" w:rsidRPr="00F672DD" w:rsidRDefault="00C2200B" w:rsidP="00871D57">
      <w:pPr>
        <w:pStyle w:val="SingleTxtGR"/>
      </w:pPr>
      <w:r>
        <w:t>11.</w:t>
      </w:r>
      <w:r>
        <w:tab/>
      </w:r>
      <w:r w:rsidR="00871D57" w:rsidRPr="00F672DD">
        <w:t>В 2011 году Омбудсмен по вопросам равенства представил доклад, оз</w:t>
      </w:r>
      <w:r w:rsidR="00871D57" w:rsidRPr="00F672DD">
        <w:t>а</w:t>
      </w:r>
      <w:r w:rsidR="00871D57" w:rsidRPr="00F672DD">
        <w:t>главленный "Права цыган: дискриминация, способы восстановления в правах</w:t>
      </w:r>
      <w:r w:rsidR="000557E5">
        <w:t xml:space="preserve"> </w:t>
      </w:r>
      <w:r w:rsidR="00871D57" w:rsidRPr="00F672DD">
        <w:t>и законодательные механизмы улучшения положения цыган в шведском общес</w:t>
      </w:r>
      <w:r w:rsidR="00871D57" w:rsidRPr="00F672DD">
        <w:t>т</w:t>
      </w:r>
      <w:r w:rsidR="00871D57" w:rsidRPr="00F672DD">
        <w:t>ве", в котором рассказывается об опыте Омбудсмена в этой связи и содержится и</w:t>
      </w:r>
      <w:r w:rsidR="00871D57" w:rsidRPr="00F672DD">
        <w:t>н</w:t>
      </w:r>
      <w:r w:rsidR="00871D57" w:rsidRPr="00F672DD">
        <w:t>формация о ситуации с обеспечением равноправия цыган. Из доклада видно, что в большинстве случаев жалобы поступают от женщин цыганской наци</w:t>
      </w:r>
      <w:r w:rsidR="00871D57" w:rsidRPr="00F672DD">
        <w:t>о</w:t>
      </w:r>
      <w:r w:rsidR="00871D57" w:rsidRPr="00F672DD">
        <w:t>нальности в связи с их дискриминацией или враждебным отношением к ним в магазинах и других предприятиях торговли. Согласно докладу в период 2004</w:t>
      </w:r>
      <w:r w:rsidR="00FD6BA6">
        <w:t>−</w:t>
      </w:r>
      <w:r w:rsidR="00871D57" w:rsidRPr="00F672DD">
        <w:t>2010 годов предыдущим Омбудсменом по вопросам дискриминации по этнич</w:t>
      </w:r>
      <w:r w:rsidR="00871D57" w:rsidRPr="00F672DD">
        <w:t>е</w:t>
      </w:r>
      <w:r w:rsidR="00871D57" w:rsidRPr="00F672DD">
        <w:t>скому признаку и нынешним Омбудсменом по вопросам равенства было получено в общей сложности около 230</w:t>
      </w:r>
      <w:r w:rsidR="000557E5">
        <w:t xml:space="preserve"> </w:t>
      </w:r>
      <w:r w:rsidR="00871D57" w:rsidRPr="00F672DD">
        <w:t>жалоб на дискриминацию цыган, из к</w:t>
      </w:r>
      <w:r w:rsidR="00871D57" w:rsidRPr="00F672DD">
        <w:t>о</w:t>
      </w:r>
      <w:r w:rsidR="00871D57" w:rsidRPr="00F672DD">
        <w:t xml:space="preserve">торых около 30 были признаны обоснованными. </w:t>
      </w:r>
    </w:p>
    <w:p w:rsidR="00871D57" w:rsidRPr="00F672DD" w:rsidRDefault="00C2200B" w:rsidP="00871D57">
      <w:pPr>
        <w:pStyle w:val="SingleTxtGR"/>
      </w:pPr>
      <w:r>
        <w:t>12.</w:t>
      </w:r>
      <w:r>
        <w:tab/>
      </w:r>
      <w:r w:rsidR="00871D57" w:rsidRPr="00F672DD">
        <w:t>В своем докладе "Право на медицинское обслуживание на равных усл</w:t>
      </w:r>
      <w:r w:rsidR="00871D57" w:rsidRPr="00F672DD">
        <w:t>о</w:t>
      </w:r>
      <w:r w:rsidR="00871D57" w:rsidRPr="00F672DD">
        <w:t>виях", опубликованном в 2012</w:t>
      </w:r>
      <w:r w:rsidR="000557E5" w:rsidRPr="000557E5">
        <w:t xml:space="preserve"> </w:t>
      </w:r>
      <w:r w:rsidR="00871D57" w:rsidRPr="00F672DD">
        <w:t>году, Омбудсмен по вопросам равенства утве</w:t>
      </w:r>
      <w:r w:rsidR="00871D57" w:rsidRPr="00F672DD">
        <w:t>р</w:t>
      </w:r>
      <w:r w:rsidR="00871D57" w:rsidRPr="00F672DD">
        <w:t>ждает, что шведская система здравоохранения в целом соответствует высоким стандартам, однако она не обеспечивает равного доступа к медицинским усл</w:t>
      </w:r>
      <w:r w:rsidR="00871D57" w:rsidRPr="00F672DD">
        <w:t>у</w:t>
      </w:r>
      <w:r w:rsidR="00871D57" w:rsidRPr="00F672DD">
        <w:t>гам и не исключает дискриминации. Некоторые категории пациентов считают, что отношение к ним является менее благожелательным, чем к другим пацие</w:t>
      </w:r>
      <w:r w:rsidR="00871D57" w:rsidRPr="00F672DD">
        <w:t>н</w:t>
      </w:r>
      <w:r w:rsidR="00871D57" w:rsidRPr="00F672DD">
        <w:t>там. К их числу относятся, в частности, лица, для которых шведский язык не является родным. Кроме того, в докладе говорится о том, что не все категории населения обладают равными возможностями в части доступа к надлежащим медицинским услугам. Об этом свидетельствует, в частности, тот факт, что ур</w:t>
      </w:r>
      <w:r w:rsidR="00871D57" w:rsidRPr="00F672DD">
        <w:t>о</w:t>
      </w:r>
      <w:r w:rsidR="00871D57" w:rsidRPr="00F672DD">
        <w:t xml:space="preserve">вень смертности от поддающихся лечению болезней среди лиц иностранного происхождения и лиц с низким уровнем образования значительно выше, чем среди лиц, родившихся в Швеции, и лиц с высоким уровнем образования. </w:t>
      </w:r>
    </w:p>
    <w:p w:rsidR="00871D57" w:rsidRPr="00F672DD" w:rsidRDefault="00C2200B" w:rsidP="00871D57">
      <w:pPr>
        <w:pStyle w:val="SingleTxtGR"/>
      </w:pPr>
      <w:r>
        <w:t>13.</w:t>
      </w:r>
      <w:r>
        <w:tab/>
      </w:r>
      <w:r w:rsidR="00871D57" w:rsidRPr="00F672DD">
        <w:t>Форумом "Живая история" было проведено обследование, цель которого с</w:t>
      </w:r>
      <w:r w:rsidR="00871D57" w:rsidRPr="00F672DD">
        <w:t>о</w:t>
      </w:r>
      <w:r w:rsidR="00871D57" w:rsidRPr="00F672DD">
        <w:t>стояла в определении отношения учащихся старших классов средних школ к таким группам населения, как цыгане, мусульмане, евреи, беженцы неевропе</w:t>
      </w:r>
      <w:r w:rsidR="00871D57" w:rsidRPr="00F672DD">
        <w:t>й</w:t>
      </w:r>
      <w:r w:rsidR="00871D57" w:rsidRPr="00F672DD">
        <w:t>ского происхождения и гомосексу</w:t>
      </w:r>
      <w:r w:rsidR="00871D57" w:rsidRPr="00F672DD">
        <w:t>а</w:t>
      </w:r>
      <w:r w:rsidR="00871D57" w:rsidRPr="00F672DD">
        <w:t>листы. Результаты этого обследования были представлены в опубликованном в 2010</w:t>
      </w:r>
      <w:r w:rsidR="000557E5">
        <w:t xml:space="preserve"> </w:t>
      </w:r>
      <w:r w:rsidR="00871D57" w:rsidRPr="00F672DD">
        <w:t>году докладе, озаглавленном "Многол</w:t>
      </w:r>
      <w:r w:rsidR="00871D57" w:rsidRPr="00F672DD">
        <w:t>и</w:t>
      </w:r>
      <w:r w:rsidR="00871D57" w:rsidRPr="00F672DD">
        <w:t>кая нетерпимость". Около 20</w:t>
      </w:r>
      <w:r w:rsidR="006B159C">
        <w:t>%</w:t>
      </w:r>
      <w:r w:rsidR="00871D57" w:rsidRPr="00F672DD">
        <w:t xml:space="preserve"> опрошенных учащихся заявили о своем нег</w:t>
      </w:r>
      <w:r w:rsidR="00871D57" w:rsidRPr="00F672DD">
        <w:t>а</w:t>
      </w:r>
      <w:r w:rsidR="00871D57" w:rsidRPr="00F672DD">
        <w:t>тивном отношении к упомянутым группам и около полов</w:t>
      </w:r>
      <w:r w:rsidR="00871D57" w:rsidRPr="00F672DD">
        <w:t>и</w:t>
      </w:r>
      <w:r w:rsidR="00871D57" w:rsidRPr="00F672DD">
        <w:t>ны</w:t>
      </w:r>
      <w:r w:rsidR="006B159C">
        <w:t xml:space="preserve"> − </w:t>
      </w:r>
      <w:r w:rsidR="00871D57" w:rsidRPr="00F672DD">
        <w:t>о двояком к ним отношении. По мнению Форума, наибольший интерес представляет име</w:t>
      </w:r>
      <w:r w:rsidR="00871D57" w:rsidRPr="00F672DD">
        <w:t>н</w:t>
      </w:r>
      <w:r w:rsidR="00871D57" w:rsidRPr="00F672DD">
        <w:t>но вторая группа учащихся, поскольку она, судя по всему, в большей степени по</w:t>
      </w:r>
      <w:r w:rsidR="00871D57" w:rsidRPr="00F672DD">
        <w:t>д</w:t>
      </w:r>
      <w:r w:rsidR="00871D57" w:rsidRPr="00F672DD">
        <w:t xml:space="preserve">вержена влиянию и более восприимчива к фактам и аргументам. </w:t>
      </w:r>
    </w:p>
    <w:p w:rsidR="00871D57" w:rsidRPr="00F672DD" w:rsidRDefault="00C2200B" w:rsidP="00871D57">
      <w:pPr>
        <w:pStyle w:val="SingleTxtGR"/>
      </w:pPr>
      <w:r>
        <w:t>14.</w:t>
      </w:r>
      <w:r>
        <w:tab/>
      </w:r>
      <w:r w:rsidR="00871D57" w:rsidRPr="00F672DD">
        <w:t>По просьбе правительства форум "Живая история" провел также иссл</w:t>
      </w:r>
      <w:r w:rsidR="00871D57" w:rsidRPr="00F672DD">
        <w:t>е</w:t>
      </w:r>
      <w:r w:rsidR="00871D57" w:rsidRPr="00F672DD">
        <w:t>дование масштабов антисемитизма и исламофобии в стране, результаты котор</w:t>
      </w:r>
      <w:r w:rsidR="00871D57" w:rsidRPr="00F672DD">
        <w:t>о</w:t>
      </w:r>
      <w:r w:rsidR="00871D57" w:rsidRPr="00F672DD">
        <w:t>го были опубликованы в 2011</w:t>
      </w:r>
      <w:r w:rsidR="000557E5">
        <w:t xml:space="preserve"> </w:t>
      </w:r>
      <w:r w:rsidR="00871D57" w:rsidRPr="00F672DD">
        <w:t>году. Исследование показало, в частности, что главную ответственность за распр</w:t>
      </w:r>
      <w:r w:rsidR="00871D57" w:rsidRPr="00F672DD">
        <w:t>о</w:t>
      </w:r>
      <w:r w:rsidR="00871D57" w:rsidRPr="00F672DD">
        <w:t>странение антисемитизма и исламофобии в Швеции несут Интернет и социальные сети. Кроме того, распространению кс</w:t>
      </w:r>
      <w:r w:rsidR="00871D57" w:rsidRPr="00F672DD">
        <w:t>е</w:t>
      </w:r>
      <w:r w:rsidR="00871D57" w:rsidRPr="00F672DD">
        <w:t>нофобских настроений во многом способствуют разли</w:t>
      </w:r>
      <w:r w:rsidR="00871D57" w:rsidRPr="00F672DD">
        <w:t>ч</w:t>
      </w:r>
      <w:r w:rsidR="00871D57" w:rsidRPr="00F672DD">
        <w:t xml:space="preserve">ного рода комментарии в средствах массовой информации. </w:t>
      </w:r>
    </w:p>
    <w:p w:rsidR="00871D57" w:rsidRPr="00F672DD" w:rsidRDefault="00871D57" w:rsidP="00C2200B">
      <w:pPr>
        <w:pStyle w:val="HChGR"/>
      </w:pPr>
      <w:r w:rsidRPr="00F672DD">
        <w:tab/>
      </w:r>
      <w:r w:rsidRPr="00F672DD">
        <w:rPr>
          <w:lang w:val="en-GB"/>
        </w:rPr>
        <w:t>III</w:t>
      </w:r>
      <w:r w:rsidRPr="00F672DD">
        <w:t>.</w:t>
      </w:r>
      <w:r w:rsidRPr="00F672DD">
        <w:tab/>
        <w:t>Информация, касающаяся статей 2</w:t>
      </w:r>
      <w:r w:rsidR="00C2200B">
        <w:t>−</w:t>
      </w:r>
      <w:r w:rsidRPr="00F672DD">
        <w:t>7</w:t>
      </w:r>
    </w:p>
    <w:p w:rsidR="00871D57" w:rsidRPr="00F672DD" w:rsidRDefault="00871D57" w:rsidP="00C2200B">
      <w:pPr>
        <w:pStyle w:val="H1GR"/>
      </w:pPr>
      <w:r w:rsidRPr="00F672DD">
        <w:tab/>
      </w:r>
      <w:r w:rsidRPr="00F672DD">
        <w:tab/>
        <w:t>Статья 2.1</w:t>
      </w:r>
    </w:p>
    <w:p w:rsidR="00871D57" w:rsidRPr="00871D57" w:rsidRDefault="00871D57" w:rsidP="00C2200B">
      <w:pPr>
        <w:pStyle w:val="H23GR"/>
      </w:pPr>
      <w:r w:rsidRPr="00F672DD">
        <w:tab/>
      </w:r>
      <w:r w:rsidRPr="00871D57">
        <w:t>1.</w:t>
      </w:r>
      <w:r w:rsidRPr="00871D57">
        <w:tab/>
      </w:r>
      <w:r w:rsidRPr="00F672DD">
        <w:t>Конституционное</w:t>
      </w:r>
      <w:r w:rsidRPr="00871D57">
        <w:t xml:space="preserve"> </w:t>
      </w:r>
      <w:r w:rsidRPr="00F672DD">
        <w:t>законодательство</w:t>
      </w:r>
    </w:p>
    <w:p w:rsidR="00871D57" w:rsidRPr="00F672DD" w:rsidRDefault="00C2200B" w:rsidP="00871D57">
      <w:pPr>
        <w:pStyle w:val="SingleTxtGR"/>
      </w:pPr>
      <w:r>
        <w:t>15.</w:t>
      </w:r>
      <w:r>
        <w:tab/>
      </w:r>
      <w:r w:rsidR="00871D57" w:rsidRPr="00F672DD">
        <w:t>Как отмечается в предыдущих докладах Швеции, в основе системы пр</w:t>
      </w:r>
      <w:r w:rsidR="00871D57" w:rsidRPr="00F672DD">
        <w:t>а</w:t>
      </w:r>
      <w:r w:rsidR="00871D57" w:rsidRPr="00F672DD">
        <w:t>вовой защиты от дискриминации на этнической почве лежит Конституция стр</w:t>
      </w:r>
      <w:r w:rsidR="00871D57" w:rsidRPr="00F672DD">
        <w:t>а</w:t>
      </w:r>
      <w:r w:rsidR="00871D57" w:rsidRPr="00F672DD">
        <w:t>ны. Информация, касающаяся законодательства в этой области, содержится в</w:t>
      </w:r>
      <w:r w:rsidR="00A8215C">
        <w:rPr>
          <w:lang w:val="en-US"/>
        </w:rPr>
        <w:t> </w:t>
      </w:r>
      <w:r w:rsidR="00871D57" w:rsidRPr="00F672DD">
        <w:t>пунктах 19</w:t>
      </w:r>
      <w:r w:rsidR="000557E5">
        <w:t>−</w:t>
      </w:r>
      <w:r w:rsidR="00871D57" w:rsidRPr="00F672DD">
        <w:t>30 двенадцатого доклада.</w:t>
      </w:r>
    </w:p>
    <w:p w:rsidR="00871D57" w:rsidRPr="00F672DD" w:rsidRDefault="00C2200B" w:rsidP="00871D57">
      <w:pPr>
        <w:pStyle w:val="SingleTxtGR"/>
      </w:pPr>
      <w:r>
        <w:t>16.</w:t>
      </w:r>
      <w:r>
        <w:tab/>
      </w:r>
      <w:r w:rsidR="00871D57" w:rsidRPr="00F672DD">
        <w:t>Поправки к Закону о форме правления, вступившие в силу 1</w:t>
      </w:r>
      <w:r w:rsidR="000557E5" w:rsidRPr="000557E5">
        <w:t xml:space="preserve"> </w:t>
      </w:r>
      <w:r w:rsidR="00871D57" w:rsidRPr="00F672DD">
        <w:t>января 2011</w:t>
      </w:r>
      <w:r w:rsidR="00F823E7">
        <w:t> </w:t>
      </w:r>
      <w:r w:rsidR="00871D57" w:rsidRPr="00F672DD">
        <w:t>года, позволили еще более четко определить, что основные принципы, к</w:t>
      </w:r>
      <w:r w:rsidR="00871D57" w:rsidRPr="00F672DD">
        <w:t>а</w:t>
      </w:r>
      <w:r w:rsidR="00871D57" w:rsidRPr="00F672DD">
        <w:t>сающиеся конституционной защиты свобод и прав человека, распространяются на всех лиц, находящихся на территории страны, независимо от их гражданс</w:t>
      </w:r>
      <w:r w:rsidR="00871D57" w:rsidRPr="00F672DD">
        <w:t>т</w:t>
      </w:r>
      <w:r w:rsidR="00871D57" w:rsidRPr="00F672DD">
        <w:t>ва. Изменения были внесены также в положения этого закона, определяющие основные цели государственной деятельности. В качестве одной из таких целей теперь провозглашается поощрение права этнических, лингвистических и рел</w:t>
      </w:r>
      <w:r w:rsidR="00871D57" w:rsidRPr="00F672DD">
        <w:t>и</w:t>
      </w:r>
      <w:r w:rsidR="00871D57" w:rsidRPr="00F672DD">
        <w:t>гиозных меньшинств на сохранение и развитие своей культуры и своего образа жизни. Ранее данное положение было более расплывчатым, поскольку содерж</w:t>
      </w:r>
      <w:r w:rsidR="00871D57" w:rsidRPr="00F672DD">
        <w:t>а</w:t>
      </w:r>
      <w:r w:rsidR="00871D57" w:rsidRPr="00F672DD">
        <w:t>ло лишь указание на необходимость содействовать расширению возможностей для меньшинств. Благодаря еще одной поправке, внесенной в указанное пол</w:t>
      </w:r>
      <w:r w:rsidR="00871D57" w:rsidRPr="00F672DD">
        <w:t>о</w:t>
      </w:r>
      <w:r w:rsidR="00871D57" w:rsidRPr="00F672DD">
        <w:t>жение, теперь отдельно оговаривается необходимость обеспечения условий для реал</w:t>
      </w:r>
      <w:r w:rsidR="00871D57" w:rsidRPr="00F672DD">
        <w:t>и</w:t>
      </w:r>
      <w:r w:rsidR="00871D57" w:rsidRPr="00F672DD">
        <w:t>зации права на сохранение и развитие своего собственного уклада жизни для народа саами. Таким образом</w:t>
      </w:r>
      <w:r w:rsidR="00052DF5">
        <w:t>,</w:t>
      </w:r>
      <w:r w:rsidR="00871D57" w:rsidRPr="00F672DD">
        <w:t xml:space="preserve"> саамы как единственный коренной народ Швеции удостоились особого упоминания в Конституции. </w:t>
      </w:r>
    </w:p>
    <w:p w:rsidR="00871D57" w:rsidRPr="00F672DD" w:rsidRDefault="00C2200B" w:rsidP="00871D57">
      <w:pPr>
        <w:pStyle w:val="SingleTxtGR"/>
      </w:pPr>
      <w:r>
        <w:t>17.</w:t>
      </w:r>
      <w:r>
        <w:tab/>
      </w:r>
      <w:r w:rsidR="00871D57" w:rsidRPr="00F672DD">
        <w:t>С 1 января 2011</w:t>
      </w:r>
      <w:r w:rsidR="000557E5" w:rsidRPr="000557E5">
        <w:t xml:space="preserve"> </w:t>
      </w:r>
      <w:r w:rsidR="00871D57" w:rsidRPr="00F672DD">
        <w:t>года из текста Закона о форме правления исключено сл</w:t>
      </w:r>
      <w:r w:rsidR="00871D57" w:rsidRPr="00F672DD">
        <w:t>о</w:t>
      </w:r>
      <w:r w:rsidR="00871D57" w:rsidRPr="00F672DD">
        <w:t>во "раса", вместо которого теперь используются слова "этническая принадле</w:t>
      </w:r>
      <w:r w:rsidR="00871D57" w:rsidRPr="00F672DD">
        <w:t>ж</w:t>
      </w:r>
      <w:r w:rsidR="00871D57" w:rsidRPr="00F672DD">
        <w:t>ность, цвет кожи или другие соответствующие признаки". Эти слова призваны передать смысл, который ранее вкладывался в слово "раса". Однако это слово все еще используется в обычном законодательстве. Что касается запрета на ди</w:t>
      </w:r>
      <w:r w:rsidR="00871D57" w:rsidRPr="00F672DD">
        <w:t>с</w:t>
      </w:r>
      <w:r w:rsidR="00871D57" w:rsidRPr="00F672DD">
        <w:t>криминацию, установленного Законом о форме пра</w:t>
      </w:r>
      <w:r w:rsidR="00871D57" w:rsidRPr="00F672DD">
        <w:t>в</w:t>
      </w:r>
      <w:r w:rsidR="00871D57" w:rsidRPr="00F672DD">
        <w:t>ления, то соответствующие положения этого закона не претерпели существенных измен</w:t>
      </w:r>
      <w:r w:rsidR="00871D57" w:rsidRPr="00F672DD">
        <w:t>е</w:t>
      </w:r>
      <w:r w:rsidR="00871D57" w:rsidRPr="00F672DD">
        <w:t>ний. Изменения не коснулись и положений, позволяющих в законодательном порядке огр</w:t>
      </w:r>
      <w:r w:rsidR="00871D57" w:rsidRPr="00F672DD">
        <w:t>а</w:t>
      </w:r>
      <w:r w:rsidR="00871D57" w:rsidRPr="00F672DD">
        <w:t>ничивать право на свободу собраний для групп и организаций, деятельность которых связ</w:t>
      </w:r>
      <w:r w:rsidR="00871D57" w:rsidRPr="00F672DD">
        <w:t>а</w:t>
      </w:r>
      <w:r w:rsidR="00871D57" w:rsidRPr="00F672DD">
        <w:t xml:space="preserve">на с преследованием других групп, в том числе и по расовым мотивам. </w:t>
      </w:r>
    </w:p>
    <w:p w:rsidR="00871D57" w:rsidRPr="00871D57" w:rsidRDefault="00871D57" w:rsidP="00C2200B">
      <w:pPr>
        <w:pStyle w:val="H23GR"/>
      </w:pPr>
      <w:r w:rsidRPr="00F672DD">
        <w:tab/>
      </w:r>
      <w:r w:rsidRPr="00871D57">
        <w:t>2.</w:t>
      </w:r>
      <w:r w:rsidRPr="00871D57">
        <w:tab/>
      </w:r>
      <w:r w:rsidRPr="00F672DD">
        <w:t>Уголовное</w:t>
      </w:r>
      <w:r w:rsidRPr="00871D57">
        <w:t xml:space="preserve"> </w:t>
      </w:r>
      <w:r w:rsidRPr="00F672DD">
        <w:t>законодательство</w:t>
      </w:r>
    </w:p>
    <w:p w:rsidR="00871D57" w:rsidRPr="00F672DD" w:rsidRDefault="00FD6BA6" w:rsidP="00871D57">
      <w:pPr>
        <w:pStyle w:val="SingleTxtGR"/>
      </w:pPr>
      <w:r>
        <w:t>18.</w:t>
      </w:r>
      <w:r>
        <w:tab/>
      </w:r>
      <w:r w:rsidR="00871D57" w:rsidRPr="00F672DD">
        <w:t>Уголовный кодекс содержит два положения, которые непосредственно к</w:t>
      </w:r>
      <w:r w:rsidR="00871D57" w:rsidRPr="00F672DD">
        <w:t>а</w:t>
      </w:r>
      <w:r w:rsidR="00871D57" w:rsidRPr="00F672DD">
        <w:t>саются неуважительного отношения или дискриминации по признаку расы, цвета кожи, национальной или этнической принадлежности, религиозных уб</w:t>
      </w:r>
      <w:r w:rsidR="00871D57" w:rsidRPr="00F672DD">
        <w:t>е</w:t>
      </w:r>
      <w:r w:rsidR="00871D57" w:rsidRPr="00F672DD">
        <w:t>ждений или сексуальной ориентации. Речь идет о положениях, направленных против возбуждения ненависти в отношении той или иной национальной или этнич</w:t>
      </w:r>
      <w:r w:rsidR="00871D57" w:rsidRPr="00F672DD">
        <w:t>е</w:t>
      </w:r>
      <w:r w:rsidR="00871D57" w:rsidRPr="00F672DD">
        <w:t>ской группы (статья</w:t>
      </w:r>
      <w:r w:rsidR="000557E5">
        <w:t xml:space="preserve"> </w:t>
      </w:r>
      <w:r w:rsidR="00871D57" w:rsidRPr="00F672DD">
        <w:t>8 главы</w:t>
      </w:r>
      <w:r w:rsidR="000557E5" w:rsidRPr="000557E5">
        <w:t xml:space="preserve"> </w:t>
      </w:r>
      <w:r w:rsidR="00871D57" w:rsidRPr="00F672DD">
        <w:t>16) и против незаконной дискриминации (статья</w:t>
      </w:r>
      <w:r w:rsidR="000557E5" w:rsidRPr="000557E5">
        <w:t xml:space="preserve"> </w:t>
      </w:r>
      <w:r w:rsidR="00871D57" w:rsidRPr="00F672DD">
        <w:t>9 главы</w:t>
      </w:r>
      <w:r w:rsidR="000557E5" w:rsidRPr="000557E5">
        <w:t xml:space="preserve"> </w:t>
      </w:r>
      <w:r w:rsidR="00871D57" w:rsidRPr="00F672DD">
        <w:t>16). Противодействовать деятельности, направленной на возб</w:t>
      </w:r>
      <w:r w:rsidR="00871D57" w:rsidRPr="00F672DD">
        <w:t>у</w:t>
      </w:r>
      <w:r w:rsidR="00871D57" w:rsidRPr="00F672DD">
        <w:t>ждение ненависти в отношении национальных или этнических групп, призван также Закон об ответственности за электронные сообщения (1998:112). Инфо</w:t>
      </w:r>
      <w:r w:rsidR="00871D57" w:rsidRPr="00F672DD">
        <w:t>р</w:t>
      </w:r>
      <w:r w:rsidR="00871D57" w:rsidRPr="00F672DD">
        <w:t>мация об этих и других соответствующих положениях уголовного законод</w:t>
      </w:r>
      <w:r w:rsidR="00871D57" w:rsidRPr="00F672DD">
        <w:t>а</w:t>
      </w:r>
      <w:r w:rsidR="00871D57" w:rsidRPr="00F672DD">
        <w:t>тельства содержится в пунктах</w:t>
      </w:r>
      <w:r w:rsidR="000557E5" w:rsidRPr="000557E5">
        <w:t xml:space="preserve"> </w:t>
      </w:r>
      <w:r w:rsidR="00871D57" w:rsidRPr="00F672DD">
        <w:t>31–34 двенадцатого периодического доклада и пунктах</w:t>
      </w:r>
      <w:r w:rsidR="000557E5" w:rsidRPr="000557E5">
        <w:t xml:space="preserve"> </w:t>
      </w:r>
      <w:r w:rsidR="00871D57" w:rsidRPr="00F672DD">
        <w:t>61</w:t>
      </w:r>
      <w:r>
        <w:t>−</w:t>
      </w:r>
      <w:r w:rsidR="00871D57" w:rsidRPr="00F672DD">
        <w:t>67 объединенного пятнадц</w:t>
      </w:r>
      <w:r w:rsidR="00871D57" w:rsidRPr="00F672DD">
        <w:t>а</w:t>
      </w:r>
      <w:r w:rsidR="00871D57" w:rsidRPr="00F672DD">
        <w:t>того и шестнадцатого доклада.</w:t>
      </w:r>
    </w:p>
    <w:p w:rsidR="00871D57" w:rsidRPr="00871D57" w:rsidRDefault="00FD6BA6" w:rsidP="00871D57">
      <w:pPr>
        <w:pStyle w:val="SingleTxtGR"/>
      </w:pPr>
      <w:r>
        <w:t>19.</w:t>
      </w:r>
      <w:r>
        <w:tab/>
      </w:r>
      <w:r w:rsidR="00871D57" w:rsidRPr="00F672DD">
        <w:t>Согласно пункту</w:t>
      </w:r>
      <w:r w:rsidR="000557E5" w:rsidRPr="000557E5">
        <w:t xml:space="preserve"> </w:t>
      </w:r>
      <w:r w:rsidR="00871D57" w:rsidRPr="00F672DD">
        <w:t>7 статьи</w:t>
      </w:r>
      <w:r w:rsidR="000557E5" w:rsidRPr="000557E5">
        <w:t xml:space="preserve"> </w:t>
      </w:r>
      <w:r w:rsidR="00871D57" w:rsidRPr="00F672DD">
        <w:t>2 главы</w:t>
      </w:r>
      <w:r w:rsidR="000557E5" w:rsidRPr="000557E5">
        <w:t xml:space="preserve"> </w:t>
      </w:r>
      <w:r w:rsidR="00871D57" w:rsidRPr="00F672DD">
        <w:t>29</w:t>
      </w:r>
      <w:r w:rsidR="000557E5">
        <w:t xml:space="preserve"> </w:t>
      </w:r>
      <w:r w:rsidR="00871D57" w:rsidRPr="00F672DD">
        <w:t>Уголовного кодекса, если мотив пр</w:t>
      </w:r>
      <w:r w:rsidR="00871D57" w:rsidRPr="00F672DD">
        <w:t>е</w:t>
      </w:r>
      <w:r w:rsidR="00871D57" w:rsidRPr="00F672DD">
        <w:t>ступления состоял в причинении вреда лицу, этнической группе или какой-либо другой аналогичной группе лиц по причине их расы, цвета кожи, наци</w:t>
      </w:r>
      <w:r w:rsidR="00871D57" w:rsidRPr="00F672DD">
        <w:t>о</w:t>
      </w:r>
      <w:r w:rsidR="00871D57" w:rsidRPr="00F672DD">
        <w:t>нальной или этнической принадлежности, религиозных убеждений, сексуальной орие</w:t>
      </w:r>
      <w:r w:rsidR="00871D57" w:rsidRPr="00F672DD">
        <w:t>н</w:t>
      </w:r>
      <w:r w:rsidR="00871D57" w:rsidRPr="00F672DD">
        <w:t>тации или другой аналогичной причине, то при определении судом меры нак</w:t>
      </w:r>
      <w:r w:rsidR="00871D57" w:rsidRPr="00F672DD">
        <w:t>а</w:t>
      </w:r>
      <w:r w:rsidR="00871D57" w:rsidRPr="00F672DD">
        <w:t>зания за него это считается отягчающим обстоятельством. Данное</w:t>
      </w:r>
      <w:r w:rsidR="00871D57" w:rsidRPr="00871D57">
        <w:t xml:space="preserve"> </w:t>
      </w:r>
      <w:r w:rsidR="00871D57" w:rsidRPr="00F672DD">
        <w:t>положение</w:t>
      </w:r>
      <w:r w:rsidR="00871D57" w:rsidRPr="00871D57">
        <w:t xml:space="preserve"> </w:t>
      </w:r>
      <w:r w:rsidR="00871D57" w:rsidRPr="00F672DD">
        <w:t>распространяется</w:t>
      </w:r>
      <w:r w:rsidR="00871D57" w:rsidRPr="00871D57">
        <w:t xml:space="preserve"> </w:t>
      </w:r>
      <w:r w:rsidR="00871D57" w:rsidRPr="00F672DD">
        <w:t>на</w:t>
      </w:r>
      <w:r w:rsidR="00871D57" w:rsidRPr="00871D57">
        <w:t xml:space="preserve"> </w:t>
      </w:r>
      <w:r w:rsidR="00871D57" w:rsidRPr="00F672DD">
        <w:t>все</w:t>
      </w:r>
      <w:r w:rsidR="00871D57" w:rsidRPr="00871D57">
        <w:t xml:space="preserve"> </w:t>
      </w:r>
      <w:r w:rsidR="00871D57" w:rsidRPr="00F672DD">
        <w:t>виды</w:t>
      </w:r>
      <w:r w:rsidR="00871D57" w:rsidRPr="00871D57">
        <w:t xml:space="preserve"> </w:t>
      </w:r>
      <w:r w:rsidR="00871D57" w:rsidRPr="00F672DD">
        <w:t>преступлений</w:t>
      </w:r>
      <w:r w:rsidR="00871D57" w:rsidRPr="00871D57">
        <w:t xml:space="preserve">. </w:t>
      </w:r>
    </w:p>
    <w:p w:rsidR="00871D57" w:rsidRPr="00C2200B" w:rsidRDefault="00871D57" w:rsidP="00C2200B">
      <w:pPr>
        <w:pStyle w:val="H23GR"/>
      </w:pPr>
      <w:r w:rsidRPr="00C2200B">
        <w:tab/>
        <w:t>3.</w:t>
      </w:r>
      <w:r w:rsidRPr="00C2200B">
        <w:tab/>
        <w:t>Применение уголовного законодательства для борьбы с прест</w:t>
      </w:r>
      <w:r w:rsidRPr="00C2200B">
        <w:t>у</w:t>
      </w:r>
      <w:r w:rsidRPr="00C2200B">
        <w:t>плениями на</w:t>
      </w:r>
      <w:r w:rsidR="00A55A82">
        <w:t> </w:t>
      </w:r>
      <w:r w:rsidRPr="00C2200B">
        <w:t>почве ненависти (с учетом пункта</w:t>
      </w:r>
      <w:r w:rsidR="000557E5">
        <w:t xml:space="preserve"> </w:t>
      </w:r>
      <w:r w:rsidRPr="00C2200B">
        <w:t>15 рекомендаций Комит</w:t>
      </w:r>
      <w:r w:rsidRPr="00C2200B">
        <w:t>е</w:t>
      </w:r>
      <w:r w:rsidRPr="00C2200B">
        <w:t>та)</w:t>
      </w:r>
    </w:p>
    <w:p w:rsidR="00871D57" w:rsidRPr="00C2200B" w:rsidRDefault="00871D57" w:rsidP="00C2200B">
      <w:pPr>
        <w:pStyle w:val="H23GR"/>
      </w:pPr>
      <w:r w:rsidRPr="00C2200B">
        <w:tab/>
        <w:t>a)</w:t>
      </w:r>
      <w:r w:rsidRPr="00C2200B">
        <w:tab/>
        <w:t>Меры правоохранительной системы, направленные на борьбу с</w:t>
      </w:r>
      <w:r w:rsidR="00E94EE7">
        <w:rPr>
          <w:lang w:val="en-US"/>
        </w:rPr>
        <w:t> </w:t>
      </w:r>
      <w:r w:rsidRPr="00C2200B">
        <w:t xml:space="preserve">преступлениями на почве ненависти </w:t>
      </w:r>
    </w:p>
    <w:p w:rsidR="00871D57" w:rsidRPr="00F672DD" w:rsidRDefault="00871D57" w:rsidP="00DE5AEB">
      <w:pPr>
        <w:pStyle w:val="H4GR"/>
        <w:spacing w:before="240"/>
      </w:pPr>
      <w:r w:rsidRPr="00F672DD">
        <w:tab/>
      </w:r>
      <w:r w:rsidRPr="00F672DD">
        <w:rPr>
          <w:lang w:val="en-GB"/>
        </w:rPr>
        <w:t>i</w:t>
      </w:r>
      <w:r w:rsidRPr="00871D57">
        <w:t>)</w:t>
      </w:r>
      <w:r w:rsidRPr="00871D57">
        <w:tab/>
      </w:r>
      <w:r w:rsidRPr="00F672DD">
        <w:t>Полиция</w:t>
      </w:r>
    </w:p>
    <w:p w:rsidR="00871D57" w:rsidRPr="00F672DD" w:rsidRDefault="00FD6BA6" w:rsidP="00871D57">
      <w:pPr>
        <w:pStyle w:val="SingleTxtGR"/>
      </w:pPr>
      <w:r>
        <w:t>20.</w:t>
      </w:r>
      <w:r>
        <w:tab/>
      </w:r>
      <w:r w:rsidR="00871D57" w:rsidRPr="00F672DD">
        <w:t>Органами полиции принимаются особые меры для борьбы с преступл</w:t>
      </w:r>
      <w:r w:rsidR="00871D57" w:rsidRPr="00F672DD">
        <w:t>е</w:t>
      </w:r>
      <w:r w:rsidR="00871D57" w:rsidRPr="00F672DD">
        <w:t>ниями на почве ненависти. Преступления, совершенные на почве ненависти, должны выявляться максимально оперативно, в том числе в целях скорейшего оказания надлежащей помощи жертвам таких преступлений. Поэтому зарегис</w:t>
      </w:r>
      <w:r w:rsidR="00871D57" w:rsidRPr="00F672DD">
        <w:t>т</w:t>
      </w:r>
      <w:r w:rsidR="00871D57" w:rsidRPr="00F672DD">
        <w:t>рированные преступления регулярно проверяются на наличие мотива ненави</w:t>
      </w:r>
      <w:r w:rsidR="00871D57" w:rsidRPr="00F672DD">
        <w:t>с</w:t>
      </w:r>
      <w:r w:rsidR="00871D57" w:rsidRPr="00F672DD">
        <w:t>ти. Во многих местных органах полиции работают следователи, специально з</w:t>
      </w:r>
      <w:r w:rsidR="00871D57" w:rsidRPr="00F672DD">
        <w:t>а</w:t>
      </w:r>
      <w:r w:rsidR="00871D57" w:rsidRPr="00F672DD">
        <w:t>нимающиеся такого рода преступлениями, а для сотрудников региональных о</w:t>
      </w:r>
      <w:r w:rsidR="00871D57" w:rsidRPr="00F672DD">
        <w:t>р</w:t>
      </w:r>
      <w:r w:rsidR="00871D57" w:rsidRPr="00F672DD">
        <w:t xml:space="preserve">ганов постоянно организуются занятия по тематике таких преступлений. </w:t>
      </w:r>
    </w:p>
    <w:p w:rsidR="00871D57" w:rsidRPr="00F672DD" w:rsidRDefault="00FD6BA6" w:rsidP="00871D57">
      <w:pPr>
        <w:pStyle w:val="SingleTxtGR"/>
      </w:pPr>
      <w:r>
        <w:t>21.</w:t>
      </w:r>
      <w:r>
        <w:tab/>
      </w:r>
      <w:r w:rsidR="00871D57" w:rsidRPr="00F672DD">
        <w:t>В полицейском управлении Стокгольма для координации усилий по бор</w:t>
      </w:r>
      <w:r w:rsidR="00871D57" w:rsidRPr="00F672DD">
        <w:t>ь</w:t>
      </w:r>
      <w:r w:rsidR="00871D57" w:rsidRPr="00F672DD">
        <w:t>бе с прест</w:t>
      </w:r>
      <w:r w:rsidR="00871D57" w:rsidRPr="00F672DD">
        <w:t>у</w:t>
      </w:r>
      <w:r w:rsidR="00871D57" w:rsidRPr="00F672DD">
        <w:t>плениями на почве ненависти создана специальная дежурная группа. Эта группа обучает сотрудников методам обращения с жертвами преступлений и оказывает помощь в расследовании жалоб на противоправные действия на почве ненависти, с тем чтобы обеспечить неотвратимость наказания за такие действия. Кроме того, она сотрудничает с рядом организаций, заинтересова</w:t>
      </w:r>
      <w:r w:rsidR="00871D57" w:rsidRPr="00F672DD">
        <w:t>н</w:t>
      </w:r>
      <w:r w:rsidR="00871D57" w:rsidRPr="00F672DD">
        <w:t>ных групп, специалистов, занимающихся исследовательской деятельностью, и</w:t>
      </w:r>
      <w:r w:rsidR="00052DF5">
        <w:t> </w:t>
      </w:r>
      <w:r w:rsidR="00871D57" w:rsidRPr="00F672DD">
        <w:t>государственных учреждений.</w:t>
      </w:r>
    </w:p>
    <w:p w:rsidR="00871D57" w:rsidRPr="00F672DD" w:rsidRDefault="00FD6BA6" w:rsidP="00871D57">
      <w:pPr>
        <w:pStyle w:val="SingleTxtGR"/>
      </w:pPr>
      <w:r>
        <w:t>22.</w:t>
      </w:r>
      <w:r>
        <w:tab/>
      </w:r>
      <w:r w:rsidR="00871D57" w:rsidRPr="00F672DD">
        <w:t>В штате окружных полицейских управлений Стокгольма, Вестра-Гётланда и Сконе имеются специальные сотрудники, выполняющие функции связующего звена между старшими офицерами полиции и организаторами ра</w:t>
      </w:r>
      <w:r w:rsidR="00871D57" w:rsidRPr="00F672DD">
        <w:t>з</w:t>
      </w:r>
      <w:r w:rsidR="00871D57" w:rsidRPr="00F672DD">
        <w:t>личного рода публичных мероприятий, особенно демонстраций. Они призваны содействовать поддержанию диалога во избежание недопонимания в связи с демонстрациями и другими формами выражения общественного мнения.</w:t>
      </w:r>
    </w:p>
    <w:p w:rsidR="00871D57" w:rsidRPr="00FD6BA6" w:rsidRDefault="00871D57" w:rsidP="00DE5AEB">
      <w:pPr>
        <w:pStyle w:val="H4GR"/>
        <w:spacing w:before="240"/>
      </w:pPr>
      <w:r w:rsidRPr="00FD6BA6">
        <w:tab/>
        <w:t>ii)</w:t>
      </w:r>
      <w:r w:rsidRPr="00FD6BA6">
        <w:tab/>
        <w:t>Прокуратура и Канцлер юстиции</w:t>
      </w:r>
    </w:p>
    <w:p w:rsidR="00871D57" w:rsidRPr="00F672DD" w:rsidRDefault="00FD6BA6" w:rsidP="00871D57">
      <w:pPr>
        <w:pStyle w:val="SingleTxtGR"/>
      </w:pPr>
      <w:r>
        <w:t>23.</w:t>
      </w:r>
      <w:r>
        <w:tab/>
      </w:r>
      <w:r w:rsidR="00871D57" w:rsidRPr="00F672DD">
        <w:t>Прокуратура Швеции по-прежнему считает борьбу с преступлениями на почве ненависти одной из своих приоритетных задач. Курс базовой учебной подготовки прокурорских работников, который проходят все вновь назначенные сотрудники, включает двенадцать занятий по правам человека, на которых ра</w:t>
      </w:r>
      <w:r w:rsidR="00871D57" w:rsidRPr="00F672DD">
        <w:t>с</w:t>
      </w:r>
      <w:r w:rsidR="00871D57" w:rsidRPr="00F672DD">
        <w:t>сматриваются в том числе и вопросы, касающиеся преступлений на почве нен</w:t>
      </w:r>
      <w:r w:rsidR="00871D57" w:rsidRPr="00F672DD">
        <w:t>а</w:t>
      </w:r>
      <w:r w:rsidR="00871D57" w:rsidRPr="00F672DD">
        <w:t>висти.</w:t>
      </w:r>
    </w:p>
    <w:p w:rsidR="00871D57" w:rsidRPr="00F672DD" w:rsidRDefault="00FD6BA6" w:rsidP="00871D57">
      <w:pPr>
        <w:pStyle w:val="SingleTxtGR"/>
      </w:pPr>
      <w:r>
        <w:t>24.</w:t>
      </w:r>
      <w:r>
        <w:tab/>
      </w:r>
      <w:r w:rsidR="00871D57" w:rsidRPr="00F672DD">
        <w:t>Специальным Центром развития при Прокуратуре Швеции, занима</w:t>
      </w:r>
      <w:r w:rsidR="00871D57" w:rsidRPr="00F672DD">
        <w:t>ю</w:t>
      </w:r>
      <w:r w:rsidR="00871D57" w:rsidRPr="00F672DD">
        <w:t>щимся, в частности, вопросами преступности на почве ненависти и вопросами прав ч</w:t>
      </w:r>
      <w:r w:rsidR="00871D57" w:rsidRPr="00F672DD">
        <w:t>е</w:t>
      </w:r>
      <w:r w:rsidR="00871D57" w:rsidRPr="00F672DD">
        <w:t>ловека в контексте уголовного законодательства, в настоящее время осуществляется проект по созданию механизмов, которые способствовали бы более эффективному выявлению преступлений на почве ненависти. Предпол</w:t>
      </w:r>
      <w:r w:rsidR="00871D57" w:rsidRPr="00F672DD">
        <w:t>а</w:t>
      </w:r>
      <w:r w:rsidR="00871D57" w:rsidRPr="00F672DD">
        <w:t>гается, что такие механизмы будут затем использоваться для оценки того, как расследуются соответствующие дела, устранения выявленных недостатков и</w:t>
      </w:r>
      <w:r w:rsidR="00E94EE7">
        <w:rPr>
          <w:lang w:val="en-US"/>
        </w:rPr>
        <w:t> </w:t>
      </w:r>
      <w:r w:rsidR="00871D57" w:rsidRPr="00F672DD">
        <w:t>совершенствования всей системы правосудия. Прокуратура Швеции пытается выяснить, что происходит с делами, касающимися преступлений на почве нен</w:t>
      </w:r>
      <w:r w:rsidR="00871D57" w:rsidRPr="00F672DD">
        <w:t>а</w:t>
      </w:r>
      <w:r w:rsidR="00871D57" w:rsidRPr="00F672DD">
        <w:t>висти, п</w:t>
      </w:r>
      <w:r w:rsidR="00871D57" w:rsidRPr="00F672DD">
        <w:t>о</w:t>
      </w:r>
      <w:r w:rsidR="00871D57" w:rsidRPr="00F672DD">
        <w:t>сле завершения их расследования, и в какой степени мотив ненависти служит отягчающим обстоятельством при определении меры наказания за такие пр</w:t>
      </w:r>
      <w:r w:rsidR="00871D57" w:rsidRPr="00F672DD">
        <w:t>е</w:t>
      </w:r>
      <w:r w:rsidR="00871D57" w:rsidRPr="00F672DD">
        <w:t>ступления. Это должно обеспечить возможности для дальнейшего развития и создать основу для более тщательного контроля за действиями полиции и прокуратуры в связи с преступлениями на почве ненависти.</w:t>
      </w:r>
    </w:p>
    <w:p w:rsidR="00871D57" w:rsidRPr="00F672DD" w:rsidRDefault="00FD6BA6" w:rsidP="00871D57">
      <w:pPr>
        <w:pStyle w:val="SingleTxtGR"/>
      </w:pPr>
      <w:r>
        <w:t>25.</w:t>
      </w:r>
      <w:r>
        <w:tab/>
      </w:r>
      <w:r w:rsidR="00871D57" w:rsidRPr="00F672DD">
        <w:t>В 2011</w:t>
      </w:r>
      <w:r w:rsidR="000557E5">
        <w:t xml:space="preserve"> </w:t>
      </w:r>
      <w:r w:rsidR="00871D57" w:rsidRPr="00F672DD">
        <w:t>году Центр развития при прокуратуре Швеции принял участие в</w:t>
      </w:r>
      <w:r w:rsidR="00E94EE7">
        <w:rPr>
          <w:lang w:val="en-US"/>
        </w:rPr>
        <w:t> </w:t>
      </w:r>
      <w:r w:rsidR="00871D57" w:rsidRPr="00F672DD">
        <w:t>разработке под эгидой ОБСЕ (БДИПЧ) нового методического руководства для прокурорских работников, занимающихся преступлениями на почве ненависти. В настоящее время это руков</w:t>
      </w:r>
      <w:r w:rsidR="00871D57" w:rsidRPr="00F672DD">
        <w:t>о</w:t>
      </w:r>
      <w:r w:rsidR="00871D57" w:rsidRPr="00F672DD">
        <w:t>дство готовится к публикации.</w:t>
      </w:r>
    </w:p>
    <w:p w:rsidR="00871D57" w:rsidRPr="00F672DD" w:rsidRDefault="00FD6BA6" w:rsidP="00871D57">
      <w:pPr>
        <w:pStyle w:val="SingleTxtGR"/>
      </w:pPr>
      <w:r>
        <w:t>26.</w:t>
      </w:r>
      <w:r>
        <w:tab/>
      </w:r>
      <w:r w:rsidR="00871D57" w:rsidRPr="00F672DD">
        <w:t>Управление Канцлера юстиции, единолично отвечающего за борьбу с</w:t>
      </w:r>
      <w:r w:rsidR="00383E60">
        <w:rPr>
          <w:lang w:val="en-US"/>
        </w:rPr>
        <w:t> </w:t>
      </w:r>
      <w:r w:rsidR="00871D57" w:rsidRPr="00F672DD">
        <w:t>преступлениями против свободы прессы и свободы выражения мнений, в</w:t>
      </w:r>
      <w:r w:rsidR="00052DF5">
        <w:t> </w:t>
      </w:r>
      <w:r w:rsidR="00871D57" w:rsidRPr="00F672DD">
        <w:t>2011</w:t>
      </w:r>
      <w:r w:rsidR="00F823E7">
        <w:t> </w:t>
      </w:r>
      <w:r w:rsidR="00871D57" w:rsidRPr="00F672DD">
        <w:t>году начало предварительное расследование трех дел о разжигании н</w:t>
      </w:r>
      <w:r w:rsidR="00871D57" w:rsidRPr="00F672DD">
        <w:t>е</w:t>
      </w:r>
      <w:r w:rsidR="00871D57" w:rsidRPr="00F672DD">
        <w:t>нависти в отношении национальных или этнических групп. Это расследование еще продолжается, однако одно из дел уже передано в суд. Число предвар</w:t>
      </w:r>
      <w:r w:rsidR="00871D57" w:rsidRPr="00F672DD">
        <w:t>и</w:t>
      </w:r>
      <w:r w:rsidR="00871D57" w:rsidRPr="00F672DD">
        <w:t>тельных расследований по такого рода делам в последние годы имеет тенде</w:t>
      </w:r>
      <w:r w:rsidR="00871D57" w:rsidRPr="00F672DD">
        <w:t>н</w:t>
      </w:r>
      <w:r w:rsidR="00871D57" w:rsidRPr="00F672DD">
        <w:t>цию к сокр</w:t>
      </w:r>
      <w:r w:rsidR="00871D57" w:rsidRPr="00F672DD">
        <w:t>а</w:t>
      </w:r>
      <w:r w:rsidR="00871D57" w:rsidRPr="00F672DD">
        <w:t>щению.</w:t>
      </w:r>
    </w:p>
    <w:p w:rsidR="00871D57" w:rsidRPr="00C2200B" w:rsidRDefault="00871D57" w:rsidP="00C2200B">
      <w:pPr>
        <w:pStyle w:val="H23GR"/>
      </w:pPr>
      <w:r w:rsidRPr="00C2200B">
        <w:tab/>
        <w:t>b)</w:t>
      </w:r>
      <w:r w:rsidRPr="00C2200B">
        <w:tab/>
        <w:t>Статистические данные о преступлениях на почве ненависти и других аналогичных преступлениях</w:t>
      </w:r>
    </w:p>
    <w:p w:rsidR="00871D57" w:rsidRPr="00F672DD" w:rsidRDefault="00FD6BA6" w:rsidP="00871D57">
      <w:pPr>
        <w:pStyle w:val="SingleTxtGR"/>
      </w:pPr>
      <w:r>
        <w:t>27.</w:t>
      </w:r>
      <w:r>
        <w:tab/>
      </w:r>
      <w:r w:rsidR="00871D57" w:rsidRPr="00F672DD">
        <w:t>В 2006</w:t>
      </w:r>
      <w:r w:rsidR="000557E5" w:rsidRPr="000557E5">
        <w:t xml:space="preserve"> </w:t>
      </w:r>
      <w:r w:rsidR="00871D57" w:rsidRPr="00F672DD">
        <w:t>году обязанности по ведению статистического учета преступл</w:t>
      </w:r>
      <w:r w:rsidR="00871D57" w:rsidRPr="00F672DD">
        <w:t>е</w:t>
      </w:r>
      <w:r w:rsidR="00871D57" w:rsidRPr="00F672DD">
        <w:t>ний на почве ненависти перешли от Статистического управления Швеции к Н</w:t>
      </w:r>
      <w:r w:rsidR="00871D57" w:rsidRPr="00F672DD">
        <w:t>а</w:t>
      </w:r>
      <w:r w:rsidR="00871D57" w:rsidRPr="00F672DD">
        <w:t>циональному совету по предупреждению преступности. Основным источником публикуемых ежегодно статистических данных о такого рода преступлениях являются регистрационные журналы органов полиции. В 2008</w:t>
      </w:r>
      <w:r w:rsidR="000557E5">
        <w:t xml:space="preserve"> </w:t>
      </w:r>
      <w:r w:rsidR="00871D57" w:rsidRPr="00F672DD">
        <w:t>году Совет пер</w:t>
      </w:r>
      <w:r w:rsidR="00871D57" w:rsidRPr="00F672DD">
        <w:t>е</w:t>
      </w:r>
      <w:r w:rsidR="00871D57" w:rsidRPr="00F672DD">
        <w:t>смотрел определение преступления на почве ненависти, используемое для ц</w:t>
      </w:r>
      <w:r w:rsidR="00871D57" w:rsidRPr="00F672DD">
        <w:t>е</w:t>
      </w:r>
      <w:r w:rsidR="00871D57" w:rsidRPr="00F672DD">
        <w:t>лей статистического учета этого вида преступлений. Помимо преступл</w:t>
      </w:r>
      <w:r w:rsidR="00871D57" w:rsidRPr="00F672DD">
        <w:t>е</w:t>
      </w:r>
      <w:r w:rsidR="00871D57" w:rsidRPr="00F672DD">
        <w:t>ний на почве ксенофобии и расовой ненависти против представителей меньшинств, а</w:t>
      </w:r>
      <w:r w:rsidR="00964605">
        <w:rPr>
          <w:lang w:val="en-US"/>
        </w:rPr>
        <w:t> </w:t>
      </w:r>
      <w:r w:rsidR="00871D57" w:rsidRPr="00F672DD">
        <w:t>также преступлений на почве исламофобии, антисемитизма и гомофобии, это определение теперь включает преступления на почве ксенофобии, совершенные представителями меньшинств против представителей других меньшинств или против представителей большинства населения, преступления на почве религ</w:t>
      </w:r>
      <w:r w:rsidR="00871D57" w:rsidRPr="00F672DD">
        <w:t>и</w:t>
      </w:r>
      <w:r w:rsidR="00871D57" w:rsidRPr="00F672DD">
        <w:t>озной ненависти и преступления на почве враждебного отношения к бисексу</w:t>
      </w:r>
      <w:r w:rsidR="00871D57" w:rsidRPr="00F672DD">
        <w:t>а</w:t>
      </w:r>
      <w:r w:rsidR="00871D57" w:rsidRPr="00F672DD">
        <w:t>лам, гетеросексуалам и трансвеститам. Кроме того, с 2008</w:t>
      </w:r>
      <w:r w:rsidR="000557E5">
        <w:t xml:space="preserve"> </w:t>
      </w:r>
      <w:r w:rsidR="00871D57" w:rsidRPr="00F672DD">
        <w:t>года ведется отдел</w:t>
      </w:r>
      <w:r w:rsidR="00871D57" w:rsidRPr="00F672DD">
        <w:t>ь</w:t>
      </w:r>
      <w:r w:rsidR="00871D57" w:rsidRPr="00F672DD">
        <w:t>ный учет преступлений на почве враждебного отношения к лицам африканск</w:t>
      </w:r>
      <w:r w:rsidR="00871D57" w:rsidRPr="00F672DD">
        <w:t>о</w:t>
      </w:r>
      <w:r w:rsidR="00871D57" w:rsidRPr="00F672DD">
        <w:t>го происхождения и цыганам.</w:t>
      </w:r>
    </w:p>
    <w:p w:rsidR="00871D57" w:rsidRPr="00F672DD" w:rsidRDefault="00FD6BA6" w:rsidP="00871D57">
      <w:pPr>
        <w:pStyle w:val="SingleTxtGR"/>
      </w:pPr>
      <w:r>
        <w:t>28.</w:t>
      </w:r>
      <w:r>
        <w:tab/>
      </w:r>
      <w:r w:rsidR="00871D57" w:rsidRPr="00F672DD">
        <w:t>С 2008</w:t>
      </w:r>
      <w:r w:rsidR="000557E5" w:rsidRPr="000557E5">
        <w:t xml:space="preserve"> </w:t>
      </w:r>
      <w:r w:rsidR="00871D57" w:rsidRPr="00F672DD">
        <w:t>года при сборе статистических данных о преступлениях на почве ненависти в дополнение к соответствующим принципам поиска и отбора и</w:t>
      </w:r>
      <w:r w:rsidR="00871D57" w:rsidRPr="00F672DD">
        <w:t>н</w:t>
      </w:r>
      <w:r w:rsidR="00871D57" w:rsidRPr="00F672DD">
        <w:t>формации шведской полицией используется специальный электронный маркер, позволяющий идентифицировать такие преступления в соответствующих ко</w:t>
      </w:r>
      <w:r w:rsidR="00871D57" w:rsidRPr="00F672DD">
        <w:t>м</w:t>
      </w:r>
      <w:r w:rsidR="00871D57" w:rsidRPr="00F672DD">
        <w:t>пьютеризированных системах. Это является одной из причин некоторого ув</w:t>
      </w:r>
      <w:r w:rsidR="00871D57" w:rsidRPr="00F672DD">
        <w:t>е</w:t>
      </w:r>
      <w:r w:rsidR="00871D57" w:rsidRPr="00F672DD">
        <w:t>личения числа выявленных преступлений на почве ненависти. С 2007</w:t>
      </w:r>
      <w:r w:rsidR="000557E5">
        <w:t xml:space="preserve"> </w:t>
      </w:r>
      <w:r w:rsidR="00871D57" w:rsidRPr="00F672DD">
        <w:t>года с</w:t>
      </w:r>
      <w:r w:rsidR="00964605">
        <w:rPr>
          <w:lang w:val="en-US"/>
        </w:rPr>
        <w:t> </w:t>
      </w:r>
      <w:r w:rsidR="00871D57" w:rsidRPr="00F672DD">
        <w:t>учетом результатов проведенного Национальным советом по предупреждению преступности исследования, посвященного теме безопасности в шведском о</w:t>
      </w:r>
      <w:r w:rsidR="00871D57" w:rsidRPr="00F672DD">
        <w:t>б</w:t>
      </w:r>
      <w:r w:rsidR="00871D57" w:rsidRPr="00F672DD">
        <w:t>ществе, ведется также статистический учет индивидуальных сообщений о пр</w:t>
      </w:r>
      <w:r w:rsidR="00871D57" w:rsidRPr="00F672DD">
        <w:t>е</w:t>
      </w:r>
      <w:r w:rsidR="00871D57" w:rsidRPr="00F672DD">
        <w:t>ступлениях на почве кс</w:t>
      </w:r>
      <w:r w:rsidR="00871D57" w:rsidRPr="00F672DD">
        <w:t>е</w:t>
      </w:r>
      <w:r w:rsidR="00871D57" w:rsidRPr="00F672DD">
        <w:t xml:space="preserve">нофобии и гомофобии. </w:t>
      </w:r>
    </w:p>
    <w:p w:rsidR="00871D57" w:rsidRPr="00F672DD" w:rsidRDefault="006B159C" w:rsidP="00871D57">
      <w:pPr>
        <w:pStyle w:val="SingleTxtGR"/>
      </w:pPr>
      <w:r>
        <w:t>29.</w:t>
      </w:r>
      <w:r>
        <w:tab/>
      </w:r>
      <w:r w:rsidR="00871D57" w:rsidRPr="00F672DD">
        <w:t>В настоящее время невозможно проследить за судьбой всех дел, связа</w:t>
      </w:r>
      <w:r w:rsidR="00871D57" w:rsidRPr="00F672DD">
        <w:t>н</w:t>
      </w:r>
      <w:r w:rsidR="00871D57" w:rsidRPr="00F672DD">
        <w:t>ных с преступлениями на почве ненависти. Однако уже в течение некоторого времени предпринимаются серьезные усилия по созданию в рамках правоохр</w:t>
      </w:r>
      <w:r w:rsidR="00871D57" w:rsidRPr="00F672DD">
        <w:t>а</w:t>
      </w:r>
      <w:r w:rsidR="00871D57" w:rsidRPr="00F672DD">
        <w:t>нительной системы механизма отчетности, включая механизм статистического учета преступлений, что позволит, среди прочего, обеспечить контроль за пр</w:t>
      </w:r>
      <w:r w:rsidR="00871D57" w:rsidRPr="00F672DD">
        <w:t>о</w:t>
      </w:r>
      <w:r w:rsidR="00871D57" w:rsidRPr="00F672DD">
        <w:t xml:space="preserve">хождением дел в рамках этой системы. </w:t>
      </w:r>
    </w:p>
    <w:p w:rsidR="00871D57" w:rsidRPr="00F672DD" w:rsidRDefault="006B159C" w:rsidP="00871D57">
      <w:pPr>
        <w:pStyle w:val="SingleTxtGR"/>
      </w:pPr>
      <w:r>
        <w:t>30.</w:t>
      </w:r>
      <w:r>
        <w:tab/>
      </w:r>
      <w:r w:rsidR="00871D57" w:rsidRPr="00F672DD">
        <w:t>В 2004–2007 годах полицией ежегодно регистрировалось от 3</w:t>
      </w:r>
      <w:r w:rsidR="000557E5" w:rsidRPr="000557E5">
        <w:t xml:space="preserve"> </w:t>
      </w:r>
      <w:r w:rsidR="00871D57" w:rsidRPr="00F672DD">
        <w:t>000 до 3</w:t>
      </w:r>
      <w:r w:rsidR="001A4503">
        <w:t> </w:t>
      </w:r>
      <w:r w:rsidR="00871D57" w:rsidRPr="00F672DD">
        <w:t>500 преступлений на почве ненависти. В 2008</w:t>
      </w:r>
      <w:r w:rsidR="000557E5">
        <w:t xml:space="preserve"> </w:t>
      </w:r>
      <w:r w:rsidR="00871D57" w:rsidRPr="00F672DD">
        <w:t>году в связи с пересмотром о</w:t>
      </w:r>
      <w:r w:rsidR="00871D57" w:rsidRPr="00F672DD">
        <w:t>п</w:t>
      </w:r>
      <w:r w:rsidR="00871D57" w:rsidRPr="00F672DD">
        <w:t>ределения преступления на почве ненависти и включением в число жертв таких преступлений новых групп пострадавших эта цифра увеличилось до 5</w:t>
      </w:r>
      <w:r w:rsidR="000557E5" w:rsidRPr="000557E5">
        <w:t xml:space="preserve"> </w:t>
      </w:r>
      <w:r>
        <w:t>895. В</w:t>
      </w:r>
      <w:r w:rsidR="001A4503">
        <w:t> </w:t>
      </w:r>
      <w:r w:rsidR="00871D57" w:rsidRPr="00F672DD">
        <w:t>дальнейшем, однако, она несколько уменьшилась. В 2010</w:t>
      </w:r>
      <w:r w:rsidR="000557E5">
        <w:t xml:space="preserve"> </w:t>
      </w:r>
      <w:r w:rsidR="00871D57" w:rsidRPr="00F672DD">
        <w:t>году, например, число таких преступлений составило 5</w:t>
      </w:r>
      <w:r w:rsidR="000557E5" w:rsidRPr="000557E5">
        <w:t xml:space="preserve"> </w:t>
      </w:r>
      <w:r w:rsidR="00871D57" w:rsidRPr="00F672DD">
        <w:t>139, из которых 40</w:t>
      </w:r>
      <w:r>
        <w:t>%</w:t>
      </w:r>
      <w:r w:rsidR="00871D57" w:rsidRPr="00F672DD">
        <w:t xml:space="preserve"> составляли пр</w:t>
      </w:r>
      <w:r w:rsidR="00871D57" w:rsidRPr="00F672DD">
        <w:t>е</w:t>
      </w:r>
      <w:r w:rsidR="00871D57" w:rsidRPr="00F672DD">
        <w:t>ступления, связанные с угрозами и хулиганскими выходками, 10</w:t>
      </w:r>
      <w:r>
        <w:t xml:space="preserve">% − </w:t>
      </w:r>
      <w:r w:rsidR="00871D57" w:rsidRPr="00F672DD">
        <w:t>преступл</w:t>
      </w:r>
      <w:r w:rsidR="00871D57" w:rsidRPr="00F672DD">
        <w:t>е</w:t>
      </w:r>
      <w:r w:rsidR="00871D57" w:rsidRPr="00F672DD">
        <w:t>ния, связанные с возбуждением ненависти в отношении тех или иных наци</w:t>
      </w:r>
      <w:r w:rsidR="00871D57" w:rsidRPr="00F672DD">
        <w:t>о</w:t>
      </w:r>
      <w:r w:rsidR="00871D57" w:rsidRPr="00F672DD">
        <w:t>нальных или этнических групп, и 3</w:t>
      </w:r>
      <w:r w:rsidR="00FD6BA6">
        <w:t>%</w:t>
      </w:r>
      <w:r w:rsidR="000557E5">
        <w:t xml:space="preserve"> </w:t>
      </w:r>
      <w:r w:rsidR="00871D57" w:rsidRPr="00F672DD">
        <w:t>– случаи незаконной дискримин</w:t>
      </w:r>
      <w:r w:rsidR="00871D57" w:rsidRPr="00F672DD">
        <w:t>а</w:t>
      </w:r>
      <w:r w:rsidR="00871D57" w:rsidRPr="00F672DD">
        <w:t>ции.</w:t>
      </w:r>
    </w:p>
    <w:p w:rsidR="00871D57" w:rsidRPr="00F672DD" w:rsidRDefault="006B159C" w:rsidP="00871D57">
      <w:pPr>
        <w:pStyle w:val="SingleTxtGR"/>
      </w:pPr>
      <w:r>
        <w:t>31.</w:t>
      </w:r>
      <w:r>
        <w:tab/>
      </w:r>
      <w:r w:rsidR="00871D57" w:rsidRPr="00F672DD">
        <w:t>Аналогичная тенденция наблюдалась и в отношении числа зарегистрир</w:t>
      </w:r>
      <w:r w:rsidR="00871D57" w:rsidRPr="00F672DD">
        <w:t>о</w:t>
      </w:r>
      <w:r w:rsidR="00871D57" w:rsidRPr="00F672DD">
        <w:t>ванных полицией преступлений на почве ксенофобии и расизма. В</w:t>
      </w:r>
      <w:r w:rsidR="000557E5">
        <w:t xml:space="preserve"> </w:t>
      </w:r>
      <w:r w:rsidR="00871D57" w:rsidRPr="00F672DD">
        <w:t>период 2004–2007</w:t>
      </w:r>
      <w:r w:rsidR="000557E5">
        <w:t xml:space="preserve"> </w:t>
      </w:r>
      <w:r w:rsidR="00871D57" w:rsidRPr="00F672DD">
        <w:t>годов число т</w:t>
      </w:r>
      <w:r w:rsidR="00871D57" w:rsidRPr="00F672DD">
        <w:t>а</w:t>
      </w:r>
      <w:r w:rsidR="00871D57" w:rsidRPr="00F672DD">
        <w:t>ких преступлений составляло 2</w:t>
      </w:r>
      <w:r w:rsidR="000557E5" w:rsidRPr="000557E5">
        <w:t xml:space="preserve"> </w:t>
      </w:r>
      <w:r w:rsidR="00871D57" w:rsidRPr="00F672DD">
        <w:t>200–2</w:t>
      </w:r>
      <w:r w:rsidR="000557E5" w:rsidRPr="000557E5">
        <w:t xml:space="preserve"> </w:t>
      </w:r>
      <w:r w:rsidR="00871D57" w:rsidRPr="00F672DD">
        <w:t>500 в год. В</w:t>
      </w:r>
      <w:r w:rsidR="001A4503">
        <w:t> </w:t>
      </w:r>
      <w:r w:rsidR="00871D57" w:rsidRPr="00F672DD">
        <w:t>2008</w:t>
      </w:r>
      <w:r w:rsidR="000557E5" w:rsidRPr="000557E5">
        <w:t xml:space="preserve"> </w:t>
      </w:r>
      <w:r w:rsidR="00871D57" w:rsidRPr="00F672DD">
        <w:t>году оно увеличилось до 4</w:t>
      </w:r>
      <w:r w:rsidR="000557E5" w:rsidRPr="000557E5">
        <w:t xml:space="preserve"> </w:t>
      </w:r>
      <w:r w:rsidR="00871D57" w:rsidRPr="00F672DD">
        <w:t>224, а з</w:t>
      </w:r>
      <w:r w:rsidR="00871D57" w:rsidRPr="00F672DD">
        <w:t>а</w:t>
      </w:r>
      <w:r w:rsidR="00871D57" w:rsidRPr="00F672DD">
        <w:t>тем сократилось до 3</w:t>
      </w:r>
      <w:r w:rsidR="000557E5" w:rsidRPr="000557E5">
        <w:t xml:space="preserve"> </w:t>
      </w:r>
      <w:r w:rsidR="00871D57" w:rsidRPr="00F672DD">
        <w:t>786 в 2010 году. Из общего числа таких преступлений 40</w:t>
      </w:r>
      <w:r>
        <w:t>%</w:t>
      </w:r>
      <w:r w:rsidR="00871D57" w:rsidRPr="00F672DD">
        <w:t xml:space="preserve"> также составляли преступления, св</w:t>
      </w:r>
      <w:r w:rsidR="00871D57" w:rsidRPr="00F672DD">
        <w:t>я</w:t>
      </w:r>
      <w:r w:rsidR="00871D57" w:rsidRPr="00F672DD">
        <w:t>занные с угрозами или хулиганскими выходками, 10</w:t>
      </w:r>
      <w:r>
        <w:t>%</w:t>
      </w:r>
      <w:r w:rsidR="000557E5">
        <w:t xml:space="preserve"> </w:t>
      </w:r>
      <w:r w:rsidR="00871D57" w:rsidRPr="00F672DD">
        <w:t>– преступления, связа</w:t>
      </w:r>
      <w:r w:rsidR="00871D57" w:rsidRPr="00F672DD">
        <w:t>н</w:t>
      </w:r>
      <w:r w:rsidR="00871D57" w:rsidRPr="00F672DD">
        <w:t>ные с возбуждением ненависти в отношении тех или иных национальных или этнических групп, и 4</w:t>
      </w:r>
      <w:r w:rsidR="00FD6BA6">
        <w:t>%</w:t>
      </w:r>
      <w:r w:rsidR="000557E5">
        <w:t xml:space="preserve"> </w:t>
      </w:r>
      <w:r w:rsidR="00871D57" w:rsidRPr="00F672DD">
        <w:t>– случаи незаконной дискримин</w:t>
      </w:r>
      <w:r w:rsidR="00871D57" w:rsidRPr="00F672DD">
        <w:t>а</w:t>
      </w:r>
      <w:r w:rsidR="00871D57" w:rsidRPr="00F672DD">
        <w:t xml:space="preserve">ции. </w:t>
      </w:r>
    </w:p>
    <w:p w:rsidR="00871D57" w:rsidRPr="00F672DD" w:rsidRDefault="006B159C" w:rsidP="00871D57">
      <w:pPr>
        <w:pStyle w:val="SingleTxtGR"/>
      </w:pPr>
      <w:r>
        <w:t>32.</w:t>
      </w:r>
      <w:r>
        <w:tab/>
      </w:r>
      <w:r w:rsidR="00871D57" w:rsidRPr="00F672DD">
        <w:t>Цифры, касающиеся зарегистрированных и расследованных преступл</w:t>
      </w:r>
      <w:r w:rsidR="00871D57" w:rsidRPr="00F672DD">
        <w:t>е</w:t>
      </w:r>
      <w:r w:rsidR="00871D57" w:rsidRPr="00F672DD">
        <w:t>ний, связанных с возбуждением ненависти в отношении национальных или э</w:t>
      </w:r>
      <w:r w:rsidR="00871D57" w:rsidRPr="00F672DD">
        <w:t>т</w:t>
      </w:r>
      <w:r w:rsidR="00871D57" w:rsidRPr="00F672DD">
        <w:t>нических групп и незаконной дискриминацией, за период 2006</w:t>
      </w:r>
      <w:r w:rsidR="001A4503">
        <w:t>−</w:t>
      </w:r>
      <w:r w:rsidR="00871D57" w:rsidRPr="00F672DD">
        <w:t>2011 годов пр</w:t>
      </w:r>
      <w:r w:rsidR="00871D57" w:rsidRPr="00F672DD">
        <w:t>и</w:t>
      </w:r>
      <w:r w:rsidR="00871D57" w:rsidRPr="00F672DD">
        <w:t>водятся в нижеследующих таблицах.</w:t>
      </w:r>
    </w:p>
    <w:p w:rsidR="00871D57" w:rsidRPr="00F672DD" w:rsidRDefault="00871D57" w:rsidP="00052DF5">
      <w:pPr>
        <w:pStyle w:val="SingleTxtGR"/>
        <w:suppressAutoHyphens/>
        <w:jc w:val="left"/>
      </w:pPr>
      <w:r w:rsidRPr="00F672DD">
        <w:t>Таблица 5</w:t>
      </w:r>
      <w:r w:rsidRPr="00F672DD">
        <w:br/>
      </w:r>
      <w:r w:rsidRPr="00F672DD">
        <w:rPr>
          <w:b/>
        </w:rPr>
        <w:t>Преступления, связанные с возбуждением ненависти в отношении национальных или этнических групп</w:t>
      </w:r>
    </w:p>
    <w:tbl>
      <w:tblPr>
        <w:tblStyle w:val="TabNum"/>
        <w:tblW w:w="7370" w:type="dxa"/>
        <w:tblInd w:w="1134" w:type="dxa"/>
        <w:tblLook w:val="01E0"/>
      </w:tblPr>
      <w:tblGrid>
        <w:gridCol w:w="2646"/>
        <w:gridCol w:w="770"/>
        <w:gridCol w:w="784"/>
        <w:gridCol w:w="769"/>
        <w:gridCol w:w="770"/>
        <w:gridCol w:w="750"/>
        <w:gridCol w:w="881"/>
      </w:tblGrid>
      <w:tr w:rsidR="00871D57" w:rsidRPr="00653B3C" w:rsidTr="00053F0C">
        <w:trPr>
          <w:trHeight w:val="240"/>
          <w:tblHeader/>
        </w:trPr>
        <w:tc>
          <w:tcPr>
            <w:cnfStyle w:val="001000000000"/>
            <w:tcW w:w="2646" w:type="dxa"/>
            <w:tcBorders>
              <w:bottom w:val="single" w:sz="12" w:space="0" w:color="auto"/>
            </w:tcBorders>
            <w:shd w:val="clear" w:color="auto" w:fill="auto"/>
          </w:tcPr>
          <w:p w:rsidR="00871D57" w:rsidRPr="00653B3C" w:rsidRDefault="00871D57" w:rsidP="00653B3C">
            <w:pPr>
              <w:spacing w:before="80" w:after="80" w:line="200" w:lineRule="exact"/>
              <w:rPr>
                <w:i/>
                <w:sz w:val="16"/>
              </w:rPr>
            </w:pPr>
          </w:p>
        </w:tc>
        <w:tc>
          <w:tcPr>
            <w:tcW w:w="770" w:type="dxa"/>
            <w:tcBorders>
              <w:top w:val="single" w:sz="4" w:space="0" w:color="auto"/>
              <w:bottom w:val="single" w:sz="12" w:space="0" w:color="auto"/>
            </w:tcBorders>
            <w:shd w:val="clear" w:color="auto" w:fill="auto"/>
          </w:tcPr>
          <w:p w:rsidR="00871D57" w:rsidRPr="00653B3C" w:rsidRDefault="00871D57" w:rsidP="00653B3C">
            <w:pPr>
              <w:spacing w:before="80" w:after="80" w:line="200" w:lineRule="exact"/>
              <w:cnfStyle w:val="000000000000"/>
              <w:rPr>
                <w:i/>
                <w:sz w:val="16"/>
              </w:rPr>
            </w:pPr>
            <w:r w:rsidRPr="00653B3C">
              <w:rPr>
                <w:i/>
                <w:sz w:val="16"/>
              </w:rPr>
              <w:t>2006 год</w:t>
            </w:r>
          </w:p>
        </w:tc>
        <w:tc>
          <w:tcPr>
            <w:tcW w:w="784" w:type="dxa"/>
            <w:tcBorders>
              <w:top w:val="single" w:sz="4" w:space="0" w:color="auto"/>
              <w:bottom w:val="single" w:sz="12" w:space="0" w:color="auto"/>
            </w:tcBorders>
            <w:shd w:val="clear" w:color="auto" w:fill="auto"/>
          </w:tcPr>
          <w:p w:rsidR="00871D57" w:rsidRPr="00653B3C" w:rsidRDefault="00871D57" w:rsidP="00653B3C">
            <w:pPr>
              <w:spacing w:before="80" w:after="80" w:line="200" w:lineRule="exact"/>
              <w:cnfStyle w:val="000000000000"/>
              <w:rPr>
                <w:i/>
                <w:sz w:val="16"/>
              </w:rPr>
            </w:pPr>
            <w:r w:rsidRPr="00653B3C">
              <w:rPr>
                <w:i/>
                <w:sz w:val="16"/>
              </w:rPr>
              <w:t>2007 год</w:t>
            </w:r>
          </w:p>
        </w:tc>
        <w:tc>
          <w:tcPr>
            <w:tcW w:w="769" w:type="dxa"/>
            <w:tcBorders>
              <w:top w:val="single" w:sz="4" w:space="0" w:color="auto"/>
              <w:bottom w:val="single" w:sz="12" w:space="0" w:color="auto"/>
            </w:tcBorders>
            <w:shd w:val="clear" w:color="auto" w:fill="auto"/>
          </w:tcPr>
          <w:p w:rsidR="00871D57" w:rsidRPr="00653B3C" w:rsidRDefault="00871D57" w:rsidP="00653B3C">
            <w:pPr>
              <w:spacing w:before="80" w:after="80" w:line="200" w:lineRule="exact"/>
              <w:cnfStyle w:val="000000000000"/>
              <w:rPr>
                <w:i/>
                <w:sz w:val="16"/>
              </w:rPr>
            </w:pPr>
            <w:r w:rsidRPr="00653B3C">
              <w:rPr>
                <w:i/>
                <w:sz w:val="16"/>
              </w:rPr>
              <w:t>2008 год</w:t>
            </w:r>
          </w:p>
        </w:tc>
        <w:tc>
          <w:tcPr>
            <w:tcW w:w="770" w:type="dxa"/>
            <w:tcBorders>
              <w:top w:val="single" w:sz="4" w:space="0" w:color="auto"/>
              <w:bottom w:val="single" w:sz="12" w:space="0" w:color="auto"/>
            </w:tcBorders>
            <w:shd w:val="clear" w:color="auto" w:fill="auto"/>
          </w:tcPr>
          <w:p w:rsidR="00871D57" w:rsidRPr="00653B3C" w:rsidRDefault="00871D57" w:rsidP="00653B3C">
            <w:pPr>
              <w:spacing w:before="80" w:after="80" w:line="200" w:lineRule="exact"/>
              <w:cnfStyle w:val="000000000000"/>
              <w:rPr>
                <w:i/>
                <w:sz w:val="16"/>
              </w:rPr>
            </w:pPr>
            <w:r w:rsidRPr="00653B3C">
              <w:rPr>
                <w:i/>
                <w:sz w:val="16"/>
              </w:rPr>
              <w:t>2009 год</w:t>
            </w:r>
          </w:p>
        </w:tc>
        <w:tc>
          <w:tcPr>
            <w:tcW w:w="750" w:type="dxa"/>
            <w:tcBorders>
              <w:top w:val="single" w:sz="4" w:space="0" w:color="auto"/>
              <w:bottom w:val="single" w:sz="12" w:space="0" w:color="auto"/>
            </w:tcBorders>
            <w:shd w:val="clear" w:color="auto" w:fill="auto"/>
          </w:tcPr>
          <w:p w:rsidR="00871D57" w:rsidRPr="00653B3C" w:rsidRDefault="00871D57" w:rsidP="00653B3C">
            <w:pPr>
              <w:spacing w:before="80" w:after="80" w:line="200" w:lineRule="exact"/>
              <w:cnfStyle w:val="000000000000"/>
              <w:rPr>
                <w:i/>
                <w:sz w:val="16"/>
              </w:rPr>
            </w:pPr>
            <w:r w:rsidRPr="00653B3C">
              <w:rPr>
                <w:i/>
                <w:sz w:val="16"/>
              </w:rPr>
              <w:t>2010 год</w:t>
            </w:r>
          </w:p>
        </w:tc>
        <w:tc>
          <w:tcPr>
            <w:tcW w:w="881" w:type="dxa"/>
            <w:tcBorders>
              <w:top w:val="single" w:sz="4" w:space="0" w:color="auto"/>
              <w:bottom w:val="single" w:sz="12" w:space="0" w:color="auto"/>
            </w:tcBorders>
            <w:shd w:val="clear" w:color="auto" w:fill="auto"/>
          </w:tcPr>
          <w:p w:rsidR="00871D57" w:rsidRPr="00653B3C" w:rsidRDefault="00871D57" w:rsidP="00653B3C">
            <w:pPr>
              <w:spacing w:before="80" w:after="80" w:line="200" w:lineRule="exact"/>
              <w:cnfStyle w:val="000000000000"/>
              <w:rPr>
                <w:i/>
                <w:sz w:val="16"/>
              </w:rPr>
            </w:pPr>
            <w:r w:rsidRPr="00653B3C">
              <w:rPr>
                <w:i/>
                <w:sz w:val="16"/>
              </w:rPr>
              <w:t>2011 год</w:t>
            </w:r>
          </w:p>
        </w:tc>
      </w:tr>
      <w:tr w:rsidR="00871D57" w:rsidRPr="006B159C" w:rsidTr="00053F0C">
        <w:trPr>
          <w:trHeight w:val="240"/>
        </w:trPr>
        <w:tc>
          <w:tcPr>
            <w:cnfStyle w:val="001000000000"/>
            <w:tcW w:w="2646" w:type="dxa"/>
            <w:tcBorders>
              <w:top w:val="single" w:sz="12" w:space="0" w:color="auto"/>
            </w:tcBorders>
          </w:tcPr>
          <w:p w:rsidR="00871D57" w:rsidRPr="006B159C" w:rsidRDefault="00871D57" w:rsidP="006B159C">
            <w:r w:rsidRPr="006B159C">
              <w:t>Зарегистрированные престу</w:t>
            </w:r>
            <w:r w:rsidRPr="006B159C">
              <w:t>п</w:t>
            </w:r>
            <w:r w:rsidRPr="006B159C">
              <w:t>ления</w:t>
            </w:r>
          </w:p>
        </w:tc>
        <w:tc>
          <w:tcPr>
            <w:tcW w:w="770" w:type="dxa"/>
            <w:tcBorders>
              <w:top w:val="single" w:sz="12" w:space="0" w:color="auto"/>
            </w:tcBorders>
          </w:tcPr>
          <w:p w:rsidR="00871D57" w:rsidRPr="006B159C" w:rsidRDefault="00871D57" w:rsidP="006B159C">
            <w:pPr>
              <w:cnfStyle w:val="000000000000"/>
            </w:pPr>
            <w:r w:rsidRPr="006B159C">
              <w:t>754</w:t>
            </w:r>
          </w:p>
        </w:tc>
        <w:tc>
          <w:tcPr>
            <w:tcW w:w="784" w:type="dxa"/>
            <w:tcBorders>
              <w:top w:val="single" w:sz="12" w:space="0" w:color="auto"/>
            </w:tcBorders>
          </w:tcPr>
          <w:p w:rsidR="00871D57" w:rsidRPr="006B159C" w:rsidRDefault="00871D57" w:rsidP="006B159C">
            <w:pPr>
              <w:cnfStyle w:val="000000000000"/>
            </w:pPr>
            <w:r w:rsidRPr="006B159C">
              <w:t>718</w:t>
            </w:r>
          </w:p>
        </w:tc>
        <w:tc>
          <w:tcPr>
            <w:tcW w:w="769" w:type="dxa"/>
            <w:tcBorders>
              <w:top w:val="single" w:sz="12" w:space="0" w:color="auto"/>
            </w:tcBorders>
          </w:tcPr>
          <w:p w:rsidR="00871D57" w:rsidRPr="006B159C" w:rsidRDefault="00871D57" w:rsidP="006B159C">
            <w:pPr>
              <w:cnfStyle w:val="000000000000"/>
            </w:pPr>
            <w:r w:rsidRPr="006B159C">
              <w:t>780</w:t>
            </w:r>
          </w:p>
        </w:tc>
        <w:tc>
          <w:tcPr>
            <w:tcW w:w="770" w:type="dxa"/>
            <w:tcBorders>
              <w:top w:val="single" w:sz="12" w:space="0" w:color="auto"/>
            </w:tcBorders>
          </w:tcPr>
          <w:p w:rsidR="00871D57" w:rsidRPr="006B159C" w:rsidRDefault="00871D57" w:rsidP="006B159C">
            <w:pPr>
              <w:cnfStyle w:val="000000000000"/>
            </w:pPr>
            <w:r w:rsidRPr="006B159C">
              <w:t>762</w:t>
            </w:r>
          </w:p>
        </w:tc>
        <w:tc>
          <w:tcPr>
            <w:tcW w:w="750" w:type="dxa"/>
            <w:tcBorders>
              <w:top w:val="single" w:sz="12" w:space="0" w:color="auto"/>
            </w:tcBorders>
          </w:tcPr>
          <w:p w:rsidR="00871D57" w:rsidRPr="006B159C" w:rsidRDefault="00871D57" w:rsidP="006B159C">
            <w:pPr>
              <w:cnfStyle w:val="000000000000"/>
            </w:pPr>
            <w:r w:rsidRPr="006B159C">
              <w:t>723</w:t>
            </w:r>
          </w:p>
        </w:tc>
        <w:tc>
          <w:tcPr>
            <w:tcW w:w="881" w:type="dxa"/>
            <w:tcBorders>
              <w:top w:val="single" w:sz="12" w:space="0" w:color="auto"/>
            </w:tcBorders>
          </w:tcPr>
          <w:p w:rsidR="00871D57" w:rsidRPr="006B159C" w:rsidRDefault="00871D57" w:rsidP="006B159C">
            <w:pPr>
              <w:cnfStyle w:val="000000000000"/>
            </w:pPr>
            <w:r w:rsidRPr="006B159C">
              <w:t>731</w:t>
            </w:r>
          </w:p>
        </w:tc>
      </w:tr>
      <w:tr w:rsidR="00871D57" w:rsidRPr="006B159C" w:rsidTr="00053F0C">
        <w:trPr>
          <w:trHeight w:val="240"/>
        </w:trPr>
        <w:tc>
          <w:tcPr>
            <w:cnfStyle w:val="001000000000"/>
            <w:tcW w:w="2646" w:type="dxa"/>
          </w:tcPr>
          <w:p w:rsidR="00871D57" w:rsidRPr="006B159C" w:rsidRDefault="00871D57" w:rsidP="006B159C">
            <w:r w:rsidRPr="006B159C">
              <w:t>Раскрытые преступл</w:t>
            </w:r>
            <w:r w:rsidRPr="006B159C">
              <w:t>е</w:t>
            </w:r>
            <w:r w:rsidRPr="006B159C">
              <w:t>ния</w:t>
            </w:r>
          </w:p>
        </w:tc>
        <w:tc>
          <w:tcPr>
            <w:tcW w:w="770" w:type="dxa"/>
          </w:tcPr>
          <w:p w:rsidR="00871D57" w:rsidRPr="006B159C" w:rsidRDefault="00871D57" w:rsidP="006B159C">
            <w:pPr>
              <w:cnfStyle w:val="000000000000"/>
            </w:pPr>
            <w:r w:rsidRPr="006B159C">
              <w:t>381</w:t>
            </w:r>
          </w:p>
        </w:tc>
        <w:tc>
          <w:tcPr>
            <w:tcW w:w="784" w:type="dxa"/>
          </w:tcPr>
          <w:p w:rsidR="00871D57" w:rsidRPr="006B159C" w:rsidRDefault="00871D57" w:rsidP="006B159C">
            <w:pPr>
              <w:cnfStyle w:val="000000000000"/>
            </w:pPr>
            <w:r w:rsidRPr="006B159C">
              <w:t>374</w:t>
            </w:r>
          </w:p>
        </w:tc>
        <w:tc>
          <w:tcPr>
            <w:tcW w:w="769" w:type="dxa"/>
          </w:tcPr>
          <w:p w:rsidR="00871D57" w:rsidRPr="006B159C" w:rsidRDefault="00871D57" w:rsidP="006B159C">
            <w:pPr>
              <w:cnfStyle w:val="000000000000"/>
            </w:pPr>
            <w:r w:rsidRPr="006B159C">
              <w:t>412</w:t>
            </w:r>
          </w:p>
        </w:tc>
        <w:tc>
          <w:tcPr>
            <w:tcW w:w="770" w:type="dxa"/>
          </w:tcPr>
          <w:p w:rsidR="00871D57" w:rsidRPr="006B159C" w:rsidRDefault="00871D57" w:rsidP="006B159C">
            <w:pPr>
              <w:cnfStyle w:val="000000000000"/>
            </w:pPr>
            <w:r w:rsidRPr="006B159C">
              <w:t>407</w:t>
            </w:r>
          </w:p>
        </w:tc>
        <w:tc>
          <w:tcPr>
            <w:tcW w:w="750" w:type="dxa"/>
          </w:tcPr>
          <w:p w:rsidR="00871D57" w:rsidRPr="006B159C" w:rsidRDefault="00871D57" w:rsidP="006B159C">
            <w:pPr>
              <w:cnfStyle w:val="000000000000"/>
            </w:pPr>
            <w:r w:rsidRPr="006B159C">
              <w:t>366</w:t>
            </w:r>
          </w:p>
        </w:tc>
        <w:tc>
          <w:tcPr>
            <w:tcW w:w="881" w:type="dxa"/>
          </w:tcPr>
          <w:p w:rsidR="00871D57" w:rsidRPr="006B159C" w:rsidRDefault="00871D57" w:rsidP="006B159C">
            <w:pPr>
              <w:cnfStyle w:val="000000000000"/>
            </w:pPr>
            <w:r w:rsidRPr="006B159C">
              <w:t>306</w:t>
            </w:r>
          </w:p>
        </w:tc>
      </w:tr>
      <w:tr w:rsidR="00871D57" w:rsidRPr="006B159C" w:rsidTr="00053F0C">
        <w:trPr>
          <w:trHeight w:val="240"/>
        </w:trPr>
        <w:tc>
          <w:tcPr>
            <w:cnfStyle w:val="001000000000"/>
            <w:tcW w:w="2646" w:type="dxa"/>
          </w:tcPr>
          <w:p w:rsidR="00871D57" w:rsidRPr="006B159C" w:rsidRDefault="00871D57" w:rsidP="006B159C">
            <w:r w:rsidRPr="006B159C">
              <w:t>Доля зарегистрирова</w:t>
            </w:r>
            <w:r w:rsidRPr="006B159C">
              <w:t>н</w:t>
            </w:r>
            <w:r w:rsidRPr="006B159C">
              <w:t>ных преступлений, в связи с кот</w:t>
            </w:r>
            <w:r w:rsidRPr="006B159C">
              <w:t>о</w:t>
            </w:r>
            <w:r w:rsidRPr="006B159C">
              <w:t>рыми были предъявлены о</w:t>
            </w:r>
            <w:r w:rsidRPr="006B159C">
              <w:t>б</w:t>
            </w:r>
            <w:r w:rsidRPr="006B159C">
              <w:t>винения, было принято реш</w:t>
            </w:r>
            <w:r w:rsidRPr="006B159C">
              <w:t>е</w:t>
            </w:r>
            <w:r w:rsidRPr="006B159C">
              <w:t>ние о закр</w:t>
            </w:r>
            <w:r w:rsidRPr="006B159C">
              <w:t>ы</w:t>
            </w:r>
            <w:r w:rsidRPr="006B159C">
              <w:t>тии дела или было наложено администр</w:t>
            </w:r>
            <w:r w:rsidRPr="006B159C">
              <w:t>а</w:t>
            </w:r>
            <w:r w:rsidRPr="006B159C">
              <w:t>тивное взыскание (c установлением вино</w:t>
            </w:r>
            <w:r w:rsidRPr="006B159C">
              <w:t>в</w:t>
            </w:r>
            <w:r w:rsidRPr="006B159C">
              <w:t>ных)</w:t>
            </w:r>
          </w:p>
        </w:tc>
        <w:tc>
          <w:tcPr>
            <w:tcW w:w="770" w:type="dxa"/>
          </w:tcPr>
          <w:p w:rsidR="00871D57" w:rsidRPr="006B159C" w:rsidRDefault="00871D57" w:rsidP="006B159C">
            <w:pPr>
              <w:cnfStyle w:val="000000000000"/>
            </w:pPr>
            <w:r w:rsidRPr="006B159C">
              <w:t>5% (41)</w:t>
            </w:r>
          </w:p>
        </w:tc>
        <w:tc>
          <w:tcPr>
            <w:tcW w:w="784" w:type="dxa"/>
          </w:tcPr>
          <w:p w:rsidR="00871D57" w:rsidRPr="006B159C" w:rsidRDefault="00871D57" w:rsidP="006B159C">
            <w:pPr>
              <w:cnfStyle w:val="000000000000"/>
            </w:pPr>
            <w:r w:rsidRPr="006B159C">
              <w:t>8% (56)</w:t>
            </w:r>
          </w:p>
        </w:tc>
        <w:tc>
          <w:tcPr>
            <w:tcW w:w="769" w:type="dxa"/>
          </w:tcPr>
          <w:p w:rsidR="00871D57" w:rsidRPr="006B159C" w:rsidRDefault="00871D57" w:rsidP="006B159C">
            <w:pPr>
              <w:cnfStyle w:val="000000000000"/>
            </w:pPr>
            <w:r w:rsidRPr="006B159C">
              <w:t>9% (70)</w:t>
            </w:r>
          </w:p>
        </w:tc>
        <w:tc>
          <w:tcPr>
            <w:tcW w:w="770" w:type="dxa"/>
          </w:tcPr>
          <w:p w:rsidR="00871D57" w:rsidRPr="006B159C" w:rsidRDefault="00871D57" w:rsidP="006B159C">
            <w:pPr>
              <w:cnfStyle w:val="000000000000"/>
            </w:pPr>
            <w:r w:rsidRPr="006B159C">
              <w:t>8% (63)</w:t>
            </w:r>
          </w:p>
        </w:tc>
        <w:tc>
          <w:tcPr>
            <w:tcW w:w="750" w:type="dxa"/>
          </w:tcPr>
          <w:p w:rsidR="00871D57" w:rsidRPr="006B159C" w:rsidRDefault="00871D57" w:rsidP="006B159C">
            <w:pPr>
              <w:cnfStyle w:val="000000000000"/>
            </w:pPr>
            <w:r w:rsidRPr="006B159C">
              <w:t>9% (66)</w:t>
            </w:r>
          </w:p>
        </w:tc>
        <w:tc>
          <w:tcPr>
            <w:tcW w:w="881" w:type="dxa"/>
          </w:tcPr>
          <w:p w:rsidR="00871D57" w:rsidRPr="006B159C" w:rsidRDefault="00871D57" w:rsidP="006B159C">
            <w:pPr>
              <w:cnfStyle w:val="000000000000"/>
            </w:pPr>
            <w:r w:rsidRPr="006B159C">
              <w:t>7% (54)</w:t>
            </w:r>
          </w:p>
        </w:tc>
      </w:tr>
    </w:tbl>
    <w:p w:rsidR="00871D57" w:rsidRPr="00F672DD" w:rsidRDefault="00871D57" w:rsidP="00653B3C">
      <w:pPr>
        <w:pStyle w:val="SingleTxtGR"/>
        <w:spacing w:before="120"/>
        <w:jc w:val="left"/>
        <w:rPr>
          <w:b/>
        </w:rPr>
      </w:pPr>
      <w:r w:rsidRPr="00F823E7">
        <w:t>Таблица</w:t>
      </w:r>
      <w:r w:rsidRPr="00F672DD">
        <w:t xml:space="preserve"> 6</w:t>
      </w:r>
      <w:r w:rsidR="00653B3C">
        <w:br/>
      </w:r>
      <w:r w:rsidRPr="00F672DD">
        <w:rPr>
          <w:b/>
        </w:rPr>
        <w:t>Незаконная дискриминация</w:t>
      </w:r>
    </w:p>
    <w:tbl>
      <w:tblPr>
        <w:tblStyle w:val="TabNum"/>
        <w:tblW w:w="7370" w:type="dxa"/>
        <w:tblInd w:w="1134" w:type="dxa"/>
        <w:tblLook w:val="01E0"/>
      </w:tblPr>
      <w:tblGrid>
        <w:gridCol w:w="2646"/>
        <w:gridCol w:w="770"/>
        <w:gridCol w:w="784"/>
        <w:gridCol w:w="783"/>
        <w:gridCol w:w="751"/>
        <w:gridCol w:w="790"/>
        <w:gridCol w:w="846"/>
      </w:tblGrid>
      <w:tr w:rsidR="00871D57" w:rsidRPr="00653B3C" w:rsidTr="00053F0C">
        <w:trPr>
          <w:trHeight w:val="240"/>
          <w:tblHeader/>
        </w:trPr>
        <w:tc>
          <w:tcPr>
            <w:cnfStyle w:val="001000000000"/>
            <w:tcW w:w="2646" w:type="dxa"/>
            <w:tcBorders>
              <w:bottom w:val="single" w:sz="12" w:space="0" w:color="auto"/>
            </w:tcBorders>
            <w:shd w:val="clear" w:color="auto" w:fill="auto"/>
          </w:tcPr>
          <w:p w:rsidR="00871D57" w:rsidRPr="00653B3C" w:rsidRDefault="00871D57" w:rsidP="00653B3C">
            <w:pPr>
              <w:spacing w:before="80" w:after="80" w:line="200" w:lineRule="exact"/>
              <w:rPr>
                <w:i/>
                <w:sz w:val="16"/>
              </w:rPr>
            </w:pPr>
          </w:p>
        </w:tc>
        <w:tc>
          <w:tcPr>
            <w:tcW w:w="770" w:type="dxa"/>
            <w:tcBorders>
              <w:top w:val="single" w:sz="4" w:space="0" w:color="auto"/>
              <w:bottom w:val="single" w:sz="12" w:space="0" w:color="auto"/>
            </w:tcBorders>
            <w:shd w:val="clear" w:color="auto" w:fill="auto"/>
          </w:tcPr>
          <w:p w:rsidR="00871D57" w:rsidRPr="00653B3C" w:rsidRDefault="00871D57" w:rsidP="00653B3C">
            <w:pPr>
              <w:spacing w:before="80" w:after="80" w:line="200" w:lineRule="exact"/>
              <w:cnfStyle w:val="000000000000"/>
              <w:rPr>
                <w:i/>
                <w:sz w:val="16"/>
              </w:rPr>
            </w:pPr>
            <w:r w:rsidRPr="00653B3C">
              <w:rPr>
                <w:i/>
                <w:sz w:val="16"/>
              </w:rPr>
              <w:t>2006 год</w:t>
            </w:r>
          </w:p>
        </w:tc>
        <w:tc>
          <w:tcPr>
            <w:tcW w:w="784" w:type="dxa"/>
            <w:tcBorders>
              <w:top w:val="single" w:sz="4" w:space="0" w:color="auto"/>
              <w:bottom w:val="single" w:sz="12" w:space="0" w:color="auto"/>
            </w:tcBorders>
            <w:shd w:val="clear" w:color="auto" w:fill="auto"/>
          </w:tcPr>
          <w:p w:rsidR="00871D57" w:rsidRPr="00653B3C" w:rsidRDefault="00871D57" w:rsidP="00653B3C">
            <w:pPr>
              <w:spacing w:before="80" w:after="80" w:line="200" w:lineRule="exact"/>
              <w:cnfStyle w:val="000000000000"/>
              <w:rPr>
                <w:i/>
                <w:sz w:val="16"/>
              </w:rPr>
            </w:pPr>
            <w:r w:rsidRPr="00653B3C">
              <w:rPr>
                <w:i/>
                <w:sz w:val="16"/>
              </w:rPr>
              <w:t>2007 год</w:t>
            </w:r>
          </w:p>
        </w:tc>
        <w:tc>
          <w:tcPr>
            <w:tcW w:w="783" w:type="dxa"/>
            <w:tcBorders>
              <w:top w:val="single" w:sz="4" w:space="0" w:color="auto"/>
              <w:bottom w:val="single" w:sz="12" w:space="0" w:color="auto"/>
            </w:tcBorders>
            <w:shd w:val="clear" w:color="auto" w:fill="auto"/>
          </w:tcPr>
          <w:p w:rsidR="00871D57" w:rsidRPr="00653B3C" w:rsidRDefault="00871D57" w:rsidP="00653B3C">
            <w:pPr>
              <w:spacing w:before="80" w:after="80" w:line="200" w:lineRule="exact"/>
              <w:cnfStyle w:val="000000000000"/>
              <w:rPr>
                <w:i/>
                <w:sz w:val="16"/>
              </w:rPr>
            </w:pPr>
            <w:r w:rsidRPr="00653B3C">
              <w:rPr>
                <w:i/>
                <w:sz w:val="16"/>
              </w:rPr>
              <w:t>2008 год</w:t>
            </w:r>
          </w:p>
        </w:tc>
        <w:tc>
          <w:tcPr>
            <w:tcW w:w="751" w:type="dxa"/>
            <w:tcBorders>
              <w:top w:val="single" w:sz="4" w:space="0" w:color="auto"/>
              <w:bottom w:val="single" w:sz="12" w:space="0" w:color="auto"/>
            </w:tcBorders>
            <w:shd w:val="clear" w:color="auto" w:fill="auto"/>
          </w:tcPr>
          <w:p w:rsidR="00871D57" w:rsidRPr="00653B3C" w:rsidRDefault="00871D57" w:rsidP="00653B3C">
            <w:pPr>
              <w:spacing w:before="80" w:after="80" w:line="200" w:lineRule="exact"/>
              <w:cnfStyle w:val="000000000000"/>
              <w:rPr>
                <w:i/>
                <w:sz w:val="16"/>
              </w:rPr>
            </w:pPr>
            <w:r w:rsidRPr="00653B3C">
              <w:rPr>
                <w:i/>
                <w:sz w:val="16"/>
              </w:rPr>
              <w:t>2009 год</w:t>
            </w:r>
          </w:p>
        </w:tc>
        <w:tc>
          <w:tcPr>
            <w:tcW w:w="790" w:type="dxa"/>
            <w:tcBorders>
              <w:top w:val="single" w:sz="4" w:space="0" w:color="auto"/>
              <w:bottom w:val="single" w:sz="12" w:space="0" w:color="auto"/>
            </w:tcBorders>
            <w:shd w:val="clear" w:color="auto" w:fill="auto"/>
          </w:tcPr>
          <w:p w:rsidR="00871D57" w:rsidRPr="00653B3C" w:rsidRDefault="00871D57" w:rsidP="00653B3C">
            <w:pPr>
              <w:spacing w:before="80" w:after="80" w:line="200" w:lineRule="exact"/>
              <w:cnfStyle w:val="000000000000"/>
              <w:rPr>
                <w:i/>
                <w:sz w:val="16"/>
              </w:rPr>
            </w:pPr>
            <w:r w:rsidRPr="00653B3C">
              <w:rPr>
                <w:i/>
                <w:sz w:val="16"/>
              </w:rPr>
              <w:t>2010 год</w:t>
            </w:r>
          </w:p>
        </w:tc>
        <w:tc>
          <w:tcPr>
            <w:tcW w:w="846" w:type="dxa"/>
            <w:tcBorders>
              <w:top w:val="single" w:sz="4" w:space="0" w:color="auto"/>
              <w:bottom w:val="single" w:sz="12" w:space="0" w:color="auto"/>
            </w:tcBorders>
            <w:shd w:val="clear" w:color="auto" w:fill="auto"/>
          </w:tcPr>
          <w:p w:rsidR="00871D57" w:rsidRPr="00653B3C" w:rsidRDefault="00871D57" w:rsidP="00653B3C">
            <w:pPr>
              <w:spacing w:before="80" w:after="80" w:line="200" w:lineRule="exact"/>
              <w:cnfStyle w:val="000000000000"/>
              <w:rPr>
                <w:i/>
                <w:sz w:val="16"/>
              </w:rPr>
            </w:pPr>
            <w:r w:rsidRPr="00653B3C">
              <w:rPr>
                <w:i/>
                <w:sz w:val="16"/>
              </w:rPr>
              <w:t>2011 год</w:t>
            </w:r>
          </w:p>
        </w:tc>
      </w:tr>
      <w:tr w:rsidR="00871D57" w:rsidRPr="00653B3C" w:rsidTr="00053F0C">
        <w:trPr>
          <w:trHeight w:val="240"/>
        </w:trPr>
        <w:tc>
          <w:tcPr>
            <w:cnfStyle w:val="001000000000"/>
            <w:tcW w:w="2646" w:type="dxa"/>
            <w:tcBorders>
              <w:top w:val="single" w:sz="12" w:space="0" w:color="auto"/>
            </w:tcBorders>
          </w:tcPr>
          <w:p w:rsidR="00871D57" w:rsidRPr="00653B3C" w:rsidRDefault="00871D57" w:rsidP="00653B3C">
            <w:r w:rsidRPr="00653B3C">
              <w:t>Зарегистрированные престу</w:t>
            </w:r>
            <w:r w:rsidRPr="00653B3C">
              <w:t>п</w:t>
            </w:r>
            <w:r w:rsidRPr="00653B3C">
              <w:t>ления</w:t>
            </w:r>
          </w:p>
        </w:tc>
        <w:tc>
          <w:tcPr>
            <w:tcW w:w="770" w:type="dxa"/>
            <w:tcBorders>
              <w:top w:val="single" w:sz="12" w:space="0" w:color="auto"/>
            </w:tcBorders>
          </w:tcPr>
          <w:p w:rsidR="00871D57" w:rsidRPr="00653B3C" w:rsidRDefault="00871D57" w:rsidP="00653B3C">
            <w:pPr>
              <w:cnfStyle w:val="000000000000"/>
            </w:pPr>
            <w:r w:rsidRPr="00653B3C">
              <w:t>394</w:t>
            </w:r>
          </w:p>
        </w:tc>
        <w:tc>
          <w:tcPr>
            <w:tcW w:w="784" w:type="dxa"/>
            <w:tcBorders>
              <w:top w:val="single" w:sz="12" w:space="0" w:color="auto"/>
            </w:tcBorders>
          </w:tcPr>
          <w:p w:rsidR="00871D57" w:rsidRPr="00653B3C" w:rsidRDefault="00871D57" w:rsidP="00653B3C">
            <w:pPr>
              <w:cnfStyle w:val="000000000000"/>
            </w:pPr>
            <w:r w:rsidRPr="00653B3C">
              <w:t>314</w:t>
            </w:r>
          </w:p>
        </w:tc>
        <w:tc>
          <w:tcPr>
            <w:tcW w:w="783" w:type="dxa"/>
            <w:tcBorders>
              <w:top w:val="single" w:sz="12" w:space="0" w:color="auto"/>
            </w:tcBorders>
          </w:tcPr>
          <w:p w:rsidR="00871D57" w:rsidRPr="00653B3C" w:rsidRDefault="00871D57" w:rsidP="00653B3C">
            <w:pPr>
              <w:cnfStyle w:val="000000000000"/>
            </w:pPr>
            <w:r w:rsidRPr="00653B3C">
              <w:t>308</w:t>
            </w:r>
          </w:p>
        </w:tc>
        <w:tc>
          <w:tcPr>
            <w:tcW w:w="751" w:type="dxa"/>
            <w:tcBorders>
              <w:top w:val="single" w:sz="12" w:space="0" w:color="auto"/>
            </w:tcBorders>
          </w:tcPr>
          <w:p w:rsidR="00871D57" w:rsidRPr="00653B3C" w:rsidRDefault="00871D57" w:rsidP="00653B3C">
            <w:pPr>
              <w:cnfStyle w:val="000000000000"/>
            </w:pPr>
            <w:r w:rsidRPr="00653B3C">
              <w:t>254</w:t>
            </w:r>
          </w:p>
        </w:tc>
        <w:tc>
          <w:tcPr>
            <w:tcW w:w="790" w:type="dxa"/>
            <w:tcBorders>
              <w:top w:val="single" w:sz="12" w:space="0" w:color="auto"/>
            </w:tcBorders>
          </w:tcPr>
          <w:p w:rsidR="00871D57" w:rsidRPr="00653B3C" w:rsidRDefault="00871D57" w:rsidP="00653B3C">
            <w:pPr>
              <w:cnfStyle w:val="000000000000"/>
            </w:pPr>
            <w:r w:rsidRPr="00653B3C">
              <w:t>229</w:t>
            </w:r>
          </w:p>
        </w:tc>
        <w:tc>
          <w:tcPr>
            <w:tcW w:w="846" w:type="dxa"/>
            <w:tcBorders>
              <w:top w:val="single" w:sz="12" w:space="0" w:color="auto"/>
            </w:tcBorders>
          </w:tcPr>
          <w:p w:rsidR="00871D57" w:rsidRPr="00653B3C" w:rsidRDefault="00871D57" w:rsidP="00653B3C">
            <w:pPr>
              <w:cnfStyle w:val="000000000000"/>
            </w:pPr>
            <w:r w:rsidRPr="00653B3C">
              <w:t>245</w:t>
            </w:r>
          </w:p>
        </w:tc>
      </w:tr>
      <w:tr w:rsidR="00871D57" w:rsidRPr="00653B3C" w:rsidTr="00053F0C">
        <w:trPr>
          <w:trHeight w:val="240"/>
        </w:trPr>
        <w:tc>
          <w:tcPr>
            <w:cnfStyle w:val="001000000000"/>
            <w:tcW w:w="2646" w:type="dxa"/>
          </w:tcPr>
          <w:p w:rsidR="00871D57" w:rsidRPr="00653B3C" w:rsidRDefault="00871D57" w:rsidP="00653B3C">
            <w:r w:rsidRPr="00653B3C">
              <w:t>Раскрытые преступл</w:t>
            </w:r>
            <w:r w:rsidRPr="00653B3C">
              <w:t>е</w:t>
            </w:r>
            <w:r w:rsidRPr="00653B3C">
              <w:t>ния</w:t>
            </w:r>
          </w:p>
        </w:tc>
        <w:tc>
          <w:tcPr>
            <w:tcW w:w="770" w:type="dxa"/>
          </w:tcPr>
          <w:p w:rsidR="00871D57" w:rsidRPr="00653B3C" w:rsidRDefault="00871D57" w:rsidP="00653B3C">
            <w:pPr>
              <w:cnfStyle w:val="000000000000"/>
            </w:pPr>
            <w:r w:rsidRPr="00653B3C">
              <w:t>378</w:t>
            </w:r>
          </w:p>
        </w:tc>
        <w:tc>
          <w:tcPr>
            <w:tcW w:w="784" w:type="dxa"/>
          </w:tcPr>
          <w:p w:rsidR="00871D57" w:rsidRPr="00653B3C" w:rsidRDefault="00871D57" w:rsidP="00653B3C">
            <w:pPr>
              <w:cnfStyle w:val="000000000000"/>
            </w:pPr>
            <w:r w:rsidRPr="00653B3C">
              <w:t>295</w:t>
            </w:r>
          </w:p>
        </w:tc>
        <w:tc>
          <w:tcPr>
            <w:tcW w:w="783" w:type="dxa"/>
          </w:tcPr>
          <w:p w:rsidR="00871D57" w:rsidRPr="00653B3C" w:rsidRDefault="00871D57" w:rsidP="00653B3C">
            <w:pPr>
              <w:cnfStyle w:val="000000000000"/>
            </w:pPr>
            <w:r w:rsidRPr="00653B3C">
              <w:t>266</w:t>
            </w:r>
          </w:p>
        </w:tc>
        <w:tc>
          <w:tcPr>
            <w:tcW w:w="751" w:type="dxa"/>
          </w:tcPr>
          <w:p w:rsidR="00871D57" w:rsidRPr="00653B3C" w:rsidRDefault="00871D57" w:rsidP="00653B3C">
            <w:pPr>
              <w:cnfStyle w:val="000000000000"/>
            </w:pPr>
            <w:r w:rsidRPr="00653B3C">
              <w:t>203</w:t>
            </w:r>
          </w:p>
        </w:tc>
        <w:tc>
          <w:tcPr>
            <w:tcW w:w="790" w:type="dxa"/>
          </w:tcPr>
          <w:p w:rsidR="00871D57" w:rsidRPr="00653B3C" w:rsidRDefault="00871D57" w:rsidP="00653B3C">
            <w:pPr>
              <w:cnfStyle w:val="000000000000"/>
            </w:pPr>
            <w:r w:rsidRPr="00653B3C">
              <w:t>202</w:t>
            </w:r>
          </w:p>
        </w:tc>
        <w:tc>
          <w:tcPr>
            <w:tcW w:w="846" w:type="dxa"/>
          </w:tcPr>
          <w:p w:rsidR="00871D57" w:rsidRPr="00653B3C" w:rsidRDefault="00871D57" w:rsidP="00653B3C">
            <w:pPr>
              <w:cnfStyle w:val="000000000000"/>
            </w:pPr>
            <w:r w:rsidRPr="00653B3C">
              <w:t>188</w:t>
            </w:r>
          </w:p>
        </w:tc>
      </w:tr>
      <w:tr w:rsidR="00871D57" w:rsidRPr="00653B3C" w:rsidTr="00053F0C">
        <w:trPr>
          <w:trHeight w:val="240"/>
        </w:trPr>
        <w:tc>
          <w:tcPr>
            <w:cnfStyle w:val="001000000000"/>
            <w:tcW w:w="2646" w:type="dxa"/>
          </w:tcPr>
          <w:p w:rsidR="00871D57" w:rsidRPr="00653B3C" w:rsidRDefault="00871D57" w:rsidP="00653B3C">
            <w:r w:rsidRPr="00653B3C">
              <w:t>Доля зарегистрирова</w:t>
            </w:r>
            <w:r w:rsidRPr="00653B3C">
              <w:t>н</w:t>
            </w:r>
            <w:r w:rsidRPr="00653B3C">
              <w:t>ных преступлений, в связи с кот</w:t>
            </w:r>
            <w:r w:rsidRPr="00653B3C">
              <w:t>о</w:t>
            </w:r>
            <w:r w:rsidRPr="00653B3C">
              <w:t>рыми были предъявлены о</w:t>
            </w:r>
            <w:r w:rsidRPr="00653B3C">
              <w:t>б</w:t>
            </w:r>
            <w:r w:rsidRPr="00653B3C">
              <w:t>винения, было принято реш</w:t>
            </w:r>
            <w:r w:rsidRPr="00653B3C">
              <w:t>е</w:t>
            </w:r>
            <w:r w:rsidRPr="00653B3C">
              <w:t>ние о з</w:t>
            </w:r>
            <w:r w:rsidRPr="00653B3C">
              <w:t>а</w:t>
            </w:r>
            <w:r w:rsidRPr="00653B3C">
              <w:t>крытии дела или было наложено административное взыскание (c установлением в</w:t>
            </w:r>
            <w:r w:rsidRPr="00653B3C">
              <w:t>и</w:t>
            </w:r>
            <w:r w:rsidRPr="00653B3C">
              <w:t>новных)</w:t>
            </w:r>
          </w:p>
        </w:tc>
        <w:tc>
          <w:tcPr>
            <w:tcW w:w="770" w:type="dxa"/>
          </w:tcPr>
          <w:p w:rsidR="00871D57" w:rsidRPr="00653B3C" w:rsidRDefault="000557E5" w:rsidP="00653B3C">
            <w:pPr>
              <w:cnfStyle w:val="000000000000"/>
            </w:pPr>
            <w:r>
              <w:t xml:space="preserve"> </w:t>
            </w:r>
            <w:r w:rsidR="00871D57" w:rsidRPr="00653B3C">
              <w:t>3%</w:t>
            </w:r>
            <w:r w:rsidR="00653B3C">
              <w:t xml:space="preserve"> </w:t>
            </w:r>
            <w:r w:rsidR="00871D57" w:rsidRPr="00653B3C">
              <w:t>(12)</w:t>
            </w:r>
          </w:p>
        </w:tc>
        <w:tc>
          <w:tcPr>
            <w:tcW w:w="784" w:type="dxa"/>
          </w:tcPr>
          <w:p w:rsidR="00871D57" w:rsidRPr="00653B3C" w:rsidRDefault="00871D57" w:rsidP="00653B3C">
            <w:pPr>
              <w:cnfStyle w:val="000000000000"/>
            </w:pPr>
            <w:r w:rsidRPr="00653B3C">
              <w:t>0% (1)</w:t>
            </w:r>
          </w:p>
        </w:tc>
        <w:tc>
          <w:tcPr>
            <w:tcW w:w="783" w:type="dxa"/>
          </w:tcPr>
          <w:p w:rsidR="00871D57" w:rsidRPr="00653B3C" w:rsidRDefault="00871D57" w:rsidP="00653B3C">
            <w:pPr>
              <w:cnfStyle w:val="000000000000"/>
            </w:pPr>
            <w:r w:rsidRPr="00653B3C">
              <w:t>1% (2)</w:t>
            </w:r>
          </w:p>
        </w:tc>
        <w:tc>
          <w:tcPr>
            <w:tcW w:w="751" w:type="dxa"/>
          </w:tcPr>
          <w:p w:rsidR="00871D57" w:rsidRPr="00653B3C" w:rsidRDefault="00871D57" w:rsidP="00653B3C">
            <w:pPr>
              <w:cnfStyle w:val="000000000000"/>
            </w:pPr>
            <w:r w:rsidRPr="00653B3C">
              <w:t>0% (1)</w:t>
            </w:r>
          </w:p>
        </w:tc>
        <w:tc>
          <w:tcPr>
            <w:tcW w:w="790" w:type="dxa"/>
          </w:tcPr>
          <w:p w:rsidR="00871D57" w:rsidRPr="00653B3C" w:rsidRDefault="00871D57" w:rsidP="00653B3C">
            <w:pPr>
              <w:cnfStyle w:val="000000000000"/>
            </w:pPr>
            <w:r w:rsidRPr="00653B3C">
              <w:t>0% (1)</w:t>
            </w:r>
          </w:p>
        </w:tc>
        <w:tc>
          <w:tcPr>
            <w:tcW w:w="846" w:type="dxa"/>
          </w:tcPr>
          <w:p w:rsidR="00871D57" w:rsidRPr="00653B3C" w:rsidRDefault="00871D57" w:rsidP="00653B3C">
            <w:pPr>
              <w:cnfStyle w:val="000000000000"/>
            </w:pPr>
            <w:r w:rsidRPr="00653B3C">
              <w:t>0% (1)</w:t>
            </w:r>
          </w:p>
        </w:tc>
      </w:tr>
    </w:tbl>
    <w:p w:rsidR="00871D57" w:rsidRPr="00635822" w:rsidRDefault="00871D57" w:rsidP="00635822">
      <w:pPr>
        <w:pStyle w:val="SingleTxtGR"/>
        <w:spacing w:before="120" w:line="220" w:lineRule="exact"/>
        <w:ind w:firstLine="125"/>
        <w:rPr>
          <w:i/>
          <w:sz w:val="18"/>
          <w:szCs w:val="18"/>
        </w:rPr>
      </w:pPr>
      <w:r w:rsidRPr="00635822">
        <w:rPr>
          <w:i/>
          <w:sz w:val="18"/>
          <w:szCs w:val="18"/>
        </w:rPr>
        <w:t xml:space="preserve">Источник: </w:t>
      </w:r>
      <w:r w:rsidRPr="00FC2BD1">
        <w:rPr>
          <w:sz w:val="18"/>
          <w:szCs w:val="18"/>
        </w:rPr>
        <w:t>Национальный совет по предупреждению преступности</w:t>
      </w:r>
      <w:r w:rsidR="00FC2BD1">
        <w:rPr>
          <w:i/>
          <w:sz w:val="18"/>
          <w:szCs w:val="18"/>
        </w:rPr>
        <w:t>.</w:t>
      </w:r>
    </w:p>
    <w:p w:rsidR="00871D57" w:rsidRPr="00F672DD" w:rsidRDefault="00653B3C" w:rsidP="00871D57">
      <w:pPr>
        <w:pStyle w:val="SingleTxtGR"/>
      </w:pPr>
      <w:r>
        <w:t>33.</w:t>
      </w:r>
      <w:r>
        <w:tab/>
      </w:r>
      <w:r w:rsidR="00871D57" w:rsidRPr="00F672DD">
        <w:t>Анализ дел, проводимый Национальным советом по предупреждению преступности, показывает, что есть несколько причин, по которым дела о нез</w:t>
      </w:r>
      <w:r w:rsidR="00871D57" w:rsidRPr="00F672DD">
        <w:t>а</w:t>
      </w:r>
      <w:r w:rsidR="00871D57" w:rsidRPr="00F672DD">
        <w:t>конной дискриминации редко доходят до суда. Одной из них является то, что многие пострадавшие лишь очень смутно представляют себе, что следует сч</w:t>
      </w:r>
      <w:r w:rsidR="00871D57" w:rsidRPr="00F672DD">
        <w:t>и</w:t>
      </w:r>
      <w:r w:rsidR="00871D57" w:rsidRPr="00F672DD">
        <w:t>тать незаконной дискриминацией. Отчасти поэтому их жалобы часто признаю</w:t>
      </w:r>
      <w:r w:rsidR="00871D57" w:rsidRPr="00F672DD">
        <w:t>т</w:t>
      </w:r>
      <w:r w:rsidR="00871D57" w:rsidRPr="00F672DD">
        <w:t>ся необоснованными, и по ним не возбуждается никаких дел. Другой причиной является то, что порой весьма трудно доказать, что мотивом действий, на кот</w:t>
      </w:r>
      <w:r w:rsidR="00871D57" w:rsidRPr="00F672DD">
        <w:t>о</w:t>
      </w:r>
      <w:r w:rsidR="00871D57" w:rsidRPr="00F672DD">
        <w:t>рые жалуется заявитель, было стремление п</w:t>
      </w:r>
      <w:r>
        <w:t>одвергнуть его дискриминации. И</w:t>
      </w:r>
      <w:r w:rsidR="001A4503">
        <w:t> </w:t>
      </w:r>
      <w:r w:rsidR="00871D57" w:rsidRPr="00F672DD">
        <w:t>наконец, нельзя не отметить, что стороны в делах о дискриминации иногда заключают соглашения о досудебном урегулировании с выплатой соответс</w:t>
      </w:r>
      <w:r w:rsidR="00871D57" w:rsidRPr="00F672DD">
        <w:t>т</w:t>
      </w:r>
      <w:r w:rsidR="00871D57" w:rsidRPr="00F672DD">
        <w:t>вующей финансовой компенсации. В этом случае заявитель, как правило, тер</w:t>
      </w:r>
      <w:r w:rsidR="00871D57" w:rsidRPr="00F672DD">
        <w:t>я</w:t>
      </w:r>
      <w:r w:rsidR="00871D57" w:rsidRPr="00F672DD">
        <w:t xml:space="preserve">ет интерес к дальнейшему расследованию дела. </w:t>
      </w:r>
    </w:p>
    <w:p w:rsidR="00871D57" w:rsidRPr="00F672DD" w:rsidRDefault="00653B3C" w:rsidP="00871D57">
      <w:pPr>
        <w:pStyle w:val="SingleTxtGR"/>
      </w:pPr>
      <w:r>
        <w:t>34.</w:t>
      </w:r>
      <w:r>
        <w:tab/>
      </w:r>
      <w:r w:rsidR="00871D57" w:rsidRPr="00F672DD">
        <w:t>До суда не доходит и большинство дел, связанных с возбуждением нен</w:t>
      </w:r>
      <w:r w:rsidR="00871D57" w:rsidRPr="00F672DD">
        <w:t>а</w:t>
      </w:r>
      <w:r w:rsidR="00871D57" w:rsidRPr="00F672DD">
        <w:t>висти в отношении тех или иных национальных или этнических групп. Прот</w:t>
      </w:r>
      <w:r w:rsidR="00871D57" w:rsidRPr="00F672DD">
        <w:t>и</w:t>
      </w:r>
      <w:r w:rsidR="00871D57" w:rsidRPr="00F672DD">
        <w:t>воправное поведение такого рода зачастую выражается в нанесении граффити, соответствующих посланиях и призывах или различного рода оскорбительных де</w:t>
      </w:r>
      <w:r w:rsidR="00871D57" w:rsidRPr="00F672DD">
        <w:t>й</w:t>
      </w:r>
      <w:r w:rsidR="00871D57" w:rsidRPr="00F672DD">
        <w:t>ствиях, ответственность за которые сложно возложить на то или иное лицо или группу лиц. Во многих случаях такие правонарушения с трудом поддаются расследованию, в связи с чем для борьбы с ними чаще используются технич</w:t>
      </w:r>
      <w:r w:rsidR="00871D57" w:rsidRPr="00F672DD">
        <w:t>е</w:t>
      </w:r>
      <w:r w:rsidR="00871D57" w:rsidRPr="00F672DD">
        <w:t xml:space="preserve">ские, а не правовые средства. </w:t>
      </w:r>
    </w:p>
    <w:p w:rsidR="00871D57" w:rsidRPr="00F672DD" w:rsidRDefault="00653B3C" w:rsidP="00871D57">
      <w:pPr>
        <w:pStyle w:val="SingleTxtGR"/>
      </w:pPr>
      <w:r>
        <w:t>35.</w:t>
      </w:r>
      <w:r>
        <w:tab/>
      </w:r>
      <w:r w:rsidR="00871D57" w:rsidRPr="00F672DD">
        <w:t>В мае 2011</w:t>
      </w:r>
      <w:r w:rsidR="000557E5" w:rsidRPr="000557E5">
        <w:t xml:space="preserve"> </w:t>
      </w:r>
      <w:r w:rsidR="00871D57" w:rsidRPr="00F672DD">
        <w:t>года Национальный совет по предупреждению преступности доложил о выполнении им поручения правительства, состоявшего в оценке э</w:t>
      </w:r>
      <w:r w:rsidR="00871D57" w:rsidRPr="00F672DD">
        <w:t>ф</w:t>
      </w:r>
      <w:r w:rsidR="00871D57" w:rsidRPr="00F672DD">
        <w:t>фективности усилий правоохранительной системы по борьбе с преступлениями на почве ненависти в период 2003</w:t>
      </w:r>
      <w:r w:rsidR="000557E5">
        <w:t>−</w:t>
      </w:r>
      <w:r w:rsidR="00871D57" w:rsidRPr="00F672DD">
        <w:t>2010</w:t>
      </w:r>
      <w:r w:rsidR="000557E5" w:rsidRPr="000557E5">
        <w:t xml:space="preserve"> </w:t>
      </w:r>
      <w:r w:rsidR="00871D57" w:rsidRPr="00F672DD">
        <w:t>годов. Совет отметил, что за указанный период был достигнут определенный прогресс в деле обучения сотрудников п</w:t>
      </w:r>
      <w:r w:rsidR="00871D57" w:rsidRPr="00F672DD">
        <w:t>о</w:t>
      </w:r>
      <w:r w:rsidR="00871D57" w:rsidRPr="00F672DD">
        <w:t>лиции методам противодействия таким преступлениям в рамках их общей баз</w:t>
      </w:r>
      <w:r w:rsidR="00871D57" w:rsidRPr="00F672DD">
        <w:t>о</w:t>
      </w:r>
      <w:r w:rsidR="00871D57" w:rsidRPr="00F672DD">
        <w:t>вой подготовки и что ряд полицейских органов приступил к осуществлению весьма амбициозных учебных программ в данной области. Ряд вопросов, к</w:t>
      </w:r>
      <w:r w:rsidR="00871D57" w:rsidRPr="00F672DD">
        <w:t>а</w:t>
      </w:r>
      <w:r w:rsidR="00871D57" w:rsidRPr="00F672DD">
        <w:t>сающихся борьбы с преступлениями на почве ненависти, нашел также отраж</w:t>
      </w:r>
      <w:r w:rsidR="00871D57" w:rsidRPr="00F672DD">
        <w:t>е</w:t>
      </w:r>
      <w:r w:rsidR="00871D57" w:rsidRPr="00F672DD">
        <w:t>ние и в учебных программах для прокурорских работников и вновь назначе</w:t>
      </w:r>
      <w:r w:rsidR="00871D57" w:rsidRPr="00F672DD">
        <w:t>н</w:t>
      </w:r>
      <w:r w:rsidR="00871D57" w:rsidRPr="00F672DD">
        <w:t>ных судей. Что касается подготовки прокурорских работников, то о ней уже г</w:t>
      </w:r>
      <w:r w:rsidR="00871D57" w:rsidRPr="00F672DD">
        <w:t>о</w:t>
      </w:r>
      <w:r w:rsidR="00871D57" w:rsidRPr="00F672DD">
        <w:t>ворилось в пункте</w:t>
      </w:r>
      <w:r w:rsidR="000557E5" w:rsidRPr="000557E5">
        <w:t xml:space="preserve"> </w:t>
      </w:r>
      <w:r w:rsidR="00871D57" w:rsidRPr="00F672DD">
        <w:t>23 настоящего доклада.</w:t>
      </w:r>
    </w:p>
    <w:p w:rsidR="00871D57" w:rsidRPr="00C2200B" w:rsidRDefault="00871D57" w:rsidP="00C2200B">
      <w:pPr>
        <w:pStyle w:val="H23GR"/>
      </w:pPr>
      <w:r w:rsidRPr="00C2200B">
        <w:tab/>
        <w:t>4.</w:t>
      </w:r>
      <w:r w:rsidRPr="00C2200B">
        <w:tab/>
        <w:t>Гражданское законодательство</w:t>
      </w:r>
    </w:p>
    <w:p w:rsidR="00871D57" w:rsidRPr="00C2200B" w:rsidRDefault="00871D57" w:rsidP="00C2200B">
      <w:pPr>
        <w:pStyle w:val="H23GR"/>
      </w:pPr>
      <w:r w:rsidRPr="00C2200B">
        <w:tab/>
        <w:t>a)</w:t>
      </w:r>
      <w:r w:rsidRPr="00C2200B">
        <w:tab/>
        <w:t>Закон о борьбе с дискриминацией</w:t>
      </w:r>
    </w:p>
    <w:p w:rsidR="00871D57" w:rsidRPr="00F672DD" w:rsidRDefault="00653B3C" w:rsidP="00871D57">
      <w:pPr>
        <w:pStyle w:val="SingleTxtGR"/>
      </w:pPr>
      <w:r>
        <w:t>36.</w:t>
      </w:r>
      <w:r>
        <w:tab/>
      </w:r>
      <w:r w:rsidR="00871D57" w:rsidRPr="00F672DD">
        <w:t>1 января 2009</w:t>
      </w:r>
      <w:r w:rsidR="000557E5">
        <w:t xml:space="preserve"> </w:t>
      </w:r>
      <w:r w:rsidR="00871D57" w:rsidRPr="00F672DD">
        <w:t>года вступил в силу новый Закон о борьбе с дискриминац</w:t>
      </w:r>
      <w:r w:rsidR="00871D57" w:rsidRPr="00F672DD">
        <w:t>и</w:t>
      </w:r>
      <w:r w:rsidR="00871D57" w:rsidRPr="00F672DD">
        <w:t>ей (Свод законов Швеции, 2008:567). Новый закон заменил ранее действова</w:t>
      </w:r>
      <w:r w:rsidR="00871D57" w:rsidRPr="00F672DD">
        <w:t>в</w:t>
      </w:r>
      <w:r w:rsidR="00871D57" w:rsidRPr="00F672DD">
        <w:t xml:space="preserve">шее антидискриминационное законодательство. Он запрещает дискриминацию, в том числе по этническому и религиозному признаку. Для целей этого закона дискриминация по этническому признаку определяется как дискриминация по признакам национального или этнического происхождения, цвета кожи или другим соответствующим признакам. </w:t>
      </w:r>
    </w:p>
    <w:p w:rsidR="00871D57" w:rsidRPr="00F672DD" w:rsidRDefault="00653B3C" w:rsidP="00871D57">
      <w:pPr>
        <w:pStyle w:val="SingleTxtGR"/>
      </w:pPr>
      <w:r>
        <w:t>37.</w:t>
      </w:r>
      <w:r>
        <w:tab/>
      </w:r>
      <w:r w:rsidR="00871D57" w:rsidRPr="00F672DD">
        <w:t>В новом законе не используется термин "раса", ранее фигурировавший в</w:t>
      </w:r>
      <w:r w:rsidR="002F7A33">
        <w:rPr>
          <w:lang w:val="en-US"/>
        </w:rPr>
        <w:t> </w:t>
      </w:r>
      <w:r w:rsidR="00871D57" w:rsidRPr="00F672DD">
        <w:t>определении дискриминации по этническому признаку. Это связано с тем, что, по мнению законодателя, все люди принадлежат к одной, человеческой р</w:t>
      </w:r>
      <w:r w:rsidR="00871D57" w:rsidRPr="00F672DD">
        <w:t>а</w:t>
      </w:r>
      <w:r w:rsidR="00871D57" w:rsidRPr="00F672DD">
        <w:t>се. Отказ от данного термина не означает ослабления мер защиты от дискрим</w:t>
      </w:r>
      <w:r w:rsidR="00871D57" w:rsidRPr="00F672DD">
        <w:t>и</w:t>
      </w:r>
      <w:r w:rsidR="00871D57" w:rsidRPr="00F672DD">
        <w:t>нации по этническому признаку. Напротив, определение такой дискриминации теперь включает слова "по признаку цвета кожи и другим соответствующим признакам". Последняя фраза допускает в том числе и существование рас.</w:t>
      </w:r>
    </w:p>
    <w:p w:rsidR="00871D57" w:rsidRPr="00F672DD" w:rsidRDefault="00653B3C" w:rsidP="00871D57">
      <w:pPr>
        <w:pStyle w:val="SingleTxtGR"/>
      </w:pPr>
      <w:r>
        <w:t>38.</w:t>
      </w:r>
      <w:r>
        <w:tab/>
      </w:r>
      <w:r w:rsidR="00871D57" w:rsidRPr="00F672DD">
        <w:t>Закон о борьбе с дискриминацией устанавливает запрет на дискримин</w:t>
      </w:r>
      <w:r w:rsidR="00871D57" w:rsidRPr="00F672DD">
        <w:t>а</w:t>
      </w:r>
      <w:r w:rsidR="00871D57" w:rsidRPr="00F672DD">
        <w:t>цию практически во всех сферах жизни общества. Антидискриминационные положения распространяются на сферу труда и сферу образования, политику в</w:t>
      </w:r>
      <w:r w:rsidR="002F7A33">
        <w:rPr>
          <w:lang w:val="en-US"/>
        </w:rPr>
        <w:t> </w:t>
      </w:r>
      <w:r w:rsidR="00871D57" w:rsidRPr="00F672DD">
        <w:t>сфере занятости и услуги по трудоустройству вне рамок государственной службы, членство в некоторых организациях, доступ к товарам, услугам и ж</w:t>
      </w:r>
      <w:r w:rsidR="00871D57" w:rsidRPr="00F672DD">
        <w:t>и</w:t>
      </w:r>
      <w:r w:rsidR="00871D57" w:rsidRPr="00F672DD">
        <w:t>лью, публичные собрания и публичные мероприятия, здравоохранение и мед</w:t>
      </w:r>
      <w:r w:rsidR="00871D57" w:rsidRPr="00F672DD">
        <w:t>и</w:t>
      </w:r>
      <w:r w:rsidR="00871D57" w:rsidRPr="00F672DD">
        <w:t>цинскую помощь, социальные услуги, систему социального страхования и страхования на случай потери работы, финансовую помощь учащимся и ст</w:t>
      </w:r>
      <w:r w:rsidR="00871D57" w:rsidRPr="00F672DD">
        <w:t>у</w:t>
      </w:r>
      <w:r w:rsidR="00871D57" w:rsidRPr="00F672DD">
        <w:t>дентам, службу в вооруженных силах и гражданскую службу, а также работу в</w:t>
      </w:r>
      <w:r w:rsidR="002F7A33">
        <w:rPr>
          <w:lang w:val="en-US"/>
        </w:rPr>
        <w:t> </w:t>
      </w:r>
      <w:r w:rsidR="00871D57" w:rsidRPr="00F672DD">
        <w:t>госуда</w:t>
      </w:r>
      <w:r w:rsidR="00871D57" w:rsidRPr="00F672DD">
        <w:t>р</w:t>
      </w:r>
      <w:r w:rsidR="00871D57" w:rsidRPr="00F672DD">
        <w:t xml:space="preserve">ственном секторе. </w:t>
      </w:r>
    </w:p>
    <w:p w:rsidR="00871D57" w:rsidRPr="00F672DD" w:rsidRDefault="00653B3C" w:rsidP="00871D57">
      <w:pPr>
        <w:pStyle w:val="SingleTxtGR"/>
      </w:pPr>
      <w:r>
        <w:t>39.</w:t>
      </w:r>
      <w:r>
        <w:tab/>
      </w:r>
      <w:r w:rsidR="00871D57" w:rsidRPr="00F672DD">
        <w:t>За нарушение Закона предусмотрена новая санкция</w:t>
      </w:r>
      <w:r w:rsidR="000557E5">
        <w:t xml:space="preserve"> </w:t>
      </w:r>
      <w:r w:rsidR="00871D57" w:rsidRPr="00F672DD">
        <w:t>– штраф как компе</w:t>
      </w:r>
      <w:r w:rsidR="00871D57" w:rsidRPr="00F672DD">
        <w:t>н</w:t>
      </w:r>
      <w:r w:rsidR="00871D57" w:rsidRPr="00F672DD">
        <w:t>сация за дискриминацию, цель которого состоит в увеличении объема компе</w:t>
      </w:r>
      <w:r w:rsidR="00871D57" w:rsidRPr="00F672DD">
        <w:t>н</w:t>
      </w:r>
      <w:r w:rsidR="00871D57" w:rsidRPr="00F672DD">
        <w:t>сационных выплат жертвам дискриминации. Штраф за дискриминацию пр</w:t>
      </w:r>
      <w:r w:rsidR="00871D57" w:rsidRPr="00F672DD">
        <w:t>и</w:t>
      </w:r>
      <w:r w:rsidR="00871D57" w:rsidRPr="00F672DD">
        <w:t>зван, с одной стороны, обеспечить возмещение ущерба, причиненного в резул</w:t>
      </w:r>
      <w:r w:rsidR="00871D57" w:rsidRPr="00F672DD">
        <w:t>ь</w:t>
      </w:r>
      <w:r w:rsidR="00871D57" w:rsidRPr="00F672DD">
        <w:t>тате дискриминации, а с другой</w:t>
      </w:r>
      <w:r w:rsidR="000557E5">
        <w:t xml:space="preserve"> </w:t>
      </w:r>
      <w:r w:rsidR="00871D57" w:rsidRPr="00F672DD">
        <w:t>– служить инструментом противодействия ди</w:t>
      </w:r>
      <w:r w:rsidR="00871D57" w:rsidRPr="00F672DD">
        <w:t>с</w:t>
      </w:r>
      <w:r w:rsidR="00871D57" w:rsidRPr="00F672DD">
        <w:t>криминации.</w:t>
      </w:r>
    </w:p>
    <w:p w:rsidR="00871D57" w:rsidRPr="00F672DD" w:rsidRDefault="00653B3C" w:rsidP="00871D57">
      <w:pPr>
        <w:pStyle w:val="SingleTxtGR"/>
      </w:pPr>
      <w:r>
        <w:t>40.</w:t>
      </w:r>
      <w:r>
        <w:tab/>
      </w:r>
      <w:r w:rsidR="00871D57" w:rsidRPr="00F672DD">
        <w:t>Кроме того, подавать иски от имени частных лиц теперь имеют право не только орг</w:t>
      </w:r>
      <w:r w:rsidR="00871D57" w:rsidRPr="00F672DD">
        <w:t>а</w:t>
      </w:r>
      <w:r w:rsidR="00871D57" w:rsidRPr="00F672DD">
        <w:t>низации наемных работников, но и некоммерческие организации.</w:t>
      </w:r>
    </w:p>
    <w:p w:rsidR="00871D57" w:rsidRPr="00C2200B" w:rsidRDefault="00871D57" w:rsidP="00C2200B">
      <w:pPr>
        <w:pStyle w:val="H23GR"/>
      </w:pPr>
      <w:r w:rsidRPr="00C2200B">
        <w:tab/>
        <w:t>b)</w:t>
      </w:r>
      <w:r w:rsidRPr="00C2200B">
        <w:tab/>
        <w:t xml:space="preserve">Омбудсмен по вопросам равенства </w:t>
      </w:r>
    </w:p>
    <w:p w:rsidR="00871D57" w:rsidRPr="00F672DD" w:rsidRDefault="00653B3C" w:rsidP="00871D57">
      <w:pPr>
        <w:pStyle w:val="SingleTxtGR"/>
      </w:pPr>
      <w:r>
        <w:t>41.</w:t>
      </w:r>
      <w:r>
        <w:tab/>
      </w:r>
      <w:r w:rsidR="00871D57" w:rsidRPr="00F672DD">
        <w:t>В задачу Омбудсмена по вопросам равенства входит контроль за собл</w:t>
      </w:r>
      <w:r w:rsidR="00871D57" w:rsidRPr="00F672DD">
        <w:t>ю</w:t>
      </w:r>
      <w:r w:rsidR="00871D57" w:rsidRPr="00F672DD">
        <w:t>дением положений Закона о борьбе с дискриминацией. Одновременно с учре</w:t>
      </w:r>
      <w:r w:rsidR="00871D57" w:rsidRPr="00F672DD">
        <w:t>ж</w:t>
      </w:r>
      <w:r w:rsidR="00871D57" w:rsidRPr="00F672DD">
        <w:t>дением должности Омбудсмена по вопросам равенства (1</w:t>
      </w:r>
      <w:r w:rsidR="000557E5">
        <w:t xml:space="preserve"> </w:t>
      </w:r>
      <w:r w:rsidR="00871D57" w:rsidRPr="00F672DD">
        <w:t>января 2009</w:t>
      </w:r>
      <w:r w:rsidR="000557E5">
        <w:t xml:space="preserve"> </w:t>
      </w:r>
      <w:r w:rsidR="00871D57" w:rsidRPr="00F672DD">
        <w:t>года) б</w:t>
      </w:r>
      <w:r w:rsidR="00871D57" w:rsidRPr="00F672DD">
        <w:t>ы</w:t>
      </w:r>
      <w:r w:rsidR="00871D57" w:rsidRPr="00F672DD">
        <w:t>ли упразднены четыре прежние должности</w:t>
      </w:r>
      <w:r w:rsidR="000557E5">
        <w:t xml:space="preserve"> </w:t>
      </w:r>
      <w:r w:rsidR="00871D57" w:rsidRPr="00F672DD">
        <w:t>– Омбудсмена по вопросу о равных возможностях, Омбудсмена по вопросам дискриминации по этническому пр</w:t>
      </w:r>
      <w:r w:rsidR="00871D57" w:rsidRPr="00F672DD">
        <w:t>и</w:t>
      </w:r>
      <w:r w:rsidR="00871D57" w:rsidRPr="00F672DD">
        <w:t>знаку, Омбудсмена по правам инвалидов и Омбудсмена по вопросам дискрим</w:t>
      </w:r>
      <w:r w:rsidR="00871D57" w:rsidRPr="00F672DD">
        <w:t>и</w:t>
      </w:r>
      <w:r w:rsidR="00871D57" w:rsidRPr="00F672DD">
        <w:t>нации по признаку сексуальной ориентации.</w:t>
      </w:r>
    </w:p>
    <w:p w:rsidR="00871D57" w:rsidRPr="00F672DD" w:rsidRDefault="00653B3C" w:rsidP="00871D57">
      <w:pPr>
        <w:pStyle w:val="SingleTxtGR"/>
      </w:pPr>
      <w:r>
        <w:t>42.</w:t>
      </w:r>
      <w:r>
        <w:tab/>
      </w:r>
      <w:r w:rsidR="00871D57" w:rsidRPr="00F672DD">
        <w:t>В распоряжении нового Омбудсмена имеется более широкий, чем у его предшественников, набор инструментов для воздействия на тех, кто не выпо</w:t>
      </w:r>
      <w:r w:rsidR="00871D57" w:rsidRPr="00F672DD">
        <w:t>л</w:t>
      </w:r>
      <w:r w:rsidR="00871D57" w:rsidRPr="00F672DD">
        <w:t>няет своих обязанностей согласно Закону о борьбе с дискриминацией. Он м</w:t>
      </w:r>
      <w:r w:rsidR="00871D57" w:rsidRPr="00F672DD">
        <w:t>о</w:t>
      </w:r>
      <w:r w:rsidR="00871D57" w:rsidRPr="00F672DD">
        <w:t>жет, например, самостоятельно налагать штрафы на работодателей, учебные з</w:t>
      </w:r>
      <w:r w:rsidR="00871D57" w:rsidRPr="00F672DD">
        <w:t>а</w:t>
      </w:r>
      <w:r w:rsidR="00871D57" w:rsidRPr="00F672DD">
        <w:t>ведения и руководителей коммерческих организаций, отказывающихся предо</w:t>
      </w:r>
      <w:r w:rsidR="00871D57" w:rsidRPr="00F672DD">
        <w:t>с</w:t>
      </w:r>
      <w:r w:rsidR="00871D57" w:rsidRPr="00F672DD">
        <w:t>тавлять информацию, необходимую ему для выполнения надзорных функций, или информацию о квалификации кандидатов на те или иные должности, от</w:t>
      </w:r>
      <w:r w:rsidR="00871D57" w:rsidRPr="00F672DD">
        <w:t>о</w:t>
      </w:r>
      <w:r w:rsidR="00871D57" w:rsidRPr="00F672DD">
        <w:t>бранных для интервью, назначенных на эти должности или утвержденных для прохождения учебной подготовки. Аналогичные санкции могут применяться Омбу</w:t>
      </w:r>
      <w:r w:rsidR="00871D57" w:rsidRPr="00F672DD">
        <w:t>д</w:t>
      </w:r>
      <w:r w:rsidR="00871D57" w:rsidRPr="00F672DD">
        <w:t xml:space="preserve">сменом и в отношении тех, кто отказывается предоставить ему доступ к производственным или другим помещениям, где осуществляется та или иная деятельность, или участвовать в диалоге с ним. </w:t>
      </w:r>
    </w:p>
    <w:p w:rsidR="00871D57" w:rsidRPr="00C2200B" w:rsidRDefault="00871D57" w:rsidP="00C2200B">
      <w:pPr>
        <w:pStyle w:val="H23GR"/>
      </w:pPr>
      <w:r w:rsidRPr="00C2200B">
        <w:tab/>
        <w:t>c)</w:t>
      </w:r>
      <w:r w:rsidRPr="00C2200B">
        <w:tab/>
        <w:t>Применение гражданского законодательства</w:t>
      </w:r>
    </w:p>
    <w:p w:rsidR="00871D57" w:rsidRPr="00F672DD" w:rsidRDefault="00FC2BD1" w:rsidP="00871D57">
      <w:pPr>
        <w:pStyle w:val="SingleTxtGR"/>
      </w:pPr>
      <w:r>
        <w:t>43.</w:t>
      </w:r>
      <w:r>
        <w:tab/>
      </w:r>
      <w:r w:rsidR="00871D57" w:rsidRPr="00F672DD">
        <w:t>Как отмечается в пунктах</w:t>
      </w:r>
      <w:r w:rsidR="000557E5" w:rsidRPr="000557E5">
        <w:t xml:space="preserve"> </w:t>
      </w:r>
      <w:r w:rsidR="00871D57" w:rsidRPr="00F672DD">
        <w:t>41 и 42 выше, в обязанности Омбудсмена по вопросам равенства</w:t>
      </w:r>
      <w:r w:rsidR="000557E5">
        <w:t xml:space="preserve"> </w:t>
      </w:r>
      <w:r w:rsidR="00871D57" w:rsidRPr="00F672DD">
        <w:t>входят как контроль за соблюдением положений Закона о борьбе с дискриминацией, так и собственно противодействие дискриминации и содействие обеспечению равных прав и возможностей для всех независимо от этнической принадлежности и других факторов. В рамках своего мандата О</w:t>
      </w:r>
      <w:r w:rsidR="00871D57" w:rsidRPr="00F672DD">
        <w:t>м</w:t>
      </w:r>
      <w:r w:rsidR="00871D57" w:rsidRPr="00F672DD">
        <w:t>будсмен по вопросам равенства может проводить рассл</w:t>
      </w:r>
      <w:r w:rsidR="00871D57" w:rsidRPr="00F672DD">
        <w:t>е</w:t>
      </w:r>
      <w:r w:rsidR="00871D57" w:rsidRPr="00F672DD">
        <w:t>дования по жалобам на дискриминационные действия, нарушающие положения Закона о борьбе с ди</w:t>
      </w:r>
      <w:r w:rsidR="00871D57" w:rsidRPr="00F672DD">
        <w:t>с</w:t>
      </w:r>
      <w:r w:rsidR="00871D57" w:rsidRPr="00F672DD">
        <w:t>криминацией, и может выступать в качестве представителя пострадавшей ст</w:t>
      </w:r>
      <w:r w:rsidR="00871D57" w:rsidRPr="00F672DD">
        <w:t>о</w:t>
      </w:r>
      <w:r w:rsidR="00871D57" w:rsidRPr="00F672DD">
        <w:t>роны в связи с досудебным урегулированием дела или его рассмотрением в с</w:t>
      </w:r>
      <w:r w:rsidR="00871D57" w:rsidRPr="00F672DD">
        <w:t>у</w:t>
      </w:r>
      <w:r w:rsidR="00871D57" w:rsidRPr="00F672DD">
        <w:t xml:space="preserve">де. </w:t>
      </w:r>
    </w:p>
    <w:p w:rsidR="00871D57" w:rsidRPr="00F672DD" w:rsidRDefault="00FC2BD1" w:rsidP="00871D57">
      <w:pPr>
        <w:pStyle w:val="SingleTxtGR"/>
      </w:pPr>
      <w:r>
        <w:t>44.</w:t>
      </w:r>
      <w:r>
        <w:tab/>
      </w:r>
      <w:r w:rsidR="00871D57" w:rsidRPr="00F672DD">
        <w:t>Жалобы, получаемые Омбудсменом по вопросам равенства, чаще всего связаны с дискриминацией по этническому признаку. Так, из 7</w:t>
      </w:r>
      <w:r w:rsidR="000557E5" w:rsidRPr="000557E5">
        <w:t xml:space="preserve"> </w:t>
      </w:r>
      <w:r w:rsidR="00871D57" w:rsidRPr="00F672DD">
        <w:t>960 жалоб, п</w:t>
      </w:r>
      <w:r w:rsidR="00871D57" w:rsidRPr="00F672DD">
        <w:t>о</w:t>
      </w:r>
      <w:r w:rsidR="00871D57" w:rsidRPr="00F672DD">
        <w:t>лученных Омбудсменом в период 2009–2011</w:t>
      </w:r>
      <w:r w:rsidR="000557E5" w:rsidRPr="000557E5">
        <w:t xml:space="preserve"> </w:t>
      </w:r>
      <w:r w:rsidR="00871D57" w:rsidRPr="00F672DD">
        <w:t>годов, с дискриминацией по этому признаку были связаны 2</w:t>
      </w:r>
      <w:r w:rsidR="000557E5" w:rsidRPr="000557E5">
        <w:t xml:space="preserve"> </w:t>
      </w:r>
      <w:r w:rsidR="00871D57" w:rsidRPr="00F672DD">
        <w:t>282</w:t>
      </w:r>
      <w:r w:rsidR="000557E5" w:rsidRPr="000557E5">
        <w:t xml:space="preserve"> </w:t>
      </w:r>
      <w:r w:rsidR="00871D57" w:rsidRPr="00F672DD">
        <w:t>жалобы (или около 29</w:t>
      </w:r>
      <w:r w:rsidR="006B159C" w:rsidRPr="006B159C">
        <w:t>%</w:t>
      </w:r>
      <w:r w:rsidR="00871D57" w:rsidRPr="00F672DD">
        <w:t xml:space="preserve"> от общего числа жалоб).</w:t>
      </w:r>
    </w:p>
    <w:p w:rsidR="00871D57" w:rsidRPr="00F672DD" w:rsidRDefault="00FC2BD1" w:rsidP="00871D57">
      <w:pPr>
        <w:pStyle w:val="SingleTxtGR"/>
      </w:pPr>
      <w:r>
        <w:t>45.</w:t>
      </w:r>
      <w:r>
        <w:tab/>
      </w:r>
      <w:r w:rsidR="00871D57" w:rsidRPr="00F672DD">
        <w:t>В таблице ниже показано распределение жалоб, полученных Омбудсм</w:t>
      </w:r>
      <w:r w:rsidR="00871D57" w:rsidRPr="00F672DD">
        <w:t>е</w:t>
      </w:r>
      <w:r w:rsidR="00871D57" w:rsidRPr="00F672DD">
        <w:t>ном по вопр</w:t>
      </w:r>
      <w:r w:rsidR="00871D57" w:rsidRPr="00F672DD">
        <w:t>о</w:t>
      </w:r>
      <w:r w:rsidR="00871D57" w:rsidRPr="00F672DD">
        <w:t>сам равенства, по различным социальным секторам.</w:t>
      </w:r>
    </w:p>
    <w:p w:rsidR="00871D57" w:rsidRPr="00F672DD" w:rsidRDefault="00871D57" w:rsidP="00AC3B8F">
      <w:pPr>
        <w:pStyle w:val="SingleTxtGR"/>
        <w:pageBreakBefore/>
        <w:jc w:val="left"/>
        <w:rPr>
          <w:b/>
        </w:rPr>
      </w:pPr>
      <w:r w:rsidRPr="00F672DD">
        <w:t>Таблица 7</w:t>
      </w:r>
      <w:r w:rsidRPr="00F672DD">
        <w:br/>
      </w:r>
      <w:r w:rsidRPr="00F672DD">
        <w:rPr>
          <w:b/>
        </w:rPr>
        <w:t>Жалобы на дискриминацию по этническому признаку в разбивке</w:t>
      </w:r>
      <w:r w:rsidR="005015DC" w:rsidRPr="005015DC">
        <w:rPr>
          <w:b/>
        </w:rPr>
        <w:br/>
      </w:r>
      <w:r w:rsidRPr="00F672DD">
        <w:rPr>
          <w:b/>
        </w:rPr>
        <w:t>по соц</w:t>
      </w:r>
      <w:r w:rsidRPr="00F672DD">
        <w:rPr>
          <w:b/>
        </w:rPr>
        <w:t>и</w:t>
      </w:r>
      <w:r w:rsidRPr="00F672DD">
        <w:rPr>
          <w:b/>
        </w:rPr>
        <w:t xml:space="preserve">альным секторам </w:t>
      </w:r>
    </w:p>
    <w:tbl>
      <w:tblPr>
        <w:tblStyle w:val="TabNum"/>
        <w:tblW w:w="7370" w:type="dxa"/>
        <w:tblInd w:w="1134" w:type="dxa"/>
        <w:tblLook w:val="01E0"/>
      </w:tblPr>
      <w:tblGrid>
        <w:gridCol w:w="4140"/>
        <w:gridCol w:w="805"/>
        <w:gridCol w:w="805"/>
        <w:gridCol w:w="804"/>
        <w:gridCol w:w="816"/>
      </w:tblGrid>
      <w:tr w:rsidR="00871D57" w:rsidRPr="00FC2BD1" w:rsidTr="00FC2BD1">
        <w:trPr>
          <w:trHeight w:val="290"/>
          <w:tblHeader/>
        </w:trPr>
        <w:tc>
          <w:tcPr>
            <w:cnfStyle w:val="001000000000"/>
            <w:tcW w:w="4140" w:type="dxa"/>
            <w:tcBorders>
              <w:bottom w:val="single" w:sz="12" w:space="0" w:color="auto"/>
            </w:tcBorders>
            <w:shd w:val="clear" w:color="auto" w:fill="auto"/>
          </w:tcPr>
          <w:p w:rsidR="00871D57" w:rsidRPr="00FC2BD1" w:rsidRDefault="00B62D39" w:rsidP="00B62D39">
            <w:pPr>
              <w:spacing w:before="80" w:after="80" w:line="200" w:lineRule="exact"/>
              <w:rPr>
                <w:i/>
                <w:sz w:val="16"/>
              </w:rPr>
            </w:pPr>
            <w:r w:rsidRPr="00B62D39">
              <w:rPr>
                <w:i/>
                <w:sz w:val="16"/>
              </w:rPr>
              <w:t xml:space="preserve">Жалобы на дискриминацию по этническому признаку </w:t>
            </w:r>
            <w:r w:rsidRPr="00B62D39">
              <w:rPr>
                <w:i/>
                <w:sz w:val="16"/>
              </w:rPr>
              <w:br/>
              <w:t>в разбивке по социальным секторам</w:t>
            </w:r>
          </w:p>
        </w:tc>
        <w:tc>
          <w:tcPr>
            <w:tcW w:w="805" w:type="dxa"/>
            <w:tcBorders>
              <w:top w:val="single" w:sz="4" w:space="0" w:color="auto"/>
              <w:bottom w:val="single" w:sz="12" w:space="0" w:color="auto"/>
            </w:tcBorders>
            <w:shd w:val="clear" w:color="auto" w:fill="auto"/>
          </w:tcPr>
          <w:p w:rsidR="00871D57" w:rsidRPr="00FC2BD1" w:rsidRDefault="00871D57" w:rsidP="00FC2BD1">
            <w:pPr>
              <w:spacing w:before="80" w:after="80" w:line="200" w:lineRule="exact"/>
              <w:cnfStyle w:val="000000000000"/>
              <w:rPr>
                <w:i/>
                <w:sz w:val="16"/>
              </w:rPr>
            </w:pPr>
            <w:r w:rsidRPr="00FC2BD1">
              <w:rPr>
                <w:i/>
                <w:sz w:val="16"/>
              </w:rPr>
              <w:t>2009 год</w:t>
            </w:r>
          </w:p>
        </w:tc>
        <w:tc>
          <w:tcPr>
            <w:tcW w:w="805" w:type="dxa"/>
            <w:tcBorders>
              <w:top w:val="single" w:sz="4" w:space="0" w:color="auto"/>
              <w:bottom w:val="single" w:sz="12" w:space="0" w:color="auto"/>
            </w:tcBorders>
            <w:shd w:val="clear" w:color="auto" w:fill="auto"/>
          </w:tcPr>
          <w:p w:rsidR="00871D57" w:rsidRPr="00FC2BD1" w:rsidRDefault="00871D57" w:rsidP="00FC2BD1">
            <w:pPr>
              <w:spacing w:before="80" w:after="80" w:line="200" w:lineRule="exact"/>
              <w:cnfStyle w:val="000000000000"/>
              <w:rPr>
                <w:i/>
                <w:sz w:val="16"/>
              </w:rPr>
            </w:pPr>
            <w:r w:rsidRPr="00FC2BD1">
              <w:rPr>
                <w:i/>
                <w:sz w:val="16"/>
              </w:rPr>
              <w:t>2010 год</w:t>
            </w:r>
          </w:p>
        </w:tc>
        <w:tc>
          <w:tcPr>
            <w:tcW w:w="804" w:type="dxa"/>
            <w:tcBorders>
              <w:top w:val="single" w:sz="4" w:space="0" w:color="auto"/>
              <w:bottom w:val="single" w:sz="12" w:space="0" w:color="auto"/>
            </w:tcBorders>
            <w:shd w:val="clear" w:color="auto" w:fill="auto"/>
          </w:tcPr>
          <w:p w:rsidR="00871D57" w:rsidRPr="00FC2BD1" w:rsidRDefault="00871D57" w:rsidP="00FC2BD1">
            <w:pPr>
              <w:spacing w:before="80" w:after="80" w:line="200" w:lineRule="exact"/>
              <w:cnfStyle w:val="000000000000"/>
              <w:rPr>
                <w:i/>
                <w:sz w:val="16"/>
              </w:rPr>
            </w:pPr>
            <w:r w:rsidRPr="00FC2BD1">
              <w:rPr>
                <w:i/>
                <w:sz w:val="16"/>
              </w:rPr>
              <w:t>2011 год</w:t>
            </w:r>
          </w:p>
        </w:tc>
        <w:tc>
          <w:tcPr>
            <w:tcW w:w="816" w:type="dxa"/>
            <w:tcBorders>
              <w:top w:val="single" w:sz="4" w:space="0" w:color="auto"/>
              <w:bottom w:val="single" w:sz="12" w:space="0" w:color="auto"/>
            </w:tcBorders>
            <w:shd w:val="clear" w:color="auto" w:fill="auto"/>
          </w:tcPr>
          <w:p w:rsidR="00871D57" w:rsidRPr="00FC2BD1" w:rsidRDefault="00871D57" w:rsidP="00FC2BD1">
            <w:pPr>
              <w:spacing w:before="80" w:after="80" w:line="200" w:lineRule="exact"/>
              <w:cnfStyle w:val="000000000000"/>
              <w:rPr>
                <w:i/>
                <w:sz w:val="16"/>
              </w:rPr>
            </w:pPr>
            <w:r w:rsidRPr="00FC2BD1">
              <w:rPr>
                <w:i/>
                <w:sz w:val="16"/>
              </w:rPr>
              <w:t>Итого</w:t>
            </w:r>
          </w:p>
        </w:tc>
      </w:tr>
      <w:tr w:rsidR="00871D57" w:rsidRPr="00FC2BD1" w:rsidTr="00FC2BD1">
        <w:trPr>
          <w:trHeight w:val="290"/>
        </w:trPr>
        <w:tc>
          <w:tcPr>
            <w:cnfStyle w:val="001000000000"/>
            <w:tcW w:w="4140" w:type="dxa"/>
            <w:tcBorders>
              <w:top w:val="single" w:sz="12" w:space="0" w:color="auto"/>
            </w:tcBorders>
          </w:tcPr>
          <w:p w:rsidR="00871D57" w:rsidRPr="00FC2BD1" w:rsidRDefault="00871D57" w:rsidP="00FC2BD1">
            <w:r w:rsidRPr="00FC2BD1">
              <w:t>Услуги по трудоустройству и т.д.</w:t>
            </w:r>
          </w:p>
        </w:tc>
        <w:tc>
          <w:tcPr>
            <w:tcW w:w="805" w:type="dxa"/>
            <w:tcBorders>
              <w:top w:val="single" w:sz="12" w:space="0" w:color="auto"/>
            </w:tcBorders>
          </w:tcPr>
          <w:p w:rsidR="00871D57" w:rsidRPr="00FC2BD1" w:rsidRDefault="00871D57" w:rsidP="00FC2BD1">
            <w:pPr>
              <w:cnfStyle w:val="000000000000"/>
            </w:pPr>
            <w:r w:rsidRPr="00FC2BD1">
              <w:t>19</w:t>
            </w:r>
          </w:p>
        </w:tc>
        <w:tc>
          <w:tcPr>
            <w:tcW w:w="805" w:type="dxa"/>
            <w:tcBorders>
              <w:top w:val="single" w:sz="12" w:space="0" w:color="auto"/>
            </w:tcBorders>
          </w:tcPr>
          <w:p w:rsidR="00871D57" w:rsidRPr="00FC2BD1" w:rsidRDefault="00871D57" w:rsidP="00FC2BD1">
            <w:pPr>
              <w:cnfStyle w:val="000000000000"/>
            </w:pPr>
            <w:r w:rsidRPr="00FC2BD1">
              <w:t>9</w:t>
            </w:r>
          </w:p>
        </w:tc>
        <w:tc>
          <w:tcPr>
            <w:tcW w:w="804" w:type="dxa"/>
            <w:tcBorders>
              <w:top w:val="single" w:sz="12" w:space="0" w:color="auto"/>
            </w:tcBorders>
          </w:tcPr>
          <w:p w:rsidR="00871D57" w:rsidRPr="00FC2BD1" w:rsidRDefault="00871D57" w:rsidP="00FC2BD1">
            <w:pPr>
              <w:cnfStyle w:val="000000000000"/>
            </w:pPr>
            <w:r w:rsidRPr="00FC2BD1">
              <w:t>23</w:t>
            </w:r>
          </w:p>
        </w:tc>
        <w:tc>
          <w:tcPr>
            <w:tcW w:w="816" w:type="dxa"/>
            <w:tcBorders>
              <w:top w:val="single" w:sz="12" w:space="0" w:color="auto"/>
            </w:tcBorders>
          </w:tcPr>
          <w:p w:rsidR="00871D57" w:rsidRPr="00FC2BD1" w:rsidRDefault="00871D57" w:rsidP="00FC2BD1">
            <w:pPr>
              <w:cnfStyle w:val="000000000000"/>
            </w:pPr>
            <w:r w:rsidRPr="00FC2BD1">
              <w:t>58</w:t>
            </w:r>
          </w:p>
        </w:tc>
      </w:tr>
      <w:tr w:rsidR="00871D57" w:rsidRPr="00FC2BD1" w:rsidTr="00FC2BD1">
        <w:trPr>
          <w:trHeight w:val="290"/>
        </w:trPr>
        <w:tc>
          <w:tcPr>
            <w:cnfStyle w:val="001000000000"/>
            <w:tcW w:w="4140" w:type="dxa"/>
          </w:tcPr>
          <w:p w:rsidR="00871D57" w:rsidRPr="00FC2BD1" w:rsidRDefault="00871D57" w:rsidP="00FC2BD1">
            <w:r w:rsidRPr="00FC2BD1">
              <w:t>Сфера труда</w:t>
            </w:r>
          </w:p>
        </w:tc>
        <w:tc>
          <w:tcPr>
            <w:tcW w:w="805" w:type="dxa"/>
          </w:tcPr>
          <w:p w:rsidR="00871D57" w:rsidRPr="00FC2BD1" w:rsidRDefault="00871D57" w:rsidP="00FC2BD1">
            <w:pPr>
              <w:cnfStyle w:val="000000000000"/>
            </w:pPr>
            <w:r w:rsidRPr="00FC2BD1">
              <w:t>292</w:t>
            </w:r>
          </w:p>
        </w:tc>
        <w:tc>
          <w:tcPr>
            <w:tcW w:w="805" w:type="dxa"/>
          </w:tcPr>
          <w:p w:rsidR="00871D57" w:rsidRPr="00FC2BD1" w:rsidRDefault="00871D57" w:rsidP="00FC2BD1">
            <w:pPr>
              <w:cnfStyle w:val="000000000000"/>
            </w:pPr>
            <w:r w:rsidRPr="00FC2BD1">
              <w:t>286</w:t>
            </w:r>
          </w:p>
        </w:tc>
        <w:tc>
          <w:tcPr>
            <w:tcW w:w="804" w:type="dxa"/>
          </w:tcPr>
          <w:p w:rsidR="00871D57" w:rsidRPr="00FC2BD1" w:rsidRDefault="00871D57" w:rsidP="00FC2BD1">
            <w:pPr>
              <w:cnfStyle w:val="000000000000"/>
            </w:pPr>
            <w:r w:rsidRPr="00FC2BD1">
              <w:t>265</w:t>
            </w:r>
          </w:p>
        </w:tc>
        <w:tc>
          <w:tcPr>
            <w:tcW w:w="816" w:type="dxa"/>
          </w:tcPr>
          <w:p w:rsidR="00871D57" w:rsidRPr="00FC2BD1" w:rsidRDefault="00871D57" w:rsidP="00FC2BD1">
            <w:pPr>
              <w:cnfStyle w:val="000000000000"/>
            </w:pPr>
            <w:r w:rsidRPr="00FC2BD1">
              <w:t>883</w:t>
            </w:r>
          </w:p>
        </w:tc>
      </w:tr>
      <w:tr w:rsidR="00871D57" w:rsidRPr="00FC2BD1" w:rsidTr="00FC2BD1">
        <w:trPr>
          <w:trHeight w:val="290"/>
        </w:trPr>
        <w:tc>
          <w:tcPr>
            <w:cnfStyle w:val="001000000000"/>
            <w:tcW w:w="4140" w:type="dxa"/>
          </w:tcPr>
          <w:p w:rsidR="00871D57" w:rsidRPr="00FC2BD1" w:rsidRDefault="00871D57" w:rsidP="00FC2BD1">
            <w:r w:rsidRPr="00FC2BD1">
              <w:t>Жилищная сфера</w:t>
            </w:r>
          </w:p>
        </w:tc>
        <w:tc>
          <w:tcPr>
            <w:tcW w:w="805" w:type="dxa"/>
          </w:tcPr>
          <w:p w:rsidR="00871D57" w:rsidRPr="00FC2BD1" w:rsidRDefault="00871D57" w:rsidP="00FC2BD1">
            <w:pPr>
              <w:cnfStyle w:val="000000000000"/>
            </w:pPr>
            <w:r w:rsidRPr="00FC2BD1">
              <w:t>49</w:t>
            </w:r>
          </w:p>
        </w:tc>
        <w:tc>
          <w:tcPr>
            <w:tcW w:w="805" w:type="dxa"/>
          </w:tcPr>
          <w:p w:rsidR="00871D57" w:rsidRPr="00FC2BD1" w:rsidRDefault="00871D57" w:rsidP="00FC2BD1">
            <w:pPr>
              <w:cnfStyle w:val="000000000000"/>
            </w:pPr>
            <w:r w:rsidRPr="00FC2BD1">
              <w:t>42</w:t>
            </w:r>
          </w:p>
        </w:tc>
        <w:tc>
          <w:tcPr>
            <w:tcW w:w="804" w:type="dxa"/>
          </w:tcPr>
          <w:p w:rsidR="00871D57" w:rsidRPr="00FC2BD1" w:rsidRDefault="00871D57" w:rsidP="00FC2BD1">
            <w:pPr>
              <w:cnfStyle w:val="000000000000"/>
            </w:pPr>
            <w:r w:rsidRPr="00FC2BD1">
              <w:t>34</w:t>
            </w:r>
          </w:p>
        </w:tc>
        <w:tc>
          <w:tcPr>
            <w:tcW w:w="816" w:type="dxa"/>
          </w:tcPr>
          <w:p w:rsidR="00871D57" w:rsidRPr="00FC2BD1" w:rsidRDefault="00871D57" w:rsidP="00FC2BD1">
            <w:pPr>
              <w:cnfStyle w:val="000000000000"/>
            </w:pPr>
            <w:r w:rsidRPr="00FC2BD1">
              <w:t>134</w:t>
            </w:r>
          </w:p>
        </w:tc>
      </w:tr>
      <w:tr w:rsidR="00871D57" w:rsidRPr="00FC2BD1" w:rsidTr="00FC2BD1">
        <w:trPr>
          <w:trHeight w:val="290"/>
        </w:trPr>
        <w:tc>
          <w:tcPr>
            <w:cnfStyle w:val="001000000000"/>
            <w:tcW w:w="4140" w:type="dxa"/>
          </w:tcPr>
          <w:p w:rsidR="00871D57" w:rsidRPr="00FC2BD1" w:rsidRDefault="00871D57" w:rsidP="00FC2BD1">
            <w:r w:rsidRPr="00FC2BD1">
              <w:t>Незащищенные области</w:t>
            </w:r>
            <w:r w:rsidRPr="00FC2BD1">
              <w:rPr>
                <w:i/>
              </w:rPr>
              <w:t>*</w:t>
            </w:r>
          </w:p>
        </w:tc>
        <w:tc>
          <w:tcPr>
            <w:tcW w:w="805" w:type="dxa"/>
          </w:tcPr>
          <w:p w:rsidR="00871D57" w:rsidRPr="00FC2BD1" w:rsidRDefault="00871D57" w:rsidP="00FC2BD1">
            <w:pPr>
              <w:cnfStyle w:val="000000000000"/>
            </w:pPr>
            <w:r w:rsidRPr="00FC2BD1">
              <w:t>80</w:t>
            </w:r>
          </w:p>
        </w:tc>
        <w:tc>
          <w:tcPr>
            <w:tcW w:w="805" w:type="dxa"/>
          </w:tcPr>
          <w:p w:rsidR="00871D57" w:rsidRPr="00FC2BD1" w:rsidRDefault="00871D57" w:rsidP="00FC2BD1">
            <w:pPr>
              <w:cnfStyle w:val="000000000000"/>
            </w:pPr>
            <w:r w:rsidRPr="00FC2BD1">
              <w:t>59</w:t>
            </w:r>
          </w:p>
        </w:tc>
        <w:tc>
          <w:tcPr>
            <w:tcW w:w="804" w:type="dxa"/>
          </w:tcPr>
          <w:p w:rsidR="00871D57" w:rsidRPr="00FC2BD1" w:rsidRDefault="00871D57" w:rsidP="00FC2BD1">
            <w:pPr>
              <w:cnfStyle w:val="000000000000"/>
            </w:pPr>
            <w:r w:rsidRPr="00FC2BD1">
              <w:t>50</w:t>
            </w:r>
          </w:p>
        </w:tc>
        <w:tc>
          <w:tcPr>
            <w:tcW w:w="816" w:type="dxa"/>
          </w:tcPr>
          <w:p w:rsidR="00871D57" w:rsidRPr="00FC2BD1" w:rsidRDefault="00871D57" w:rsidP="00FC2BD1">
            <w:pPr>
              <w:cnfStyle w:val="000000000000"/>
            </w:pPr>
            <w:r w:rsidRPr="00FC2BD1">
              <w:t>228</w:t>
            </w:r>
          </w:p>
        </w:tc>
      </w:tr>
      <w:tr w:rsidR="00871D57" w:rsidRPr="00FC2BD1" w:rsidTr="00FC2BD1">
        <w:trPr>
          <w:trHeight w:val="290"/>
        </w:trPr>
        <w:tc>
          <w:tcPr>
            <w:cnfStyle w:val="001000000000"/>
            <w:tcW w:w="4140" w:type="dxa"/>
          </w:tcPr>
          <w:p w:rsidR="00871D57" w:rsidRPr="00FC2BD1" w:rsidRDefault="00871D57" w:rsidP="00FC2BD1">
            <w:r w:rsidRPr="00FC2BD1">
              <w:t>Охрана здоровья и медицинская помощь</w:t>
            </w:r>
          </w:p>
        </w:tc>
        <w:tc>
          <w:tcPr>
            <w:tcW w:w="805" w:type="dxa"/>
          </w:tcPr>
          <w:p w:rsidR="00871D57" w:rsidRPr="00FC2BD1" w:rsidRDefault="00871D57" w:rsidP="00FC2BD1">
            <w:pPr>
              <w:cnfStyle w:val="000000000000"/>
            </w:pPr>
            <w:r w:rsidRPr="00FC2BD1">
              <w:t>38</w:t>
            </w:r>
          </w:p>
        </w:tc>
        <w:tc>
          <w:tcPr>
            <w:tcW w:w="805" w:type="dxa"/>
          </w:tcPr>
          <w:p w:rsidR="00871D57" w:rsidRPr="00FC2BD1" w:rsidRDefault="00871D57" w:rsidP="00FC2BD1">
            <w:pPr>
              <w:cnfStyle w:val="000000000000"/>
            </w:pPr>
            <w:r w:rsidRPr="00FC2BD1">
              <w:t>25</w:t>
            </w:r>
          </w:p>
        </w:tc>
        <w:tc>
          <w:tcPr>
            <w:tcW w:w="804" w:type="dxa"/>
          </w:tcPr>
          <w:p w:rsidR="00871D57" w:rsidRPr="00FC2BD1" w:rsidRDefault="00871D57" w:rsidP="00FC2BD1">
            <w:pPr>
              <w:cnfStyle w:val="000000000000"/>
            </w:pPr>
            <w:r w:rsidRPr="00FC2BD1">
              <w:t>38</w:t>
            </w:r>
          </w:p>
        </w:tc>
        <w:tc>
          <w:tcPr>
            <w:tcW w:w="816" w:type="dxa"/>
          </w:tcPr>
          <w:p w:rsidR="00871D57" w:rsidRPr="00FC2BD1" w:rsidRDefault="00871D57" w:rsidP="00FC2BD1">
            <w:pPr>
              <w:cnfStyle w:val="000000000000"/>
            </w:pPr>
            <w:r w:rsidRPr="00FC2BD1">
              <w:t>109</w:t>
            </w:r>
          </w:p>
        </w:tc>
      </w:tr>
      <w:tr w:rsidR="00871D57" w:rsidRPr="00FC2BD1" w:rsidTr="00FC2BD1">
        <w:trPr>
          <w:trHeight w:val="290"/>
        </w:trPr>
        <w:tc>
          <w:tcPr>
            <w:cnfStyle w:val="001000000000"/>
            <w:tcW w:w="4140" w:type="dxa"/>
          </w:tcPr>
          <w:p w:rsidR="00871D57" w:rsidRPr="00FC2BD1" w:rsidRDefault="00871D57" w:rsidP="00FC2BD1">
            <w:r w:rsidRPr="00FC2BD1">
              <w:t xml:space="preserve">Членство в организациях работников или </w:t>
            </w:r>
            <w:r w:rsidR="001A4503">
              <w:br/>
            </w:r>
            <w:r w:rsidRPr="00FC2BD1">
              <w:t>раб</w:t>
            </w:r>
            <w:r w:rsidRPr="00FC2BD1">
              <w:t>о</w:t>
            </w:r>
            <w:r w:rsidRPr="00FC2BD1">
              <w:t>тодателей и т.д.</w:t>
            </w:r>
          </w:p>
        </w:tc>
        <w:tc>
          <w:tcPr>
            <w:tcW w:w="805" w:type="dxa"/>
          </w:tcPr>
          <w:p w:rsidR="00871D57" w:rsidRPr="00FC2BD1" w:rsidRDefault="00871D57" w:rsidP="00FC2BD1">
            <w:pPr>
              <w:cnfStyle w:val="000000000000"/>
            </w:pPr>
            <w:r w:rsidRPr="00FC2BD1">
              <w:t>5</w:t>
            </w:r>
          </w:p>
        </w:tc>
        <w:tc>
          <w:tcPr>
            <w:tcW w:w="805" w:type="dxa"/>
          </w:tcPr>
          <w:p w:rsidR="00871D57" w:rsidRPr="00FC2BD1" w:rsidRDefault="00871D57" w:rsidP="00FC2BD1">
            <w:pPr>
              <w:cnfStyle w:val="000000000000"/>
            </w:pPr>
            <w:r w:rsidRPr="00FC2BD1">
              <w:t>7</w:t>
            </w:r>
          </w:p>
        </w:tc>
        <w:tc>
          <w:tcPr>
            <w:tcW w:w="804" w:type="dxa"/>
          </w:tcPr>
          <w:p w:rsidR="00871D57" w:rsidRPr="00FC2BD1" w:rsidRDefault="00871D57" w:rsidP="00FC2BD1">
            <w:pPr>
              <w:cnfStyle w:val="000000000000"/>
            </w:pPr>
            <w:r w:rsidRPr="00FC2BD1">
              <w:t>12</w:t>
            </w:r>
          </w:p>
        </w:tc>
        <w:tc>
          <w:tcPr>
            <w:tcW w:w="816" w:type="dxa"/>
          </w:tcPr>
          <w:p w:rsidR="00871D57" w:rsidRPr="00FC2BD1" w:rsidRDefault="00871D57" w:rsidP="00FC2BD1">
            <w:pPr>
              <w:cnfStyle w:val="000000000000"/>
            </w:pPr>
            <w:r w:rsidRPr="00FC2BD1">
              <w:t>25</w:t>
            </w:r>
          </w:p>
        </w:tc>
      </w:tr>
      <w:tr w:rsidR="00871D57" w:rsidRPr="00FC2BD1" w:rsidTr="00FC2BD1">
        <w:trPr>
          <w:trHeight w:val="290"/>
        </w:trPr>
        <w:tc>
          <w:tcPr>
            <w:cnfStyle w:val="001000000000"/>
            <w:tcW w:w="4140" w:type="dxa"/>
          </w:tcPr>
          <w:p w:rsidR="00871D57" w:rsidRPr="00FC2BD1" w:rsidRDefault="00871D57" w:rsidP="00FC2BD1">
            <w:r w:rsidRPr="00FC2BD1">
              <w:t xml:space="preserve">Предпринимательская деятельность и </w:t>
            </w:r>
            <w:r w:rsidR="001A4503">
              <w:br/>
            </w:r>
            <w:r w:rsidRPr="00FC2BD1">
              <w:t>профе</w:t>
            </w:r>
            <w:r w:rsidRPr="00FC2BD1">
              <w:t>с</w:t>
            </w:r>
            <w:r w:rsidRPr="00FC2BD1">
              <w:t>сиональная квалификация</w:t>
            </w:r>
          </w:p>
        </w:tc>
        <w:tc>
          <w:tcPr>
            <w:tcW w:w="805" w:type="dxa"/>
          </w:tcPr>
          <w:p w:rsidR="00871D57" w:rsidRPr="00FC2BD1" w:rsidRDefault="00871D57" w:rsidP="00FC2BD1">
            <w:pPr>
              <w:cnfStyle w:val="000000000000"/>
            </w:pPr>
            <w:r w:rsidRPr="00FC2BD1">
              <w:t>3</w:t>
            </w:r>
          </w:p>
        </w:tc>
        <w:tc>
          <w:tcPr>
            <w:tcW w:w="805" w:type="dxa"/>
          </w:tcPr>
          <w:p w:rsidR="00871D57" w:rsidRPr="00FC2BD1" w:rsidRDefault="00871D57" w:rsidP="00FC2BD1">
            <w:pPr>
              <w:cnfStyle w:val="000000000000"/>
            </w:pPr>
            <w:r w:rsidRPr="00FC2BD1">
              <w:t>3</w:t>
            </w:r>
          </w:p>
        </w:tc>
        <w:tc>
          <w:tcPr>
            <w:tcW w:w="804" w:type="dxa"/>
          </w:tcPr>
          <w:p w:rsidR="00871D57" w:rsidRPr="00FC2BD1" w:rsidRDefault="00871D57" w:rsidP="00FC2BD1">
            <w:pPr>
              <w:cnfStyle w:val="000000000000"/>
            </w:pPr>
            <w:r w:rsidRPr="00FC2BD1">
              <w:t>2</w:t>
            </w:r>
          </w:p>
        </w:tc>
        <w:tc>
          <w:tcPr>
            <w:tcW w:w="816" w:type="dxa"/>
          </w:tcPr>
          <w:p w:rsidR="00871D57" w:rsidRPr="00FC2BD1" w:rsidRDefault="00871D57" w:rsidP="00FC2BD1">
            <w:pPr>
              <w:cnfStyle w:val="000000000000"/>
            </w:pPr>
            <w:r w:rsidRPr="00FC2BD1">
              <w:t>9</w:t>
            </w:r>
          </w:p>
        </w:tc>
      </w:tr>
      <w:tr w:rsidR="00871D57" w:rsidRPr="00FC2BD1" w:rsidTr="00FC2BD1">
        <w:trPr>
          <w:trHeight w:val="290"/>
        </w:trPr>
        <w:tc>
          <w:tcPr>
            <w:cnfStyle w:val="001000000000"/>
            <w:tcW w:w="4140" w:type="dxa"/>
          </w:tcPr>
          <w:p w:rsidR="00871D57" w:rsidRPr="00FC2BD1" w:rsidRDefault="00871D57" w:rsidP="00FC2BD1">
            <w:r w:rsidRPr="00FC2BD1">
              <w:t>Работа в государственном секторе</w:t>
            </w:r>
          </w:p>
        </w:tc>
        <w:tc>
          <w:tcPr>
            <w:tcW w:w="805" w:type="dxa"/>
          </w:tcPr>
          <w:p w:rsidR="00871D57" w:rsidRPr="00FC2BD1" w:rsidRDefault="00871D57" w:rsidP="00FC2BD1">
            <w:pPr>
              <w:cnfStyle w:val="000000000000"/>
            </w:pPr>
            <w:r w:rsidRPr="00FC2BD1">
              <w:t>23</w:t>
            </w:r>
          </w:p>
        </w:tc>
        <w:tc>
          <w:tcPr>
            <w:tcW w:w="805" w:type="dxa"/>
          </w:tcPr>
          <w:p w:rsidR="00871D57" w:rsidRPr="00FC2BD1" w:rsidRDefault="00871D57" w:rsidP="00FC2BD1">
            <w:pPr>
              <w:cnfStyle w:val="000000000000"/>
            </w:pPr>
            <w:r w:rsidRPr="00FC2BD1">
              <w:t>40</w:t>
            </w:r>
          </w:p>
        </w:tc>
        <w:tc>
          <w:tcPr>
            <w:tcW w:w="804" w:type="dxa"/>
          </w:tcPr>
          <w:p w:rsidR="00871D57" w:rsidRPr="00FC2BD1" w:rsidRDefault="00871D57" w:rsidP="00FC2BD1">
            <w:pPr>
              <w:cnfStyle w:val="000000000000"/>
            </w:pPr>
            <w:r w:rsidRPr="00FC2BD1">
              <w:t>42</w:t>
            </w:r>
          </w:p>
        </w:tc>
        <w:tc>
          <w:tcPr>
            <w:tcW w:w="816" w:type="dxa"/>
          </w:tcPr>
          <w:p w:rsidR="00871D57" w:rsidRPr="00FC2BD1" w:rsidRDefault="00871D57" w:rsidP="00FC2BD1">
            <w:pPr>
              <w:cnfStyle w:val="000000000000"/>
            </w:pPr>
            <w:r w:rsidRPr="00FC2BD1">
              <w:t>116</w:t>
            </w:r>
          </w:p>
        </w:tc>
      </w:tr>
      <w:tr w:rsidR="00871D57" w:rsidRPr="00FC2BD1" w:rsidTr="00FC2BD1">
        <w:trPr>
          <w:trHeight w:val="290"/>
        </w:trPr>
        <w:tc>
          <w:tcPr>
            <w:cnfStyle w:val="001000000000"/>
            <w:tcW w:w="4140" w:type="dxa"/>
          </w:tcPr>
          <w:p w:rsidR="00871D57" w:rsidRPr="00FC2BD1" w:rsidRDefault="00871D57" w:rsidP="00FC2BD1">
            <w:r w:rsidRPr="00FC2BD1">
              <w:t>Социальное страхование и т.д.</w:t>
            </w:r>
          </w:p>
        </w:tc>
        <w:tc>
          <w:tcPr>
            <w:tcW w:w="805" w:type="dxa"/>
          </w:tcPr>
          <w:p w:rsidR="00871D57" w:rsidRPr="00FC2BD1" w:rsidRDefault="00871D57" w:rsidP="00FC2BD1">
            <w:pPr>
              <w:cnfStyle w:val="000000000000"/>
            </w:pPr>
            <w:r w:rsidRPr="00FC2BD1">
              <w:t>24</w:t>
            </w:r>
          </w:p>
        </w:tc>
        <w:tc>
          <w:tcPr>
            <w:tcW w:w="805" w:type="dxa"/>
          </w:tcPr>
          <w:p w:rsidR="00871D57" w:rsidRPr="00FC2BD1" w:rsidRDefault="00871D57" w:rsidP="00FC2BD1">
            <w:pPr>
              <w:cnfStyle w:val="000000000000"/>
            </w:pPr>
            <w:r w:rsidRPr="00FC2BD1">
              <w:t>27</w:t>
            </w:r>
          </w:p>
        </w:tc>
        <w:tc>
          <w:tcPr>
            <w:tcW w:w="804" w:type="dxa"/>
          </w:tcPr>
          <w:p w:rsidR="00871D57" w:rsidRPr="00FC2BD1" w:rsidRDefault="00871D57" w:rsidP="00FC2BD1">
            <w:pPr>
              <w:cnfStyle w:val="000000000000"/>
            </w:pPr>
            <w:r w:rsidRPr="00FC2BD1">
              <w:t>12</w:t>
            </w:r>
          </w:p>
        </w:tc>
        <w:tc>
          <w:tcPr>
            <w:tcW w:w="816" w:type="dxa"/>
          </w:tcPr>
          <w:p w:rsidR="00871D57" w:rsidRPr="00FC2BD1" w:rsidRDefault="00871D57" w:rsidP="00FC2BD1">
            <w:pPr>
              <w:cnfStyle w:val="000000000000"/>
            </w:pPr>
            <w:r w:rsidRPr="00FC2BD1">
              <w:t>65</w:t>
            </w:r>
          </w:p>
        </w:tc>
      </w:tr>
      <w:tr w:rsidR="00871D57" w:rsidRPr="00FC2BD1" w:rsidTr="00FC2BD1">
        <w:trPr>
          <w:trHeight w:val="290"/>
        </w:trPr>
        <w:tc>
          <w:tcPr>
            <w:cnfStyle w:val="001000000000"/>
            <w:tcW w:w="4140" w:type="dxa"/>
          </w:tcPr>
          <w:p w:rsidR="00871D57" w:rsidRPr="00FC2BD1" w:rsidRDefault="00871D57" w:rsidP="00FC2BD1">
            <w:r w:rsidRPr="00FC2BD1">
              <w:t>Социальные услуги</w:t>
            </w:r>
          </w:p>
        </w:tc>
        <w:tc>
          <w:tcPr>
            <w:tcW w:w="805" w:type="dxa"/>
          </w:tcPr>
          <w:p w:rsidR="00871D57" w:rsidRPr="00FC2BD1" w:rsidRDefault="00871D57" w:rsidP="00FC2BD1">
            <w:pPr>
              <w:cnfStyle w:val="000000000000"/>
            </w:pPr>
            <w:r w:rsidRPr="00FC2BD1">
              <w:t>54</w:t>
            </w:r>
          </w:p>
        </w:tc>
        <w:tc>
          <w:tcPr>
            <w:tcW w:w="805" w:type="dxa"/>
          </w:tcPr>
          <w:p w:rsidR="00871D57" w:rsidRPr="00FC2BD1" w:rsidRDefault="00871D57" w:rsidP="00FC2BD1">
            <w:pPr>
              <w:cnfStyle w:val="000000000000"/>
            </w:pPr>
            <w:r w:rsidRPr="00FC2BD1">
              <w:t>54</w:t>
            </w:r>
          </w:p>
        </w:tc>
        <w:tc>
          <w:tcPr>
            <w:tcW w:w="804" w:type="dxa"/>
          </w:tcPr>
          <w:p w:rsidR="00871D57" w:rsidRPr="00FC2BD1" w:rsidRDefault="00871D57" w:rsidP="00FC2BD1">
            <w:pPr>
              <w:cnfStyle w:val="000000000000"/>
            </w:pPr>
            <w:r w:rsidRPr="00FC2BD1">
              <w:t>41</w:t>
            </w:r>
          </w:p>
        </w:tc>
        <w:tc>
          <w:tcPr>
            <w:tcW w:w="816" w:type="dxa"/>
          </w:tcPr>
          <w:p w:rsidR="00871D57" w:rsidRPr="00FC2BD1" w:rsidRDefault="00871D57" w:rsidP="00FC2BD1">
            <w:pPr>
              <w:cnfStyle w:val="000000000000"/>
            </w:pPr>
            <w:r w:rsidRPr="00FC2BD1">
              <w:t>161</w:t>
            </w:r>
          </w:p>
        </w:tc>
      </w:tr>
      <w:tr w:rsidR="00871D57" w:rsidRPr="00FC2BD1" w:rsidTr="00FC2BD1">
        <w:trPr>
          <w:trHeight w:val="290"/>
        </w:trPr>
        <w:tc>
          <w:tcPr>
            <w:cnfStyle w:val="001000000000"/>
            <w:tcW w:w="4140" w:type="dxa"/>
          </w:tcPr>
          <w:p w:rsidR="00871D57" w:rsidRPr="00FC2BD1" w:rsidRDefault="00871D57" w:rsidP="00FC2BD1">
            <w:r w:rsidRPr="00FC2BD1">
              <w:t>Образование</w:t>
            </w:r>
          </w:p>
        </w:tc>
        <w:tc>
          <w:tcPr>
            <w:tcW w:w="805" w:type="dxa"/>
          </w:tcPr>
          <w:p w:rsidR="00871D57" w:rsidRPr="00FC2BD1" w:rsidRDefault="00871D57" w:rsidP="00FC2BD1">
            <w:pPr>
              <w:cnfStyle w:val="000000000000"/>
            </w:pPr>
            <w:r w:rsidRPr="00FC2BD1">
              <w:t>72</w:t>
            </w:r>
          </w:p>
        </w:tc>
        <w:tc>
          <w:tcPr>
            <w:tcW w:w="805" w:type="dxa"/>
          </w:tcPr>
          <w:p w:rsidR="00871D57" w:rsidRPr="00FC2BD1" w:rsidRDefault="00871D57" w:rsidP="00FC2BD1">
            <w:pPr>
              <w:cnfStyle w:val="000000000000"/>
            </w:pPr>
            <w:r w:rsidRPr="00FC2BD1">
              <w:t>96</w:t>
            </w:r>
          </w:p>
        </w:tc>
        <w:tc>
          <w:tcPr>
            <w:tcW w:w="804" w:type="dxa"/>
          </w:tcPr>
          <w:p w:rsidR="00871D57" w:rsidRPr="00FC2BD1" w:rsidRDefault="00871D57" w:rsidP="00FC2BD1">
            <w:pPr>
              <w:cnfStyle w:val="000000000000"/>
            </w:pPr>
            <w:r w:rsidRPr="00FC2BD1">
              <w:t>65</w:t>
            </w:r>
          </w:p>
        </w:tc>
        <w:tc>
          <w:tcPr>
            <w:tcW w:w="816" w:type="dxa"/>
          </w:tcPr>
          <w:p w:rsidR="00871D57" w:rsidRPr="00FC2BD1" w:rsidRDefault="00871D57" w:rsidP="00FC2BD1">
            <w:pPr>
              <w:cnfStyle w:val="000000000000"/>
            </w:pPr>
            <w:r w:rsidRPr="00FC2BD1">
              <w:t>255</w:t>
            </w:r>
          </w:p>
        </w:tc>
      </w:tr>
      <w:tr w:rsidR="00871D57" w:rsidRPr="00FC2BD1" w:rsidTr="00C46A70">
        <w:trPr>
          <w:trHeight w:val="290"/>
        </w:trPr>
        <w:tc>
          <w:tcPr>
            <w:cnfStyle w:val="001000000000"/>
            <w:tcW w:w="4140" w:type="dxa"/>
            <w:tcBorders>
              <w:bottom w:val="single" w:sz="4" w:space="0" w:color="auto"/>
            </w:tcBorders>
          </w:tcPr>
          <w:p w:rsidR="00871D57" w:rsidRPr="00FC2BD1" w:rsidRDefault="00871D57" w:rsidP="00FC2BD1">
            <w:r w:rsidRPr="00FC2BD1">
              <w:t>Товары и услуги</w:t>
            </w:r>
          </w:p>
        </w:tc>
        <w:tc>
          <w:tcPr>
            <w:tcW w:w="805" w:type="dxa"/>
            <w:tcBorders>
              <w:bottom w:val="single" w:sz="4" w:space="0" w:color="auto"/>
            </w:tcBorders>
          </w:tcPr>
          <w:p w:rsidR="00871D57" w:rsidRPr="00FC2BD1" w:rsidRDefault="00871D57" w:rsidP="00FC2BD1">
            <w:pPr>
              <w:cnfStyle w:val="000000000000"/>
            </w:pPr>
            <w:r w:rsidRPr="00FC2BD1">
              <w:t>132</w:t>
            </w:r>
          </w:p>
        </w:tc>
        <w:tc>
          <w:tcPr>
            <w:tcW w:w="805" w:type="dxa"/>
            <w:tcBorders>
              <w:bottom w:val="single" w:sz="4" w:space="0" w:color="auto"/>
            </w:tcBorders>
          </w:tcPr>
          <w:p w:rsidR="00871D57" w:rsidRPr="00FC2BD1" w:rsidRDefault="00871D57" w:rsidP="00FC2BD1">
            <w:pPr>
              <w:cnfStyle w:val="000000000000"/>
            </w:pPr>
            <w:r w:rsidRPr="00FC2BD1">
              <w:t>145</w:t>
            </w:r>
          </w:p>
        </w:tc>
        <w:tc>
          <w:tcPr>
            <w:tcW w:w="804" w:type="dxa"/>
            <w:tcBorders>
              <w:bottom w:val="single" w:sz="4" w:space="0" w:color="auto"/>
            </w:tcBorders>
          </w:tcPr>
          <w:p w:rsidR="00871D57" w:rsidRPr="00FC2BD1" w:rsidRDefault="00871D57" w:rsidP="00FC2BD1">
            <w:pPr>
              <w:cnfStyle w:val="000000000000"/>
            </w:pPr>
            <w:r w:rsidRPr="00FC2BD1">
              <w:t>114</w:t>
            </w:r>
          </w:p>
        </w:tc>
        <w:tc>
          <w:tcPr>
            <w:tcW w:w="816" w:type="dxa"/>
            <w:tcBorders>
              <w:bottom w:val="single" w:sz="4" w:space="0" w:color="auto"/>
            </w:tcBorders>
          </w:tcPr>
          <w:p w:rsidR="00871D57" w:rsidRPr="00FC2BD1" w:rsidRDefault="00871D57" w:rsidP="00FC2BD1">
            <w:pPr>
              <w:cnfStyle w:val="000000000000"/>
            </w:pPr>
            <w:r w:rsidRPr="00FC2BD1">
              <w:t>414</w:t>
            </w:r>
          </w:p>
        </w:tc>
      </w:tr>
      <w:tr w:rsidR="00871D57" w:rsidRPr="00C46A70" w:rsidTr="00C46A70">
        <w:trPr>
          <w:trHeight w:val="290"/>
        </w:trPr>
        <w:tc>
          <w:tcPr>
            <w:cnfStyle w:val="001000000000"/>
            <w:tcW w:w="4140" w:type="dxa"/>
            <w:tcBorders>
              <w:top w:val="single" w:sz="4" w:space="0" w:color="auto"/>
            </w:tcBorders>
          </w:tcPr>
          <w:p w:rsidR="00871D57" w:rsidRPr="00C46A70" w:rsidRDefault="00871D57" w:rsidP="00C46A70">
            <w:pPr>
              <w:ind w:firstLine="170"/>
              <w:rPr>
                <w:b/>
              </w:rPr>
            </w:pPr>
            <w:r w:rsidRPr="00C46A70">
              <w:rPr>
                <w:b/>
              </w:rPr>
              <w:t>Итого</w:t>
            </w:r>
          </w:p>
        </w:tc>
        <w:tc>
          <w:tcPr>
            <w:tcW w:w="805" w:type="dxa"/>
            <w:tcBorders>
              <w:top w:val="single" w:sz="4" w:space="0" w:color="auto"/>
              <w:bottom w:val="single" w:sz="12" w:space="0" w:color="auto"/>
            </w:tcBorders>
          </w:tcPr>
          <w:p w:rsidR="00871D57" w:rsidRPr="00C46A70" w:rsidRDefault="00871D57" w:rsidP="00FC2BD1">
            <w:pPr>
              <w:cnfStyle w:val="000000000000"/>
              <w:rPr>
                <w:b/>
              </w:rPr>
            </w:pPr>
            <w:r w:rsidRPr="00C46A70">
              <w:rPr>
                <w:b/>
              </w:rPr>
              <w:t>791</w:t>
            </w:r>
          </w:p>
        </w:tc>
        <w:tc>
          <w:tcPr>
            <w:tcW w:w="805" w:type="dxa"/>
            <w:tcBorders>
              <w:top w:val="single" w:sz="4" w:space="0" w:color="auto"/>
              <w:bottom w:val="single" w:sz="12" w:space="0" w:color="auto"/>
            </w:tcBorders>
          </w:tcPr>
          <w:p w:rsidR="00871D57" w:rsidRPr="00C46A70" w:rsidRDefault="00871D57" w:rsidP="00FC2BD1">
            <w:pPr>
              <w:cnfStyle w:val="000000000000"/>
              <w:rPr>
                <w:b/>
              </w:rPr>
            </w:pPr>
            <w:r w:rsidRPr="00C46A70">
              <w:rPr>
                <w:b/>
              </w:rPr>
              <w:t>793</w:t>
            </w:r>
          </w:p>
        </w:tc>
        <w:tc>
          <w:tcPr>
            <w:tcW w:w="804" w:type="dxa"/>
            <w:tcBorders>
              <w:top w:val="single" w:sz="4" w:space="0" w:color="auto"/>
              <w:bottom w:val="single" w:sz="12" w:space="0" w:color="auto"/>
            </w:tcBorders>
          </w:tcPr>
          <w:p w:rsidR="00871D57" w:rsidRPr="00C46A70" w:rsidRDefault="00871D57" w:rsidP="00FC2BD1">
            <w:pPr>
              <w:cnfStyle w:val="000000000000"/>
              <w:rPr>
                <w:b/>
              </w:rPr>
            </w:pPr>
            <w:r w:rsidRPr="00C46A70">
              <w:rPr>
                <w:b/>
              </w:rPr>
              <w:t>698</w:t>
            </w:r>
          </w:p>
        </w:tc>
        <w:tc>
          <w:tcPr>
            <w:tcW w:w="816" w:type="dxa"/>
            <w:tcBorders>
              <w:top w:val="single" w:sz="4" w:space="0" w:color="auto"/>
              <w:bottom w:val="single" w:sz="12" w:space="0" w:color="auto"/>
            </w:tcBorders>
          </w:tcPr>
          <w:p w:rsidR="00871D57" w:rsidRPr="00C46A70" w:rsidRDefault="00871D57" w:rsidP="00FC2BD1">
            <w:pPr>
              <w:cnfStyle w:val="000000000000"/>
              <w:rPr>
                <w:b/>
              </w:rPr>
            </w:pPr>
            <w:r w:rsidRPr="00C46A70">
              <w:rPr>
                <w:b/>
              </w:rPr>
              <w:t>2</w:t>
            </w:r>
            <w:r w:rsidR="00C46A70" w:rsidRPr="00C46A70">
              <w:rPr>
                <w:b/>
              </w:rPr>
              <w:t xml:space="preserve"> </w:t>
            </w:r>
            <w:r w:rsidRPr="00C46A70">
              <w:rPr>
                <w:b/>
              </w:rPr>
              <w:t>282</w:t>
            </w:r>
          </w:p>
        </w:tc>
      </w:tr>
    </w:tbl>
    <w:p w:rsidR="00871D57" w:rsidRPr="00635822" w:rsidRDefault="00871D57" w:rsidP="00FC2BD1">
      <w:pPr>
        <w:pStyle w:val="SingleTxtGR"/>
        <w:spacing w:before="120" w:after="0" w:line="220" w:lineRule="exact"/>
        <w:ind w:firstLine="125"/>
        <w:rPr>
          <w:i/>
          <w:sz w:val="18"/>
          <w:szCs w:val="18"/>
        </w:rPr>
      </w:pPr>
      <w:r w:rsidRPr="00635822">
        <w:rPr>
          <w:i/>
          <w:sz w:val="18"/>
          <w:szCs w:val="18"/>
        </w:rPr>
        <w:t xml:space="preserve">Источник: </w:t>
      </w:r>
      <w:r w:rsidRPr="00FC2BD1">
        <w:rPr>
          <w:sz w:val="18"/>
          <w:szCs w:val="18"/>
        </w:rPr>
        <w:t>Омбудсмен по вопросам равенства</w:t>
      </w:r>
      <w:r w:rsidR="00FC2BD1">
        <w:rPr>
          <w:sz w:val="18"/>
          <w:szCs w:val="18"/>
        </w:rPr>
        <w:t>.</w:t>
      </w:r>
    </w:p>
    <w:p w:rsidR="00871D57" w:rsidRPr="00635822" w:rsidRDefault="00871D57" w:rsidP="00FC2BD1">
      <w:pPr>
        <w:pStyle w:val="SingleTxtGR"/>
        <w:spacing w:line="220" w:lineRule="exact"/>
        <w:ind w:firstLine="125"/>
        <w:rPr>
          <w:i/>
          <w:sz w:val="18"/>
          <w:szCs w:val="18"/>
        </w:rPr>
      </w:pPr>
      <w:r w:rsidRPr="00635822">
        <w:rPr>
          <w:i/>
          <w:sz w:val="18"/>
          <w:szCs w:val="18"/>
        </w:rPr>
        <w:t xml:space="preserve">* </w:t>
      </w:r>
      <w:r w:rsidRPr="00FC2BD1">
        <w:rPr>
          <w:sz w:val="18"/>
          <w:szCs w:val="18"/>
        </w:rPr>
        <w:t>Области, не защищенные от дискриминации Законом о борьбе с дискримин</w:t>
      </w:r>
      <w:r w:rsidRPr="00FC2BD1">
        <w:rPr>
          <w:sz w:val="18"/>
          <w:szCs w:val="18"/>
        </w:rPr>
        <w:t>а</w:t>
      </w:r>
      <w:r w:rsidRPr="00FC2BD1">
        <w:rPr>
          <w:sz w:val="18"/>
          <w:szCs w:val="18"/>
        </w:rPr>
        <w:t>цией.</w:t>
      </w:r>
    </w:p>
    <w:p w:rsidR="00871D57" w:rsidRPr="00F672DD" w:rsidRDefault="00D034F0" w:rsidP="00871D57">
      <w:pPr>
        <w:pStyle w:val="SingleTxtGR"/>
      </w:pPr>
      <w:r>
        <w:t>46.</w:t>
      </w:r>
      <w:r>
        <w:tab/>
      </w:r>
      <w:r w:rsidR="00871D57" w:rsidRPr="00F672DD">
        <w:t>Как видно из таблицы, люди чаще всего жалуются на дискриминацию по этническому признаку в сфере труда (в общей сложности 883 жалобы), в в</w:t>
      </w:r>
      <w:r w:rsidR="00871D57" w:rsidRPr="00F672DD">
        <w:t>о</w:t>
      </w:r>
      <w:r w:rsidR="00871D57" w:rsidRPr="00F672DD">
        <w:t>просах обеспечения товарами и услугами (414 жалоб) и в сфере образования (255 жалоб).</w:t>
      </w:r>
    </w:p>
    <w:p w:rsidR="00871D57" w:rsidRPr="00F672DD" w:rsidRDefault="00D034F0" w:rsidP="00871D57">
      <w:pPr>
        <w:pStyle w:val="SingleTxtGR"/>
      </w:pPr>
      <w:r>
        <w:t>47.</w:t>
      </w:r>
      <w:r>
        <w:tab/>
      </w:r>
      <w:r w:rsidR="00871D57" w:rsidRPr="00F672DD">
        <w:t>Как и в случае с жалобами на дискриминацию по другим признакам, дела о дискриминации по этническому признаку чаще всего закрываются по причине недоказанности факта дискриминации (например, из-за отсутствия надлежащих доказательств или из-за невозможности связать дискриминацию с этнической принадлежностью пострадавшего лица). Дела о дискриминации по этническому признаку в сфере образования часто закрываются еще и по той причине, что Омбудсмен по вопросам равенства не находит нарушений в действиях ответч</w:t>
      </w:r>
      <w:r w:rsidR="00871D57" w:rsidRPr="00F672DD">
        <w:t>и</w:t>
      </w:r>
      <w:r w:rsidR="00871D57" w:rsidRPr="00F672DD">
        <w:t>ка, связанных с выполнением требований Закона о борьбе с дискриминацией, касающихся проведения расследования и принятия надлежащих мер в случае поступления жалобы на дискриминацию.</w:t>
      </w:r>
    </w:p>
    <w:p w:rsidR="00871D57" w:rsidRPr="00F672DD" w:rsidRDefault="00D034F0" w:rsidP="00871D57">
      <w:pPr>
        <w:pStyle w:val="SingleTxtGR"/>
      </w:pPr>
      <w:r>
        <w:t>48.</w:t>
      </w:r>
      <w:r>
        <w:tab/>
      </w:r>
      <w:r w:rsidR="00871D57" w:rsidRPr="00F672DD">
        <w:t>Как видно из нижеследующей таблицы, в 2009–2011 годах Омбудсменом по вопросам равенства было закрыто 32</w:t>
      </w:r>
      <w:r w:rsidR="000557E5">
        <w:t xml:space="preserve"> </w:t>
      </w:r>
      <w:r w:rsidR="00871D57" w:rsidRPr="00F672DD">
        <w:t>дела, связанных с жалобами на ди</w:t>
      </w:r>
      <w:r w:rsidR="00871D57" w:rsidRPr="00F672DD">
        <w:t>с</w:t>
      </w:r>
      <w:r w:rsidR="00871D57" w:rsidRPr="00F672DD">
        <w:t>криминацию, поскольку по ним были вынесены соответствующие судебные решения. Еще 51</w:t>
      </w:r>
      <w:r w:rsidR="000557E5">
        <w:t xml:space="preserve"> </w:t>
      </w:r>
      <w:r w:rsidR="00871D57" w:rsidRPr="00F672DD">
        <w:t>дело было закрыто в связи с их внесудебным урегулирован</w:t>
      </w:r>
      <w:r w:rsidR="00871D57" w:rsidRPr="00F672DD">
        <w:t>и</w:t>
      </w:r>
      <w:r w:rsidR="00871D57" w:rsidRPr="00F672DD">
        <w:t xml:space="preserve">ем. </w:t>
      </w:r>
    </w:p>
    <w:p w:rsidR="00871D57" w:rsidRPr="00F672DD" w:rsidRDefault="00871D57" w:rsidP="00D034F0">
      <w:pPr>
        <w:pStyle w:val="SingleTxtGR"/>
        <w:keepNext/>
        <w:jc w:val="left"/>
        <w:rPr>
          <w:b/>
        </w:rPr>
      </w:pPr>
      <w:r w:rsidRPr="00F672DD">
        <w:t>Таблица 8</w:t>
      </w:r>
      <w:r w:rsidRPr="00F672DD">
        <w:br/>
      </w:r>
      <w:r w:rsidRPr="00F672DD">
        <w:rPr>
          <w:b/>
        </w:rPr>
        <w:t>Закрытые дела о дискриминации по признаку этнической принадлежности</w:t>
      </w:r>
    </w:p>
    <w:tbl>
      <w:tblPr>
        <w:tblStyle w:val="TabNum"/>
        <w:tblW w:w="7370" w:type="dxa"/>
        <w:tblInd w:w="1134" w:type="dxa"/>
        <w:tblLook w:val="01E0"/>
      </w:tblPr>
      <w:tblGrid>
        <w:gridCol w:w="4661"/>
        <w:gridCol w:w="940"/>
        <w:gridCol w:w="949"/>
        <w:gridCol w:w="820"/>
      </w:tblGrid>
      <w:tr w:rsidR="00871D57" w:rsidRPr="00D034F0" w:rsidTr="00D034F0">
        <w:trPr>
          <w:trHeight w:val="156"/>
          <w:tblHeader/>
        </w:trPr>
        <w:tc>
          <w:tcPr>
            <w:cnfStyle w:val="001000000000"/>
            <w:tcW w:w="4661" w:type="dxa"/>
            <w:tcBorders>
              <w:bottom w:val="single" w:sz="12" w:space="0" w:color="auto"/>
            </w:tcBorders>
            <w:shd w:val="clear" w:color="auto" w:fill="auto"/>
          </w:tcPr>
          <w:p w:rsidR="00871D57" w:rsidRPr="00D034F0" w:rsidRDefault="00871D57" w:rsidP="00D034F0">
            <w:pPr>
              <w:keepNext/>
              <w:spacing w:before="80" w:after="80" w:line="200" w:lineRule="exact"/>
              <w:rPr>
                <w:i/>
                <w:sz w:val="16"/>
              </w:rPr>
            </w:pPr>
            <w:r w:rsidRPr="00D034F0">
              <w:rPr>
                <w:i/>
                <w:sz w:val="16"/>
              </w:rPr>
              <w:t>Основание для закрытия</w:t>
            </w:r>
          </w:p>
        </w:tc>
        <w:tc>
          <w:tcPr>
            <w:tcW w:w="940" w:type="dxa"/>
            <w:tcBorders>
              <w:top w:val="single" w:sz="4" w:space="0" w:color="auto"/>
              <w:bottom w:val="single" w:sz="12" w:space="0" w:color="auto"/>
            </w:tcBorders>
            <w:shd w:val="clear" w:color="auto" w:fill="auto"/>
          </w:tcPr>
          <w:p w:rsidR="00871D57" w:rsidRPr="00D034F0" w:rsidRDefault="00871D57" w:rsidP="00D034F0">
            <w:pPr>
              <w:keepNext/>
              <w:spacing w:before="80" w:after="80" w:line="200" w:lineRule="exact"/>
              <w:cnfStyle w:val="000000000000"/>
              <w:rPr>
                <w:i/>
                <w:sz w:val="16"/>
              </w:rPr>
            </w:pPr>
            <w:r w:rsidRPr="00D034F0">
              <w:rPr>
                <w:i/>
                <w:sz w:val="16"/>
              </w:rPr>
              <w:t>2009 год</w:t>
            </w:r>
          </w:p>
        </w:tc>
        <w:tc>
          <w:tcPr>
            <w:tcW w:w="949" w:type="dxa"/>
            <w:tcBorders>
              <w:top w:val="single" w:sz="4" w:space="0" w:color="auto"/>
              <w:bottom w:val="single" w:sz="12" w:space="0" w:color="auto"/>
            </w:tcBorders>
            <w:shd w:val="clear" w:color="auto" w:fill="auto"/>
          </w:tcPr>
          <w:p w:rsidR="00871D57" w:rsidRPr="00D034F0" w:rsidRDefault="00871D57" w:rsidP="00D034F0">
            <w:pPr>
              <w:keepNext/>
              <w:spacing w:before="80" w:after="80" w:line="200" w:lineRule="exact"/>
              <w:cnfStyle w:val="000000000000"/>
              <w:rPr>
                <w:i/>
                <w:sz w:val="16"/>
              </w:rPr>
            </w:pPr>
            <w:r w:rsidRPr="00D034F0">
              <w:rPr>
                <w:i/>
                <w:sz w:val="16"/>
              </w:rPr>
              <w:t>2010 год</w:t>
            </w:r>
          </w:p>
        </w:tc>
        <w:tc>
          <w:tcPr>
            <w:tcW w:w="820" w:type="dxa"/>
            <w:tcBorders>
              <w:top w:val="single" w:sz="4" w:space="0" w:color="auto"/>
              <w:bottom w:val="single" w:sz="12" w:space="0" w:color="auto"/>
            </w:tcBorders>
            <w:shd w:val="clear" w:color="auto" w:fill="auto"/>
          </w:tcPr>
          <w:p w:rsidR="00871D57" w:rsidRPr="00D034F0" w:rsidRDefault="00871D57" w:rsidP="00D034F0">
            <w:pPr>
              <w:keepNext/>
              <w:spacing w:before="80" w:after="80" w:line="200" w:lineRule="exact"/>
              <w:cnfStyle w:val="000000000000"/>
              <w:rPr>
                <w:i/>
                <w:sz w:val="16"/>
              </w:rPr>
            </w:pPr>
            <w:r w:rsidRPr="00D034F0">
              <w:rPr>
                <w:i/>
                <w:sz w:val="16"/>
              </w:rPr>
              <w:t>2011 год</w:t>
            </w:r>
          </w:p>
        </w:tc>
      </w:tr>
      <w:tr w:rsidR="00871D57" w:rsidRPr="00D034F0" w:rsidTr="00D034F0">
        <w:trPr>
          <w:trHeight w:val="156"/>
        </w:trPr>
        <w:tc>
          <w:tcPr>
            <w:cnfStyle w:val="001000000000"/>
            <w:tcW w:w="4661" w:type="dxa"/>
            <w:tcBorders>
              <w:top w:val="single" w:sz="12" w:space="0" w:color="auto"/>
            </w:tcBorders>
          </w:tcPr>
          <w:p w:rsidR="00871D57" w:rsidRPr="00D034F0" w:rsidRDefault="00871D57" w:rsidP="00D034F0">
            <w:r w:rsidRPr="00D034F0">
              <w:t>Решение суда*</w:t>
            </w:r>
          </w:p>
        </w:tc>
        <w:tc>
          <w:tcPr>
            <w:tcW w:w="940" w:type="dxa"/>
            <w:tcBorders>
              <w:top w:val="single" w:sz="12" w:space="0" w:color="auto"/>
            </w:tcBorders>
          </w:tcPr>
          <w:p w:rsidR="00871D57" w:rsidRPr="00D034F0" w:rsidRDefault="00871D57" w:rsidP="00D034F0">
            <w:pPr>
              <w:cnfStyle w:val="000000000000"/>
            </w:pPr>
            <w:r w:rsidRPr="00D034F0">
              <w:t>6</w:t>
            </w:r>
          </w:p>
        </w:tc>
        <w:tc>
          <w:tcPr>
            <w:tcW w:w="949" w:type="dxa"/>
            <w:tcBorders>
              <w:top w:val="single" w:sz="12" w:space="0" w:color="auto"/>
            </w:tcBorders>
          </w:tcPr>
          <w:p w:rsidR="00871D57" w:rsidRPr="00D034F0" w:rsidRDefault="00871D57" w:rsidP="00D034F0">
            <w:pPr>
              <w:cnfStyle w:val="000000000000"/>
            </w:pPr>
            <w:r w:rsidRPr="00D034F0">
              <w:t>10</w:t>
            </w:r>
          </w:p>
        </w:tc>
        <w:tc>
          <w:tcPr>
            <w:tcW w:w="820" w:type="dxa"/>
            <w:tcBorders>
              <w:top w:val="single" w:sz="12" w:space="0" w:color="auto"/>
            </w:tcBorders>
          </w:tcPr>
          <w:p w:rsidR="00871D57" w:rsidRPr="00D034F0" w:rsidRDefault="00871D57" w:rsidP="00D034F0">
            <w:pPr>
              <w:cnfStyle w:val="000000000000"/>
            </w:pPr>
            <w:r w:rsidRPr="00D034F0">
              <w:t>16</w:t>
            </w:r>
          </w:p>
        </w:tc>
      </w:tr>
      <w:tr w:rsidR="00871D57" w:rsidRPr="00D034F0" w:rsidTr="00D034F0">
        <w:trPr>
          <w:trHeight w:val="156"/>
        </w:trPr>
        <w:tc>
          <w:tcPr>
            <w:cnfStyle w:val="001000000000"/>
            <w:tcW w:w="4661" w:type="dxa"/>
          </w:tcPr>
          <w:p w:rsidR="00871D57" w:rsidRPr="00D034F0" w:rsidRDefault="00871D57" w:rsidP="00D034F0">
            <w:r w:rsidRPr="00D034F0">
              <w:t>Внесудебное урегулирование*</w:t>
            </w:r>
          </w:p>
        </w:tc>
        <w:tc>
          <w:tcPr>
            <w:tcW w:w="940" w:type="dxa"/>
          </w:tcPr>
          <w:p w:rsidR="00871D57" w:rsidRPr="00D034F0" w:rsidRDefault="00871D57" w:rsidP="00D034F0">
            <w:pPr>
              <w:cnfStyle w:val="000000000000"/>
            </w:pPr>
            <w:r w:rsidRPr="00D034F0">
              <w:t>36</w:t>
            </w:r>
          </w:p>
        </w:tc>
        <w:tc>
          <w:tcPr>
            <w:tcW w:w="949" w:type="dxa"/>
          </w:tcPr>
          <w:p w:rsidR="00871D57" w:rsidRPr="00D034F0" w:rsidRDefault="00871D57" w:rsidP="00D034F0">
            <w:pPr>
              <w:cnfStyle w:val="000000000000"/>
            </w:pPr>
            <w:r w:rsidRPr="00D034F0">
              <w:t>13</w:t>
            </w:r>
          </w:p>
        </w:tc>
        <w:tc>
          <w:tcPr>
            <w:tcW w:w="820" w:type="dxa"/>
          </w:tcPr>
          <w:p w:rsidR="00871D57" w:rsidRPr="00D034F0" w:rsidRDefault="00871D57" w:rsidP="00D034F0">
            <w:pPr>
              <w:cnfStyle w:val="000000000000"/>
            </w:pPr>
            <w:r w:rsidRPr="00D034F0">
              <w:t>2</w:t>
            </w:r>
          </w:p>
        </w:tc>
      </w:tr>
      <w:tr w:rsidR="00871D57" w:rsidRPr="00D034F0" w:rsidTr="00D034F0">
        <w:trPr>
          <w:trHeight w:val="156"/>
        </w:trPr>
        <w:tc>
          <w:tcPr>
            <w:cnfStyle w:val="001000000000"/>
            <w:tcW w:w="4661" w:type="dxa"/>
          </w:tcPr>
          <w:p w:rsidR="00871D57" w:rsidRPr="00D034F0" w:rsidRDefault="00871D57" w:rsidP="00D034F0">
            <w:r w:rsidRPr="00D034F0">
              <w:t>Отсутствие доказательств дискриминации</w:t>
            </w:r>
          </w:p>
        </w:tc>
        <w:tc>
          <w:tcPr>
            <w:tcW w:w="940" w:type="dxa"/>
          </w:tcPr>
          <w:p w:rsidR="00871D57" w:rsidRPr="00D034F0" w:rsidRDefault="00871D57" w:rsidP="00D034F0">
            <w:pPr>
              <w:cnfStyle w:val="000000000000"/>
            </w:pPr>
            <w:r w:rsidRPr="00D034F0">
              <w:t>440</w:t>
            </w:r>
          </w:p>
        </w:tc>
        <w:tc>
          <w:tcPr>
            <w:tcW w:w="949" w:type="dxa"/>
          </w:tcPr>
          <w:p w:rsidR="00871D57" w:rsidRPr="00D034F0" w:rsidRDefault="00871D57" w:rsidP="00D034F0">
            <w:pPr>
              <w:cnfStyle w:val="000000000000"/>
            </w:pPr>
            <w:r w:rsidRPr="00D034F0">
              <w:t>501</w:t>
            </w:r>
          </w:p>
        </w:tc>
        <w:tc>
          <w:tcPr>
            <w:tcW w:w="820" w:type="dxa"/>
          </w:tcPr>
          <w:p w:rsidR="00871D57" w:rsidRPr="00D034F0" w:rsidRDefault="00871D57" w:rsidP="00D034F0">
            <w:pPr>
              <w:cnfStyle w:val="000000000000"/>
            </w:pPr>
            <w:r w:rsidRPr="00D034F0">
              <w:t>420</w:t>
            </w:r>
          </w:p>
        </w:tc>
      </w:tr>
      <w:tr w:rsidR="00871D57" w:rsidRPr="00D034F0" w:rsidTr="00D034F0">
        <w:trPr>
          <w:trHeight w:val="156"/>
        </w:trPr>
        <w:tc>
          <w:tcPr>
            <w:cnfStyle w:val="001000000000"/>
            <w:tcW w:w="4661" w:type="dxa"/>
          </w:tcPr>
          <w:p w:rsidR="00871D57" w:rsidRPr="00D034F0" w:rsidRDefault="00871D57" w:rsidP="00D034F0">
            <w:r w:rsidRPr="00D034F0">
              <w:t>Отсутствие защиты со стороны закона</w:t>
            </w:r>
          </w:p>
        </w:tc>
        <w:tc>
          <w:tcPr>
            <w:tcW w:w="940" w:type="dxa"/>
          </w:tcPr>
          <w:p w:rsidR="00871D57" w:rsidRPr="00D034F0" w:rsidRDefault="00871D57" w:rsidP="00D034F0">
            <w:pPr>
              <w:cnfStyle w:val="000000000000"/>
            </w:pPr>
            <w:r w:rsidRPr="00D034F0">
              <w:t>85</w:t>
            </w:r>
          </w:p>
        </w:tc>
        <w:tc>
          <w:tcPr>
            <w:tcW w:w="949" w:type="dxa"/>
          </w:tcPr>
          <w:p w:rsidR="00871D57" w:rsidRPr="00D034F0" w:rsidRDefault="00871D57" w:rsidP="00D034F0">
            <w:pPr>
              <w:cnfStyle w:val="000000000000"/>
            </w:pPr>
            <w:r w:rsidRPr="00D034F0">
              <w:t>88</w:t>
            </w:r>
          </w:p>
        </w:tc>
        <w:tc>
          <w:tcPr>
            <w:tcW w:w="820" w:type="dxa"/>
          </w:tcPr>
          <w:p w:rsidR="00871D57" w:rsidRPr="00D034F0" w:rsidRDefault="00871D57" w:rsidP="00D034F0">
            <w:pPr>
              <w:cnfStyle w:val="000000000000"/>
            </w:pPr>
            <w:r w:rsidRPr="00D034F0">
              <w:t>65</w:t>
            </w:r>
          </w:p>
        </w:tc>
      </w:tr>
      <w:tr w:rsidR="00871D57" w:rsidRPr="00D034F0" w:rsidTr="00D034F0">
        <w:trPr>
          <w:trHeight w:val="156"/>
        </w:trPr>
        <w:tc>
          <w:tcPr>
            <w:cnfStyle w:val="001000000000"/>
            <w:tcW w:w="4661" w:type="dxa"/>
          </w:tcPr>
          <w:p w:rsidR="00871D57" w:rsidRPr="00D034F0" w:rsidRDefault="00871D57" w:rsidP="00D034F0">
            <w:r w:rsidRPr="00D034F0">
              <w:t>Отсутствие нарушений согласно Закону об отпу</w:t>
            </w:r>
            <w:r w:rsidRPr="00D034F0">
              <w:t>с</w:t>
            </w:r>
            <w:r w:rsidRPr="00D034F0">
              <w:t>ке по</w:t>
            </w:r>
            <w:r w:rsidR="001A4503">
              <w:t> </w:t>
            </w:r>
            <w:r w:rsidRPr="00D034F0">
              <w:t>уходу за ребенком</w:t>
            </w:r>
          </w:p>
        </w:tc>
        <w:tc>
          <w:tcPr>
            <w:tcW w:w="940" w:type="dxa"/>
          </w:tcPr>
          <w:p w:rsidR="00871D57" w:rsidRPr="00D034F0" w:rsidRDefault="00871D57" w:rsidP="00D034F0">
            <w:pPr>
              <w:cnfStyle w:val="000000000000"/>
            </w:pPr>
            <w:r w:rsidRPr="00D034F0">
              <w:t>0</w:t>
            </w:r>
          </w:p>
        </w:tc>
        <w:tc>
          <w:tcPr>
            <w:tcW w:w="949" w:type="dxa"/>
          </w:tcPr>
          <w:p w:rsidR="00871D57" w:rsidRPr="00D034F0" w:rsidRDefault="00871D57" w:rsidP="00D034F0">
            <w:pPr>
              <w:cnfStyle w:val="000000000000"/>
            </w:pPr>
            <w:r w:rsidRPr="00D034F0">
              <w:t>3</w:t>
            </w:r>
          </w:p>
        </w:tc>
        <w:tc>
          <w:tcPr>
            <w:tcW w:w="820" w:type="dxa"/>
          </w:tcPr>
          <w:p w:rsidR="00871D57" w:rsidRPr="00D034F0" w:rsidRDefault="00871D57" w:rsidP="00D034F0">
            <w:pPr>
              <w:cnfStyle w:val="000000000000"/>
            </w:pPr>
            <w:r w:rsidRPr="00D034F0">
              <w:t>1</w:t>
            </w:r>
          </w:p>
        </w:tc>
      </w:tr>
      <w:tr w:rsidR="00871D57" w:rsidRPr="00D034F0" w:rsidTr="00D034F0">
        <w:trPr>
          <w:trHeight w:val="156"/>
        </w:trPr>
        <w:tc>
          <w:tcPr>
            <w:cnfStyle w:val="001000000000"/>
            <w:tcW w:w="4661" w:type="dxa"/>
          </w:tcPr>
          <w:p w:rsidR="00871D57" w:rsidRPr="00D034F0" w:rsidRDefault="00871D57" w:rsidP="00D034F0">
            <w:r w:rsidRPr="00D034F0">
              <w:t xml:space="preserve">Передача дела на рассмотрение профсоюзной </w:t>
            </w:r>
            <w:r w:rsidR="001A4503">
              <w:br/>
            </w:r>
            <w:r w:rsidRPr="00D034F0">
              <w:t>орган</w:t>
            </w:r>
            <w:r w:rsidRPr="00D034F0">
              <w:t>и</w:t>
            </w:r>
            <w:r w:rsidRPr="00D034F0">
              <w:t>зации</w:t>
            </w:r>
          </w:p>
        </w:tc>
        <w:tc>
          <w:tcPr>
            <w:tcW w:w="940" w:type="dxa"/>
          </w:tcPr>
          <w:p w:rsidR="00871D57" w:rsidRPr="00D034F0" w:rsidRDefault="00871D57" w:rsidP="00D034F0">
            <w:pPr>
              <w:cnfStyle w:val="000000000000"/>
            </w:pPr>
            <w:r w:rsidRPr="00D034F0">
              <w:t>53</w:t>
            </w:r>
          </w:p>
        </w:tc>
        <w:tc>
          <w:tcPr>
            <w:tcW w:w="949" w:type="dxa"/>
          </w:tcPr>
          <w:p w:rsidR="00871D57" w:rsidRPr="00D034F0" w:rsidRDefault="00871D57" w:rsidP="00D034F0">
            <w:pPr>
              <w:cnfStyle w:val="000000000000"/>
            </w:pPr>
            <w:r w:rsidRPr="00D034F0">
              <w:t>55</w:t>
            </w:r>
          </w:p>
        </w:tc>
        <w:tc>
          <w:tcPr>
            <w:tcW w:w="820" w:type="dxa"/>
          </w:tcPr>
          <w:p w:rsidR="00871D57" w:rsidRPr="00D034F0" w:rsidRDefault="00871D57" w:rsidP="00D034F0">
            <w:pPr>
              <w:cnfStyle w:val="000000000000"/>
            </w:pPr>
            <w:r w:rsidRPr="00D034F0">
              <w:t>65</w:t>
            </w:r>
          </w:p>
        </w:tc>
      </w:tr>
      <w:tr w:rsidR="00871D57" w:rsidRPr="00D034F0" w:rsidTr="00D034F0">
        <w:trPr>
          <w:trHeight w:val="156"/>
        </w:trPr>
        <w:tc>
          <w:tcPr>
            <w:cnfStyle w:val="001000000000"/>
            <w:tcW w:w="4661" w:type="dxa"/>
          </w:tcPr>
          <w:p w:rsidR="00871D57" w:rsidRPr="00D034F0" w:rsidRDefault="00871D57" w:rsidP="00D034F0">
            <w:r w:rsidRPr="00D034F0">
              <w:t>Законодательный запрет</w:t>
            </w:r>
          </w:p>
        </w:tc>
        <w:tc>
          <w:tcPr>
            <w:tcW w:w="940" w:type="dxa"/>
          </w:tcPr>
          <w:p w:rsidR="00871D57" w:rsidRPr="00D034F0" w:rsidRDefault="00871D57" w:rsidP="00D034F0">
            <w:pPr>
              <w:cnfStyle w:val="000000000000"/>
            </w:pPr>
            <w:r w:rsidRPr="00D034F0">
              <w:t>46</w:t>
            </w:r>
          </w:p>
        </w:tc>
        <w:tc>
          <w:tcPr>
            <w:tcW w:w="949" w:type="dxa"/>
          </w:tcPr>
          <w:p w:rsidR="00871D57" w:rsidRPr="00D034F0" w:rsidRDefault="00871D57" w:rsidP="00D034F0">
            <w:pPr>
              <w:cnfStyle w:val="000000000000"/>
            </w:pPr>
            <w:r w:rsidRPr="00D034F0">
              <w:t>38</w:t>
            </w:r>
          </w:p>
        </w:tc>
        <w:tc>
          <w:tcPr>
            <w:tcW w:w="820" w:type="dxa"/>
          </w:tcPr>
          <w:p w:rsidR="00871D57" w:rsidRPr="00D034F0" w:rsidRDefault="00871D57" w:rsidP="00D034F0">
            <w:pPr>
              <w:cnfStyle w:val="000000000000"/>
            </w:pPr>
            <w:r w:rsidRPr="00D034F0">
              <w:t>34</w:t>
            </w:r>
          </w:p>
        </w:tc>
      </w:tr>
      <w:tr w:rsidR="00871D57" w:rsidRPr="00D034F0" w:rsidTr="00D034F0">
        <w:trPr>
          <w:trHeight w:val="156"/>
        </w:trPr>
        <w:tc>
          <w:tcPr>
            <w:cnfStyle w:val="001000000000"/>
            <w:tcW w:w="4661" w:type="dxa"/>
          </w:tcPr>
          <w:p w:rsidR="00871D57" w:rsidRPr="00D034F0" w:rsidRDefault="00871D57" w:rsidP="00D034F0">
            <w:r w:rsidRPr="00D034F0">
              <w:t>Отзыв жалобы</w:t>
            </w:r>
          </w:p>
        </w:tc>
        <w:tc>
          <w:tcPr>
            <w:tcW w:w="940" w:type="dxa"/>
          </w:tcPr>
          <w:p w:rsidR="00871D57" w:rsidRPr="00D034F0" w:rsidRDefault="00871D57" w:rsidP="00D034F0">
            <w:pPr>
              <w:cnfStyle w:val="000000000000"/>
            </w:pPr>
            <w:r w:rsidRPr="00D034F0">
              <w:t>59</w:t>
            </w:r>
          </w:p>
        </w:tc>
        <w:tc>
          <w:tcPr>
            <w:tcW w:w="949" w:type="dxa"/>
          </w:tcPr>
          <w:p w:rsidR="00871D57" w:rsidRPr="00D034F0" w:rsidRDefault="00871D57" w:rsidP="00D034F0">
            <w:pPr>
              <w:cnfStyle w:val="000000000000"/>
            </w:pPr>
            <w:r w:rsidRPr="00D034F0">
              <w:t>38</w:t>
            </w:r>
          </w:p>
        </w:tc>
        <w:tc>
          <w:tcPr>
            <w:tcW w:w="820" w:type="dxa"/>
          </w:tcPr>
          <w:p w:rsidR="00871D57" w:rsidRPr="00D034F0" w:rsidRDefault="00871D57" w:rsidP="00D034F0">
            <w:pPr>
              <w:cnfStyle w:val="000000000000"/>
            </w:pPr>
            <w:r w:rsidRPr="00D034F0">
              <w:t>22</w:t>
            </w:r>
          </w:p>
        </w:tc>
      </w:tr>
      <w:tr w:rsidR="00871D57" w:rsidRPr="00D034F0" w:rsidTr="00D034F0">
        <w:trPr>
          <w:trHeight w:val="156"/>
        </w:trPr>
        <w:tc>
          <w:tcPr>
            <w:cnfStyle w:val="001000000000"/>
            <w:tcW w:w="4661" w:type="dxa"/>
          </w:tcPr>
          <w:p w:rsidR="00871D57" w:rsidRPr="00D034F0" w:rsidRDefault="00871D57" w:rsidP="00D034F0">
            <w:r w:rsidRPr="00D034F0">
              <w:t>Прочие причины</w:t>
            </w:r>
          </w:p>
        </w:tc>
        <w:tc>
          <w:tcPr>
            <w:tcW w:w="940" w:type="dxa"/>
          </w:tcPr>
          <w:p w:rsidR="00871D57" w:rsidRPr="00D034F0" w:rsidRDefault="00871D57" w:rsidP="00D034F0">
            <w:pPr>
              <w:cnfStyle w:val="000000000000"/>
            </w:pPr>
            <w:r w:rsidRPr="00D034F0">
              <w:t>88</w:t>
            </w:r>
          </w:p>
        </w:tc>
        <w:tc>
          <w:tcPr>
            <w:tcW w:w="949" w:type="dxa"/>
          </w:tcPr>
          <w:p w:rsidR="00871D57" w:rsidRPr="00D034F0" w:rsidRDefault="00871D57" w:rsidP="00D034F0">
            <w:pPr>
              <w:cnfStyle w:val="000000000000"/>
            </w:pPr>
            <w:r w:rsidRPr="00D034F0">
              <w:t>62</w:t>
            </w:r>
          </w:p>
        </w:tc>
        <w:tc>
          <w:tcPr>
            <w:tcW w:w="820" w:type="dxa"/>
          </w:tcPr>
          <w:p w:rsidR="00871D57" w:rsidRPr="00D034F0" w:rsidRDefault="00871D57" w:rsidP="00D034F0">
            <w:pPr>
              <w:cnfStyle w:val="000000000000"/>
            </w:pPr>
            <w:r w:rsidRPr="00D034F0">
              <w:t>66</w:t>
            </w:r>
          </w:p>
        </w:tc>
      </w:tr>
      <w:tr w:rsidR="00871D57" w:rsidRPr="00D034F0" w:rsidTr="008E2438">
        <w:trPr>
          <w:trHeight w:val="156"/>
        </w:trPr>
        <w:tc>
          <w:tcPr>
            <w:cnfStyle w:val="001000000000"/>
            <w:tcW w:w="4661" w:type="dxa"/>
            <w:tcBorders>
              <w:bottom w:val="single" w:sz="4" w:space="0" w:color="auto"/>
            </w:tcBorders>
          </w:tcPr>
          <w:p w:rsidR="00871D57" w:rsidRPr="00D034F0" w:rsidRDefault="00871D57" w:rsidP="00D034F0">
            <w:r w:rsidRPr="00D034F0">
              <w:t>Дела, перешедшие от прежних омбудсменов*</w:t>
            </w:r>
          </w:p>
        </w:tc>
        <w:tc>
          <w:tcPr>
            <w:tcW w:w="940" w:type="dxa"/>
            <w:tcBorders>
              <w:bottom w:val="single" w:sz="4" w:space="0" w:color="auto"/>
            </w:tcBorders>
          </w:tcPr>
          <w:p w:rsidR="00871D57" w:rsidRPr="00D034F0" w:rsidRDefault="00871D57" w:rsidP="00D034F0">
            <w:pPr>
              <w:cnfStyle w:val="000000000000"/>
            </w:pPr>
            <w:r w:rsidRPr="00D034F0">
              <w:t>233</w:t>
            </w:r>
          </w:p>
        </w:tc>
        <w:tc>
          <w:tcPr>
            <w:tcW w:w="949" w:type="dxa"/>
            <w:tcBorders>
              <w:bottom w:val="single" w:sz="4" w:space="0" w:color="auto"/>
            </w:tcBorders>
          </w:tcPr>
          <w:p w:rsidR="00871D57" w:rsidRPr="00D034F0" w:rsidRDefault="00871D57" w:rsidP="00D034F0">
            <w:pPr>
              <w:cnfStyle w:val="000000000000"/>
            </w:pPr>
            <w:r w:rsidRPr="00D034F0">
              <w:t>101</w:t>
            </w:r>
          </w:p>
        </w:tc>
        <w:tc>
          <w:tcPr>
            <w:tcW w:w="820" w:type="dxa"/>
            <w:tcBorders>
              <w:bottom w:val="single" w:sz="4" w:space="0" w:color="auto"/>
            </w:tcBorders>
          </w:tcPr>
          <w:p w:rsidR="00871D57" w:rsidRPr="00D034F0" w:rsidRDefault="00871D57" w:rsidP="00D034F0">
            <w:pPr>
              <w:cnfStyle w:val="000000000000"/>
            </w:pPr>
            <w:r w:rsidRPr="00D034F0">
              <w:t>6</w:t>
            </w:r>
          </w:p>
        </w:tc>
      </w:tr>
      <w:tr w:rsidR="00871D57" w:rsidRPr="008E2438" w:rsidTr="008E2438">
        <w:trPr>
          <w:trHeight w:val="156"/>
        </w:trPr>
        <w:tc>
          <w:tcPr>
            <w:cnfStyle w:val="001000000000"/>
            <w:tcW w:w="4661" w:type="dxa"/>
            <w:tcBorders>
              <w:top w:val="single" w:sz="4" w:space="0" w:color="auto"/>
            </w:tcBorders>
          </w:tcPr>
          <w:p w:rsidR="00871D57" w:rsidRPr="008E2438" w:rsidRDefault="00871D57" w:rsidP="008E2438">
            <w:pPr>
              <w:ind w:firstLine="170"/>
              <w:rPr>
                <w:b/>
              </w:rPr>
            </w:pPr>
            <w:r w:rsidRPr="008E2438">
              <w:rPr>
                <w:b/>
              </w:rPr>
              <w:t>Итого</w:t>
            </w:r>
          </w:p>
        </w:tc>
        <w:tc>
          <w:tcPr>
            <w:tcW w:w="940" w:type="dxa"/>
            <w:tcBorders>
              <w:top w:val="single" w:sz="4" w:space="0" w:color="auto"/>
              <w:bottom w:val="single" w:sz="12" w:space="0" w:color="auto"/>
            </w:tcBorders>
          </w:tcPr>
          <w:p w:rsidR="00871D57" w:rsidRPr="008E2438" w:rsidRDefault="00871D57" w:rsidP="00D034F0">
            <w:pPr>
              <w:cnfStyle w:val="000000000000"/>
              <w:rPr>
                <w:b/>
              </w:rPr>
            </w:pPr>
            <w:r w:rsidRPr="008E2438">
              <w:rPr>
                <w:b/>
              </w:rPr>
              <w:t>1</w:t>
            </w:r>
            <w:r w:rsidR="008E2438">
              <w:rPr>
                <w:b/>
              </w:rPr>
              <w:t xml:space="preserve"> </w:t>
            </w:r>
            <w:r w:rsidRPr="008E2438">
              <w:rPr>
                <w:b/>
              </w:rPr>
              <w:t>046</w:t>
            </w:r>
          </w:p>
        </w:tc>
        <w:tc>
          <w:tcPr>
            <w:tcW w:w="949" w:type="dxa"/>
            <w:tcBorders>
              <w:top w:val="single" w:sz="4" w:space="0" w:color="auto"/>
              <w:bottom w:val="single" w:sz="12" w:space="0" w:color="auto"/>
            </w:tcBorders>
          </w:tcPr>
          <w:p w:rsidR="00871D57" w:rsidRPr="008E2438" w:rsidRDefault="00871D57" w:rsidP="00D034F0">
            <w:pPr>
              <w:cnfStyle w:val="000000000000"/>
              <w:rPr>
                <w:b/>
              </w:rPr>
            </w:pPr>
            <w:r w:rsidRPr="008E2438">
              <w:rPr>
                <w:b/>
              </w:rPr>
              <w:t>909</w:t>
            </w:r>
          </w:p>
        </w:tc>
        <w:tc>
          <w:tcPr>
            <w:tcW w:w="820" w:type="dxa"/>
            <w:tcBorders>
              <w:top w:val="single" w:sz="4" w:space="0" w:color="auto"/>
              <w:bottom w:val="single" w:sz="12" w:space="0" w:color="auto"/>
            </w:tcBorders>
          </w:tcPr>
          <w:p w:rsidR="00871D57" w:rsidRPr="008E2438" w:rsidRDefault="00871D57" w:rsidP="00D034F0">
            <w:pPr>
              <w:cnfStyle w:val="000000000000"/>
              <w:rPr>
                <w:b/>
              </w:rPr>
            </w:pPr>
            <w:r w:rsidRPr="008E2438">
              <w:rPr>
                <w:b/>
              </w:rPr>
              <w:t>697</w:t>
            </w:r>
          </w:p>
        </w:tc>
      </w:tr>
    </w:tbl>
    <w:p w:rsidR="00871D57" w:rsidRPr="00635822" w:rsidRDefault="00871D57" w:rsidP="00D034F0">
      <w:pPr>
        <w:pStyle w:val="SingleTxtGR"/>
        <w:spacing w:before="120" w:after="0" w:line="220" w:lineRule="exact"/>
        <w:ind w:firstLine="125"/>
        <w:rPr>
          <w:i/>
          <w:sz w:val="18"/>
          <w:szCs w:val="18"/>
        </w:rPr>
      </w:pPr>
      <w:r w:rsidRPr="00635822">
        <w:rPr>
          <w:i/>
          <w:sz w:val="18"/>
          <w:szCs w:val="18"/>
        </w:rPr>
        <w:t xml:space="preserve">Источник: </w:t>
      </w:r>
      <w:r w:rsidRPr="00D034F0">
        <w:rPr>
          <w:sz w:val="18"/>
          <w:szCs w:val="18"/>
        </w:rPr>
        <w:t>Омбудсмен по вопросам равенства</w:t>
      </w:r>
      <w:r w:rsidR="00D034F0">
        <w:rPr>
          <w:sz w:val="18"/>
          <w:szCs w:val="18"/>
        </w:rPr>
        <w:t>.</w:t>
      </w:r>
    </w:p>
    <w:p w:rsidR="00871D57" w:rsidRPr="00D034F0" w:rsidRDefault="00871D57" w:rsidP="00D034F0">
      <w:pPr>
        <w:pStyle w:val="SingleTxtGR"/>
        <w:spacing w:line="220" w:lineRule="exact"/>
        <w:ind w:firstLine="125"/>
        <w:jc w:val="left"/>
        <w:rPr>
          <w:sz w:val="18"/>
          <w:szCs w:val="18"/>
        </w:rPr>
      </w:pPr>
      <w:r w:rsidRPr="00D034F0">
        <w:rPr>
          <w:sz w:val="18"/>
          <w:szCs w:val="18"/>
        </w:rPr>
        <w:t>*</w:t>
      </w:r>
      <w:r w:rsidR="000557E5">
        <w:rPr>
          <w:sz w:val="18"/>
          <w:szCs w:val="18"/>
        </w:rPr>
        <w:t xml:space="preserve"> </w:t>
      </w:r>
      <w:r w:rsidRPr="00D034F0">
        <w:rPr>
          <w:sz w:val="18"/>
          <w:szCs w:val="18"/>
        </w:rPr>
        <w:t>Дела, закрытые в связи с вынесением по ним соответствующих судебных решений или их внесудебным урегулированием, включают дела, перешедшие к Омбудсмену по вопросам равенства от прежних омбудсменов. Другие закрытые дела, доставшиеся от прежних омбудсменов, в таблице не показаны из-за о</w:t>
      </w:r>
      <w:r w:rsidRPr="00D034F0">
        <w:rPr>
          <w:sz w:val="18"/>
          <w:szCs w:val="18"/>
        </w:rPr>
        <w:t>т</w:t>
      </w:r>
      <w:r w:rsidRPr="00D034F0">
        <w:rPr>
          <w:sz w:val="18"/>
          <w:szCs w:val="18"/>
        </w:rPr>
        <w:t xml:space="preserve">сутствия информации о разбивке дел. </w:t>
      </w:r>
    </w:p>
    <w:p w:rsidR="00871D57" w:rsidRPr="00C2200B" w:rsidRDefault="00871D57" w:rsidP="00C2200B">
      <w:pPr>
        <w:pStyle w:val="H23GR"/>
      </w:pPr>
      <w:r w:rsidRPr="00C2200B">
        <w:tab/>
        <w:t>5.</w:t>
      </w:r>
      <w:r w:rsidRPr="00C2200B">
        <w:tab/>
        <w:t>Другие общие меры по борьбе с дискриминацией по этническ</w:t>
      </w:r>
      <w:r w:rsidRPr="00C2200B">
        <w:t>о</w:t>
      </w:r>
      <w:r w:rsidRPr="00C2200B">
        <w:t>му признаку, ксеноф</w:t>
      </w:r>
      <w:r w:rsidRPr="00C2200B">
        <w:t>о</w:t>
      </w:r>
      <w:r w:rsidRPr="00C2200B">
        <w:t xml:space="preserve">бией и прочими формами нетерпимости </w:t>
      </w:r>
    </w:p>
    <w:p w:rsidR="00871D57" w:rsidRPr="00C2200B" w:rsidRDefault="00871D57" w:rsidP="00C2200B">
      <w:pPr>
        <w:pStyle w:val="H23GR"/>
      </w:pPr>
      <w:r w:rsidRPr="00C2200B">
        <w:tab/>
        <w:t>a)</w:t>
      </w:r>
      <w:r w:rsidRPr="00C2200B">
        <w:tab/>
        <w:t xml:space="preserve">Стратегии борьбы с дискриминацией </w:t>
      </w:r>
      <w:r w:rsidR="00D034F0">
        <w:t>и сбор статистических данных (с</w:t>
      </w:r>
      <w:r w:rsidR="001A4503">
        <w:t> </w:t>
      </w:r>
      <w:r w:rsidRPr="00C2200B">
        <w:t>учетом пун</w:t>
      </w:r>
      <w:r w:rsidRPr="00C2200B">
        <w:t>к</w:t>
      </w:r>
      <w:r w:rsidRPr="00C2200B">
        <w:t>та</w:t>
      </w:r>
      <w:r w:rsidR="000557E5">
        <w:t xml:space="preserve"> </w:t>
      </w:r>
      <w:r w:rsidRPr="00C2200B">
        <w:t>11 рекомендаций Комитета)</w:t>
      </w:r>
    </w:p>
    <w:p w:rsidR="00871D57" w:rsidRPr="00FD6BA6" w:rsidRDefault="00871D57" w:rsidP="00DE5AEB">
      <w:pPr>
        <w:pStyle w:val="H4GR"/>
        <w:spacing w:before="240"/>
      </w:pPr>
      <w:r w:rsidRPr="00FD6BA6">
        <w:tab/>
        <w:t>i)</w:t>
      </w:r>
      <w:r w:rsidRPr="00FD6BA6">
        <w:tab/>
        <w:t>Работа Омбудсмен</w:t>
      </w:r>
      <w:r w:rsidR="001A4503">
        <w:t>а</w:t>
      </w:r>
      <w:r w:rsidRPr="00FD6BA6">
        <w:t xml:space="preserve"> по вопросам равенства </w:t>
      </w:r>
    </w:p>
    <w:p w:rsidR="00871D57" w:rsidRPr="00F672DD" w:rsidRDefault="00D034F0" w:rsidP="00871D57">
      <w:pPr>
        <w:pStyle w:val="SingleTxtGR"/>
      </w:pPr>
      <w:r>
        <w:t>49.</w:t>
      </w:r>
      <w:r>
        <w:tab/>
      </w:r>
      <w:r w:rsidR="00871D57" w:rsidRPr="00F672DD">
        <w:t>Как отмечается в пунктах</w:t>
      </w:r>
      <w:r w:rsidR="000557E5" w:rsidRPr="000557E5">
        <w:t xml:space="preserve"> </w:t>
      </w:r>
      <w:r w:rsidR="00871D57" w:rsidRPr="00F672DD">
        <w:t>41 и 42 выше, должность Омбудсмена по в</w:t>
      </w:r>
      <w:r w:rsidR="00871D57" w:rsidRPr="00F672DD">
        <w:t>о</w:t>
      </w:r>
      <w:r w:rsidR="00871D57" w:rsidRPr="00F672DD">
        <w:t>просам равенства была учреждена в 2009</w:t>
      </w:r>
      <w:r w:rsidR="000557E5">
        <w:t xml:space="preserve"> </w:t>
      </w:r>
      <w:r w:rsidR="00871D57" w:rsidRPr="00F672DD">
        <w:t>году путем объединения функций ч</w:t>
      </w:r>
      <w:r w:rsidR="00871D57" w:rsidRPr="00F672DD">
        <w:t>е</w:t>
      </w:r>
      <w:r w:rsidR="00871D57" w:rsidRPr="00F672DD">
        <w:t>тырех прежних омбудсменов, занимавшихся борьбой с дискриминацией. Ранее в настоящем докладе (пункты</w:t>
      </w:r>
      <w:r w:rsidR="000557E5" w:rsidRPr="000557E5">
        <w:t xml:space="preserve"> </w:t>
      </w:r>
      <w:r w:rsidR="00871D57" w:rsidRPr="00F672DD">
        <w:t>9–12) отмечалось также, что Омбудсмен по в</w:t>
      </w:r>
      <w:r w:rsidR="00871D57" w:rsidRPr="00F672DD">
        <w:t>о</w:t>
      </w:r>
      <w:r w:rsidR="00871D57" w:rsidRPr="00F672DD">
        <w:t>просам равенства проводит исследования по вопросам дискриминации и на о</w:t>
      </w:r>
      <w:r w:rsidR="00871D57" w:rsidRPr="00F672DD">
        <w:t>с</w:t>
      </w:r>
      <w:r w:rsidR="00871D57" w:rsidRPr="00F672DD">
        <w:t>нове результатов этих исследований разрабатывает антидискриминационные стратегии. Примеры использования Омбудсменом специальных проектов, тем</w:t>
      </w:r>
      <w:r w:rsidR="00871D57" w:rsidRPr="00F672DD">
        <w:t>а</w:t>
      </w:r>
      <w:r w:rsidR="00871D57" w:rsidRPr="00F672DD">
        <w:t>тической деятельности и различных форм сотрудничества приводятся в пун</w:t>
      </w:r>
      <w:r w:rsidR="00871D57" w:rsidRPr="00F672DD">
        <w:t>к</w:t>
      </w:r>
      <w:r w:rsidR="00871D57" w:rsidRPr="00F672DD">
        <w:t>тах</w:t>
      </w:r>
      <w:r w:rsidR="002012F6">
        <w:t> </w:t>
      </w:r>
      <w:r w:rsidR="00871D57" w:rsidRPr="00F672DD">
        <w:t>54, 55, 90, 149, 150, 168 и 177–180 настоящего доклада.</w:t>
      </w:r>
    </w:p>
    <w:p w:rsidR="00871D57" w:rsidRPr="00FD6BA6" w:rsidRDefault="00871D57" w:rsidP="00DE5AEB">
      <w:pPr>
        <w:pStyle w:val="H4GR"/>
        <w:spacing w:before="240"/>
      </w:pPr>
      <w:r w:rsidRPr="00FD6BA6">
        <w:tab/>
        <w:t>ii)</w:t>
      </w:r>
      <w:r w:rsidRPr="00FD6BA6">
        <w:tab/>
        <w:t>Интеграционистская политика</w:t>
      </w:r>
    </w:p>
    <w:p w:rsidR="00871D57" w:rsidRPr="00F672DD" w:rsidRDefault="00D034F0" w:rsidP="00871D57">
      <w:pPr>
        <w:pStyle w:val="SingleTxtGR"/>
      </w:pPr>
      <w:r>
        <w:t>50.</w:t>
      </w:r>
      <w:r>
        <w:tab/>
      </w:r>
      <w:r w:rsidR="00871D57" w:rsidRPr="00F672DD">
        <w:t>Интеграционистская политика реализуется посредством мер в различных программных областях, осуществляемых на национальном, региональном и м</w:t>
      </w:r>
      <w:r w:rsidR="00871D57" w:rsidRPr="00F672DD">
        <w:t>е</w:t>
      </w:r>
      <w:r w:rsidR="00871D57" w:rsidRPr="00F672DD">
        <w:t>стном уровнях с привлечением большого числа заинтересованных сторон. Она требует широкого консенсуса и тесного взаимодействия между соответству</w:t>
      </w:r>
      <w:r w:rsidR="00871D57" w:rsidRPr="00F672DD">
        <w:t>ю</w:t>
      </w:r>
      <w:r w:rsidR="00871D57" w:rsidRPr="00F672DD">
        <w:t>щими учреждениями, что легче всего обеспечить в рамках единой стратегии, определяющей общие долгосрочные направления политики и одновременно у</w:t>
      </w:r>
      <w:r w:rsidR="00871D57" w:rsidRPr="00F672DD">
        <w:t>с</w:t>
      </w:r>
      <w:r w:rsidR="00871D57" w:rsidRPr="00F672DD">
        <w:t>танавливающей реалистичные и поддающиеся количественной оценке цели и приоритеты в каждой из программных областей. Работа над такой стратегией уже началась. Особого внимания в контексте этой стратегии требуют вопросы, касающиеся ув</w:t>
      </w:r>
      <w:r w:rsidR="00871D57" w:rsidRPr="00F672DD">
        <w:t>е</w:t>
      </w:r>
      <w:r w:rsidR="00871D57" w:rsidRPr="00F672DD">
        <w:t>личения занятости среди лиц иностранного происхождения, стимулирования спроса на р</w:t>
      </w:r>
      <w:r w:rsidR="00871D57" w:rsidRPr="00F672DD">
        <w:t>а</w:t>
      </w:r>
      <w:r w:rsidR="00871D57" w:rsidRPr="00F672DD">
        <w:t xml:space="preserve">бочую силу и разработки других мер, призванных облегчить выход на рынок труда. </w:t>
      </w:r>
    </w:p>
    <w:p w:rsidR="00871D57" w:rsidRPr="00FD6BA6" w:rsidRDefault="00871D57" w:rsidP="00DE5AEB">
      <w:pPr>
        <w:pStyle w:val="H4GR"/>
        <w:spacing w:before="240"/>
      </w:pPr>
      <w:r w:rsidRPr="00FD6BA6">
        <w:tab/>
        <w:t>iii)</w:t>
      </w:r>
      <w:r w:rsidRPr="00FD6BA6">
        <w:tab/>
        <w:t>Сбор статистических данных</w:t>
      </w:r>
    </w:p>
    <w:p w:rsidR="00871D57" w:rsidRPr="00F672DD" w:rsidRDefault="00D034F0" w:rsidP="00871D57">
      <w:pPr>
        <w:pStyle w:val="SingleTxtGR"/>
      </w:pPr>
      <w:r>
        <w:t>51.</w:t>
      </w:r>
      <w:r>
        <w:tab/>
      </w:r>
      <w:r w:rsidR="00871D57" w:rsidRPr="00F672DD">
        <w:t>После упразднения Национального управления по вопросам интеграции его функции, связанные со сбором и публикацией статистических данных, были переданы Статистическому управлению Швеции. В ведение последнего пер</w:t>
      </w:r>
      <w:r w:rsidR="00871D57" w:rsidRPr="00F672DD">
        <w:t>е</w:t>
      </w:r>
      <w:r w:rsidR="00871D57" w:rsidRPr="00F672DD">
        <w:t>шла и база данных "</w:t>
      </w:r>
      <w:r w:rsidR="00871D57" w:rsidRPr="00F672DD">
        <w:rPr>
          <w:lang w:val="en-GB"/>
        </w:rPr>
        <w:t>STATIV</w:t>
      </w:r>
      <w:r w:rsidR="00871D57" w:rsidRPr="00F672DD">
        <w:t>", которую вело Национальное управление по в</w:t>
      </w:r>
      <w:r w:rsidR="00871D57" w:rsidRPr="00F672DD">
        <w:t>о</w:t>
      </w:r>
      <w:r w:rsidR="00871D57" w:rsidRPr="00F672DD">
        <w:t>просам интеграции. Эта база содержит информ</w:t>
      </w:r>
      <w:r w:rsidR="00871D57" w:rsidRPr="00F672DD">
        <w:t>а</w:t>
      </w:r>
      <w:r w:rsidR="00871D57" w:rsidRPr="00F672DD">
        <w:t>цию обо всех жителях Швеции, зарегистрированных в качестве таковых в период с 31</w:t>
      </w:r>
      <w:r w:rsidR="000557E5">
        <w:t xml:space="preserve"> </w:t>
      </w:r>
      <w:r w:rsidR="00871D57" w:rsidRPr="00F672DD">
        <w:t>декабря 1997</w:t>
      </w:r>
      <w:r w:rsidR="000557E5">
        <w:t xml:space="preserve"> </w:t>
      </w:r>
      <w:r w:rsidR="00871D57" w:rsidRPr="00F672DD">
        <w:t>года по 31</w:t>
      </w:r>
      <w:r w:rsidR="001A4503">
        <w:t> </w:t>
      </w:r>
      <w:r w:rsidR="00871D57" w:rsidRPr="00F672DD">
        <w:t>декабря 2007</w:t>
      </w:r>
      <w:r w:rsidR="000557E5">
        <w:t xml:space="preserve"> </w:t>
      </w:r>
      <w:r w:rsidR="00871D57" w:rsidRPr="00F672DD">
        <w:t>года. Министерство по вопросам занятости выпустило спец</w:t>
      </w:r>
      <w:r w:rsidR="00871D57" w:rsidRPr="00F672DD">
        <w:t>и</w:t>
      </w:r>
      <w:r w:rsidR="00871D57" w:rsidRPr="00F672DD">
        <w:t>альный справочник</w:t>
      </w:r>
      <w:r w:rsidR="000557E5">
        <w:t xml:space="preserve"> </w:t>
      </w:r>
      <w:r w:rsidR="00871D57" w:rsidRPr="00F672DD">
        <w:t>– "</w:t>
      </w:r>
      <w:r w:rsidR="00871D57" w:rsidRPr="00F672DD">
        <w:rPr>
          <w:lang w:val="en-GB"/>
        </w:rPr>
        <w:t>Pocket</w:t>
      </w:r>
      <w:r w:rsidR="00871D57" w:rsidRPr="00F672DD">
        <w:t xml:space="preserve"> </w:t>
      </w:r>
      <w:r w:rsidR="00871D57" w:rsidRPr="00F672DD">
        <w:rPr>
          <w:lang w:val="en-GB"/>
        </w:rPr>
        <w:t>Facts</w:t>
      </w:r>
      <w:r w:rsidR="00871D57" w:rsidRPr="00F672DD">
        <w:t xml:space="preserve"> 2010" ("Карманный справочник, 2010</w:t>
      </w:r>
      <w:r w:rsidR="000557E5">
        <w:t xml:space="preserve"> </w:t>
      </w:r>
      <w:r w:rsidR="00871D57" w:rsidRPr="00F672DD">
        <w:t>год"), содержащий данные (сведенные в таблицы и диаграммы) в разбивке по прои</w:t>
      </w:r>
      <w:r w:rsidR="00871D57" w:rsidRPr="00F672DD">
        <w:t>с</w:t>
      </w:r>
      <w:r w:rsidR="00871D57" w:rsidRPr="00F672DD">
        <w:t>хождению и регионам рождения. В тех случаях, когда это возможно, эти данные дезагрегированы также по признаку пола. При подготовке справочника испол</w:t>
      </w:r>
      <w:r w:rsidR="00871D57" w:rsidRPr="00F672DD">
        <w:t>ь</w:t>
      </w:r>
      <w:r w:rsidR="00871D57" w:rsidRPr="00F672DD">
        <w:t>зовались различные источники, включая материалы Статистического управл</w:t>
      </w:r>
      <w:r w:rsidR="00871D57" w:rsidRPr="00F672DD">
        <w:t>е</w:t>
      </w:r>
      <w:r w:rsidR="00871D57" w:rsidRPr="00F672DD">
        <w:t>ния Швеции (основной поставщик данных), Шведского агентства социального страхования, Национального совета по вопросам здравоохранения и социальн</w:t>
      </w:r>
      <w:r w:rsidR="00871D57" w:rsidRPr="00F672DD">
        <w:t>о</w:t>
      </w:r>
      <w:r w:rsidR="00871D57" w:rsidRPr="00F672DD">
        <w:t>го обеспечения, Национального агентства по вопросам образовании, шведского Совета по вопросам миграции и т.д. Ранее такой справочник публиковался Н</w:t>
      </w:r>
      <w:r w:rsidR="00871D57" w:rsidRPr="00F672DD">
        <w:t>а</w:t>
      </w:r>
      <w:r w:rsidR="00871D57" w:rsidRPr="00F672DD">
        <w:t>циональным управлением по вопросам интеграции. Контроль за ситуацией и процессами в сфере интеграции осуществляют главным образом профильные учреждения. Кроме того, на Статистическое управление Швеции возложены обязанности по подготовке регулярных статистических отчетов на местном, р</w:t>
      </w:r>
      <w:r w:rsidR="00871D57" w:rsidRPr="00F672DD">
        <w:t>е</w:t>
      </w:r>
      <w:r w:rsidR="00871D57" w:rsidRPr="00F672DD">
        <w:t xml:space="preserve">гиональном и национальном уровнях, а также по представлению ежегодного доклада по вопросам интеграции. </w:t>
      </w:r>
    </w:p>
    <w:p w:rsidR="00871D57" w:rsidRPr="00C2200B" w:rsidRDefault="00871D57" w:rsidP="00C2200B">
      <w:pPr>
        <w:pStyle w:val="H23GR"/>
      </w:pPr>
      <w:r w:rsidRPr="00C2200B">
        <w:tab/>
        <w:t>b)</w:t>
      </w:r>
      <w:r w:rsidRPr="00C2200B">
        <w:tab/>
        <w:t>Государственная поддержка организаций (с учетом пункта</w:t>
      </w:r>
      <w:r w:rsidR="000557E5">
        <w:t xml:space="preserve"> </w:t>
      </w:r>
      <w:r w:rsidRPr="00C2200B">
        <w:t>12 рекомендаций Комитета)</w:t>
      </w:r>
    </w:p>
    <w:p w:rsidR="00871D57" w:rsidRPr="00FD6BA6" w:rsidRDefault="00871D57" w:rsidP="00DE5AEB">
      <w:pPr>
        <w:pStyle w:val="H4GR"/>
        <w:spacing w:before="240"/>
      </w:pPr>
      <w:r w:rsidRPr="00FD6BA6">
        <w:tab/>
        <w:t>i)</w:t>
      </w:r>
      <w:r w:rsidRPr="00FD6BA6">
        <w:tab/>
        <w:t xml:space="preserve">Поддержка деятельности по борьбе с дискриминацией на местном </w:t>
      </w:r>
      <w:r w:rsidR="00930F08">
        <w:br/>
      </w:r>
      <w:r w:rsidR="00930F08">
        <w:tab/>
      </w:r>
      <w:r w:rsidR="00930F08">
        <w:tab/>
      </w:r>
      <w:r w:rsidRPr="00FD6BA6">
        <w:t>и р</w:t>
      </w:r>
      <w:r w:rsidRPr="00FD6BA6">
        <w:t>е</w:t>
      </w:r>
      <w:r w:rsidRPr="00FD6BA6">
        <w:t>гиональном уровнях</w:t>
      </w:r>
    </w:p>
    <w:p w:rsidR="00871D57" w:rsidRPr="00F672DD" w:rsidRDefault="00930F08" w:rsidP="00871D57">
      <w:pPr>
        <w:pStyle w:val="SingleTxtGR"/>
      </w:pPr>
      <w:r>
        <w:t>52.</w:t>
      </w:r>
      <w:r>
        <w:tab/>
      </w:r>
      <w:r w:rsidR="00871D57" w:rsidRPr="00F672DD">
        <w:t>В соответствии с Положением о государственных субсидиях на цели де</w:t>
      </w:r>
      <w:r w:rsidR="00871D57" w:rsidRPr="00F672DD">
        <w:t>я</w:t>
      </w:r>
      <w:r w:rsidR="00871D57" w:rsidRPr="00F672DD">
        <w:t>тельности по предупреждению дискриминации и борьбе с ней (2002:989) ра</w:t>
      </w:r>
      <w:r w:rsidR="00871D57" w:rsidRPr="00F672DD">
        <w:t>с</w:t>
      </w:r>
      <w:r w:rsidR="00871D57" w:rsidRPr="00F672DD">
        <w:t>пределением средств, выделяемых на финансирование антидискриминационной деятельности, занимается Национальный совет по делам молодежи. Государс</w:t>
      </w:r>
      <w:r w:rsidR="00871D57" w:rsidRPr="00F672DD">
        <w:t>т</w:t>
      </w:r>
      <w:r w:rsidR="00871D57" w:rsidRPr="00F672DD">
        <w:t>венное финансирование предоставляется организациям и фондам, деятельность которых направлена на пресечение дискриминационной практики, независимо от того, по какому из предусмотренных законодательством или постановлени</w:t>
      </w:r>
      <w:r w:rsidR="00871D57" w:rsidRPr="00F672DD">
        <w:t>я</w:t>
      </w:r>
      <w:r w:rsidR="00871D57" w:rsidRPr="00F672DD">
        <w:t>ми правительства признаков осуществляется дискриминация. Цель такой по</w:t>
      </w:r>
      <w:r w:rsidR="00871D57" w:rsidRPr="00F672DD">
        <w:t>д</w:t>
      </w:r>
      <w:r w:rsidR="00871D57" w:rsidRPr="00F672DD">
        <w:t>держки состоит в предотвращении дискриминации и борьбе с ней путем пр</w:t>
      </w:r>
      <w:r w:rsidR="00871D57" w:rsidRPr="00F672DD">
        <w:t>е</w:t>
      </w:r>
      <w:r w:rsidR="00871D57" w:rsidRPr="00F672DD">
        <w:t>доставления бесплатных консультаций и информации заинтересованным стор</w:t>
      </w:r>
      <w:r w:rsidR="00871D57" w:rsidRPr="00F672DD">
        <w:t>о</w:t>
      </w:r>
      <w:r w:rsidR="00871D57" w:rsidRPr="00F672DD">
        <w:t>нам, а также путем формирования общественного мнения, организации уче</w:t>
      </w:r>
      <w:r w:rsidR="00871D57" w:rsidRPr="00F672DD">
        <w:t>б</w:t>
      </w:r>
      <w:r w:rsidR="00871D57" w:rsidRPr="00F672DD">
        <w:t>ных ку</w:t>
      </w:r>
      <w:r w:rsidR="00871D57" w:rsidRPr="00F672DD">
        <w:t>р</w:t>
      </w:r>
      <w:r w:rsidR="00871D57" w:rsidRPr="00F672DD">
        <w:t>сов и семинаров, осуществления информационно-просветительской деятельности и оказания методической помощи. В 2010 году на эти цели было израсход</w:t>
      </w:r>
      <w:r w:rsidR="00871D57" w:rsidRPr="00F672DD">
        <w:t>о</w:t>
      </w:r>
      <w:r w:rsidR="00871D57" w:rsidRPr="00F672DD">
        <w:t>вано 10</w:t>
      </w:r>
      <w:r w:rsidR="000557E5" w:rsidRPr="000557E5">
        <w:t xml:space="preserve"> </w:t>
      </w:r>
      <w:r w:rsidR="00871D57" w:rsidRPr="00F672DD">
        <w:t>млн. шведских крон.</w:t>
      </w:r>
    </w:p>
    <w:p w:rsidR="00871D57" w:rsidRPr="00F672DD" w:rsidRDefault="00930F08" w:rsidP="00871D57">
      <w:pPr>
        <w:pStyle w:val="SingleTxtGR"/>
      </w:pPr>
      <w:r>
        <w:t>53.</w:t>
      </w:r>
      <w:r>
        <w:tab/>
      </w:r>
      <w:r w:rsidR="00871D57" w:rsidRPr="00F672DD">
        <w:t>В соответствии с упомянутым Положением финансовая помощь оказыв</w:t>
      </w:r>
      <w:r w:rsidR="00871D57" w:rsidRPr="00F672DD">
        <w:t>а</w:t>
      </w:r>
      <w:r w:rsidR="00871D57" w:rsidRPr="00F672DD">
        <w:t>ется также местным антидискриминационным органам. Такие органы фун</w:t>
      </w:r>
      <w:r w:rsidR="00871D57" w:rsidRPr="00F672DD">
        <w:t>к</w:t>
      </w:r>
      <w:r w:rsidR="00871D57" w:rsidRPr="00F672DD">
        <w:t>ционируют при поддержке местных органов власти и добровольцев. Согласно Закону о борьбе с дискриминацией, этим органом, как и другим НПО, предо</w:t>
      </w:r>
      <w:r w:rsidR="00871D57" w:rsidRPr="00F672DD">
        <w:t>с</w:t>
      </w:r>
      <w:r w:rsidR="00871D57" w:rsidRPr="00F672DD">
        <w:t xml:space="preserve">тавлено право подавать судебные иски, и они активно пользуются этим правом. </w:t>
      </w:r>
    </w:p>
    <w:p w:rsidR="00871D57" w:rsidRPr="00F672DD" w:rsidRDefault="00930F08" w:rsidP="00871D57">
      <w:pPr>
        <w:pStyle w:val="SingleTxtGR"/>
      </w:pPr>
      <w:r>
        <w:t>54.</w:t>
      </w:r>
      <w:r>
        <w:tab/>
      </w:r>
      <w:r w:rsidR="00871D57" w:rsidRPr="00F672DD">
        <w:t>В период 2009–2011</w:t>
      </w:r>
      <w:r w:rsidR="000557E5">
        <w:t xml:space="preserve"> </w:t>
      </w:r>
      <w:r w:rsidR="00871D57" w:rsidRPr="00F672DD">
        <w:t>годов Омбудсмен по вопросам равенства постоянно контактировал с антидискриминационными органами на местах. В целях по</w:t>
      </w:r>
      <w:r w:rsidR="00871D57" w:rsidRPr="00F672DD">
        <w:t>д</w:t>
      </w:r>
      <w:r w:rsidR="00871D57" w:rsidRPr="00F672DD">
        <w:t>держания постоянного диалога с ними была создана национальная консульт</w:t>
      </w:r>
      <w:r w:rsidR="00871D57" w:rsidRPr="00F672DD">
        <w:t>а</w:t>
      </w:r>
      <w:r w:rsidR="00871D57" w:rsidRPr="00F672DD">
        <w:t>тивная группа в составе представит</w:t>
      </w:r>
      <w:r w:rsidR="00871D57" w:rsidRPr="00F672DD">
        <w:t>е</w:t>
      </w:r>
      <w:r w:rsidR="00871D57" w:rsidRPr="00F672DD">
        <w:t>лей таких органов. Эта группа действует в тесной координации с национальным комитетом последних. В ее функции вх</w:t>
      </w:r>
      <w:r w:rsidR="00871D57" w:rsidRPr="00F672DD">
        <w:t>о</w:t>
      </w:r>
      <w:r w:rsidR="00871D57" w:rsidRPr="00F672DD">
        <w:t>дит, в частности, планирование совместных совещаний, на которые приглаш</w:t>
      </w:r>
      <w:r w:rsidR="00871D57" w:rsidRPr="00F672DD">
        <w:t>а</w:t>
      </w:r>
      <w:r w:rsidR="00871D57" w:rsidRPr="00F672DD">
        <w:t>ются та</w:t>
      </w:r>
      <w:r w:rsidR="00871D57" w:rsidRPr="00F672DD">
        <w:t>к</w:t>
      </w:r>
      <w:r w:rsidR="00871D57" w:rsidRPr="00F672DD">
        <w:t xml:space="preserve">же представители </w:t>
      </w:r>
      <w:r w:rsidR="00BE5959" w:rsidRPr="00F672DD">
        <w:t>Омбудсмена</w:t>
      </w:r>
      <w:r w:rsidR="00871D57" w:rsidRPr="00F672DD">
        <w:t xml:space="preserve"> по вопросам равенства. </w:t>
      </w:r>
    </w:p>
    <w:p w:rsidR="00871D57" w:rsidRPr="00F672DD" w:rsidRDefault="00930F08" w:rsidP="00871D57">
      <w:pPr>
        <w:pStyle w:val="SingleTxtGR"/>
      </w:pPr>
      <w:r>
        <w:t>55.</w:t>
      </w:r>
      <w:r>
        <w:tab/>
      </w:r>
      <w:r w:rsidR="00871D57" w:rsidRPr="00F672DD">
        <w:t>Значительная часть деятельности Омбудсмена по вопросам равенства по борьбе с дискриминацией и обеспечению равных прав и возможностей осущ</w:t>
      </w:r>
      <w:r w:rsidR="00871D57" w:rsidRPr="00F672DD">
        <w:t>е</w:t>
      </w:r>
      <w:r w:rsidR="00871D57" w:rsidRPr="00F672DD">
        <w:t>ствляется в сотрудничестве с представителями гражданского общества. Такое сотрудничество открывает доступ к опыту и знаниям, накопленным организ</w:t>
      </w:r>
      <w:r w:rsidR="00871D57" w:rsidRPr="00F672DD">
        <w:t>а</w:t>
      </w:r>
      <w:r w:rsidR="00871D57" w:rsidRPr="00F672DD">
        <w:t>циями гражданского общества в области борьбы с дискриминацией, и тем с</w:t>
      </w:r>
      <w:r w:rsidR="00871D57" w:rsidRPr="00F672DD">
        <w:t>а</w:t>
      </w:r>
      <w:r w:rsidR="00871D57" w:rsidRPr="00F672DD">
        <w:t>мым способствует повышению эффективности работы Омбудсмена. Со своей стороны, Омбудсмен по вопросам равенства служит для представителей гра</w:t>
      </w:r>
      <w:r w:rsidR="00871D57" w:rsidRPr="00F672DD">
        <w:t>ж</w:t>
      </w:r>
      <w:r w:rsidR="00871D57" w:rsidRPr="00F672DD">
        <w:t>данского общества источником знаний и поддержки, необходимых им в их ус</w:t>
      </w:r>
      <w:r w:rsidR="00871D57" w:rsidRPr="00F672DD">
        <w:t>и</w:t>
      </w:r>
      <w:r w:rsidR="00871D57" w:rsidRPr="00F672DD">
        <w:t>лиях по обеспечению прав различных целевых групп, а также по распростран</w:t>
      </w:r>
      <w:r w:rsidR="00871D57" w:rsidRPr="00F672DD">
        <w:t>е</w:t>
      </w:r>
      <w:r w:rsidR="00871D57" w:rsidRPr="00F672DD">
        <w:t>нию информации о сре</w:t>
      </w:r>
      <w:r w:rsidR="00871D57" w:rsidRPr="00F672DD">
        <w:t>д</w:t>
      </w:r>
      <w:r w:rsidR="00871D57" w:rsidRPr="00F672DD">
        <w:t>ствах правовой защиты от дискриминации.</w:t>
      </w:r>
    </w:p>
    <w:p w:rsidR="00871D57" w:rsidRPr="00FD6BA6" w:rsidRDefault="00871D57" w:rsidP="00DE5AEB">
      <w:pPr>
        <w:pStyle w:val="H4GR"/>
        <w:spacing w:before="240"/>
      </w:pPr>
      <w:r w:rsidRPr="00FD6BA6">
        <w:tab/>
        <w:t>ii)</w:t>
      </w:r>
      <w:r w:rsidRPr="00FD6BA6">
        <w:tab/>
        <w:t xml:space="preserve">Поддержка деятельности по борьбе с расизмом и другими формами </w:t>
      </w:r>
      <w:r w:rsidR="00930F08">
        <w:br/>
      </w:r>
      <w:r w:rsidR="00930F08">
        <w:tab/>
      </w:r>
      <w:r w:rsidR="00930F08">
        <w:tab/>
      </w:r>
      <w:r w:rsidRPr="00FD6BA6">
        <w:t>н</w:t>
      </w:r>
      <w:r w:rsidRPr="00FD6BA6">
        <w:t>е</w:t>
      </w:r>
      <w:r w:rsidRPr="00FD6BA6">
        <w:t>терпимости</w:t>
      </w:r>
    </w:p>
    <w:p w:rsidR="00871D57" w:rsidRPr="00F672DD" w:rsidRDefault="00930F08" w:rsidP="00871D57">
      <w:pPr>
        <w:pStyle w:val="SingleTxtGR"/>
      </w:pPr>
      <w:r>
        <w:t>56.</w:t>
      </w:r>
      <w:r>
        <w:tab/>
      </w:r>
      <w:r w:rsidR="00871D57" w:rsidRPr="00F672DD">
        <w:t>Национальный совет по делам молодежи занимается также распредел</w:t>
      </w:r>
      <w:r w:rsidR="00871D57" w:rsidRPr="00F672DD">
        <w:t>е</w:t>
      </w:r>
      <w:r w:rsidR="00871D57" w:rsidRPr="00F672DD">
        <w:t>нием государственных субсидий в соответствии с Положением о государстве</w:t>
      </w:r>
      <w:r w:rsidR="00871D57" w:rsidRPr="00F672DD">
        <w:t>н</w:t>
      </w:r>
      <w:r w:rsidR="00871D57" w:rsidRPr="00F672DD">
        <w:t>ных субсидиях на цели деятельности по борьбе с расизмом и другими анал</w:t>
      </w:r>
      <w:r w:rsidR="00871D57" w:rsidRPr="00F672DD">
        <w:t>о</w:t>
      </w:r>
      <w:r w:rsidR="00871D57" w:rsidRPr="00F672DD">
        <w:t>гичными формами нетерпимости (2008:62). Посредством таких субсидий гос</w:t>
      </w:r>
      <w:r w:rsidR="00871D57" w:rsidRPr="00F672DD">
        <w:t>у</w:t>
      </w:r>
      <w:r w:rsidR="00871D57" w:rsidRPr="00F672DD">
        <w:t>дарство оказывает поддержку деятельности по профилактике расизма и других аналогичных форм нетерпимости, включая исламофобию, афрофобию, антис</w:t>
      </w:r>
      <w:r w:rsidR="00871D57" w:rsidRPr="00F672DD">
        <w:t>е</w:t>
      </w:r>
      <w:r w:rsidR="00871D57" w:rsidRPr="00F672DD">
        <w:t>митизм, антицыганизм и гомофобию. В 2012</w:t>
      </w:r>
      <w:r w:rsidR="000557E5">
        <w:t xml:space="preserve"> </w:t>
      </w:r>
      <w:r w:rsidR="00871D57" w:rsidRPr="00F672DD">
        <w:t>году в виде субсидий на цели де</w:t>
      </w:r>
      <w:r w:rsidR="00871D57" w:rsidRPr="00F672DD">
        <w:t>я</w:t>
      </w:r>
      <w:r w:rsidR="00871D57" w:rsidRPr="00F672DD">
        <w:t>тельности по борьбе с расизмом и нетерпимостью предполагается распределить в общей сложности 8</w:t>
      </w:r>
      <w:r w:rsidR="000557E5">
        <w:t xml:space="preserve"> </w:t>
      </w:r>
      <w:r w:rsidR="00871D57" w:rsidRPr="00F672DD">
        <w:t xml:space="preserve">млн. шведских крон. </w:t>
      </w:r>
    </w:p>
    <w:p w:rsidR="00871D57" w:rsidRPr="00FD6BA6" w:rsidRDefault="00930F08" w:rsidP="00DE5AEB">
      <w:pPr>
        <w:pStyle w:val="H4GR"/>
        <w:spacing w:before="240"/>
      </w:pPr>
      <w:r>
        <w:tab/>
      </w:r>
      <w:r w:rsidR="00871D57" w:rsidRPr="00FD6BA6">
        <w:t>iii)</w:t>
      </w:r>
      <w:r w:rsidR="00871D57" w:rsidRPr="00FD6BA6">
        <w:tab/>
        <w:t>Поддержка деятельности по борьбе с агрессивным экстр</w:t>
      </w:r>
      <w:r w:rsidR="00871D57" w:rsidRPr="00FD6BA6">
        <w:t>е</w:t>
      </w:r>
      <w:r w:rsidR="00871D57" w:rsidRPr="00FD6BA6">
        <w:t xml:space="preserve">мизмом и поддержка </w:t>
      </w:r>
      <w:r>
        <w:br/>
      </w:r>
      <w:r>
        <w:tab/>
      </w:r>
      <w:r>
        <w:tab/>
      </w:r>
      <w:r w:rsidR="00871D57" w:rsidRPr="00FD6BA6">
        <w:t>тех, кто желает порвать с экстремизмом</w:t>
      </w:r>
    </w:p>
    <w:p w:rsidR="00871D57" w:rsidRPr="00F672DD" w:rsidRDefault="00930F08" w:rsidP="00871D57">
      <w:pPr>
        <w:pStyle w:val="SingleTxtGR"/>
      </w:pPr>
      <w:r>
        <w:t>57.</w:t>
      </w:r>
      <w:r>
        <w:tab/>
      </w:r>
      <w:r w:rsidR="00871D57" w:rsidRPr="00F672DD">
        <w:t>Национальный совет по делам молодежи занимается также распредел</w:t>
      </w:r>
      <w:r w:rsidR="00871D57" w:rsidRPr="00F672DD">
        <w:t>е</w:t>
      </w:r>
      <w:r w:rsidR="00871D57" w:rsidRPr="00F672DD">
        <w:t>нием средств на цели поддержки усилий по недопущению вовлечения людей в</w:t>
      </w:r>
      <w:r w:rsidR="007D4F26">
        <w:rPr>
          <w:lang w:val="en-US"/>
        </w:rPr>
        <w:t> </w:t>
      </w:r>
      <w:r w:rsidR="00871D57" w:rsidRPr="00F672DD">
        <w:t>деятельность экстремистских группировок, проповедующих насилие, а также на цели поддержки лиц, стремящихся выйти из таких группировок, в соотве</w:t>
      </w:r>
      <w:r w:rsidR="00871D57" w:rsidRPr="00F672DD">
        <w:t>т</w:t>
      </w:r>
      <w:r w:rsidR="00871D57" w:rsidRPr="00F672DD">
        <w:t>ствии с Положением о государственных субсидиях на цели деятельности по борьбе с агрессивным экстремизмом (2011:1508). Такие средства выделяются некоммерческим организациям и фондам, не находящимся под государстве</w:t>
      </w:r>
      <w:r w:rsidR="00871D57" w:rsidRPr="00F672DD">
        <w:t>н</w:t>
      </w:r>
      <w:r w:rsidR="00871D57" w:rsidRPr="00F672DD">
        <w:t>ным или муниципальным контролем. В 2012</w:t>
      </w:r>
      <w:r w:rsidR="000557E5">
        <w:t xml:space="preserve"> </w:t>
      </w:r>
      <w:r w:rsidR="00871D57" w:rsidRPr="00F672DD">
        <w:t>году на цели борьбы с экстреми</w:t>
      </w:r>
      <w:r w:rsidR="00871D57" w:rsidRPr="00F672DD">
        <w:t>з</w:t>
      </w:r>
      <w:r w:rsidR="00871D57" w:rsidRPr="00F672DD">
        <w:t>мом, а также на цели поддержки лиц, желающих порвать с ним, будет выделено в общей сложности 2,7</w:t>
      </w:r>
      <w:r w:rsidR="000557E5">
        <w:t xml:space="preserve"> </w:t>
      </w:r>
      <w:r w:rsidR="00871D57" w:rsidRPr="00F672DD">
        <w:t>млн. шведских крон. Еще 1,8</w:t>
      </w:r>
      <w:r w:rsidR="000557E5">
        <w:t xml:space="preserve"> </w:t>
      </w:r>
      <w:r w:rsidR="00871D57" w:rsidRPr="00F672DD">
        <w:t>млн. шведских крон будет предоставлено организации "Экзит", конкретно занимающейся такого рода де</w:t>
      </w:r>
      <w:r w:rsidR="00871D57" w:rsidRPr="00F672DD">
        <w:t>я</w:t>
      </w:r>
      <w:r w:rsidR="00871D57" w:rsidRPr="00F672DD">
        <w:t>тельн</w:t>
      </w:r>
      <w:r w:rsidR="00871D57" w:rsidRPr="00F672DD">
        <w:t>о</w:t>
      </w:r>
      <w:r w:rsidR="00871D57" w:rsidRPr="00F672DD">
        <w:t xml:space="preserve">стью. </w:t>
      </w:r>
    </w:p>
    <w:p w:rsidR="00871D57" w:rsidRPr="00FD6BA6" w:rsidRDefault="00871D57" w:rsidP="00DE5AEB">
      <w:pPr>
        <w:pStyle w:val="H4GR"/>
        <w:spacing w:before="240"/>
      </w:pPr>
      <w:r w:rsidRPr="00FD6BA6">
        <w:tab/>
        <w:t>iv)</w:t>
      </w:r>
      <w:r w:rsidRPr="00FD6BA6">
        <w:tab/>
        <w:t>Поддержка организаций, построенных по этническому принципу</w:t>
      </w:r>
    </w:p>
    <w:p w:rsidR="00871D57" w:rsidRPr="00F672DD" w:rsidRDefault="00930F08" w:rsidP="00871D57">
      <w:pPr>
        <w:pStyle w:val="SingleTxtGR"/>
      </w:pPr>
      <w:r>
        <w:t>58.</w:t>
      </w:r>
      <w:r>
        <w:tab/>
      </w:r>
      <w:r w:rsidR="00871D57" w:rsidRPr="00F672DD">
        <w:t>Через Национальный совет по делам молодежи распределяются также средства, выделяемые в соответствии с Положением о государственных субс</w:t>
      </w:r>
      <w:r w:rsidR="00871D57" w:rsidRPr="00F672DD">
        <w:t>и</w:t>
      </w:r>
      <w:r w:rsidR="00871D57" w:rsidRPr="00F672DD">
        <w:t>диях для организаций, п</w:t>
      </w:r>
      <w:r w:rsidR="00871D57" w:rsidRPr="00F672DD">
        <w:t>о</w:t>
      </w:r>
      <w:r w:rsidR="00871D57" w:rsidRPr="00F672DD">
        <w:t>строенных по этническому принципу (2008:63). Цель такой поддержки состоит в стимулировании инициатив и деятельности таких организаций в области культуры, языка и наци</w:t>
      </w:r>
      <w:r w:rsidR="00871D57" w:rsidRPr="00F672DD">
        <w:t>о</w:t>
      </w:r>
      <w:r w:rsidR="00871D57" w:rsidRPr="00F672DD">
        <w:t>нальной самоидентификации, а также в содействии их участию в общественной жизни. В 2012</w:t>
      </w:r>
      <w:r w:rsidR="000557E5" w:rsidRPr="000557E5">
        <w:t xml:space="preserve"> </w:t>
      </w:r>
      <w:r w:rsidR="00871D57" w:rsidRPr="00F672DD">
        <w:t>году на эти цели будет выделено в общей сложности 19</w:t>
      </w:r>
      <w:r w:rsidR="000557E5" w:rsidRPr="000557E5">
        <w:t xml:space="preserve"> </w:t>
      </w:r>
      <w:r w:rsidR="00871D57" w:rsidRPr="00F672DD">
        <w:t>млн. шведских крон. Как отмечается в пункте</w:t>
      </w:r>
      <w:r w:rsidR="000557E5" w:rsidRPr="000557E5">
        <w:t xml:space="preserve"> </w:t>
      </w:r>
      <w:r w:rsidR="00871D57" w:rsidRPr="00F672DD">
        <w:t>70 настоящего доклада, государство субсидирует также организации н</w:t>
      </w:r>
      <w:r w:rsidR="00871D57" w:rsidRPr="00F672DD">
        <w:t>а</w:t>
      </w:r>
      <w:r w:rsidR="00871D57" w:rsidRPr="00F672DD">
        <w:t xml:space="preserve">циональных меньшинств. </w:t>
      </w:r>
    </w:p>
    <w:p w:rsidR="00871D57" w:rsidRPr="00C2200B" w:rsidRDefault="00871D57" w:rsidP="00C2200B">
      <w:pPr>
        <w:pStyle w:val="H23GR"/>
      </w:pPr>
      <w:r w:rsidRPr="00C2200B">
        <w:tab/>
        <w:t>c)</w:t>
      </w:r>
      <w:r w:rsidRPr="00C2200B">
        <w:tab/>
        <w:t>Исследование по вопросу о путях повышения эффективности усилий по борьбе с ксенофобией и другими аналогичными формами нете</w:t>
      </w:r>
      <w:r w:rsidRPr="00C2200B">
        <w:t>р</w:t>
      </w:r>
      <w:r w:rsidRPr="00C2200B">
        <w:t>пимости</w:t>
      </w:r>
    </w:p>
    <w:p w:rsidR="00871D57" w:rsidRPr="00F672DD" w:rsidRDefault="00930F08" w:rsidP="00871D57">
      <w:pPr>
        <w:pStyle w:val="SingleTxtGR"/>
      </w:pPr>
      <w:r>
        <w:t>59.</w:t>
      </w:r>
      <w:r>
        <w:tab/>
      </w:r>
      <w:r w:rsidR="00871D57" w:rsidRPr="00F672DD">
        <w:t>В мае 2011</w:t>
      </w:r>
      <w:r w:rsidR="000557E5" w:rsidRPr="000557E5">
        <w:t xml:space="preserve"> </w:t>
      </w:r>
      <w:r w:rsidR="00871D57" w:rsidRPr="00F672DD">
        <w:t>года правительство назначило специального докладчика для подготовки предложений относительно путей повышения эффективности ус</w:t>
      </w:r>
      <w:r w:rsidR="00871D57" w:rsidRPr="00F672DD">
        <w:t>и</w:t>
      </w:r>
      <w:r w:rsidR="00871D57" w:rsidRPr="00F672DD">
        <w:t>лий по борьбе с ксенофобией и другими аналогичными формами нетерпимости. В его задачу входят обобщение имеющихся знаний в области ксенофобии и н</w:t>
      </w:r>
      <w:r w:rsidR="00871D57" w:rsidRPr="00F672DD">
        <w:t>е</w:t>
      </w:r>
      <w:r w:rsidR="00871D57" w:rsidRPr="00F672DD">
        <w:t>терпимости и подготовка предложений в отношении дальнейших мер по борьбе с ними. Специальный докладчик должен представить свой доклад не позднее 26</w:t>
      </w:r>
      <w:r w:rsidR="001A4503">
        <w:t> </w:t>
      </w:r>
      <w:r w:rsidR="00871D57" w:rsidRPr="00F672DD">
        <w:t>октября 2012 года.</w:t>
      </w:r>
    </w:p>
    <w:p w:rsidR="00871D57" w:rsidRPr="00C2200B" w:rsidRDefault="00871D57" w:rsidP="00C2200B">
      <w:pPr>
        <w:pStyle w:val="H23GR"/>
      </w:pPr>
      <w:r w:rsidRPr="00C2200B">
        <w:tab/>
        <w:t>d)</w:t>
      </w:r>
      <w:r w:rsidRPr="00C2200B">
        <w:tab/>
        <w:t>Национальный план действий по защите демократии от агрессивного экстремизма</w:t>
      </w:r>
    </w:p>
    <w:p w:rsidR="00871D57" w:rsidRPr="00F672DD" w:rsidRDefault="00930F08" w:rsidP="00871D57">
      <w:pPr>
        <w:pStyle w:val="SingleTxtGR"/>
      </w:pPr>
      <w:r>
        <w:t>60.</w:t>
      </w:r>
      <w:r>
        <w:tab/>
      </w:r>
      <w:r w:rsidR="00871D57" w:rsidRPr="00F672DD">
        <w:t>На основе докладов шведской Службы безопасности, Национального с</w:t>
      </w:r>
      <w:r w:rsidR="00871D57" w:rsidRPr="00F672DD">
        <w:t>о</w:t>
      </w:r>
      <w:r w:rsidR="00871D57" w:rsidRPr="00F672DD">
        <w:t>вета по предупреждению преступности и других органов, посвященных пр</w:t>
      </w:r>
      <w:r w:rsidR="00871D57" w:rsidRPr="00F672DD">
        <w:t>о</w:t>
      </w:r>
      <w:r w:rsidR="00871D57" w:rsidRPr="00F672DD">
        <w:t>блеме насилия на почве политического и исламского экстремизма в Швеции, правительство приняло план действий по защите демократии от агрессивного экстремизма (</w:t>
      </w:r>
      <w:r w:rsidR="00871D57" w:rsidRPr="00F672DD">
        <w:rPr>
          <w:lang w:val="en-GB"/>
        </w:rPr>
        <w:t>Govt</w:t>
      </w:r>
      <w:r w:rsidR="00871D57" w:rsidRPr="00F672DD">
        <w:t xml:space="preserve">. </w:t>
      </w:r>
      <w:r w:rsidR="00871D57" w:rsidRPr="00F672DD">
        <w:rPr>
          <w:lang w:val="en-GB"/>
        </w:rPr>
        <w:t>Comm</w:t>
      </w:r>
      <w:r w:rsidR="00871D57" w:rsidRPr="00F672DD">
        <w:t>. 2011/12:44). Этот план основывается на политике правительства, направленной на развитие демократии, и делает акцент на мерах по профилактике экстремизма. При этом под определение агрессивного экстр</w:t>
      </w:r>
      <w:r w:rsidR="00871D57" w:rsidRPr="00F672DD">
        <w:t>е</w:t>
      </w:r>
      <w:r w:rsidR="00871D57" w:rsidRPr="00F672DD">
        <w:t xml:space="preserve">мизма подпадают как действия белых националистов и сторонников автономии, так и агрессивный исламизм. </w:t>
      </w:r>
    </w:p>
    <w:p w:rsidR="00871D57" w:rsidRPr="00F672DD" w:rsidRDefault="00930F08" w:rsidP="00871D57">
      <w:pPr>
        <w:pStyle w:val="SingleTxtGR"/>
      </w:pPr>
      <w:r>
        <w:t>61.</w:t>
      </w:r>
      <w:r>
        <w:tab/>
      </w:r>
      <w:r w:rsidR="00871D57" w:rsidRPr="00F672DD">
        <w:t>Указанный план действий предусматривает меры по привлечению вним</w:t>
      </w:r>
      <w:r w:rsidR="00871D57" w:rsidRPr="00F672DD">
        <w:t>а</w:t>
      </w:r>
      <w:r w:rsidR="00871D57" w:rsidRPr="00F672DD">
        <w:t>ния общественности к недопустимости насилия на почве экстремизма, пров</w:t>
      </w:r>
      <w:r w:rsidR="00871D57" w:rsidRPr="00F672DD">
        <w:t>е</w:t>
      </w:r>
      <w:r w:rsidR="00871D57" w:rsidRPr="00F672DD">
        <w:t>дение разъяснительной работы в целях недопущения пополнения рядов экстр</w:t>
      </w:r>
      <w:r w:rsidR="00871D57" w:rsidRPr="00F672DD">
        <w:t>е</w:t>
      </w:r>
      <w:r w:rsidR="00871D57" w:rsidRPr="00F672DD">
        <w:t>мистских групп, проповедующих насилие, и оказание помощи тем, кто состоит в таких группах, но хотел бы выйти из них. Кроме того, предусматриваются м</w:t>
      </w:r>
      <w:r w:rsidR="00871D57" w:rsidRPr="00F672DD">
        <w:t>е</w:t>
      </w:r>
      <w:r w:rsidR="00871D57" w:rsidRPr="00F672DD">
        <w:t>ры по укреплению механизмов сотрудничества и искоренению первопричин иде</w:t>
      </w:r>
      <w:r w:rsidR="00871D57" w:rsidRPr="00F672DD">
        <w:t>о</w:t>
      </w:r>
      <w:r w:rsidR="00871D57" w:rsidRPr="00F672DD">
        <w:t>логически мотивированного насилия. План действий рассчитан на период 2012–2014</w:t>
      </w:r>
      <w:r w:rsidR="000557E5">
        <w:t xml:space="preserve"> </w:t>
      </w:r>
      <w:r w:rsidR="00871D57" w:rsidRPr="00F672DD">
        <w:t>годов.</w:t>
      </w:r>
    </w:p>
    <w:p w:rsidR="00871D57" w:rsidRPr="00F672DD" w:rsidRDefault="00871D57" w:rsidP="00930F08">
      <w:pPr>
        <w:pStyle w:val="H1GR"/>
      </w:pPr>
      <w:r w:rsidRPr="00F672DD">
        <w:tab/>
      </w:r>
      <w:r w:rsidRPr="00F672DD">
        <w:tab/>
        <w:t>Статья 2.2</w:t>
      </w:r>
    </w:p>
    <w:p w:rsidR="00871D57" w:rsidRPr="00C2200B" w:rsidRDefault="00871D57" w:rsidP="00C2200B">
      <w:pPr>
        <w:pStyle w:val="H23GR"/>
      </w:pPr>
      <w:r w:rsidRPr="00C2200B">
        <w:tab/>
        <w:t>1.</w:t>
      </w:r>
      <w:r w:rsidRPr="00C2200B">
        <w:tab/>
        <w:t>Специальные меры (с учетом пункта</w:t>
      </w:r>
      <w:r w:rsidR="000557E5">
        <w:t xml:space="preserve"> </w:t>
      </w:r>
      <w:r w:rsidRPr="00C2200B">
        <w:t>13 рекомендаций Комит</w:t>
      </w:r>
      <w:r w:rsidRPr="00C2200B">
        <w:t>е</w:t>
      </w:r>
      <w:r w:rsidRPr="00C2200B">
        <w:t>та)</w:t>
      </w:r>
    </w:p>
    <w:p w:rsidR="00871D57" w:rsidRPr="00F672DD" w:rsidRDefault="00930F08" w:rsidP="00871D57">
      <w:pPr>
        <w:pStyle w:val="SingleTxtGR"/>
      </w:pPr>
      <w:r>
        <w:t>62.</w:t>
      </w:r>
      <w:r>
        <w:tab/>
      </w:r>
      <w:r w:rsidR="00871D57" w:rsidRPr="00F672DD">
        <w:t>Специальные меры</w:t>
      </w:r>
      <w:r w:rsidR="000557E5" w:rsidRPr="000557E5">
        <w:t xml:space="preserve"> </w:t>
      </w:r>
      <w:r w:rsidR="00871D57" w:rsidRPr="00F672DD">
        <w:t>– это неоднозначная концепция, не имеющая аналогов в шведском законодательстве. Отсутствие общепринятого определения этого термина часто приводит к разного рода недоразумениям.</w:t>
      </w:r>
    </w:p>
    <w:p w:rsidR="00871D57" w:rsidRPr="00F672DD" w:rsidRDefault="00930F08" w:rsidP="00871D57">
      <w:pPr>
        <w:pStyle w:val="SingleTxtGR"/>
      </w:pPr>
      <w:r>
        <w:t>63.</w:t>
      </w:r>
      <w:r>
        <w:tab/>
      </w:r>
      <w:r w:rsidR="00871D57" w:rsidRPr="00F672DD">
        <w:t>Что касается специальных мер более интервенционистского характера, предполагающих отступление от принципа равного обращения, то в Швеции допускаются исключения из запрета на дискриминацию, установленного Зак</w:t>
      </w:r>
      <w:r w:rsidR="00871D57" w:rsidRPr="00F672DD">
        <w:t>о</w:t>
      </w:r>
      <w:r w:rsidR="00871D57" w:rsidRPr="00F672DD">
        <w:t>ном о борьбе с дискриминацией, связанные с предоставлением преимуществ по этническому признаку при приеме на работу, при создании предприятий и ос</w:t>
      </w:r>
      <w:r w:rsidR="00871D57" w:rsidRPr="00F672DD">
        <w:t>у</w:t>
      </w:r>
      <w:r w:rsidR="00871D57" w:rsidRPr="00F672DD">
        <w:t>ществлении предпринимательской деятельности, а также в сфере образования (меры, принимаемые вечерними школами или ассоциациями по вопросам обр</w:t>
      </w:r>
      <w:r w:rsidR="00871D57" w:rsidRPr="00F672DD">
        <w:t>а</w:t>
      </w:r>
      <w:r w:rsidR="00871D57" w:rsidRPr="00F672DD">
        <w:t>зования для взрослых). Запрет на дискриминацию в этих областях не является препятствием для применения положений и мер, направленных на обеспечение равных во</w:t>
      </w:r>
      <w:r w:rsidR="00871D57" w:rsidRPr="00F672DD">
        <w:t>з</w:t>
      </w:r>
      <w:r w:rsidR="00871D57" w:rsidRPr="00F672DD">
        <w:t xml:space="preserve">можностей независимо от этнической принадлежности. </w:t>
      </w:r>
    </w:p>
    <w:p w:rsidR="00871D57" w:rsidRPr="00F672DD" w:rsidRDefault="00930F08" w:rsidP="00871D57">
      <w:pPr>
        <w:pStyle w:val="SingleTxtGR"/>
      </w:pPr>
      <w:r>
        <w:t>64.</w:t>
      </w:r>
      <w:r>
        <w:tab/>
      </w:r>
      <w:r w:rsidR="00871D57" w:rsidRPr="00F672DD">
        <w:t>В сфере же трудовых отношений и других областях жизни общества н</w:t>
      </w:r>
      <w:r w:rsidR="00871D57" w:rsidRPr="00F672DD">
        <w:t>и</w:t>
      </w:r>
      <w:r w:rsidR="00871D57" w:rsidRPr="00F672DD">
        <w:t>каких исключений такого рода не допускается. Недопустимость принятия сп</w:t>
      </w:r>
      <w:r w:rsidR="00871D57" w:rsidRPr="00F672DD">
        <w:t>е</w:t>
      </w:r>
      <w:r w:rsidR="00871D57" w:rsidRPr="00F672DD">
        <w:t>циальных мер по этническому принципу работодателями, равно как и недопу</w:t>
      </w:r>
      <w:r w:rsidR="00871D57" w:rsidRPr="00F672DD">
        <w:t>с</w:t>
      </w:r>
      <w:r w:rsidR="00871D57" w:rsidRPr="00F672DD">
        <w:t>тимость применения таких мер в других областях жизни общества объясняются тем, что такая практика нарушает принцип равного обращения, что сложно в</w:t>
      </w:r>
      <w:r w:rsidR="00871D57" w:rsidRPr="00F672DD">
        <w:t>ы</w:t>
      </w:r>
      <w:r w:rsidR="00871D57" w:rsidRPr="00F672DD">
        <w:t>делить целевые группы, на которые должны распространяться такие меры, и определить соответствующие критерии, что регистрация лиц по этническому признаку является нарушением права на личную жизнь, что существует риск возникновения конфликтов на этой почве между различными лицами и групп</w:t>
      </w:r>
      <w:r w:rsidR="00871D57" w:rsidRPr="00F672DD">
        <w:t>а</w:t>
      </w:r>
      <w:r w:rsidR="00871D57" w:rsidRPr="00F672DD">
        <w:t>ми и что специальные меры чреваты правовой неопределенностью и правовой непредсказуемостью. Поэтому практика принятия специальных мер по этнич</w:t>
      </w:r>
      <w:r w:rsidR="00871D57" w:rsidRPr="00F672DD">
        <w:t>е</w:t>
      </w:r>
      <w:r w:rsidR="00871D57" w:rsidRPr="00F672DD">
        <w:t xml:space="preserve">ским основаниям может носить лишь ограниченный характер. </w:t>
      </w:r>
    </w:p>
    <w:p w:rsidR="00871D57" w:rsidRPr="00F672DD" w:rsidRDefault="00930F08" w:rsidP="00871D57">
      <w:pPr>
        <w:pStyle w:val="SingleTxtGR"/>
      </w:pPr>
      <w:r>
        <w:t>65.</w:t>
      </w:r>
      <w:r>
        <w:tab/>
      </w:r>
      <w:r w:rsidR="00871D57" w:rsidRPr="00F672DD">
        <w:t>Вместе с тем в Швеции реализуется большое число инициатив, напра</w:t>
      </w:r>
      <w:r w:rsidR="00871D57" w:rsidRPr="00F672DD">
        <w:t>в</w:t>
      </w:r>
      <w:r w:rsidR="00871D57" w:rsidRPr="00F672DD">
        <w:t>ленных на стимулирование прогресса в деле обеспечения равных прав и во</w:t>
      </w:r>
      <w:r w:rsidR="00871D57" w:rsidRPr="00F672DD">
        <w:t>з</w:t>
      </w:r>
      <w:r w:rsidR="00871D57" w:rsidRPr="00F672DD">
        <w:t>можностей для всех независимо от этнической принадлежности. Речь идет как об инициативах общего характера в интересах населения в целом (и соответс</w:t>
      </w:r>
      <w:r w:rsidR="00871D57" w:rsidRPr="00F672DD">
        <w:t>т</w:t>
      </w:r>
      <w:r w:rsidR="00871D57" w:rsidRPr="00F672DD">
        <w:t>венно в интересах лиц, относящихся к недопредставленным группам), так и об адресных инициативах, учитывающих конкретные индивидуальные потребн</w:t>
      </w:r>
      <w:r w:rsidR="00871D57" w:rsidRPr="00F672DD">
        <w:t>о</w:t>
      </w:r>
      <w:r w:rsidR="00871D57" w:rsidRPr="00F672DD">
        <w:t>сти и возможности. К этой же категории можно отнести и меры в интересах вновь прибывающих иммигрантов и национальных меньшинств. В Швеции т</w:t>
      </w:r>
      <w:r w:rsidR="00871D57" w:rsidRPr="00F672DD">
        <w:t>а</w:t>
      </w:r>
      <w:r w:rsidR="00871D57" w:rsidRPr="00F672DD">
        <w:t>кие меры обычно не считаются специальными в строго юридическом смысле этого слова, однако во многих международных контекстах вполне могут ра</w:t>
      </w:r>
      <w:r w:rsidR="00871D57" w:rsidRPr="00F672DD">
        <w:t>с</w:t>
      </w:r>
      <w:r w:rsidR="00871D57" w:rsidRPr="00F672DD">
        <w:t xml:space="preserve">сматриваться в качестве таковых. </w:t>
      </w:r>
    </w:p>
    <w:p w:rsidR="00871D57" w:rsidRPr="00F672DD" w:rsidRDefault="00930F08" w:rsidP="00871D57">
      <w:pPr>
        <w:pStyle w:val="SingleTxtGR"/>
      </w:pPr>
      <w:r>
        <w:t>66.</w:t>
      </w:r>
      <w:r>
        <w:tab/>
      </w:r>
      <w:r w:rsidR="00871D57" w:rsidRPr="00F672DD">
        <w:t>Что касается мер поощрительного характера, то следует особо упомянуть предусмотренные Законом о борьбе с дискриминацией меры по активному пр</w:t>
      </w:r>
      <w:r w:rsidR="00871D57" w:rsidRPr="00F672DD">
        <w:t>о</w:t>
      </w:r>
      <w:r w:rsidR="00871D57" w:rsidRPr="00F672DD">
        <w:t>тиводействию дискриминации по этническому, религиозному и другим призн</w:t>
      </w:r>
      <w:r w:rsidR="00871D57" w:rsidRPr="00F672DD">
        <w:t>а</w:t>
      </w:r>
      <w:r w:rsidR="00871D57" w:rsidRPr="00F672DD">
        <w:t>кам в сфере труда и занятости, а также в сфере образования. Согласно этому з</w:t>
      </w:r>
      <w:r w:rsidR="00871D57" w:rsidRPr="00F672DD">
        <w:t>а</w:t>
      </w:r>
      <w:r w:rsidR="00871D57" w:rsidRPr="00F672DD">
        <w:t>кону работодатели в сотрудничестве с работниками должны содействовать обеспечению равных прав и возможностей в производственной сфере путем принятия всех необходимых мер для обеспечения приемлемых условий труда для всех работников независимо от их пола, этнической принадлежности и р</w:t>
      </w:r>
      <w:r w:rsidR="00871D57" w:rsidRPr="00F672DD">
        <w:t>е</w:t>
      </w:r>
      <w:r w:rsidR="00871D57" w:rsidRPr="00F672DD">
        <w:t>лигио</w:t>
      </w:r>
      <w:r w:rsidR="00871D57" w:rsidRPr="00F672DD">
        <w:t>з</w:t>
      </w:r>
      <w:r w:rsidR="00871D57" w:rsidRPr="00F672DD">
        <w:t>ных и других убеждений. Работодатели должны также принимать меры к недопущ</w:t>
      </w:r>
      <w:r w:rsidR="00871D57" w:rsidRPr="00F672DD">
        <w:t>е</w:t>
      </w:r>
      <w:r w:rsidR="00871D57" w:rsidRPr="00F672DD">
        <w:t>нию и пресечению сексуальных домогательств и притеснений любого работника по причине его половой или этнической принадлежности или рел</w:t>
      </w:r>
      <w:r w:rsidR="00871D57" w:rsidRPr="00F672DD">
        <w:t>и</w:t>
      </w:r>
      <w:r w:rsidR="00871D57" w:rsidRPr="00F672DD">
        <w:t>гиозных и иных убеждений, а также к обеспечению того, чтобы на вакантные должности могли претендовать все желающие независимо от их пола, этнич</w:t>
      </w:r>
      <w:r w:rsidR="00871D57" w:rsidRPr="00F672DD">
        <w:t>е</w:t>
      </w:r>
      <w:r w:rsidR="00871D57" w:rsidRPr="00F672DD">
        <w:t>ской принадлежности или религиозных или иных убеждений. Меры по акти</w:t>
      </w:r>
      <w:r w:rsidR="00871D57" w:rsidRPr="00F672DD">
        <w:t>в</w:t>
      </w:r>
      <w:r w:rsidR="00871D57" w:rsidRPr="00F672DD">
        <w:t>ному противодействию дискриминации направлены также на ускорение пр</w:t>
      </w:r>
      <w:r w:rsidR="00871D57" w:rsidRPr="00F672DD">
        <w:t>о</w:t>
      </w:r>
      <w:r w:rsidR="00871D57" w:rsidRPr="00F672DD">
        <w:t>гресса и стимулирование усилий в области борьбы с дискриминацией. Соотве</w:t>
      </w:r>
      <w:r w:rsidR="00871D57" w:rsidRPr="00F672DD">
        <w:t>т</w:t>
      </w:r>
      <w:r w:rsidR="00871D57" w:rsidRPr="00F672DD">
        <w:t>ствующие положения упомянутого закона рассчитаны на перспективу и носят общий или коллекти</w:t>
      </w:r>
      <w:r w:rsidR="00871D57" w:rsidRPr="00F672DD">
        <w:t>в</w:t>
      </w:r>
      <w:r w:rsidR="00871D57" w:rsidRPr="00F672DD">
        <w:t xml:space="preserve">ный, а не частный характер. </w:t>
      </w:r>
    </w:p>
    <w:p w:rsidR="00871D57" w:rsidRPr="00F672DD" w:rsidRDefault="00930F08" w:rsidP="00871D57">
      <w:pPr>
        <w:pStyle w:val="SingleTxtGR"/>
      </w:pPr>
      <w:r>
        <w:t>67.</w:t>
      </w:r>
      <w:r>
        <w:tab/>
      </w:r>
      <w:r w:rsidR="00871D57" w:rsidRPr="00F672DD">
        <w:t>В целях расширения возможностей для трудоустройства вновь приб</w:t>
      </w:r>
      <w:r w:rsidR="00871D57" w:rsidRPr="00F672DD">
        <w:t>ы</w:t>
      </w:r>
      <w:r w:rsidR="00871D57" w:rsidRPr="00F672DD">
        <w:t>вающих лиц принимается также ряд мер политики в отношении рынка труда. Об этих мерах говорится в пунктах</w:t>
      </w:r>
      <w:r w:rsidR="000557E5" w:rsidRPr="000557E5">
        <w:t xml:space="preserve"> </w:t>
      </w:r>
      <w:r w:rsidR="00871D57" w:rsidRPr="00F672DD">
        <w:t>149–154 настоящего доклада. Частью такого рода мер, инициируемых правительством, являются меры в интересах наци</w:t>
      </w:r>
      <w:r w:rsidR="00871D57" w:rsidRPr="00F672DD">
        <w:t>о</w:t>
      </w:r>
      <w:r w:rsidR="00871D57" w:rsidRPr="00F672DD">
        <w:t>нальных меньшинств, о которых говорится в пунктах</w:t>
      </w:r>
      <w:r w:rsidR="000557E5" w:rsidRPr="000557E5">
        <w:t xml:space="preserve"> </w:t>
      </w:r>
      <w:r w:rsidR="00871D57" w:rsidRPr="00F672DD">
        <w:t>68–111 настоящего докл</w:t>
      </w:r>
      <w:r w:rsidR="00871D57" w:rsidRPr="00F672DD">
        <w:t>а</w:t>
      </w:r>
      <w:r w:rsidR="00871D57" w:rsidRPr="00F672DD">
        <w:t>да.</w:t>
      </w:r>
    </w:p>
    <w:p w:rsidR="00871D57" w:rsidRPr="00C2200B" w:rsidRDefault="00871D57" w:rsidP="00C2200B">
      <w:pPr>
        <w:pStyle w:val="H23GR"/>
      </w:pPr>
      <w:r w:rsidRPr="00C2200B">
        <w:tab/>
        <w:t>2.</w:t>
      </w:r>
      <w:r w:rsidRPr="00C2200B">
        <w:tab/>
        <w:t>Национальные меньшинства</w:t>
      </w:r>
    </w:p>
    <w:p w:rsidR="00871D57" w:rsidRPr="00C2200B" w:rsidRDefault="00871D57" w:rsidP="00C2200B">
      <w:pPr>
        <w:pStyle w:val="H23GR"/>
      </w:pPr>
      <w:r w:rsidRPr="00C2200B">
        <w:tab/>
        <w:t>a)</w:t>
      </w:r>
      <w:r w:rsidRPr="00C2200B">
        <w:tab/>
        <w:t>Политика в отношении меньшинств</w:t>
      </w:r>
    </w:p>
    <w:p w:rsidR="00871D57" w:rsidRPr="00F672DD" w:rsidRDefault="00930F08" w:rsidP="00871D57">
      <w:pPr>
        <w:pStyle w:val="SingleTxtGR"/>
      </w:pPr>
      <w:r>
        <w:t>68.</w:t>
      </w:r>
      <w:r>
        <w:tab/>
      </w:r>
      <w:r w:rsidR="00871D57" w:rsidRPr="00F672DD">
        <w:t>Как отмечается в пунктах</w:t>
      </w:r>
      <w:r w:rsidR="000557E5" w:rsidRPr="000557E5">
        <w:t xml:space="preserve"> </w:t>
      </w:r>
      <w:r w:rsidR="00871D57" w:rsidRPr="00F672DD">
        <w:t>42–44 пятнадцатого и шестнадцатого период</w:t>
      </w:r>
      <w:r w:rsidR="00871D57" w:rsidRPr="00F672DD">
        <w:t>и</w:t>
      </w:r>
      <w:r w:rsidR="00871D57" w:rsidRPr="00F672DD">
        <w:t>ческого доклада, политика в отношении национальных меньшинств была сфо</w:t>
      </w:r>
      <w:r w:rsidR="00871D57" w:rsidRPr="00F672DD">
        <w:t>р</w:t>
      </w:r>
      <w:r w:rsidR="00871D57" w:rsidRPr="00F672DD">
        <w:t>мулирована в 2000</w:t>
      </w:r>
      <w:r w:rsidR="000557E5">
        <w:t xml:space="preserve"> </w:t>
      </w:r>
      <w:r w:rsidR="00871D57" w:rsidRPr="00F672DD">
        <w:t>году. В целях защиты национальных меньшинств и их яз</w:t>
      </w:r>
      <w:r w:rsidR="00871D57" w:rsidRPr="00F672DD">
        <w:t>ы</w:t>
      </w:r>
      <w:r w:rsidR="00871D57" w:rsidRPr="00F672DD">
        <w:t>ков реализуется ряд общенациональных инициатив, в том числе направленных на борьбу с дискриминацией. В 2009</w:t>
      </w:r>
      <w:r w:rsidR="000557E5" w:rsidRPr="000557E5">
        <w:t xml:space="preserve"> </w:t>
      </w:r>
      <w:r w:rsidR="00871D57" w:rsidRPr="00F672DD">
        <w:t>году началась работа по реформированию политики в отношении национальных меньшинств, цель которой состоит в</w:t>
      </w:r>
      <w:r w:rsidR="007D4F26">
        <w:rPr>
          <w:lang w:val="en-US"/>
        </w:rPr>
        <w:t> </w:t>
      </w:r>
      <w:r w:rsidR="00871D57" w:rsidRPr="00F672DD">
        <w:t>расширении прав проживающих на территории страны национальных мен</w:t>
      </w:r>
      <w:r w:rsidR="00871D57" w:rsidRPr="00F672DD">
        <w:t>ь</w:t>
      </w:r>
      <w:r w:rsidR="00871D57" w:rsidRPr="00F672DD">
        <w:t>шинств в целом ряде областей. Более подробная информация о проводимой р</w:t>
      </w:r>
      <w:r w:rsidR="00871D57" w:rsidRPr="00F672DD">
        <w:t>е</w:t>
      </w:r>
      <w:r w:rsidR="00871D57" w:rsidRPr="00F672DD">
        <w:t>форме содержится в пунктах</w:t>
      </w:r>
      <w:r w:rsidR="000557E5" w:rsidRPr="000557E5">
        <w:t xml:space="preserve"> </w:t>
      </w:r>
      <w:r w:rsidR="00871D57" w:rsidRPr="00F672DD">
        <w:t>71–76 настоящего доклада.</w:t>
      </w:r>
    </w:p>
    <w:p w:rsidR="00871D57" w:rsidRPr="00F672DD" w:rsidRDefault="00930F08" w:rsidP="00871D57">
      <w:pPr>
        <w:pStyle w:val="SingleTxtGR"/>
      </w:pPr>
      <w:r>
        <w:t>69.</w:t>
      </w:r>
      <w:r>
        <w:tab/>
      </w:r>
      <w:r w:rsidR="00871D57" w:rsidRPr="00F672DD">
        <w:t>Как отмечается в пункте</w:t>
      </w:r>
      <w:r w:rsidR="000557E5" w:rsidRPr="000557E5">
        <w:t xml:space="preserve"> </w:t>
      </w:r>
      <w:r w:rsidR="00871D57" w:rsidRPr="00F672DD">
        <w:t>65 семнадцатого и восемнадцатого периодич</w:t>
      </w:r>
      <w:r w:rsidR="00871D57" w:rsidRPr="00F672DD">
        <w:t>е</w:t>
      </w:r>
      <w:r w:rsidR="00871D57" w:rsidRPr="00F672DD">
        <w:t>ского доклада, активизации процесса консультаций с представителями орган</w:t>
      </w:r>
      <w:r w:rsidR="00871D57" w:rsidRPr="00F672DD">
        <w:t>и</w:t>
      </w:r>
      <w:r w:rsidR="00871D57" w:rsidRPr="00F672DD">
        <w:t>заций меньшинств способствовало решение о проведении в дополнение к еж</w:t>
      </w:r>
      <w:r w:rsidR="00871D57" w:rsidRPr="00F672DD">
        <w:t>е</w:t>
      </w:r>
      <w:r w:rsidR="00871D57" w:rsidRPr="00F672DD">
        <w:t>годным совместным обсуждениям отдельных совещаний с каждой из групп мен</w:t>
      </w:r>
      <w:r w:rsidR="00871D57" w:rsidRPr="00F672DD">
        <w:t>ь</w:t>
      </w:r>
      <w:r w:rsidR="00871D57" w:rsidRPr="00F672DD">
        <w:t>шинств.</w:t>
      </w:r>
    </w:p>
    <w:p w:rsidR="00871D57" w:rsidRPr="00F672DD" w:rsidRDefault="00930F08" w:rsidP="00871D57">
      <w:pPr>
        <w:pStyle w:val="SingleTxtGR"/>
      </w:pPr>
      <w:r>
        <w:t>70.</w:t>
      </w:r>
      <w:r>
        <w:tab/>
      </w:r>
      <w:r w:rsidR="00871D57" w:rsidRPr="00F672DD">
        <w:t>Организациям, представляющим национальные меньшинства (за искл</w:t>
      </w:r>
      <w:r w:rsidR="00871D57" w:rsidRPr="00F672DD">
        <w:t>ю</w:t>
      </w:r>
      <w:r w:rsidR="00871D57" w:rsidRPr="00F672DD">
        <w:t>чением организаций народа саами, которые финансируются отдельно), выдел</w:t>
      </w:r>
      <w:r w:rsidR="00871D57" w:rsidRPr="00F672DD">
        <w:t>я</w:t>
      </w:r>
      <w:r w:rsidR="00871D57" w:rsidRPr="00F672DD">
        <w:t>ются государственные субсидии. Распределением таких субсидий занимается окружной административный совет Стокгольма, который разработал свод и</w:t>
      </w:r>
      <w:r w:rsidR="00871D57" w:rsidRPr="00F672DD">
        <w:t>м</w:t>
      </w:r>
      <w:r w:rsidR="00871D57" w:rsidRPr="00F672DD">
        <w:t>плементационных положений, вступи</w:t>
      </w:r>
      <w:r>
        <w:t>вших в силу 1</w:t>
      </w:r>
      <w:r w:rsidR="000557E5">
        <w:t xml:space="preserve"> </w:t>
      </w:r>
      <w:r>
        <w:t>июня 2011</w:t>
      </w:r>
      <w:r w:rsidR="000557E5">
        <w:t xml:space="preserve"> </w:t>
      </w:r>
      <w:r>
        <w:t>года. В</w:t>
      </w:r>
      <w:r w:rsidR="000557E5">
        <w:t xml:space="preserve"> </w:t>
      </w:r>
      <w:r w:rsidR="00871D57" w:rsidRPr="00F672DD">
        <w:t>2011</w:t>
      </w:r>
      <w:r w:rsidR="000557E5">
        <w:t xml:space="preserve"> </w:t>
      </w:r>
      <w:r w:rsidR="00871D57" w:rsidRPr="00F672DD">
        <w:t>г</w:t>
      </w:r>
      <w:r w:rsidR="00871D57" w:rsidRPr="00F672DD">
        <w:t>о</w:t>
      </w:r>
      <w:r w:rsidR="00871D57" w:rsidRPr="00F672DD">
        <w:t>ду за субсидиями обратились 11</w:t>
      </w:r>
      <w:r w:rsidR="000557E5">
        <w:t xml:space="preserve"> </w:t>
      </w:r>
      <w:r w:rsidR="00871D57" w:rsidRPr="00F672DD">
        <w:t>организаций, и все они получили финансир</w:t>
      </w:r>
      <w:r w:rsidR="00871D57" w:rsidRPr="00F672DD">
        <w:t>о</w:t>
      </w:r>
      <w:r w:rsidR="00871D57" w:rsidRPr="00F672DD">
        <w:t>вание. Общий объем расходов на эти цели составил 4,6</w:t>
      </w:r>
      <w:r w:rsidR="000557E5">
        <w:t xml:space="preserve"> </w:t>
      </w:r>
      <w:r w:rsidR="00871D57" w:rsidRPr="00F672DD">
        <w:t>млн. шведских крон. Что касается организаций народа саами, то их финансированием занимается с</w:t>
      </w:r>
      <w:r w:rsidR="00871D57" w:rsidRPr="00F672DD">
        <w:t>а</w:t>
      </w:r>
      <w:r w:rsidR="00871D57" w:rsidRPr="00F672DD">
        <w:t>амский парламент, который также оказывает финансовую поддержку предста</w:t>
      </w:r>
      <w:r w:rsidR="00871D57" w:rsidRPr="00F672DD">
        <w:t>в</w:t>
      </w:r>
      <w:r w:rsidR="00871D57" w:rsidRPr="00F672DD">
        <w:t xml:space="preserve">ленным в нем партиям. </w:t>
      </w:r>
    </w:p>
    <w:p w:rsidR="00871D57" w:rsidRPr="00C2200B" w:rsidRDefault="00871D57" w:rsidP="00C2200B">
      <w:pPr>
        <w:pStyle w:val="H23GR"/>
      </w:pPr>
      <w:r w:rsidRPr="00C2200B">
        <w:tab/>
        <w:t>b)</w:t>
      </w:r>
      <w:r w:rsidRPr="00C2200B">
        <w:tab/>
        <w:t>Стратегия в отношении национальных меньшинств</w:t>
      </w:r>
    </w:p>
    <w:p w:rsidR="00871D57" w:rsidRPr="00F672DD" w:rsidRDefault="000557E5" w:rsidP="00871D57">
      <w:pPr>
        <w:pStyle w:val="SingleTxtGR"/>
      </w:pPr>
      <w:r>
        <w:t>71.</w:t>
      </w:r>
      <w:r>
        <w:tab/>
      </w:r>
      <w:r w:rsidR="00871D57" w:rsidRPr="00F672DD">
        <w:t>В июне 2009</w:t>
      </w:r>
      <w:r>
        <w:t xml:space="preserve"> </w:t>
      </w:r>
      <w:r w:rsidR="00871D57" w:rsidRPr="00F672DD">
        <w:t>года шведский риксдаг принял законопроект, озаглавленный "От признания к расширению прав и возможностей: государственная стратегия в отношении национальных меньшинств" (</w:t>
      </w:r>
      <w:r w:rsidR="00871D57" w:rsidRPr="00F672DD">
        <w:rPr>
          <w:lang w:val="en-GB"/>
        </w:rPr>
        <w:t>Fr</w:t>
      </w:r>
      <w:r w:rsidR="00871D57" w:rsidRPr="00F672DD">
        <w:t>å</w:t>
      </w:r>
      <w:r w:rsidR="00871D57" w:rsidRPr="00F672DD">
        <w:rPr>
          <w:lang w:val="en-GB"/>
        </w:rPr>
        <w:t>n</w:t>
      </w:r>
      <w:r w:rsidR="00871D57" w:rsidRPr="00F672DD">
        <w:t xml:space="preserve"> </w:t>
      </w:r>
      <w:r w:rsidR="00871D57" w:rsidRPr="00F672DD">
        <w:rPr>
          <w:lang w:val="en-GB"/>
        </w:rPr>
        <w:t>erk</w:t>
      </w:r>
      <w:r w:rsidR="00871D57" w:rsidRPr="00F672DD">
        <w:t>ä</w:t>
      </w:r>
      <w:r w:rsidR="00871D57" w:rsidRPr="00F672DD">
        <w:rPr>
          <w:lang w:val="en-GB"/>
        </w:rPr>
        <w:t>nnande</w:t>
      </w:r>
      <w:r w:rsidR="00871D57" w:rsidRPr="00F672DD">
        <w:t xml:space="preserve"> </w:t>
      </w:r>
      <w:r w:rsidR="00871D57" w:rsidRPr="00F672DD">
        <w:rPr>
          <w:lang w:val="en-GB"/>
        </w:rPr>
        <w:t>till</w:t>
      </w:r>
      <w:r w:rsidR="00871D57" w:rsidRPr="00F672DD">
        <w:t xml:space="preserve"> </w:t>
      </w:r>
      <w:r w:rsidR="00871D57" w:rsidRPr="00F672DD">
        <w:rPr>
          <w:lang w:val="en-GB"/>
        </w:rPr>
        <w:t>egenmakt</w:t>
      </w:r>
      <w:r w:rsidR="00871D57" w:rsidRPr="00F672DD">
        <w:t xml:space="preserve"> – </w:t>
      </w:r>
      <w:r w:rsidR="00871D57" w:rsidRPr="00F672DD">
        <w:rPr>
          <w:lang w:val="en-GB"/>
        </w:rPr>
        <w:t>rege</w:t>
      </w:r>
      <w:r w:rsidR="00871D57" w:rsidRPr="00F672DD">
        <w:rPr>
          <w:lang w:val="en-GB"/>
        </w:rPr>
        <w:t>r</w:t>
      </w:r>
      <w:r w:rsidR="00871D57" w:rsidRPr="00F672DD">
        <w:rPr>
          <w:lang w:val="en-GB"/>
        </w:rPr>
        <w:t>ingens</w:t>
      </w:r>
      <w:r w:rsidR="00871D57" w:rsidRPr="00F672DD">
        <w:t xml:space="preserve"> </w:t>
      </w:r>
      <w:r w:rsidR="00871D57" w:rsidRPr="00F672DD">
        <w:rPr>
          <w:lang w:val="en-GB"/>
        </w:rPr>
        <w:t>strategi</w:t>
      </w:r>
      <w:r w:rsidR="00871D57" w:rsidRPr="00F672DD">
        <w:t xml:space="preserve"> </w:t>
      </w:r>
      <w:r w:rsidR="00871D57" w:rsidRPr="00F672DD">
        <w:rPr>
          <w:lang w:val="en-GB"/>
        </w:rPr>
        <w:t>f</w:t>
      </w:r>
      <w:r w:rsidR="00871D57" w:rsidRPr="00F672DD">
        <w:t>ö</w:t>
      </w:r>
      <w:r w:rsidR="00871D57" w:rsidRPr="00F672DD">
        <w:rPr>
          <w:lang w:val="en-GB"/>
        </w:rPr>
        <w:t>r</w:t>
      </w:r>
      <w:r w:rsidR="00871D57" w:rsidRPr="00F672DD">
        <w:t xml:space="preserve"> </w:t>
      </w:r>
      <w:r w:rsidR="00871D57" w:rsidRPr="00F672DD">
        <w:rPr>
          <w:lang w:val="en-GB"/>
        </w:rPr>
        <w:t>de</w:t>
      </w:r>
      <w:r w:rsidR="00871D57" w:rsidRPr="00F672DD">
        <w:t xml:space="preserve"> </w:t>
      </w:r>
      <w:r w:rsidR="00871D57" w:rsidRPr="00F672DD">
        <w:rPr>
          <w:lang w:val="en-GB"/>
        </w:rPr>
        <w:t>nationella</w:t>
      </w:r>
      <w:r w:rsidR="00871D57" w:rsidRPr="00F672DD">
        <w:t xml:space="preserve"> </w:t>
      </w:r>
      <w:r w:rsidR="00871D57" w:rsidRPr="00F672DD">
        <w:rPr>
          <w:lang w:val="en-GB"/>
        </w:rPr>
        <w:t>minoriteterna</w:t>
      </w:r>
      <w:r w:rsidR="00871D57" w:rsidRPr="00F672DD">
        <w:t xml:space="preserve">, </w:t>
      </w:r>
      <w:r w:rsidR="00871D57" w:rsidRPr="00F672DD">
        <w:rPr>
          <w:lang w:val="en-GB"/>
        </w:rPr>
        <w:t>prop</w:t>
      </w:r>
      <w:r w:rsidR="00871D57" w:rsidRPr="00F672DD">
        <w:t xml:space="preserve">. 2008/09:158, </w:t>
      </w:r>
      <w:r w:rsidR="00871D57" w:rsidRPr="00F672DD">
        <w:rPr>
          <w:lang w:val="en-GB"/>
        </w:rPr>
        <w:t>bet</w:t>
      </w:r>
      <w:r w:rsidR="00871D57" w:rsidRPr="00F672DD">
        <w:t>. 2008/09:</w:t>
      </w:r>
      <w:r w:rsidR="00871D57" w:rsidRPr="00F672DD">
        <w:rPr>
          <w:lang w:val="en-GB"/>
        </w:rPr>
        <w:t>KU</w:t>
      </w:r>
      <w:r w:rsidR="00871D57" w:rsidRPr="00F672DD">
        <w:t xml:space="preserve">23, </w:t>
      </w:r>
      <w:r w:rsidR="00871D57" w:rsidRPr="00F672DD">
        <w:rPr>
          <w:lang w:val="en-GB"/>
        </w:rPr>
        <w:t>rskr</w:t>
      </w:r>
      <w:r w:rsidR="00871D57" w:rsidRPr="00F672DD">
        <w:t>. 2008/09:272).</w:t>
      </w:r>
      <w:r>
        <w:t xml:space="preserve"> </w:t>
      </w:r>
      <w:r w:rsidR="00871D57" w:rsidRPr="00F672DD">
        <w:t>Одной из целей новой стратегии, реализация которой началась в январе 2010</w:t>
      </w:r>
      <w:r>
        <w:t xml:space="preserve"> </w:t>
      </w:r>
      <w:r w:rsidR="00871D57" w:rsidRPr="00F672DD">
        <w:t>года, является обеспечение согласованного по</w:t>
      </w:r>
      <w:r w:rsidR="00871D57" w:rsidRPr="00F672DD">
        <w:t>д</w:t>
      </w:r>
      <w:r w:rsidR="00871D57" w:rsidRPr="00F672DD">
        <w:t>хода к решению проблем меньшинств путем четкого определения целей пол</w:t>
      </w:r>
      <w:r w:rsidR="00871D57" w:rsidRPr="00F672DD">
        <w:t>и</w:t>
      </w:r>
      <w:r w:rsidR="00871D57" w:rsidRPr="00F672DD">
        <w:t>тики в отн</w:t>
      </w:r>
      <w:r w:rsidR="00871D57" w:rsidRPr="00F672DD">
        <w:t>о</w:t>
      </w:r>
      <w:r w:rsidR="00871D57" w:rsidRPr="00F672DD">
        <w:t>шении меньшинств, четкого распределения обязанностей между центральными и местными органами власти в этой связи и создания системы контроля. Стратегия предусматривает меры, направленные на обеспечение б</w:t>
      </w:r>
      <w:r w:rsidR="00871D57" w:rsidRPr="00F672DD">
        <w:t>о</w:t>
      </w:r>
      <w:r w:rsidR="00871D57" w:rsidRPr="00F672DD">
        <w:t>лее строго соблюдения конвенций Совета Европы, касающихся меньшинств, совершенствование контроля за реализацией программных мер, противодейс</w:t>
      </w:r>
      <w:r w:rsidR="00871D57" w:rsidRPr="00F672DD">
        <w:t>т</w:t>
      </w:r>
      <w:r w:rsidR="00871D57" w:rsidRPr="00F672DD">
        <w:t>вие дискриминации и снижение степени уязвимости национальных мен</w:t>
      </w:r>
      <w:r w:rsidR="00871D57" w:rsidRPr="00F672DD">
        <w:t>ь</w:t>
      </w:r>
      <w:r w:rsidR="00871D57" w:rsidRPr="00F672DD">
        <w:t>шинств, дальнейшее усиление влияния и расширение прав и возможностей н</w:t>
      </w:r>
      <w:r w:rsidR="00871D57" w:rsidRPr="00F672DD">
        <w:t>а</w:t>
      </w:r>
      <w:r w:rsidR="00871D57" w:rsidRPr="00F672DD">
        <w:t>циональных меньшинств и создание условий для сохранения языков наци</w:t>
      </w:r>
      <w:r w:rsidR="00871D57" w:rsidRPr="00F672DD">
        <w:t>о</w:t>
      </w:r>
      <w:r w:rsidR="00871D57" w:rsidRPr="00F672DD">
        <w:t xml:space="preserve">нальных меньшинств. </w:t>
      </w:r>
    </w:p>
    <w:p w:rsidR="00871D57" w:rsidRPr="00F672DD" w:rsidRDefault="000557E5" w:rsidP="00871D57">
      <w:pPr>
        <w:pStyle w:val="SingleTxtGR"/>
      </w:pPr>
      <w:r>
        <w:t>72.</w:t>
      </w:r>
      <w:r>
        <w:tab/>
      </w:r>
      <w:r w:rsidR="00871D57" w:rsidRPr="00F672DD">
        <w:t>Внесению большей ясности в законодательство, регулирующее права н</w:t>
      </w:r>
      <w:r w:rsidR="00871D57" w:rsidRPr="00F672DD">
        <w:t>а</w:t>
      </w:r>
      <w:r w:rsidR="00871D57" w:rsidRPr="00F672DD">
        <w:t>циональных меньшинств, способствовало принятие Закона о национальных меньшинствах и языках н</w:t>
      </w:r>
      <w:r w:rsidR="00871D57" w:rsidRPr="00F672DD">
        <w:t>а</w:t>
      </w:r>
      <w:r w:rsidR="00871D57" w:rsidRPr="00F672DD">
        <w:t>циональных меньшинств (2009:724). Этот закон вступил в силу 1</w:t>
      </w:r>
      <w:r>
        <w:t xml:space="preserve"> </w:t>
      </w:r>
      <w:r w:rsidR="00871D57" w:rsidRPr="00F672DD">
        <w:t>января 2010</w:t>
      </w:r>
      <w:r>
        <w:t xml:space="preserve"> </w:t>
      </w:r>
      <w:r w:rsidR="00871D57" w:rsidRPr="00F672DD">
        <w:t>года и распространяется на всю национальную территорию. Обязанности по контролю за его соблюдением возложены на о</w:t>
      </w:r>
      <w:r w:rsidR="00871D57" w:rsidRPr="00F672DD">
        <w:t>к</w:t>
      </w:r>
      <w:r w:rsidR="00871D57" w:rsidRPr="00F672DD">
        <w:t>ружной административный совет Стокгольма и парламент народа саами. Эти два органа еж</w:t>
      </w:r>
      <w:r w:rsidR="00871D57" w:rsidRPr="00F672DD">
        <w:t>е</w:t>
      </w:r>
      <w:r w:rsidR="00871D57" w:rsidRPr="00F672DD">
        <w:t>годно предоставляют правительству доклад о применении Закона муниципальными органами, окружными советами и государственными учре</w:t>
      </w:r>
      <w:r w:rsidR="00871D57" w:rsidRPr="00F672DD">
        <w:t>ж</w:t>
      </w:r>
      <w:r w:rsidR="00871D57" w:rsidRPr="00F672DD">
        <w:t xml:space="preserve">дениями. </w:t>
      </w:r>
    </w:p>
    <w:p w:rsidR="00871D57" w:rsidRPr="00F672DD" w:rsidRDefault="000557E5" w:rsidP="00871D57">
      <w:pPr>
        <w:pStyle w:val="SingleTxtGR"/>
      </w:pPr>
      <w:r>
        <w:t>73.</w:t>
      </w:r>
      <w:r>
        <w:tab/>
      </w:r>
      <w:r w:rsidR="00871D57" w:rsidRPr="00F672DD">
        <w:t>В рамках своих контрольных функций окружной административный с</w:t>
      </w:r>
      <w:r w:rsidR="00871D57" w:rsidRPr="00F672DD">
        <w:t>о</w:t>
      </w:r>
      <w:r w:rsidR="00871D57" w:rsidRPr="00F672DD">
        <w:t>вет Стокгольма и парламент народа саами проводят консультации с представ</w:t>
      </w:r>
      <w:r w:rsidR="00871D57" w:rsidRPr="00F672DD">
        <w:t>и</w:t>
      </w:r>
      <w:r w:rsidR="00871D57" w:rsidRPr="00F672DD">
        <w:t>телями организаций национальных меньшинств.</w:t>
      </w:r>
      <w:r>
        <w:t xml:space="preserve"> </w:t>
      </w:r>
      <w:r w:rsidR="00871D57" w:rsidRPr="00F672DD">
        <w:t>В 2011</w:t>
      </w:r>
      <w:r w:rsidRPr="000557E5">
        <w:t xml:space="preserve"> </w:t>
      </w:r>
      <w:r w:rsidR="00871D57" w:rsidRPr="00F672DD">
        <w:t>году эти два органа приступили к работе по созданию условий для того, чтобы власти и меньши</w:t>
      </w:r>
      <w:r w:rsidR="00871D57" w:rsidRPr="00F672DD">
        <w:t>н</w:t>
      </w:r>
      <w:r w:rsidR="00871D57" w:rsidRPr="00F672DD">
        <w:t>ства могли участвовать в таких консультациях в качестве равноправных партн</w:t>
      </w:r>
      <w:r w:rsidR="00871D57" w:rsidRPr="00F672DD">
        <w:t>е</w:t>
      </w:r>
      <w:r w:rsidR="00871D57" w:rsidRPr="00F672DD">
        <w:t xml:space="preserve">ров. </w:t>
      </w:r>
    </w:p>
    <w:p w:rsidR="00871D57" w:rsidRPr="00F672DD" w:rsidRDefault="000557E5" w:rsidP="00871D57">
      <w:pPr>
        <w:pStyle w:val="SingleTxtGR"/>
      </w:pPr>
      <w:r>
        <w:t>74.</w:t>
      </w:r>
      <w:r>
        <w:tab/>
      </w:r>
      <w:r w:rsidR="00871D57" w:rsidRPr="00F672DD">
        <w:t xml:space="preserve">В целях распространения информации о национальных меньшинствах и их правах парламент народа саами ведет веб-сайт </w:t>
      </w:r>
      <w:r w:rsidR="00871D57" w:rsidRPr="00D25846">
        <w:rPr>
          <w:lang w:val="en-GB"/>
        </w:rPr>
        <w:t>minoritet</w:t>
      </w:r>
      <w:r w:rsidR="00871D57" w:rsidRPr="00D25846">
        <w:t>.</w:t>
      </w:r>
      <w:r w:rsidR="00871D57" w:rsidRPr="00D25846">
        <w:rPr>
          <w:lang w:val="en-GB"/>
        </w:rPr>
        <w:t>se</w:t>
      </w:r>
      <w:r w:rsidR="00871D57" w:rsidRPr="00F672DD">
        <w:t>, который является важным подспорьем в работе по решению проблем меньшинств. В 2011</w:t>
      </w:r>
      <w:r>
        <w:t xml:space="preserve"> </w:t>
      </w:r>
      <w:r w:rsidR="00871D57" w:rsidRPr="00F672DD">
        <w:t>году число посещений этого веб-сайта составляло в среднем 3</w:t>
      </w:r>
      <w:r w:rsidRPr="000557E5">
        <w:t xml:space="preserve"> </w:t>
      </w:r>
      <w:r w:rsidR="00871D57" w:rsidRPr="00F672DD">
        <w:t>000 в месяц. Кроме того, в целях обеспечения форума для должностных лиц, занимающихся пр</w:t>
      </w:r>
      <w:r w:rsidR="00871D57" w:rsidRPr="00F672DD">
        <w:t>о</w:t>
      </w:r>
      <w:r w:rsidR="00871D57" w:rsidRPr="00F672DD">
        <w:t>блемами меньшинств, в 2011</w:t>
      </w:r>
      <w:r>
        <w:t xml:space="preserve"> </w:t>
      </w:r>
      <w:r w:rsidR="00871D57" w:rsidRPr="00F672DD">
        <w:t>году на базе этого веб-сайта была создана спец</w:t>
      </w:r>
      <w:r w:rsidR="00871D57" w:rsidRPr="00F672DD">
        <w:t>и</w:t>
      </w:r>
      <w:r w:rsidR="00871D57" w:rsidRPr="00F672DD">
        <w:t xml:space="preserve">альная внутренняя сеть. </w:t>
      </w:r>
    </w:p>
    <w:p w:rsidR="00871D57" w:rsidRPr="00F672DD" w:rsidRDefault="000557E5" w:rsidP="00871D57">
      <w:pPr>
        <w:pStyle w:val="SingleTxtGR"/>
      </w:pPr>
      <w:r>
        <w:t>75.</w:t>
      </w:r>
      <w:r>
        <w:tab/>
      </w:r>
      <w:r w:rsidR="00871D57" w:rsidRPr="00F672DD">
        <w:t>Реформа политики в отношении национальных меньшинств способств</w:t>
      </w:r>
      <w:r w:rsidR="00871D57" w:rsidRPr="00F672DD">
        <w:t>о</w:t>
      </w:r>
      <w:r w:rsidR="00871D57" w:rsidRPr="00F672DD">
        <w:t>вала тому, что у национальных меньшинств, включая народ саами, появились дополнительные возможности для оказания влияния на события и процессы, происходящие в обществе. Это имеет важное значение для обеспечения их и</w:t>
      </w:r>
      <w:r w:rsidR="00871D57" w:rsidRPr="00F672DD">
        <w:t>н</w:t>
      </w:r>
      <w:r w:rsidR="00871D57" w:rsidRPr="00F672DD">
        <w:t>тересов. Административные органы обязаны предоставлять национальным меньшинс</w:t>
      </w:r>
      <w:r w:rsidR="00871D57" w:rsidRPr="00F672DD">
        <w:t>т</w:t>
      </w:r>
      <w:r w:rsidR="00871D57" w:rsidRPr="00F672DD">
        <w:t>вам право голоса при решении затрагивающих их вопросов и по возможности консультироваться с ними по таким вопросам (статья</w:t>
      </w:r>
      <w:r>
        <w:t xml:space="preserve"> </w:t>
      </w:r>
      <w:r w:rsidR="00871D57" w:rsidRPr="00F672DD">
        <w:t>5 Закона о национальных меньшинствах и языках национальных меньшинств (2009:724)). Закрепленная в законодательстве обязанность участвовать в консультациях я</w:t>
      </w:r>
      <w:r w:rsidR="00871D57" w:rsidRPr="00F672DD">
        <w:t>в</w:t>
      </w:r>
      <w:r w:rsidR="00871D57" w:rsidRPr="00F672DD">
        <w:t>ляется мобилизующим фактором для организаций народа саами и других н</w:t>
      </w:r>
      <w:r w:rsidR="00871D57" w:rsidRPr="00F672DD">
        <w:t>а</w:t>
      </w:r>
      <w:r w:rsidR="00871D57" w:rsidRPr="00F672DD">
        <w:t>циональных меньшинств. В последние годы в стране увеличилось количество муниципальных образований и окружных советов. Так, в 2011</w:t>
      </w:r>
      <w:r w:rsidRPr="000557E5">
        <w:t xml:space="preserve"> </w:t>
      </w:r>
      <w:r w:rsidR="00871D57" w:rsidRPr="00F672DD">
        <w:t>году было созд</w:t>
      </w:r>
      <w:r w:rsidR="00871D57" w:rsidRPr="00F672DD">
        <w:t>а</w:t>
      </w:r>
      <w:r w:rsidR="00871D57" w:rsidRPr="00F672DD">
        <w:t>но пять новых муниципалитетов и один окружной совет, а в 2012</w:t>
      </w:r>
      <w:r>
        <w:t xml:space="preserve"> </w:t>
      </w:r>
      <w:r w:rsidR="00871D57" w:rsidRPr="00F672DD">
        <w:t>году</w:t>
      </w:r>
      <w:r>
        <w:t xml:space="preserve"> </w:t>
      </w:r>
      <w:r w:rsidR="00871D57" w:rsidRPr="00F672DD">
        <w:t>– еще д</w:t>
      </w:r>
      <w:r w:rsidR="00871D57" w:rsidRPr="00F672DD">
        <w:t>е</w:t>
      </w:r>
      <w:r w:rsidR="00871D57" w:rsidRPr="00F672DD">
        <w:t>вять муниципалитетов и два окружных совета. Процесс создания новых адм</w:t>
      </w:r>
      <w:r w:rsidR="00871D57" w:rsidRPr="00F672DD">
        <w:t>и</w:t>
      </w:r>
      <w:r w:rsidR="00871D57" w:rsidRPr="00F672DD">
        <w:t>нистративных единиц носил добровольный характер. Роль правительства св</w:t>
      </w:r>
      <w:r w:rsidR="00871D57" w:rsidRPr="00F672DD">
        <w:t>о</w:t>
      </w:r>
      <w:r w:rsidR="00871D57" w:rsidRPr="00F672DD">
        <w:t>дилась лишь к удовлетворению соответствующих ходатайств. В результате чи</w:t>
      </w:r>
      <w:r w:rsidR="00871D57" w:rsidRPr="00F672DD">
        <w:t>с</w:t>
      </w:r>
      <w:r w:rsidR="00871D57" w:rsidRPr="00F672DD">
        <w:t>ло админис</w:t>
      </w:r>
      <w:r w:rsidR="00871D57" w:rsidRPr="00F672DD">
        <w:t>т</w:t>
      </w:r>
      <w:r w:rsidR="00871D57" w:rsidRPr="00F672DD">
        <w:t>ративных единиц, где обеспечена защита языков национальных меньшинств, увеличилось с 7</w:t>
      </w:r>
      <w:r>
        <w:t xml:space="preserve"> </w:t>
      </w:r>
      <w:r w:rsidR="00871D57" w:rsidRPr="00F672DD">
        <w:t>муниципалитетов и 1</w:t>
      </w:r>
      <w:r>
        <w:t xml:space="preserve"> </w:t>
      </w:r>
      <w:r w:rsidR="00871D57" w:rsidRPr="00F672DD">
        <w:t>округа в 2009</w:t>
      </w:r>
      <w:r>
        <w:t xml:space="preserve"> </w:t>
      </w:r>
      <w:r w:rsidR="00871D57" w:rsidRPr="00F672DD">
        <w:t>году до 56</w:t>
      </w:r>
      <w:r>
        <w:t> </w:t>
      </w:r>
      <w:r w:rsidR="00871D57" w:rsidRPr="00F672DD">
        <w:t>муниципалитетов и 12</w:t>
      </w:r>
      <w:r>
        <w:t xml:space="preserve"> </w:t>
      </w:r>
      <w:r w:rsidR="00871D57" w:rsidRPr="00F672DD">
        <w:t>округов в 2012</w:t>
      </w:r>
      <w:r>
        <w:t xml:space="preserve"> </w:t>
      </w:r>
      <w:r w:rsidR="00871D57" w:rsidRPr="00F672DD">
        <w:t>году. Соответствующие муниципал</w:t>
      </w:r>
      <w:r w:rsidR="00871D57" w:rsidRPr="00F672DD">
        <w:t>и</w:t>
      </w:r>
      <w:r w:rsidR="00871D57" w:rsidRPr="00F672DD">
        <w:t>теты и округа имеют право претендовать на адресные государственные субс</w:t>
      </w:r>
      <w:r w:rsidR="00871D57" w:rsidRPr="00F672DD">
        <w:t>и</w:t>
      </w:r>
      <w:r w:rsidR="00871D57" w:rsidRPr="00F672DD">
        <w:t>дии для покрытия дополнительных расходов, связанных с защитой яз</w:t>
      </w:r>
      <w:r w:rsidR="00871D57" w:rsidRPr="00F672DD">
        <w:t>ы</w:t>
      </w:r>
      <w:r w:rsidR="00871D57" w:rsidRPr="00F672DD">
        <w:t>ков меньшинств и другими мерами, направленными на сохранение этих языков. В</w:t>
      </w:r>
      <w:r>
        <w:t> </w:t>
      </w:r>
      <w:r w:rsidR="00871D57" w:rsidRPr="00F672DD">
        <w:t>2012</w:t>
      </w:r>
      <w:r w:rsidRPr="000557E5">
        <w:t xml:space="preserve"> </w:t>
      </w:r>
      <w:r w:rsidR="00871D57" w:rsidRPr="00F672DD">
        <w:t>году на эти цели выделяется свыше 62</w:t>
      </w:r>
      <w:r>
        <w:t xml:space="preserve"> </w:t>
      </w:r>
      <w:r w:rsidR="00871D57" w:rsidRPr="00F672DD">
        <w:t>млн. шведских крон. Часть этих средств пойдет на цели расширения консультаций между саамами, торнедал</w:t>
      </w:r>
      <w:r w:rsidR="00871D57" w:rsidRPr="00F672DD">
        <w:t>ь</w:t>
      </w:r>
      <w:r w:rsidR="00871D57" w:rsidRPr="00F672DD">
        <w:t xml:space="preserve">скими финнами и шведскими финнами в административно-территориальных единицах. </w:t>
      </w:r>
    </w:p>
    <w:p w:rsidR="00871D57" w:rsidRPr="00F672DD" w:rsidRDefault="000557E5" w:rsidP="00871D57">
      <w:pPr>
        <w:pStyle w:val="SingleTxtGR"/>
      </w:pPr>
      <w:r>
        <w:t>76.</w:t>
      </w:r>
      <w:r>
        <w:tab/>
      </w:r>
      <w:r w:rsidR="00871D57" w:rsidRPr="00F672DD">
        <w:t>Благодаря проводимой реформе цели политики Швеции в отношении н</w:t>
      </w:r>
      <w:r w:rsidR="00871D57" w:rsidRPr="00F672DD">
        <w:t>а</w:t>
      </w:r>
      <w:r w:rsidR="00871D57" w:rsidRPr="00F672DD">
        <w:t>циональных меньшинств приобрели гораздо более амбициозный характер. Со</w:t>
      </w:r>
      <w:r w:rsidR="00871D57" w:rsidRPr="00F672DD">
        <w:t>з</w:t>
      </w:r>
      <w:r w:rsidR="00871D57" w:rsidRPr="00F672DD">
        <w:t>дан и в настоящее время вводится в действие механизм, призванный облегчить до</w:t>
      </w:r>
      <w:r w:rsidR="00871D57" w:rsidRPr="00F672DD">
        <w:t>с</w:t>
      </w:r>
      <w:r w:rsidR="00871D57" w:rsidRPr="00F672DD">
        <w:t>тижение этих целей. Одной из важных задач реформы является дальнейшее расширение прав и возможностей народа саами и других национальных мен</w:t>
      </w:r>
      <w:r w:rsidR="00871D57" w:rsidRPr="00F672DD">
        <w:t>ь</w:t>
      </w:r>
      <w:r w:rsidR="00871D57" w:rsidRPr="00F672DD">
        <w:t>шинств и обеспечение более благоприятных условий для сохранения и возро</w:t>
      </w:r>
      <w:r w:rsidR="00871D57" w:rsidRPr="00F672DD">
        <w:t>ж</w:t>
      </w:r>
      <w:r w:rsidR="00871D57" w:rsidRPr="00F672DD">
        <w:t xml:space="preserve">дения их языков и культуры. </w:t>
      </w:r>
    </w:p>
    <w:p w:rsidR="00871D57" w:rsidRPr="00C2200B" w:rsidRDefault="00871D57" w:rsidP="00C2200B">
      <w:pPr>
        <w:pStyle w:val="H23GR"/>
      </w:pPr>
      <w:r w:rsidRPr="00C2200B">
        <w:tab/>
        <w:t>3.</w:t>
      </w:r>
      <w:r w:rsidRPr="00C2200B">
        <w:tab/>
        <w:t>Цыгане (с учетом пункта</w:t>
      </w:r>
      <w:r w:rsidR="000557E5">
        <w:t xml:space="preserve"> </w:t>
      </w:r>
      <w:r w:rsidRPr="00C2200B">
        <w:t>18 рекомендаций Комитета)</w:t>
      </w:r>
    </w:p>
    <w:p w:rsidR="00871D57" w:rsidRPr="00C2200B" w:rsidRDefault="00871D57" w:rsidP="00C2200B">
      <w:pPr>
        <w:pStyle w:val="H23GR"/>
      </w:pPr>
      <w:r w:rsidRPr="00C2200B">
        <w:tab/>
        <w:t>a)</w:t>
      </w:r>
      <w:r w:rsidRPr="00C2200B">
        <w:tab/>
        <w:t>Комиссия по делам цыган</w:t>
      </w:r>
    </w:p>
    <w:p w:rsidR="00871D57" w:rsidRPr="00F672DD" w:rsidRDefault="000557E5" w:rsidP="00871D57">
      <w:pPr>
        <w:pStyle w:val="SingleTxtGR"/>
      </w:pPr>
      <w:r>
        <w:t>77.</w:t>
      </w:r>
      <w:r>
        <w:tab/>
      </w:r>
      <w:r w:rsidR="00871D57" w:rsidRPr="00F672DD">
        <w:t>В 2006</w:t>
      </w:r>
      <w:r w:rsidRPr="000557E5">
        <w:t xml:space="preserve"> </w:t>
      </w:r>
      <w:r w:rsidR="00871D57" w:rsidRPr="00F672DD">
        <w:t>году правительство учредило специальный орган</w:t>
      </w:r>
      <w:r w:rsidRPr="000557E5">
        <w:t xml:space="preserve"> </w:t>
      </w:r>
      <w:r w:rsidR="00871D57" w:rsidRPr="00F672DD">
        <w:t>– Комиссию по делам цыган. В задачу Комиссии входят прежде всего сбор, обобщение и анализ информации о положении цыган и ее публикация. В рамках этой задачи Коми</w:t>
      </w:r>
      <w:r w:rsidR="00871D57" w:rsidRPr="00F672DD">
        <w:t>с</w:t>
      </w:r>
      <w:r w:rsidR="00871D57" w:rsidRPr="00F672DD">
        <w:t>сия провела ряд исследований, которые касались образования цыганских детей, положения цыганской молодежи, отношения к цыганам и осведомленности о</w:t>
      </w:r>
      <w:r w:rsidR="00871D57" w:rsidRPr="00F672DD">
        <w:t>б</w:t>
      </w:r>
      <w:r w:rsidR="00871D57" w:rsidRPr="00F672DD">
        <w:t>щественности о цыганах. Ее выводы были представлены в опубликованном в июле 2010</w:t>
      </w:r>
      <w:r>
        <w:t xml:space="preserve"> </w:t>
      </w:r>
      <w:r w:rsidR="00871D57" w:rsidRPr="00F672DD">
        <w:t>года докладе под названием "Записки о цыганах: стратегия в отн</w:t>
      </w:r>
      <w:r w:rsidR="00871D57" w:rsidRPr="00F672DD">
        <w:t>о</w:t>
      </w:r>
      <w:r w:rsidR="00871D57" w:rsidRPr="00F672DD">
        <w:t>шении цыган в Швеции" (</w:t>
      </w:r>
      <w:r w:rsidR="00871D57" w:rsidRPr="00F672DD">
        <w:rPr>
          <w:lang w:val="en-GB"/>
        </w:rPr>
        <w:t>SOU</w:t>
      </w:r>
      <w:r>
        <w:t xml:space="preserve"> </w:t>
      </w:r>
      <w:r w:rsidR="00871D57" w:rsidRPr="00F672DD">
        <w:t>2010:55). Этот доклад послужил основой для новой, рассчитанной на двадцать лет стратегии интеграции цыган, о которой говорится в пун</w:t>
      </w:r>
      <w:r w:rsidR="00871D57" w:rsidRPr="00F672DD">
        <w:t>к</w:t>
      </w:r>
      <w:r w:rsidR="00871D57" w:rsidRPr="00F672DD">
        <w:t>тах</w:t>
      </w:r>
      <w:r w:rsidRPr="000557E5">
        <w:t xml:space="preserve"> </w:t>
      </w:r>
      <w:r w:rsidR="00871D57" w:rsidRPr="00F672DD">
        <w:t>78–81 ниже.</w:t>
      </w:r>
    </w:p>
    <w:p w:rsidR="00871D57" w:rsidRPr="00C2200B" w:rsidRDefault="00871D57" w:rsidP="00C2200B">
      <w:pPr>
        <w:pStyle w:val="H23GR"/>
      </w:pPr>
      <w:r w:rsidRPr="00C2200B">
        <w:tab/>
        <w:t>b)</w:t>
      </w:r>
      <w:r w:rsidRPr="00C2200B">
        <w:tab/>
        <w:t>Стратегия интеграции цыган</w:t>
      </w:r>
    </w:p>
    <w:p w:rsidR="00871D57" w:rsidRPr="00F672DD" w:rsidRDefault="000557E5" w:rsidP="00871D57">
      <w:pPr>
        <w:pStyle w:val="SingleTxtGR"/>
      </w:pPr>
      <w:r>
        <w:t>78.</w:t>
      </w:r>
      <w:r>
        <w:tab/>
      </w:r>
      <w:r w:rsidR="00871D57" w:rsidRPr="00F672DD">
        <w:t>В феврале 2012</w:t>
      </w:r>
      <w:r w:rsidRPr="000557E5">
        <w:t xml:space="preserve"> </w:t>
      </w:r>
      <w:r w:rsidR="00871D57" w:rsidRPr="00F672DD">
        <w:t>года правительство представило документ, озаглавленный "Скоординированная долгосрочная стр</w:t>
      </w:r>
      <w:r w:rsidR="00FD2A0E">
        <w:t>атегия интеграции цыган на 2012−</w:t>
      </w:r>
      <w:r w:rsidR="00871D57" w:rsidRPr="00F672DD">
        <w:t>2032</w:t>
      </w:r>
      <w:r w:rsidR="00FD2A0E">
        <w:t> </w:t>
      </w:r>
      <w:r w:rsidR="00871D57" w:rsidRPr="00F672DD">
        <w:t>годы" (</w:t>
      </w:r>
      <w:r w:rsidR="00871D57" w:rsidRPr="00F672DD">
        <w:rPr>
          <w:lang w:val="en-GB"/>
        </w:rPr>
        <w:t>skr</w:t>
      </w:r>
      <w:r w:rsidR="00871D57" w:rsidRPr="00F672DD">
        <w:t xml:space="preserve"> 2011/12:56). Общая цель этой рассчитанной на двадцать лет стратегии состоит в обеспечении условий для того, чтобы каждый цыган, которому в 2032</w:t>
      </w:r>
      <w:r>
        <w:t xml:space="preserve"> </w:t>
      </w:r>
      <w:r w:rsidR="00871D57" w:rsidRPr="00F672DD">
        <w:t>году исполнится двадцать лет, имел те же возможности в жи</w:t>
      </w:r>
      <w:r w:rsidR="00871D57" w:rsidRPr="00F672DD">
        <w:t>з</w:t>
      </w:r>
      <w:r w:rsidR="00871D57" w:rsidRPr="00F672DD">
        <w:t>ни, что и любой другой житель Швеции. Права цыган, которым в этот год и</w:t>
      </w:r>
      <w:r w:rsidR="00871D57" w:rsidRPr="00F672DD">
        <w:t>с</w:t>
      </w:r>
      <w:r w:rsidR="00871D57" w:rsidRPr="00F672DD">
        <w:t>полнится дв</w:t>
      </w:r>
      <w:r w:rsidR="00871D57" w:rsidRPr="00F672DD">
        <w:t>а</w:t>
      </w:r>
      <w:r w:rsidR="00871D57" w:rsidRPr="00F672DD">
        <w:t>дцать лет, должны быть обеспечены в той же степени, что и права двадцатиле</w:t>
      </w:r>
      <w:r w:rsidR="00871D57" w:rsidRPr="00F672DD">
        <w:t>т</w:t>
      </w:r>
      <w:r w:rsidR="00871D57" w:rsidRPr="00F672DD">
        <w:t xml:space="preserve">них представителей остального населения. </w:t>
      </w:r>
    </w:p>
    <w:p w:rsidR="00871D57" w:rsidRPr="00F672DD" w:rsidRDefault="000557E5" w:rsidP="00871D57">
      <w:pPr>
        <w:pStyle w:val="SingleTxtGR"/>
      </w:pPr>
      <w:r>
        <w:t>79.</w:t>
      </w:r>
      <w:r>
        <w:tab/>
      </w:r>
      <w:r w:rsidR="00871D57" w:rsidRPr="00F672DD">
        <w:t>Стратегия ориентирована прежде всего на цыган, живущих в условиях социальной и экономической изоляции и подвергающихся дискриминации. Объектом особого внимания являются женщины и дети. Стратегия основана на правозащитном подходе с уделением особого внимания соблюдению принципа недискриминации. На цели ее осуществления в период 2012–2015</w:t>
      </w:r>
      <w:r>
        <w:t xml:space="preserve"> </w:t>
      </w:r>
      <w:r w:rsidR="00871D57" w:rsidRPr="00F672DD">
        <w:t>годов прав</w:t>
      </w:r>
      <w:r w:rsidR="00871D57" w:rsidRPr="00F672DD">
        <w:t>и</w:t>
      </w:r>
      <w:r w:rsidR="00871D57" w:rsidRPr="00F672DD">
        <w:t>тельством выделено 46</w:t>
      </w:r>
      <w:r>
        <w:t xml:space="preserve"> </w:t>
      </w:r>
      <w:r w:rsidR="00871D57" w:rsidRPr="00F672DD">
        <w:t xml:space="preserve">млн. шведских крон. </w:t>
      </w:r>
    </w:p>
    <w:p w:rsidR="00871D57" w:rsidRPr="00F672DD" w:rsidRDefault="000557E5" w:rsidP="00871D57">
      <w:pPr>
        <w:pStyle w:val="SingleTxtGR"/>
      </w:pPr>
      <w:r>
        <w:t>80.</w:t>
      </w:r>
      <w:r>
        <w:tab/>
      </w:r>
      <w:r w:rsidR="00871D57" w:rsidRPr="00F672DD">
        <w:t>Стратегия определяет цели и меры в следующих шести областях: образ</w:t>
      </w:r>
      <w:r w:rsidR="00871D57" w:rsidRPr="00F672DD">
        <w:t>о</w:t>
      </w:r>
      <w:r w:rsidR="00871D57" w:rsidRPr="00F672DD">
        <w:t>вание, занятость, обеспечение жильем, здравоохранение, социальное обеспеч</w:t>
      </w:r>
      <w:r w:rsidR="00871D57" w:rsidRPr="00F672DD">
        <w:t>е</w:t>
      </w:r>
      <w:r w:rsidR="00871D57" w:rsidRPr="00F672DD">
        <w:t>ние и социальное страхование, язык и культура и организация гражданского общества. Контроль за реализацией целей в этих областях будет осуществлят</w:t>
      </w:r>
      <w:r w:rsidR="00871D57" w:rsidRPr="00F672DD">
        <w:t>ь</w:t>
      </w:r>
      <w:r w:rsidR="00871D57" w:rsidRPr="00F672DD">
        <w:t xml:space="preserve">ся на постоянной основе. </w:t>
      </w:r>
    </w:p>
    <w:p w:rsidR="00871D57" w:rsidRPr="00F672DD" w:rsidRDefault="000557E5" w:rsidP="00871D57">
      <w:pPr>
        <w:pStyle w:val="SingleTxtGR"/>
      </w:pPr>
      <w:r>
        <w:t>81.</w:t>
      </w:r>
      <w:r>
        <w:tab/>
      </w:r>
      <w:r w:rsidR="00871D57" w:rsidRPr="00F672DD">
        <w:t>Об эффективности стратегии можно будет судить по степени участия ц</w:t>
      </w:r>
      <w:r w:rsidR="00871D57" w:rsidRPr="00F672DD">
        <w:t>ы</w:t>
      </w:r>
      <w:r w:rsidR="00871D57" w:rsidRPr="00F672DD">
        <w:t>ган в жизни общества и их способности влиять на различные происходящие в нем события и процессы. В целях придания дополнительного импульса работе в данной области правительство приступает к осуществлению в ряде муниц</w:t>
      </w:r>
      <w:r w:rsidR="00871D57" w:rsidRPr="00F672DD">
        <w:t>и</w:t>
      </w:r>
      <w:r w:rsidR="00871D57" w:rsidRPr="00F672DD">
        <w:t>пальных образований специального пилотного проекта, участие в котором б</w:t>
      </w:r>
      <w:r w:rsidR="00871D57" w:rsidRPr="00F672DD">
        <w:t>у</w:t>
      </w:r>
      <w:r w:rsidR="00871D57" w:rsidRPr="00F672DD">
        <w:t>дут принимать и окружные советы. Этот проект предусматривает подготовку "специалистов по наведению мостов", обкатку механизма просвещения в обла</w:t>
      </w:r>
      <w:r w:rsidR="00871D57" w:rsidRPr="00F672DD">
        <w:t>с</w:t>
      </w:r>
      <w:r w:rsidR="00871D57" w:rsidRPr="00F672DD">
        <w:t>ти охраны здоровья и распространение информации о мерах поддержки уч</w:t>
      </w:r>
      <w:r w:rsidR="00871D57" w:rsidRPr="00F672DD">
        <w:t>а</w:t>
      </w:r>
      <w:r w:rsidR="00871D57" w:rsidRPr="00F672DD">
        <w:t xml:space="preserve">щихся школ из числа цыган. </w:t>
      </w:r>
    </w:p>
    <w:p w:rsidR="00871D57" w:rsidRPr="00C2200B" w:rsidRDefault="00871D57" w:rsidP="00C2200B">
      <w:pPr>
        <w:pStyle w:val="H23GR"/>
      </w:pPr>
      <w:r w:rsidRPr="00C2200B">
        <w:tab/>
        <w:t>c)</w:t>
      </w:r>
      <w:r w:rsidRPr="00C2200B">
        <w:tab/>
        <w:t>Образование цыган</w:t>
      </w:r>
    </w:p>
    <w:p w:rsidR="00871D57" w:rsidRPr="00F672DD" w:rsidRDefault="000557E5" w:rsidP="00871D57">
      <w:pPr>
        <w:pStyle w:val="SingleTxtGR"/>
      </w:pPr>
      <w:r>
        <w:t>82.</w:t>
      </w:r>
      <w:r>
        <w:tab/>
      </w:r>
      <w:r w:rsidR="00871D57" w:rsidRPr="00F672DD">
        <w:t>С принятием нового Закона об образовании нормативные положения, к</w:t>
      </w:r>
      <w:r w:rsidR="00871D57" w:rsidRPr="00F672DD">
        <w:t>а</w:t>
      </w:r>
      <w:r w:rsidR="00871D57" w:rsidRPr="00F672DD">
        <w:t>сающиеся обучения на родном языке в школах, охваченных системой обяз</w:t>
      </w:r>
      <w:r w:rsidR="00871D57" w:rsidRPr="00F672DD">
        <w:t>а</w:t>
      </w:r>
      <w:r w:rsidR="00871D57" w:rsidRPr="00F672DD">
        <w:t>тельного образования, и в средних школах второй ступени, приобрели силу з</w:t>
      </w:r>
      <w:r w:rsidR="00871D57" w:rsidRPr="00F672DD">
        <w:t>а</w:t>
      </w:r>
      <w:r w:rsidR="00871D57" w:rsidRPr="00F672DD">
        <w:t>кона. Цыганский язык "чиб" отнесен к числу языков национальных мен</w:t>
      </w:r>
      <w:r w:rsidR="00871D57" w:rsidRPr="00F672DD">
        <w:t>ь</w:t>
      </w:r>
      <w:r w:rsidR="00871D57" w:rsidRPr="00F672DD">
        <w:t>шинств, и вл</w:t>
      </w:r>
      <w:r w:rsidR="00871D57" w:rsidRPr="00F672DD">
        <w:t>а</w:t>
      </w:r>
      <w:r w:rsidR="00871D57" w:rsidRPr="00F672DD">
        <w:t>деющие им учащиеся имеют полное право на обучение на нем как на родном языке. То есть, чтобы обучаться на цыганском языке, учащиеся не обязательно должны постоянно говорить на нем дома. Кроме того, для реализ</w:t>
      </w:r>
      <w:r w:rsidR="00871D57" w:rsidRPr="00F672DD">
        <w:t>а</w:t>
      </w:r>
      <w:r w:rsidR="00871D57" w:rsidRPr="00F672DD">
        <w:t xml:space="preserve">ции права на обучение на родном языке число учащихся, желающих обучаться на нем, не обязательно должно составлять не менее пяти человек. </w:t>
      </w:r>
    </w:p>
    <w:p w:rsidR="00871D57" w:rsidRPr="00F672DD" w:rsidRDefault="000557E5" w:rsidP="00871D57">
      <w:pPr>
        <w:pStyle w:val="SingleTxtGR"/>
      </w:pPr>
      <w:r>
        <w:t>83.</w:t>
      </w:r>
      <w:r>
        <w:tab/>
      </w:r>
      <w:r w:rsidR="00871D57" w:rsidRPr="00F672DD">
        <w:t>Планируется также осуществление ряда инициатив на национальном уровне, включая подготовку и выпуск учебников и других учебных материалов на всех диалектах цыганского языка для детей, подростков и взрослых, созд</w:t>
      </w:r>
      <w:r w:rsidR="00871D57" w:rsidRPr="00F672DD">
        <w:t>а</w:t>
      </w:r>
      <w:r w:rsidR="00871D57" w:rsidRPr="00F672DD">
        <w:t>ние системы консультирования по телефону цыганских девочек и женщин по вопросам сексуального и репродуктивного здоровья и принятие мер, напра</w:t>
      </w:r>
      <w:r w:rsidR="00871D57" w:rsidRPr="00F672DD">
        <w:t>в</w:t>
      </w:r>
      <w:r w:rsidR="00871D57" w:rsidRPr="00F672DD">
        <w:t>ленных на повышение информированности в вопросах гендерного раве</w:t>
      </w:r>
      <w:r w:rsidR="00871D57" w:rsidRPr="00F672DD">
        <w:t>н</w:t>
      </w:r>
      <w:r w:rsidR="00871D57" w:rsidRPr="00F672DD">
        <w:t>ства.</w:t>
      </w:r>
    </w:p>
    <w:p w:rsidR="00871D57" w:rsidRPr="00F672DD" w:rsidRDefault="000557E5" w:rsidP="00871D57">
      <w:pPr>
        <w:pStyle w:val="SingleTxtGR"/>
      </w:pPr>
      <w:r>
        <w:t>84.</w:t>
      </w:r>
      <w:r>
        <w:tab/>
      </w:r>
      <w:r w:rsidR="00871D57" w:rsidRPr="00F672DD">
        <w:t>В апреле 2012</w:t>
      </w:r>
      <w:r w:rsidRPr="000557E5">
        <w:t xml:space="preserve"> </w:t>
      </w:r>
      <w:r w:rsidR="00871D57" w:rsidRPr="00F672DD">
        <w:t>года Национальному агентству по вопросам образования было поручено подключиться к осуществлению пилотного проекта по вовлеч</w:t>
      </w:r>
      <w:r w:rsidR="00871D57" w:rsidRPr="00F672DD">
        <w:t>е</w:t>
      </w:r>
      <w:r w:rsidR="00871D57" w:rsidRPr="00F672DD">
        <w:t>нию цыган в жизнь общества, рассчитанного на 2012–2015</w:t>
      </w:r>
      <w:r w:rsidRPr="000557E5">
        <w:t xml:space="preserve"> </w:t>
      </w:r>
      <w:r w:rsidR="00871D57" w:rsidRPr="00F672DD">
        <w:t>годы; выяснить, как обстоят дела с дошкольным и школьным образованием цыганских детей, и в ч</w:t>
      </w:r>
      <w:r w:rsidR="00871D57" w:rsidRPr="00F672DD">
        <w:t>а</w:t>
      </w:r>
      <w:r w:rsidR="00871D57" w:rsidRPr="00F672DD">
        <w:t>стности с посещением ими школ, охваченных системой обязательного образ</w:t>
      </w:r>
      <w:r w:rsidR="00871D57" w:rsidRPr="00F672DD">
        <w:t>о</w:t>
      </w:r>
      <w:r w:rsidR="00871D57" w:rsidRPr="00F672DD">
        <w:t>вания, и средних школ второй ступени в муниципальных образованиях, учас</w:t>
      </w:r>
      <w:r w:rsidR="00871D57" w:rsidRPr="00F672DD">
        <w:t>т</w:t>
      </w:r>
      <w:r w:rsidR="00871D57" w:rsidRPr="00F672DD">
        <w:t>вующих в осуществлении проекта; подготовить в период 2012–2015</w:t>
      </w:r>
      <w:r>
        <w:t xml:space="preserve"> </w:t>
      </w:r>
      <w:r w:rsidR="00871D57" w:rsidRPr="00F672DD">
        <w:t>годов пр</w:t>
      </w:r>
      <w:r w:rsidR="00871D57" w:rsidRPr="00F672DD">
        <w:t>и</w:t>
      </w:r>
      <w:r w:rsidR="00871D57" w:rsidRPr="00F672DD">
        <w:t>мерно 20</w:t>
      </w:r>
      <w:r>
        <w:t xml:space="preserve"> </w:t>
      </w:r>
      <w:r w:rsidR="00871D57" w:rsidRPr="00F672DD">
        <w:t>"специалистов по наведению мостов" для работы в дошкольных у</w:t>
      </w:r>
      <w:r w:rsidR="00871D57" w:rsidRPr="00F672DD">
        <w:t>ч</w:t>
      </w:r>
      <w:r w:rsidR="00871D57" w:rsidRPr="00F672DD">
        <w:t>реждениях и школах, входящих в систему обязательного образования, в этих муниципальных образованиях в целях улучшения ситуации с образованием ц</w:t>
      </w:r>
      <w:r w:rsidR="00871D57" w:rsidRPr="00F672DD">
        <w:t>ы</w:t>
      </w:r>
      <w:r w:rsidR="00871D57" w:rsidRPr="00F672DD">
        <w:t>ган; содействовать подготовке и выпуску учебников и других учебных матери</w:t>
      </w:r>
      <w:r w:rsidR="00871D57" w:rsidRPr="00F672DD">
        <w:t>а</w:t>
      </w:r>
      <w:r w:rsidR="00871D57" w:rsidRPr="00F672DD">
        <w:t>лов на всех диалектах цыганского языка для детей, подростков и взрослых; и обеспечить распространение среди образовательных учреждений и их руков</w:t>
      </w:r>
      <w:r w:rsidR="00871D57" w:rsidRPr="00F672DD">
        <w:t>о</w:t>
      </w:r>
      <w:r w:rsidR="00871D57" w:rsidRPr="00F672DD">
        <w:t>дителей информации о национальных меньшинствах и их правах.</w:t>
      </w:r>
    </w:p>
    <w:p w:rsidR="00871D57" w:rsidRPr="00F672DD" w:rsidRDefault="000557E5" w:rsidP="00871D57">
      <w:pPr>
        <w:pStyle w:val="SingleTxtGR"/>
      </w:pPr>
      <w:r>
        <w:t>85.</w:t>
      </w:r>
      <w:r>
        <w:tab/>
      </w:r>
      <w:r w:rsidR="00871D57" w:rsidRPr="00F672DD">
        <w:t>Кроме того, правительство потребовало, чтобы шведская Инспекция по делам школ провела исследование с целью выяснить, в какой степени школы в муниципальных образованиях, участвующих в пилотном проекте, соблюдают требования Закона об образовании в части посещаемости, платы за обучение и оказания специальной помощи учащимся, которые в ней нуждаются, и чтобы для школ, входящих в систему обязательного образования, были разработаны учебные материалы, касающиеся национальных меньшинств, заявив при этом о своем намерении вернуться к вопросу о том, каким образом Швеция могла бы обеспечить эффективное выполнение своих обязательств по конвенциям Совета Европы, касающимся меньшинств, в части обеспечения доступа к преподават</w:t>
      </w:r>
      <w:r w:rsidR="00871D57" w:rsidRPr="00F672DD">
        <w:t>е</w:t>
      </w:r>
      <w:r w:rsidR="00871D57" w:rsidRPr="00F672DD">
        <w:t>лям, способным осуществлять обучение учащихся, принадлежащих к наци</w:t>
      </w:r>
      <w:r w:rsidR="00871D57" w:rsidRPr="00F672DD">
        <w:t>о</w:t>
      </w:r>
      <w:r w:rsidR="00871D57" w:rsidRPr="00F672DD">
        <w:t>нальным меньшинствам, языкам и на языках этих меньшинств.</w:t>
      </w:r>
    </w:p>
    <w:p w:rsidR="00871D57" w:rsidRPr="00F672DD" w:rsidRDefault="000557E5" w:rsidP="00871D57">
      <w:pPr>
        <w:pStyle w:val="SingleTxtGR"/>
      </w:pPr>
      <w:r>
        <w:t>86.</w:t>
      </w:r>
      <w:r>
        <w:tab/>
      </w:r>
      <w:r w:rsidR="00871D57" w:rsidRPr="00F672DD">
        <w:t>В 2011</w:t>
      </w:r>
      <w:r w:rsidRPr="000557E5">
        <w:t xml:space="preserve"> </w:t>
      </w:r>
      <w:r w:rsidR="00871D57" w:rsidRPr="00F672DD">
        <w:t>году шведской Инспекции по делам школ было поручено также изучить вопрос о том, как обстоят дела с представлением компетентными орг</w:t>
      </w:r>
      <w:r w:rsidR="00871D57" w:rsidRPr="00F672DD">
        <w:t>а</w:t>
      </w:r>
      <w:r w:rsidR="00871D57" w:rsidRPr="00F672DD">
        <w:t>нами информации о реализации права учащихся из числа меньшинств на об</w:t>
      </w:r>
      <w:r w:rsidR="00871D57" w:rsidRPr="00F672DD">
        <w:t>у</w:t>
      </w:r>
      <w:r w:rsidR="00871D57" w:rsidRPr="00F672DD">
        <w:t>чение на родном языке в соответствии с Законом об образовании (2010:800), Положением об обязательном школьном образ</w:t>
      </w:r>
      <w:r w:rsidR="00871D57" w:rsidRPr="00F672DD">
        <w:t>о</w:t>
      </w:r>
      <w:r w:rsidR="00871D57" w:rsidRPr="00F672DD">
        <w:t>вании (2011:185), Положением о средних школах второй ступени (2010:2039), Европейской хартией регионал</w:t>
      </w:r>
      <w:r w:rsidR="00871D57" w:rsidRPr="00F672DD">
        <w:t>ь</w:t>
      </w:r>
      <w:r w:rsidR="00871D57" w:rsidRPr="00F672DD">
        <w:t>ных языков и языков меньшинств и Рамочной конвенцией Совета Европы о з</w:t>
      </w:r>
      <w:r w:rsidR="00871D57" w:rsidRPr="00F672DD">
        <w:t>а</w:t>
      </w:r>
      <w:r w:rsidR="00871D57" w:rsidRPr="00F672DD">
        <w:t>щите языков национальных меньшинств и в какой степени эти органы выпо</w:t>
      </w:r>
      <w:r w:rsidR="00871D57" w:rsidRPr="00F672DD">
        <w:t>л</w:t>
      </w:r>
      <w:r w:rsidR="00871D57" w:rsidRPr="00F672DD">
        <w:t>няют свои об</w:t>
      </w:r>
      <w:r w:rsidR="00871D57" w:rsidRPr="00F672DD">
        <w:t>я</w:t>
      </w:r>
      <w:r w:rsidR="00871D57" w:rsidRPr="00F672DD">
        <w:t>занности в этой связи. Доклад, подготовленный в соответствии с этим поруч</w:t>
      </w:r>
      <w:r w:rsidR="00871D57" w:rsidRPr="00F672DD">
        <w:t>е</w:t>
      </w:r>
      <w:r w:rsidR="00871D57" w:rsidRPr="00F672DD">
        <w:t>нием, в настоящее время находится на рассмотрении Министерства образов</w:t>
      </w:r>
      <w:r w:rsidR="00871D57" w:rsidRPr="00F672DD">
        <w:t>а</w:t>
      </w:r>
      <w:r w:rsidR="00871D57" w:rsidRPr="00F672DD">
        <w:t xml:space="preserve">ния. </w:t>
      </w:r>
    </w:p>
    <w:p w:rsidR="00871D57" w:rsidRPr="00F672DD" w:rsidRDefault="000557E5" w:rsidP="00871D57">
      <w:pPr>
        <w:pStyle w:val="SingleTxtGR"/>
      </w:pPr>
      <w:r>
        <w:t>87.</w:t>
      </w:r>
      <w:r>
        <w:tab/>
      </w:r>
      <w:r w:rsidR="00871D57" w:rsidRPr="00F672DD">
        <w:t>Что касается набора преподавателей, что с 2007 года правительством был принят ряд мер по расширению обучения на языках национальных меньшинств. В целях придания дополнительного импульс</w:t>
      </w:r>
      <w:r w:rsidR="00FD2A0E">
        <w:t>а усилиям в этой области в 2010 </w:t>
      </w:r>
      <w:r w:rsidR="00871D57" w:rsidRPr="00F672DD">
        <w:t>году Национальному агентству по вопросам высшего образования было поручено подготовить и представить предложения относительно путей и спос</w:t>
      </w:r>
      <w:r w:rsidR="00871D57" w:rsidRPr="00F672DD">
        <w:t>о</w:t>
      </w:r>
      <w:r w:rsidR="00871D57" w:rsidRPr="00F672DD">
        <w:t>бов увеличения контингента преподавателей, способных не только обучать яз</w:t>
      </w:r>
      <w:r w:rsidR="00871D57" w:rsidRPr="00F672DD">
        <w:t>ы</w:t>
      </w:r>
      <w:r w:rsidR="00871D57" w:rsidRPr="00F672DD">
        <w:t>кам национальных меньшинств, но и преподавать на этих языках другие дисц</w:t>
      </w:r>
      <w:r w:rsidR="00871D57" w:rsidRPr="00F672DD">
        <w:t>и</w:t>
      </w:r>
      <w:r w:rsidR="00871D57" w:rsidRPr="00F672DD">
        <w:t>плины, а также, при необходимости, предложения, касающиеся внесения изм</w:t>
      </w:r>
      <w:r w:rsidR="00871D57" w:rsidRPr="00F672DD">
        <w:t>е</w:t>
      </w:r>
      <w:r w:rsidR="00871D57" w:rsidRPr="00F672DD">
        <w:t xml:space="preserve">нений в нынешнюю систему распределения обязанностей. </w:t>
      </w:r>
    </w:p>
    <w:p w:rsidR="00871D57" w:rsidRPr="00F672DD" w:rsidRDefault="000557E5" w:rsidP="00871D57">
      <w:pPr>
        <w:pStyle w:val="SingleTxtGR"/>
      </w:pPr>
      <w:r>
        <w:t>88.</w:t>
      </w:r>
      <w:r>
        <w:tab/>
      </w:r>
      <w:r w:rsidR="00871D57" w:rsidRPr="00F672DD">
        <w:t>Кроме того, правительство сформировало комиссию для изучения пол</w:t>
      </w:r>
      <w:r w:rsidR="00871D57" w:rsidRPr="00F672DD">
        <w:t>о</w:t>
      </w:r>
      <w:r w:rsidR="00871D57" w:rsidRPr="00F672DD">
        <w:t>жения дел в сфере базового образования для взрослых на муниципальном уро</w:t>
      </w:r>
      <w:r w:rsidR="00871D57" w:rsidRPr="00F672DD">
        <w:t>в</w:t>
      </w:r>
      <w:r w:rsidR="00871D57" w:rsidRPr="00F672DD">
        <w:t>не, и в частности для оценки того, в какой степени система такого образования учитывает потребности и условия жизни цыган (</w:t>
      </w:r>
      <w:r w:rsidR="00871D57" w:rsidRPr="00F672DD">
        <w:rPr>
          <w:lang w:val="en-GB"/>
        </w:rPr>
        <w:t>SOU</w:t>
      </w:r>
      <w:r w:rsidR="00871D57" w:rsidRPr="00F672DD">
        <w:t xml:space="preserve"> 2010:55). Доклад коми</w:t>
      </w:r>
      <w:r w:rsidR="00871D57" w:rsidRPr="00F672DD">
        <w:t>с</w:t>
      </w:r>
      <w:r w:rsidR="00871D57" w:rsidRPr="00F672DD">
        <w:t xml:space="preserve">сии должен быть представлен не позднее апреля 2013 года. </w:t>
      </w:r>
    </w:p>
    <w:p w:rsidR="00871D57" w:rsidRPr="00C2200B" w:rsidRDefault="00871D57" w:rsidP="00C2200B">
      <w:pPr>
        <w:pStyle w:val="H23GR"/>
      </w:pPr>
      <w:r w:rsidRPr="00C2200B">
        <w:tab/>
        <w:t>d)</w:t>
      </w:r>
      <w:r w:rsidRPr="00C2200B">
        <w:tab/>
        <w:t>Белая книга</w:t>
      </w:r>
    </w:p>
    <w:p w:rsidR="00871D57" w:rsidRPr="00F672DD" w:rsidRDefault="00BB1906" w:rsidP="00871D57">
      <w:pPr>
        <w:pStyle w:val="SingleTxtGR"/>
      </w:pPr>
      <w:r>
        <w:t>89.</w:t>
      </w:r>
      <w:r>
        <w:tab/>
      </w:r>
      <w:r w:rsidR="00871D57" w:rsidRPr="00F672DD">
        <w:t>Правительство приступило к работе над Белой книгой о несправедливом обращении, нарушении прав и других дискриминационных действиях в отн</w:t>
      </w:r>
      <w:r w:rsidR="00871D57" w:rsidRPr="00F672DD">
        <w:t>о</w:t>
      </w:r>
      <w:r w:rsidR="00871D57" w:rsidRPr="00F672DD">
        <w:t>шении цыган в ХХ</w:t>
      </w:r>
      <w:r w:rsidR="000557E5">
        <w:t xml:space="preserve"> </w:t>
      </w:r>
      <w:r w:rsidR="00871D57" w:rsidRPr="00F672DD">
        <w:t>столетии. Цель этого документа состоит в официальном признании пострадавших лиц и их семей в качестве таковых и обеспечении лучшего понимания ситуации, в которой находится цыганское меньшинство в настоящее время, путем описания злоупотреблений, которым подвергаются ц</w:t>
      </w:r>
      <w:r w:rsidR="00871D57" w:rsidRPr="00F672DD">
        <w:t>ы</w:t>
      </w:r>
      <w:r w:rsidR="00871D57" w:rsidRPr="00F672DD">
        <w:t>гане, указания исторического контекста и демонстрации того, как в отношении цыган формируются стереотипы и предрассудки, как они передаются из пок</w:t>
      </w:r>
      <w:r w:rsidR="00871D57" w:rsidRPr="00F672DD">
        <w:t>о</w:t>
      </w:r>
      <w:r w:rsidR="00871D57" w:rsidRPr="00F672DD">
        <w:t>ления в поколение и какое влияние они оказывали на политику правительства в различные п</w:t>
      </w:r>
      <w:r w:rsidR="00871D57" w:rsidRPr="00F672DD">
        <w:t>е</w:t>
      </w:r>
      <w:r w:rsidR="00871D57" w:rsidRPr="00F672DD">
        <w:t>риоды времени.</w:t>
      </w:r>
    </w:p>
    <w:p w:rsidR="00871D57" w:rsidRPr="00C2200B" w:rsidRDefault="00871D57" w:rsidP="00C2200B">
      <w:pPr>
        <w:pStyle w:val="H23GR"/>
      </w:pPr>
      <w:r w:rsidRPr="00C2200B">
        <w:tab/>
        <w:t>e)</w:t>
      </w:r>
      <w:r w:rsidRPr="00C2200B">
        <w:tab/>
        <w:t>Деятельность Омбудсмена по вопросам равенства в интересах цыган</w:t>
      </w:r>
    </w:p>
    <w:p w:rsidR="00871D57" w:rsidRPr="00F672DD" w:rsidRDefault="00BB1906" w:rsidP="00871D57">
      <w:pPr>
        <w:pStyle w:val="SingleTxtGR"/>
      </w:pPr>
      <w:r>
        <w:t>90.</w:t>
      </w:r>
      <w:r>
        <w:tab/>
      </w:r>
      <w:r w:rsidR="00871D57" w:rsidRPr="00F672DD">
        <w:t>Омбудсмен по вопросам равенства продолжает начатую в 2002 году прежним Омбу</w:t>
      </w:r>
      <w:r w:rsidR="00871D57" w:rsidRPr="00F672DD">
        <w:t>д</w:t>
      </w:r>
      <w:r w:rsidR="00871D57" w:rsidRPr="00F672DD">
        <w:t>сменом по вопросам дискриминации по этническому признаку работу по систематическому поощрению прав цыган. Цель этой работы состоит в пов</w:t>
      </w:r>
      <w:r w:rsidR="00871D57" w:rsidRPr="00F672DD">
        <w:t>ы</w:t>
      </w:r>
      <w:r w:rsidR="00871D57" w:rsidRPr="00F672DD">
        <w:t>шении осведомленности цыган о механизмах защиты от дискриминации, а та</w:t>
      </w:r>
      <w:r w:rsidR="00871D57" w:rsidRPr="00F672DD">
        <w:t>к</w:t>
      </w:r>
      <w:r w:rsidR="00871D57" w:rsidRPr="00F672DD">
        <w:t>же в привлечении внимания государственных органов и общества в целом к данной проблеме. Одним из направлений такой работы явл</w:t>
      </w:r>
      <w:r w:rsidR="00871D57" w:rsidRPr="00F672DD">
        <w:t>я</w:t>
      </w:r>
      <w:r w:rsidR="00871D57" w:rsidRPr="00F672DD">
        <w:t>ется учебно-просветительская деятельность, направленная на ознакомление цыган с име</w:t>
      </w:r>
      <w:r w:rsidR="00871D57" w:rsidRPr="00F672DD">
        <w:t>ю</w:t>
      </w:r>
      <w:r w:rsidR="00871D57" w:rsidRPr="00F672DD">
        <w:t>щимися в их распоряжении средствами правовой защиты от дискриминации и, соответс</w:t>
      </w:r>
      <w:r w:rsidR="00871D57" w:rsidRPr="00F672DD">
        <w:t>т</w:t>
      </w:r>
      <w:r w:rsidR="00871D57" w:rsidRPr="00F672DD">
        <w:t xml:space="preserve">венно, повышение их шансов на успех в борьбе за свои права. </w:t>
      </w:r>
    </w:p>
    <w:p w:rsidR="00871D57" w:rsidRPr="00F672DD" w:rsidRDefault="00BB1906" w:rsidP="00871D57">
      <w:pPr>
        <w:pStyle w:val="SingleTxtGR"/>
      </w:pPr>
      <w:r>
        <w:t>91.</w:t>
      </w:r>
      <w:r>
        <w:tab/>
      </w:r>
      <w:r w:rsidR="00871D57" w:rsidRPr="00F672DD">
        <w:t>Благодаря сбору и анализу информации о случаях дискриминации цыган Омбудсмен по вопросам равенства имеет возможность предлагать цыганам с</w:t>
      </w:r>
      <w:r w:rsidR="00871D57" w:rsidRPr="00F672DD">
        <w:t>о</w:t>
      </w:r>
      <w:r w:rsidR="00871D57" w:rsidRPr="00F672DD">
        <w:t>ответствующие просветительские программы, расследовать жалобы и прин</w:t>
      </w:r>
      <w:r w:rsidR="00871D57" w:rsidRPr="00F672DD">
        <w:t>и</w:t>
      </w:r>
      <w:r w:rsidR="00871D57" w:rsidRPr="00F672DD">
        <w:t>мать непосредственное участие в стратегически важных судебных разбирател</w:t>
      </w:r>
      <w:r w:rsidR="00871D57" w:rsidRPr="00F672DD">
        <w:t>ь</w:t>
      </w:r>
      <w:r w:rsidR="00871D57" w:rsidRPr="00F672DD">
        <w:t>ствах. Одна из главных целей этой работы состоит в том, чтобы опытным путем определить, в какой степени Закон о борьбе с дискриминацией способен обе</w:t>
      </w:r>
      <w:r w:rsidR="00871D57" w:rsidRPr="00F672DD">
        <w:t>с</w:t>
      </w:r>
      <w:r w:rsidR="00871D57" w:rsidRPr="00F672DD">
        <w:t>печить правовую защиту жителей страны, а затем, используя примеры из с</w:t>
      </w:r>
      <w:r w:rsidR="00871D57" w:rsidRPr="00F672DD">
        <w:t>у</w:t>
      </w:r>
      <w:r w:rsidR="00871D57" w:rsidRPr="00F672DD">
        <w:t>дебной практики, привлечь внимание общественности к положению цыган и "вывести антицыганизм на чистую воду". Как отмечается в пункте</w:t>
      </w:r>
      <w:r w:rsidR="000557E5" w:rsidRPr="000557E5">
        <w:t xml:space="preserve"> </w:t>
      </w:r>
      <w:r w:rsidR="00871D57" w:rsidRPr="00F672DD">
        <w:t>11 настоящ</w:t>
      </w:r>
      <w:r w:rsidR="00871D57" w:rsidRPr="00F672DD">
        <w:t>е</w:t>
      </w:r>
      <w:r w:rsidR="00871D57" w:rsidRPr="00F672DD">
        <w:t>го доклада, Омбудсмен по вопросам равенства подготовил также доклад о пр</w:t>
      </w:r>
      <w:r w:rsidR="00871D57" w:rsidRPr="00F672DD">
        <w:t>а</w:t>
      </w:r>
      <w:r w:rsidR="00871D57" w:rsidRPr="00F672DD">
        <w:t>вах цыган.</w:t>
      </w:r>
    </w:p>
    <w:p w:rsidR="00871D57" w:rsidRPr="00C2200B" w:rsidRDefault="00871D57" w:rsidP="00436C18">
      <w:pPr>
        <w:pStyle w:val="H23GR"/>
        <w:pageBreakBefore/>
      </w:pPr>
      <w:r w:rsidRPr="00C2200B">
        <w:tab/>
        <w:t>4.</w:t>
      </w:r>
      <w:r w:rsidRPr="00C2200B">
        <w:tab/>
        <w:t>Саамы (с учетом пунктов</w:t>
      </w:r>
      <w:r w:rsidR="000557E5">
        <w:t xml:space="preserve"> </w:t>
      </w:r>
      <w:r w:rsidRPr="00C2200B">
        <w:t>19, 20, 21 и 22 рекомендаций Комит</w:t>
      </w:r>
      <w:r w:rsidRPr="00C2200B">
        <w:t>е</w:t>
      </w:r>
      <w:r w:rsidRPr="00C2200B">
        <w:t>та)</w:t>
      </w:r>
    </w:p>
    <w:p w:rsidR="00871D57" w:rsidRPr="00C2200B" w:rsidRDefault="00871D57" w:rsidP="00C2200B">
      <w:pPr>
        <w:pStyle w:val="H23GR"/>
      </w:pPr>
      <w:r w:rsidRPr="00C2200B">
        <w:tab/>
        <w:t>a)</w:t>
      </w:r>
      <w:r w:rsidRPr="00C2200B">
        <w:tab/>
        <w:t>Меры в интересах саамов как коренного народа и национального меньшинства</w:t>
      </w:r>
    </w:p>
    <w:p w:rsidR="00871D57" w:rsidRPr="00F672DD" w:rsidRDefault="00BB1906" w:rsidP="00871D57">
      <w:pPr>
        <w:pStyle w:val="SingleTxtGR"/>
      </w:pPr>
      <w:r>
        <w:t>92.</w:t>
      </w:r>
      <w:r>
        <w:tab/>
      </w:r>
      <w:r w:rsidR="00871D57" w:rsidRPr="00F672DD">
        <w:t>Поскольку саамы не только официально признаны в качестве единстве</w:t>
      </w:r>
      <w:r w:rsidR="00871D57" w:rsidRPr="00F672DD">
        <w:t>н</w:t>
      </w:r>
      <w:r w:rsidR="00871D57" w:rsidRPr="00F672DD">
        <w:t>ного коренного народа Швеции, но и являются одним из пяти национальных меньшинств страны, они получают поддержку со стороны правительства и в</w:t>
      </w:r>
      <w:r w:rsidR="00BD5974">
        <w:rPr>
          <w:lang w:val="en-US"/>
        </w:rPr>
        <w:t> </w:t>
      </w:r>
      <w:r w:rsidR="00871D57" w:rsidRPr="00F672DD">
        <w:t>том, и в другом качестве. Меры такой поддержки направлены главным обр</w:t>
      </w:r>
      <w:r w:rsidR="00871D57" w:rsidRPr="00F672DD">
        <w:t>а</w:t>
      </w:r>
      <w:r w:rsidR="00871D57" w:rsidRPr="00F672DD">
        <w:t>зом на с</w:t>
      </w:r>
      <w:r w:rsidR="00871D57" w:rsidRPr="00F672DD">
        <w:t>о</w:t>
      </w:r>
      <w:r w:rsidR="00871D57" w:rsidRPr="00F672DD">
        <w:t>хранение и поощрение культуры саамов и их языка с учетом их уклада жизни, в основе которого лежат экологически устойчивые оленеводство и др</w:t>
      </w:r>
      <w:r w:rsidR="00871D57" w:rsidRPr="00F672DD">
        <w:t>у</w:t>
      </w:r>
      <w:r w:rsidR="00871D57" w:rsidRPr="00F672DD">
        <w:t>гие традиционные промыслы, а также на повышение их шансов стать влиятел</w:t>
      </w:r>
      <w:r w:rsidR="00871D57" w:rsidRPr="00F672DD">
        <w:t>ь</w:t>
      </w:r>
      <w:r w:rsidR="00871D57" w:rsidRPr="00F672DD">
        <w:t>ной ч</w:t>
      </w:r>
      <w:r w:rsidR="00871D57" w:rsidRPr="00F672DD">
        <w:t>а</w:t>
      </w:r>
      <w:r w:rsidR="00871D57" w:rsidRPr="00F672DD">
        <w:t xml:space="preserve">стью шведского общества. </w:t>
      </w:r>
    </w:p>
    <w:p w:rsidR="00871D57" w:rsidRPr="00F672DD" w:rsidRDefault="00BB1906" w:rsidP="00871D57">
      <w:pPr>
        <w:pStyle w:val="SingleTxtGR"/>
      </w:pPr>
      <w:r>
        <w:t>93.</w:t>
      </w:r>
      <w:r>
        <w:tab/>
      </w:r>
      <w:r w:rsidR="00871D57" w:rsidRPr="00F672DD">
        <w:t>После публикации в 2008</w:t>
      </w:r>
      <w:r w:rsidR="000557E5" w:rsidRPr="000557E5">
        <w:t xml:space="preserve"> </w:t>
      </w:r>
      <w:r w:rsidR="00871D57" w:rsidRPr="00F672DD">
        <w:t>году доклада Омбудсмена по вопросам раве</w:t>
      </w:r>
      <w:r w:rsidR="00871D57" w:rsidRPr="00F672DD">
        <w:t>н</w:t>
      </w:r>
      <w:r w:rsidR="00871D57" w:rsidRPr="00F672DD">
        <w:t>ства, озаглавленного "Дискриминация саамов: права саамов в контексте пр</w:t>
      </w:r>
      <w:r w:rsidR="00871D57" w:rsidRPr="00F672DD">
        <w:t>о</w:t>
      </w:r>
      <w:r w:rsidR="00871D57" w:rsidRPr="00F672DD">
        <w:t>блемы дискриминации", правительство Швеции приняло меры по повышению эффективности своей политики в отношении меньшинств в целом ряде обла</w:t>
      </w:r>
      <w:r w:rsidR="00871D57" w:rsidRPr="00F672DD">
        <w:t>с</w:t>
      </w:r>
      <w:r w:rsidR="00871D57" w:rsidRPr="00F672DD">
        <w:t>тей (см., например, пункты</w:t>
      </w:r>
      <w:r w:rsidR="000557E5" w:rsidRPr="000557E5">
        <w:t xml:space="preserve"> </w:t>
      </w:r>
      <w:r w:rsidR="00871D57" w:rsidRPr="00F672DD">
        <w:t>68–76 настоящего доклада). Эти меры во многом способствовали более полной реализации прав саамов как одного из наци</w:t>
      </w:r>
      <w:r w:rsidR="00871D57" w:rsidRPr="00F672DD">
        <w:t>о</w:t>
      </w:r>
      <w:r w:rsidR="00871D57" w:rsidRPr="00F672DD">
        <w:t xml:space="preserve">нальных меньшинств. </w:t>
      </w:r>
    </w:p>
    <w:p w:rsidR="00871D57" w:rsidRPr="00F672DD" w:rsidRDefault="00BB1906" w:rsidP="00871D57">
      <w:pPr>
        <w:pStyle w:val="SingleTxtGR"/>
      </w:pPr>
      <w:r>
        <w:t>94.</w:t>
      </w:r>
      <w:r>
        <w:tab/>
      </w:r>
      <w:r w:rsidR="00871D57" w:rsidRPr="00F672DD">
        <w:t>Как отмечается в пункте</w:t>
      </w:r>
      <w:r w:rsidR="000557E5" w:rsidRPr="000557E5">
        <w:t xml:space="preserve"> </w:t>
      </w:r>
      <w:r w:rsidR="00871D57" w:rsidRPr="00F672DD">
        <w:t>16 настоящего доклада, Закон о форме правл</w:t>
      </w:r>
      <w:r w:rsidR="00871D57" w:rsidRPr="00F672DD">
        <w:t>е</w:t>
      </w:r>
      <w:r w:rsidR="00871D57" w:rsidRPr="00F672DD">
        <w:t>ния</w:t>
      </w:r>
      <w:r w:rsidR="000557E5">
        <w:t xml:space="preserve"> </w:t>
      </w:r>
      <w:r w:rsidR="00871D57" w:rsidRPr="00F672DD">
        <w:t>в его нынешней версии устанавливает, что этнические, лингвистические и религиозные меньшинства должны иметь возможность сохранять и развивать свою кул</w:t>
      </w:r>
      <w:r w:rsidR="00871D57" w:rsidRPr="00F672DD">
        <w:t>ь</w:t>
      </w:r>
      <w:r w:rsidR="00871D57" w:rsidRPr="00F672DD">
        <w:t>туру и свой уклад жизни.</w:t>
      </w:r>
    </w:p>
    <w:p w:rsidR="00871D57" w:rsidRPr="00F672DD" w:rsidRDefault="00BB1906" w:rsidP="00871D57">
      <w:pPr>
        <w:pStyle w:val="SingleTxtGR"/>
      </w:pPr>
      <w:r>
        <w:t>95.</w:t>
      </w:r>
      <w:r>
        <w:tab/>
      </w:r>
      <w:r w:rsidR="00871D57" w:rsidRPr="00F672DD">
        <w:t>В пункте</w:t>
      </w:r>
      <w:r w:rsidR="000557E5" w:rsidRPr="000557E5">
        <w:t xml:space="preserve"> </w:t>
      </w:r>
      <w:r w:rsidR="00871D57" w:rsidRPr="00F672DD">
        <w:t>50 пятнадцатого и шестнадцатого периодического доклада уже говорилось о том, что в 2001</w:t>
      </w:r>
      <w:r w:rsidR="000557E5">
        <w:t xml:space="preserve"> </w:t>
      </w:r>
      <w:r w:rsidR="00871D57" w:rsidRPr="00F672DD">
        <w:t>году была начата информационно-просветительская кампания, посвященная народу саами. В своем семнадцатом и восемнадцатом периодическом докладе (пункт</w:t>
      </w:r>
      <w:r w:rsidR="000557E5" w:rsidRPr="000557E5">
        <w:t xml:space="preserve"> </w:t>
      </w:r>
      <w:r w:rsidR="00871D57" w:rsidRPr="00F672DD">
        <w:t>72) Швеция сообщила, что о</w:t>
      </w:r>
      <w:r w:rsidR="00871D57" w:rsidRPr="00F672DD">
        <w:t>т</w:t>
      </w:r>
      <w:r w:rsidR="00871D57" w:rsidRPr="00F672DD">
        <w:t>ветственность за проведение этой кампании была возложена на саамский па</w:t>
      </w:r>
      <w:r w:rsidR="00871D57" w:rsidRPr="00F672DD">
        <w:t>р</w:t>
      </w:r>
      <w:r w:rsidR="00871D57" w:rsidRPr="00F672DD">
        <w:t>ламент, который при финансовой поддержке правительства создал в этой связи соответству</w:t>
      </w:r>
      <w:r w:rsidR="00871D57" w:rsidRPr="00F672DD">
        <w:t>ю</w:t>
      </w:r>
      <w:r w:rsidR="00871D57" w:rsidRPr="00F672DD">
        <w:t xml:space="preserve">щий информационный центр. В настоящее время этот центр </w:t>
      </w:r>
      <w:r w:rsidR="00871D57" w:rsidRPr="00BB1906">
        <w:t>(</w:t>
      </w:r>
      <w:hyperlink r:id="rId8" w:history="1">
        <w:r w:rsidR="00871D57" w:rsidRPr="00BB1906">
          <w:rPr>
            <w:rStyle w:val="Hyperlink"/>
            <w:u w:val="none"/>
            <w:lang w:val="en-GB"/>
          </w:rPr>
          <w:t>www</w:t>
        </w:r>
        <w:r w:rsidR="00871D57" w:rsidRPr="00BB1906">
          <w:rPr>
            <w:rStyle w:val="Hyperlink"/>
            <w:u w:val="none"/>
          </w:rPr>
          <w:t>.</w:t>
        </w:r>
        <w:r w:rsidR="00871D57" w:rsidRPr="00BB1906">
          <w:rPr>
            <w:rStyle w:val="Hyperlink"/>
            <w:u w:val="none"/>
            <w:lang w:val="en-GB"/>
          </w:rPr>
          <w:t>samer</w:t>
        </w:r>
        <w:r w:rsidR="00871D57" w:rsidRPr="00BB1906">
          <w:rPr>
            <w:rStyle w:val="Hyperlink"/>
            <w:u w:val="none"/>
          </w:rPr>
          <w:t>.</w:t>
        </w:r>
        <w:r w:rsidR="00871D57" w:rsidRPr="00BB1906">
          <w:rPr>
            <w:rStyle w:val="Hyperlink"/>
            <w:u w:val="none"/>
            <w:lang w:val="en-GB"/>
          </w:rPr>
          <w:t>se</w:t>
        </w:r>
      </w:hyperlink>
      <w:r w:rsidR="00871D57" w:rsidRPr="00BB1906">
        <w:t>) продолжает успешно функционировать, распространяя инфо</w:t>
      </w:r>
      <w:r w:rsidR="00871D57" w:rsidRPr="00BB1906">
        <w:t>р</w:t>
      </w:r>
      <w:r w:rsidR="00871D57" w:rsidRPr="00F672DD">
        <w:t>мацию среди государственных учреждений, НПО, средств массовой информ</w:t>
      </w:r>
      <w:r w:rsidR="00871D57" w:rsidRPr="00F672DD">
        <w:t>а</w:t>
      </w:r>
      <w:r w:rsidR="00871D57" w:rsidRPr="00F672DD">
        <w:t>ции и широкой общественности.</w:t>
      </w:r>
    </w:p>
    <w:p w:rsidR="00871D57" w:rsidRPr="00C2200B" w:rsidRDefault="00871D57" w:rsidP="00C2200B">
      <w:pPr>
        <w:pStyle w:val="H23GR"/>
      </w:pPr>
      <w:r w:rsidRPr="00C2200B">
        <w:tab/>
        <w:t>b)</w:t>
      </w:r>
      <w:r w:rsidRPr="00C2200B">
        <w:tab/>
        <w:t>Консультации с народом саами и влияние этого народа на события и процессы, происходящие в стране (с учетом пункта</w:t>
      </w:r>
      <w:r w:rsidR="000557E5">
        <w:t xml:space="preserve"> </w:t>
      </w:r>
      <w:r w:rsidRPr="00C2200B">
        <w:t>19 рекомендаций Комитета)</w:t>
      </w:r>
    </w:p>
    <w:p w:rsidR="00871D57" w:rsidRPr="00F672DD" w:rsidRDefault="00BB1906" w:rsidP="00871D57">
      <w:pPr>
        <w:pStyle w:val="SingleTxtGR"/>
      </w:pPr>
      <w:r>
        <w:t>96.</w:t>
      </w:r>
      <w:r>
        <w:tab/>
      </w:r>
      <w:r w:rsidR="00871D57" w:rsidRPr="00F672DD">
        <w:t>Проведение различного рода консультаций является давней шведской традицией и одной из основных особенностей шведской демократии. Консул</w:t>
      </w:r>
      <w:r w:rsidR="00871D57" w:rsidRPr="00F672DD">
        <w:t>ь</w:t>
      </w:r>
      <w:r w:rsidR="00871D57" w:rsidRPr="00F672DD">
        <w:t>тации проводятся на рег</w:t>
      </w:r>
      <w:r w:rsidR="00871D57" w:rsidRPr="00F672DD">
        <w:t>у</w:t>
      </w:r>
      <w:r w:rsidR="00871D57" w:rsidRPr="00F672DD">
        <w:t xml:space="preserve">лярной основе и в самых разных форматах. </w:t>
      </w:r>
    </w:p>
    <w:p w:rsidR="00871D57" w:rsidRPr="00F672DD" w:rsidRDefault="00BB1906" w:rsidP="00871D57">
      <w:pPr>
        <w:pStyle w:val="SingleTxtGR"/>
      </w:pPr>
      <w:r>
        <w:t>97.</w:t>
      </w:r>
      <w:r>
        <w:tab/>
      </w:r>
      <w:r w:rsidR="00871D57" w:rsidRPr="00F672DD">
        <w:t>Важной частью законодательного процесса в Швеции является практика распространения правительственных докладов и других документов среди с</w:t>
      </w:r>
      <w:r w:rsidR="00871D57" w:rsidRPr="00F672DD">
        <w:t>о</w:t>
      </w:r>
      <w:r w:rsidR="00871D57" w:rsidRPr="00F672DD">
        <w:t>ответствующих органов и структур в целях получения отзывов о них. Госуда</w:t>
      </w:r>
      <w:r w:rsidR="00871D57" w:rsidRPr="00F672DD">
        <w:t>р</w:t>
      </w:r>
      <w:r w:rsidR="00871D57" w:rsidRPr="00F672DD">
        <w:t>ственные учреждения, которым рассылаются такие доклады, включая парл</w:t>
      </w:r>
      <w:r w:rsidR="00871D57" w:rsidRPr="00F672DD">
        <w:t>а</w:t>
      </w:r>
      <w:r w:rsidR="00871D57" w:rsidRPr="00F672DD">
        <w:t>мент народа саами, обязаны давать на них свои заключения. Эта же процедура и</w:t>
      </w:r>
      <w:r w:rsidR="00871D57" w:rsidRPr="00F672DD">
        <w:t>с</w:t>
      </w:r>
      <w:r w:rsidR="00871D57" w:rsidRPr="00F672DD">
        <w:t>пользовалась и в отношении докладов, касающихся прав саамов, в том числе упомянутых в пунктах</w:t>
      </w:r>
      <w:r w:rsidR="000557E5" w:rsidRPr="000557E5">
        <w:t xml:space="preserve"> </w:t>
      </w:r>
      <w:r w:rsidR="00871D57" w:rsidRPr="00F672DD">
        <w:t>73 и 74 семнадцатого и восемнадцатого доклада Шв</w:t>
      </w:r>
      <w:r w:rsidR="00871D57" w:rsidRPr="00F672DD">
        <w:t>е</w:t>
      </w:r>
      <w:r w:rsidR="00871D57" w:rsidRPr="00F672DD">
        <w:t>ции.</w:t>
      </w:r>
    </w:p>
    <w:p w:rsidR="00871D57" w:rsidRPr="00F672DD" w:rsidRDefault="00BB1906" w:rsidP="00871D57">
      <w:pPr>
        <w:pStyle w:val="SingleTxtGR"/>
      </w:pPr>
      <w:r>
        <w:t>98.</w:t>
      </w:r>
      <w:r>
        <w:tab/>
      </w:r>
      <w:r w:rsidR="00871D57" w:rsidRPr="00F672DD">
        <w:t>Помимо проведения консультаций в рамках законодательного процесса парламент народа саами и правительство регулярно контактируют друг с др</w:t>
      </w:r>
      <w:r w:rsidR="00871D57" w:rsidRPr="00F672DD">
        <w:t>у</w:t>
      </w:r>
      <w:r w:rsidR="00871D57" w:rsidRPr="00F672DD">
        <w:t>гом, обсуждая вопросы, представляющие взаимный интерес. Парламент народа саами постоянно взаимодействует с государственными учреждениями; кроме того, ежегодно организуются межучрежденческие дискуссии по экономич</w:t>
      </w:r>
      <w:r w:rsidR="00871D57" w:rsidRPr="00F672DD">
        <w:t>е</w:t>
      </w:r>
      <w:r w:rsidR="00871D57" w:rsidRPr="00F672DD">
        <w:t>ским, ка</w:t>
      </w:r>
      <w:r w:rsidR="00871D57" w:rsidRPr="00F672DD">
        <w:t>д</w:t>
      </w:r>
      <w:r w:rsidR="00871D57" w:rsidRPr="00F672DD">
        <w:t>ровым и организационным вопросам, а также вопросам, касающимся распределения обязанностей. Министр, ведающий делами народа саами, рег</w:t>
      </w:r>
      <w:r w:rsidR="00871D57" w:rsidRPr="00F672DD">
        <w:t>у</w:t>
      </w:r>
      <w:r w:rsidR="00871D57" w:rsidRPr="00F672DD">
        <w:t>лярно встречается с представителями партий, представленных в саамском па</w:t>
      </w:r>
      <w:r w:rsidR="00871D57" w:rsidRPr="00F672DD">
        <w:t>р</w:t>
      </w:r>
      <w:r w:rsidR="00871D57" w:rsidRPr="00F672DD">
        <w:t>ламенте, для обсуждения с ними текущих вопросов. Это же касается и минис</w:t>
      </w:r>
      <w:r w:rsidR="00871D57" w:rsidRPr="00F672DD">
        <w:t>т</w:t>
      </w:r>
      <w:r w:rsidR="00871D57" w:rsidRPr="00F672DD">
        <w:t>ра, отвечающего за национальные меньшинства, одним из которых являются саамы.</w:t>
      </w:r>
    </w:p>
    <w:p w:rsidR="00871D57" w:rsidRPr="00F672DD" w:rsidRDefault="00BB1906" w:rsidP="00871D57">
      <w:pPr>
        <w:pStyle w:val="SingleTxtGR"/>
      </w:pPr>
      <w:r>
        <w:t>99.</w:t>
      </w:r>
      <w:r>
        <w:tab/>
      </w:r>
      <w:r w:rsidR="00871D57" w:rsidRPr="00F672DD">
        <w:t>Как отмечается в пункте</w:t>
      </w:r>
      <w:r w:rsidR="000557E5" w:rsidRPr="000557E5">
        <w:t xml:space="preserve"> </w:t>
      </w:r>
      <w:r w:rsidR="00871D57" w:rsidRPr="00F672DD">
        <w:t>70 семнадцатого и восемнадцатого периодич</w:t>
      </w:r>
      <w:r w:rsidR="00871D57" w:rsidRPr="00F672DD">
        <w:t>е</w:t>
      </w:r>
      <w:r w:rsidR="00871D57" w:rsidRPr="00F672DD">
        <w:t>ского доклада Швеции, в начале 2006</w:t>
      </w:r>
      <w:r w:rsidR="000557E5">
        <w:t xml:space="preserve"> </w:t>
      </w:r>
      <w:r w:rsidR="00871D57" w:rsidRPr="00F672DD">
        <w:t>года правительство представило закон</w:t>
      </w:r>
      <w:r w:rsidR="00871D57" w:rsidRPr="00F672DD">
        <w:t>о</w:t>
      </w:r>
      <w:r w:rsidR="00871D57" w:rsidRPr="00F672DD">
        <w:t>проект о мерах по обеспечению большего влияния саамов на жизнь общества. Сейчас этот законопроект уже стал законом, и в него уже внесен ряд поправок, сделавших его более действенным. Так, с 1</w:t>
      </w:r>
      <w:r w:rsidR="000557E5">
        <w:t xml:space="preserve"> </w:t>
      </w:r>
      <w:r w:rsidR="00871D57" w:rsidRPr="00F672DD">
        <w:t>января 2007 года вопросы, каса</w:t>
      </w:r>
      <w:r w:rsidR="00871D57" w:rsidRPr="00F672DD">
        <w:t>ю</w:t>
      </w:r>
      <w:r w:rsidR="00871D57" w:rsidRPr="00F672DD">
        <w:t>щиеся оленеводства, ранее находившиеся в ведении окружных советов и шве</w:t>
      </w:r>
      <w:r w:rsidR="00871D57" w:rsidRPr="00F672DD">
        <w:t>д</w:t>
      </w:r>
      <w:r w:rsidR="00871D57" w:rsidRPr="00F672DD">
        <w:t>ской Комиссии по сельскому хозяйству, переданы в ведение парламента народа саами. Кроме того, на парламент народа саами теперь возложены обязанности по определению целей в области сохранения и развития языка саами и орган</w:t>
      </w:r>
      <w:r w:rsidR="00871D57" w:rsidRPr="00F672DD">
        <w:t>и</w:t>
      </w:r>
      <w:r w:rsidR="00871D57" w:rsidRPr="00F672DD">
        <w:t>зации работы в этой области. Шведский риксдаг и правительство формулируют лишь общие цели национальной языковой политики. Когда же дело касается непосредственного саамского языка, то здесь, по мнению правительства, гла</w:t>
      </w:r>
      <w:r w:rsidR="00871D57" w:rsidRPr="00F672DD">
        <w:t>в</w:t>
      </w:r>
      <w:r w:rsidR="00871D57" w:rsidRPr="00F672DD">
        <w:t>ную роль должен играть саамский парламент как представительный орган н</w:t>
      </w:r>
      <w:r w:rsidR="00871D57" w:rsidRPr="00F672DD">
        <w:t>а</w:t>
      </w:r>
      <w:r w:rsidR="00871D57" w:rsidRPr="00F672DD">
        <w:t>рода саами.</w:t>
      </w:r>
    </w:p>
    <w:p w:rsidR="00871D57" w:rsidRPr="00F672DD" w:rsidRDefault="00BB1906" w:rsidP="00871D57">
      <w:pPr>
        <w:pStyle w:val="SingleTxtGR"/>
      </w:pPr>
      <w:r>
        <w:t>100.</w:t>
      </w:r>
      <w:r>
        <w:tab/>
      </w:r>
      <w:r w:rsidR="00871D57" w:rsidRPr="00F672DD">
        <w:t>Для успешного решения задачи поощрения, сохранения и развития языка саами необходима поддержка со стороны самих саамов, которую как раз и м</w:t>
      </w:r>
      <w:r w:rsidR="00871D57" w:rsidRPr="00F672DD">
        <w:t>о</w:t>
      </w:r>
      <w:r w:rsidR="00871D57" w:rsidRPr="00F672DD">
        <w:t>жет обеспечить их представительный орган. В этой связи парламентом народа саами создано два саамских лингвистических центра, призванных активно с</w:t>
      </w:r>
      <w:r w:rsidR="00871D57" w:rsidRPr="00F672DD">
        <w:t>о</w:t>
      </w:r>
      <w:r w:rsidR="00871D57" w:rsidRPr="00F672DD">
        <w:t>действовать более широкому использованию языка саами в повседневной жи</w:t>
      </w:r>
      <w:r w:rsidR="00871D57" w:rsidRPr="00F672DD">
        <w:t>з</w:t>
      </w:r>
      <w:r w:rsidR="00871D57" w:rsidRPr="00F672DD">
        <w:t>ни, оказывать экспертную помощь, разрабатывать рекомендации по расшир</w:t>
      </w:r>
      <w:r w:rsidR="00871D57" w:rsidRPr="00F672DD">
        <w:t>е</w:t>
      </w:r>
      <w:r w:rsidR="00871D57" w:rsidRPr="00F672DD">
        <w:t>нию возможностей для использования языка саами и овладения им и привл</w:t>
      </w:r>
      <w:r w:rsidR="00871D57" w:rsidRPr="00F672DD">
        <w:t>е</w:t>
      </w:r>
      <w:r w:rsidR="00871D57" w:rsidRPr="00F672DD">
        <w:t>кать внимание общественности к проблеме возрождения этого языка. С учетом новых задач, возложенных на парламент народа саами, ему были выделены д</w:t>
      </w:r>
      <w:r w:rsidR="00871D57" w:rsidRPr="00F672DD">
        <w:t>о</w:t>
      </w:r>
      <w:r w:rsidR="00871D57" w:rsidRPr="00F672DD">
        <w:t>полнительные р</w:t>
      </w:r>
      <w:r w:rsidR="00871D57" w:rsidRPr="00F672DD">
        <w:t>е</w:t>
      </w:r>
      <w:r w:rsidR="00871D57" w:rsidRPr="00F672DD">
        <w:t xml:space="preserve">сурсы. </w:t>
      </w:r>
    </w:p>
    <w:p w:rsidR="00871D57" w:rsidRPr="00F672DD" w:rsidRDefault="00BB1906" w:rsidP="00871D57">
      <w:pPr>
        <w:pStyle w:val="SingleTxtGR"/>
      </w:pPr>
      <w:r>
        <w:t>101.</w:t>
      </w:r>
      <w:r>
        <w:tab/>
      </w:r>
      <w:r w:rsidR="00871D57" w:rsidRPr="00F672DD">
        <w:t>В соответствии с действующим законодательством, включая Закон об</w:t>
      </w:r>
      <w:r w:rsidR="00BD5974">
        <w:rPr>
          <w:lang w:val="en-US"/>
        </w:rPr>
        <w:t> </w:t>
      </w:r>
      <w:r w:rsidR="00871D57" w:rsidRPr="00F672DD">
        <w:t>оленеводстве, Закон о территориальном планировании и строительстве и Природоохранный кодекс, любые решения, затрагивающие интересы саамов, должны приниматься с учетом мнения жителей соответствующих саамских д</w:t>
      </w:r>
      <w:r w:rsidR="00871D57" w:rsidRPr="00F672DD">
        <w:t>е</w:t>
      </w:r>
      <w:r w:rsidR="00871D57" w:rsidRPr="00F672DD">
        <w:t>ревень. На региональном уровне действуют комиссии по оленеводству, пр</w:t>
      </w:r>
      <w:r w:rsidR="00871D57" w:rsidRPr="00F672DD">
        <w:t>и</w:t>
      </w:r>
      <w:r w:rsidR="00871D57" w:rsidRPr="00F672DD">
        <w:t>званные р</w:t>
      </w:r>
      <w:r w:rsidR="00871D57" w:rsidRPr="00F672DD">
        <w:t>е</w:t>
      </w:r>
      <w:r w:rsidR="00871D57" w:rsidRPr="00F672DD">
        <w:t>шать вопросы землепользования и другие вопросы, имеющие важное значение для народа саами. В состав этих комиссий входят и представители саамов.</w:t>
      </w:r>
    </w:p>
    <w:p w:rsidR="00871D57" w:rsidRPr="00F672DD" w:rsidRDefault="00BB1906" w:rsidP="00871D57">
      <w:pPr>
        <w:pStyle w:val="SingleTxtGR"/>
      </w:pPr>
      <w:r>
        <w:t>102.</w:t>
      </w:r>
      <w:r>
        <w:tab/>
      </w:r>
      <w:r w:rsidR="00871D57" w:rsidRPr="00F672DD">
        <w:t>Как отмечается в представленном 27</w:t>
      </w:r>
      <w:r w:rsidR="000557E5" w:rsidRPr="000557E5">
        <w:t xml:space="preserve"> </w:t>
      </w:r>
      <w:r w:rsidR="00871D57" w:rsidRPr="00F672DD">
        <w:t>июня 2008</w:t>
      </w:r>
      <w:r w:rsidR="000557E5" w:rsidRPr="000557E5">
        <w:t xml:space="preserve"> </w:t>
      </w:r>
      <w:r w:rsidR="00871D57" w:rsidRPr="00F672DD">
        <w:t>года ответе Швеции на вопрос</w:t>
      </w:r>
      <w:r w:rsidR="000557E5" w:rsidRPr="000557E5">
        <w:t xml:space="preserve"> </w:t>
      </w:r>
      <w:r w:rsidR="00871D57" w:rsidRPr="00F672DD">
        <w:t>15 перечня вопросов, в целях расширения прав и возможностей саамов был подготовлен специальный министерский меморандум (</w:t>
      </w:r>
      <w:r w:rsidR="00871D57" w:rsidRPr="00F672DD">
        <w:rPr>
          <w:lang w:val="en-GB"/>
        </w:rPr>
        <w:t>Ds</w:t>
      </w:r>
      <w:r w:rsidR="00871D57" w:rsidRPr="00F672DD">
        <w:t xml:space="preserve"> 2009:40), посв</w:t>
      </w:r>
      <w:r w:rsidR="00871D57" w:rsidRPr="00F672DD">
        <w:t>я</w:t>
      </w:r>
      <w:r w:rsidR="00871D57" w:rsidRPr="00F672DD">
        <w:t>щенный некоторым вопросам политики в отношении народа саами. Весной 2010</w:t>
      </w:r>
      <w:r w:rsidR="000557E5" w:rsidRPr="000557E5">
        <w:t xml:space="preserve"> </w:t>
      </w:r>
      <w:r w:rsidR="00871D57" w:rsidRPr="00F672DD">
        <w:t>года в риксдаг планировалось представить соответствующий законопр</w:t>
      </w:r>
      <w:r w:rsidR="00871D57" w:rsidRPr="00F672DD">
        <w:t>о</w:t>
      </w:r>
      <w:r w:rsidR="00871D57" w:rsidRPr="00F672DD">
        <w:t>ект, однако, поскольку парламент народа саами, в числе прочих, заявил, что у</w:t>
      </w:r>
      <w:r w:rsidR="002D550A">
        <w:rPr>
          <w:lang w:val="en-US"/>
        </w:rPr>
        <w:t> </w:t>
      </w:r>
      <w:r w:rsidR="00871D57" w:rsidRPr="00F672DD">
        <w:t>него есть замечания по этому законопроекту, правительство решило дождат</w:t>
      </w:r>
      <w:r w:rsidR="00871D57" w:rsidRPr="00F672DD">
        <w:t>ь</w:t>
      </w:r>
      <w:r w:rsidR="00871D57" w:rsidRPr="00F672DD">
        <w:t>ся этих замечаний, прежде чем передавать законопроект на рассмотрение ри</w:t>
      </w:r>
      <w:r w:rsidR="00871D57" w:rsidRPr="00F672DD">
        <w:t>к</w:t>
      </w:r>
      <w:r w:rsidR="00871D57" w:rsidRPr="00F672DD">
        <w:t>сдага. П</w:t>
      </w:r>
      <w:r w:rsidR="00871D57" w:rsidRPr="00F672DD">
        <w:t>о</w:t>
      </w:r>
      <w:r w:rsidR="00871D57" w:rsidRPr="00F672DD">
        <w:t xml:space="preserve">этому законотворческий процесс в этой части несколько затянулся. </w:t>
      </w:r>
    </w:p>
    <w:p w:rsidR="00871D57" w:rsidRPr="00C2200B" w:rsidRDefault="00871D57" w:rsidP="00C2200B">
      <w:pPr>
        <w:pStyle w:val="H23GR"/>
      </w:pPr>
      <w:r w:rsidRPr="00C2200B">
        <w:tab/>
        <w:t>c)</w:t>
      </w:r>
      <w:r w:rsidRPr="00C2200B">
        <w:tab/>
        <w:t>Правовая защита саамов и решения судов (с учетом пункта</w:t>
      </w:r>
      <w:r w:rsidR="000557E5">
        <w:t xml:space="preserve"> </w:t>
      </w:r>
      <w:r w:rsidRPr="00C2200B">
        <w:t>20 рекомендаций Комит</w:t>
      </w:r>
      <w:r w:rsidRPr="00C2200B">
        <w:t>е</w:t>
      </w:r>
      <w:r w:rsidRPr="00C2200B">
        <w:t>та)</w:t>
      </w:r>
    </w:p>
    <w:p w:rsidR="00871D57" w:rsidRPr="00F672DD" w:rsidRDefault="00BB1906" w:rsidP="00871D57">
      <w:pPr>
        <w:pStyle w:val="SingleTxtGR"/>
      </w:pPr>
      <w:r>
        <w:t>103.</w:t>
      </w:r>
      <w:r>
        <w:tab/>
      </w:r>
      <w:r w:rsidR="00871D57" w:rsidRPr="00F672DD">
        <w:t>В личном качестве саамы имеют такое же право на защиту со стороны з</w:t>
      </w:r>
      <w:r w:rsidR="00871D57" w:rsidRPr="00F672DD">
        <w:t>а</w:t>
      </w:r>
      <w:r w:rsidR="00871D57" w:rsidRPr="00F672DD">
        <w:t>кона, как и другие шведские граждане. В соответствии со шведским законод</w:t>
      </w:r>
      <w:r w:rsidR="00871D57" w:rsidRPr="00F672DD">
        <w:t>а</w:t>
      </w:r>
      <w:r w:rsidR="00871D57" w:rsidRPr="00F672DD">
        <w:t>тельством (Закон о правовой помощи) правовая помощь может оказываться юридическим лицам, к числу которых относятся и саамские деревни, облада</w:t>
      </w:r>
      <w:r w:rsidR="00871D57" w:rsidRPr="00F672DD">
        <w:t>ю</w:t>
      </w:r>
      <w:r w:rsidR="00871D57" w:rsidRPr="00F672DD">
        <w:t>щие правосубъектностью. Как и другие юридические лица, саамские деревни обязаны заключать частные договоры страхования, гарантирующие оказание такой п</w:t>
      </w:r>
      <w:r w:rsidR="00871D57" w:rsidRPr="00F672DD">
        <w:t>о</w:t>
      </w:r>
      <w:r w:rsidR="00871D57" w:rsidRPr="00F672DD">
        <w:t>мощи. Что касается судебных издержек, то, согласно общему правилу, действующему в шведской системе правосудия, все судебные издержки, вкл</w:t>
      </w:r>
      <w:r w:rsidR="00871D57" w:rsidRPr="00F672DD">
        <w:t>ю</w:t>
      </w:r>
      <w:r w:rsidR="00871D57" w:rsidRPr="00F672DD">
        <w:t xml:space="preserve">чая судебные издержки стороны, выигравшей дело, оплачивает проигравшая сторона. </w:t>
      </w:r>
    </w:p>
    <w:p w:rsidR="00871D57" w:rsidRPr="00F672DD" w:rsidRDefault="00BB1906" w:rsidP="00871D57">
      <w:pPr>
        <w:pStyle w:val="SingleTxtGR"/>
      </w:pPr>
      <w:r>
        <w:t>104.</w:t>
      </w:r>
      <w:r>
        <w:tab/>
      </w:r>
      <w:r w:rsidR="00871D57" w:rsidRPr="00F672DD">
        <w:t>В пункте</w:t>
      </w:r>
      <w:r w:rsidR="000557E5" w:rsidRPr="000557E5">
        <w:t xml:space="preserve"> </w:t>
      </w:r>
      <w:r w:rsidR="00871D57" w:rsidRPr="00F672DD">
        <w:t>76 семнадцатого и восемнадцатого периодического доклада Швеции упоминается одно из важных судебных дел, выигранных саамскими деревнями в окружном суде. Впоследствии это дело рассматривалось Апелл</w:t>
      </w:r>
      <w:r w:rsidR="00871D57" w:rsidRPr="00F672DD">
        <w:t>я</w:t>
      </w:r>
      <w:r w:rsidR="00871D57" w:rsidRPr="00F672DD">
        <w:t>ционным и Верховным судами. 27</w:t>
      </w:r>
      <w:r w:rsidR="000557E5">
        <w:t xml:space="preserve"> </w:t>
      </w:r>
      <w:r w:rsidR="00871D57" w:rsidRPr="00F672DD">
        <w:t>апреля 2011</w:t>
      </w:r>
      <w:r w:rsidR="000557E5">
        <w:t xml:space="preserve"> </w:t>
      </w:r>
      <w:r w:rsidR="00871D57" w:rsidRPr="00F672DD">
        <w:t>года Верховный суд вынес по нему окончательное решение. Подтвердив решения окружного и апелляционн</w:t>
      </w:r>
      <w:r w:rsidR="00871D57" w:rsidRPr="00F672DD">
        <w:t>о</w:t>
      </w:r>
      <w:r w:rsidR="00871D57" w:rsidRPr="00F672DD">
        <w:t>го судов, он постановил, что саамские деревни имеют право на зимний выпас оленей на землях, о которых шла речь. Поэтому иск собственников земель был оста</w:t>
      </w:r>
      <w:r w:rsidR="00871D57" w:rsidRPr="00F672DD">
        <w:t>в</w:t>
      </w:r>
      <w:r w:rsidR="00871D57" w:rsidRPr="00F672DD">
        <w:t>лен без удовлетворения. Как отмечалось ранее, например в ответе Швеции на вопрос</w:t>
      </w:r>
      <w:r w:rsidR="000557E5" w:rsidRPr="000557E5">
        <w:t xml:space="preserve"> </w:t>
      </w:r>
      <w:r w:rsidR="00871D57" w:rsidRPr="00F672DD">
        <w:t>14 перечня вопросов, а также в письме Швеции от 20</w:t>
      </w:r>
      <w:r w:rsidR="000557E5">
        <w:t xml:space="preserve"> </w:t>
      </w:r>
      <w:r w:rsidR="00871D57" w:rsidRPr="00F672DD">
        <w:t>июля 2009</w:t>
      </w:r>
      <w:r w:rsidR="000557E5">
        <w:t xml:space="preserve"> </w:t>
      </w:r>
      <w:r w:rsidR="00871D57" w:rsidRPr="00F672DD">
        <w:t xml:space="preserve">года с дополнительной информацией по этому вопросу, Швеция старается находить альтернативные способы разрешения споров, и в частности назначает для этого посредников. </w:t>
      </w:r>
    </w:p>
    <w:p w:rsidR="00871D57" w:rsidRPr="00C2200B" w:rsidRDefault="00871D57" w:rsidP="00C2200B">
      <w:pPr>
        <w:pStyle w:val="H23GR"/>
      </w:pPr>
      <w:r w:rsidRPr="00C2200B">
        <w:tab/>
        <w:t>d)</w:t>
      </w:r>
      <w:r w:rsidRPr="00C2200B">
        <w:tab/>
        <w:t>Конвенция стран Северной Европы о правах народа саами и Конвенция</w:t>
      </w:r>
      <w:r w:rsidR="00BB1906">
        <w:t> </w:t>
      </w:r>
      <w:r w:rsidRPr="00C2200B">
        <w:t>№</w:t>
      </w:r>
      <w:r w:rsidR="00BB1906">
        <w:t> </w:t>
      </w:r>
      <w:r w:rsidRPr="00C2200B">
        <w:t>169 МОТ (с учетом пункта</w:t>
      </w:r>
      <w:r w:rsidR="000557E5">
        <w:t xml:space="preserve"> </w:t>
      </w:r>
      <w:r w:rsidRPr="00C2200B">
        <w:t>21 рекомендаций Комитета)</w:t>
      </w:r>
    </w:p>
    <w:p w:rsidR="00871D57" w:rsidRPr="00F672DD" w:rsidRDefault="00BB1906" w:rsidP="00871D57">
      <w:pPr>
        <w:pStyle w:val="SingleTxtGR"/>
      </w:pPr>
      <w:r>
        <w:t>105.</w:t>
      </w:r>
      <w:r>
        <w:tab/>
      </w:r>
      <w:r w:rsidR="00871D57" w:rsidRPr="00F672DD">
        <w:t>Как отмечается в пункте</w:t>
      </w:r>
      <w:r w:rsidR="000557E5" w:rsidRPr="000557E5">
        <w:t xml:space="preserve"> </w:t>
      </w:r>
      <w:r w:rsidR="00871D57" w:rsidRPr="00F672DD">
        <w:t>71 семнадцатого и восемнадцатого периодич</w:t>
      </w:r>
      <w:r w:rsidR="00871D57" w:rsidRPr="00F672DD">
        <w:t>е</w:t>
      </w:r>
      <w:r w:rsidR="00871D57" w:rsidRPr="00F672DD">
        <w:t>ского доклада, а также в ответе Швеции на перечень вопросов КЛРД (в</w:t>
      </w:r>
      <w:r w:rsidR="00871D57" w:rsidRPr="00F672DD">
        <w:t>о</w:t>
      </w:r>
      <w:r w:rsidR="00871D57" w:rsidRPr="00F672DD">
        <w:t>прос</w:t>
      </w:r>
      <w:r>
        <w:t> </w:t>
      </w:r>
      <w:r w:rsidR="00871D57" w:rsidRPr="00F672DD">
        <w:t>21, пункт</w:t>
      </w:r>
      <w:r w:rsidR="000557E5" w:rsidRPr="000557E5">
        <w:t xml:space="preserve"> </w:t>
      </w:r>
      <w:r w:rsidR="00871D57" w:rsidRPr="00F672DD">
        <w:t>99), в настоящее время предпринимаются усилия по разработке региональной конвенции о коренном народе (конвенция стран Северной Евр</w:t>
      </w:r>
      <w:r w:rsidR="00871D57" w:rsidRPr="00F672DD">
        <w:t>о</w:t>
      </w:r>
      <w:r w:rsidR="00871D57" w:rsidRPr="00F672DD">
        <w:t>пы о правах народа саами). Комитет экспертов, которому поручена подготовка проекта этой конвенции, представил свои предложения на рассмотрение мин</w:t>
      </w:r>
      <w:r w:rsidR="00871D57" w:rsidRPr="00F672DD">
        <w:t>и</w:t>
      </w:r>
      <w:r w:rsidR="00871D57" w:rsidRPr="00F672DD">
        <w:t>стров, занимающихся делами саамов, и руководителей саамских общин Шв</w:t>
      </w:r>
      <w:r w:rsidR="00871D57" w:rsidRPr="00F672DD">
        <w:t>е</w:t>
      </w:r>
      <w:r w:rsidR="00871D57" w:rsidRPr="00F672DD">
        <w:t>ции, Норвегии и Финляндии еще 26</w:t>
      </w:r>
      <w:r w:rsidR="000557E5">
        <w:t xml:space="preserve"> </w:t>
      </w:r>
      <w:r w:rsidR="00871D57" w:rsidRPr="00F672DD">
        <w:t>октября 2005</w:t>
      </w:r>
      <w:r w:rsidR="000557E5">
        <w:t xml:space="preserve"> </w:t>
      </w:r>
      <w:r w:rsidR="00871D57" w:rsidRPr="00F672DD">
        <w:t>года. В настоящее время пр</w:t>
      </w:r>
      <w:r w:rsidR="00871D57" w:rsidRPr="00F672DD">
        <w:t>о</w:t>
      </w:r>
      <w:r w:rsidR="00871D57" w:rsidRPr="00F672DD">
        <w:t>ект конвенции о</w:t>
      </w:r>
      <w:r w:rsidR="00871D57" w:rsidRPr="00F672DD">
        <w:t>б</w:t>
      </w:r>
      <w:r w:rsidR="00871D57" w:rsidRPr="00F672DD">
        <w:t xml:space="preserve">суждается и изучается в соответствующих странах на предмет его последствий. </w:t>
      </w:r>
    </w:p>
    <w:p w:rsidR="00871D57" w:rsidRPr="00F672DD" w:rsidRDefault="00BB1906" w:rsidP="00871D57">
      <w:pPr>
        <w:pStyle w:val="SingleTxtGR"/>
      </w:pPr>
      <w:r>
        <w:t>106.</w:t>
      </w:r>
      <w:r>
        <w:tab/>
      </w:r>
      <w:r w:rsidR="00871D57" w:rsidRPr="00F672DD">
        <w:t>Принятие данной конвенции является одной из приоритетных задач для Швеции. 22</w:t>
      </w:r>
      <w:r w:rsidR="000557E5" w:rsidRPr="000557E5">
        <w:t xml:space="preserve"> </w:t>
      </w:r>
      <w:r w:rsidR="00871D57" w:rsidRPr="00F672DD">
        <w:t>ноября 2007</w:t>
      </w:r>
      <w:r w:rsidR="000557E5">
        <w:t xml:space="preserve"> </w:t>
      </w:r>
      <w:r w:rsidR="00871D57" w:rsidRPr="00F672DD">
        <w:t>года профильными министрами и руководителями с</w:t>
      </w:r>
      <w:r w:rsidR="00871D57" w:rsidRPr="00F672DD">
        <w:t>а</w:t>
      </w:r>
      <w:r w:rsidR="00871D57" w:rsidRPr="00F672DD">
        <w:t>амских общин было принято решение сформировать национальные делегации для ведения переговоров по проекту конвенции и начать переговорный процесс. Такие делегации были сформированы в марте 2011</w:t>
      </w:r>
      <w:r w:rsidR="000557E5" w:rsidRPr="000557E5">
        <w:t xml:space="preserve"> </w:t>
      </w:r>
      <w:r w:rsidR="00871D57" w:rsidRPr="00F672DD">
        <w:t>года. В состав шведской д</w:t>
      </w:r>
      <w:r w:rsidR="00871D57" w:rsidRPr="00F672DD">
        <w:t>е</w:t>
      </w:r>
      <w:r w:rsidR="00871D57" w:rsidRPr="00F672DD">
        <w:t>легации, которую возглавляет представитель правительства, входят два пре</w:t>
      </w:r>
      <w:r w:rsidR="00871D57" w:rsidRPr="00F672DD">
        <w:t>д</w:t>
      </w:r>
      <w:r w:rsidR="00871D57" w:rsidRPr="00F672DD">
        <w:t>ставителя народа саами, назначенных саамским парламентом, и два представ</w:t>
      </w:r>
      <w:r w:rsidR="00871D57" w:rsidRPr="00F672DD">
        <w:t>и</w:t>
      </w:r>
      <w:r w:rsidR="00871D57" w:rsidRPr="00F672DD">
        <w:t>теля правительства (не считая руководителя делегации). Все соответствующие ра</w:t>
      </w:r>
      <w:r w:rsidR="00871D57" w:rsidRPr="00F672DD">
        <w:t>с</w:t>
      </w:r>
      <w:r w:rsidR="00871D57" w:rsidRPr="00F672DD">
        <w:t xml:space="preserve">ходы взяло на себя правительство. </w:t>
      </w:r>
    </w:p>
    <w:p w:rsidR="00871D57" w:rsidRPr="00F672DD" w:rsidRDefault="00BB1906" w:rsidP="00871D57">
      <w:pPr>
        <w:pStyle w:val="SingleTxtGR"/>
      </w:pPr>
      <w:r>
        <w:t>107.</w:t>
      </w:r>
      <w:r>
        <w:tab/>
      </w:r>
      <w:r w:rsidR="00871D57" w:rsidRPr="00F672DD">
        <w:t>Уже прошло первое чтение проекта, в ходе которого делегации изложили свои позиции. Переговоры по существу проекта должны начаться осенью этого года и завершиться в течение максимум пяти лет.</w:t>
      </w:r>
    </w:p>
    <w:p w:rsidR="00871D57" w:rsidRPr="00F672DD" w:rsidRDefault="00BB1906" w:rsidP="00871D57">
      <w:pPr>
        <w:pStyle w:val="SingleTxtGR"/>
      </w:pPr>
      <w:r>
        <w:t>108.</w:t>
      </w:r>
      <w:r>
        <w:tab/>
      </w:r>
      <w:r w:rsidR="00871D57" w:rsidRPr="00F672DD">
        <w:t>На правительственном уровне продолжается также работа по подготовке к ратификации Конвенции №</w:t>
      </w:r>
      <w:r w:rsidR="000557E5" w:rsidRPr="000557E5">
        <w:t xml:space="preserve"> </w:t>
      </w:r>
      <w:r w:rsidR="00871D57" w:rsidRPr="00F672DD">
        <w:t>169 МОТ. Эта работа осложняется проблемами, возникающими в связи со статьей</w:t>
      </w:r>
      <w:r w:rsidR="000557E5">
        <w:t xml:space="preserve"> </w:t>
      </w:r>
      <w:r w:rsidR="00871D57" w:rsidRPr="00F672DD">
        <w:t>14 этой конвенции, касающейся земельных прав.</w:t>
      </w:r>
    </w:p>
    <w:p w:rsidR="00871D57" w:rsidRPr="00F672DD" w:rsidRDefault="00BB1906" w:rsidP="00871D57">
      <w:pPr>
        <w:pStyle w:val="SingleTxtGR"/>
      </w:pPr>
      <w:r>
        <w:t>109.</w:t>
      </w:r>
      <w:r>
        <w:tab/>
      </w:r>
      <w:r w:rsidR="00871D57" w:rsidRPr="00F672DD">
        <w:t>С 1995</w:t>
      </w:r>
      <w:r w:rsidR="000557E5" w:rsidRPr="000557E5">
        <w:t xml:space="preserve"> </w:t>
      </w:r>
      <w:r w:rsidR="00871D57" w:rsidRPr="00F672DD">
        <w:t>года право собственности и право заниматься оленеводством з</w:t>
      </w:r>
      <w:r w:rsidR="00871D57" w:rsidRPr="00F672DD">
        <w:t>а</w:t>
      </w:r>
      <w:r w:rsidR="00871D57" w:rsidRPr="00F672DD">
        <w:t>креплены в Конституции страны. Взаимосвязь между этими двумя конституц</w:t>
      </w:r>
      <w:r w:rsidR="00871D57" w:rsidRPr="00F672DD">
        <w:t>и</w:t>
      </w:r>
      <w:r w:rsidR="00871D57" w:rsidRPr="00F672DD">
        <w:t>онными правами носит далеко не простой характер, поскольку земли в севе</w:t>
      </w:r>
      <w:r w:rsidR="00871D57" w:rsidRPr="00F672DD">
        <w:t>р</w:t>
      </w:r>
      <w:r w:rsidR="00871D57" w:rsidRPr="00F672DD">
        <w:t>ных районах Швеции, где осуществляется оленеводческая деятельность, и</w:t>
      </w:r>
      <w:r w:rsidR="00871D57" w:rsidRPr="00F672DD">
        <w:t>с</w:t>
      </w:r>
      <w:r w:rsidR="00871D57" w:rsidRPr="00F672DD">
        <w:t>пользуются в различных целях, и права на них не всегда принадлежат тем, кто их используют. Поэтому Швеция заинтересована в сохранении баланса интер</w:t>
      </w:r>
      <w:r w:rsidR="00871D57" w:rsidRPr="00F672DD">
        <w:t>е</w:t>
      </w:r>
      <w:r w:rsidR="00871D57" w:rsidRPr="00F672DD">
        <w:t>сов и недопущении ущемления чьих-либо прав. В конечном счете речь идет о равенстве перед законом и соблюдении права на равное обращение. Поэтому смысл конституционной защиты состоит в обеспечении того, чтобы право ж</w:t>
      </w:r>
      <w:r w:rsidR="00871D57" w:rsidRPr="00F672DD">
        <w:t>и</w:t>
      </w:r>
      <w:r w:rsidR="00871D57" w:rsidRPr="00F672DD">
        <w:t>телей саамских деревень заниматься оленеводством не нарушало прав собс</w:t>
      </w:r>
      <w:r w:rsidR="00871D57" w:rsidRPr="00F672DD">
        <w:t>т</w:t>
      </w:r>
      <w:r w:rsidR="00871D57" w:rsidRPr="00F672DD">
        <w:t>венников земель и, наоборот, чтобы собственники земель, реализуя свое право собстве</w:t>
      </w:r>
      <w:r w:rsidR="00871D57" w:rsidRPr="00F672DD">
        <w:t>н</w:t>
      </w:r>
      <w:r w:rsidR="00871D57" w:rsidRPr="00F672DD">
        <w:t xml:space="preserve">ности, не нарушали права саамов заниматься оленеводством. </w:t>
      </w:r>
    </w:p>
    <w:p w:rsidR="00871D57" w:rsidRPr="00C2200B" w:rsidRDefault="00871D57" w:rsidP="00C2200B">
      <w:pPr>
        <w:pStyle w:val="H23GR"/>
      </w:pPr>
      <w:r w:rsidRPr="00C2200B">
        <w:tab/>
        <w:t>e)</w:t>
      </w:r>
      <w:r w:rsidRPr="00C2200B">
        <w:tab/>
        <w:t>Саамы (с учетом пункта</w:t>
      </w:r>
      <w:r w:rsidR="000557E5">
        <w:t xml:space="preserve"> </w:t>
      </w:r>
      <w:r w:rsidRPr="00C2200B">
        <w:t>22 рекомендаций Комитета)</w:t>
      </w:r>
    </w:p>
    <w:p w:rsidR="00871D57" w:rsidRPr="00F672DD" w:rsidRDefault="00BB1906" w:rsidP="00871D57">
      <w:pPr>
        <w:pStyle w:val="SingleTxtGR"/>
      </w:pPr>
      <w:r>
        <w:t>110.</w:t>
      </w:r>
      <w:r>
        <w:tab/>
      </w:r>
      <w:r w:rsidR="00871D57" w:rsidRPr="00F672DD">
        <w:t>В Швеции ответственность за образование саамов, в том числе за созд</w:t>
      </w:r>
      <w:r w:rsidR="00871D57" w:rsidRPr="00F672DD">
        <w:t>а</w:t>
      </w:r>
      <w:r w:rsidR="00871D57" w:rsidRPr="00F672DD">
        <w:t>ние для них дошкольных учреждений и вечерних школ, несет государство в л</w:t>
      </w:r>
      <w:r w:rsidR="00871D57" w:rsidRPr="00F672DD">
        <w:t>и</w:t>
      </w:r>
      <w:r w:rsidR="00871D57" w:rsidRPr="00F672DD">
        <w:t>це Совета по вопросам образования саамов. По договоренности с муниципал</w:t>
      </w:r>
      <w:r w:rsidR="00871D57" w:rsidRPr="00F672DD">
        <w:t>ь</w:t>
      </w:r>
      <w:r w:rsidR="00871D57" w:rsidRPr="00F672DD">
        <w:t>ными органами при всех саамских школах созданы и функционируют дошкол</w:t>
      </w:r>
      <w:r w:rsidR="00871D57" w:rsidRPr="00F672DD">
        <w:t>ь</w:t>
      </w:r>
      <w:r w:rsidR="00871D57" w:rsidRPr="00F672DD">
        <w:t>ные учреждения. Одной из обязанностей Совета является предоставление и</w:t>
      </w:r>
      <w:r w:rsidR="00871D57" w:rsidRPr="00F672DD">
        <w:t>н</w:t>
      </w:r>
      <w:r w:rsidR="00871D57" w:rsidRPr="00F672DD">
        <w:t>формации об общих расходах на цели образования саамов. Чтобы расширить возможности по обучению детей саамов языку, с 2010 года ассигнования на ц</w:t>
      </w:r>
      <w:r w:rsidR="00871D57" w:rsidRPr="00F672DD">
        <w:t>е</w:t>
      </w:r>
      <w:r w:rsidR="00871D57" w:rsidRPr="00F672DD">
        <w:t>ли обр</w:t>
      </w:r>
      <w:r w:rsidR="00871D57" w:rsidRPr="00F672DD">
        <w:t>а</w:t>
      </w:r>
      <w:r w:rsidR="00871D57" w:rsidRPr="00F672DD">
        <w:t>зования саамов были увеличены на 1</w:t>
      </w:r>
      <w:r w:rsidR="000557E5">
        <w:t xml:space="preserve"> </w:t>
      </w:r>
      <w:r w:rsidR="00871D57" w:rsidRPr="00F672DD">
        <w:t>млн. шведских крон.</w:t>
      </w:r>
    </w:p>
    <w:p w:rsidR="00871D57" w:rsidRPr="00F672DD" w:rsidRDefault="00F251D6" w:rsidP="00871D57">
      <w:pPr>
        <w:pStyle w:val="SingleTxtGR"/>
      </w:pPr>
      <w:r>
        <w:t>1</w:t>
      </w:r>
      <w:r w:rsidR="00BB1906">
        <w:t>11.</w:t>
      </w:r>
      <w:r w:rsidR="00BB1906">
        <w:tab/>
      </w:r>
      <w:r w:rsidR="00871D57" w:rsidRPr="00F672DD">
        <w:t>Правительством сформирован комитет для изучения вопроса об испол</w:t>
      </w:r>
      <w:r w:rsidR="00871D57" w:rsidRPr="00F672DD">
        <w:t>ь</w:t>
      </w:r>
      <w:r w:rsidR="00871D57" w:rsidRPr="00F672DD">
        <w:t>зовании в некоторых случаях дистанционного обучения в качестве альтернат</w:t>
      </w:r>
      <w:r w:rsidR="00871D57" w:rsidRPr="00F672DD">
        <w:t>и</w:t>
      </w:r>
      <w:r w:rsidR="00871D57" w:rsidRPr="00F672DD">
        <w:t>вы посещению школ, вх</w:t>
      </w:r>
      <w:r w:rsidR="00871D57" w:rsidRPr="00F672DD">
        <w:t>о</w:t>
      </w:r>
      <w:r w:rsidR="00871D57" w:rsidRPr="00F672DD">
        <w:t>дящих в систему обязательного образования, средних школ второй ступени и средних школ второй ступени для учащихся с огран</w:t>
      </w:r>
      <w:r w:rsidR="00871D57" w:rsidRPr="00F672DD">
        <w:t>и</w:t>
      </w:r>
      <w:r w:rsidR="00871D57" w:rsidRPr="00F672DD">
        <w:t>ченными способностями (</w:t>
      </w:r>
      <w:r w:rsidR="00871D57" w:rsidRPr="00F672DD">
        <w:rPr>
          <w:lang w:val="en-GB"/>
        </w:rPr>
        <w:t>dir</w:t>
      </w:r>
      <w:r w:rsidR="00871D57" w:rsidRPr="00F672DD">
        <w:t>. 2011:85). Дистанционное обучение как альтерн</w:t>
      </w:r>
      <w:r w:rsidR="00871D57" w:rsidRPr="00F672DD">
        <w:t>а</w:t>
      </w:r>
      <w:r w:rsidR="00871D57" w:rsidRPr="00F672DD">
        <w:t>тива обычному школьному обучению может стать одним из способов решения проблемы нехватки квалифицированных учителей, способных преподавать предметы на языках меньшинств. Доклад комитета должен быть представлен не позднее 15</w:t>
      </w:r>
      <w:r w:rsidR="000557E5">
        <w:t xml:space="preserve"> </w:t>
      </w:r>
      <w:r w:rsidR="00871D57" w:rsidRPr="00F672DD">
        <w:t>ноября 2012</w:t>
      </w:r>
      <w:r w:rsidR="000557E5">
        <w:t xml:space="preserve"> </w:t>
      </w:r>
      <w:r w:rsidR="00871D57" w:rsidRPr="00F672DD">
        <w:t>года.</w:t>
      </w:r>
    </w:p>
    <w:p w:rsidR="00871D57" w:rsidRPr="00F672DD" w:rsidRDefault="00871D57" w:rsidP="00F251D6">
      <w:pPr>
        <w:pStyle w:val="H1GR"/>
      </w:pPr>
      <w:r w:rsidRPr="00F672DD">
        <w:tab/>
      </w:r>
      <w:r w:rsidRPr="00F672DD">
        <w:tab/>
        <w:t>Статья 3</w:t>
      </w:r>
    </w:p>
    <w:p w:rsidR="00871D57" w:rsidRPr="00C2200B" w:rsidRDefault="00871D57" w:rsidP="00C2200B">
      <w:pPr>
        <w:pStyle w:val="H23GR"/>
      </w:pPr>
      <w:r w:rsidRPr="00C2200B">
        <w:tab/>
      </w:r>
      <w:r w:rsidRPr="00C2200B">
        <w:tab/>
        <w:t>Развитие городских районов</w:t>
      </w:r>
    </w:p>
    <w:p w:rsidR="00871D57" w:rsidRPr="00F672DD" w:rsidRDefault="00F251D6" w:rsidP="00871D57">
      <w:pPr>
        <w:pStyle w:val="SingleTxtGR"/>
      </w:pPr>
      <w:bookmarkStart w:id="2" w:name="OLE_LINK2"/>
      <w:bookmarkStart w:id="3" w:name="OLE_LINK1"/>
      <w:r>
        <w:t>112.</w:t>
      </w:r>
      <w:r>
        <w:tab/>
      </w:r>
      <w:r w:rsidR="00871D57" w:rsidRPr="00F672DD">
        <w:t>В настоящее время основное внимание в рамках деятельности по разв</w:t>
      </w:r>
      <w:r w:rsidR="00871D57" w:rsidRPr="00F672DD">
        <w:t>и</w:t>
      </w:r>
      <w:r w:rsidR="00871D57" w:rsidRPr="00F672DD">
        <w:t>тию городских районов уделяется оценке, сбору информации, обмену знаниями и их распространению. Поддержка со стороны правительства оказывается дев</w:t>
      </w:r>
      <w:r w:rsidR="00871D57" w:rsidRPr="00F672DD">
        <w:t>я</w:t>
      </w:r>
      <w:r w:rsidR="00871D57" w:rsidRPr="00F672DD">
        <w:t>ти муниципалитетам с высоким уровнем безработицы, высокой степенью зав</w:t>
      </w:r>
      <w:r w:rsidR="00871D57" w:rsidRPr="00F672DD">
        <w:t>и</w:t>
      </w:r>
      <w:r w:rsidR="00871D57" w:rsidRPr="00F672DD">
        <w:t>симости населения от социальных пособий и низким процентом учащихся, пр</w:t>
      </w:r>
      <w:r w:rsidR="00871D57" w:rsidRPr="00F672DD">
        <w:t>о</w:t>
      </w:r>
      <w:r w:rsidR="00871D57" w:rsidRPr="00F672DD">
        <w:t>должающих обучение в средних школах второй ступени.</w:t>
      </w:r>
    </w:p>
    <w:bookmarkEnd w:id="2"/>
    <w:bookmarkEnd w:id="3"/>
    <w:p w:rsidR="00871D57" w:rsidRPr="00F672DD" w:rsidRDefault="00F251D6" w:rsidP="00436C18">
      <w:pPr>
        <w:pStyle w:val="SingleTxtGR"/>
        <w:pageBreakBefore/>
      </w:pPr>
      <w:r>
        <w:t>113.</w:t>
      </w:r>
      <w:r>
        <w:tab/>
      </w:r>
      <w:r w:rsidR="00871D57" w:rsidRPr="00F672DD">
        <w:t>В бюджетных инструкциях на 2012 год Национальному совету по ж</w:t>
      </w:r>
      <w:r w:rsidR="00871D57" w:rsidRPr="00F672DD">
        <w:t>и</w:t>
      </w:r>
      <w:r w:rsidR="00871D57" w:rsidRPr="00F672DD">
        <w:t>лищному хозяйству, строительству и планированию и ряду окружных админ</w:t>
      </w:r>
      <w:r w:rsidR="00871D57" w:rsidRPr="00F672DD">
        <w:t>и</w:t>
      </w:r>
      <w:r w:rsidR="00871D57" w:rsidRPr="00F672DD">
        <w:t>стративных советов предписано содействовать деятельности по распростран</w:t>
      </w:r>
      <w:r w:rsidR="00871D57" w:rsidRPr="00F672DD">
        <w:t>е</w:t>
      </w:r>
      <w:r w:rsidR="00871D57" w:rsidRPr="00F672DD">
        <w:t>нию знаний и обмену информацией и опытом на муниципальном уровне. Ст</w:t>
      </w:r>
      <w:r w:rsidR="00871D57" w:rsidRPr="00F672DD">
        <w:t>а</w:t>
      </w:r>
      <w:r w:rsidR="00871D57" w:rsidRPr="00F672DD">
        <w:t>тистическое управление Швеции со своей стороны продолжает усилия по со</w:t>
      </w:r>
      <w:r w:rsidR="00871D57" w:rsidRPr="00F672DD">
        <w:t>з</w:t>
      </w:r>
      <w:r w:rsidR="00871D57" w:rsidRPr="00F672DD">
        <w:t>данию системы сбора данных о мерах по противодействию сегрегации в горо</w:t>
      </w:r>
      <w:r w:rsidR="00871D57" w:rsidRPr="00F672DD">
        <w:t>д</w:t>
      </w:r>
      <w:r w:rsidR="00871D57" w:rsidRPr="00F672DD">
        <w:t>ских районах на окружном уровне. Кроме того, Национальному совету по пр</w:t>
      </w:r>
      <w:r w:rsidR="00871D57" w:rsidRPr="00F672DD">
        <w:t>е</w:t>
      </w:r>
      <w:r w:rsidR="00871D57" w:rsidRPr="00F672DD">
        <w:t>дупреждению преступности поручено заниматься сбором статистических да</w:t>
      </w:r>
      <w:r w:rsidR="00871D57" w:rsidRPr="00F672DD">
        <w:t>н</w:t>
      </w:r>
      <w:r w:rsidR="00871D57" w:rsidRPr="00F672DD">
        <w:t>ных о ситуации в тех городских районах, где ведется наиболее интенсивное стро</w:t>
      </w:r>
      <w:r w:rsidR="00871D57" w:rsidRPr="00F672DD">
        <w:t>и</w:t>
      </w:r>
      <w:r w:rsidR="00871D57" w:rsidRPr="00F672DD">
        <w:t>тельство. Обязанности по оказанию поддержки усилиям по отбору школ в соответствующих муниципалитетах возложены на Национальное агентство по вопросам о</w:t>
      </w:r>
      <w:r w:rsidR="00871D57" w:rsidRPr="00F672DD">
        <w:t>б</w:t>
      </w:r>
      <w:r w:rsidR="00871D57" w:rsidRPr="00F672DD">
        <w:t>разования.</w:t>
      </w:r>
    </w:p>
    <w:p w:rsidR="00871D57" w:rsidRPr="00F672DD" w:rsidRDefault="00F251D6" w:rsidP="00871D57">
      <w:pPr>
        <w:pStyle w:val="SingleTxtGR"/>
      </w:pPr>
      <w:r>
        <w:t>114.</w:t>
      </w:r>
      <w:r>
        <w:tab/>
      </w:r>
      <w:r w:rsidR="00871D57" w:rsidRPr="00F672DD">
        <w:t>Одной из задач Национального совета по жилищному хозяйству, стро</w:t>
      </w:r>
      <w:r w:rsidR="00871D57" w:rsidRPr="00F672DD">
        <w:t>и</w:t>
      </w:r>
      <w:r w:rsidR="00871D57" w:rsidRPr="00F672DD">
        <w:t>тельству и планированию является накопление и распространение знаний и и</w:t>
      </w:r>
      <w:r w:rsidR="00871D57" w:rsidRPr="00F672DD">
        <w:t>н</w:t>
      </w:r>
      <w:r w:rsidR="00871D57" w:rsidRPr="00F672DD">
        <w:t>формации, которые могли бы придать позитивную динамику развитию горо</w:t>
      </w:r>
      <w:r w:rsidR="00871D57" w:rsidRPr="00F672DD">
        <w:t>д</w:t>
      </w:r>
      <w:r w:rsidR="00871D57" w:rsidRPr="00F672DD">
        <w:t>ских районов, характеризующихся высоким уровнем маргинализации насел</w:t>
      </w:r>
      <w:r w:rsidR="00871D57" w:rsidRPr="00F672DD">
        <w:t>е</w:t>
      </w:r>
      <w:r w:rsidR="00871D57" w:rsidRPr="00F672DD">
        <w:t>ния, в том числе за счет учета реальных потребностей муниципалитетов при осущес</w:t>
      </w:r>
      <w:r w:rsidR="00871D57" w:rsidRPr="00F672DD">
        <w:t>т</w:t>
      </w:r>
      <w:r w:rsidR="00871D57" w:rsidRPr="00F672DD">
        <w:t>влении соответствующих строительных проектов. Совет призван также содействовать обмену информацией между муниципалитетами и другими заи</w:t>
      </w:r>
      <w:r w:rsidR="00871D57" w:rsidRPr="00F672DD">
        <w:t>н</w:t>
      </w:r>
      <w:r w:rsidR="00871D57" w:rsidRPr="00F672DD">
        <w:t>тересованными сторонами, взаимодействовать с другими государственными о</w:t>
      </w:r>
      <w:r w:rsidR="00871D57" w:rsidRPr="00F672DD">
        <w:t>р</w:t>
      </w:r>
      <w:r w:rsidR="00871D57" w:rsidRPr="00F672DD">
        <w:t>ганами, имеющими отношение к проектам по развитию городских районов, и</w:t>
      </w:r>
      <w:r w:rsidR="00956760">
        <w:rPr>
          <w:lang w:val="en-US"/>
        </w:rPr>
        <w:t> </w:t>
      </w:r>
      <w:r w:rsidR="00871D57" w:rsidRPr="00F672DD">
        <w:t>заниматься обобщением и анализом собранной информации. Доклад Совета по результатам всей этой работы должен быть представлен в феврале 2013</w:t>
      </w:r>
      <w:r w:rsidR="000557E5">
        <w:t xml:space="preserve"> </w:t>
      </w:r>
      <w:r w:rsidR="00871D57" w:rsidRPr="00F672DD">
        <w:t>года.</w:t>
      </w:r>
    </w:p>
    <w:p w:rsidR="00871D57" w:rsidRPr="00F672DD" w:rsidRDefault="00F251D6" w:rsidP="00871D57">
      <w:pPr>
        <w:pStyle w:val="SingleTxtGR"/>
      </w:pPr>
      <w:r>
        <w:t>115.</w:t>
      </w:r>
      <w:r>
        <w:tab/>
      </w:r>
      <w:r w:rsidR="00871D57" w:rsidRPr="00F672DD">
        <w:t>В декабре 2008 года Национальный совет по жилищному хозяйству, строительству и планированию представил правительству доклад о ситуации с обеспечением жильем просителей убежища. Лица, стремящиеся получить уб</w:t>
      </w:r>
      <w:r w:rsidR="00871D57" w:rsidRPr="00F672DD">
        <w:t>е</w:t>
      </w:r>
      <w:r w:rsidR="00871D57" w:rsidRPr="00F672DD">
        <w:t>жище в Швеции и ожидающие решения по своим ходатайствам, могут выб</w:t>
      </w:r>
      <w:r w:rsidR="00871D57" w:rsidRPr="00F672DD">
        <w:t>и</w:t>
      </w:r>
      <w:r w:rsidR="00871D57" w:rsidRPr="00F672DD">
        <w:t>рать, где им жить</w:t>
      </w:r>
      <w:r w:rsidR="006B159C">
        <w:t xml:space="preserve"> − </w:t>
      </w:r>
      <w:r w:rsidR="00871D57" w:rsidRPr="00F672DD">
        <w:t>у родственников или друзей или в одной из квартир, аре</w:t>
      </w:r>
      <w:r w:rsidR="00871D57" w:rsidRPr="00F672DD">
        <w:t>н</w:t>
      </w:r>
      <w:r w:rsidR="00871D57" w:rsidRPr="00F672DD">
        <w:t>дованных Шведским советом по вопросам миграции. Большинство просителей убежища выбирают первый вариант. Право самостоятельно искать жилье не раз становилось предметом расследований, проводившихся правительством. В до</w:t>
      </w:r>
      <w:r w:rsidR="00871D57" w:rsidRPr="00F672DD">
        <w:t>к</w:t>
      </w:r>
      <w:r w:rsidR="00871D57" w:rsidRPr="00F672DD">
        <w:t>ладе Национального совета по жилищному хозяйству, строительству и план</w:t>
      </w:r>
      <w:r w:rsidR="00871D57" w:rsidRPr="00F672DD">
        <w:t>и</w:t>
      </w:r>
      <w:r w:rsidR="00871D57" w:rsidRPr="00F672DD">
        <w:t>рованию подтверждаются выводы по результатам этих расследований, каса</w:t>
      </w:r>
      <w:r w:rsidR="00871D57" w:rsidRPr="00F672DD">
        <w:t>ю</w:t>
      </w:r>
      <w:r w:rsidR="00871D57" w:rsidRPr="00F672DD">
        <w:t>щиеся нег</w:t>
      </w:r>
      <w:r w:rsidR="00871D57" w:rsidRPr="00F672DD">
        <w:t>а</w:t>
      </w:r>
      <w:r w:rsidR="00871D57" w:rsidRPr="00F672DD">
        <w:t>тивных последствий реализации данного права. Особое внимание в нем обращается на проблемы, связанные с перенаселенностью и отсутствием гарантий невыселения. Согласно этому докладу больше всего в этой ситуации страдают дети просителей убежища. Вместе с тем в докладе отмечается, что лица, р</w:t>
      </w:r>
      <w:r w:rsidR="00871D57" w:rsidRPr="00F672DD">
        <w:t>е</w:t>
      </w:r>
      <w:r w:rsidR="00871D57" w:rsidRPr="00F672DD">
        <w:t>шившие самостоятельно искать жилье, быстрее адаптируются и имеют больше шансов найти работу и собственную крышу над головой, чем те, кто живет в центрах для беженцев, где также существует проблема скученности. Еще одной проблемой, с которой сталкиваются обитатели таких центров, явл</w:t>
      </w:r>
      <w:r w:rsidR="00871D57" w:rsidRPr="00F672DD">
        <w:t>я</w:t>
      </w:r>
      <w:r w:rsidR="00871D57" w:rsidRPr="00F672DD">
        <w:t>ется пробл</w:t>
      </w:r>
      <w:r w:rsidR="00871D57" w:rsidRPr="00F672DD">
        <w:t>е</w:t>
      </w:r>
      <w:r w:rsidR="00871D57" w:rsidRPr="00F672DD">
        <w:t>ма изолированности от внешнего мира.</w:t>
      </w:r>
    </w:p>
    <w:p w:rsidR="00871D57" w:rsidRPr="00F672DD" w:rsidRDefault="00871D57" w:rsidP="00F251D6">
      <w:pPr>
        <w:pStyle w:val="H1GR"/>
      </w:pPr>
      <w:r w:rsidRPr="00F672DD">
        <w:tab/>
      </w:r>
      <w:r w:rsidRPr="00F672DD">
        <w:tab/>
        <w:t>Статья 4</w:t>
      </w:r>
    </w:p>
    <w:p w:rsidR="00871D57" w:rsidRPr="00F672DD" w:rsidRDefault="00871D57" w:rsidP="00F251D6">
      <w:pPr>
        <w:pStyle w:val="H23GR"/>
      </w:pPr>
      <w:r w:rsidRPr="00F672DD">
        <w:tab/>
      </w:r>
      <w:r w:rsidRPr="00F672DD">
        <w:tab/>
        <w:t xml:space="preserve">Статья 4 </w:t>
      </w:r>
      <w:r w:rsidRPr="00F672DD">
        <w:rPr>
          <w:lang w:val="en-GB"/>
        </w:rPr>
        <w:t>a</w:t>
      </w:r>
      <w:r w:rsidRPr="00F672DD">
        <w:t>)</w:t>
      </w:r>
    </w:p>
    <w:p w:rsidR="00871D57" w:rsidRPr="00F672DD" w:rsidRDefault="00F251D6" w:rsidP="00871D57">
      <w:pPr>
        <w:pStyle w:val="SingleTxtGR"/>
      </w:pPr>
      <w:r>
        <w:t>116.</w:t>
      </w:r>
      <w:r>
        <w:tab/>
      </w:r>
      <w:r w:rsidR="00871D57" w:rsidRPr="00F672DD">
        <w:t>Информация о борьбе с противоправной деятельностью, направленной на возбуждение ненависти в отношении тех или иных национальных или этнич</w:t>
      </w:r>
      <w:r w:rsidR="00871D57" w:rsidRPr="00F672DD">
        <w:t>е</w:t>
      </w:r>
      <w:r w:rsidR="00871D57" w:rsidRPr="00F672DD">
        <w:t>ских групп, содержится в пункте</w:t>
      </w:r>
      <w:r w:rsidR="000557E5" w:rsidRPr="000557E5">
        <w:t xml:space="preserve"> </w:t>
      </w:r>
      <w:r w:rsidR="00871D57" w:rsidRPr="00F672DD">
        <w:t>80 семнадцатого и восемнадцатого периодич</w:t>
      </w:r>
      <w:r w:rsidR="00871D57" w:rsidRPr="00F672DD">
        <w:t>е</w:t>
      </w:r>
      <w:r w:rsidR="00871D57" w:rsidRPr="00F672DD">
        <w:t>ского доклада.</w:t>
      </w:r>
    </w:p>
    <w:p w:rsidR="00871D57" w:rsidRPr="00F251D6" w:rsidRDefault="00871D57" w:rsidP="00F251D6">
      <w:pPr>
        <w:pStyle w:val="H23GR"/>
      </w:pPr>
      <w:r w:rsidRPr="00F251D6">
        <w:tab/>
      </w:r>
      <w:r w:rsidRPr="00F251D6">
        <w:tab/>
        <w:t>Статья 4 b) (с учетом пункта</w:t>
      </w:r>
      <w:r w:rsidR="000557E5" w:rsidRPr="00F251D6">
        <w:t xml:space="preserve"> </w:t>
      </w:r>
      <w:r w:rsidRPr="00F251D6">
        <w:t>14 рекомендаций Комитета)</w:t>
      </w:r>
    </w:p>
    <w:p w:rsidR="00871D57" w:rsidRPr="00F672DD" w:rsidRDefault="00F251D6" w:rsidP="00871D57">
      <w:pPr>
        <w:pStyle w:val="SingleTxtGR"/>
      </w:pPr>
      <w:r>
        <w:t>117.</w:t>
      </w:r>
      <w:r>
        <w:tab/>
      </w:r>
      <w:r w:rsidR="00871D57" w:rsidRPr="00F672DD">
        <w:t>Швеция хотела бы вновь заявить (см. пункты</w:t>
      </w:r>
      <w:r w:rsidR="000557E5" w:rsidRPr="000557E5">
        <w:t xml:space="preserve"> </w:t>
      </w:r>
      <w:r w:rsidR="00871D57" w:rsidRPr="00F672DD">
        <w:t>81–89 семнадцатого и в</w:t>
      </w:r>
      <w:r w:rsidR="00871D57" w:rsidRPr="00F672DD">
        <w:t>о</w:t>
      </w:r>
      <w:r w:rsidR="00871D57" w:rsidRPr="00F672DD">
        <w:t>семнадцатого периодического доклада и пункты</w:t>
      </w:r>
      <w:r w:rsidR="000557E5" w:rsidRPr="000557E5">
        <w:t xml:space="preserve"> </w:t>
      </w:r>
      <w:r w:rsidR="00871D57" w:rsidRPr="00F672DD">
        <w:t>66–74 пятнадцатого и шестн</w:t>
      </w:r>
      <w:r w:rsidR="00871D57" w:rsidRPr="00F672DD">
        <w:t>а</w:t>
      </w:r>
      <w:r w:rsidR="00871D57" w:rsidRPr="00F672DD">
        <w:t>дцатого доклада), что распространение устной или письменной информации (сообщений, материалов и т.д.) с угрозами или оскорблениями в адрес той или иной национальной, этнической или другой аналогичной группы лиц и с эк</w:t>
      </w:r>
      <w:r w:rsidR="00871D57" w:rsidRPr="00F672DD">
        <w:t>с</w:t>
      </w:r>
      <w:r w:rsidR="00871D57" w:rsidRPr="00F672DD">
        <w:t>плицитными или имплицитными ссылками на расовую принадлежность, цвет кожи, национальное или этническое происхождение, религиозные убеждения или секс</w:t>
      </w:r>
      <w:r w:rsidR="00871D57" w:rsidRPr="00F672DD">
        <w:t>у</w:t>
      </w:r>
      <w:r w:rsidR="00871D57" w:rsidRPr="00F672DD">
        <w:t>альную ориентацию является преступлением (возбуждение ненависти в отношении той или национальной или этнической группы), караемым, в зав</w:t>
      </w:r>
      <w:r w:rsidR="00871D57" w:rsidRPr="00F672DD">
        <w:t>и</w:t>
      </w:r>
      <w:r w:rsidR="00871D57" w:rsidRPr="00F672DD">
        <w:t>симости от его тяжести, тюремным заключением на срок до двух лет или штр</w:t>
      </w:r>
      <w:r w:rsidR="00871D57" w:rsidRPr="00F672DD">
        <w:t>а</w:t>
      </w:r>
      <w:r w:rsidR="00871D57" w:rsidRPr="00F672DD">
        <w:t>фом. В случае наиболее тяжких преступлений такого рода срок тюремного з</w:t>
      </w:r>
      <w:r w:rsidR="00871D57" w:rsidRPr="00F672DD">
        <w:t>а</w:t>
      </w:r>
      <w:r w:rsidR="00871D57" w:rsidRPr="00F672DD">
        <w:t>ключения может достигать четырех лет. Агитация, направленная на возбужд</w:t>
      </w:r>
      <w:r w:rsidR="00871D57" w:rsidRPr="00F672DD">
        <w:t>е</w:t>
      </w:r>
      <w:r w:rsidR="00871D57" w:rsidRPr="00F672DD">
        <w:t>ние ненависти в отношении тех или иных национальных или этнических гру</w:t>
      </w:r>
      <w:r w:rsidR="00871D57" w:rsidRPr="00F672DD">
        <w:t>п</w:t>
      </w:r>
      <w:r w:rsidR="00871D57" w:rsidRPr="00F672DD">
        <w:t xml:space="preserve">па, запрещена также в печатных изданиях, на радио и телевидении и т.д. </w:t>
      </w:r>
    </w:p>
    <w:p w:rsidR="00871D57" w:rsidRPr="00F672DD" w:rsidRDefault="00F251D6" w:rsidP="00871D57">
      <w:pPr>
        <w:pStyle w:val="SingleTxtGR"/>
      </w:pPr>
      <w:r>
        <w:t>118.</w:t>
      </w:r>
      <w:r>
        <w:tab/>
      </w:r>
      <w:r w:rsidR="00871D57" w:rsidRPr="00F672DD">
        <w:t>Участие в организованной преступной деятельности может преслед</w:t>
      </w:r>
      <w:r w:rsidR="00871D57" w:rsidRPr="00F672DD">
        <w:t>о</w:t>
      </w:r>
      <w:r w:rsidR="00871D57" w:rsidRPr="00F672DD">
        <w:t>ваться в уголовном порядке и может квалифицироваться как сговор с целью с</w:t>
      </w:r>
      <w:r w:rsidR="00871D57" w:rsidRPr="00F672DD">
        <w:t>о</w:t>
      </w:r>
      <w:r w:rsidR="00871D57" w:rsidRPr="00F672DD">
        <w:t>вершения преступления, подготовка к совершению преступления, покушение на совершение преступления или соучастие в совершении преступления. Ст</w:t>
      </w:r>
      <w:r w:rsidR="00871D57" w:rsidRPr="00F672DD">
        <w:t>а</w:t>
      </w:r>
      <w:r w:rsidR="00871D57" w:rsidRPr="00F672DD">
        <w:t>тья</w:t>
      </w:r>
      <w:r w:rsidR="000557E5" w:rsidRPr="000557E5">
        <w:t xml:space="preserve"> </w:t>
      </w:r>
      <w:r w:rsidR="00871D57" w:rsidRPr="00F672DD">
        <w:t>4 главы</w:t>
      </w:r>
      <w:r w:rsidR="000557E5" w:rsidRPr="000557E5">
        <w:t xml:space="preserve"> </w:t>
      </w:r>
      <w:r w:rsidR="00871D57" w:rsidRPr="00F672DD">
        <w:t>23 Уголовного кодекса устанавливает уголовную ответственность за соучастие во всех преступлениях, предусмотренных Уголо</w:t>
      </w:r>
      <w:r w:rsidR="00871D57" w:rsidRPr="00F672DD">
        <w:t>в</w:t>
      </w:r>
      <w:r w:rsidR="00871D57" w:rsidRPr="00F672DD">
        <w:t>ным кодексом, а также во всех преступлениях, караемых тюремным заключением. Соучастие в совершении преступления, подготовка к совершению преступления и покуш</w:t>
      </w:r>
      <w:r w:rsidR="00871D57" w:rsidRPr="00F672DD">
        <w:t>е</w:t>
      </w:r>
      <w:r w:rsidR="00871D57" w:rsidRPr="00F672DD">
        <w:t>ние на совершение преступления влекут за собой уголовную ответственность, если такую ответс</w:t>
      </w:r>
      <w:r w:rsidR="00871D57" w:rsidRPr="00F672DD">
        <w:t>т</w:t>
      </w:r>
      <w:r w:rsidR="00871D57" w:rsidRPr="00F672DD">
        <w:t xml:space="preserve">венность влечет за собой само преступление. </w:t>
      </w:r>
    </w:p>
    <w:p w:rsidR="00871D57" w:rsidRPr="00F672DD" w:rsidRDefault="00F251D6" w:rsidP="00871D57">
      <w:pPr>
        <w:pStyle w:val="SingleTxtGR"/>
      </w:pPr>
      <w:r>
        <w:t>119.</w:t>
      </w:r>
      <w:r>
        <w:tab/>
      </w:r>
      <w:r w:rsidR="00871D57" w:rsidRPr="00F672DD">
        <w:t>Положения, касающиеся соучастия, сформулированы в статье</w:t>
      </w:r>
      <w:r w:rsidR="000557E5" w:rsidRPr="000557E5">
        <w:t xml:space="preserve"> </w:t>
      </w:r>
      <w:r w:rsidR="00871D57" w:rsidRPr="00F672DD">
        <w:t>4 главы</w:t>
      </w:r>
      <w:r w:rsidR="000557E5" w:rsidRPr="000557E5">
        <w:t xml:space="preserve"> </w:t>
      </w:r>
      <w:r w:rsidR="00871D57" w:rsidRPr="00F672DD">
        <w:t>23 Уголовного кодекса. Согласно этой статье наказанию подвергается не только лицо, совершившее преступление, но и любое другое лицо, которое советом или делом способствовало этому. Лицо, побуждающее другое лицо к соверш</w:t>
      </w:r>
      <w:r w:rsidR="00871D57" w:rsidRPr="00F672DD">
        <w:t>е</w:t>
      </w:r>
      <w:r w:rsidR="00871D57" w:rsidRPr="00F672DD">
        <w:t>нию преступления, может быть привлечено к уголовной ответственности за подстрекательство или соучастие. В соответствии со статьей</w:t>
      </w:r>
      <w:r w:rsidR="000557E5" w:rsidRPr="000557E5">
        <w:t xml:space="preserve"> </w:t>
      </w:r>
      <w:r w:rsidR="00871D57" w:rsidRPr="00F672DD">
        <w:t>1 главы</w:t>
      </w:r>
      <w:r w:rsidR="000557E5" w:rsidRPr="000557E5">
        <w:t xml:space="preserve"> </w:t>
      </w:r>
      <w:r w:rsidR="00871D57" w:rsidRPr="00F672DD">
        <w:t>23 Уг</w:t>
      </w:r>
      <w:r w:rsidR="00871D57" w:rsidRPr="00F672DD">
        <w:t>о</w:t>
      </w:r>
      <w:r w:rsidR="00871D57" w:rsidRPr="00F672DD">
        <w:t>ловного кодекса лицо, приступившее к совершению преступного деяния, но не дове</w:t>
      </w:r>
      <w:r w:rsidR="00871D57" w:rsidRPr="00F672DD">
        <w:t>д</w:t>
      </w:r>
      <w:r w:rsidR="00871D57" w:rsidRPr="00F672DD">
        <w:t>шее его до конца, подлежит привлечению к ответственности за покушение на совершение преступления, если такое преступное деяние действительно могло быть совершено или если оно не было совершено лишь по стечению о</w:t>
      </w:r>
      <w:r w:rsidR="00871D57" w:rsidRPr="00F672DD">
        <w:t>б</w:t>
      </w:r>
      <w:r w:rsidR="00871D57" w:rsidRPr="00F672DD">
        <w:t>стоятельств. В соответствии со статьей</w:t>
      </w:r>
      <w:r w:rsidR="00CC04FF">
        <w:t> </w:t>
      </w:r>
      <w:r w:rsidR="00871D57" w:rsidRPr="00F672DD">
        <w:t>2 главы</w:t>
      </w:r>
      <w:r w:rsidR="00CC04FF">
        <w:t> </w:t>
      </w:r>
      <w:r w:rsidR="00871D57" w:rsidRPr="00F672DD">
        <w:t>23 Уголовного кодекса лицо может быть привлечено к уголовной ответственности за подготовку преступл</w:t>
      </w:r>
      <w:r w:rsidR="00871D57" w:rsidRPr="00F672DD">
        <w:t>е</w:t>
      </w:r>
      <w:r w:rsidR="00871D57" w:rsidRPr="00F672DD">
        <w:t>ния, е</w:t>
      </w:r>
      <w:r w:rsidR="00871D57" w:rsidRPr="00F672DD">
        <w:t>с</w:t>
      </w:r>
      <w:r w:rsidR="00871D57" w:rsidRPr="00F672DD">
        <w:t>ли оно, имея намерение совершить или способствовать совершению преступления, предоставляет или получает денежные средства или что-либо еще в качестве предоплаты или оплаты за это преступление или если оно пр</w:t>
      </w:r>
      <w:r w:rsidR="00871D57" w:rsidRPr="00F672DD">
        <w:t>и</w:t>
      </w:r>
      <w:r w:rsidR="00871D57" w:rsidRPr="00F672DD">
        <w:t>обретает, изготавливает, передает, получает, хранит, предоставляет, собирает и</w:t>
      </w:r>
      <w:r w:rsidR="00D25846">
        <w:rPr>
          <w:lang w:val="en-US"/>
        </w:rPr>
        <w:t> </w:t>
      </w:r>
      <w:r w:rsidR="00871D57" w:rsidRPr="00F672DD">
        <w:t>т.д. что-либо в качестве предполагаемого орудия преступления, если только это лицо не признано виновным в совершении преступления или в покушении на совершение преступления. Согласно этой же статье лицо, которое в сговоре с другим лицом или другими лицами принимает решение о совершении пр</w:t>
      </w:r>
      <w:r w:rsidR="00871D57" w:rsidRPr="00F672DD">
        <w:t>е</w:t>
      </w:r>
      <w:r w:rsidR="00871D57" w:rsidRPr="00F672DD">
        <w:t>ступного деяния или подстрекает к его совершению другое лицо или обязуется или предлагает совершить такое деяние, может быть привлечено к уголовной ответственности за преступный сговор. В 2011</w:t>
      </w:r>
      <w:r w:rsidR="000557E5">
        <w:t xml:space="preserve"> </w:t>
      </w:r>
      <w:r w:rsidR="00871D57" w:rsidRPr="00F672DD">
        <w:t>году Швеция расширила пер</w:t>
      </w:r>
      <w:r w:rsidR="00871D57" w:rsidRPr="00F672DD">
        <w:t>е</w:t>
      </w:r>
      <w:r w:rsidR="00871D57" w:rsidRPr="00F672DD">
        <w:t>чень действий, квалифицируемых в качестве подготовки к совершению прест</w:t>
      </w:r>
      <w:r w:rsidR="00871D57" w:rsidRPr="00F672DD">
        <w:t>у</w:t>
      </w:r>
      <w:r w:rsidR="00871D57" w:rsidRPr="00F672DD">
        <w:t>пления или покушения на совершение преступления и соответственно влек</w:t>
      </w:r>
      <w:r w:rsidR="00871D57" w:rsidRPr="00F672DD">
        <w:t>у</w:t>
      </w:r>
      <w:r w:rsidR="00871D57" w:rsidRPr="00F672DD">
        <w:t>щих за собой уголовную ответственность. Это было сделано во исполнение р</w:t>
      </w:r>
      <w:r w:rsidR="00871D57" w:rsidRPr="00F672DD">
        <w:t>а</w:t>
      </w:r>
      <w:r w:rsidR="00871D57" w:rsidRPr="00F672DD">
        <w:t>мочного решения Совета от 24</w:t>
      </w:r>
      <w:r w:rsidR="000557E5" w:rsidRPr="000557E5">
        <w:t xml:space="preserve"> </w:t>
      </w:r>
      <w:r w:rsidR="00871D57" w:rsidRPr="00F672DD">
        <w:t>октября 2008 года о мерах по борьбе с организ</w:t>
      </w:r>
      <w:r w:rsidR="00871D57" w:rsidRPr="00F672DD">
        <w:t>о</w:t>
      </w:r>
      <w:r w:rsidR="00871D57" w:rsidRPr="00F672DD">
        <w:t>ванной преступностью (2008/841/</w:t>
      </w:r>
      <w:r w:rsidR="00871D57" w:rsidRPr="00F672DD">
        <w:rPr>
          <w:lang w:val="en-GB"/>
        </w:rPr>
        <w:t>JHA</w:t>
      </w:r>
      <w:r w:rsidR="00871D57" w:rsidRPr="00F672DD">
        <w:t>), которое, в частности, предусматривает введение уголовной ответственности за действия, совершенные в составе пр</w:t>
      </w:r>
      <w:r w:rsidR="00871D57" w:rsidRPr="00F672DD">
        <w:t>е</w:t>
      </w:r>
      <w:r w:rsidR="00871D57" w:rsidRPr="00F672DD">
        <w:t>ступной организ</w:t>
      </w:r>
      <w:r w:rsidR="00871D57" w:rsidRPr="00F672DD">
        <w:t>а</w:t>
      </w:r>
      <w:r w:rsidR="00871D57" w:rsidRPr="00F672DD">
        <w:t>ции.</w:t>
      </w:r>
    </w:p>
    <w:p w:rsidR="00871D57" w:rsidRPr="00F672DD" w:rsidRDefault="00F251D6" w:rsidP="00871D57">
      <w:pPr>
        <w:pStyle w:val="SingleTxtGR"/>
      </w:pPr>
      <w:r>
        <w:t>120.</w:t>
      </w:r>
      <w:r>
        <w:tab/>
      </w:r>
      <w:r w:rsidR="00871D57" w:rsidRPr="00F672DD">
        <w:t>Правительство и риксдаг неоднократно заявляли, что, по их мнению, шведское законодательство устанавливает эффективный запрет на все проявл</w:t>
      </w:r>
      <w:r w:rsidR="00871D57" w:rsidRPr="00F672DD">
        <w:t>е</w:t>
      </w:r>
      <w:r w:rsidR="00871D57" w:rsidRPr="00F672DD">
        <w:t>ния расизма, лишая группы, проповедующие расовую дискриминацию, во</w:t>
      </w:r>
      <w:r w:rsidR="00871D57" w:rsidRPr="00F672DD">
        <w:t>з</w:t>
      </w:r>
      <w:r w:rsidR="00871D57" w:rsidRPr="00F672DD">
        <w:t>можности осуществлять свою деятельность в стране, а их членов</w:t>
      </w:r>
      <w:r w:rsidR="006B159C" w:rsidRPr="006B159C">
        <w:t xml:space="preserve"> − </w:t>
      </w:r>
      <w:r w:rsidR="00871D57" w:rsidRPr="00F672DD">
        <w:t>заниматься проп</w:t>
      </w:r>
      <w:r w:rsidR="00871D57" w:rsidRPr="00F672DD">
        <w:t>а</w:t>
      </w:r>
      <w:r w:rsidR="00871D57" w:rsidRPr="00F672DD">
        <w:t xml:space="preserve">гандой расизма. </w:t>
      </w:r>
    </w:p>
    <w:p w:rsidR="00871D57" w:rsidRPr="00F251D6" w:rsidRDefault="00871D57" w:rsidP="00F251D6">
      <w:pPr>
        <w:pStyle w:val="H23GR"/>
      </w:pPr>
      <w:r w:rsidRPr="00F251D6">
        <w:tab/>
      </w:r>
      <w:r w:rsidRPr="00F251D6">
        <w:tab/>
        <w:t xml:space="preserve">Статья 4 c) </w:t>
      </w:r>
    </w:p>
    <w:p w:rsidR="00871D57" w:rsidRPr="00F672DD" w:rsidRDefault="002C2CA3" w:rsidP="00871D57">
      <w:pPr>
        <w:pStyle w:val="SingleTxtGR"/>
      </w:pPr>
      <w:r>
        <w:t>121.</w:t>
      </w:r>
      <w:r>
        <w:tab/>
      </w:r>
      <w:r w:rsidR="00871D57" w:rsidRPr="00F672DD">
        <w:t>Как отмечается в семнадцатом и восемнадцатом периодическом докладе, суды, административные органы и другие структуры, выполняющие админис</w:t>
      </w:r>
      <w:r w:rsidR="00871D57" w:rsidRPr="00F672DD">
        <w:t>т</w:t>
      </w:r>
      <w:r w:rsidR="00871D57" w:rsidRPr="00F672DD">
        <w:t>ративные функции, должны надлежащим образом учитывать принцип равенства всех перед законом и соблюдать требования объективности и беспристрастн</w:t>
      </w:r>
      <w:r w:rsidR="00871D57" w:rsidRPr="00F672DD">
        <w:t>о</w:t>
      </w:r>
      <w:r w:rsidR="00871D57" w:rsidRPr="00F672DD">
        <w:t>сти. Это касается также физических и юридических лиц, которым могут быть делегированы такие функции. Поддержка и поощрение дискриминации по э</w:t>
      </w:r>
      <w:r w:rsidR="00871D57" w:rsidRPr="00F672DD">
        <w:t>т</w:t>
      </w:r>
      <w:r w:rsidR="00871D57" w:rsidRPr="00F672DD">
        <w:t>ническому признаку преследуются как в уголовном порядке, так и в соответс</w:t>
      </w:r>
      <w:r w:rsidR="00871D57" w:rsidRPr="00F672DD">
        <w:t>т</w:t>
      </w:r>
      <w:r w:rsidR="00871D57" w:rsidRPr="00F672DD">
        <w:t>вии с положениями гражданского законодательства, упомянутыми в разделе, посвященном статье</w:t>
      </w:r>
      <w:r w:rsidR="000557E5">
        <w:t xml:space="preserve"> </w:t>
      </w:r>
      <w:r w:rsidR="00871D57" w:rsidRPr="00F672DD">
        <w:t>2. Запрет на дискриминацию распространяется также на действия гос</w:t>
      </w:r>
      <w:r w:rsidR="00871D57" w:rsidRPr="00F672DD">
        <w:t>у</w:t>
      </w:r>
      <w:r w:rsidR="00871D57" w:rsidRPr="00F672DD">
        <w:t>дарственных должностных лиц.</w:t>
      </w:r>
    </w:p>
    <w:p w:rsidR="00871D57" w:rsidRPr="00F672DD" w:rsidRDefault="00871D57" w:rsidP="00F251D6">
      <w:pPr>
        <w:pStyle w:val="H1GR"/>
      </w:pPr>
      <w:r w:rsidRPr="00F672DD">
        <w:tab/>
      </w:r>
      <w:r w:rsidRPr="00F672DD">
        <w:tab/>
        <w:t>Статья 5</w:t>
      </w:r>
    </w:p>
    <w:p w:rsidR="00871D57" w:rsidRPr="00F251D6" w:rsidRDefault="00871D57" w:rsidP="00F251D6">
      <w:pPr>
        <w:pStyle w:val="H23GR"/>
      </w:pPr>
      <w:r w:rsidRPr="00F251D6">
        <w:tab/>
      </w:r>
      <w:r w:rsidRPr="00F251D6">
        <w:tab/>
        <w:t>Статья 5 a)</w:t>
      </w:r>
    </w:p>
    <w:p w:rsidR="00871D57" w:rsidRPr="00F672DD" w:rsidRDefault="002C2CA3" w:rsidP="00871D57">
      <w:pPr>
        <w:pStyle w:val="SingleTxtGR"/>
      </w:pPr>
      <w:r>
        <w:t>122.</w:t>
      </w:r>
      <w:r>
        <w:tab/>
      </w:r>
      <w:r w:rsidR="00871D57" w:rsidRPr="00F672DD">
        <w:t>Информация о соответствующих законодательных положениях содержи</w:t>
      </w:r>
      <w:r w:rsidR="00871D57" w:rsidRPr="00F672DD">
        <w:t>т</w:t>
      </w:r>
      <w:r w:rsidR="00871D57" w:rsidRPr="00F672DD">
        <w:t>ся в пунктах</w:t>
      </w:r>
      <w:r w:rsidR="000557E5" w:rsidRPr="000557E5">
        <w:t xml:space="preserve"> </w:t>
      </w:r>
      <w:r w:rsidR="00871D57" w:rsidRPr="00F672DD">
        <w:t>86 и 87 двенадцатого периодического доклада Швеции.</w:t>
      </w:r>
    </w:p>
    <w:p w:rsidR="00871D57" w:rsidRPr="00F251D6" w:rsidRDefault="00871D57" w:rsidP="00F251D6">
      <w:pPr>
        <w:pStyle w:val="H23GR"/>
      </w:pPr>
      <w:r w:rsidRPr="00F251D6">
        <w:tab/>
        <w:t>a)</w:t>
      </w:r>
      <w:r w:rsidRPr="00F251D6">
        <w:tab/>
        <w:t>Деятельность по обеспечению равного обращения и учету мн</w:t>
      </w:r>
      <w:r w:rsidRPr="00F251D6">
        <w:t>о</w:t>
      </w:r>
      <w:r w:rsidRPr="00F251D6">
        <w:t>гообразия в</w:t>
      </w:r>
      <w:r w:rsidR="00E667DE">
        <w:t> </w:t>
      </w:r>
      <w:r w:rsidRPr="00F251D6">
        <w:t>рамках правоохранительной системы (с учетом пункта</w:t>
      </w:r>
      <w:r w:rsidR="000557E5" w:rsidRPr="00F251D6">
        <w:t xml:space="preserve"> </w:t>
      </w:r>
      <w:r w:rsidRPr="00F251D6">
        <w:t>16 рекомендаций Комитета)</w:t>
      </w:r>
    </w:p>
    <w:p w:rsidR="00871D57" w:rsidRPr="00F251D6" w:rsidRDefault="00871D57" w:rsidP="00DE5AEB">
      <w:pPr>
        <w:pStyle w:val="H4GR"/>
        <w:spacing w:before="240"/>
      </w:pPr>
      <w:r w:rsidRPr="00F251D6">
        <w:tab/>
        <w:t>i)</w:t>
      </w:r>
      <w:r w:rsidRPr="00F251D6">
        <w:tab/>
        <w:t>Полиция</w:t>
      </w:r>
    </w:p>
    <w:p w:rsidR="00871D57" w:rsidRPr="00F672DD" w:rsidRDefault="002C2CA3" w:rsidP="00871D57">
      <w:pPr>
        <w:pStyle w:val="SingleTxtGR"/>
      </w:pPr>
      <w:r>
        <w:t>123.</w:t>
      </w:r>
      <w:r>
        <w:tab/>
      </w:r>
      <w:r w:rsidR="00871D57" w:rsidRPr="00F672DD">
        <w:t>Важной точкой отсчета является система ценностей, которой придерж</w:t>
      </w:r>
      <w:r w:rsidR="00871D57" w:rsidRPr="00F672DD">
        <w:t>и</w:t>
      </w:r>
      <w:r w:rsidR="00871D57" w:rsidRPr="00F672DD">
        <w:t>вается шведская полиция и ключевую роль в которой играют понятия "чувство долга", "эффективность" и "доступность". Уже из одного этого понятно, за что выступает и борется полиция и на что направлены усилия по совершенствов</w:t>
      </w:r>
      <w:r w:rsidR="00871D57" w:rsidRPr="00F672DD">
        <w:t>а</w:t>
      </w:r>
      <w:r w:rsidR="00871D57" w:rsidRPr="00F672DD">
        <w:t>нию ее работы. Задача состоит в том, чтобы сделать указанные базовые ценн</w:t>
      </w:r>
      <w:r w:rsidR="00871D57" w:rsidRPr="00F672DD">
        <w:t>о</w:t>
      </w:r>
      <w:r w:rsidR="00871D57" w:rsidRPr="00F672DD">
        <w:t>сти основой всей деятельности полиции и добиться, чтобы это нашло отраж</w:t>
      </w:r>
      <w:r w:rsidR="00871D57" w:rsidRPr="00F672DD">
        <w:t>е</w:t>
      </w:r>
      <w:r w:rsidR="00871D57" w:rsidRPr="00F672DD">
        <w:t>ние в п</w:t>
      </w:r>
      <w:r w:rsidR="00871D57" w:rsidRPr="00F672DD">
        <w:t>о</w:t>
      </w:r>
      <w:r w:rsidR="00871D57" w:rsidRPr="00F672DD">
        <w:t>вседневной жизни.</w:t>
      </w:r>
    </w:p>
    <w:p w:rsidR="00871D57" w:rsidRPr="00F672DD" w:rsidRDefault="002C2CA3" w:rsidP="00871D57">
      <w:pPr>
        <w:pStyle w:val="SingleTxtGR"/>
      </w:pPr>
      <w:r>
        <w:t>124.</w:t>
      </w:r>
      <w:r>
        <w:tab/>
      </w:r>
      <w:r w:rsidR="00871D57" w:rsidRPr="00F672DD">
        <w:t>Программа базовой учебной подготовки сотрудников полиции включает учебный курс по вопросам терпимости и культурного многообразия. Что кас</w:t>
      </w:r>
      <w:r w:rsidR="00871D57" w:rsidRPr="00F672DD">
        <w:t>а</w:t>
      </w:r>
      <w:r w:rsidR="00871D57" w:rsidRPr="00F672DD">
        <w:t>ется углубленной подготовки, которую проходят слушатели Национальной ак</w:t>
      </w:r>
      <w:r w:rsidR="00871D57" w:rsidRPr="00F672DD">
        <w:t>а</w:t>
      </w:r>
      <w:r w:rsidR="00871D57" w:rsidRPr="00F672DD">
        <w:t>демии полиции, то она включает подготовку по основополагающим правам, правам человека и вопросам учета культурных особенностей. Кроме того, п</w:t>
      </w:r>
      <w:r w:rsidR="00871D57" w:rsidRPr="00F672DD">
        <w:t>о</w:t>
      </w:r>
      <w:r w:rsidR="00871D57" w:rsidRPr="00F672DD">
        <w:t>лицейски</w:t>
      </w:r>
      <w:r w:rsidR="007540B1">
        <w:t>е</w:t>
      </w:r>
      <w:r w:rsidR="00871D57" w:rsidRPr="00F672DD">
        <w:t xml:space="preserve"> органы обязаны осуществлять свои собственные программы пов</w:t>
      </w:r>
      <w:r w:rsidR="00871D57" w:rsidRPr="00F672DD">
        <w:t>ы</w:t>
      </w:r>
      <w:r w:rsidR="00871D57" w:rsidRPr="00F672DD">
        <w:t>шения квалификации сотрудников. Ряд полицейских управлений, включая п</w:t>
      </w:r>
      <w:r w:rsidR="00871D57" w:rsidRPr="00F672DD">
        <w:t>о</w:t>
      </w:r>
      <w:r w:rsidR="00871D57" w:rsidRPr="00F672DD">
        <w:t>лицейское управление Стокгольма, делают особый акцент на повышении и</w:t>
      </w:r>
      <w:r w:rsidR="00871D57" w:rsidRPr="00F672DD">
        <w:t>н</w:t>
      </w:r>
      <w:r w:rsidR="00871D57" w:rsidRPr="00F672DD">
        <w:t>формированности и компетентности сотрудников в вопросах культурного мн</w:t>
      </w:r>
      <w:r w:rsidR="00871D57" w:rsidRPr="00F672DD">
        <w:t>о</w:t>
      </w:r>
      <w:r w:rsidR="00871D57" w:rsidRPr="00F672DD">
        <w:t>гообразия и терпимости.</w:t>
      </w:r>
    </w:p>
    <w:p w:rsidR="00871D57" w:rsidRPr="00F251D6" w:rsidRDefault="00871D57" w:rsidP="00DE5AEB">
      <w:pPr>
        <w:pStyle w:val="H4GR"/>
        <w:spacing w:before="240"/>
      </w:pPr>
      <w:r w:rsidRPr="00F251D6">
        <w:tab/>
        <w:t>ii)</w:t>
      </w:r>
      <w:r w:rsidRPr="00F251D6">
        <w:tab/>
        <w:t>Прокуратура Швеции</w:t>
      </w:r>
    </w:p>
    <w:p w:rsidR="00871D57" w:rsidRPr="00F672DD" w:rsidRDefault="002C2CA3" w:rsidP="00871D57">
      <w:pPr>
        <w:pStyle w:val="SingleTxtGR"/>
      </w:pPr>
      <w:r>
        <w:t>125.</w:t>
      </w:r>
      <w:r>
        <w:tab/>
      </w:r>
      <w:r w:rsidR="00871D57" w:rsidRPr="00F672DD">
        <w:t>Прокуратура Швеции предпринимает активные усилия для обеспечения соблюдения своими сотрудниками принципа равного обращения. На ежегодной основе проводятся мероприятия, призванные привлечь внимание к необходим</w:t>
      </w:r>
      <w:r w:rsidR="00871D57" w:rsidRPr="00F672DD">
        <w:t>о</w:t>
      </w:r>
      <w:r w:rsidR="00871D57" w:rsidRPr="00F672DD">
        <w:t>сти и важности такого обращения, в том числе дискуссии по проблемам секс</w:t>
      </w:r>
      <w:r w:rsidR="00871D57" w:rsidRPr="00F672DD">
        <w:t>у</w:t>
      </w:r>
      <w:r w:rsidR="00871D57" w:rsidRPr="00F672DD">
        <w:t>альных меньшинств, верующих и инвалидов, а также по вопросам дискримин</w:t>
      </w:r>
      <w:r w:rsidR="00871D57" w:rsidRPr="00F672DD">
        <w:t>а</w:t>
      </w:r>
      <w:r w:rsidR="00871D57" w:rsidRPr="00F672DD">
        <w:t>ции, терпимости и уважительного отношения. С 2010 года при прокуратуре действует сеть, призванная способствовать обмену идеями и опытом и повыш</w:t>
      </w:r>
      <w:r w:rsidR="00871D57" w:rsidRPr="00F672DD">
        <w:t>е</w:t>
      </w:r>
      <w:r w:rsidR="00871D57" w:rsidRPr="00F672DD">
        <w:t>нию и</w:t>
      </w:r>
      <w:r w:rsidR="00871D57" w:rsidRPr="00F672DD">
        <w:t>н</w:t>
      </w:r>
      <w:r w:rsidR="00871D57" w:rsidRPr="00F672DD">
        <w:t>формированности в вопросах, касающегося равного обращения в сфере труда и занятости.</w:t>
      </w:r>
    </w:p>
    <w:p w:rsidR="00871D57" w:rsidRPr="00F672DD" w:rsidRDefault="002C2CA3" w:rsidP="00871D57">
      <w:pPr>
        <w:pStyle w:val="SingleTxtGR"/>
      </w:pPr>
      <w:r>
        <w:t>126.</w:t>
      </w:r>
      <w:r>
        <w:tab/>
      </w:r>
      <w:r w:rsidR="00871D57" w:rsidRPr="00F672DD">
        <w:t>По состоянию на конец 2011 года лица, родившиеся за границей, а также лица, оба родителя которых родились за границей, составляли 8</w:t>
      </w:r>
      <w:r w:rsidR="006B159C">
        <w:t>%</w:t>
      </w:r>
      <w:r w:rsidR="00871D57" w:rsidRPr="00F672DD">
        <w:t xml:space="preserve"> от штатной численности сотрудников прокуратуры. Это больше, чем в 2009 году.</w:t>
      </w:r>
    </w:p>
    <w:p w:rsidR="00871D57" w:rsidRPr="00F251D6" w:rsidRDefault="00871D57" w:rsidP="00DE5AEB">
      <w:pPr>
        <w:pStyle w:val="H4GR"/>
        <w:spacing w:before="240"/>
      </w:pPr>
      <w:r w:rsidRPr="00F251D6">
        <w:tab/>
        <w:t>iii)</w:t>
      </w:r>
      <w:r w:rsidRPr="00F251D6">
        <w:tab/>
        <w:t>Судебные органы</w:t>
      </w:r>
    </w:p>
    <w:p w:rsidR="00871D57" w:rsidRPr="00F672DD" w:rsidRDefault="002C2CA3" w:rsidP="00871D57">
      <w:pPr>
        <w:pStyle w:val="SingleTxtGR"/>
      </w:pPr>
      <w:r>
        <w:t>127.</w:t>
      </w:r>
      <w:r>
        <w:tab/>
      </w:r>
      <w:r w:rsidR="00871D57" w:rsidRPr="00F672DD">
        <w:t>Национальное управление по делам судов постоянно следит за тем, чт</w:t>
      </w:r>
      <w:r w:rsidR="00871D57" w:rsidRPr="00F672DD">
        <w:t>о</w:t>
      </w:r>
      <w:r w:rsidR="00871D57" w:rsidRPr="00F672DD">
        <w:t>бы в судебной практике строго соблюдался принцип равенства перед законом. Его усилия в этой связи направлены на обеспечение надлежащего толкования и применения этого принципа судами, а также на недопущение и пресечение ди</w:t>
      </w:r>
      <w:r w:rsidR="00871D57" w:rsidRPr="00F672DD">
        <w:t>с</w:t>
      </w:r>
      <w:r w:rsidR="00871D57" w:rsidRPr="00F672DD">
        <w:t xml:space="preserve">криминации в сфере судебной деятельности. Оно также предпринимает усилия по обеспечению большего многообразия в судебной системе. Ниже приводятся примеры уже принятых мер и мер, которые принимаются в настоящее время. </w:t>
      </w:r>
    </w:p>
    <w:p w:rsidR="00871D57" w:rsidRPr="00F672DD" w:rsidRDefault="002C2CA3" w:rsidP="00871D57">
      <w:pPr>
        <w:pStyle w:val="SingleTxtGR"/>
      </w:pPr>
      <w:r>
        <w:t>128.</w:t>
      </w:r>
      <w:r>
        <w:tab/>
      </w:r>
      <w:r w:rsidR="00871D57" w:rsidRPr="00F672DD">
        <w:t>В 2008 году правительство поручило Национальному управлению по д</w:t>
      </w:r>
      <w:r w:rsidR="00871D57" w:rsidRPr="00F672DD">
        <w:t>е</w:t>
      </w:r>
      <w:r w:rsidR="00871D57" w:rsidRPr="00F672DD">
        <w:t>лам судов представить отчет о мерах, принятых им для предупреждения и пр</w:t>
      </w:r>
      <w:r w:rsidR="00871D57" w:rsidRPr="00F672DD">
        <w:t>е</w:t>
      </w:r>
      <w:r w:rsidR="00871D57" w:rsidRPr="00F672DD">
        <w:t>сечения дискриминации в его деятельности. Управление представило такой о</w:t>
      </w:r>
      <w:r w:rsidR="00871D57" w:rsidRPr="00F672DD">
        <w:t>т</w:t>
      </w:r>
      <w:r w:rsidR="00871D57" w:rsidRPr="00F672DD">
        <w:t>чет в своем докладе за 2009 год. В этом докладе было отмечено, в частности, что в 2009</w:t>
      </w:r>
      <w:r w:rsidR="000557E5" w:rsidRPr="000557E5">
        <w:t xml:space="preserve"> </w:t>
      </w:r>
      <w:r w:rsidR="00871D57" w:rsidRPr="00F672DD">
        <w:t>году Управление занималось, среди прочего, подготовкой и сове</w:t>
      </w:r>
      <w:r w:rsidR="00871D57" w:rsidRPr="00F672DD">
        <w:t>р</w:t>
      </w:r>
      <w:r w:rsidR="00871D57" w:rsidRPr="00F672DD">
        <w:t>шенствованием материалов, призванных облегчить судам задачу учета вопр</w:t>
      </w:r>
      <w:r w:rsidR="00871D57" w:rsidRPr="00F672DD">
        <w:t>о</w:t>
      </w:r>
      <w:r w:rsidR="00871D57" w:rsidRPr="00F672DD">
        <w:t>сов многообразия и других соответствующих вопросов. Эти материалы осн</w:t>
      </w:r>
      <w:r w:rsidR="00871D57" w:rsidRPr="00F672DD">
        <w:t>о</w:t>
      </w:r>
      <w:r w:rsidR="00871D57" w:rsidRPr="00F672DD">
        <w:t>вываются на действующем антидискриминационном законодательстве и страт</w:t>
      </w:r>
      <w:r w:rsidR="00871D57" w:rsidRPr="00F672DD">
        <w:t>е</w:t>
      </w:r>
      <w:r w:rsidR="00871D57" w:rsidRPr="00F672DD">
        <w:t>гии Наци</w:t>
      </w:r>
      <w:r w:rsidR="00871D57" w:rsidRPr="00F672DD">
        <w:t>о</w:t>
      </w:r>
      <w:r w:rsidR="00871D57" w:rsidRPr="00F672DD">
        <w:t>нального управления по рынку труда, направленной на обеспечение многообразия в государственном секторе, и содержат информацию о возмо</w:t>
      </w:r>
      <w:r w:rsidR="00871D57" w:rsidRPr="00F672DD">
        <w:t>ж</w:t>
      </w:r>
      <w:r w:rsidR="00871D57" w:rsidRPr="00F672DD">
        <w:t>ных способах придания деятельности по обеспечению многообразия организ</w:t>
      </w:r>
      <w:r w:rsidR="00871D57" w:rsidRPr="00F672DD">
        <w:t>о</w:t>
      </w:r>
      <w:r w:rsidR="00871D57" w:rsidRPr="00F672DD">
        <w:t>ванного и упорядоченного характера. Они также содержат проформы для по</w:t>
      </w:r>
      <w:r w:rsidR="00871D57" w:rsidRPr="00F672DD">
        <w:t>д</w:t>
      </w:r>
      <w:r w:rsidR="00871D57" w:rsidRPr="00F672DD">
        <w:t>готовки программных документов и планов по обеспечению многообразия, ра</w:t>
      </w:r>
      <w:r w:rsidR="00871D57" w:rsidRPr="00F672DD">
        <w:t>з</w:t>
      </w:r>
      <w:r w:rsidR="00871D57" w:rsidRPr="00F672DD">
        <w:t xml:space="preserve">работанные с учетом результатов анализа проблем многообразия и гендерного равенства на уровне отдельно взятых судов. </w:t>
      </w:r>
    </w:p>
    <w:p w:rsidR="00871D57" w:rsidRPr="00F672DD" w:rsidRDefault="002C2CA3" w:rsidP="00871D57">
      <w:pPr>
        <w:pStyle w:val="SingleTxtGR"/>
      </w:pPr>
      <w:r>
        <w:t>129.</w:t>
      </w:r>
      <w:r>
        <w:tab/>
      </w:r>
      <w:r w:rsidR="00871D57" w:rsidRPr="00F672DD">
        <w:t>Благодаря усилиям Национального управления по делам судов по распр</w:t>
      </w:r>
      <w:r w:rsidR="00871D57" w:rsidRPr="00F672DD">
        <w:t>о</w:t>
      </w:r>
      <w:r w:rsidR="00871D57" w:rsidRPr="00F672DD">
        <w:t>странению информации об упомянутых выше вспомогательных материалах многие суды смогли разработать свои собственные планы и политику в области многообразия, причем многие из них, размещая объявления о вакансиях, ко</w:t>
      </w:r>
      <w:r w:rsidR="00871D57" w:rsidRPr="00F672DD">
        <w:t>н</w:t>
      </w:r>
      <w:r w:rsidR="00871D57" w:rsidRPr="00F672DD">
        <w:t>кретно указывают, что будут приветствовать заявления от кандидатов ин</w:t>
      </w:r>
      <w:r w:rsidR="00871D57" w:rsidRPr="00F672DD">
        <w:t>о</w:t>
      </w:r>
      <w:r w:rsidR="00871D57" w:rsidRPr="00F672DD">
        <w:t>странного происхождения. Деятельность Управления способствовала также т</w:t>
      </w:r>
      <w:r w:rsidR="00871D57" w:rsidRPr="00F672DD">
        <w:t>о</w:t>
      </w:r>
      <w:r w:rsidR="00871D57" w:rsidRPr="00F672DD">
        <w:t>му, что целый ряд судов стал уделять больше внимания региональным и мес</w:t>
      </w:r>
      <w:r w:rsidR="00871D57" w:rsidRPr="00F672DD">
        <w:t>т</w:t>
      </w:r>
      <w:r w:rsidR="00871D57" w:rsidRPr="00F672DD">
        <w:t>ным программам учебной подготовки, акцентирующим внимание на вопросах многообразия. Примерами учебных мероприятий такого рода могут служить лекции, семинары и тематические дни, посвященные вопросам, касающимся многоо</w:t>
      </w:r>
      <w:r w:rsidR="00871D57" w:rsidRPr="00F672DD">
        <w:t>б</w:t>
      </w:r>
      <w:r w:rsidR="00871D57" w:rsidRPr="00F672DD">
        <w:t>разия, дискриминации, предрассудков, исламского права и отношения к пре</w:t>
      </w:r>
      <w:r w:rsidR="00871D57" w:rsidRPr="00F672DD">
        <w:t>д</w:t>
      </w:r>
      <w:r w:rsidR="00871D57" w:rsidRPr="00F672DD">
        <w:t xml:space="preserve">ставителям других культур. </w:t>
      </w:r>
    </w:p>
    <w:p w:rsidR="00871D57" w:rsidRPr="00F672DD" w:rsidRDefault="002C2CA3" w:rsidP="00404E5A">
      <w:pPr>
        <w:pStyle w:val="SingleTxtGR"/>
        <w:pageBreakBefore/>
      </w:pPr>
      <w:r>
        <w:t>130.</w:t>
      </w:r>
      <w:r>
        <w:tab/>
      </w:r>
      <w:r w:rsidR="00871D57" w:rsidRPr="00F672DD">
        <w:t>Национальное управление по делам судов продолжает уделять внимание и вопросам централизованной подготовки в указанных областях. Все базовые программы учебной по</w:t>
      </w:r>
      <w:r w:rsidR="00871D57" w:rsidRPr="00F672DD">
        <w:t>д</w:t>
      </w:r>
      <w:r w:rsidR="00871D57" w:rsidRPr="00F672DD">
        <w:t>готовки сотрудников в настоящее время включают учебные курсы по вопросам многообразия и дискриминации. Кроме того, по</w:t>
      </w:r>
      <w:r w:rsidR="00871D57" w:rsidRPr="00F672DD">
        <w:t>д</w:t>
      </w:r>
      <w:r w:rsidR="00871D57" w:rsidRPr="00F672DD">
        <w:t>готовка по вопросам многообразия является одним из элементов программ учебной подг</w:t>
      </w:r>
      <w:r w:rsidR="00871D57" w:rsidRPr="00F672DD">
        <w:t>о</w:t>
      </w:r>
      <w:r w:rsidR="00871D57" w:rsidRPr="00F672DD">
        <w:t>товки вновь назначенных судей, а также региональных и местных программ подготовки персонала судебных органов.</w:t>
      </w:r>
    </w:p>
    <w:p w:rsidR="00871D57" w:rsidRPr="00F672DD" w:rsidRDefault="00871D57" w:rsidP="00DE5AEB">
      <w:pPr>
        <w:pStyle w:val="H4GR"/>
        <w:spacing w:before="240"/>
      </w:pPr>
      <w:r w:rsidRPr="00F672DD">
        <w:tab/>
      </w:r>
      <w:r w:rsidRPr="00DE5AEB">
        <w:t>iv</w:t>
      </w:r>
      <w:r w:rsidRPr="00F672DD">
        <w:t>)</w:t>
      </w:r>
      <w:r w:rsidRPr="00F672DD">
        <w:tab/>
        <w:t>Служба по делам пенитенциарных учреждений и пробации</w:t>
      </w:r>
    </w:p>
    <w:p w:rsidR="00871D57" w:rsidRPr="00F672DD" w:rsidRDefault="002C2CA3" w:rsidP="00871D57">
      <w:pPr>
        <w:pStyle w:val="SingleTxtGR"/>
      </w:pPr>
      <w:r>
        <w:t>131.</w:t>
      </w:r>
      <w:r>
        <w:tab/>
      </w:r>
      <w:r w:rsidR="00871D57" w:rsidRPr="00F672DD">
        <w:t>Вопросы этики и терпимости являются важной частью программы уче</w:t>
      </w:r>
      <w:r w:rsidR="00871D57" w:rsidRPr="00F672DD">
        <w:t>б</w:t>
      </w:r>
      <w:r w:rsidR="00871D57" w:rsidRPr="00F672DD">
        <w:t>ной подготовки сотрудников Службы по делам пенитенциарных учреждений и пробации. Как базовая, так и углубленная подготовка сотрудников Службы в обязательном порядке включает изучение действующего законодательства и международных обязательств Швеции в области прав человека. Значительное внимание в рамках такой подготовки уделяется также вопросам, касающимся насилия по мотивам чести и преступлений на почве ненависти.</w:t>
      </w:r>
    </w:p>
    <w:p w:rsidR="00871D57" w:rsidRPr="00F672DD" w:rsidRDefault="002C2CA3" w:rsidP="00871D57">
      <w:pPr>
        <w:pStyle w:val="SingleTxtGR"/>
      </w:pPr>
      <w:r>
        <w:t>132.</w:t>
      </w:r>
      <w:r>
        <w:tab/>
      </w:r>
      <w:r w:rsidR="00871D57" w:rsidRPr="00F672DD">
        <w:t>Кроме того, в течение последних пяти лет правительство неоднократно запрашивало у Службы отчеты о том, каким образом в рамках программ уче</w:t>
      </w:r>
      <w:r w:rsidR="00871D57" w:rsidRPr="00F672DD">
        <w:t>б</w:t>
      </w:r>
      <w:r w:rsidR="00871D57" w:rsidRPr="00F672DD">
        <w:t>ной подготовки ее сотрудников разъясняются вопросы, касающиеся прав чел</w:t>
      </w:r>
      <w:r w:rsidR="00871D57" w:rsidRPr="00F672DD">
        <w:t>о</w:t>
      </w:r>
      <w:r w:rsidR="00871D57" w:rsidRPr="00F672DD">
        <w:t>века заключенных, и какой процент сотрудников прошел подготовку по вопр</w:t>
      </w:r>
      <w:r w:rsidR="00871D57" w:rsidRPr="00F672DD">
        <w:t>о</w:t>
      </w:r>
      <w:r w:rsidR="00871D57" w:rsidRPr="00F672DD">
        <w:t>сам дискриминации и многообразия.</w:t>
      </w:r>
    </w:p>
    <w:p w:rsidR="00871D57" w:rsidRPr="00F672DD" w:rsidRDefault="002C2CA3" w:rsidP="00871D57">
      <w:pPr>
        <w:pStyle w:val="SingleTxtGR"/>
      </w:pPr>
      <w:r>
        <w:t>133.</w:t>
      </w:r>
      <w:r>
        <w:tab/>
      </w:r>
      <w:r w:rsidR="00871D57" w:rsidRPr="00F672DD">
        <w:t>Уже несколько лет Служба по делам пенитенциарных учреждений и пр</w:t>
      </w:r>
      <w:r w:rsidR="00871D57" w:rsidRPr="00F672DD">
        <w:t>о</w:t>
      </w:r>
      <w:r w:rsidR="00871D57" w:rsidRPr="00F672DD">
        <w:t>бации предпринимает усилия по увеличению среди своих сотрудников доли лиц иностранного происхождения. В 2010</w:t>
      </w:r>
      <w:r w:rsidR="000557E5">
        <w:t xml:space="preserve"> </w:t>
      </w:r>
      <w:r w:rsidR="00871D57" w:rsidRPr="00F672DD">
        <w:t>году этот показатель составлял чуть б</w:t>
      </w:r>
      <w:r w:rsidR="00871D57" w:rsidRPr="00F672DD">
        <w:t>о</w:t>
      </w:r>
      <w:r w:rsidR="00871D57" w:rsidRPr="00F672DD">
        <w:t>лее 15</w:t>
      </w:r>
      <w:r w:rsidR="006B159C">
        <w:t>%</w:t>
      </w:r>
      <w:r w:rsidR="00871D57" w:rsidRPr="00F672DD">
        <w:t>.</w:t>
      </w:r>
    </w:p>
    <w:p w:rsidR="00871D57" w:rsidRPr="00F251D6" w:rsidRDefault="00871D57" w:rsidP="00F251D6">
      <w:pPr>
        <w:pStyle w:val="H23GR"/>
      </w:pPr>
      <w:r w:rsidRPr="00F251D6">
        <w:tab/>
        <w:t>b)</w:t>
      </w:r>
      <w:r w:rsidRPr="00F251D6">
        <w:tab/>
        <w:t>Оказание переводческих услуг в рамках правоохранительной системы, право на переводчика и т.д. (с учетом пункта</w:t>
      </w:r>
      <w:r w:rsidR="000557E5" w:rsidRPr="00F251D6">
        <w:t xml:space="preserve"> </w:t>
      </w:r>
      <w:r w:rsidRPr="00F251D6">
        <w:t>16 рекомендаций Комитета)</w:t>
      </w:r>
    </w:p>
    <w:p w:rsidR="00871D57" w:rsidRPr="00F672DD" w:rsidRDefault="002C2CA3" w:rsidP="00871D57">
      <w:pPr>
        <w:pStyle w:val="SingleTxtGR"/>
      </w:pPr>
      <w:r>
        <w:t>134.</w:t>
      </w:r>
      <w:r>
        <w:tab/>
      </w:r>
      <w:r w:rsidR="00871D57" w:rsidRPr="00F672DD">
        <w:t>Общая информация, касающаяся права на услуги устных и письменных переводчиков, содержится в меморандуме Швеции, представленном Комитету в</w:t>
      </w:r>
      <w:r w:rsidR="00956760">
        <w:rPr>
          <w:lang w:val="en-US"/>
        </w:rPr>
        <w:t> </w:t>
      </w:r>
      <w:r w:rsidR="00871D57" w:rsidRPr="00F672DD">
        <w:t>2009</w:t>
      </w:r>
      <w:r w:rsidR="000557E5">
        <w:t xml:space="preserve"> </w:t>
      </w:r>
      <w:r w:rsidR="00871D57" w:rsidRPr="00F672DD">
        <w:t>году (</w:t>
      </w:r>
      <w:r w:rsidR="00871D57" w:rsidRPr="00F672DD">
        <w:rPr>
          <w:lang w:val="en-GB"/>
        </w:rPr>
        <w:t>CERD</w:t>
      </w:r>
      <w:r w:rsidR="00871D57" w:rsidRPr="00F672DD">
        <w:t xml:space="preserve"> </w:t>
      </w:r>
      <w:r w:rsidR="00871D57" w:rsidRPr="00F672DD">
        <w:rPr>
          <w:lang w:val="en-GB"/>
        </w:rPr>
        <w:t>follow</w:t>
      </w:r>
      <w:r w:rsidR="00871D57" w:rsidRPr="00F672DD">
        <w:t>-</w:t>
      </w:r>
      <w:r w:rsidR="00871D57" w:rsidRPr="00F672DD">
        <w:rPr>
          <w:lang w:val="en-GB"/>
        </w:rPr>
        <w:t>up</w:t>
      </w:r>
      <w:r w:rsidR="00871D57" w:rsidRPr="00F672DD">
        <w:t xml:space="preserve"> </w:t>
      </w:r>
      <w:r w:rsidR="00871D57" w:rsidRPr="00F672DD">
        <w:rPr>
          <w:lang w:val="en-GB"/>
        </w:rPr>
        <w:t>info</w:t>
      </w:r>
      <w:r w:rsidR="00871D57" w:rsidRPr="00F672DD">
        <w:t xml:space="preserve"> 2009), и потому не включена в настоящий доклад.</w:t>
      </w:r>
    </w:p>
    <w:p w:rsidR="00871D57" w:rsidRPr="00F672DD" w:rsidRDefault="002C2CA3" w:rsidP="00871D57">
      <w:pPr>
        <w:pStyle w:val="SingleTxtGR"/>
      </w:pPr>
      <w:r>
        <w:t>135.</w:t>
      </w:r>
      <w:r>
        <w:tab/>
      </w:r>
      <w:r w:rsidR="00871D57" w:rsidRPr="00F672DD">
        <w:t>Что касается деятельности полиции и прокуратуры, то необходимость в переводчиках возникает в тех случаях, когда соответствующие органы имеют дело с лицом или лицами, не владеющими шведским языком или имеющими серьезные проблемы со слухом или речью. Для целей оказания переводческих услуг соответствующие органы используют подготовленные в централизова</w:t>
      </w:r>
      <w:r w:rsidR="00871D57" w:rsidRPr="00F672DD">
        <w:t>н</w:t>
      </w:r>
      <w:r w:rsidR="00871D57" w:rsidRPr="00F672DD">
        <w:t>ном п</w:t>
      </w:r>
      <w:r w:rsidR="00871D57" w:rsidRPr="00F672DD">
        <w:t>о</w:t>
      </w:r>
      <w:r w:rsidR="00871D57" w:rsidRPr="00F672DD">
        <w:t xml:space="preserve">рядке реестры переводческих агентств и уполномоченных переводчиков. </w:t>
      </w:r>
    </w:p>
    <w:p w:rsidR="00871D57" w:rsidRPr="00F672DD" w:rsidRDefault="002C2CA3" w:rsidP="00871D57">
      <w:pPr>
        <w:pStyle w:val="SingleTxtGR"/>
      </w:pPr>
      <w:r>
        <w:t>136.</w:t>
      </w:r>
      <w:r>
        <w:tab/>
      </w:r>
      <w:r w:rsidR="00871D57" w:rsidRPr="00F672DD">
        <w:t>В конце 2009</w:t>
      </w:r>
      <w:r w:rsidR="000557E5" w:rsidRPr="000557E5">
        <w:t xml:space="preserve"> </w:t>
      </w:r>
      <w:r w:rsidR="00871D57" w:rsidRPr="00F672DD">
        <w:t>года правительство поручило Национальному управлению по делам судов собрать информацию о том, насколько широко в судах испол</w:t>
      </w:r>
      <w:r w:rsidR="00871D57" w:rsidRPr="00F672DD">
        <w:t>ь</w:t>
      </w:r>
      <w:r w:rsidR="00871D57" w:rsidRPr="00F672DD">
        <w:t>зуются услуги устных переводчиков и в какой степени эти переводчики удовл</w:t>
      </w:r>
      <w:r w:rsidR="00871D57" w:rsidRPr="00F672DD">
        <w:t>е</w:t>
      </w:r>
      <w:r w:rsidR="00871D57" w:rsidRPr="00F672DD">
        <w:t>творяют предъявляемым требованиям, и при необходимости представить пре</w:t>
      </w:r>
      <w:r w:rsidR="00871D57" w:rsidRPr="00F672DD">
        <w:t>д</w:t>
      </w:r>
      <w:r w:rsidR="00871D57" w:rsidRPr="00F672DD">
        <w:t>ложения в отношении путей повышения качества переводческих услуг в судах. Выводы Управления содержатся в докладе "Качество услуг устного перевода в судах". Согласно этому докладу качество устного перевода в судах, обеспеч</w:t>
      </w:r>
      <w:r w:rsidR="00871D57" w:rsidRPr="00F672DD">
        <w:t>и</w:t>
      </w:r>
      <w:r w:rsidR="00871D57" w:rsidRPr="00F672DD">
        <w:t>ваемого профильными и другими уполномоченными переводчиками, является высоким. Это относится также и к качеству работы уполномоченных письме</w:t>
      </w:r>
      <w:r w:rsidR="00871D57" w:rsidRPr="00F672DD">
        <w:t>н</w:t>
      </w:r>
      <w:r w:rsidR="00871D57" w:rsidRPr="00F672DD">
        <w:t>ных переводчиков. Вместе с тем ряд судов испытывают трудности с обеспеч</w:t>
      </w:r>
      <w:r w:rsidR="00871D57" w:rsidRPr="00F672DD">
        <w:t>е</w:t>
      </w:r>
      <w:r w:rsidR="00871D57" w:rsidRPr="00F672DD">
        <w:t>нием устного перевода, обусловленные главным образом нехваткой переводч</w:t>
      </w:r>
      <w:r w:rsidR="00871D57" w:rsidRPr="00F672DD">
        <w:t>и</w:t>
      </w:r>
      <w:r w:rsidR="00871D57" w:rsidRPr="00F672DD">
        <w:t xml:space="preserve">ков. </w:t>
      </w:r>
    </w:p>
    <w:p w:rsidR="00871D57" w:rsidRPr="00F672DD" w:rsidRDefault="002C2CA3" w:rsidP="00871D57">
      <w:pPr>
        <w:pStyle w:val="SingleTxtGR"/>
      </w:pPr>
      <w:r>
        <w:t>137.</w:t>
      </w:r>
      <w:r>
        <w:tab/>
      </w:r>
      <w:r w:rsidR="00871D57" w:rsidRPr="00F672DD">
        <w:t>В декабре 2010</w:t>
      </w:r>
      <w:r w:rsidR="000557E5" w:rsidRPr="000557E5">
        <w:t xml:space="preserve"> </w:t>
      </w:r>
      <w:r w:rsidR="00871D57" w:rsidRPr="00F672DD">
        <w:t>года правительство поручило Агентству по делам юрид</w:t>
      </w:r>
      <w:r w:rsidR="00871D57" w:rsidRPr="00F672DD">
        <w:t>и</w:t>
      </w:r>
      <w:r w:rsidR="00871D57" w:rsidRPr="00F672DD">
        <w:t>ческих, финансовых и административных служб Швеции создать реестр устных переводчиков, успешно прошедших соответствующую базовую учебную подг</w:t>
      </w:r>
      <w:r w:rsidR="00871D57" w:rsidRPr="00F672DD">
        <w:t>о</w:t>
      </w:r>
      <w:r w:rsidR="00871D57" w:rsidRPr="00F672DD">
        <w:t>товку. Такой реестр был создан в 2011</w:t>
      </w:r>
      <w:r w:rsidR="000557E5">
        <w:t xml:space="preserve"> </w:t>
      </w:r>
      <w:r w:rsidR="00871D57" w:rsidRPr="00F672DD">
        <w:t>году. Одновременно правительство пор</w:t>
      </w:r>
      <w:r w:rsidR="00871D57" w:rsidRPr="00F672DD">
        <w:t>у</w:t>
      </w:r>
      <w:r w:rsidR="00871D57" w:rsidRPr="00F672DD">
        <w:t>чило Агентству по вопросам государственного управления Швеции изучить в</w:t>
      </w:r>
      <w:r w:rsidR="00871D57" w:rsidRPr="00F672DD">
        <w:t>о</w:t>
      </w:r>
      <w:r w:rsidR="00871D57" w:rsidRPr="00F672DD">
        <w:t>прос о путях и способах увеличения числа уполномоченных устных переводч</w:t>
      </w:r>
      <w:r w:rsidR="00871D57" w:rsidRPr="00F672DD">
        <w:t>и</w:t>
      </w:r>
      <w:r w:rsidR="00871D57" w:rsidRPr="00F672DD">
        <w:t>ков и устных переводчиков, успешно прошедших комплексную базовую уче</w:t>
      </w:r>
      <w:r w:rsidR="00871D57" w:rsidRPr="00F672DD">
        <w:t>б</w:t>
      </w:r>
      <w:r w:rsidR="00871D57" w:rsidRPr="00F672DD">
        <w:t>ную подготовку в области устного перевода. В</w:t>
      </w:r>
      <w:r w:rsidR="000557E5" w:rsidRPr="000557E5">
        <w:t xml:space="preserve"> </w:t>
      </w:r>
      <w:r w:rsidR="00871D57" w:rsidRPr="00F672DD">
        <w:t>своем докладе, представленном в я</w:t>
      </w:r>
      <w:r w:rsidR="00871D57" w:rsidRPr="00F672DD">
        <w:t>н</w:t>
      </w:r>
      <w:r w:rsidR="00871D57" w:rsidRPr="00F672DD">
        <w:t>варе 2012</w:t>
      </w:r>
      <w:r w:rsidR="000557E5" w:rsidRPr="000557E5">
        <w:t xml:space="preserve"> </w:t>
      </w:r>
      <w:r w:rsidR="00871D57" w:rsidRPr="00F672DD">
        <w:t xml:space="preserve">года, Агентство рекомендовало чаще проводить для переводчиков квалификационные экзамены по как можно большему числу языков и облегчить получение ими свидетельств, аналогичных свидетельствам, выдаваемым по прохождении комплексного базового курса переводческой подготовки. </w:t>
      </w:r>
    </w:p>
    <w:p w:rsidR="00871D57" w:rsidRPr="00F672DD" w:rsidRDefault="002C2CA3" w:rsidP="00871D57">
      <w:pPr>
        <w:pStyle w:val="SingleTxtGR"/>
      </w:pPr>
      <w:r>
        <w:t>138.</w:t>
      </w:r>
      <w:r>
        <w:tab/>
      </w:r>
      <w:r w:rsidR="00871D57" w:rsidRPr="00F672DD">
        <w:t>После публикации своего доклада, посвященного качеству устного пер</w:t>
      </w:r>
      <w:r w:rsidR="00871D57" w:rsidRPr="00F672DD">
        <w:t>е</w:t>
      </w:r>
      <w:r w:rsidR="00871D57" w:rsidRPr="00F672DD">
        <w:t>вода в судах (см. пункт</w:t>
      </w:r>
      <w:r w:rsidR="000557E5" w:rsidRPr="000557E5">
        <w:t xml:space="preserve"> </w:t>
      </w:r>
      <w:r w:rsidR="00871D57" w:rsidRPr="00F672DD">
        <w:t>136 настоящего доклада), Национальное управление по делам судов предприняло активные усилия для улучшения ситуации в этой о</w:t>
      </w:r>
      <w:r w:rsidR="00871D57" w:rsidRPr="00F672DD">
        <w:t>б</w:t>
      </w:r>
      <w:r w:rsidR="00871D57" w:rsidRPr="00F672DD">
        <w:t>ласти. Эти усилия включали доведение до сведения судов информации об ус</w:t>
      </w:r>
      <w:r w:rsidR="00871D57" w:rsidRPr="00F672DD">
        <w:t>т</w:t>
      </w:r>
      <w:r w:rsidR="00871D57" w:rsidRPr="00F672DD">
        <w:t>ных переводчиках, специализирующихся на правовых вопросах, и других упо</w:t>
      </w:r>
      <w:r w:rsidR="00871D57" w:rsidRPr="00F672DD">
        <w:t>л</w:t>
      </w:r>
      <w:r w:rsidR="00871D57" w:rsidRPr="00F672DD">
        <w:t>номоченных переводчиках и уровне их квалификации. В настоящее время Управление работает над дальнейшим повышением качества устного перевода в с</w:t>
      </w:r>
      <w:r w:rsidR="00871D57" w:rsidRPr="00F672DD">
        <w:t>у</w:t>
      </w:r>
      <w:r w:rsidR="00871D57" w:rsidRPr="00F672DD">
        <w:t xml:space="preserve">дах. </w:t>
      </w:r>
    </w:p>
    <w:p w:rsidR="00871D57" w:rsidRPr="00F672DD" w:rsidRDefault="002C2CA3" w:rsidP="00871D57">
      <w:pPr>
        <w:pStyle w:val="SingleTxtGR"/>
      </w:pPr>
      <w:r>
        <w:t>139.</w:t>
      </w:r>
      <w:r>
        <w:tab/>
      </w:r>
      <w:r w:rsidR="00871D57" w:rsidRPr="00F672DD">
        <w:t>Швеция активно участвует также в усилиях, предпринимаемых в рамках ЕС. В</w:t>
      </w:r>
      <w:r w:rsidR="000557E5" w:rsidRPr="000557E5">
        <w:t xml:space="preserve"> </w:t>
      </w:r>
      <w:r w:rsidR="00871D57" w:rsidRPr="00F672DD">
        <w:t>2011</w:t>
      </w:r>
      <w:r w:rsidR="000557E5" w:rsidRPr="000557E5">
        <w:t xml:space="preserve"> </w:t>
      </w:r>
      <w:r w:rsidR="00871D57" w:rsidRPr="00F672DD">
        <w:t>году правительство сформировало комитет для изучения вопроса о способах инкорпорирования в шведское законодательство директивы ЕС о пр</w:t>
      </w:r>
      <w:r w:rsidR="00871D57" w:rsidRPr="00F672DD">
        <w:t>а</w:t>
      </w:r>
      <w:r w:rsidR="00871D57" w:rsidRPr="00F672DD">
        <w:t>ве на устный и письменный перевод в судах уголовной юрисдикции. Этот ком</w:t>
      </w:r>
      <w:r w:rsidR="00871D57" w:rsidRPr="00F672DD">
        <w:t>и</w:t>
      </w:r>
      <w:r w:rsidR="00871D57" w:rsidRPr="00F672DD">
        <w:t>тет должен представить свой доклад не позднее 31</w:t>
      </w:r>
      <w:r w:rsidR="000557E5">
        <w:t xml:space="preserve"> </w:t>
      </w:r>
      <w:r w:rsidR="00871D57" w:rsidRPr="00F672DD">
        <w:t>июля 2012</w:t>
      </w:r>
      <w:r w:rsidR="000557E5">
        <w:t xml:space="preserve"> </w:t>
      </w:r>
      <w:r w:rsidR="00871D57" w:rsidRPr="00F672DD">
        <w:t>года.</w:t>
      </w:r>
    </w:p>
    <w:p w:rsidR="00871D57" w:rsidRPr="00F672DD" w:rsidRDefault="002C2CA3" w:rsidP="00871D57">
      <w:pPr>
        <w:pStyle w:val="SingleTxtGR"/>
      </w:pPr>
      <w:r>
        <w:t>140.</w:t>
      </w:r>
      <w:r>
        <w:tab/>
      </w:r>
      <w:r w:rsidR="00871D57" w:rsidRPr="00F672DD">
        <w:t>В соответствии со шведским законодательством национальные меньши</w:t>
      </w:r>
      <w:r w:rsidR="00871D57" w:rsidRPr="00F672DD">
        <w:t>н</w:t>
      </w:r>
      <w:r w:rsidR="00871D57" w:rsidRPr="00F672DD">
        <w:t>ства имеют право пользоваться в судах родным языком. Это право закреплено в</w:t>
      </w:r>
      <w:r w:rsidR="00956760">
        <w:rPr>
          <w:lang w:val="en-US"/>
        </w:rPr>
        <w:t> </w:t>
      </w:r>
      <w:r w:rsidR="00871D57" w:rsidRPr="00F672DD">
        <w:t>Законе о национальных меньшинствах и языках национальных меньшинств (2009:724), а также в Положении о национальных меньшинствах и языках н</w:t>
      </w:r>
      <w:r w:rsidR="00871D57" w:rsidRPr="00F672DD">
        <w:t>а</w:t>
      </w:r>
      <w:r w:rsidR="00871D57" w:rsidRPr="00F672DD">
        <w:t>циональных меньшинств (2009:1299). В статьях</w:t>
      </w:r>
      <w:r w:rsidR="000557E5" w:rsidRPr="000557E5">
        <w:t xml:space="preserve"> </w:t>
      </w:r>
      <w:r w:rsidR="00871D57" w:rsidRPr="00F672DD">
        <w:t>13–16 Закона о национальных меньшинствах и языках национальных меньшинств говорится, что в отношен</w:t>
      </w:r>
      <w:r w:rsidR="00871D57" w:rsidRPr="00F672DD">
        <w:t>и</w:t>
      </w:r>
      <w:r w:rsidR="00871D57" w:rsidRPr="00F672DD">
        <w:t>ях с некоторыми судами стороны и их представители вправе пользоваться саа</w:t>
      </w:r>
      <w:r w:rsidR="00871D57" w:rsidRPr="00F672DD">
        <w:t>м</w:t>
      </w:r>
      <w:r w:rsidR="00871D57" w:rsidRPr="00F672DD">
        <w:t>ским, финским и торнедальским финским (меянкиели) языками. Право польз</w:t>
      </w:r>
      <w:r w:rsidR="00871D57" w:rsidRPr="00F672DD">
        <w:t>о</w:t>
      </w:r>
      <w:r w:rsidR="00871D57" w:rsidRPr="00F672DD">
        <w:t>ваться языками меньшинств включает, среди прочего, право представлять д</w:t>
      </w:r>
      <w:r w:rsidR="00871D57" w:rsidRPr="00F672DD">
        <w:t>о</w:t>
      </w:r>
      <w:r w:rsidR="00871D57" w:rsidRPr="00F672DD">
        <w:t>кументы и письме</w:t>
      </w:r>
      <w:r w:rsidR="00871D57" w:rsidRPr="00F672DD">
        <w:t>н</w:t>
      </w:r>
      <w:r w:rsidR="00871D57" w:rsidRPr="00F672DD">
        <w:t xml:space="preserve">ные свидетельства на этих языках, право на устный перевод соответствующих документов на эти языки и право выступать на этих языках в ходе устных разбирательств. </w:t>
      </w:r>
    </w:p>
    <w:p w:rsidR="00871D57" w:rsidRPr="00F672DD" w:rsidRDefault="002C2CA3" w:rsidP="00871D57">
      <w:pPr>
        <w:pStyle w:val="SingleTxtGR"/>
      </w:pPr>
      <w:r>
        <w:t>141.</w:t>
      </w:r>
      <w:r>
        <w:tab/>
      </w:r>
      <w:r w:rsidR="00871D57" w:rsidRPr="00F672DD">
        <w:t>Нормативные документы, касающиеся национальных меньшинств и яз</w:t>
      </w:r>
      <w:r w:rsidR="00871D57" w:rsidRPr="00F672DD">
        <w:t>ы</w:t>
      </w:r>
      <w:r w:rsidR="00871D57" w:rsidRPr="00F672DD">
        <w:t>ков национальных меньшинств, переведены на языки соответствующих мен</w:t>
      </w:r>
      <w:r w:rsidR="00871D57" w:rsidRPr="00F672DD">
        <w:t>ь</w:t>
      </w:r>
      <w:r w:rsidR="00871D57" w:rsidRPr="00F672DD">
        <w:t>шинств. Переведенные документы размещены на веб-сайте правительства. На этом же веб-сайте размещена также информация, касающаяся права польз</w:t>
      </w:r>
      <w:r w:rsidR="00871D57" w:rsidRPr="00F672DD">
        <w:t>о</w:t>
      </w:r>
      <w:r w:rsidR="00871D57" w:rsidRPr="00F672DD">
        <w:t>ваться яз</w:t>
      </w:r>
      <w:r w:rsidR="00871D57" w:rsidRPr="00F672DD">
        <w:t>ы</w:t>
      </w:r>
      <w:r w:rsidR="00871D57" w:rsidRPr="00F672DD">
        <w:t>ками национальных меньшинств в судах. Такая информация имеется и на веб-сайте шведских судов. Следует отметить, что эта информация досту</w:t>
      </w:r>
      <w:r w:rsidR="00871D57" w:rsidRPr="00F672DD">
        <w:t>п</w:t>
      </w:r>
      <w:r w:rsidR="00871D57" w:rsidRPr="00F672DD">
        <w:t>на как на шведском языке, так и на языках соответствующих меньшинств.</w:t>
      </w:r>
    </w:p>
    <w:p w:rsidR="00871D57" w:rsidRPr="00F251D6" w:rsidRDefault="00871D57" w:rsidP="00F251D6">
      <w:pPr>
        <w:pStyle w:val="H23GR"/>
      </w:pPr>
      <w:r w:rsidRPr="00F251D6">
        <w:tab/>
      </w:r>
      <w:r w:rsidRPr="00F251D6">
        <w:tab/>
        <w:t xml:space="preserve">Статья 5 b) </w:t>
      </w:r>
    </w:p>
    <w:p w:rsidR="00871D57" w:rsidRPr="00F672DD" w:rsidRDefault="002C2CA3" w:rsidP="00871D57">
      <w:pPr>
        <w:pStyle w:val="SingleTxtGR"/>
      </w:pPr>
      <w:r>
        <w:t>142.</w:t>
      </w:r>
      <w:r>
        <w:tab/>
      </w:r>
      <w:r w:rsidR="00871D57" w:rsidRPr="00F672DD">
        <w:t>Информация, касающаяся соответствующего законодательства, соде</w:t>
      </w:r>
      <w:r w:rsidR="00871D57" w:rsidRPr="00F672DD">
        <w:t>р</w:t>
      </w:r>
      <w:r w:rsidR="00871D57" w:rsidRPr="00F672DD">
        <w:t>жится в пунктах</w:t>
      </w:r>
      <w:r w:rsidR="000557E5" w:rsidRPr="000557E5">
        <w:t xml:space="preserve"> </w:t>
      </w:r>
      <w:r w:rsidR="00871D57" w:rsidRPr="00F672DD">
        <w:t>88 и 89 двенадцатого периодического доклада Швеции.</w:t>
      </w:r>
    </w:p>
    <w:p w:rsidR="00871D57" w:rsidRPr="00F251D6" w:rsidRDefault="00871D57" w:rsidP="00F251D6">
      <w:pPr>
        <w:pStyle w:val="H23GR"/>
      </w:pPr>
      <w:r w:rsidRPr="00F251D6">
        <w:tab/>
      </w:r>
      <w:r w:rsidRPr="00F251D6">
        <w:tab/>
        <w:t>Статья 5 c)</w:t>
      </w:r>
    </w:p>
    <w:p w:rsidR="00871D57" w:rsidRPr="00F672DD" w:rsidRDefault="002C2CA3" w:rsidP="00871D57">
      <w:pPr>
        <w:pStyle w:val="SingleTxtGR"/>
      </w:pPr>
      <w:r>
        <w:t>143.</w:t>
      </w:r>
      <w:r>
        <w:tab/>
      </w:r>
      <w:r w:rsidR="00871D57" w:rsidRPr="00F672DD">
        <w:t>Информация, касающаяся соответствующего законодательства, соде</w:t>
      </w:r>
      <w:r w:rsidR="00871D57" w:rsidRPr="00F672DD">
        <w:t>р</w:t>
      </w:r>
      <w:r w:rsidR="00871D57" w:rsidRPr="00F672DD">
        <w:t>жится в пункте</w:t>
      </w:r>
      <w:r w:rsidR="000557E5" w:rsidRPr="000557E5">
        <w:t xml:space="preserve"> </w:t>
      </w:r>
      <w:r w:rsidR="00871D57" w:rsidRPr="00F672DD">
        <w:t>78 двенадцатого периодического доклада Швеции.</w:t>
      </w:r>
    </w:p>
    <w:p w:rsidR="00871D57" w:rsidRPr="00F672DD" w:rsidRDefault="002C2CA3" w:rsidP="00871D57">
      <w:pPr>
        <w:pStyle w:val="SingleTxtGR"/>
      </w:pPr>
      <w:r>
        <w:t>144.</w:t>
      </w:r>
      <w:r>
        <w:tab/>
      </w:r>
      <w:r w:rsidR="00871D57" w:rsidRPr="00F672DD">
        <w:t>Граждане Швеции независимо от их этнической принадлежности могут полноценно участвовать в политической жизни и голосовать только в том сл</w:t>
      </w:r>
      <w:r w:rsidR="00871D57" w:rsidRPr="00F672DD">
        <w:t>у</w:t>
      </w:r>
      <w:r w:rsidR="00871D57" w:rsidRPr="00F672DD">
        <w:t>чае, если они понимают, как функционирует шведская избирательная система. В ходе подготовки к всеобщим выборам 2010</w:t>
      </w:r>
      <w:r w:rsidR="000557E5">
        <w:t xml:space="preserve"> </w:t>
      </w:r>
      <w:r w:rsidR="00871D57" w:rsidRPr="00F672DD">
        <w:t>года был снят фильм по данному вопросу, который вышел на английском и арабском языках, фарси и турецком языке. Кроме того, был выпущен фактологический бюлл</w:t>
      </w:r>
      <w:r w:rsidR="00871D57" w:rsidRPr="00F672DD">
        <w:t>е</w:t>
      </w:r>
      <w:r w:rsidR="00871D57" w:rsidRPr="00F672DD">
        <w:t>тень, переведенный на 25</w:t>
      </w:r>
      <w:r w:rsidR="000557E5">
        <w:t xml:space="preserve"> </w:t>
      </w:r>
      <w:r w:rsidR="00871D57" w:rsidRPr="00F672DD">
        <w:t>языков. Что касается избирательной активности, то какие-либо подробные данные на этот счет отсутствуют, поскольку, как отмечается в пункте</w:t>
      </w:r>
      <w:r w:rsidR="000557E5" w:rsidRPr="000557E5">
        <w:t xml:space="preserve"> </w:t>
      </w:r>
      <w:r w:rsidR="00871D57" w:rsidRPr="00F672DD">
        <w:t>4 насто</w:t>
      </w:r>
      <w:r w:rsidR="00871D57" w:rsidRPr="00F672DD">
        <w:t>я</w:t>
      </w:r>
      <w:r w:rsidR="00871D57" w:rsidRPr="00F672DD">
        <w:t>щего доклада, в Швеции статистические данные не дезагрегируются по этнич</w:t>
      </w:r>
      <w:r w:rsidR="00871D57" w:rsidRPr="00F672DD">
        <w:t>е</w:t>
      </w:r>
      <w:r w:rsidR="00871D57" w:rsidRPr="00F672DD">
        <w:t>скому признаку. Официальная статистика содержит лишь данные, касающиеся гражданства и страны происхождения. Согласно информации, предоставленной Статистическим управлением Швеции, выборы 2010</w:t>
      </w:r>
      <w:r w:rsidR="000557E5">
        <w:t xml:space="preserve"> </w:t>
      </w:r>
      <w:r w:rsidR="00871D57" w:rsidRPr="00F672DD">
        <w:t>года характеризовались более низкой явкой избирателей иностранного происхождения. Шведские гра</w:t>
      </w:r>
      <w:r w:rsidR="00871D57" w:rsidRPr="00F672DD">
        <w:t>ж</w:t>
      </w:r>
      <w:r w:rsidR="00871D57" w:rsidRPr="00F672DD">
        <w:t>дане, родившиеся за пределами Швеции, проявляют гораздо меньшую избир</w:t>
      </w:r>
      <w:r w:rsidR="00871D57" w:rsidRPr="00F672DD">
        <w:t>а</w:t>
      </w:r>
      <w:r w:rsidR="00871D57" w:rsidRPr="00F672DD">
        <w:t>тельную активность, чем урожденные шведы. Однако ситуация постепенно м</w:t>
      </w:r>
      <w:r w:rsidR="00871D57" w:rsidRPr="00F672DD">
        <w:t>е</w:t>
      </w:r>
      <w:r w:rsidR="00871D57" w:rsidRPr="00F672DD">
        <w:t>няется. В парламентских выборах 2010</w:t>
      </w:r>
      <w:r w:rsidR="000557E5" w:rsidRPr="000557E5">
        <w:t xml:space="preserve"> </w:t>
      </w:r>
      <w:r w:rsidR="00871D57" w:rsidRPr="00F672DD">
        <w:t>года приняло участие 73</w:t>
      </w:r>
      <w:r w:rsidR="00FD6BA6">
        <w:t>%</w:t>
      </w:r>
      <w:r w:rsidR="00871D57" w:rsidRPr="00F672DD">
        <w:t xml:space="preserve"> шведских граждан иностранного происхождения, что почти на 7</w:t>
      </w:r>
      <w:r w:rsidR="006B159C">
        <w:t>%</w:t>
      </w:r>
      <w:r w:rsidR="00871D57" w:rsidRPr="00F672DD">
        <w:t xml:space="preserve"> больше, чем в пред</w:t>
      </w:r>
      <w:r w:rsidR="00871D57" w:rsidRPr="00F672DD">
        <w:t>ы</w:t>
      </w:r>
      <w:r w:rsidR="00871D57" w:rsidRPr="00F672DD">
        <w:t>дущих парламентских выборах, тогда как активность избирателей шведского происхождения возросла всего на 3</w:t>
      </w:r>
      <w:r w:rsidR="00FD6BA6">
        <w:t>%</w:t>
      </w:r>
      <w:r w:rsidR="00871D57" w:rsidRPr="00F672DD">
        <w:t xml:space="preserve"> (до 87</w:t>
      </w:r>
      <w:r w:rsidR="006B159C">
        <w:t>%</w:t>
      </w:r>
      <w:r w:rsidR="00871D57" w:rsidRPr="00F672DD">
        <w:t>). И все же, несмотря на сближ</w:t>
      </w:r>
      <w:r w:rsidR="00871D57" w:rsidRPr="00F672DD">
        <w:t>е</w:t>
      </w:r>
      <w:r w:rsidR="00871D57" w:rsidRPr="00F672DD">
        <w:t>ние показателей избирательной активности шведских граждан иностранного происхо</w:t>
      </w:r>
      <w:r w:rsidR="00871D57" w:rsidRPr="00F672DD">
        <w:t>ж</w:t>
      </w:r>
      <w:r w:rsidR="00871D57" w:rsidRPr="00F672DD">
        <w:t>дения и шведских граждан, родившихся в Швеции, разница между этими показателями все еще с</w:t>
      </w:r>
      <w:r w:rsidR="00871D57" w:rsidRPr="00F672DD">
        <w:t>о</w:t>
      </w:r>
      <w:r w:rsidR="00871D57" w:rsidRPr="00F672DD">
        <w:t>ставляет 14 процентных пунктов.</w:t>
      </w:r>
    </w:p>
    <w:p w:rsidR="00871D57" w:rsidRPr="00F672DD" w:rsidRDefault="002C2CA3" w:rsidP="00871D57">
      <w:pPr>
        <w:pStyle w:val="SingleTxtGR"/>
      </w:pPr>
      <w:r>
        <w:t>145.</w:t>
      </w:r>
      <w:r>
        <w:tab/>
      </w:r>
      <w:r w:rsidR="00871D57" w:rsidRPr="00F672DD">
        <w:t>Правительством сформирован комитет, который должен рассмотреть ряд вопросов, касающихся гражданства, и представить предложения в отношении определения того, что подразумевается под шведским гражданством, а также изучить возможность более широкого использования гражданства в качестве стимула к интеграции. Доклад комитета должен быть представлен не позднее 1</w:t>
      </w:r>
      <w:r w:rsidR="00315944">
        <w:t> </w:t>
      </w:r>
      <w:r w:rsidR="00871D57" w:rsidRPr="00F672DD">
        <w:t>апреля 2013</w:t>
      </w:r>
      <w:r w:rsidR="000557E5">
        <w:t xml:space="preserve"> </w:t>
      </w:r>
      <w:r w:rsidR="00871D57" w:rsidRPr="00F672DD">
        <w:t>года.</w:t>
      </w:r>
    </w:p>
    <w:p w:rsidR="00871D57" w:rsidRPr="00F251D6" w:rsidRDefault="00871D57" w:rsidP="00F251D6">
      <w:pPr>
        <w:pStyle w:val="H23GR"/>
      </w:pPr>
      <w:r w:rsidRPr="00F251D6">
        <w:tab/>
      </w:r>
      <w:r w:rsidRPr="00F251D6">
        <w:tab/>
        <w:t>Статья 5 d)</w:t>
      </w:r>
    </w:p>
    <w:p w:rsidR="00871D57" w:rsidRPr="00F672DD" w:rsidRDefault="002C2CA3" w:rsidP="00871D57">
      <w:pPr>
        <w:pStyle w:val="SingleTxtGR"/>
      </w:pPr>
      <w:r>
        <w:t>146.</w:t>
      </w:r>
      <w:r>
        <w:tab/>
      </w:r>
      <w:r w:rsidR="00871D57" w:rsidRPr="00F672DD">
        <w:t>За редким исключением, основными правами и свободами в Швеции м</w:t>
      </w:r>
      <w:r w:rsidR="00871D57" w:rsidRPr="00F672DD">
        <w:t>о</w:t>
      </w:r>
      <w:r w:rsidR="00871D57" w:rsidRPr="00F672DD">
        <w:t>гут в равной степени пользоваться все жители страны. Благодаря поправкам к</w:t>
      </w:r>
      <w:r w:rsidR="00782842">
        <w:rPr>
          <w:lang w:val="en-US"/>
        </w:rPr>
        <w:t> </w:t>
      </w:r>
      <w:r w:rsidR="00871D57" w:rsidRPr="00F672DD">
        <w:t>Закону о форме правления, вступившим в силу 1 января 2011 года, теперь это более четко определено и в Конституции (см. также пункт</w:t>
      </w:r>
      <w:r w:rsidR="000557E5" w:rsidRPr="000557E5">
        <w:t xml:space="preserve"> </w:t>
      </w:r>
      <w:r w:rsidR="00871D57" w:rsidRPr="00F672DD">
        <w:t>16 настоящего до</w:t>
      </w:r>
      <w:r w:rsidR="00871D57" w:rsidRPr="00F672DD">
        <w:t>к</w:t>
      </w:r>
      <w:r w:rsidR="00871D57" w:rsidRPr="00F672DD">
        <w:t>лада). Права, которые распространяются только на шведских граждан, огран</w:t>
      </w:r>
      <w:r w:rsidR="00871D57" w:rsidRPr="00F672DD">
        <w:t>и</w:t>
      </w:r>
      <w:r w:rsidR="00871D57" w:rsidRPr="00F672DD">
        <w:t>чиваются правом на защиту от регистрации взглядов и убеждений, защиту от высылки из страны и создания препятствий для въезда в страну и защиту гра</w:t>
      </w:r>
      <w:r w:rsidR="00871D57" w:rsidRPr="00F672DD">
        <w:t>ж</w:t>
      </w:r>
      <w:r w:rsidR="00871D57" w:rsidRPr="00F672DD">
        <w:t>данства, а также правом свободно передвигаться внутри страны и свободно п</w:t>
      </w:r>
      <w:r w:rsidR="00871D57" w:rsidRPr="00F672DD">
        <w:t>о</w:t>
      </w:r>
      <w:r w:rsidR="00871D57" w:rsidRPr="00F672DD">
        <w:t>кидать ее. В соответствии со статьей</w:t>
      </w:r>
      <w:r w:rsidR="000557E5" w:rsidRPr="000557E5">
        <w:t xml:space="preserve"> </w:t>
      </w:r>
      <w:r w:rsidR="00871D57" w:rsidRPr="00F672DD">
        <w:t>12 главы</w:t>
      </w:r>
      <w:r w:rsidR="000557E5" w:rsidRPr="000557E5">
        <w:t xml:space="preserve"> </w:t>
      </w:r>
      <w:r w:rsidR="00871D57" w:rsidRPr="00F672DD">
        <w:t>2 Закона о форме правления ни одно законодательное или иное положение не может подразумевать неравного отношения к гражданину из-за его принадлежности к тому или иному мен</w:t>
      </w:r>
      <w:r w:rsidR="00871D57" w:rsidRPr="00F672DD">
        <w:t>ь</w:t>
      </w:r>
      <w:r w:rsidR="00871D57" w:rsidRPr="00F672DD">
        <w:t>шинству или по причине его расы, цвета кожи, этнической принадлежности или сексуальной ориентации.</w:t>
      </w:r>
    </w:p>
    <w:p w:rsidR="00871D57" w:rsidRPr="00F672DD" w:rsidRDefault="002C2CA3" w:rsidP="00871D57">
      <w:pPr>
        <w:pStyle w:val="SingleTxtGR"/>
      </w:pPr>
      <w:r>
        <w:t>147.</w:t>
      </w:r>
      <w:r>
        <w:tab/>
      </w:r>
      <w:r w:rsidR="00871D57" w:rsidRPr="00F672DD">
        <w:t>Как отмечается в пункте</w:t>
      </w:r>
      <w:r w:rsidR="000557E5" w:rsidRPr="000557E5">
        <w:t xml:space="preserve"> </w:t>
      </w:r>
      <w:r w:rsidR="00871D57" w:rsidRPr="00F672DD">
        <w:t>17 настоящего доклада, слово "раса" исключено из текста Закона о форме правления. Но это мало что изменило. Дискриминация по расовому признаку и так запрещена Конституцией. Благодаря поправкам, внесенным в Закон о форме правления в январе 2011 года, положения этого з</w:t>
      </w:r>
      <w:r w:rsidR="00871D57" w:rsidRPr="00F672DD">
        <w:t>а</w:t>
      </w:r>
      <w:r w:rsidR="00871D57" w:rsidRPr="00F672DD">
        <w:t>кона, направленные против дискриминации, теперь распространяются и на н</w:t>
      </w:r>
      <w:r w:rsidR="00871D57" w:rsidRPr="00F672DD">
        <w:t>е</w:t>
      </w:r>
      <w:r w:rsidR="00871D57" w:rsidRPr="00F672DD">
        <w:t>справедливое обращение по причине сексуальной ориент</w:t>
      </w:r>
      <w:r w:rsidR="00871D57" w:rsidRPr="00F672DD">
        <w:t>а</w:t>
      </w:r>
      <w:r w:rsidR="00871D57" w:rsidRPr="00F672DD">
        <w:t>ции.</w:t>
      </w:r>
    </w:p>
    <w:p w:rsidR="00871D57" w:rsidRPr="00F672DD" w:rsidRDefault="002C2CA3" w:rsidP="00871D57">
      <w:pPr>
        <w:pStyle w:val="SingleTxtGR"/>
      </w:pPr>
      <w:r>
        <w:t>148.</w:t>
      </w:r>
      <w:r>
        <w:tab/>
      </w:r>
      <w:r w:rsidR="00871D57" w:rsidRPr="00F672DD">
        <w:t>Что касается гражданства, то в соответствии с поправками, внесенными в законодательство о гражданстве и полностью легализовавшими двойное гра</w:t>
      </w:r>
      <w:r w:rsidR="00871D57" w:rsidRPr="00F672DD">
        <w:t>ж</w:t>
      </w:r>
      <w:r w:rsidR="00871D57" w:rsidRPr="00F672DD">
        <w:t>данство, 1 января 2011 года из Закона о форме правления были исключены п</w:t>
      </w:r>
      <w:r w:rsidR="00871D57" w:rsidRPr="00F672DD">
        <w:t>о</w:t>
      </w:r>
      <w:r w:rsidR="00871D57" w:rsidRPr="00F672DD">
        <w:t>ложения, допускавшие возможность лишения шведского гражданства тех лиц, которые с их явно выраженного согласия или в силу занятия той или иной гос</w:t>
      </w:r>
      <w:r w:rsidR="00871D57" w:rsidRPr="00F672DD">
        <w:t>у</w:t>
      </w:r>
      <w:r w:rsidR="00871D57" w:rsidRPr="00F672DD">
        <w:t>дарственной должности стали гражданами других гос</w:t>
      </w:r>
      <w:r w:rsidR="00871D57" w:rsidRPr="00F672DD">
        <w:t>у</w:t>
      </w:r>
      <w:r w:rsidR="00871D57" w:rsidRPr="00F672DD">
        <w:t xml:space="preserve">дарств. </w:t>
      </w:r>
    </w:p>
    <w:p w:rsidR="00871D57" w:rsidRPr="00F251D6" w:rsidRDefault="00871D57" w:rsidP="00F251D6">
      <w:pPr>
        <w:pStyle w:val="H23GR"/>
      </w:pPr>
      <w:r w:rsidRPr="00F251D6">
        <w:tab/>
      </w:r>
      <w:r w:rsidRPr="00F251D6">
        <w:tab/>
        <w:t>Статья 5 e) (с учетом пункта</w:t>
      </w:r>
      <w:r w:rsidR="000557E5" w:rsidRPr="00F251D6">
        <w:t xml:space="preserve"> </w:t>
      </w:r>
      <w:r w:rsidRPr="00F251D6">
        <w:t>17 рекомендаций Комитета)</w:t>
      </w:r>
    </w:p>
    <w:p w:rsidR="00871D57" w:rsidRPr="00F251D6" w:rsidRDefault="00871D57" w:rsidP="00F251D6">
      <w:pPr>
        <w:pStyle w:val="H23GR"/>
      </w:pPr>
      <w:r w:rsidRPr="00F251D6">
        <w:tab/>
        <w:t>a)</w:t>
      </w:r>
      <w:r w:rsidRPr="00F251D6">
        <w:tab/>
        <w:t>Меры, касающиеся рынка труда</w:t>
      </w:r>
    </w:p>
    <w:p w:rsidR="00871D57" w:rsidRPr="00F672DD" w:rsidRDefault="00F24909" w:rsidP="00871D57">
      <w:pPr>
        <w:pStyle w:val="SingleTxtGR"/>
      </w:pPr>
      <w:r>
        <w:t>149.</w:t>
      </w:r>
      <w:r>
        <w:tab/>
      </w:r>
      <w:r w:rsidR="00871D57" w:rsidRPr="00F672DD">
        <w:t>В 2009</w:t>
      </w:r>
      <w:r w:rsidR="000557E5" w:rsidRPr="000557E5">
        <w:t xml:space="preserve"> </w:t>
      </w:r>
      <w:r w:rsidR="00871D57" w:rsidRPr="00F672DD">
        <w:t>году Омбудсмен по вопросам равенства выступил с инициативой, получившей название "Тепличный проект". Цель этой инициативы состояла в оказании помощи работодателям и профсоюзам, стремящимся содействовать формированию открытой и инклюзивной рабочей среды, свободной от дискр</w:t>
      </w:r>
      <w:r w:rsidR="00871D57" w:rsidRPr="00F672DD">
        <w:t>и</w:t>
      </w:r>
      <w:r w:rsidR="00871D57" w:rsidRPr="00F672DD">
        <w:t>минации. Фактически речь шла о поддержке усилий социальных партнеров по профилактике дискриминации на рабочих местах.</w:t>
      </w:r>
    </w:p>
    <w:p w:rsidR="00871D57" w:rsidRPr="00F672DD" w:rsidRDefault="00F24909" w:rsidP="00871D57">
      <w:pPr>
        <w:pStyle w:val="SingleTxtGR"/>
      </w:pPr>
      <w:r>
        <w:t>150.</w:t>
      </w:r>
      <w:r>
        <w:tab/>
      </w:r>
      <w:r w:rsidR="00871D57" w:rsidRPr="00F672DD">
        <w:t>В 2010–2011 года</w:t>
      </w:r>
      <w:r w:rsidR="00315944">
        <w:t>х</w:t>
      </w:r>
      <w:r w:rsidR="00871D57" w:rsidRPr="00F672DD">
        <w:t xml:space="preserve"> Омбудсменом по вопросам равенства осуществлялся адресный проект, цель которого состояла в том, чтобы убедить социальных партнеров в необходимости активно противодействовать дискриминации и з</w:t>
      </w:r>
      <w:r w:rsidR="00871D57" w:rsidRPr="00F672DD">
        <w:t>а</w:t>
      </w:r>
      <w:r w:rsidR="00871D57" w:rsidRPr="00F672DD">
        <w:t>ниматься ее профилактикой. Любая дискриминация со стороны работодателей запрещена. Более того, совместно с представителями работников работодатели должны активно содействовать обеспечению равных прав и во</w:t>
      </w:r>
      <w:r w:rsidR="00871D57" w:rsidRPr="00F672DD">
        <w:t>з</w:t>
      </w:r>
      <w:r w:rsidR="00871D57" w:rsidRPr="00F672DD">
        <w:t>можностей в сфере труда и занятости. Общая задача в данной области состоит в мобилиз</w:t>
      </w:r>
      <w:r w:rsidR="00871D57" w:rsidRPr="00F672DD">
        <w:t>а</w:t>
      </w:r>
      <w:r w:rsidR="00871D57" w:rsidRPr="00F672DD">
        <w:t>ции социальных партнеров на борьбу с дискриминацией и ее профилактику, н</w:t>
      </w:r>
      <w:r w:rsidR="00871D57" w:rsidRPr="00F672DD">
        <w:t>а</w:t>
      </w:r>
      <w:r w:rsidR="00871D57" w:rsidRPr="00F672DD">
        <w:t>пример путем инициирования совместных усилий на местном уровне в целях достижения договоре</w:t>
      </w:r>
      <w:r w:rsidR="00871D57" w:rsidRPr="00F672DD">
        <w:t>н</w:t>
      </w:r>
      <w:r w:rsidR="00871D57" w:rsidRPr="00F672DD">
        <w:t>ностей в отношении активных мер.</w:t>
      </w:r>
    </w:p>
    <w:p w:rsidR="00871D57" w:rsidRPr="00F672DD" w:rsidRDefault="00F24909" w:rsidP="00871D57">
      <w:pPr>
        <w:pStyle w:val="SingleTxtGR"/>
      </w:pPr>
      <w:r>
        <w:t>151.</w:t>
      </w:r>
      <w:r>
        <w:tab/>
      </w:r>
      <w:r w:rsidR="00871D57" w:rsidRPr="00F672DD">
        <w:t>1 декабря 2010</w:t>
      </w:r>
      <w:r w:rsidR="000557E5" w:rsidRPr="000557E5">
        <w:t xml:space="preserve"> </w:t>
      </w:r>
      <w:r w:rsidR="00871D57" w:rsidRPr="00F672DD">
        <w:t>года была обнародована программа реформ, призванных способствовать скорейшей интеграции вновь прибывающих иммигрантов в</w:t>
      </w:r>
      <w:r w:rsidR="00782842">
        <w:rPr>
          <w:lang w:val="en-US"/>
        </w:rPr>
        <w:t> </w:t>
      </w:r>
      <w:r w:rsidR="00871D57" w:rsidRPr="00F672DD">
        <w:t>трудовую жизнь и жизнь общества. Принятие этой программы стало самым серьезным изменением в интеграцио</w:t>
      </w:r>
      <w:r w:rsidR="00871D57" w:rsidRPr="00F672DD">
        <w:t>н</w:t>
      </w:r>
      <w:r w:rsidR="00871D57" w:rsidRPr="00F672DD">
        <w:t>ной политике за последние десятилетия. Вновь прибывающим иммигрантам должна оказ</w:t>
      </w:r>
      <w:r w:rsidR="00871D57" w:rsidRPr="00F672DD">
        <w:t>ы</w:t>
      </w:r>
      <w:r w:rsidR="00871D57" w:rsidRPr="00F672DD">
        <w:t>ваться профессиональная поддержка (с учетом их способностей и конкретных обстоятельств), с тем чт</w:t>
      </w:r>
      <w:r w:rsidR="00871D57" w:rsidRPr="00F672DD">
        <w:t>о</w:t>
      </w:r>
      <w:r w:rsidR="00871D57" w:rsidRPr="00F672DD">
        <w:t>бы они могли быстро овладеть шведским языком, найти работу и стать матер</w:t>
      </w:r>
      <w:r w:rsidR="00871D57" w:rsidRPr="00F672DD">
        <w:t>и</w:t>
      </w:r>
      <w:r w:rsidR="00871D57" w:rsidRPr="00F672DD">
        <w:t>ально независимыми, а также получить представление о своих правах и обяза</w:t>
      </w:r>
      <w:r w:rsidR="00871D57" w:rsidRPr="00F672DD">
        <w:t>н</w:t>
      </w:r>
      <w:r w:rsidR="00871D57" w:rsidRPr="00F672DD">
        <w:t>ностях в Швеции. Скорейшей интеграции должно способствовать также созд</w:t>
      </w:r>
      <w:r w:rsidR="00871D57" w:rsidRPr="00F672DD">
        <w:t>а</w:t>
      </w:r>
      <w:r w:rsidR="00871D57" w:rsidRPr="00F672DD">
        <w:t>ние стимулов к активному участию в программах подготовки к трудовой де</w:t>
      </w:r>
      <w:r w:rsidR="00871D57" w:rsidRPr="00F672DD">
        <w:t>я</w:t>
      </w:r>
      <w:r w:rsidR="00871D57" w:rsidRPr="00F672DD">
        <w:t>тельности и включению в такую деятельность. Для каждого вновь прибыва</w:t>
      </w:r>
      <w:r w:rsidR="00871D57" w:rsidRPr="00F672DD">
        <w:t>ю</w:t>
      </w:r>
      <w:r w:rsidR="00871D57" w:rsidRPr="00F672DD">
        <w:t>щего иммигранта будет составляться индивидуальный план обустройства, п</w:t>
      </w:r>
      <w:r w:rsidR="00871D57" w:rsidRPr="00F672DD">
        <w:t>о</w:t>
      </w:r>
      <w:r w:rsidR="00871D57" w:rsidRPr="00F672DD">
        <w:t xml:space="preserve">зволяющий оптимальным образом использовать его знания и навыки. </w:t>
      </w:r>
    </w:p>
    <w:p w:rsidR="00871D57" w:rsidRPr="00F672DD" w:rsidRDefault="00F24909" w:rsidP="00871D57">
      <w:pPr>
        <w:pStyle w:val="SingleTxtGR"/>
      </w:pPr>
      <w:r>
        <w:t>152.</w:t>
      </w:r>
      <w:r>
        <w:tab/>
      </w:r>
      <w:r w:rsidR="00871D57" w:rsidRPr="00F672DD">
        <w:t>Одним из результатов реализации этой программы стала передача всех функций по координации усилий по обустройству и интеграции иммигрантов Государственной службе занятости Швеции. Совместно с вновь прибывшими иммигрантами этой службой составляются соответствующие планы обустро</w:t>
      </w:r>
      <w:r w:rsidR="00871D57" w:rsidRPr="00F672DD">
        <w:t>й</w:t>
      </w:r>
      <w:r w:rsidR="00871D57" w:rsidRPr="00F672DD">
        <w:t>ства и интеграции с указанием мер, призванных способствовать скорейшей и</w:t>
      </w:r>
      <w:r w:rsidR="00871D57" w:rsidRPr="00F672DD">
        <w:t>н</w:t>
      </w:r>
      <w:r w:rsidR="00871D57" w:rsidRPr="00F672DD">
        <w:t>теграции соответствующих лиц в трудовую жизнь и жизнь общества. Для всех вновь прибывших иммигрантов независимо от места их проживания в Швеции уст</w:t>
      </w:r>
      <w:r w:rsidR="00871D57" w:rsidRPr="00F672DD">
        <w:t>а</w:t>
      </w:r>
      <w:r w:rsidR="00871D57" w:rsidRPr="00F672DD">
        <w:t>новлено новое пособие, которое выплачивается при условии активного участия в деятельности по обустройству и интеграции. Для оказания помощи вновь прибывающим иммигрантам на этапе их обустройства в стране создан также новый институт</w:t>
      </w:r>
      <w:r w:rsidR="006B159C" w:rsidRPr="006B159C">
        <w:t xml:space="preserve"> − </w:t>
      </w:r>
      <w:r w:rsidR="00871D57" w:rsidRPr="00F672DD">
        <w:t>институт наставников-кураторов. Со вновь прибывш</w:t>
      </w:r>
      <w:r w:rsidR="00871D57" w:rsidRPr="00F672DD">
        <w:t>и</w:t>
      </w:r>
      <w:r w:rsidR="00871D57" w:rsidRPr="00F672DD">
        <w:t>ми иммигрантами, уже имеющими планы обустройства и интеграции, пров</w:t>
      </w:r>
      <w:r w:rsidR="00871D57" w:rsidRPr="00F672DD">
        <w:t>о</w:t>
      </w:r>
      <w:r w:rsidR="00871D57" w:rsidRPr="00F672DD">
        <w:t>дятся ознаком</w:t>
      </w:r>
      <w:r w:rsidR="00871D57" w:rsidRPr="00F672DD">
        <w:t>и</w:t>
      </w:r>
      <w:r w:rsidR="00871D57" w:rsidRPr="00F672DD">
        <w:t xml:space="preserve">тельные занятия по их гражданским правам и обязанностям. </w:t>
      </w:r>
    </w:p>
    <w:p w:rsidR="00871D57" w:rsidRPr="00F672DD" w:rsidRDefault="00F24909" w:rsidP="00871D57">
      <w:pPr>
        <w:pStyle w:val="SingleTxtGR"/>
      </w:pPr>
      <w:r>
        <w:t>153.</w:t>
      </w:r>
      <w:r>
        <w:tab/>
      </w:r>
      <w:r w:rsidR="00871D57" w:rsidRPr="00F672DD">
        <w:t>1 января 2007 года правительство утвердило программу трудоустройства лиц, долгое время не имеющих работы, цель которой состоит в увеличении з</w:t>
      </w:r>
      <w:r w:rsidR="00871D57" w:rsidRPr="00F672DD">
        <w:t>а</w:t>
      </w:r>
      <w:r w:rsidR="00871D57" w:rsidRPr="00F672DD">
        <w:t>нятости путем стимулир</w:t>
      </w:r>
      <w:r w:rsidR="00871D57" w:rsidRPr="00F672DD">
        <w:t>о</w:t>
      </w:r>
      <w:r w:rsidR="00871D57" w:rsidRPr="00F672DD">
        <w:t>вания работодателей к принятию на работу таких лиц. Эта программа ориентирована также на просителей убежища, имеющих вид на жительство, и беженцев, прибывших в страну по квотам, а также их близких родственников, при условии что с момента получения ими вида на жительство прошло не более трех лет. Работодатель, принявший на работу то или иное лицо в рамках этой программы, освобождается от уплаты соответствующего взноса и</w:t>
      </w:r>
      <w:r w:rsidR="000557E5">
        <w:t xml:space="preserve"> </w:t>
      </w:r>
      <w:r w:rsidR="00871D57" w:rsidRPr="00F672DD">
        <w:t>даже имеет право на получение субсидии в размере этого взноса. Это значит, что расходы на выплату заработной платы новому работнику для него сокр</w:t>
      </w:r>
      <w:r w:rsidR="00871D57" w:rsidRPr="00F672DD">
        <w:t>а</w:t>
      </w:r>
      <w:r w:rsidR="00871D57" w:rsidRPr="00F672DD">
        <w:t xml:space="preserve">щаются практически вдвое. </w:t>
      </w:r>
    </w:p>
    <w:p w:rsidR="00871D57" w:rsidRPr="00F672DD" w:rsidRDefault="00F24909" w:rsidP="00871D57">
      <w:pPr>
        <w:pStyle w:val="SingleTxtGR"/>
      </w:pPr>
      <w:r>
        <w:t>154.</w:t>
      </w:r>
      <w:r>
        <w:tab/>
      </w:r>
      <w:r w:rsidR="00871D57" w:rsidRPr="00F672DD">
        <w:t>1 июля 2007</w:t>
      </w:r>
      <w:r w:rsidR="000557E5">
        <w:t xml:space="preserve"> </w:t>
      </w:r>
      <w:r w:rsidR="00871D57" w:rsidRPr="00F672DD">
        <w:t>года была утверждена программа начального трудоустройс</w:t>
      </w:r>
      <w:r w:rsidR="00871D57" w:rsidRPr="00F672DD">
        <w:t>т</w:t>
      </w:r>
      <w:r w:rsidR="00871D57" w:rsidRPr="00F672DD">
        <w:t>ва. Она представляет собой программу субсидий, призванную облегчить выход на рынок труда вновь прибывших иммигрантов. Человеку может быть предо</w:t>
      </w:r>
      <w:r w:rsidR="00871D57" w:rsidRPr="00F672DD">
        <w:t>с</w:t>
      </w:r>
      <w:r w:rsidR="00871D57" w:rsidRPr="00F672DD">
        <w:t>тавлена работа при условии, что параллельно с трудовой деятельностью он б</w:t>
      </w:r>
      <w:r w:rsidR="00871D57" w:rsidRPr="00F672DD">
        <w:t>у</w:t>
      </w:r>
      <w:r w:rsidR="00871D57" w:rsidRPr="00F672DD">
        <w:t>дет заниматься шведским языком. Данная программа ориентирована на лиц, получивших вид на жительство в последние три года, и предусматривает труд</w:t>
      </w:r>
      <w:r w:rsidR="00871D57" w:rsidRPr="00F672DD">
        <w:t>о</w:t>
      </w:r>
      <w:r w:rsidR="00871D57" w:rsidRPr="00F672DD">
        <w:t>устройство на срок, не превышающий 24</w:t>
      </w:r>
      <w:r w:rsidR="000557E5">
        <w:t xml:space="preserve"> </w:t>
      </w:r>
      <w:r w:rsidR="00871D57" w:rsidRPr="00F672DD">
        <w:t>месяцев. Субсидия на трудоустройс</w:t>
      </w:r>
      <w:r w:rsidR="00871D57" w:rsidRPr="00F672DD">
        <w:t>т</w:t>
      </w:r>
      <w:r w:rsidR="00871D57" w:rsidRPr="00F672DD">
        <w:t>во составляет 8</w:t>
      </w:r>
      <w:r w:rsidR="006B159C">
        <w:t>%</w:t>
      </w:r>
      <w:r w:rsidR="00871D57" w:rsidRPr="00F672DD">
        <w:t xml:space="preserve"> от расходов на заработную плату, но не может превы</w:t>
      </w:r>
      <w:r>
        <w:t>шать 800 </w:t>
      </w:r>
      <w:r w:rsidR="00871D57" w:rsidRPr="00F672DD">
        <w:t>шведских крон в день.</w:t>
      </w:r>
    </w:p>
    <w:p w:rsidR="00871D57" w:rsidRPr="00F672DD" w:rsidRDefault="00F24909" w:rsidP="00871D57">
      <w:pPr>
        <w:pStyle w:val="SingleTxtGR"/>
      </w:pPr>
      <w:r>
        <w:t>155.</w:t>
      </w:r>
      <w:r>
        <w:tab/>
      </w:r>
      <w:r w:rsidR="00871D57" w:rsidRPr="00F672DD">
        <w:t>В 2006 году семи государственным учреждениям было поручено проте</w:t>
      </w:r>
      <w:r w:rsidR="00871D57" w:rsidRPr="00F672DD">
        <w:t>с</w:t>
      </w:r>
      <w:r w:rsidR="00871D57" w:rsidRPr="00F672DD">
        <w:t>тировать новый порядок набора сотрудников, предусматривающий подачу ка</w:t>
      </w:r>
      <w:r w:rsidR="00871D57" w:rsidRPr="00F672DD">
        <w:t>н</w:t>
      </w:r>
      <w:r w:rsidR="00871D57" w:rsidRPr="00F672DD">
        <w:t>дидатами анонимных заявлений о приеме н</w:t>
      </w:r>
      <w:r w:rsidR="009B5823">
        <w:t>а</w:t>
      </w:r>
      <w:r w:rsidR="00871D57" w:rsidRPr="00F672DD">
        <w:t xml:space="preserve"> работу. Это поручение стало р</w:t>
      </w:r>
      <w:r w:rsidR="00871D57" w:rsidRPr="00F672DD">
        <w:t>е</w:t>
      </w:r>
      <w:r w:rsidR="00871D57" w:rsidRPr="00F672DD">
        <w:t>зультатом исследования, о проведении которого было объявлено 12</w:t>
      </w:r>
      <w:r w:rsidR="000557E5" w:rsidRPr="000557E5">
        <w:t xml:space="preserve"> </w:t>
      </w:r>
      <w:r>
        <w:t>мая 2005 </w:t>
      </w:r>
      <w:r w:rsidR="00871D57" w:rsidRPr="00F672DD">
        <w:t>года и цель которого состояла в изучении целесообразности обезличив</w:t>
      </w:r>
      <w:r w:rsidR="00871D57" w:rsidRPr="00F672DD">
        <w:t>а</w:t>
      </w:r>
      <w:r w:rsidR="00871D57" w:rsidRPr="00F672DD">
        <w:t>ния заявлений о приеме на работу в государственном секторе. Проанализир</w:t>
      </w:r>
      <w:r w:rsidR="00871D57" w:rsidRPr="00F672DD">
        <w:t>о</w:t>
      </w:r>
      <w:r w:rsidR="00871D57" w:rsidRPr="00F672DD">
        <w:t>вать выводы этого исследования, которые б</w:t>
      </w:r>
      <w:r>
        <w:t>ыли опубликованы в декабре 2005 </w:t>
      </w:r>
      <w:r w:rsidR="00871D57" w:rsidRPr="00F672DD">
        <w:t>года, было поручено шведскому Агентству по вопросам государственного управления. По заключению Агентства, использование анонимных заявлений о</w:t>
      </w:r>
      <w:r w:rsidR="00782842">
        <w:rPr>
          <w:lang w:val="en-US"/>
        </w:rPr>
        <w:t> </w:t>
      </w:r>
      <w:r w:rsidR="00871D57" w:rsidRPr="00F672DD">
        <w:t>приеме на работу никак не влияет на отбор кандидатов, хотя, по мнению с</w:t>
      </w:r>
      <w:r w:rsidR="00871D57" w:rsidRPr="00F672DD">
        <w:t>а</w:t>
      </w:r>
      <w:r w:rsidR="00871D57" w:rsidRPr="00F672DD">
        <w:t>мих кандидатов, такие заявления повышают их шансы на получение работы и ставят их в равные условия с другими претендентами. Проведенное исследов</w:t>
      </w:r>
      <w:r w:rsidR="00871D57" w:rsidRPr="00F672DD">
        <w:t>а</w:t>
      </w:r>
      <w:r w:rsidR="00871D57" w:rsidRPr="00F672DD">
        <w:t>ние позволило привлечь внимание общественности к вопросам, касающимся многообразия и обеспечения равных возможностей независимо от половой или этнической принадлежности, а также к необходимости дальнейших усилий в</w:t>
      </w:r>
      <w:r w:rsidR="00782842">
        <w:rPr>
          <w:lang w:val="en-US"/>
        </w:rPr>
        <w:t> </w:t>
      </w:r>
      <w:r w:rsidR="00871D57" w:rsidRPr="00F672DD">
        <w:t>данной области, включая пров</w:t>
      </w:r>
      <w:r w:rsidR="00871D57" w:rsidRPr="00F672DD">
        <w:t>е</w:t>
      </w:r>
      <w:r w:rsidR="00871D57" w:rsidRPr="00F672DD">
        <w:t xml:space="preserve">дение оценок. </w:t>
      </w:r>
    </w:p>
    <w:p w:rsidR="00871D57" w:rsidRPr="00F672DD" w:rsidRDefault="00F24909" w:rsidP="00871D57">
      <w:pPr>
        <w:pStyle w:val="SingleTxtGR"/>
      </w:pPr>
      <w:r>
        <w:t>156.</w:t>
      </w:r>
      <w:r>
        <w:tab/>
      </w:r>
      <w:r w:rsidR="00871D57" w:rsidRPr="00F672DD">
        <w:t>С учетом выводов Агентства по вопросам государственного управления правительство в проекте бюджета на 2010</w:t>
      </w:r>
      <w:r w:rsidR="000557E5" w:rsidRPr="000557E5">
        <w:t xml:space="preserve"> </w:t>
      </w:r>
      <w:r w:rsidR="00871D57" w:rsidRPr="00F672DD">
        <w:t>год отметило, что одним из результ</w:t>
      </w:r>
      <w:r w:rsidR="00871D57" w:rsidRPr="00F672DD">
        <w:t>а</w:t>
      </w:r>
      <w:r w:rsidR="00871D57" w:rsidRPr="00F672DD">
        <w:t>тов мер по обеспечению многообразия стало внесение изменений в процесс н</w:t>
      </w:r>
      <w:r w:rsidR="00871D57" w:rsidRPr="00F672DD">
        <w:t>а</w:t>
      </w:r>
      <w:r w:rsidR="00871D57" w:rsidRPr="00F672DD">
        <w:t>бора сотрудников. Правительство считает, что государственным органам нео</w:t>
      </w:r>
      <w:r w:rsidR="00871D57" w:rsidRPr="00F672DD">
        <w:t>б</w:t>
      </w:r>
      <w:r w:rsidR="00871D57" w:rsidRPr="00F672DD">
        <w:t>ходимо продолжать свои усилия по разработке юридически безупречных и э</w:t>
      </w:r>
      <w:r w:rsidR="00871D57" w:rsidRPr="00F672DD">
        <w:t>ф</w:t>
      </w:r>
      <w:r w:rsidR="00871D57" w:rsidRPr="00F672DD">
        <w:t>фективных процедур приема на работу. Требование, касающееся юридической безупречности таких процедур, вытекает из статьи</w:t>
      </w:r>
      <w:r w:rsidR="000557E5" w:rsidRPr="000557E5">
        <w:t xml:space="preserve"> </w:t>
      </w:r>
      <w:r w:rsidR="00871D57" w:rsidRPr="00F672DD">
        <w:t>5 главы</w:t>
      </w:r>
      <w:r w:rsidR="000557E5" w:rsidRPr="000557E5">
        <w:t xml:space="preserve"> </w:t>
      </w:r>
      <w:r w:rsidR="00871D57" w:rsidRPr="00F672DD">
        <w:t>12 Закона о форме правления, где говорится, что назначения на должности в органах государс</w:t>
      </w:r>
      <w:r w:rsidR="00871D57" w:rsidRPr="00F672DD">
        <w:t>т</w:t>
      </w:r>
      <w:r w:rsidR="00871D57" w:rsidRPr="00F672DD">
        <w:t>венного управления должны производиться исключительно на основе объе</w:t>
      </w:r>
      <w:r w:rsidR="00871D57" w:rsidRPr="00F672DD">
        <w:t>к</w:t>
      </w:r>
      <w:r w:rsidR="00871D57" w:rsidRPr="00F672DD">
        <w:t>тивных кр</w:t>
      </w:r>
      <w:r w:rsidR="00871D57" w:rsidRPr="00F672DD">
        <w:t>и</w:t>
      </w:r>
      <w:r w:rsidR="00871D57" w:rsidRPr="00F672DD">
        <w:t>териев, таких как личные качества и компетентность кандидатов".</w:t>
      </w:r>
    </w:p>
    <w:p w:rsidR="00871D57" w:rsidRPr="00F672DD" w:rsidRDefault="00F24909" w:rsidP="00871D57">
      <w:pPr>
        <w:pStyle w:val="SingleTxtGR"/>
      </w:pPr>
      <w:r>
        <w:t>157.</w:t>
      </w:r>
      <w:r>
        <w:tab/>
      </w:r>
      <w:r w:rsidR="00871D57" w:rsidRPr="00F672DD">
        <w:t>Статистические данные, касающиеся занятости населения, приводятся ниже.</w:t>
      </w:r>
    </w:p>
    <w:p w:rsidR="00871D57" w:rsidRPr="009F2ACF" w:rsidRDefault="00871D57" w:rsidP="00F24909">
      <w:pPr>
        <w:pStyle w:val="SingleTxtGR"/>
        <w:jc w:val="left"/>
        <w:rPr>
          <w:sz w:val="16"/>
          <w:szCs w:val="16"/>
        </w:rPr>
      </w:pPr>
      <w:r w:rsidRPr="00F672DD">
        <w:t>Таблица 9</w:t>
      </w:r>
      <w:r w:rsidRPr="00F672DD">
        <w:br/>
      </w:r>
      <w:r w:rsidRPr="00F672DD">
        <w:rPr>
          <w:b/>
        </w:rPr>
        <w:t>Показатели занятости населения в возрасте 15–74 лет</w:t>
      </w:r>
      <w:r w:rsidR="001465B8">
        <w:rPr>
          <w:b/>
        </w:rPr>
        <w:br/>
      </w:r>
      <w:r w:rsidRPr="009F2ACF">
        <w:rPr>
          <w:sz w:val="16"/>
          <w:szCs w:val="16"/>
        </w:rPr>
        <w:t>(в</w:t>
      </w:r>
      <w:r w:rsidR="00315944" w:rsidRPr="009F2ACF">
        <w:rPr>
          <w:sz w:val="16"/>
          <w:szCs w:val="16"/>
        </w:rPr>
        <w:t xml:space="preserve"> </w:t>
      </w:r>
      <w:r w:rsidR="009B5823" w:rsidRPr="009F2ACF">
        <w:rPr>
          <w:sz w:val="16"/>
          <w:szCs w:val="16"/>
        </w:rPr>
        <w:t>%</w:t>
      </w:r>
      <w:r w:rsidRPr="009F2ACF">
        <w:rPr>
          <w:sz w:val="16"/>
          <w:szCs w:val="16"/>
        </w:rPr>
        <w:t>)</w:t>
      </w:r>
    </w:p>
    <w:tbl>
      <w:tblPr>
        <w:tblStyle w:val="TabNum"/>
        <w:tblW w:w="7370" w:type="dxa"/>
        <w:tblInd w:w="1134" w:type="dxa"/>
        <w:tblLayout w:type="fixed"/>
        <w:tblLook w:val="01E0"/>
      </w:tblPr>
      <w:tblGrid>
        <w:gridCol w:w="694"/>
        <w:gridCol w:w="1630"/>
        <w:gridCol w:w="1708"/>
        <w:gridCol w:w="1669"/>
        <w:gridCol w:w="1669"/>
      </w:tblGrid>
      <w:tr w:rsidR="00871D57" w:rsidRPr="00F24909" w:rsidTr="001B5C89">
        <w:trPr>
          <w:trHeight w:val="240"/>
          <w:tblHeader/>
        </w:trPr>
        <w:tc>
          <w:tcPr>
            <w:cnfStyle w:val="001000000000"/>
            <w:tcW w:w="694" w:type="dxa"/>
            <w:tcBorders>
              <w:bottom w:val="single" w:sz="12" w:space="0" w:color="auto"/>
            </w:tcBorders>
            <w:shd w:val="clear" w:color="auto" w:fill="auto"/>
            <w:noWrap/>
          </w:tcPr>
          <w:p w:rsidR="00871D57" w:rsidRPr="00F24909" w:rsidRDefault="00871D57" w:rsidP="00F24909">
            <w:pPr>
              <w:spacing w:before="80" w:after="80" w:line="200" w:lineRule="exact"/>
              <w:rPr>
                <w:i/>
                <w:sz w:val="16"/>
              </w:rPr>
            </w:pPr>
            <w:r w:rsidRPr="00F24909">
              <w:rPr>
                <w:i/>
                <w:sz w:val="16"/>
              </w:rPr>
              <w:t>Год</w:t>
            </w:r>
          </w:p>
        </w:tc>
        <w:tc>
          <w:tcPr>
            <w:tcW w:w="1630" w:type="dxa"/>
            <w:tcBorders>
              <w:top w:val="single" w:sz="4" w:space="0" w:color="auto"/>
              <w:bottom w:val="single" w:sz="12" w:space="0" w:color="auto"/>
            </w:tcBorders>
            <w:shd w:val="clear" w:color="auto" w:fill="auto"/>
          </w:tcPr>
          <w:p w:rsidR="00871D57" w:rsidRPr="00F24909" w:rsidRDefault="00871D57" w:rsidP="009A7690">
            <w:pPr>
              <w:suppressAutoHyphens/>
              <w:spacing w:before="80" w:after="80" w:line="200" w:lineRule="exact"/>
              <w:cnfStyle w:val="000000000000"/>
              <w:rPr>
                <w:i/>
                <w:sz w:val="16"/>
              </w:rPr>
            </w:pPr>
            <w:r w:rsidRPr="00F24909">
              <w:rPr>
                <w:i/>
                <w:sz w:val="16"/>
              </w:rPr>
              <w:t>Мужчины,</w:t>
            </w:r>
            <w:r w:rsidR="00F24909">
              <w:rPr>
                <w:i/>
                <w:sz w:val="16"/>
              </w:rPr>
              <w:t xml:space="preserve"> </w:t>
            </w:r>
            <w:r w:rsidRPr="00F24909">
              <w:rPr>
                <w:i/>
                <w:sz w:val="16"/>
              </w:rPr>
              <w:t>родившиеся</w:t>
            </w:r>
            <w:r w:rsidR="00F24909">
              <w:rPr>
                <w:i/>
                <w:sz w:val="16"/>
              </w:rPr>
              <w:t xml:space="preserve"> </w:t>
            </w:r>
            <w:r w:rsidRPr="00F24909">
              <w:rPr>
                <w:i/>
                <w:sz w:val="16"/>
              </w:rPr>
              <w:t>в</w:t>
            </w:r>
            <w:r w:rsidR="009A7690">
              <w:rPr>
                <w:i/>
                <w:sz w:val="16"/>
                <w:lang w:val="en-US"/>
              </w:rPr>
              <w:t> </w:t>
            </w:r>
            <w:r w:rsidRPr="00F24909">
              <w:rPr>
                <w:i/>
                <w:sz w:val="16"/>
              </w:rPr>
              <w:t>Швеции</w:t>
            </w:r>
          </w:p>
        </w:tc>
        <w:tc>
          <w:tcPr>
            <w:tcW w:w="1708" w:type="dxa"/>
            <w:tcBorders>
              <w:top w:val="single" w:sz="4" w:space="0" w:color="auto"/>
              <w:bottom w:val="single" w:sz="12" w:space="0" w:color="auto"/>
            </w:tcBorders>
            <w:shd w:val="clear" w:color="auto" w:fill="auto"/>
          </w:tcPr>
          <w:p w:rsidR="00871D57" w:rsidRPr="00F24909" w:rsidRDefault="00871D57" w:rsidP="009A7690">
            <w:pPr>
              <w:suppressAutoHyphens/>
              <w:spacing w:before="80" w:after="80" w:line="200" w:lineRule="exact"/>
              <w:cnfStyle w:val="000000000000"/>
              <w:rPr>
                <w:i/>
                <w:sz w:val="16"/>
              </w:rPr>
            </w:pPr>
            <w:r w:rsidRPr="00F24909">
              <w:rPr>
                <w:i/>
                <w:sz w:val="16"/>
              </w:rPr>
              <w:t>Мужчины, родившиеся</w:t>
            </w:r>
            <w:r w:rsidR="00F24909">
              <w:rPr>
                <w:i/>
                <w:sz w:val="16"/>
              </w:rPr>
              <w:t xml:space="preserve"> </w:t>
            </w:r>
            <w:r w:rsidRPr="00F24909">
              <w:rPr>
                <w:i/>
                <w:sz w:val="16"/>
              </w:rPr>
              <w:t>за</w:t>
            </w:r>
            <w:r w:rsidR="009A7690">
              <w:rPr>
                <w:i/>
                <w:sz w:val="16"/>
                <w:lang w:val="en-US"/>
              </w:rPr>
              <w:t> </w:t>
            </w:r>
            <w:r w:rsidRPr="00F24909">
              <w:rPr>
                <w:i/>
                <w:sz w:val="16"/>
              </w:rPr>
              <w:t>границей</w:t>
            </w:r>
          </w:p>
        </w:tc>
        <w:tc>
          <w:tcPr>
            <w:tcW w:w="1669" w:type="dxa"/>
            <w:tcBorders>
              <w:top w:val="single" w:sz="4" w:space="0" w:color="auto"/>
              <w:bottom w:val="single" w:sz="12" w:space="0" w:color="auto"/>
            </w:tcBorders>
            <w:shd w:val="clear" w:color="auto" w:fill="auto"/>
          </w:tcPr>
          <w:p w:rsidR="00871D57" w:rsidRPr="00F24909" w:rsidRDefault="00871D57" w:rsidP="009A7690">
            <w:pPr>
              <w:suppressAutoHyphens/>
              <w:spacing w:before="80" w:after="80" w:line="200" w:lineRule="exact"/>
              <w:cnfStyle w:val="000000000000"/>
              <w:rPr>
                <w:i/>
                <w:sz w:val="16"/>
              </w:rPr>
            </w:pPr>
            <w:r w:rsidRPr="00F24909">
              <w:rPr>
                <w:i/>
                <w:sz w:val="16"/>
              </w:rPr>
              <w:t>Женщины, родившиеся</w:t>
            </w:r>
            <w:r w:rsidR="00F24909">
              <w:rPr>
                <w:i/>
                <w:sz w:val="16"/>
              </w:rPr>
              <w:t xml:space="preserve"> </w:t>
            </w:r>
            <w:r w:rsidRPr="00F24909">
              <w:rPr>
                <w:i/>
                <w:sz w:val="16"/>
              </w:rPr>
              <w:t>в</w:t>
            </w:r>
            <w:r w:rsidR="009A7690">
              <w:rPr>
                <w:i/>
                <w:sz w:val="16"/>
                <w:lang w:val="en-US"/>
              </w:rPr>
              <w:t> </w:t>
            </w:r>
            <w:r w:rsidRPr="00F24909">
              <w:rPr>
                <w:i/>
                <w:sz w:val="16"/>
              </w:rPr>
              <w:t>Швеции</w:t>
            </w:r>
          </w:p>
        </w:tc>
        <w:tc>
          <w:tcPr>
            <w:tcW w:w="1669" w:type="dxa"/>
            <w:tcBorders>
              <w:top w:val="single" w:sz="4" w:space="0" w:color="auto"/>
              <w:bottom w:val="single" w:sz="12" w:space="0" w:color="auto"/>
            </w:tcBorders>
            <w:shd w:val="clear" w:color="auto" w:fill="auto"/>
          </w:tcPr>
          <w:p w:rsidR="00871D57" w:rsidRPr="00F24909" w:rsidRDefault="00871D57" w:rsidP="009A7690">
            <w:pPr>
              <w:suppressAutoHyphens/>
              <w:spacing w:before="80" w:after="80" w:line="200" w:lineRule="exact"/>
              <w:cnfStyle w:val="000000000000"/>
              <w:rPr>
                <w:i/>
                <w:sz w:val="16"/>
              </w:rPr>
            </w:pPr>
            <w:r w:rsidRPr="00F24909">
              <w:rPr>
                <w:i/>
                <w:sz w:val="16"/>
              </w:rPr>
              <w:t>Женщины, родившиеся</w:t>
            </w:r>
            <w:r w:rsidR="00F24909">
              <w:rPr>
                <w:i/>
                <w:sz w:val="16"/>
              </w:rPr>
              <w:t xml:space="preserve"> </w:t>
            </w:r>
            <w:r w:rsidRPr="00F24909">
              <w:rPr>
                <w:i/>
                <w:sz w:val="16"/>
              </w:rPr>
              <w:t>за</w:t>
            </w:r>
            <w:r w:rsidR="009A7690">
              <w:rPr>
                <w:i/>
                <w:sz w:val="16"/>
                <w:lang w:val="en-US"/>
              </w:rPr>
              <w:t> </w:t>
            </w:r>
            <w:r w:rsidRPr="00F24909">
              <w:rPr>
                <w:i/>
                <w:sz w:val="16"/>
              </w:rPr>
              <w:t>границей</w:t>
            </w:r>
          </w:p>
        </w:tc>
      </w:tr>
      <w:tr w:rsidR="00871D57" w:rsidRPr="00F24909" w:rsidTr="001B5C89">
        <w:trPr>
          <w:trHeight w:val="240"/>
        </w:trPr>
        <w:tc>
          <w:tcPr>
            <w:cnfStyle w:val="001000000000"/>
            <w:tcW w:w="694" w:type="dxa"/>
            <w:tcBorders>
              <w:top w:val="single" w:sz="12" w:space="0" w:color="auto"/>
            </w:tcBorders>
            <w:noWrap/>
          </w:tcPr>
          <w:p w:rsidR="00871D57" w:rsidRPr="00F24909" w:rsidRDefault="00871D57" w:rsidP="00F24909">
            <w:r w:rsidRPr="00F24909">
              <w:t>2005</w:t>
            </w:r>
          </w:p>
        </w:tc>
        <w:tc>
          <w:tcPr>
            <w:tcW w:w="1630" w:type="dxa"/>
            <w:tcBorders>
              <w:top w:val="single" w:sz="12" w:space="0" w:color="auto"/>
            </w:tcBorders>
            <w:noWrap/>
          </w:tcPr>
          <w:p w:rsidR="00871D57" w:rsidRPr="00F24909" w:rsidRDefault="00871D57" w:rsidP="00F24909">
            <w:pPr>
              <w:cnfStyle w:val="000000000000"/>
            </w:pPr>
            <w:r w:rsidRPr="00F24909">
              <w:t>69,2</w:t>
            </w:r>
          </w:p>
        </w:tc>
        <w:tc>
          <w:tcPr>
            <w:tcW w:w="1708" w:type="dxa"/>
            <w:tcBorders>
              <w:top w:val="single" w:sz="12" w:space="0" w:color="auto"/>
            </w:tcBorders>
            <w:noWrap/>
          </w:tcPr>
          <w:p w:rsidR="00871D57" w:rsidRPr="00F24909" w:rsidRDefault="00871D57" w:rsidP="00F24909">
            <w:pPr>
              <w:cnfStyle w:val="000000000000"/>
            </w:pPr>
            <w:r w:rsidRPr="00F24909">
              <w:t>59,5</w:t>
            </w:r>
          </w:p>
        </w:tc>
        <w:tc>
          <w:tcPr>
            <w:tcW w:w="1669" w:type="dxa"/>
            <w:tcBorders>
              <w:top w:val="single" w:sz="12" w:space="0" w:color="auto"/>
            </w:tcBorders>
            <w:noWrap/>
          </w:tcPr>
          <w:p w:rsidR="00871D57" w:rsidRPr="00F24909" w:rsidRDefault="00871D57" w:rsidP="00F24909">
            <w:pPr>
              <w:cnfStyle w:val="000000000000"/>
            </w:pPr>
            <w:r w:rsidRPr="00F24909">
              <w:t>64,4</w:t>
            </w:r>
          </w:p>
        </w:tc>
        <w:tc>
          <w:tcPr>
            <w:tcW w:w="1669" w:type="dxa"/>
            <w:tcBorders>
              <w:top w:val="single" w:sz="12" w:space="0" w:color="auto"/>
            </w:tcBorders>
            <w:noWrap/>
          </w:tcPr>
          <w:p w:rsidR="00871D57" w:rsidRPr="00F24909" w:rsidRDefault="00871D57" w:rsidP="00F24909">
            <w:pPr>
              <w:cnfStyle w:val="000000000000"/>
            </w:pPr>
            <w:r w:rsidRPr="00F24909">
              <w:t>52,6</w:t>
            </w:r>
          </w:p>
        </w:tc>
      </w:tr>
      <w:tr w:rsidR="00871D57" w:rsidRPr="00F24909" w:rsidTr="001B5C89">
        <w:trPr>
          <w:trHeight w:val="240"/>
        </w:trPr>
        <w:tc>
          <w:tcPr>
            <w:cnfStyle w:val="001000000000"/>
            <w:tcW w:w="694" w:type="dxa"/>
            <w:noWrap/>
          </w:tcPr>
          <w:p w:rsidR="00871D57" w:rsidRPr="00F24909" w:rsidRDefault="00871D57" w:rsidP="00F24909">
            <w:r w:rsidRPr="00F24909">
              <w:t>2006</w:t>
            </w:r>
          </w:p>
        </w:tc>
        <w:tc>
          <w:tcPr>
            <w:tcW w:w="1630" w:type="dxa"/>
            <w:noWrap/>
          </w:tcPr>
          <w:p w:rsidR="00871D57" w:rsidRPr="00F24909" w:rsidRDefault="00871D57" w:rsidP="00F24909">
            <w:pPr>
              <w:cnfStyle w:val="000000000000"/>
            </w:pPr>
            <w:r w:rsidRPr="00F24909">
              <w:t>69,9</w:t>
            </w:r>
          </w:p>
        </w:tc>
        <w:tc>
          <w:tcPr>
            <w:tcW w:w="1708" w:type="dxa"/>
            <w:noWrap/>
          </w:tcPr>
          <w:p w:rsidR="00871D57" w:rsidRPr="00F24909" w:rsidRDefault="00871D57" w:rsidP="00F24909">
            <w:pPr>
              <w:cnfStyle w:val="000000000000"/>
            </w:pPr>
            <w:r w:rsidRPr="00F24909">
              <w:t>60,6</w:t>
            </w:r>
          </w:p>
        </w:tc>
        <w:tc>
          <w:tcPr>
            <w:tcW w:w="1669" w:type="dxa"/>
            <w:noWrap/>
          </w:tcPr>
          <w:p w:rsidR="00871D57" w:rsidRPr="00F24909" w:rsidRDefault="00871D57" w:rsidP="00F24909">
            <w:pPr>
              <w:cnfStyle w:val="000000000000"/>
            </w:pPr>
            <w:r w:rsidRPr="00F24909">
              <w:t>65,0</w:t>
            </w:r>
          </w:p>
        </w:tc>
        <w:tc>
          <w:tcPr>
            <w:tcW w:w="1669" w:type="dxa"/>
            <w:noWrap/>
          </w:tcPr>
          <w:p w:rsidR="00871D57" w:rsidRPr="00F24909" w:rsidRDefault="00871D57" w:rsidP="00F24909">
            <w:pPr>
              <w:cnfStyle w:val="000000000000"/>
            </w:pPr>
            <w:r w:rsidRPr="00F24909">
              <w:t>52,3</w:t>
            </w:r>
          </w:p>
        </w:tc>
      </w:tr>
      <w:tr w:rsidR="00871D57" w:rsidRPr="00F24909" w:rsidTr="001B5C89">
        <w:trPr>
          <w:trHeight w:val="240"/>
        </w:trPr>
        <w:tc>
          <w:tcPr>
            <w:cnfStyle w:val="001000000000"/>
            <w:tcW w:w="694" w:type="dxa"/>
            <w:noWrap/>
          </w:tcPr>
          <w:p w:rsidR="00871D57" w:rsidRPr="00F24909" w:rsidRDefault="00871D57" w:rsidP="00F24909">
            <w:r w:rsidRPr="00F24909">
              <w:t>2007</w:t>
            </w:r>
          </w:p>
        </w:tc>
        <w:tc>
          <w:tcPr>
            <w:tcW w:w="1630" w:type="dxa"/>
            <w:noWrap/>
          </w:tcPr>
          <w:p w:rsidR="00871D57" w:rsidRPr="00F24909" w:rsidRDefault="00871D57" w:rsidP="00F24909">
            <w:pPr>
              <w:cnfStyle w:val="000000000000"/>
            </w:pPr>
            <w:r w:rsidRPr="00F24909">
              <w:t>70,8</w:t>
            </w:r>
          </w:p>
        </w:tc>
        <w:tc>
          <w:tcPr>
            <w:tcW w:w="1708" w:type="dxa"/>
            <w:noWrap/>
          </w:tcPr>
          <w:p w:rsidR="00871D57" w:rsidRPr="00F24909" w:rsidRDefault="00871D57" w:rsidP="00F24909">
            <w:pPr>
              <w:cnfStyle w:val="000000000000"/>
            </w:pPr>
            <w:r w:rsidRPr="00F24909">
              <w:t>61,8</w:t>
            </w:r>
          </w:p>
        </w:tc>
        <w:tc>
          <w:tcPr>
            <w:tcW w:w="1669" w:type="dxa"/>
            <w:noWrap/>
          </w:tcPr>
          <w:p w:rsidR="00871D57" w:rsidRPr="00F24909" w:rsidRDefault="00871D57" w:rsidP="00F24909">
            <w:pPr>
              <w:cnfStyle w:val="000000000000"/>
            </w:pPr>
            <w:r w:rsidRPr="00F24909">
              <w:t>65,9</w:t>
            </w:r>
          </w:p>
        </w:tc>
        <w:tc>
          <w:tcPr>
            <w:tcW w:w="1669" w:type="dxa"/>
            <w:noWrap/>
          </w:tcPr>
          <w:p w:rsidR="00871D57" w:rsidRPr="00F24909" w:rsidRDefault="00871D57" w:rsidP="00F24909">
            <w:pPr>
              <w:cnfStyle w:val="000000000000"/>
            </w:pPr>
            <w:r w:rsidRPr="00F24909">
              <w:t>53,3</w:t>
            </w:r>
          </w:p>
        </w:tc>
      </w:tr>
      <w:tr w:rsidR="00871D57" w:rsidRPr="00F24909" w:rsidTr="001B5C89">
        <w:trPr>
          <w:trHeight w:val="240"/>
        </w:trPr>
        <w:tc>
          <w:tcPr>
            <w:cnfStyle w:val="001000000000"/>
            <w:tcW w:w="694" w:type="dxa"/>
            <w:noWrap/>
          </w:tcPr>
          <w:p w:rsidR="00871D57" w:rsidRPr="00F24909" w:rsidRDefault="00871D57" w:rsidP="00F24909">
            <w:r w:rsidRPr="00F24909">
              <w:t>2008</w:t>
            </w:r>
          </w:p>
        </w:tc>
        <w:tc>
          <w:tcPr>
            <w:tcW w:w="1630" w:type="dxa"/>
            <w:noWrap/>
          </w:tcPr>
          <w:p w:rsidR="00871D57" w:rsidRPr="00F24909" w:rsidRDefault="00871D57" w:rsidP="00F24909">
            <w:pPr>
              <w:cnfStyle w:val="000000000000"/>
            </w:pPr>
            <w:r w:rsidRPr="00F24909">
              <w:t>70,7</w:t>
            </w:r>
          </w:p>
        </w:tc>
        <w:tc>
          <w:tcPr>
            <w:tcW w:w="1708" w:type="dxa"/>
            <w:noWrap/>
          </w:tcPr>
          <w:p w:rsidR="00871D57" w:rsidRPr="00F24909" w:rsidRDefault="00871D57" w:rsidP="00F24909">
            <w:pPr>
              <w:cnfStyle w:val="000000000000"/>
            </w:pPr>
            <w:r w:rsidRPr="00F24909">
              <w:t>63,6</w:t>
            </w:r>
          </w:p>
        </w:tc>
        <w:tc>
          <w:tcPr>
            <w:tcW w:w="1669" w:type="dxa"/>
            <w:noWrap/>
          </w:tcPr>
          <w:p w:rsidR="00871D57" w:rsidRPr="00F24909" w:rsidRDefault="00871D57" w:rsidP="00F24909">
            <w:pPr>
              <w:cnfStyle w:val="000000000000"/>
            </w:pPr>
            <w:r w:rsidRPr="00F24909">
              <w:t>66,0</w:t>
            </w:r>
          </w:p>
        </w:tc>
        <w:tc>
          <w:tcPr>
            <w:tcW w:w="1669" w:type="dxa"/>
            <w:noWrap/>
          </w:tcPr>
          <w:p w:rsidR="00871D57" w:rsidRPr="00F24909" w:rsidRDefault="00871D57" w:rsidP="00F24909">
            <w:pPr>
              <w:cnfStyle w:val="000000000000"/>
            </w:pPr>
            <w:r w:rsidRPr="00F24909">
              <w:t>53,2</w:t>
            </w:r>
          </w:p>
        </w:tc>
      </w:tr>
      <w:tr w:rsidR="00871D57" w:rsidRPr="00F24909" w:rsidTr="001B5C89">
        <w:trPr>
          <w:trHeight w:val="240"/>
        </w:trPr>
        <w:tc>
          <w:tcPr>
            <w:cnfStyle w:val="001000000000"/>
            <w:tcW w:w="694" w:type="dxa"/>
            <w:noWrap/>
          </w:tcPr>
          <w:p w:rsidR="00871D57" w:rsidRPr="00F24909" w:rsidRDefault="00871D57" w:rsidP="00F24909">
            <w:r w:rsidRPr="00F24909">
              <w:t>2009</w:t>
            </w:r>
          </w:p>
        </w:tc>
        <w:tc>
          <w:tcPr>
            <w:tcW w:w="1630" w:type="dxa"/>
            <w:noWrap/>
          </w:tcPr>
          <w:p w:rsidR="00871D57" w:rsidRPr="00F24909" w:rsidRDefault="00871D57" w:rsidP="00F24909">
            <w:pPr>
              <w:cnfStyle w:val="000000000000"/>
            </w:pPr>
            <w:r w:rsidRPr="00F24909">
              <w:t>68,3</w:t>
            </w:r>
          </w:p>
        </w:tc>
        <w:tc>
          <w:tcPr>
            <w:tcW w:w="1708" w:type="dxa"/>
            <w:noWrap/>
          </w:tcPr>
          <w:p w:rsidR="00871D57" w:rsidRPr="00F24909" w:rsidRDefault="00871D57" w:rsidP="00F24909">
            <w:pPr>
              <w:cnfStyle w:val="000000000000"/>
            </w:pPr>
            <w:r w:rsidRPr="00F24909">
              <w:t>60,3</w:t>
            </w:r>
          </w:p>
        </w:tc>
        <w:tc>
          <w:tcPr>
            <w:tcW w:w="1669" w:type="dxa"/>
            <w:noWrap/>
          </w:tcPr>
          <w:p w:rsidR="00871D57" w:rsidRPr="00F24909" w:rsidRDefault="00871D57" w:rsidP="00F24909">
            <w:pPr>
              <w:cnfStyle w:val="000000000000"/>
            </w:pPr>
            <w:r w:rsidRPr="00F24909">
              <w:t>64,3</w:t>
            </w:r>
          </w:p>
        </w:tc>
        <w:tc>
          <w:tcPr>
            <w:tcW w:w="1669" w:type="dxa"/>
            <w:noWrap/>
          </w:tcPr>
          <w:p w:rsidR="00871D57" w:rsidRPr="00F24909" w:rsidRDefault="00871D57" w:rsidP="00F24909">
            <w:pPr>
              <w:cnfStyle w:val="000000000000"/>
            </w:pPr>
            <w:r w:rsidRPr="00F24909">
              <w:t>52,5</w:t>
            </w:r>
          </w:p>
        </w:tc>
      </w:tr>
      <w:tr w:rsidR="00871D57" w:rsidRPr="00F24909" w:rsidTr="001B5C89">
        <w:trPr>
          <w:trHeight w:val="240"/>
        </w:trPr>
        <w:tc>
          <w:tcPr>
            <w:cnfStyle w:val="001000000000"/>
            <w:tcW w:w="694" w:type="dxa"/>
            <w:noWrap/>
          </w:tcPr>
          <w:p w:rsidR="00871D57" w:rsidRPr="00F24909" w:rsidRDefault="00871D57" w:rsidP="00F24909">
            <w:r w:rsidRPr="00F24909">
              <w:t>2010</w:t>
            </w:r>
          </w:p>
        </w:tc>
        <w:tc>
          <w:tcPr>
            <w:tcW w:w="1630" w:type="dxa"/>
            <w:noWrap/>
          </w:tcPr>
          <w:p w:rsidR="00871D57" w:rsidRPr="00F24909" w:rsidRDefault="00871D57" w:rsidP="00F24909">
            <w:pPr>
              <w:cnfStyle w:val="000000000000"/>
            </w:pPr>
            <w:r w:rsidRPr="00F24909">
              <w:t>69</w:t>
            </w:r>
          </w:p>
        </w:tc>
        <w:tc>
          <w:tcPr>
            <w:tcW w:w="1708" w:type="dxa"/>
            <w:noWrap/>
          </w:tcPr>
          <w:p w:rsidR="00871D57" w:rsidRPr="00F24909" w:rsidRDefault="00871D57" w:rsidP="00F24909">
            <w:pPr>
              <w:cnfStyle w:val="000000000000"/>
            </w:pPr>
            <w:r w:rsidRPr="00F24909">
              <w:t>60,3</w:t>
            </w:r>
          </w:p>
        </w:tc>
        <w:tc>
          <w:tcPr>
            <w:tcW w:w="1669" w:type="dxa"/>
            <w:noWrap/>
          </w:tcPr>
          <w:p w:rsidR="00871D57" w:rsidRPr="00F24909" w:rsidRDefault="00871D57" w:rsidP="00F24909">
            <w:pPr>
              <w:cnfStyle w:val="000000000000"/>
            </w:pPr>
            <w:r w:rsidRPr="00F24909">
              <w:t>64,2</w:t>
            </w:r>
          </w:p>
        </w:tc>
        <w:tc>
          <w:tcPr>
            <w:tcW w:w="1669" w:type="dxa"/>
            <w:noWrap/>
          </w:tcPr>
          <w:p w:rsidR="00871D57" w:rsidRPr="00F24909" w:rsidRDefault="00871D57" w:rsidP="00F24909">
            <w:pPr>
              <w:cnfStyle w:val="000000000000"/>
            </w:pPr>
            <w:r w:rsidRPr="00F24909">
              <w:t>50,5</w:t>
            </w:r>
          </w:p>
        </w:tc>
      </w:tr>
      <w:tr w:rsidR="00871D57" w:rsidRPr="00F24909" w:rsidTr="001B5C89">
        <w:trPr>
          <w:trHeight w:val="240"/>
        </w:trPr>
        <w:tc>
          <w:tcPr>
            <w:cnfStyle w:val="001000000000"/>
            <w:tcW w:w="694" w:type="dxa"/>
            <w:noWrap/>
          </w:tcPr>
          <w:p w:rsidR="00871D57" w:rsidRPr="00F24909" w:rsidRDefault="00871D57" w:rsidP="00F24909">
            <w:r w:rsidRPr="00F24909">
              <w:t>2011</w:t>
            </w:r>
          </w:p>
        </w:tc>
        <w:tc>
          <w:tcPr>
            <w:tcW w:w="1630" w:type="dxa"/>
            <w:noWrap/>
          </w:tcPr>
          <w:p w:rsidR="00871D57" w:rsidRPr="00F24909" w:rsidRDefault="00871D57" w:rsidP="00F24909">
            <w:pPr>
              <w:cnfStyle w:val="000000000000"/>
            </w:pPr>
            <w:r w:rsidRPr="00F24909">
              <w:t>69,6</w:t>
            </w:r>
          </w:p>
        </w:tc>
        <w:tc>
          <w:tcPr>
            <w:tcW w:w="1708" w:type="dxa"/>
            <w:noWrap/>
          </w:tcPr>
          <w:p w:rsidR="00871D57" w:rsidRPr="00F24909" w:rsidRDefault="00871D57" w:rsidP="00F24909">
            <w:pPr>
              <w:cnfStyle w:val="000000000000"/>
            </w:pPr>
            <w:r w:rsidRPr="00F24909">
              <w:t>61,6</w:t>
            </w:r>
          </w:p>
        </w:tc>
        <w:tc>
          <w:tcPr>
            <w:tcW w:w="1669" w:type="dxa"/>
            <w:noWrap/>
          </w:tcPr>
          <w:p w:rsidR="00871D57" w:rsidRPr="00F24909" w:rsidRDefault="00871D57" w:rsidP="00F24909">
            <w:pPr>
              <w:cnfStyle w:val="000000000000"/>
            </w:pPr>
            <w:r w:rsidRPr="00F24909">
              <w:t>65,5</w:t>
            </w:r>
          </w:p>
        </w:tc>
        <w:tc>
          <w:tcPr>
            <w:tcW w:w="1669" w:type="dxa"/>
            <w:noWrap/>
          </w:tcPr>
          <w:p w:rsidR="00871D57" w:rsidRPr="00F24909" w:rsidRDefault="00871D57" w:rsidP="00F24909">
            <w:pPr>
              <w:cnfStyle w:val="000000000000"/>
            </w:pPr>
            <w:r w:rsidRPr="00F24909">
              <w:t>51,3</w:t>
            </w:r>
          </w:p>
        </w:tc>
      </w:tr>
    </w:tbl>
    <w:p w:rsidR="00871D57" w:rsidRPr="00F672DD" w:rsidRDefault="00F24909" w:rsidP="00C65A60">
      <w:pPr>
        <w:pStyle w:val="SingleTxtGR"/>
        <w:spacing w:before="120"/>
      </w:pPr>
      <w:r>
        <w:t>158.</w:t>
      </w:r>
      <w:r>
        <w:tab/>
      </w:r>
      <w:r w:rsidR="00871D57" w:rsidRPr="00F672DD">
        <w:t>Статистические данные, касающиеся уровня безработицы, приводятся ниже.</w:t>
      </w:r>
    </w:p>
    <w:p w:rsidR="00871D57" w:rsidRPr="001465B8" w:rsidRDefault="00871D57" w:rsidP="00F24909">
      <w:pPr>
        <w:pStyle w:val="SingleTxtGR"/>
        <w:jc w:val="left"/>
        <w:rPr>
          <w:sz w:val="16"/>
          <w:szCs w:val="16"/>
        </w:rPr>
      </w:pPr>
      <w:r w:rsidRPr="00F672DD">
        <w:t>Таблица 10</w:t>
      </w:r>
      <w:r w:rsidRPr="00F672DD">
        <w:br/>
      </w:r>
      <w:r w:rsidRPr="00F672DD">
        <w:rPr>
          <w:b/>
        </w:rPr>
        <w:t>Уровень безработицы среди населения в возрасте 15–74 лет</w:t>
      </w:r>
      <w:r w:rsidR="001465B8">
        <w:rPr>
          <w:b/>
        </w:rPr>
        <w:br/>
      </w:r>
      <w:r w:rsidRPr="001465B8">
        <w:rPr>
          <w:sz w:val="16"/>
          <w:szCs w:val="16"/>
        </w:rPr>
        <w:t>(в</w:t>
      </w:r>
      <w:r w:rsidR="00315944" w:rsidRPr="001465B8">
        <w:rPr>
          <w:sz w:val="16"/>
          <w:szCs w:val="16"/>
        </w:rPr>
        <w:t xml:space="preserve"> </w:t>
      </w:r>
      <w:r w:rsidR="00204F33" w:rsidRPr="001465B8">
        <w:rPr>
          <w:sz w:val="16"/>
          <w:szCs w:val="16"/>
        </w:rPr>
        <w:t>%</w:t>
      </w:r>
      <w:r w:rsidRPr="001465B8">
        <w:rPr>
          <w:sz w:val="16"/>
          <w:szCs w:val="16"/>
        </w:rPr>
        <w:t>)</w:t>
      </w:r>
    </w:p>
    <w:tbl>
      <w:tblPr>
        <w:tblStyle w:val="TabNum"/>
        <w:tblW w:w="7371" w:type="dxa"/>
        <w:tblInd w:w="1134" w:type="dxa"/>
        <w:tblLayout w:type="fixed"/>
        <w:tblLook w:val="01E0"/>
      </w:tblPr>
      <w:tblGrid>
        <w:gridCol w:w="694"/>
        <w:gridCol w:w="1630"/>
        <w:gridCol w:w="1708"/>
        <w:gridCol w:w="1665"/>
        <w:gridCol w:w="1674"/>
      </w:tblGrid>
      <w:tr w:rsidR="00871D57" w:rsidRPr="00F24909" w:rsidTr="001B5C89">
        <w:trPr>
          <w:trHeight w:val="240"/>
          <w:tblHeader/>
        </w:trPr>
        <w:tc>
          <w:tcPr>
            <w:cnfStyle w:val="001000000000"/>
            <w:tcW w:w="694" w:type="dxa"/>
            <w:tcBorders>
              <w:bottom w:val="single" w:sz="12" w:space="0" w:color="auto"/>
            </w:tcBorders>
            <w:shd w:val="clear" w:color="auto" w:fill="auto"/>
            <w:noWrap/>
          </w:tcPr>
          <w:p w:rsidR="00871D57" w:rsidRPr="00F24909" w:rsidRDefault="00871D57" w:rsidP="00F24909">
            <w:pPr>
              <w:spacing w:before="80" w:after="80" w:line="200" w:lineRule="exact"/>
              <w:rPr>
                <w:i/>
                <w:sz w:val="16"/>
              </w:rPr>
            </w:pPr>
            <w:r w:rsidRPr="00F24909">
              <w:rPr>
                <w:i/>
                <w:sz w:val="16"/>
              </w:rPr>
              <w:t>Год</w:t>
            </w:r>
          </w:p>
        </w:tc>
        <w:tc>
          <w:tcPr>
            <w:tcW w:w="1630" w:type="dxa"/>
            <w:tcBorders>
              <w:top w:val="single" w:sz="4" w:space="0" w:color="auto"/>
              <w:bottom w:val="single" w:sz="12" w:space="0" w:color="auto"/>
            </w:tcBorders>
            <w:shd w:val="clear" w:color="auto" w:fill="auto"/>
          </w:tcPr>
          <w:p w:rsidR="00871D57" w:rsidRPr="00F24909" w:rsidRDefault="00871D57" w:rsidP="009A7690">
            <w:pPr>
              <w:suppressAutoHyphens/>
              <w:spacing w:before="80" w:after="80" w:line="200" w:lineRule="exact"/>
              <w:cnfStyle w:val="000000000000"/>
              <w:rPr>
                <w:i/>
                <w:sz w:val="16"/>
              </w:rPr>
            </w:pPr>
            <w:r w:rsidRPr="00F24909">
              <w:rPr>
                <w:i/>
                <w:sz w:val="16"/>
              </w:rPr>
              <w:t>Мужчины, родившиеся</w:t>
            </w:r>
            <w:r w:rsidR="00D22540">
              <w:rPr>
                <w:i/>
                <w:sz w:val="16"/>
              </w:rPr>
              <w:t xml:space="preserve"> </w:t>
            </w:r>
            <w:r w:rsidRPr="00F24909">
              <w:rPr>
                <w:i/>
                <w:sz w:val="16"/>
              </w:rPr>
              <w:t>в</w:t>
            </w:r>
            <w:r w:rsidR="009A7690">
              <w:rPr>
                <w:i/>
                <w:sz w:val="16"/>
                <w:lang w:val="en-US"/>
              </w:rPr>
              <w:t> </w:t>
            </w:r>
            <w:r w:rsidRPr="00F24909">
              <w:rPr>
                <w:i/>
                <w:sz w:val="16"/>
              </w:rPr>
              <w:t>Швеции</w:t>
            </w:r>
          </w:p>
        </w:tc>
        <w:tc>
          <w:tcPr>
            <w:tcW w:w="1708" w:type="dxa"/>
            <w:tcBorders>
              <w:top w:val="single" w:sz="4" w:space="0" w:color="auto"/>
              <w:bottom w:val="single" w:sz="12" w:space="0" w:color="auto"/>
            </w:tcBorders>
            <w:shd w:val="clear" w:color="auto" w:fill="auto"/>
          </w:tcPr>
          <w:p w:rsidR="00871D57" w:rsidRPr="00F24909" w:rsidRDefault="00871D57" w:rsidP="009A7690">
            <w:pPr>
              <w:suppressAutoHyphens/>
              <w:spacing w:before="80" w:after="80" w:line="200" w:lineRule="exact"/>
              <w:cnfStyle w:val="000000000000"/>
              <w:rPr>
                <w:i/>
                <w:sz w:val="16"/>
              </w:rPr>
            </w:pPr>
            <w:r w:rsidRPr="00F24909">
              <w:rPr>
                <w:i/>
                <w:sz w:val="16"/>
              </w:rPr>
              <w:t>Мужчины, родившиеся</w:t>
            </w:r>
            <w:r w:rsidR="00D22540">
              <w:rPr>
                <w:i/>
                <w:sz w:val="16"/>
              </w:rPr>
              <w:t xml:space="preserve"> </w:t>
            </w:r>
            <w:r w:rsidRPr="00F24909">
              <w:rPr>
                <w:i/>
                <w:sz w:val="16"/>
              </w:rPr>
              <w:t>за</w:t>
            </w:r>
            <w:r w:rsidR="009A7690">
              <w:rPr>
                <w:i/>
                <w:sz w:val="16"/>
                <w:lang w:val="en-US"/>
              </w:rPr>
              <w:t> </w:t>
            </w:r>
            <w:r w:rsidRPr="00F24909">
              <w:rPr>
                <w:i/>
                <w:sz w:val="16"/>
              </w:rPr>
              <w:t>границей</w:t>
            </w:r>
          </w:p>
        </w:tc>
        <w:tc>
          <w:tcPr>
            <w:tcW w:w="1665" w:type="dxa"/>
            <w:tcBorders>
              <w:top w:val="single" w:sz="4" w:space="0" w:color="auto"/>
              <w:bottom w:val="single" w:sz="12" w:space="0" w:color="auto"/>
            </w:tcBorders>
            <w:shd w:val="clear" w:color="auto" w:fill="auto"/>
          </w:tcPr>
          <w:p w:rsidR="00871D57" w:rsidRPr="00F24909" w:rsidRDefault="00871D57" w:rsidP="009A7690">
            <w:pPr>
              <w:suppressAutoHyphens/>
              <w:spacing w:before="80" w:after="80" w:line="200" w:lineRule="exact"/>
              <w:cnfStyle w:val="000000000000"/>
              <w:rPr>
                <w:i/>
                <w:sz w:val="16"/>
              </w:rPr>
            </w:pPr>
            <w:r w:rsidRPr="00F24909">
              <w:rPr>
                <w:i/>
                <w:sz w:val="16"/>
              </w:rPr>
              <w:t>Женщины, родившиеся</w:t>
            </w:r>
            <w:r w:rsidR="00D22540">
              <w:rPr>
                <w:i/>
                <w:sz w:val="16"/>
              </w:rPr>
              <w:t xml:space="preserve"> </w:t>
            </w:r>
            <w:r w:rsidRPr="00F24909">
              <w:rPr>
                <w:i/>
                <w:sz w:val="16"/>
              </w:rPr>
              <w:t>в</w:t>
            </w:r>
            <w:r w:rsidR="009A7690">
              <w:rPr>
                <w:i/>
                <w:sz w:val="16"/>
                <w:lang w:val="en-US"/>
              </w:rPr>
              <w:t> </w:t>
            </w:r>
            <w:r w:rsidRPr="00F24909">
              <w:rPr>
                <w:i/>
                <w:sz w:val="16"/>
              </w:rPr>
              <w:t>Швеции</w:t>
            </w:r>
          </w:p>
        </w:tc>
        <w:tc>
          <w:tcPr>
            <w:tcW w:w="1674" w:type="dxa"/>
            <w:tcBorders>
              <w:top w:val="single" w:sz="4" w:space="0" w:color="auto"/>
              <w:bottom w:val="single" w:sz="12" w:space="0" w:color="auto"/>
            </w:tcBorders>
            <w:shd w:val="clear" w:color="auto" w:fill="auto"/>
          </w:tcPr>
          <w:p w:rsidR="00871D57" w:rsidRPr="00F24909" w:rsidRDefault="00871D57" w:rsidP="009A7690">
            <w:pPr>
              <w:suppressAutoHyphens/>
              <w:spacing w:before="80" w:after="80" w:line="200" w:lineRule="exact"/>
              <w:cnfStyle w:val="000000000000"/>
              <w:rPr>
                <w:i/>
                <w:sz w:val="16"/>
              </w:rPr>
            </w:pPr>
            <w:r w:rsidRPr="00F24909">
              <w:rPr>
                <w:i/>
                <w:sz w:val="16"/>
              </w:rPr>
              <w:t>Женщины</w:t>
            </w:r>
            <w:r w:rsidR="00D22540">
              <w:rPr>
                <w:i/>
                <w:sz w:val="16"/>
              </w:rPr>
              <w:t>,</w:t>
            </w:r>
            <w:r w:rsidRPr="00F24909">
              <w:rPr>
                <w:i/>
                <w:sz w:val="16"/>
              </w:rPr>
              <w:t xml:space="preserve"> родившиеся</w:t>
            </w:r>
            <w:r w:rsidR="00D22540">
              <w:rPr>
                <w:i/>
                <w:sz w:val="16"/>
              </w:rPr>
              <w:t xml:space="preserve"> </w:t>
            </w:r>
            <w:r w:rsidRPr="00F24909">
              <w:rPr>
                <w:i/>
                <w:sz w:val="16"/>
              </w:rPr>
              <w:t>за</w:t>
            </w:r>
            <w:r w:rsidR="009A7690">
              <w:rPr>
                <w:i/>
                <w:sz w:val="16"/>
                <w:lang w:val="en-US"/>
              </w:rPr>
              <w:t> </w:t>
            </w:r>
            <w:r w:rsidRPr="00F24909">
              <w:rPr>
                <w:i/>
                <w:sz w:val="16"/>
              </w:rPr>
              <w:t>границей</w:t>
            </w:r>
          </w:p>
        </w:tc>
      </w:tr>
      <w:tr w:rsidR="00871D57" w:rsidRPr="00F24909" w:rsidTr="001B5C89">
        <w:trPr>
          <w:trHeight w:val="240"/>
        </w:trPr>
        <w:tc>
          <w:tcPr>
            <w:cnfStyle w:val="001000000000"/>
            <w:tcW w:w="694" w:type="dxa"/>
            <w:tcBorders>
              <w:top w:val="single" w:sz="12" w:space="0" w:color="auto"/>
            </w:tcBorders>
            <w:noWrap/>
          </w:tcPr>
          <w:p w:rsidR="00871D57" w:rsidRPr="00F24909" w:rsidRDefault="00871D57" w:rsidP="00F24909">
            <w:r w:rsidRPr="00F24909">
              <w:t>2005</w:t>
            </w:r>
          </w:p>
        </w:tc>
        <w:tc>
          <w:tcPr>
            <w:tcW w:w="1630" w:type="dxa"/>
            <w:tcBorders>
              <w:top w:val="single" w:sz="12" w:space="0" w:color="auto"/>
            </w:tcBorders>
            <w:noWrap/>
          </w:tcPr>
          <w:p w:rsidR="00871D57" w:rsidRPr="00F24909" w:rsidRDefault="00871D57" w:rsidP="00F24909">
            <w:pPr>
              <w:cnfStyle w:val="000000000000"/>
            </w:pPr>
            <w:r w:rsidRPr="00F24909">
              <w:t>6,8</w:t>
            </w:r>
          </w:p>
        </w:tc>
        <w:tc>
          <w:tcPr>
            <w:tcW w:w="1708" w:type="dxa"/>
            <w:tcBorders>
              <w:top w:val="single" w:sz="12" w:space="0" w:color="auto"/>
            </w:tcBorders>
            <w:noWrap/>
          </w:tcPr>
          <w:p w:rsidR="00871D57" w:rsidRPr="00F24909" w:rsidRDefault="00871D57" w:rsidP="00F24909">
            <w:pPr>
              <w:cnfStyle w:val="000000000000"/>
            </w:pPr>
            <w:r w:rsidRPr="00F24909">
              <w:t>14,8</w:t>
            </w:r>
          </w:p>
        </w:tc>
        <w:tc>
          <w:tcPr>
            <w:tcW w:w="1665" w:type="dxa"/>
            <w:tcBorders>
              <w:top w:val="single" w:sz="12" w:space="0" w:color="auto"/>
            </w:tcBorders>
            <w:noWrap/>
          </w:tcPr>
          <w:p w:rsidR="00871D57" w:rsidRPr="00F24909" w:rsidRDefault="00871D57" w:rsidP="00F24909">
            <w:pPr>
              <w:cnfStyle w:val="000000000000"/>
            </w:pPr>
            <w:r w:rsidRPr="00F24909">
              <w:t>6,8</w:t>
            </w:r>
          </w:p>
        </w:tc>
        <w:tc>
          <w:tcPr>
            <w:tcW w:w="1674" w:type="dxa"/>
            <w:tcBorders>
              <w:top w:val="single" w:sz="12" w:space="0" w:color="auto"/>
            </w:tcBorders>
            <w:noWrap/>
          </w:tcPr>
          <w:p w:rsidR="00871D57" w:rsidRPr="00F24909" w:rsidRDefault="00871D57" w:rsidP="00F24909">
            <w:pPr>
              <w:cnfStyle w:val="000000000000"/>
            </w:pPr>
            <w:r w:rsidRPr="00F24909">
              <w:t>13,5</w:t>
            </w:r>
          </w:p>
        </w:tc>
      </w:tr>
      <w:tr w:rsidR="00871D57" w:rsidRPr="00F24909" w:rsidTr="001B5C89">
        <w:trPr>
          <w:trHeight w:val="240"/>
        </w:trPr>
        <w:tc>
          <w:tcPr>
            <w:cnfStyle w:val="001000000000"/>
            <w:tcW w:w="694" w:type="dxa"/>
            <w:noWrap/>
          </w:tcPr>
          <w:p w:rsidR="00871D57" w:rsidRPr="00F24909" w:rsidRDefault="00871D57" w:rsidP="00F24909">
            <w:r w:rsidRPr="00F24909">
              <w:t>2006</w:t>
            </w:r>
          </w:p>
        </w:tc>
        <w:tc>
          <w:tcPr>
            <w:tcW w:w="1630" w:type="dxa"/>
            <w:noWrap/>
          </w:tcPr>
          <w:p w:rsidR="00871D57" w:rsidRPr="00F24909" w:rsidRDefault="00871D57" w:rsidP="00F24909">
            <w:pPr>
              <w:cnfStyle w:val="000000000000"/>
            </w:pPr>
            <w:r w:rsidRPr="00F24909">
              <w:t>5,9</w:t>
            </w:r>
          </w:p>
        </w:tc>
        <w:tc>
          <w:tcPr>
            <w:tcW w:w="1708" w:type="dxa"/>
            <w:noWrap/>
          </w:tcPr>
          <w:p w:rsidR="00871D57" w:rsidRPr="00F24909" w:rsidRDefault="00871D57" w:rsidP="00F24909">
            <w:pPr>
              <w:cnfStyle w:val="000000000000"/>
            </w:pPr>
            <w:r w:rsidRPr="00F24909">
              <w:t>13,2</w:t>
            </w:r>
          </w:p>
        </w:tc>
        <w:tc>
          <w:tcPr>
            <w:tcW w:w="1665" w:type="dxa"/>
            <w:noWrap/>
          </w:tcPr>
          <w:p w:rsidR="00871D57" w:rsidRPr="00F24909" w:rsidRDefault="00871D57" w:rsidP="00F24909">
            <w:pPr>
              <w:cnfStyle w:val="000000000000"/>
            </w:pPr>
            <w:r w:rsidRPr="00F24909">
              <w:t>6,3</w:t>
            </w:r>
          </w:p>
        </w:tc>
        <w:tc>
          <w:tcPr>
            <w:tcW w:w="1674" w:type="dxa"/>
            <w:noWrap/>
          </w:tcPr>
          <w:p w:rsidR="00871D57" w:rsidRPr="00F24909" w:rsidRDefault="00871D57" w:rsidP="00F24909">
            <w:pPr>
              <w:cnfStyle w:val="000000000000"/>
            </w:pPr>
            <w:r w:rsidRPr="00F24909">
              <w:t>13,0</w:t>
            </w:r>
          </w:p>
        </w:tc>
      </w:tr>
      <w:tr w:rsidR="00871D57" w:rsidRPr="00F24909" w:rsidTr="001B5C89">
        <w:trPr>
          <w:trHeight w:val="240"/>
        </w:trPr>
        <w:tc>
          <w:tcPr>
            <w:cnfStyle w:val="001000000000"/>
            <w:tcW w:w="694" w:type="dxa"/>
            <w:noWrap/>
          </w:tcPr>
          <w:p w:rsidR="00871D57" w:rsidRPr="00F24909" w:rsidRDefault="00871D57" w:rsidP="00F24909">
            <w:r w:rsidRPr="00F24909">
              <w:t>2007</w:t>
            </w:r>
          </w:p>
        </w:tc>
        <w:tc>
          <w:tcPr>
            <w:tcW w:w="1630" w:type="dxa"/>
            <w:noWrap/>
          </w:tcPr>
          <w:p w:rsidR="00871D57" w:rsidRPr="00F24909" w:rsidRDefault="00871D57" w:rsidP="00F24909">
            <w:pPr>
              <w:cnfStyle w:val="000000000000"/>
            </w:pPr>
            <w:r w:rsidRPr="00F24909">
              <w:t>5,0</w:t>
            </w:r>
          </w:p>
        </w:tc>
        <w:tc>
          <w:tcPr>
            <w:tcW w:w="1708" w:type="dxa"/>
            <w:noWrap/>
          </w:tcPr>
          <w:p w:rsidR="00871D57" w:rsidRPr="00F24909" w:rsidRDefault="00871D57" w:rsidP="00F24909">
            <w:pPr>
              <w:cnfStyle w:val="000000000000"/>
            </w:pPr>
            <w:r w:rsidRPr="00F24909">
              <w:t>11,4</w:t>
            </w:r>
          </w:p>
        </w:tc>
        <w:tc>
          <w:tcPr>
            <w:tcW w:w="1665" w:type="dxa"/>
            <w:noWrap/>
          </w:tcPr>
          <w:p w:rsidR="00871D57" w:rsidRPr="00F24909" w:rsidRDefault="00871D57" w:rsidP="00F24909">
            <w:pPr>
              <w:cnfStyle w:val="000000000000"/>
            </w:pPr>
            <w:r w:rsidRPr="00F24909">
              <w:t>5,4</w:t>
            </w:r>
          </w:p>
        </w:tc>
        <w:tc>
          <w:tcPr>
            <w:tcW w:w="1674" w:type="dxa"/>
            <w:noWrap/>
          </w:tcPr>
          <w:p w:rsidR="00871D57" w:rsidRPr="00F24909" w:rsidRDefault="00871D57" w:rsidP="00F24909">
            <w:pPr>
              <w:cnfStyle w:val="000000000000"/>
            </w:pPr>
            <w:r w:rsidRPr="00F24909">
              <w:t>12,4</w:t>
            </w:r>
          </w:p>
        </w:tc>
      </w:tr>
      <w:tr w:rsidR="00871D57" w:rsidRPr="00F24909" w:rsidTr="001B5C89">
        <w:trPr>
          <w:trHeight w:val="240"/>
        </w:trPr>
        <w:tc>
          <w:tcPr>
            <w:cnfStyle w:val="001000000000"/>
            <w:tcW w:w="694" w:type="dxa"/>
            <w:noWrap/>
          </w:tcPr>
          <w:p w:rsidR="00871D57" w:rsidRPr="00F24909" w:rsidRDefault="00871D57" w:rsidP="00F24909">
            <w:r w:rsidRPr="00F24909">
              <w:t>2008</w:t>
            </w:r>
          </w:p>
        </w:tc>
        <w:tc>
          <w:tcPr>
            <w:tcW w:w="1630" w:type="dxa"/>
            <w:noWrap/>
          </w:tcPr>
          <w:p w:rsidR="00871D57" w:rsidRPr="00F24909" w:rsidRDefault="00871D57" w:rsidP="00F24909">
            <w:pPr>
              <w:cnfStyle w:val="000000000000"/>
            </w:pPr>
            <w:r w:rsidRPr="00F24909">
              <w:t>5,0</w:t>
            </w:r>
          </w:p>
        </w:tc>
        <w:tc>
          <w:tcPr>
            <w:tcW w:w="1708" w:type="dxa"/>
            <w:noWrap/>
          </w:tcPr>
          <w:p w:rsidR="00871D57" w:rsidRPr="00F24909" w:rsidRDefault="00871D57" w:rsidP="00F24909">
            <w:pPr>
              <w:cnfStyle w:val="000000000000"/>
            </w:pPr>
            <w:r w:rsidRPr="00F24909">
              <w:t>11,3</w:t>
            </w:r>
          </w:p>
        </w:tc>
        <w:tc>
          <w:tcPr>
            <w:tcW w:w="1665" w:type="dxa"/>
            <w:noWrap/>
          </w:tcPr>
          <w:p w:rsidR="00871D57" w:rsidRPr="00F24909" w:rsidRDefault="00871D57" w:rsidP="00F24909">
            <w:pPr>
              <w:cnfStyle w:val="000000000000"/>
            </w:pPr>
            <w:r w:rsidRPr="00F24909">
              <w:t>5,5</w:t>
            </w:r>
          </w:p>
        </w:tc>
        <w:tc>
          <w:tcPr>
            <w:tcW w:w="1674" w:type="dxa"/>
            <w:noWrap/>
          </w:tcPr>
          <w:p w:rsidR="00871D57" w:rsidRPr="00F24909" w:rsidRDefault="00871D57" w:rsidP="00F24909">
            <w:pPr>
              <w:cnfStyle w:val="000000000000"/>
            </w:pPr>
            <w:r w:rsidRPr="00F24909">
              <w:t>12,8</w:t>
            </w:r>
          </w:p>
        </w:tc>
      </w:tr>
      <w:tr w:rsidR="00871D57" w:rsidRPr="00F24909" w:rsidTr="001B5C89">
        <w:trPr>
          <w:trHeight w:val="240"/>
        </w:trPr>
        <w:tc>
          <w:tcPr>
            <w:cnfStyle w:val="001000000000"/>
            <w:tcW w:w="694" w:type="dxa"/>
            <w:noWrap/>
          </w:tcPr>
          <w:p w:rsidR="00871D57" w:rsidRPr="00F24909" w:rsidRDefault="00871D57" w:rsidP="00F24909">
            <w:r w:rsidRPr="00F24909">
              <w:t>2009</w:t>
            </w:r>
          </w:p>
        </w:tc>
        <w:tc>
          <w:tcPr>
            <w:tcW w:w="1630" w:type="dxa"/>
            <w:noWrap/>
          </w:tcPr>
          <w:p w:rsidR="00871D57" w:rsidRPr="00F24909" w:rsidRDefault="00871D57" w:rsidP="00F24909">
            <w:pPr>
              <w:cnfStyle w:val="000000000000"/>
            </w:pPr>
            <w:r w:rsidRPr="00F24909">
              <w:t>7,3</w:t>
            </w:r>
          </w:p>
        </w:tc>
        <w:tc>
          <w:tcPr>
            <w:tcW w:w="1708" w:type="dxa"/>
            <w:noWrap/>
          </w:tcPr>
          <w:p w:rsidR="00871D57" w:rsidRPr="00F24909" w:rsidRDefault="00871D57" w:rsidP="00F24909">
            <w:pPr>
              <w:cnfStyle w:val="000000000000"/>
            </w:pPr>
            <w:r w:rsidRPr="00F24909">
              <w:t>15,9</w:t>
            </w:r>
          </w:p>
        </w:tc>
        <w:tc>
          <w:tcPr>
            <w:tcW w:w="1665" w:type="dxa"/>
            <w:noWrap/>
          </w:tcPr>
          <w:p w:rsidR="00871D57" w:rsidRPr="00F24909" w:rsidRDefault="00871D57" w:rsidP="00F24909">
            <w:pPr>
              <w:cnfStyle w:val="000000000000"/>
            </w:pPr>
            <w:r w:rsidRPr="00F24909">
              <w:t>6,8</w:t>
            </w:r>
          </w:p>
        </w:tc>
        <w:tc>
          <w:tcPr>
            <w:tcW w:w="1674" w:type="dxa"/>
            <w:noWrap/>
          </w:tcPr>
          <w:p w:rsidR="00871D57" w:rsidRPr="00F24909" w:rsidRDefault="00871D57" w:rsidP="00F24909">
            <w:pPr>
              <w:cnfStyle w:val="000000000000"/>
            </w:pPr>
            <w:r w:rsidRPr="00F24909">
              <w:t>14,3</w:t>
            </w:r>
          </w:p>
        </w:tc>
      </w:tr>
      <w:tr w:rsidR="00871D57" w:rsidRPr="00F24909" w:rsidTr="001B5C89">
        <w:trPr>
          <w:trHeight w:val="240"/>
        </w:trPr>
        <w:tc>
          <w:tcPr>
            <w:cnfStyle w:val="001000000000"/>
            <w:tcW w:w="694" w:type="dxa"/>
            <w:noWrap/>
          </w:tcPr>
          <w:p w:rsidR="00871D57" w:rsidRPr="00F24909" w:rsidRDefault="00871D57" w:rsidP="00F24909">
            <w:r w:rsidRPr="00F24909">
              <w:t>2010</w:t>
            </w:r>
          </w:p>
        </w:tc>
        <w:tc>
          <w:tcPr>
            <w:tcW w:w="1630" w:type="dxa"/>
            <w:noWrap/>
          </w:tcPr>
          <w:p w:rsidR="00871D57" w:rsidRPr="00F24909" w:rsidRDefault="00871D57" w:rsidP="00F24909">
            <w:pPr>
              <w:cnfStyle w:val="000000000000"/>
            </w:pPr>
            <w:r w:rsidRPr="00F24909">
              <w:t>7,2</w:t>
            </w:r>
          </w:p>
        </w:tc>
        <w:tc>
          <w:tcPr>
            <w:tcW w:w="1708" w:type="dxa"/>
            <w:noWrap/>
          </w:tcPr>
          <w:p w:rsidR="00871D57" w:rsidRPr="00F24909" w:rsidRDefault="00871D57" w:rsidP="00F24909">
            <w:pPr>
              <w:cnfStyle w:val="000000000000"/>
            </w:pPr>
            <w:r w:rsidRPr="00F24909">
              <w:t>15,6</w:t>
            </w:r>
          </w:p>
        </w:tc>
        <w:tc>
          <w:tcPr>
            <w:tcW w:w="1665" w:type="dxa"/>
            <w:noWrap/>
          </w:tcPr>
          <w:p w:rsidR="00871D57" w:rsidRPr="00F24909" w:rsidRDefault="00871D57" w:rsidP="00F24909">
            <w:pPr>
              <w:cnfStyle w:val="000000000000"/>
            </w:pPr>
            <w:r w:rsidRPr="00F24909">
              <w:t>6,7</w:t>
            </w:r>
          </w:p>
        </w:tc>
        <w:tc>
          <w:tcPr>
            <w:tcW w:w="1674" w:type="dxa"/>
            <w:noWrap/>
          </w:tcPr>
          <w:p w:rsidR="00871D57" w:rsidRPr="00F24909" w:rsidRDefault="00871D57" w:rsidP="00F24909">
            <w:pPr>
              <w:cnfStyle w:val="000000000000"/>
            </w:pPr>
            <w:r w:rsidRPr="00F24909">
              <w:t>16,5</w:t>
            </w:r>
          </w:p>
        </w:tc>
      </w:tr>
      <w:tr w:rsidR="00871D57" w:rsidRPr="00F24909" w:rsidTr="001B5C89">
        <w:trPr>
          <w:trHeight w:val="240"/>
        </w:trPr>
        <w:tc>
          <w:tcPr>
            <w:cnfStyle w:val="001000000000"/>
            <w:tcW w:w="694" w:type="dxa"/>
            <w:noWrap/>
          </w:tcPr>
          <w:p w:rsidR="00871D57" w:rsidRPr="00F24909" w:rsidRDefault="00871D57" w:rsidP="00F24909">
            <w:r w:rsidRPr="00F24909">
              <w:t>2011</w:t>
            </w:r>
          </w:p>
        </w:tc>
        <w:tc>
          <w:tcPr>
            <w:tcW w:w="1630" w:type="dxa"/>
            <w:noWrap/>
          </w:tcPr>
          <w:p w:rsidR="00871D57" w:rsidRPr="00F24909" w:rsidRDefault="00871D57" w:rsidP="00F24909">
            <w:pPr>
              <w:cnfStyle w:val="000000000000"/>
            </w:pPr>
            <w:r w:rsidRPr="00F24909">
              <w:t>6,0</w:t>
            </w:r>
          </w:p>
        </w:tc>
        <w:tc>
          <w:tcPr>
            <w:tcW w:w="1708" w:type="dxa"/>
            <w:noWrap/>
          </w:tcPr>
          <w:p w:rsidR="00871D57" w:rsidRPr="00F24909" w:rsidRDefault="00871D57" w:rsidP="00F24909">
            <w:pPr>
              <w:cnfStyle w:val="000000000000"/>
            </w:pPr>
            <w:r w:rsidRPr="00F24909">
              <w:t>15,9</w:t>
            </w:r>
          </w:p>
        </w:tc>
        <w:tc>
          <w:tcPr>
            <w:tcW w:w="1665" w:type="dxa"/>
            <w:noWrap/>
          </w:tcPr>
          <w:p w:rsidR="00871D57" w:rsidRPr="00F24909" w:rsidRDefault="00871D57" w:rsidP="00F24909">
            <w:pPr>
              <w:cnfStyle w:val="000000000000"/>
            </w:pPr>
            <w:r w:rsidRPr="00F24909">
              <w:t>5,9</w:t>
            </w:r>
          </w:p>
        </w:tc>
        <w:tc>
          <w:tcPr>
            <w:tcW w:w="1674" w:type="dxa"/>
            <w:noWrap/>
          </w:tcPr>
          <w:p w:rsidR="00871D57" w:rsidRPr="00F24909" w:rsidRDefault="00871D57" w:rsidP="00F24909">
            <w:pPr>
              <w:cnfStyle w:val="000000000000"/>
            </w:pPr>
            <w:r w:rsidRPr="00F24909">
              <w:t>15,8</w:t>
            </w:r>
          </w:p>
        </w:tc>
      </w:tr>
    </w:tbl>
    <w:p w:rsidR="00871D57" w:rsidRPr="00F672DD" w:rsidRDefault="00871D57" w:rsidP="00D22540">
      <w:pPr>
        <w:pStyle w:val="H23GR"/>
      </w:pPr>
      <w:r w:rsidRPr="00F672DD">
        <w:tab/>
      </w:r>
      <w:r w:rsidRPr="00F672DD">
        <w:rPr>
          <w:lang w:val="en-GB"/>
        </w:rPr>
        <w:t>b</w:t>
      </w:r>
      <w:r w:rsidRPr="00F672DD">
        <w:t>)</w:t>
      </w:r>
      <w:r w:rsidRPr="00F672DD">
        <w:tab/>
        <w:t>Меры в сфере образования</w:t>
      </w:r>
    </w:p>
    <w:p w:rsidR="00871D57" w:rsidRPr="00F672DD" w:rsidRDefault="00D22540" w:rsidP="00871D57">
      <w:pPr>
        <w:pStyle w:val="SingleTxtGR"/>
      </w:pPr>
      <w:r>
        <w:t>159.</w:t>
      </w:r>
      <w:r>
        <w:tab/>
      </w:r>
      <w:r w:rsidR="00871D57" w:rsidRPr="00F672DD">
        <w:t>Ведомством Омбудсмена по вопросам равенства разработано веб-приложение, призванное служить руководством для директоров, воспитателей и учителей дошкольных учреждений и школ при организации целевой деятельн</w:t>
      </w:r>
      <w:r w:rsidR="00871D57" w:rsidRPr="00F672DD">
        <w:t>о</w:t>
      </w:r>
      <w:r w:rsidR="00871D57" w:rsidRPr="00F672DD">
        <w:t>сти и с</w:t>
      </w:r>
      <w:r w:rsidR="00871D57" w:rsidRPr="00F672DD">
        <w:t>о</w:t>
      </w:r>
      <w:r w:rsidR="00871D57" w:rsidRPr="00F672DD">
        <w:t>ставлении планов работы по обеспечению равного обращения. Это веб-приложение, в котором подробно разбирается каждый мотив дискриминации, позволяет пользователям закладывать в планы работы школ меры, направле</w:t>
      </w:r>
      <w:r w:rsidR="00871D57" w:rsidRPr="00F672DD">
        <w:t>н</w:t>
      </w:r>
      <w:r w:rsidR="00871D57" w:rsidRPr="00F672DD">
        <w:t>ные на борьбу с обращением, унижающим человеческое достоинство. Оно было разработано в сотрудничестве с профильными органами, включая Инспекцию по делам школ и Национальное агентство по вопросам образования, и было с одобрением встречено в дошкольных учреждениях и школах страны. За год в качестве его пользователей зарегистрировались 5</w:t>
      </w:r>
      <w:r w:rsidR="000557E5" w:rsidRPr="000557E5">
        <w:t xml:space="preserve"> </w:t>
      </w:r>
      <w:r w:rsidR="00871D57" w:rsidRPr="00F672DD">
        <w:t>000 школ и дошкольных у</w:t>
      </w:r>
      <w:r w:rsidR="00871D57" w:rsidRPr="00F672DD">
        <w:t>ч</w:t>
      </w:r>
      <w:r w:rsidR="00871D57" w:rsidRPr="00F672DD">
        <w:t>реждений. В 2012</w:t>
      </w:r>
      <w:r w:rsidR="000557E5" w:rsidRPr="000557E5">
        <w:t xml:space="preserve"> </w:t>
      </w:r>
      <w:r w:rsidR="00871D57" w:rsidRPr="00F672DD">
        <w:t xml:space="preserve">году Омбудсмен по вопросам равенства планирует провести оценку веб-приложения и его влияния на усилия школ по обеспечению равного обращения. </w:t>
      </w:r>
    </w:p>
    <w:p w:rsidR="00871D57" w:rsidRPr="00F672DD" w:rsidRDefault="00D22540" w:rsidP="00AB2C64">
      <w:pPr>
        <w:pStyle w:val="SingleTxtGR"/>
        <w:pageBreakBefore/>
      </w:pPr>
      <w:r>
        <w:t>160.</w:t>
      </w:r>
      <w:r>
        <w:tab/>
      </w:r>
      <w:r w:rsidR="00871D57" w:rsidRPr="00F672DD">
        <w:t>1 апреля 2006 года был назначен специальный представитель по вопр</w:t>
      </w:r>
      <w:r w:rsidR="00871D57" w:rsidRPr="00F672DD">
        <w:t>о</w:t>
      </w:r>
      <w:r w:rsidR="00871D57" w:rsidRPr="00F672DD">
        <w:t>сам равного обращения с детьми и учащимися школ. С октября 2008 года этот специальный представитель действует под общим руководством Инспекции по делам школ, однако является функционально независимым. Одна из его задач состоит в том, чтобы совместно с Омбудсменом по вопросам равенства борот</w:t>
      </w:r>
      <w:r w:rsidR="00871D57" w:rsidRPr="00F672DD">
        <w:t>ь</w:t>
      </w:r>
      <w:r w:rsidR="00871D57" w:rsidRPr="00F672DD">
        <w:t xml:space="preserve">ся со злоупотреблениями, дискриминацией и притеснениями детей и учащихся школ. </w:t>
      </w:r>
    </w:p>
    <w:p w:rsidR="00871D57" w:rsidRPr="00F672DD" w:rsidRDefault="00D22540" w:rsidP="00871D57">
      <w:pPr>
        <w:pStyle w:val="SingleTxtGR"/>
      </w:pPr>
      <w:r>
        <w:t>161.</w:t>
      </w:r>
      <w:r>
        <w:tab/>
      </w:r>
      <w:r w:rsidR="00871D57" w:rsidRPr="00F672DD">
        <w:t>В апреле 2009 года правительство поручило Национальному агентству по вопросам образования принять меры к обеспечению более широкого распр</w:t>
      </w:r>
      <w:r w:rsidR="00871D57" w:rsidRPr="00F672DD">
        <w:t>о</w:t>
      </w:r>
      <w:r w:rsidR="00871D57" w:rsidRPr="00F672DD">
        <w:t>странения информации о базовых ценностях, лежащих в основе деятельности шведских школ. Агентству было предписано, в частности, провести исследов</w:t>
      </w:r>
      <w:r w:rsidR="00871D57" w:rsidRPr="00F672DD">
        <w:t>а</w:t>
      </w:r>
      <w:r w:rsidR="00871D57" w:rsidRPr="00F672DD">
        <w:t>ние по вопросу о том, как обстоит дело с соблюдением этих ценностей на пра</w:t>
      </w:r>
      <w:r w:rsidR="00871D57" w:rsidRPr="00F672DD">
        <w:t>к</w:t>
      </w:r>
      <w:r w:rsidR="00871D57" w:rsidRPr="00F672DD">
        <w:t>тике, и с учетом результатов этого и других исследований по</w:t>
      </w:r>
      <w:r w:rsidR="00871D57" w:rsidRPr="00F672DD">
        <w:t>д</w:t>
      </w:r>
      <w:r w:rsidR="00871D57" w:rsidRPr="00F672DD">
        <w:t>готовить пособие для учителей и профильных органов. В ма</w:t>
      </w:r>
      <w:r w:rsidR="00491FAD">
        <w:t>е</w:t>
      </w:r>
      <w:r w:rsidR="00871D57" w:rsidRPr="00F672DD">
        <w:t xml:space="preserve"> 2009 года правительство дало Н</w:t>
      </w:r>
      <w:r w:rsidR="00871D57" w:rsidRPr="00F672DD">
        <w:t>а</w:t>
      </w:r>
      <w:r w:rsidR="00871D57" w:rsidRPr="00F672DD">
        <w:t>циональному агентству по вопросам образования новое поручение</w:t>
      </w:r>
      <w:r w:rsidR="006B159C">
        <w:t xml:space="preserve"> − </w:t>
      </w:r>
      <w:r w:rsidR="00871D57" w:rsidRPr="00F672DD">
        <w:t>укрепить систему основных ценностей, на которых строится работа школ, и активизир</w:t>
      </w:r>
      <w:r w:rsidR="00871D57" w:rsidRPr="00F672DD">
        <w:t>о</w:t>
      </w:r>
      <w:r w:rsidR="00871D57" w:rsidRPr="00F672DD">
        <w:t>вать усилия по борьбе с дискриминацией и несправедливым обращением, включая третирование детей, в школах, дошкольных учреждениях и детских л</w:t>
      </w:r>
      <w:r w:rsidR="00871D57" w:rsidRPr="00F672DD">
        <w:t>а</w:t>
      </w:r>
      <w:r w:rsidR="00871D57" w:rsidRPr="00F672DD">
        <w:t>герях. В рамках этого поручения Агентству было предписано организовать с</w:t>
      </w:r>
      <w:r w:rsidR="00871D57" w:rsidRPr="00F672DD">
        <w:t>о</w:t>
      </w:r>
      <w:r w:rsidR="00871D57" w:rsidRPr="00F672DD">
        <w:t>ответствующую учебную подготовку персонала дошкольных учреждений, школ, входящих в систему обязательного образования, и средних школ второй ступени, включая руководителей школ, а также персонала детских лагерей. Примером здесь призван служить университетский курс "Базовые ценности и</w:t>
      </w:r>
      <w:r w:rsidR="00F667D6">
        <w:rPr>
          <w:lang w:val="en-US"/>
        </w:rPr>
        <w:t> </w:t>
      </w:r>
      <w:r w:rsidR="00871D57" w:rsidRPr="00F672DD">
        <w:t>равное обращение в теории и на практике", разработанный в сотрудничестве с</w:t>
      </w:r>
      <w:r w:rsidR="00F667D6">
        <w:rPr>
          <w:lang w:val="en-US"/>
        </w:rPr>
        <w:t> </w:t>
      </w:r>
      <w:r w:rsidR="00871D57" w:rsidRPr="00F672DD">
        <w:t>рядом высших учебных заведений. Кроме того, Национальное агентство по вопросам образования должно, в соответствии со своим мандатом, заниматься сбором и распространением информации о передовом опыте как в области пр</w:t>
      </w:r>
      <w:r w:rsidR="00871D57" w:rsidRPr="00F672DD">
        <w:t>о</w:t>
      </w:r>
      <w:r w:rsidR="00871D57" w:rsidRPr="00F672DD">
        <w:t>филактики дискриминации и другого ненадлежащего обращения, так и в обла</w:t>
      </w:r>
      <w:r w:rsidR="00871D57" w:rsidRPr="00F672DD">
        <w:t>с</w:t>
      </w:r>
      <w:r w:rsidR="00871D57" w:rsidRPr="00F672DD">
        <w:t>ти создания механизмов уведомления о случаях дискриминации и ненадлеж</w:t>
      </w:r>
      <w:r w:rsidR="00871D57" w:rsidRPr="00F672DD">
        <w:t>а</w:t>
      </w:r>
      <w:r w:rsidR="00871D57" w:rsidRPr="00F672DD">
        <w:t>щего обращ</w:t>
      </w:r>
      <w:r w:rsidR="00871D57" w:rsidRPr="00F672DD">
        <w:t>е</w:t>
      </w:r>
      <w:r w:rsidR="00871D57" w:rsidRPr="00F672DD">
        <w:t>ния и принятия мер в связи с ними.</w:t>
      </w:r>
    </w:p>
    <w:p w:rsidR="00871D57" w:rsidRPr="00F672DD" w:rsidRDefault="00D22540" w:rsidP="00871D57">
      <w:pPr>
        <w:pStyle w:val="SingleTxtGR"/>
      </w:pPr>
      <w:r>
        <w:t>162.</w:t>
      </w:r>
      <w:r>
        <w:tab/>
      </w:r>
      <w:r w:rsidR="00871D57" w:rsidRPr="00F672DD">
        <w:t>1 июля 2011 года вступил в силу новый Закон об образовании (2010:800). В</w:t>
      </w:r>
      <w:r w:rsidR="000557E5">
        <w:t xml:space="preserve"> </w:t>
      </w:r>
      <w:r w:rsidR="00871D57" w:rsidRPr="00F672DD">
        <w:t>этом законе ужесточены требования, касающиеся обязанности учителей и другого персонала школ и дошкольных учреждений сообщать об известных им случаях дискриминации или злоупотреблений. Информация о таких случаях должна доводиться до сведения руководителей школ и дошкольных учрежд</w:t>
      </w:r>
      <w:r w:rsidR="00871D57" w:rsidRPr="00F672DD">
        <w:t>е</w:t>
      </w:r>
      <w:r w:rsidR="00871D57" w:rsidRPr="00F672DD">
        <w:t>ний, которые, в свою очередь, обязаны уведомлять о них кур</w:t>
      </w:r>
      <w:r w:rsidR="00871D57" w:rsidRPr="00F672DD">
        <w:t>и</w:t>
      </w:r>
      <w:r w:rsidR="00871D57" w:rsidRPr="00F672DD">
        <w:t xml:space="preserve">рующие органы. </w:t>
      </w:r>
    </w:p>
    <w:p w:rsidR="00871D57" w:rsidRPr="00F672DD" w:rsidRDefault="00D22540" w:rsidP="00871D57">
      <w:pPr>
        <w:pStyle w:val="SingleTxtGR"/>
      </w:pPr>
      <w:r>
        <w:t>163.</w:t>
      </w:r>
      <w:r>
        <w:tab/>
      </w:r>
      <w:r w:rsidR="00871D57" w:rsidRPr="00F672DD">
        <w:t>Национальное агентство по вопросам образования занимается разрабо</w:t>
      </w:r>
      <w:r w:rsidR="00871D57" w:rsidRPr="00F672DD">
        <w:t>т</w:t>
      </w:r>
      <w:r w:rsidR="00871D57" w:rsidRPr="00F672DD">
        <w:t>кой общих руководящих принципов, которые служат рекомендациями по пр</w:t>
      </w:r>
      <w:r w:rsidR="00871D57" w:rsidRPr="00F672DD">
        <w:t>и</w:t>
      </w:r>
      <w:r w:rsidR="00871D57" w:rsidRPr="00F672DD">
        <w:t>менению нормативных документов, касающихся системы образования (законов, указов и положений). В 2012 году Агентство обновило свои Общие руковод</w:t>
      </w:r>
      <w:r w:rsidR="00871D57" w:rsidRPr="00F672DD">
        <w:t>я</w:t>
      </w:r>
      <w:r w:rsidR="00871D57" w:rsidRPr="00F672DD">
        <w:t>щие принципы по борьбе с дискриминацией и несправедливым обращением. Эти руководящие принципы призваны акцентировать внимание на важности усилий школ по обеспечению равных прав и возможностей для детей и учащи</w:t>
      </w:r>
      <w:r w:rsidR="00871D57" w:rsidRPr="00F672DD">
        <w:t>х</w:t>
      </w:r>
      <w:r w:rsidR="00871D57" w:rsidRPr="00F672DD">
        <w:t>ся, служить подспорьем в таких усилиях и способствовать усилению борьбы с</w:t>
      </w:r>
      <w:r w:rsidR="00F667D6">
        <w:rPr>
          <w:lang w:val="en-US"/>
        </w:rPr>
        <w:t> </w:t>
      </w:r>
      <w:r w:rsidR="00871D57" w:rsidRPr="00F672DD">
        <w:t>дискримин</w:t>
      </w:r>
      <w:r w:rsidR="00871D57" w:rsidRPr="00F672DD">
        <w:t>а</w:t>
      </w:r>
      <w:r w:rsidR="00871D57" w:rsidRPr="00F672DD">
        <w:t>цией, притеснениями и несправедливым обращением.</w:t>
      </w:r>
    </w:p>
    <w:p w:rsidR="00871D57" w:rsidRPr="00F672DD" w:rsidRDefault="00871D57" w:rsidP="00D22540">
      <w:pPr>
        <w:pStyle w:val="H23GR"/>
      </w:pPr>
      <w:r w:rsidRPr="00F672DD">
        <w:tab/>
      </w:r>
      <w:r w:rsidRPr="00F672DD">
        <w:rPr>
          <w:lang w:val="en-GB"/>
        </w:rPr>
        <w:t>c</w:t>
      </w:r>
      <w:r w:rsidRPr="00F672DD">
        <w:t>)</w:t>
      </w:r>
      <w:r w:rsidRPr="00F672DD">
        <w:tab/>
        <w:t xml:space="preserve">Меры, касающиеся рынка жилья </w:t>
      </w:r>
    </w:p>
    <w:p w:rsidR="00871D57" w:rsidRPr="00F672DD" w:rsidRDefault="00D22540" w:rsidP="00871D57">
      <w:pPr>
        <w:pStyle w:val="SingleTxtGR"/>
      </w:pPr>
      <w:r>
        <w:t>164.</w:t>
      </w:r>
      <w:r>
        <w:tab/>
      </w:r>
      <w:r w:rsidR="00871D57" w:rsidRPr="00F672DD">
        <w:t>Одним из примеров усилий в данной области, предпринимаемых Омбу</w:t>
      </w:r>
      <w:r w:rsidR="00871D57" w:rsidRPr="00F672DD">
        <w:t>д</w:t>
      </w:r>
      <w:r w:rsidR="00871D57" w:rsidRPr="00F672DD">
        <w:t>сменом по вопросам равенства, может служить проведенное им по просьбе пр</w:t>
      </w:r>
      <w:r w:rsidR="00871D57" w:rsidRPr="00F672DD">
        <w:t>а</w:t>
      </w:r>
      <w:r w:rsidR="00871D57" w:rsidRPr="00F672DD">
        <w:t>вительства исследование по вопросу ди</w:t>
      </w:r>
      <w:r w:rsidR="00315944">
        <w:t>скриминации на рынке жилья (см. </w:t>
      </w:r>
      <w:r w:rsidR="00871D57" w:rsidRPr="00F672DD">
        <w:t>пункт</w:t>
      </w:r>
      <w:r w:rsidR="00315944">
        <w:t> </w:t>
      </w:r>
      <w:r w:rsidR="00871D57" w:rsidRPr="00F672DD">
        <w:t>10 настоящего доклада).</w:t>
      </w:r>
    </w:p>
    <w:p w:rsidR="00871D57" w:rsidRPr="00F672DD" w:rsidRDefault="00D22540" w:rsidP="00871D57">
      <w:pPr>
        <w:pStyle w:val="SingleTxtGR"/>
      </w:pPr>
      <w:r>
        <w:t>165.</w:t>
      </w:r>
      <w:r>
        <w:tab/>
      </w:r>
      <w:r w:rsidR="00871D57" w:rsidRPr="00F672DD">
        <w:t>В январе 2009</w:t>
      </w:r>
      <w:r w:rsidR="000557E5">
        <w:t xml:space="preserve"> </w:t>
      </w:r>
      <w:r w:rsidR="00871D57" w:rsidRPr="00F672DD">
        <w:t>года Национальный совет по жилищному хозяйству, стро</w:t>
      </w:r>
      <w:r w:rsidR="00871D57" w:rsidRPr="00F672DD">
        <w:t>и</w:t>
      </w:r>
      <w:r w:rsidR="00871D57" w:rsidRPr="00F672DD">
        <w:t>тельству и планированию представил доклад о практике сдачи в аренду квартир их владельцами. Из этого доклада следует, что компании, являющиеся собс</w:t>
      </w:r>
      <w:r w:rsidR="00871D57" w:rsidRPr="00F672DD">
        <w:t>т</w:t>
      </w:r>
      <w:r w:rsidR="00871D57" w:rsidRPr="00F672DD">
        <w:t>венниками жилья, сами определяют условия аренды и требования к потенц</w:t>
      </w:r>
      <w:r w:rsidR="00871D57" w:rsidRPr="00F672DD">
        <w:t>и</w:t>
      </w:r>
      <w:r w:rsidR="00871D57" w:rsidRPr="00F672DD">
        <w:t>альным квартиросъемщикам. При условии соблюдения антидискриминацио</w:t>
      </w:r>
      <w:r w:rsidR="00871D57" w:rsidRPr="00F672DD">
        <w:t>н</w:t>
      </w:r>
      <w:r w:rsidR="00871D57" w:rsidRPr="00F672DD">
        <w:t>ного зак</w:t>
      </w:r>
      <w:r w:rsidR="00871D57" w:rsidRPr="00F672DD">
        <w:t>о</w:t>
      </w:r>
      <w:r w:rsidR="00871D57" w:rsidRPr="00F672DD">
        <w:t>нодательства они вправе предоставить свободную квартиру кому угодно. Совет не выявил никаких различий между муниципальными и частн</w:t>
      </w:r>
      <w:r w:rsidR="00871D57" w:rsidRPr="00F672DD">
        <w:t>ы</w:t>
      </w:r>
      <w:r w:rsidR="00871D57" w:rsidRPr="00F672DD">
        <w:t>ми компаниями</w:t>
      </w:r>
      <w:r w:rsidR="006B159C">
        <w:t xml:space="preserve"> − </w:t>
      </w:r>
      <w:r w:rsidR="00871D57" w:rsidRPr="00F672DD">
        <w:t>собственниками жилья в части требований, предъявляемых ими к квартиросъемщикам. Согласно его докладу дискриминация на рынке ж</w:t>
      </w:r>
      <w:r w:rsidR="00871D57" w:rsidRPr="00F672DD">
        <w:t>и</w:t>
      </w:r>
      <w:r w:rsidR="00871D57" w:rsidRPr="00F672DD">
        <w:t>лья, безусловно, существует, однако, чтобы выявить случаи такой дискримин</w:t>
      </w:r>
      <w:r w:rsidR="00871D57" w:rsidRPr="00F672DD">
        <w:t>а</w:t>
      </w:r>
      <w:r w:rsidR="00871D57" w:rsidRPr="00F672DD">
        <w:t xml:space="preserve">ции, необходимы более глубокие исследования. </w:t>
      </w:r>
    </w:p>
    <w:p w:rsidR="00871D57" w:rsidRPr="00F672DD" w:rsidRDefault="00D22540" w:rsidP="00871D57">
      <w:pPr>
        <w:pStyle w:val="SingleTxtGR"/>
      </w:pPr>
      <w:r>
        <w:t>166.</w:t>
      </w:r>
      <w:r>
        <w:tab/>
      </w:r>
      <w:r w:rsidR="00871D57" w:rsidRPr="00F672DD">
        <w:t>1 января 2011 года вступил в силу новый Закон о муниципальных комп</w:t>
      </w:r>
      <w:r w:rsidR="00871D57" w:rsidRPr="00F672DD">
        <w:t>а</w:t>
      </w:r>
      <w:r w:rsidR="00871D57" w:rsidRPr="00F672DD">
        <w:t>ниях с ограниченной ответственностью в сфере коммунального и жилищного хозяйства (2010:879). В соответствии с этим законом такие компании должны осущ</w:t>
      </w:r>
      <w:r w:rsidR="00871D57" w:rsidRPr="00F672DD">
        <w:t>е</w:t>
      </w:r>
      <w:r w:rsidR="00871D57" w:rsidRPr="00F672DD">
        <w:t>ствлять свою деятельность на коммерческой основе. Закон устанавливает ограничения в отношении перевода прибылей этих компаний. Однако эти огр</w:t>
      </w:r>
      <w:r w:rsidR="00871D57" w:rsidRPr="00F672DD">
        <w:t>а</w:t>
      </w:r>
      <w:r w:rsidR="00871D57" w:rsidRPr="00F672DD">
        <w:t>ничения не распространяются, например, на прибыль, используемую для ф</w:t>
      </w:r>
      <w:r w:rsidR="00871D57" w:rsidRPr="00F672DD">
        <w:t>и</w:t>
      </w:r>
      <w:r w:rsidR="00871D57" w:rsidRPr="00F672DD">
        <w:t>нансирования мер по стимулированию интеграции и укреплению социальной сплоченности в контексте обязанностей муниципальных органов по обеспеч</w:t>
      </w:r>
      <w:r w:rsidR="00871D57" w:rsidRPr="00F672DD">
        <w:t>е</w:t>
      </w:r>
      <w:r w:rsidR="00871D57" w:rsidRPr="00F672DD">
        <w:t>нию насел</w:t>
      </w:r>
      <w:r w:rsidR="00871D57" w:rsidRPr="00F672DD">
        <w:t>е</w:t>
      </w:r>
      <w:r w:rsidR="00871D57" w:rsidRPr="00F672DD">
        <w:t xml:space="preserve">ния жильем. </w:t>
      </w:r>
    </w:p>
    <w:p w:rsidR="00871D57" w:rsidRPr="00F672DD" w:rsidRDefault="00D22540" w:rsidP="00871D57">
      <w:pPr>
        <w:pStyle w:val="SingleTxtGR"/>
      </w:pPr>
      <w:r>
        <w:t>167.</w:t>
      </w:r>
      <w:r>
        <w:tab/>
      </w:r>
      <w:r w:rsidR="00871D57" w:rsidRPr="00F672DD">
        <w:t>В пунктах 112–115 настоящего доклада содержится также информация о</w:t>
      </w:r>
      <w:r w:rsidR="00F667D6">
        <w:rPr>
          <w:lang w:val="en-US"/>
        </w:rPr>
        <w:t> </w:t>
      </w:r>
      <w:r w:rsidR="00871D57" w:rsidRPr="00F672DD">
        <w:t>мерах, пр</w:t>
      </w:r>
      <w:r w:rsidR="00871D57" w:rsidRPr="00F672DD">
        <w:t>и</w:t>
      </w:r>
      <w:r w:rsidR="00871D57" w:rsidRPr="00F672DD">
        <w:t>нимаемых в</w:t>
      </w:r>
      <w:r w:rsidR="000557E5">
        <w:t xml:space="preserve"> </w:t>
      </w:r>
      <w:r w:rsidR="00871D57" w:rsidRPr="00F672DD">
        <w:t>Швеции в области развития городов.</w:t>
      </w:r>
    </w:p>
    <w:p w:rsidR="00871D57" w:rsidRPr="00F672DD" w:rsidRDefault="00871D57" w:rsidP="00D22540">
      <w:pPr>
        <w:pStyle w:val="H23GR"/>
      </w:pPr>
      <w:r w:rsidRPr="00F672DD">
        <w:tab/>
      </w:r>
      <w:r w:rsidRPr="00F672DD">
        <w:rPr>
          <w:lang w:val="en-GB"/>
        </w:rPr>
        <w:t>d</w:t>
      </w:r>
      <w:r w:rsidRPr="00F672DD">
        <w:t>)</w:t>
      </w:r>
      <w:r w:rsidRPr="00F672DD">
        <w:tab/>
        <w:t>Меры в области здравоохранения</w:t>
      </w:r>
    </w:p>
    <w:p w:rsidR="00871D57" w:rsidRPr="00F672DD" w:rsidRDefault="00500F7A" w:rsidP="00871D57">
      <w:pPr>
        <w:pStyle w:val="SingleTxtGR"/>
      </w:pPr>
      <w:r>
        <w:t>168.</w:t>
      </w:r>
      <w:r>
        <w:tab/>
      </w:r>
      <w:r w:rsidR="00871D57" w:rsidRPr="00F672DD">
        <w:t>В период 2010–2011 годов Омбудсменом по вопросам равенства предпр</w:t>
      </w:r>
      <w:r w:rsidR="00871D57" w:rsidRPr="00F672DD">
        <w:t>и</w:t>
      </w:r>
      <w:r w:rsidR="00871D57" w:rsidRPr="00F672DD">
        <w:t>нимались особые усилия по обеспечению равноправия в области здравоохран</w:t>
      </w:r>
      <w:r w:rsidR="00871D57" w:rsidRPr="00F672DD">
        <w:t>е</w:t>
      </w:r>
      <w:r w:rsidR="00871D57" w:rsidRPr="00F672DD">
        <w:t>ния. В рамках этих усилий был, в частности, организован диалог с представ</w:t>
      </w:r>
      <w:r w:rsidR="00871D57" w:rsidRPr="00F672DD">
        <w:t>и</w:t>
      </w:r>
      <w:r w:rsidR="00871D57" w:rsidRPr="00F672DD">
        <w:t>телями гражданского общества в целях получения от них информации о том, в</w:t>
      </w:r>
      <w:r w:rsidR="00F667D6">
        <w:rPr>
          <w:lang w:val="en-US"/>
        </w:rPr>
        <w:t> </w:t>
      </w:r>
      <w:r w:rsidR="00871D57" w:rsidRPr="00F672DD">
        <w:t>чем проявляется дискриминация в области здравоохранения, и выяснения их мнений по этому поводу. Представители заинтересованных групп приняли з</w:t>
      </w:r>
      <w:r w:rsidR="00871D57" w:rsidRPr="00F672DD">
        <w:t>а</w:t>
      </w:r>
      <w:r w:rsidR="00871D57" w:rsidRPr="00F672DD">
        <w:t>тем участие в обмене опытом с ключевыми игроками в данной области. Кроме того, Омбудсмен по вопросам равенства подготовил обзор аналитических до</w:t>
      </w:r>
      <w:r w:rsidR="00871D57" w:rsidRPr="00F672DD">
        <w:t>к</w:t>
      </w:r>
      <w:r w:rsidR="00871D57" w:rsidRPr="00F672DD">
        <w:t>ладов и исследований по вопросам здравоохранения. Подробная информация о результатах этого обзора содержится в докладе "Право на медицинское обсл</w:t>
      </w:r>
      <w:r w:rsidR="00871D57" w:rsidRPr="00F672DD">
        <w:t>у</w:t>
      </w:r>
      <w:r w:rsidR="00871D57" w:rsidRPr="00F672DD">
        <w:t>живание на равных усл</w:t>
      </w:r>
      <w:r w:rsidR="00871D57" w:rsidRPr="00F672DD">
        <w:t>о</w:t>
      </w:r>
      <w:r w:rsidR="00871D57" w:rsidRPr="00F672DD">
        <w:t>виях", о котором говорится в пункте</w:t>
      </w:r>
      <w:r w:rsidR="00186BD7">
        <w:t> </w:t>
      </w:r>
      <w:r w:rsidR="00871D57" w:rsidRPr="00F672DD">
        <w:t xml:space="preserve">12 настоящего доклада. </w:t>
      </w:r>
    </w:p>
    <w:p w:rsidR="00871D57" w:rsidRPr="00F672DD" w:rsidRDefault="00871D57" w:rsidP="00D22540">
      <w:pPr>
        <w:pStyle w:val="H23GR"/>
      </w:pPr>
      <w:r w:rsidRPr="00F672DD">
        <w:tab/>
      </w:r>
      <w:r w:rsidRPr="00F672DD">
        <w:tab/>
        <w:t xml:space="preserve">Статья 5 </w:t>
      </w:r>
      <w:r w:rsidRPr="00D22540">
        <w:t>f</w:t>
      </w:r>
      <w:r w:rsidRPr="00F672DD">
        <w:t>)</w:t>
      </w:r>
    </w:p>
    <w:p w:rsidR="00871D57" w:rsidRPr="00F672DD" w:rsidRDefault="00500F7A" w:rsidP="00871D57">
      <w:pPr>
        <w:pStyle w:val="SingleTxtGR"/>
      </w:pPr>
      <w:r>
        <w:t>169.</w:t>
      </w:r>
      <w:r>
        <w:tab/>
      </w:r>
      <w:r w:rsidR="00871D57" w:rsidRPr="00F672DD">
        <w:t>Информация, касающаяся преследования за незаконную дискриминацию в соответствии со статьей</w:t>
      </w:r>
      <w:r w:rsidR="000557E5" w:rsidRPr="000557E5">
        <w:t xml:space="preserve"> </w:t>
      </w:r>
      <w:r w:rsidR="00871D57" w:rsidRPr="00F672DD">
        <w:t>9 главы</w:t>
      </w:r>
      <w:r w:rsidR="000557E5" w:rsidRPr="000557E5">
        <w:t xml:space="preserve"> </w:t>
      </w:r>
      <w:r w:rsidR="00871D57" w:rsidRPr="00F672DD">
        <w:t>16 Уголовного кодекса, содержится в пун</w:t>
      </w:r>
      <w:r w:rsidR="00871D57" w:rsidRPr="00F672DD">
        <w:t>к</w:t>
      </w:r>
      <w:r w:rsidR="00871D57" w:rsidRPr="00F672DD">
        <w:t>те</w:t>
      </w:r>
      <w:r>
        <w:t> </w:t>
      </w:r>
      <w:r w:rsidR="00871D57" w:rsidRPr="00F672DD">
        <w:t>32 двенадцатого пери</w:t>
      </w:r>
      <w:r w:rsidR="00871D57" w:rsidRPr="00F672DD">
        <w:t>о</w:t>
      </w:r>
      <w:r w:rsidR="00871D57" w:rsidRPr="00F672DD">
        <w:t>дического доклада.</w:t>
      </w:r>
    </w:p>
    <w:p w:rsidR="00871D57" w:rsidRPr="00F672DD" w:rsidRDefault="00871D57" w:rsidP="00596217">
      <w:pPr>
        <w:pStyle w:val="H1GR"/>
      </w:pPr>
      <w:r w:rsidRPr="00F672DD">
        <w:tab/>
      </w:r>
      <w:r w:rsidRPr="00F672DD">
        <w:tab/>
        <w:t>Статья 6</w:t>
      </w:r>
    </w:p>
    <w:p w:rsidR="00871D57" w:rsidRPr="00F672DD" w:rsidRDefault="00500F7A" w:rsidP="00871D57">
      <w:pPr>
        <w:pStyle w:val="SingleTxtGR"/>
      </w:pPr>
      <w:r>
        <w:t>170.</w:t>
      </w:r>
      <w:r>
        <w:tab/>
      </w:r>
      <w:r w:rsidR="00871D57" w:rsidRPr="00F672DD">
        <w:t>Информация, касающаяся соответствующего законодательства, соде</w:t>
      </w:r>
      <w:r w:rsidR="00871D57" w:rsidRPr="00F672DD">
        <w:t>р</w:t>
      </w:r>
      <w:r w:rsidR="00871D57" w:rsidRPr="00F672DD">
        <w:t>жится в пунктах</w:t>
      </w:r>
      <w:r w:rsidR="000557E5" w:rsidRPr="000557E5">
        <w:t xml:space="preserve"> </w:t>
      </w:r>
      <w:r w:rsidR="00871D57" w:rsidRPr="00F672DD">
        <w:t>133 и 89 двенадцатого периодического доклада Швеции.</w:t>
      </w:r>
    </w:p>
    <w:p w:rsidR="00871D57" w:rsidRPr="00F672DD" w:rsidRDefault="00500F7A" w:rsidP="00871D57">
      <w:pPr>
        <w:pStyle w:val="SingleTxtGR"/>
      </w:pPr>
      <w:r>
        <w:t>171.</w:t>
      </w:r>
      <w:r>
        <w:tab/>
      </w:r>
      <w:r w:rsidR="00871D57" w:rsidRPr="00F672DD">
        <w:t>О применении законодательства, направленного на борьбу с дискримин</w:t>
      </w:r>
      <w:r w:rsidR="00871D57" w:rsidRPr="00F672DD">
        <w:t>а</w:t>
      </w:r>
      <w:r w:rsidR="00871D57" w:rsidRPr="00F672DD">
        <w:t>цией, ксенофобией и т.д., говорится в пунктах</w:t>
      </w:r>
      <w:r w:rsidR="000557E5" w:rsidRPr="000557E5">
        <w:t xml:space="preserve"> </w:t>
      </w:r>
      <w:r w:rsidR="00871D57" w:rsidRPr="00F672DD">
        <w:t>20–35 и 43–48 настоящего докл</w:t>
      </w:r>
      <w:r w:rsidR="00871D57" w:rsidRPr="00F672DD">
        <w:t>а</w:t>
      </w:r>
      <w:r w:rsidR="00871D57" w:rsidRPr="00F672DD">
        <w:t>да.</w:t>
      </w:r>
    </w:p>
    <w:p w:rsidR="00871D57" w:rsidRPr="00F672DD" w:rsidRDefault="00500F7A" w:rsidP="00871D57">
      <w:pPr>
        <w:pStyle w:val="SingleTxtGR"/>
      </w:pPr>
      <w:r>
        <w:t>172.</w:t>
      </w:r>
      <w:r>
        <w:tab/>
      </w:r>
      <w:r w:rsidR="00871D57" w:rsidRPr="00F672DD">
        <w:t>Об усилиях по обеспечению равного обращения, многообразия и т.д., предпринимаемых в рамках правоохранительной системы, говорится в пун</w:t>
      </w:r>
      <w:r w:rsidR="00871D57" w:rsidRPr="00F672DD">
        <w:t>к</w:t>
      </w:r>
      <w:r w:rsidR="00871D57" w:rsidRPr="00F672DD">
        <w:t>тах</w:t>
      </w:r>
      <w:r>
        <w:t> </w:t>
      </w:r>
      <w:r w:rsidR="00871D57" w:rsidRPr="00F672DD">
        <w:t>123</w:t>
      </w:r>
      <w:r w:rsidR="000557E5">
        <w:t>−</w:t>
      </w:r>
      <w:r w:rsidR="00871D57" w:rsidRPr="00F672DD">
        <w:t>133 настоящего до</w:t>
      </w:r>
      <w:r w:rsidR="00871D57" w:rsidRPr="00F672DD">
        <w:t>к</w:t>
      </w:r>
      <w:r w:rsidR="00871D57" w:rsidRPr="00F672DD">
        <w:t>лада.</w:t>
      </w:r>
    </w:p>
    <w:p w:rsidR="00871D57" w:rsidRPr="00F672DD" w:rsidRDefault="00871D57" w:rsidP="00D22540">
      <w:pPr>
        <w:pStyle w:val="H1GR"/>
      </w:pPr>
      <w:r w:rsidRPr="00F672DD">
        <w:tab/>
      </w:r>
      <w:r w:rsidRPr="00F672DD">
        <w:tab/>
        <w:t>Статья 7</w:t>
      </w:r>
    </w:p>
    <w:p w:rsidR="00871D57" w:rsidRPr="00F672DD" w:rsidRDefault="00871D57" w:rsidP="00D22540">
      <w:pPr>
        <w:pStyle w:val="H23GR"/>
      </w:pPr>
      <w:r w:rsidRPr="00F672DD">
        <w:tab/>
      </w:r>
      <w:r w:rsidRPr="00D22540">
        <w:t>a</w:t>
      </w:r>
      <w:r w:rsidRPr="00F672DD">
        <w:t>)</w:t>
      </w:r>
      <w:r w:rsidRPr="00F672DD">
        <w:tab/>
        <w:t>Консультации с НПО (с учетом пункта</w:t>
      </w:r>
      <w:r w:rsidR="000557E5" w:rsidRPr="000557E5">
        <w:t xml:space="preserve"> </w:t>
      </w:r>
      <w:r w:rsidRPr="00F672DD">
        <w:t>26 рекомендаций Комитета)</w:t>
      </w:r>
    </w:p>
    <w:p w:rsidR="00871D57" w:rsidRPr="00F672DD" w:rsidRDefault="00500F7A" w:rsidP="00871D57">
      <w:pPr>
        <w:pStyle w:val="SingleTxtGR"/>
      </w:pPr>
      <w:r>
        <w:t>173.</w:t>
      </w:r>
      <w:r>
        <w:tab/>
      </w:r>
      <w:r w:rsidR="00871D57" w:rsidRPr="00F672DD">
        <w:t>Консультативное совещание с неправительственными организациями, действующими в областях, охватываемых Ко</w:t>
      </w:r>
      <w:r>
        <w:t>нвенцией, состоялись в мае 2012 </w:t>
      </w:r>
      <w:r w:rsidR="00871D57" w:rsidRPr="00F672DD">
        <w:t>года. На этом совещания до сведения НПО была доведена информация о</w:t>
      </w:r>
      <w:r w:rsidR="007D5047">
        <w:rPr>
          <w:lang w:val="en-US"/>
        </w:rPr>
        <w:t> </w:t>
      </w:r>
      <w:r w:rsidR="00871D57" w:rsidRPr="00F672DD">
        <w:t>порядке представления докладов в рамках Конвенции и предполагаемом с</w:t>
      </w:r>
      <w:r w:rsidR="00871D57" w:rsidRPr="00F672DD">
        <w:t>о</w:t>
      </w:r>
      <w:r w:rsidR="00871D57" w:rsidRPr="00F672DD">
        <w:t>держании настоящего доклада. НПО была предоставлена также возможность задать интересующие их вопросы ответственным должностным лицам и выск</w:t>
      </w:r>
      <w:r w:rsidR="00871D57" w:rsidRPr="00F672DD">
        <w:t>а</w:t>
      </w:r>
      <w:r w:rsidR="00871D57" w:rsidRPr="00F672DD">
        <w:t>зать свои мнения.</w:t>
      </w:r>
    </w:p>
    <w:p w:rsidR="00871D57" w:rsidRPr="00F672DD" w:rsidRDefault="00871D57" w:rsidP="00D22540">
      <w:pPr>
        <w:pStyle w:val="H23GR"/>
      </w:pPr>
      <w:r w:rsidRPr="00F672DD">
        <w:tab/>
      </w:r>
      <w:r w:rsidRPr="00D22540">
        <w:t>b</w:t>
      </w:r>
      <w:r w:rsidRPr="00F672DD">
        <w:t>)</w:t>
      </w:r>
      <w:r w:rsidRPr="00F672DD">
        <w:tab/>
        <w:t>Национальные консультации по вопросам ксенофобии</w:t>
      </w:r>
    </w:p>
    <w:p w:rsidR="00871D57" w:rsidRPr="00F672DD" w:rsidRDefault="00500F7A" w:rsidP="00871D57">
      <w:pPr>
        <w:pStyle w:val="SingleTxtGR"/>
        <w:rPr>
          <w:u w:val="single"/>
        </w:rPr>
      </w:pPr>
      <w:r>
        <w:t>174.</w:t>
      </w:r>
      <w:r>
        <w:tab/>
      </w:r>
      <w:r w:rsidR="00871D57" w:rsidRPr="00F672DD">
        <w:t>Национальные консультации по вопросам ксенофобии и другим анал</w:t>
      </w:r>
      <w:r w:rsidR="00871D57" w:rsidRPr="00F672DD">
        <w:t>о</w:t>
      </w:r>
      <w:r w:rsidR="00871D57" w:rsidRPr="00F672DD">
        <w:t>гичным формам нетерпимости были организованы правительством в марте 2012 года. В</w:t>
      </w:r>
      <w:r w:rsidR="000557E5" w:rsidRPr="000557E5">
        <w:t xml:space="preserve"> </w:t>
      </w:r>
      <w:r w:rsidR="00871D57" w:rsidRPr="00F672DD">
        <w:t>этих консультациях приняли участие примерно 175</w:t>
      </w:r>
      <w:r w:rsidR="000557E5">
        <w:t xml:space="preserve"> </w:t>
      </w:r>
      <w:r w:rsidR="00871D57" w:rsidRPr="00F672DD">
        <w:t>представителей о</w:t>
      </w:r>
      <w:r w:rsidR="00871D57" w:rsidRPr="00F672DD">
        <w:t>р</w:t>
      </w:r>
      <w:r w:rsidR="00871D57" w:rsidRPr="00F672DD">
        <w:t>ганизаций, муниципальных органов и государственных учреждений. Мнения, высказанные в ходе консультаций, будут учтены в рамках проводимого в н</w:t>
      </w:r>
      <w:r w:rsidR="00871D57" w:rsidRPr="00F672DD">
        <w:t>а</w:t>
      </w:r>
      <w:r w:rsidR="00871D57" w:rsidRPr="00F672DD">
        <w:t>стоящее время исследования по вопросу о повышении эффективности мер по борьбе с ксенофобией и другими формами нетерпимости, а также в текущей работе пр</w:t>
      </w:r>
      <w:r w:rsidR="00871D57" w:rsidRPr="00F672DD">
        <w:t>а</w:t>
      </w:r>
      <w:r w:rsidR="00871D57" w:rsidRPr="00F672DD">
        <w:t>вительства в данной области.</w:t>
      </w:r>
    </w:p>
    <w:p w:rsidR="00871D57" w:rsidRPr="00F672DD" w:rsidRDefault="00871D57" w:rsidP="00D22540">
      <w:pPr>
        <w:pStyle w:val="H23GR"/>
      </w:pPr>
      <w:r w:rsidRPr="00F672DD">
        <w:tab/>
      </w:r>
      <w:r w:rsidRPr="00D22540">
        <w:t>c</w:t>
      </w:r>
      <w:r w:rsidRPr="00F672DD">
        <w:t>)</w:t>
      </w:r>
      <w:r w:rsidRPr="00F672DD">
        <w:tab/>
        <w:t>Веб-сайты правительственных органов</w:t>
      </w:r>
    </w:p>
    <w:p w:rsidR="00871D57" w:rsidRPr="00F672DD" w:rsidRDefault="00500F7A" w:rsidP="00871D57">
      <w:pPr>
        <w:pStyle w:val="SingleTxtGR"/>
      </w:pPr>
      <w:r>
        <w:t>175.</w:t>
      </w:r>
      <w:r>
        <w:tab/>
      </w:r>
      <w:r w:rsidR="00871D57" w:rsidRPr="00F672DD">
        <w:t xml:space="preserve">Подробная информация, касающаяся прав человека, размещена на веб-сайте </w:t>
      </w:r>
      <w:r w:rsidR="00871D57" w:rsidRPr="00500F7A">
        <w:rPr>
          <w:lang w:val="en-GB"/>
        </w:rPr>
        <w:t>www</w:t>
      </w:r>
      <w:r w:rsidR="00871D57" w:rsidRPr="00500F7A">
        <w:t>.</w:t>
      </w:r>
      <w:r w:rsidR="00871D57" w:rsidRPr="00500F7A">
        <w:rPr>
          <w:lang w:val="en-GB"/>
        </w:rPr>
        <w:t>manskligarattigheter</w:t>
      </w:r>
      <w:r w:rsidR="00871D57" w:rsidRPr="00500F7A">
        <w:t>.</w:t>
      </w:r>
      <w:r w:rsidR="00871D57" w:rsidRPr="00500F7A">
        <w:rPr>
          <w:lang w:val="en-GB"/>
        </w:rPr>
        <w:t>se</w:t>
      </w:r>
      <w:r w:rsidR="00871D57" w:rsidRPr="00500F7A">
        <w:t>.</w:t>
      </w:r>
      <w:r w:rsidR="00871D57" w:rsidRPr="00F672DD">
        <w:t xml:space="preserve"> Эта информация включает тексты основных конвенций по правам человека и информацию о процедурах подачи жалоб. На этом веб-сайте размещены также другие важные документы по правам челов</w:t>
      </w:r>
      <w:r w:rsidR="00871D57" w:rsidRPr="00F672DD">
        <w:t>е</w:t>
      </w:r>
      <w:r w:rsidR="00871D57" w:rsidRPr="00F672DD">
        <w:t>ка, в том числе периодические доклады Швеции профильным комитетам Орг</w:t>
      </w:r>
      <w:r w:rsidR="00871D57" w:rsidRPr="00F672DD">
        <w:t>а</w:t>
      </w:r>
      <w:r w:rsidR="00871D57" w:rsidRPr="00F672DD">
        <w:t>низации Объединенных Наций и документы с выводами и рекомендациями этих комитетов. Наиболее важные документы переведены на шве</w:t>
      </w:r>
      <w:r w:rsidR="00871D57" w:rsidRPr="00F672DD">
        <w:t>д</w:t>
      </w:r>
      <w:r w:rsidR="00871D57" w:rsidRPr="00F672DD">
        <w:t>ский язык.</w:t>
      </w:r>
    </w:p>
    <w:p w:rsidR="00871D57" w:rsidRPr="00F672DD" w:rsidRDefault="00500F7A" w:rsidP="00871D57">
      <w:pPr>
        <w:pStyle w:val="SingleTxtGR"/>
      </w:pPr>
      <w:r>
        <w:t>176.</w:t>
      </w:r>
      <w:r>
        <w:tab/>
      </w:r>
      <w:r w:rsidR="00871D57" w:rsidRPr="00F672DD">
        <w:t>Веб-сайт правительства (</w:t>
      </w:r>
      <w:r w:rsidR="00871D57" w:rsidRPr="00500F7A">
        <w:rPr>
          <w:lang w:val="en-GB"/>
        </w:rPr>
        <w:t>regeringen</w:t>
      </w:r>
      <w:r w:rsidR="00871D57" w:rsidRPr="00500F7A">
        <w:t>.</w:t>
      </w:r>
      <w:r w:rsidR="00871D57" w:rsidRPr="00500F7A">
        <w:rPr>
          <w:lang w:val="en-GB"/>
        </w:rPr>
        <w:t>se</w:t>
      </w:r>
      <w:r w:rsidR="00871D57" w:rsidRPr="00500F7A">
        <w:t xml:space="preserve">) </w:t>
      </w:r>
      <w:r w:rsidR="00871D57" w:rsidRPr="00F672DD">
        <w:t>был недавно дополнен новой веб-страницей, на которой с помощью конкретных фактов развенчиваются наиболее распространенные м</w:t>
      </w:r>
      <w:r w:rsidR="00871D57" w:rsidRPr="00F672DD">
        <w:t>и</w:t>
      </w:r>
      <w:r w:rsidR="00871D57" w:rsidRPr="00F672DD">
        <w:t xml:space="preserve">фы, касающиеся иммиграции и меньшинств. </w:t>
      </w:r>
    </w:p>
    <w:p w:rsidR="00871D57" w:rsidRPr="00F672DD" w:rsidRDefault="00871D57" w:rsidP="00D22540">
      <w:pPr>
        <w:pStyle w:val="H23GR"/>
      </w:pPr>
      <w:r w:rsidRPr="00F672DD">
        <w:tab/>
      </w:r>
      <w:r w:rsidRPr="00D22540">
        <w:t>d</w:t>
      </w:r>
      <w:r w:rsidRPr="00F672DD">
        <w:t>)</w:t>
      </w:r>
      <w:r w:rsidRPr="00F672DD">
        <w:tab/>
        <w:t xml:space="preserve">Омбудсмен по вопросам равенства </w:t>
      </w:r>
    </w:p>
    <w:p w:rsidR="00871D57" w:rsidRPr="00F672DD" w:rsidRDefault="00500F7A" w:rsidP="00871D57">
      <w:pPr>
        <w:pStyle w:val="SingleTxtGR"/>
      </w:pPr>
      <w:r>
        <w:t>177.</w:t>
      </w:r>
      <w:r>
        <w:tab/>
      </w:r>
      <w:r w:rsidR="00871D57" w:rsidRPr="00F672DD">
        <w:t>Как отмечается в пунктах</w:t>
      </w:r>
      <w:r w:rsidR="000557E5" w:rsidRPr="000557E5">
        <w:t xml:space="preserve"> </w:t>
      </w:r>
      <w:r w:rsidR="00871D57" w:rsidRPr="00F672DD">
        <w:t>54, 55, 149, 159 и 168 настоящего доклада, О</w:t>
      </w:r>
      <w:r w:rsidR="00871D57" w:rsidRPr="00F672DD">
        <w:t>м</w:t>
      </w:r>
      <w:r w:rsidR="00871D57" w:rsidRPr="00F672DD">
        <w:t>будсмен по вопросам равенства активно взаимодействует с представителями гражданского общества и другими ключевыми игроками в областях его комп</w:t>
      </w:r>
      <w:r w:rsidR="00871D57" w:rsidRPr="00F672DD">
        <w:t>е</w:t>
      </w:r>
      <w:r w:rsidR="00871D57" w:rsidRPr="00F672DD">
        <w:t xml:space="preserve">тенции. </w:t>
      </w:r>
    </w:p>
    <w:p w:rsidR="00871D57" w:rsidRPr="00F672DD" w:rsidRDefault="00500F7A" w:rsidP="00871D57">
      <w:pPr>
        <w:pStyle w:val="SingleTxtGR"/>
      </w:pPr>
      <w:r>
        <w:t>178.</w:t>
      </w:r>
      <w:r>
        <w:tab/>
      </w:r>
      <w:r w:rsidR="00871D57" w:rsidRPr="00F672DD">
        <w:t>Веб-сайт Омбудсмена по вопросам равенства содержит информацию, конкретно предназначенную для жертв и потенциальных жертв дискриминации. Эта информация переведена на 27</w:t>
      </w:r>
      <w:r w:rsidR="000557E5">
        <w:t xml:space="preserve"> </w:t>
      </w:r>
      <w:r w:rsidR="00871D57" w:rsidRPr="00F672DD">
        <w:t>языков, в том числе на языки национальных меньшинств и диалекты этих языков. На этом же веб-сайте размещена инфо</w:t>
      </w:r>
      <w:r w:rsidR="00871D57" w:rsidRPr="00F672DD">
        <w:t>р</w:t>
      </w:r>
      <w:r w:rsidR="00871D57" w:rsidRPr="00F672DD">
        <w:t>мация для работодателей и организаций работодателей, образовательных учр</w:t>
      </w:r>
      <w:r w:rsidR="00871D57" w:rsidRPr="00F672DD">
        <w:t>е</w:t>
      </w:r>
      <w:r w:rsidR="00871D57" w:rsidRPr="00F672DD">
        <w:t>ждений, государственных органов и других ключевых игроков, желающих пр</w:t>
      </w:r>
      <w:r w:rsidR="00871D57" w:rsidRPr="00F672DD">
        <w:t>и</w:t>
      </w:r>
      <w:r w:rsidR="00871D57" w:rsidRPr="00F672DD">
        <w:t>соединиться к усилиям по борьбе с дискриминацией и защите прав человека. Эта информация также переведена на 27 языков. Материалы, публикуемые О</w:t>
      </w:r>
      <w:r w:rsidR="00871D57" w:rsidRPr="00F672DD">
        <w:t>м</w:t>
      </w:r>
      <w:r w:rsidR="00871D57" w:rsidRPr="00F672DD">
        <w:t>будсменом, включают брошюры по основным вопросам, пособия и руков</w:t>
      </w:r>
      <w:r w:rsidR="00871D57" w:rsidRPr="00F672DD">
        <w:t>о</w:t>
      </w:r>
      <w:r w:rsidR="00871D57" w:rsidRPr="00F672DD">
        <w:t>дства, вспомогательные материалы методического характера и доклады. Пр</w:t>
      </w:r>
      <w:r w:rsidR="00871D57" w:rsidRPr="00F672DD">
        <w:t>и</w:t>
      </w:r>
      <w:r w:rsidR="00871D57" w:rsidRPr="00F672DD">
        <w:t>оритетное внимание уделяется материалам по вопросам образования, труда и занятости, и в частности методическим ук</w:t>
      </w:r>
      <w:r w:rsidR="00871D57" w:rsidRPr="00F672DD">
        <w:t>а</w:t>
      </w:r>
      <w:r w:rsidR="00871D57" w:rsidRPr="00F672DD">
        <w:t xml:space="preserve">заниям для учителей и других лиц. </w:t>
      </w:r>
    </w:p>
    <w:p w:rsidR="00871D57" w:rsidRPr="00F672DD" w:rsidRDefault="00500F7A" w:rsidP="00871D57">
      <w:pPr>
        <w:pStyle w:val="SingleTxtGR"/>
      </w:pPr>
      <w:r>
        <w:t>179.</w:t>
      </w:r>
      <w:r>
        <w:tab/>
      </w:r>
      <w:r w:rsidR="00871D57" w:rsidRPr="00F672DD">
        <w:t>В рамках своей консультативной деятельности Омбудсмен по вопросам равенства отвечает на устные и письменные вопросы лиц, интересующихся си</w:t>
      </w:r>
      <w:r w:rsidR="00871D57" w:rsidRPr="00F672DD">
        <w:t>с</w:t>
      </w:r>
      <w:r w:rsidR="00871D57" w:rsidRPr="00F672DD">
        <w:t>темой правовой защиты от дискриминации и методами профилактики дискр</w:t>
      </w:r>
      <w:r w:rsidR="00871D57" w:rsidRPr="00F672DD">
        <w:t>и</w:t>
      </w:r>
      <w:r w:rsidR="00871D57" w:rsidRPr="00F672DD">
        <w:t>минации. Он консультирует представителей широкой общественности по тел</w:t>
      </w:r>
      <w:r w:rsidR="00871D57" w:rsidRPr="00F672DD">
        <w:t>е</w:t>
      </w:r>
      <w:r w:rsidR="00871D57" w:rsidRPr="00F672DD">
        <w:t>фону, а также по почте и электронной почте. В сфере образования большое внимание уделяется поиску партнеров для распространения соответствующих знаний и информации и подготовки других заинтересованных сторон. На</w:t>
      </w:r>
      <w:r w:rsidR="00871D57" w:rsidRPr="00F672DD">
        <w:t>и</w:t>
      </w:r>
      <w:r w:rsidR="00871D57" w:rsidRPr="00F672DD">
        <w:t>больший инт</w:t>
      </w:r>
      <w:r w:rsidR="00871D57" w:rsidRPr="00F672DD">
        <w:t>е</w:t>
      </w:r>
      <w:r w:rsidR="00871D57" w:rsidRPr="00F672DD">
        <w:t>рес для Омбудсмена представляют те, кто способен обогатить его новыми знаниями, расширить его аудиторию и помочь в установлении конта</w:t>
      </w:r>
      <w:r w:rsidR="00871D57" w:rsidRPr="00F672DD">
        <w:t>к</w:t>
      </w:r>
      <w:r w:rsidR="00871D57" w:rsidRPr="00F672DD">
        <w:t xml:space="preserve">тов с лицами и структурами, которые могут сыграть важную роль в решении стоящих перед ним задач. </w:t>
      </w:r>
    </w:p>
    <w:p w:rsidR="00871D57" w:rsidRPr="00F672DD" w:rsidRDefault="00500F7A" w:rsidP="00871D57">
      <w:pPr>
        <w:pStyle w:val="SingleTxtGR"/>
      </w:pPr>
      <w:r>
        <w:t>180.</w:t>
      </w:r>
      <w:r>
        <w:tab/>
      </w:r>
      <w:r w:rsidR="00871D57" w:rsidRPr="00F672DD">
        <w:t>В 2011 году Омбудсмен по вопросам равенства в рамках своего проекта "Путь к обретению прав" предпринял усилия по облегчению доступа лиц, по</w:t>
      </w:r>
      <w:r w:rsidR="00871D57" w:rsidRPr="00F672DD">
        <w:t>д</w:t>
      </w:r>
      <w:r w:rsidR="00871D57" w:rsidRPr="00F672DD">
        <w:t>вергшихся дискриминации, к консультативной помощи, включая помощь в п</w:t>
      </w:r>
      <w:r w:rsidR="00871D57" w:rsidRPr="00F672DD">
        <w:t>о</w:t>
      </w:r>
      <w:r w:rsidR="00871D57" w:rsidRPr="00F672DD">
        <w:t>даче жалоб. Основной аудиторией, на которую ориентирована деятельность Омбудсмена, являются низовые организации гражданского общества, которым нужна помощь в укреплении их потенциала в области борьбы с дискриминац</w:t>
      </w:r>
      <w:r w:rsidR="00871D57" w:rsidRPr="00F672DD">
        <w:t>и</w:t>
      </w:r>
      <w:r w:rsidR="00871D57" w:rsidRPr="00F672DD">
        <w:t>ей на местном уровне. Другой важной целевой группой являются руководящие сотрудники муниципальных и региональных органов, а также чиновники, отв</w:t>
      </w:r>
      <w:r w:rsidR="00871D57" w:rsidRPr="00F672DD">
        <w:t>е</w:t>
      </w:r>
      <w:r w:rsidR="00871D57" w:rsidRPr="00F672DD">
        <w:t>чающие за оказание государственных услуг в таких областях, как образование для взрослых, регулирование рынка труда, обеспечение жильем и здравоохр</w:t>
      </w:r>
      <w:r w:rsidR="00871D57" w:rsidRPr="00F672DD">
        <w:t>а</w:t>
      </w:r>
      <w:r w:rsidR="00871D57" w:rsidRPr="00F672DD">
        <w:t>нение. В рамках упомянутого выше проекта была выпущена книга, озаглавле</w:t>
      </w:r>
      <w:r w:rsidR="00871D57" w:rsidRPr="00F672DD">
        <w:t>н</w:t>
      </w:r>
      <w:r w:rsidR="00871D57" w:rsidRPr="00F672DD">
        <w:t xml:space="preserve">ная "Путь к обретению прав: источник вдохновения в борьбе с дискриминацией на местном уровне". </w:t>
      </w:r>
    </w:p>
    <w:p w:rsidR="00871D57" w:rsidRPr="00F672DD" w:rsidRDefault="00871D57" w:rsidP="00D22540">
      <w:pPr>
        <w:pStyle w:val="H23GR"/>
      </w:pPr>
      <w:r w:rsidRPr="00F672DD">
        <w:tab/>
      </w:r>
      <w:r w:rsidRPr="00D22540">
        <w:t>e</w:t>
      </w:r>
      <w:r w:rsidRPr="00F672DD">
        <w:t>)</w:t>
      </w:r>
      <w:r w:rsidRPr="00F672DD">
        <w:tab/>
        <w:t>Форум живой истории</w:t>
      </w:r>
    </w:p>
    <w:p w:rsidR="00871D57" w:rsidRPr="00F672DD" w:rsidRDefault="00500F7A" w:rsidP="00871D57">
      <w:pPr>
        <w:pStyle w:val="SingleTxtGR"/>
      </w:pPr>
      <w:r>
        <w:t>181.</w:t>
      </w:r>
      <w:r>
        <w:tab/>
      </w:r>
      <w:r w:rsidR="00871D57" w:rsidRPr="00F672DD">
        <w:t>Форум живой истории является государственным органом, занимающи</w:t>
      </w:r>
      <w:r w:rsidR="00871D57" w:rsidRPr="00F672DD">
        <w:t>м</w:t>
      </w:r>
      <w:r w:rsidR="00871D57" w:rsidRPr="00F672DD">
        <w:t>ся информационной и культурно-просветительской деятельностью. Его главная задача</w:t>
      </w:r>
      <w:r w:rsidR="006B159C" w:rsidRPr="006B159C">
        <w:t xml:space="preserve"> − </w:t>
      </w:r>
      <w:r w:rsidR="00871D57" w:rsidRPr="00F672DD">
        <w:t>служить национальным форумом по вопросам демократии, терпимости и прав человека с учетом опыта Холокоста. Его основной аудиторией являются учащиеся и учителя девятых классов общеобразовательных школ, охваченных системой обязательного образования, а также учащиеся и учителя средних школ второй ступени. Посредством организации выставок и учебно-практических семинаров и осуществления учебных программ для учителей, а</w:t>
      </w:r>
      <w:r w:rsidR="007D5047">
        <w:rPr>
          <w:lang w:val="en-US"/>
        </w:rPr>
        <w:t> </w:t>
      </w:r>
      <w:r w:rsidR="00871D57" w:rsidRPr="00F672DD">
        <w:t>также с помощью различных учебно-методических материалов Форум ра</w:t>
      </w:r>
      <w:r w:rsidR="00871D57" w:rsidRPr="00F672DD">
        <w:t>с</w:t>
      </w:r>
      <w:r w:rsidR="00871D57" w:rsidRPr="00F672DD">
        <w:t>пространяет знания и информацию и содействует налаживанию диалога в целях борьбы с различными формами нетерпимости, включая антисемитизм, ислам</w:t>
      </w:r>
      <w:r w:rsidR="00871D57" w:rsidRPr="00F672DD">
        <w:t>о</w:t>
      </w:r>
      <w:r w:rsidR="00871D57" w:rsidRPr="00F672DD">
        <w:t>фобию и антицыганизм.</w:t>
      </w:r>
    </w:p>
    <w:p w:rsidR="00871D57" w:rsidRPr="00F672DD" w:rsidRDefault="00500F7A" w:rsidP="00871D57">
      <w:pPr>
        <w:pStyle w:val="SingleTxtGR"/>
      </w:pPr>
      <w:r>
        <w:t>182.</w:t>
      </w:r>
      <w:r>
        <w:tab/>
      </w:r>
      <w:r w:rsidR="00871D57" w:rsidRPr="00F672DD">
        <w:t>Так, например, в 2011 году Форум по поручению правительства подгот</w:t>
      </w:r>
      <w:r w:rsidR="00871D57" w:rsidRPr="00F672DD">
        <w:t>о</w:t>
      </w:r>
      <w:r w:rsidR="00871D57" w:rsidRPr="00F672DD">
        <w:t>вил целый пакет учебно-методических материалов в электронной форме по в</w:t>
      </w:r>
      <w:r w:rsidR="00871D57" w:rsidRPr="00F672DD">
        <w:t>о</w:t>
      </w:r>
      <w:r w:rsidR="00871D57" w:rsidRPr="00F672DD">
        <w:t>просам демократии, терпимости и прав человека с конкретными историческими примерами и фактами из реальной жизни. Эти материалы основаны на пр</w:t>
      </w:r>
      <w:r w:rsidR="00871D57" w:rsidRPr="00F672DD">
        <w:t>о</w:t>
      </w:r>
      <w:r w:rsidR="00871D57" w:rsidRPr="00F672DD">
        <w:t>граммных документах, касающихся системы образования, и могут использ</w:t>
      </w:r>
      <w:r w:rsidR="00871D57" w:rsidRPr="00F672DD">
        <w:t>о</w:t>
      </w:r>
      <w:r w:rsidR="00871D57" w:rsidRPr="00F672DD">
        <w:t>ваться учителями школ в целях воспитания учащихся в духе демократии. В н</w:t>
      </w:r>
      <w:r w:rsidR="00871D57" w:rsidRPr="00F672DD">
        <w:t>а</w:t>
      </w:r>
      <w:r w:rsidR="00871D57" w:rsidRPr="00F672DD">
        <w:t>стоящее время Форум занимается распространением своих материалов, испол</w:t>
      </w:r>
      <w:r w:rsidR="00871D57" w:rsidRPr="00F672DD">
        <w:t>ь</w:t>
      </w:r>
      <w:r w:rsidR="00871D57" w:rsidRPr="00F672DD">
        <w:t>зуя для этого программы повышения квалификации учителей, а также орган</w:t>
      </w:r>
      <w:r w:rsidR="00871D57" w:rsidRPr="00F672DD">
        <w:t>и</w:t>
      </w:r>
      <w:r w:rsidR="00871D57" w:rsidRPr="00F672DD">
        <w:t>зуемые по всей стране конференции с участием политических деятелей, рук</w:t>
      </w:r>
      <w:r w:rsidR="00871D57" w:rsidRPr="00F672DD">
        <w:t>о</w:t>
      </w:r>
      <w:r w:rsidR="00871D57" w:rsidRPr="00F672DD">
        <w:t xml:space="preserve">водителей школ и других заинтересованных сторон. </w:t>
      </w:r>
    </w:p>
    <w:p w:rsidR="00871D57" w:rsidRPr="00F672DD" w:rsidRDefault="00871D57" w:rsidP="00D22540">
      <w:pPr>
        <w:pStyle w:val="HChGR"/>
      </w:pPr>
      <w:r w:rsidRPr="00F672DD">
        <w:tab/>
      </w:r>
      <w:r w:rsidRPr="00F672DD">
        <w:rPr>
          <w:lang w:val="en-GB"/>
        </w:rPr>
        <w:t>IV</w:t>
      </w:r>
      <w:r w:rsidRPr="00F672DD">
        <w:t>.</w:t>
      </w:r>
      <w:r w:rsidRPr="00F672DD">
        <w:tab/>
        <w:t>Другие рекомендации Комитета</w:t>
      </w:r>
    </w:p>
    <w:p w:rsidR="00871D57" w:rsidRPr="00F672DD" w:rsidRDefault="00871D57" w:rsidP="00D22540">
      <w:pPr>
        <w:pStyle w:val="H1GR"/>
      </w:pPr>
      <w:r w:rsidRPr="00F672DD">
        <w:tab/>
      </w:r>
      <w:r w:rsidRPr="00D22540">
        <w:t>A</w:t>
      </w:r>
      <w:r w:rsidRPr="00F672DD">
        <w:t>.</w:t>
      </w:r>
      <w:r w:rsidRPr="00F672DD">
        <w:tab/>
        <w:t>Международная конвенция о защите прав всех трудящихся-мигрантов и членов их семей (с учетом пункта</w:t>
      </w:r>
      <w:r w:rsidR="000557E5" w:rsidRPr="000557E5">
        <w:t xml:space="preserve"> </w:t>
      </w:r>
      <w:r w:rsidRPr="00F672DD">
        <w:t>23 рекомендаций Комитета)</w:t>
      </w:r>
    </w:p>
    <w:p w:rsidR="00871D57" w:rsidRPr="00F672DD" w:rsidRDefault="00500F7A" w:rsidP="00871D57">
      <w:pPr>
        <w:pStyle w:val="SingleTxtGR"/>
      </w:pPr>
      <w:r>
        <w:t>183.</w:t>
      </w:r>
      <w:r>
        <w:tab/>
      </w:r>
      <w:r w:rsidR="00871D57" w:rsidRPr="00F672DD">
        <w:t>Швеция пока не планирует ратифицировать Международную конвенцию о защите прав всех трудящихся-мигрантов и членов их семей. Меры защиты, предусмотренные этой конвенцией, вытекают из других основных конвенций Организации Объединенных Наций по правам человека и конвенций МОТ. Швеция продолжает усилия, направленные на обеспечение гарантий прав чел</w:t>
      </w:r>
      <w:r w:rsidR="00871D57" w:rsidRPr="00F672DD">
        <w:t>о</w:t>
      </w:r>
      <w:r w:rsidR="00871D57" w:rsidRPr="00F672DD">
        <w:t>века и применение основных конвенций по правам человека, которые она рат</w:t>
      </w:r>
      <w:r w:rsidR="00871D57" w:rsidRPr="00F672DD">
        <w:t>и</w:t>
      </w:r>
      <w:r w:rsidR="00871D57" w:rsidRPr="00F672DD">
        <w:t xml:space="preserve">фицировала. </w:t>
      </w:r>
    </w:p>
    <w:p w:rsidR="00871D57" w:rsidRPr="00F672DD" w:rsidRDefault="00871D57" w:rsidP="00D22540">
      <w:pPr>
        <w:pStyle w:val="H1GR"/>
      </w:pPr>
      <w:r w:rsidRPr="00F672DD">
        <w:tab/>
      </w:r>
      <w:r w:rsidRPr="00F672DD">
        <w:rPr>
          <w:lang w:val="en-GB"/>
        </w:rPr>
        <w:t>B</w:t>
      </w:r>
      <w:r w:rsidRPr="00F672DD">
        <w:t>.</w:t>
      </w:r>
      <w:r w:rsidRPr="00F672DD">
        <w:tab/>
        <w:t>Дурбанская декларация (с учетом пункта</w:t>
      </w:r>
      <w:r w:rsidR="000557E5" w:rsidRPr="000557E5">
        <w:t xml:space="preserve"> </w:t>
      </w:r>
      <w:r w:rsidRPr="00F672DD">
        <w:t>24 рекомендаций Комит</w:t>
      </w:r>
      <w:r w:rsidRPr="00F672DD">
        <w:t>е</w:t>
      </w:r>
      <w:r w:rsidRPr="00F672DD">
        <w:t>та)</w:t>
      </w:r>
    </w:p>
    <w:p w:rsidR="000557E5" w:rsidRDefault="00500F7A" w:rsidP="00871D57">
      <w:pPr>
        <w:pStyle w:val="SingleTxtGR"/>
      </w:pPr>
      <w:r>
        <w:t>184.</w:t>
      </w:r>
      <w:r>
        <w:tab/>
      </w:r>
      <w:r w:rsidR="00871D57" w:rsidRPr="00F672DD">
        <w:t>Швеция приняла ряд национальных планов действий по обеспечению прав человека и борьбе с дискриминацией и ксенофобией. Так, в 2001 году был принят национальный план действий по борьбе с расизмом, ксенофобией, г</w:t>
      </w:r>
      <w:r w:rsidR="00871D57" w:rsidRPr="00F672DD">
        <w:t>о</w:t>
      </w:r>
      <w:r w:rsidR="00871D57" w:rsidRPr="00F672DD">
        <w:t>мофобией и дискриминацией. Первый национальный план действий в области прав человека был принят в 2002</w:t>
      </w:r>
      <w:r w:rsidR="000557E5">
        <w:t xml:space="preserve"> </w:t>
      </w:r>
      <w:r w:rsidR="00871D57" w:rsidRPr="00F672DD">
        <w:t>году. В 2006 году был принят второй такой план, в котором большое внимание уделяется проблемам дискриминации и кс</w:t>
      </w:r>
      <w:r w:rsidR="00871D57" w:rsidRPr="00F672DD">
        <w:t>е</w:t>
      </w:r>
      <w:r w:rsidR="00871D57" w:rsidRPr="00F672DD">
        <w:t>нофобии. В настоящее время ведется работа по подготовке третьего национал</w:t>
      </w:r>
      <w:r w:rsidR="00871D57" w:rsidRPr="00F672DD">
        <w:t>ь</w:t>
      </w:r>
      <w:r w:rsidR="00871D57" w:rsidRPr="00F672DD">
        <w:t>ного плана действий в области прав человека. Кроме того, Швеция активно участвовала в подготовке и проведении в 2009</w:t>
      </w:r>
      <w:r w:rsidR="000557E5">
        <w:t xml:space="preserve"> </w:t>
      </w:r>
      <w:r w:rsidR="00871D57" w:rsidRPr="00F672DD">
        <w:t>году Конференции по обзору Дурбанского пр</w:t>
      </w:r>
      <w:r w:rsidR="00871D57" w:rsidRPr="00F672DD">
        <w:t>о</w:t>
      </w:r>
      <w:r w:rsidR="00871D57" w:rsidRPr="00F672DD">
        <w:t xml:space="preserve">цесса. </w:t>
      </w:r>
    </w:p>
    <w:p w:rsidR="007511D7" w:rsidRPr="00D22540" w:rsidRDefault="00D22540" w:rsidP="00D22540">
      <w:pPr>
        <w:spacing w:before="240"/>
        <w:jc w:val="center"/>
        <w:rPr>
          <w:u w:val="single"/>
        </w:rPr>
      </w:pPr>
      <w:r>
        <w:rPr>
          <w:u w:val="single"/>
        </w:rPr>
        <w:tab/>
      </w:r>
      <w:r>
        <w:rPr>
          <w:u w:val="single"/>
        </w:rPr>
        <w:tab/>
      </w:r>
      <w:r>
        <w:rPr>
          <w:u w:val="single"/>
        </w:rPr>
        <w:tab/>
      </w:r>
    </w:p>
    <w:sectPr w:rsidR="007511D7" w:rsidRPr="00D22540" w:rsidSect="007511D7">
      <w:headerReference w:type="even" r:id="rId9"/>
      <w:headerReference w:type="default" r:id="rId10"/>
      <w:footerReference w:type="even" r:id="rId11"/>
      <w:footerReference w:type="default" r:id="rId12"/>
      <w:footerReference w:type="first" r:id="rId13"/>
      <w:pgSz w:w="11907" w:h="16840" w:code="9"/>
      <w:pgMar w:top="1701" w:right="1134" w:bottom="2268" w:left="1134" w:header="1134" w:footer="170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593" w:rsidRDefault="00AF5593">
      <w:r>
        <w:rPr>
          <w:lang w:val="en-US"/>
        </w:rPr>
        <w:tab/>
      </w:r>
      <w:r>
        <w:separator/>
      </w:r>
    </w:p>
  </w:endnote>
  <w:endnote w:type="continuationSeparator" w:id="0">
    <w:p w:rsidR="00AF5593" w:rsidRDefault="00AF55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rigGarmnd BT">
    <w:altName w:val="Constantia"/>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adeGothic">
    <w:altName w:val="Courier New"/>
    <w:charset w:val="00"/>
    <w:family w:val="auto"/>
    <w:pitch w:val="variable"/>
    <w:sig w:usb0="00000003" w:usb1="00000000" w:usb2="00000000" w:usb3="00000000" w:csb0="00000001" w:csb1="00000000"/>
  </w:font>
  <w:font w:name="TradeGothic CondEighteen">
    <w:altName w:val="Courier New"/>
    <w:charset w:val="00"/>
    <w:family w:val="auto"/>
    <w:pitch w:val="variable"/>
    <w:sig w:usb0="00000003" w:usb1="00000000" w:usb2="00000000" w:usb3="00000000" w:csb0="00000001" w:csb1="00000000"/>
  </w:font>
  <w:font w:name="CCDAM N+ T T 34 Bo 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690" w:rsidRPr="009A6F4A" w:rsidRDefault="009A7690">
    <w:pPr>
      <w:pStyle w:val="Footer"/>
      <w:rPr>
        <w:lang w:val="en-US"/>
      </w:rPr>
    </w:pPr>
    <w:r>
      <w:rPr>
        <w:rStyle w:val="PageNumber"/>
      </w:rPr>
      <w:fldChar w:fldCharType="begin"/>
    </w:r>
    <w:r>
      <w:rPr>
        <w:rStyle w:val="PageNumber"/>
      </w:rPr>
      <w:instrText xml:space="preserve"> PAGE </w:instrText>
    </w:r>
    <w:r>
      <w:rPr>
        <w:rStyle w:val="PageNumber"/>
      </w:rPr>
      <w:fldChar w:fldCharType="separate"/>
    </w:r>
    <w:r w:rsidR="008A7931">
      <w:rPr>
        <w:rStyle w:val="PageNumber"/>
        <w:noProof/>
      </w:rPr>
      <w:t>42</w:t>
    </w:r>
    <w:r>
      <w:rPr>
        <w:rStyle w:val="PageNumber"/>
      </w:rPr>
      <w:fldChar w:fldCharType="end"/>
    </w:r>
    <w:r>
      <w:rPr>
        <w:lang w:val="en-US"/>
      </w:rPr>
      <w:tab/>
      <w:t>GE.</w:t>
    </w:r>
    <w:r w:rsidRPr="00720CD3">
      <w:rPr>
        <w:lang w:val="en-US"/>
      </w:rPr>
      <w:t>12-47250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690" w:rsidRPr="009A6F4A" w:rsidRDefault="009A7690">
    <w:pPr>
      <w:pStyle w:val="Footer"/>
      <w:rPr>
        <w:lang w:val="en-US"/>
      </w:rPr>
    </w:pPr>
    <w:r>
      <w:rPr>
        <w:lang w:val="en-US"/>
      </w:rPr>
      <w:t>GE.</w:t>
    </w:r>
    <w:r w:rsidRPr="00720CD3">
      <w:rPr>
        <w:lang w:val="en-US"/>
      </w:rPr>
      <w:t>12-47250</w:t>
    </w:r>
    <w:r>
      <w:rPr>
        <w:lang w:val="en-US"/>
      </w:rPr>
      <w:tab/>
    </w:r>
    <w:r>
      <w:rPr>
        <w:rStyle w:val="PageNumber"/>
      </w:rPr>
      <w:fldChar w:fldCharType="begin"/>
    </w:r>
    <w:r>
      <w:rPr>
        <w:rStyle w:val="PageNumber"/>
      </w:rPr>
      <w:instrText xml:space="preserve"> PAGE </w:instrText>
    </w:r>
    <w:r>
      <w:rPr>
        <w:rStyle w:val="PageNumber"/>
      </w:rPr>
      <w:fldChar w:fldCharType="separate"/>
    </w:r>
    <w:r w:rsidR="008A7931">
      <w:rPr>
        <w:rStyle w:val="PageNumber"/>
        <w:noProof/>
      </w:rPr>
      <w:t>43</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690" w:rsidRPr="009A6F4A" w:rsidRDefault="009A7690">
    <w:pPr>
      <w:pStyle w:val="Footer"/>
      <w:rPr>
        <w:sz w:val="20"/>
        <w:lang w:val="en-US"/>
      </w:rPr>
    </w:pPr>
    <w:r>
      <w:rPr>
        <w:sz w:val="20"/>
        <w:lang w:val="en-US"/>
      </w:rPr>
      <w:t>GE.12-47250  (R)  150313   150413</w:t>
    </w:r>
    <w:r>
      <w:rPr>
        <w:sz w:val="20"/>
        <w:lang w:val="en-US"/>
      </w:rPr>
      <w:tab/>
    </w:r>
    <w:r w:rsidRPr="00206282">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3pt;height:18pt">
          <v:imagedata r:id="rId1" o:title="recycle_Russia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593" w:rsidRPr="00F71F63" w:rsidRDefault="00AF5593" w:rsidP="00457634">
      <w:pPr>
        <w:tabs>
          <w:tab w:val="right" w:pos="2155"/>
        </w:tabs>
        <w:spacing w:after="80" w:line="240" w:lineRule="auto"/>
        <w:ind w:left="680"/>
        <w:rPr>
          <w:u w:val="single"/>
          <w:lang w:val="en-US"/>
        </w:rPr>
      </w:pPr>
      <w:r w:rsidRPr="00F71F63">
        <w:rPr>
          <w:u w:val="single"/>
          <w:lang w:val="en-US"/>
        </w:rPr>
        <w:tab/>
      </w:r>
    </w:p>
  </w:footnote>
  <w:footnote w:type="continuationSeparator" w:id="0">
    <w:p w:rsidR="00AF5593" w:rsidRPr="00F71F63" w:rsidRDefault="00AF5593" w:rsidP="00635E86">
      <w:pPr>
        <w:tabs>
          <w:tab w:val="right" w:pos="2155"/>
        </w:tabs>
        <w:spacing w:after="80" w:line="240" w:lineRule="auto"/>
        <w:rPr>
          <w:u w:val="single"/>
          <w:lang w:val="en-US"/>
        </w:rPr>
      </w:pPr>
      <w:r w:rsidRPr="00F71F63">
        <w:rPr>
          <w:u w:val="single"/>
          <w:lang w:val="en-US"/>
        </w:rPr>
        <w:tab/>
      </w:r>
    </w:p>
    <w:p w:rsidR="00AF5593" w:rsidRPr="00635E86" w:rsidRDefault="00AF5593" w:rsidP="00635E86">
      <w:pPr>
        <w:pStyle w:val="Footer"/>
      </w:pPr>
    </w:p>
  </w:footnote>
  <w:footnote w:id="1">
    <w:p w:rsidR="009A7690" w:rsidRDefault="009A7690" w:rsidP="00871D57">
      <w:pPr>
        <w:pStyle w:val="FootnoteText"/>
        <w:rPr>
          <w:lang w:val="ru-RU"/>
        </w:rPr>
      </w:pPr>
      <w:r>
        <w:tab/>
      </w:r>
      <w:r w:rsidRPr="00A045A3">
        <w:rPr>
          <w:rStyle w:val="FootnoteReference"/>
          <w:szCs w:val="18"/>
          <w:vertAlign w:val="baseline"/>
          <w:lang w:val="ru-RU"/>
        </w:rPr>
        <w:t>*</w:t>
      </w:r>
      <w:r>
        <w:rPr>
          <w:sz w:val="20"/>
          <w:lang w:val="ru-RU"/>
        </w:rPr>
        <w:tab/>
      </w:r>
      <w:r>
        <w:rPr>
          <w:lang w:val="ru-RU"/>
        </w:rPr>
        <w:t>В настоящем документе содержатся девятнадцатый, двадцатый и двадцать первый периодические доклады Швеции со сроками представления соответственно 5 января 2009 года, 5 января 2011 года и 5 января 2013 года, представленные в одном документе. Семнадцатый и восемнадцатый периодические доклады, представленные в</w:t>
      </w:r>
      <w:r>
        <w:rPr>
          <w:lang w:val="en-US"/>
        </w:rPr>
        <w:t> </w:t>
      </w:r>
      <w:r>
        <w:rPr>
          <w:lang w:val="ru-RU"/>
        </w:rPr>
        <w:t xml:space="preserve">одном документе, и краткие отчеты о заседаниях, на которых Комитет рассматривал эти доклады, см. в документах </w:t>
      </w:r>
      <w:r>
        <w:t>CERD</w:t>
      </w:r>
      <w:r>
        <w:rPr>
          <w:lang w:val="ru-RU"/>
        </w:rPr>
        <w:t>/</w:t>
      </w:r>
      <w:r>
        <w:t>C</w:t>
      </w:r>
      <w:r>
        <w:rPr>
          <w:lang w:val="ru-RU"/>
        </w:rPr>
        <w:t>/</w:t>
      </w:r>
      <w:r>
        <w:t>SWE</w:t>
      </w:r>
      <w:r>
        <w:rPr>
          <w:lang w:val="ru-RU"/>
        </w:rPr>
        <w:t xml:space="preserve">/18 и </w:t>
      </w:r>
      <w:r>
        <w:t>CERD</w:t>
      </w:r>
      <w:r>
        <w:rPr>
          <w:lang w:val="ru-RU"/>
        </w:rPr>
        <w:t>/</w:t>
      </w:r>
      <w:r>
        <w:t>C</w:t>
      </w:r>
      <w:r>
        <w:rPr>
          <w:lang w:val="ru-RU"/>
        </w:rPr>
        <w:t>/</w:t>
      </w:r>
      <w:r>
        <w:t>SR</w:t>
      </w:r>
      <w:r>
        <w:rPr>
          <w:lang w:val="ru-RU"/>
        </w:rPr>
        <w:t>.1894, 1895, 1901 и 1902.</w:t>
      </w:r>
    </w:p>
  </w:footnote>
  <w:footnote w:id="2">
    <w:p w:rsidR="009A7690" w:rsidRDefault="009A7690" w:rsidP="00871D57">
      <w:pPr>
        <w:pStyle w:val="FootnoteText"/>
        <w:rPr>
          <w:lang w:val="ru-RU"/>
        </w:rPr>
      </w:pPr>
      <w:r>
        <w:rPr>
          <w:lang w:val="ru-RU"/>
        </w:rPr>
        <w:tab/>
      </w:r>
      <w:r w:rsidRPr="00A045A3">
        <w:rPr>
          <w:rStyle w:val="FootnoteReference"/>
          <w:szCs w:val="18"/>
          <w:vertAlign w:val="baseline"/>
          <w:lang w:val="ru-RU"/>
        </w:rPr>
        <w:t>**</w:t>
      </w:r>
      <w:r>
        <w:rPr>
          <w:sz w:val="20"/>
          <w:lang w:val="ru-RU"/>
        </w:rPr>
        <w:tab/>
      </w:r>
      <w:r>
        <w:rPr>
          <w:lang w:val="ru-RU"/>
        </w:rPr>
        <w:t>Согласно направленной государствам-участникам информации, касающейся обработки их докладов, настоящий документ не редактировался.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690" w:rsidRPr="00720CD3" w:rsidRDefault="009A7690">
    <w:pPr>
      <w:pStyle w:val="Header"/>
      <w:rPr>
        <w:lang w:val="en-US"/>
      </w:rPr>
    </w:pPr>
    <w:r>
      <w:rPr>
        <w:lang w:val="en-US"/>
      </w:rPr>
      <w:t>CERD/</w:t>
    </w:r>
    <w:r w:rsidRPr="00720CD3">
      <w:rPr>
        <w:lang w:val="en-US"/>
      </w:rPr>
      <w:t>C/SWE/19-21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690" w:rsidRPr="00720CD3" w:rsidRDefault="009A7690">
    <w:pPr>
      <w:pStyle w:val="Header"/>
      <w:rPr>
        <w:lang w:val="en-US"/>
      </w:rPr>
    </w:pPr>
    <w:r>
      <w:rPr>
        <w:lang w:val="en-US"/>
      </w:rPr>
      <w:tab/>
      <w:t>CERD/</w:t>
    </w:r>
    <w:r w:rsidRPr="00720CD3">
      <w:rPr>
        <w:lang w:val="en-US"/>
      </w:rPr>
      <w:t>C/SWE/19-21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6A2F2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336686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3EE73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A1ACCA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22A49F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0F62B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EAD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F82C5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30CBDAE"/>
    <w:lvl w:ilvl="0">
      <w:start w:val="1"/>
      <w:numFmt w:val="decimal"/>
      <w:pStyle w:val="ListNumber"/>
      <w:lvlText w:val="%1."/>
      <w:lvlJc w:val="left"/>
      <w:pPr>
        <w:tabs>
          <w:tab w:val="num" w:pos="360"/>
        </w:tabs>
        <w:ind w:left="360" w:hanging="360"/>
      </w:pPr>
    </w:lvl>
  </w:abstractNum>
  <w:abstractNum w:abstractNumId="9">
    <w:nsid w:val="FFFFFF89"/>
    <w:multiLevelType w:val="singleLevel"/>
    <w:tmpl w:val="AA6A47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7FC5F1F"/>
    <w:multiLevelType w:val="multilevel"/>
    <w:tmpl w:val="8534A352"/>
    <w:lvl w:ilvl="0">
      <w:start w:val="1"/>
      <w:numFmt w:val="bullet"/>
      <w:lvlText w:val=""/>
      <w:lvlJc w:val="left"/>
      <w:pPr>
        <w:ind w:left="567" w:hanging="283"/>
      </w:pPr>
      <w:rPr>
        <w:rFonts w:ascii="Symbol" w:hAnsi="Symbol" w:hint="default"/>
        <w:color w:val="7F7F7F"/>
      </w:rPr>
    </w:lvl>
    <w:lvl w:ilvl="1">
      <w:start w:val="1"/>
      <w:numFmt w:val="bullet"/>
      <w:lvlText w:val="-"/>
      <w:lvlJc w:val="left"/>
      <w:pPr>
        <w:ind w:left="851" w:hanging="283"/>
      </w:pPr>
      <w:rPr>
        <w:rFonts w:ascii="Courier New" w:hAnsi="Courier New" w:cs="Times New Roman" w:hint="default"/>
        <w:color w:val="7F7F7F"/>
      </w:rPr>
    </w:lvl>
    <w:lvl w:ilvl="2">
      <w:start w:val="1"/>
      <w:numFmt w:val="bullet"/>
      <w:lvlText w:val=""/>
      <w:lvlJc w:val="left"/>
      <w:pPr>
        <w:ind w:left="1135" w:hanging="283"/>
      </w:pPr>
      <w:rPr>
        <w:rFonts w:ascii="Wingdings" w:hAnsi="Wingdings" w:hint="default"/>
        <w:color w:val="7F7F7F"/>
      </w:rPr>
    </w:lvl>
    <w:lvl w:ilvl="3">
      <w:start w:val="1"/>
      <w:numFmt w:val="bullet"/>
      <w:lvlText w:val="-"/>
      <w:lvlJc w:val="left"/>
      <w:pPr>
        <w:ind w:left="1419" w:hanging="283"/>
      </w:pPr>
      <w:rPr>
        <w:rFonts w:ascii="Courier New" w:hAnsi="Courier New" w:cs="Times New Roman" w:hint="default"/>
        <w:color w:val="7F7F7F"/>
      </w:rPr>
    </w:lvl>
    <w:lvl w:ilvl="4">
      <w:start w:val="1"/>
      <w:numFmt w:val="bullet"/>
      <w:lvlText w:val=""/>
      <w:lvlJc w:val="left"/>
      <w:pPr>
        <w:ind w:left="1703" w:hanging="283"/>
      </w:pPr>
      <w:rPr>
        <w:rFonts w:ascii="Wingdings" w:hAnsi="Wingdings" w:hint="default"/>
        <w:color w:val="7F7F7F"/>
      </w:rPr>
    </w:lvl>
    <w:lvl w:ilvl="5">
      <w:start w:val="1"/>
      <w:numFmt w:val="bullet"/>
      <w:lvlText w:val="-"/>
      <w:lvlJc w:val="left"/>
      <w:pPr>
        <w:ind w:left="1987" w:hanging="283"/>
      </w:pPr>
      <w:rPr>
        <w:rFonts w:ascii="Courier New" w:hAnsi="Courier New" w:cs="Times New Roman" w:hint="default"/>
        <w:color w:val="7F7F7F"/>
      </w:rPr>
    </w:lvl>
    <w:lvl w:ilvl="6">
      <w:start w:val="1"/>
      <w:numFmt w:val="bullet"/>
      <w:lvlText w:val=""/>
      <w:lvlJc w:val="left"/>
      <w:pPr>
        <w:ind w:left="2271" w:hanging="283"/>
      </w:pPr>
      <w:rPr>
        <w:rFonts w:ascii="Wingdings" w:hAnsi="Wingdings" w:hint="default"/>
        <w:color w:val="7F7F7F"/>
      </w:rPr>
    </w:lvl>
    <w:lvl w:ilvl="7">
      <w:start w:val="1"/>
      <w:numFmt w:val="bullet"/>
      <w:lvlText w:val="-"/>
      <w:lvlJc w:val="left"/>
      <w:pPr>
        <w:ind w:left="2555" w:hanging="283"/>
      </w:pPr>
      <w:rPr>
        <w:rFonts w:ascii="Courier New" w:hAnsi="Courier New" w:cs="Times New Roman" w:hint="default"/>
        <w:color w:val="7F7F7F"/>
      </w:rPr>
    </w:lvl>
    <w:lvl w:ilvl="8">
      <w:start w:val="1"/>
      <w:numFmt w:val="bullet"/>
      <w:lvlText w:val=""/>
      <w:lvlJc w:val="left"/>
      <w:pPr>
        <w:ind w:left="2839" w:hanging="283"/>
      </w:pPr>
      <w:rPr>
        <w:rFonts w:ascii="Wingdings" w:hAnsi="Wingdings" w:hint="default"/>
        <w:color w:val="7F7F7F"/>
      </w:rPr>
    </w:lvl>
  </w:abstractNum>
  <w:abstractNum w:abstractNumId="13">
    <w:nsid w:val="188C6479"/>
    <w:multiLevelType w:val="singleLevel"/>
    <w:tmpl w:val="900C9646"/>
    <w:lvl w:ilvl="0">
      <w:start w:val="1"/>
      <w:numFmt w:val="decimal"/>
      <w:lvlText w:val="%1."/>
      <w:lvlJc w:val="left"/>
      <w:pPr>
        <w:tabs>
          <w:tab w:val="num" w:pos="360"/>
        </w:tabs>
        <w:ind w:left="360" w:hanging="360"/>
      </w:pPr>
    </w:lvl>
  </w:abstractNum>
  <w:abstractNum w:abstractNumId="14">
    <w:nsid w:val="35140D5A"/>
    <w:multiLevelType w:val="hybridMultilevel"/>
    <w:tmpl w:val="3A122688"/>
    <w:lvl w:ilvl="0" w:tplc="7D3CEE64">
      <w:start w:val="1"/>
      <w:numFmt w:val="decimal"/>
      <w:lvlText w:val="%1."/>
      <w:lvlJc w:val="left"/>
      <w:pPr>
        <w:tabs>
          <w:tab w:val="num" w:pos="-572"/>
        </w:tabs>
        <w:ind w:left="1134" w:firstLine="0"/>
      </w:pPr>
      <w:rPr>
        <w:rFonts w:ascii="Times New Roman" w:hAnsi="Times New Roman" w:cs="Times New Roman" w:hint="default"/>
        <w:b w:val="0"/>
        <w:sz w:val="20"/>
        <w:szCs w:val="20"/>
        <w:lang w:val="ru-RU"/>
      </w:rPr>
    </w:lvl>
    <w:lvl w:ilvl="1" w:tplc="04090019" w:tentative="1">
      <w:start w:val="1"/>
      <w:numFmt w:val="lowerLetter"/>
      <w:lvlText w:val="%2."/>
      <w:lvlJc w:val="left"/>
      <w:pPr>
        <w:tabs>
          <w:tab w:val="num" w:pos="-828"/>
        </w:tabs>
        <w:ind w:left="-828" w:hanging="360"/>
      </w:pPr>
    </w:lvl>
    <w:lvl w:ilvl="2" w:tplc="0409001B" w:tentative="1">
      <w:start w:val="1"/>
      <w:numFmt w:val="lowerRoman"/>
      <w:lvlText w:val="%3."/>
      <w:lvlJc w:val="right"/>
      <w:pPr>
        <w:tabs>
          <w:tab w:val="num" w:pos="-108"/>
        </w:tabs>
        <w:ind w:left="-108" w:hanging="180"/>
      </w:pPr>
    </w:lvl>
    <w:lvl w:ilvl="3" w:tplc="0409000F" w:tentative="1">
      <w:start w:val="1"/>
      <w:numFmt w:val="decimal"/>
      <w:lvlText w:val="%4."/>
      <w:lvlJc w:val="left"/>
      <w:pPr>
        <w:tabs>
          <w:tab w:val="num" w:pos="612"/>
        </w:tabs>
        <w:ind w:left="612" w:hanging="360"/>
      </w:pPr>
    </w:lvl>
    <w:lvl w:ilvl="4" w:tplc="04090019" w:tentative="1">
      <w:start w:val="1"/>
      <w:numFmt w:val="lowerLetter"/>
      <w:lvlText w:val="%5."/>
      <w:lvlJc w:val="left"/>
      <w:pPr>
        <w:tabs>
          <w:tab w:val="num" w:pos="1332"/>
        </w:tabs>
        <w:ind w:left="1332" w:hanging="360"/>
      </w:pPr>
    </w:lvl>
    <w:lvl w:ilvl="5" w:tplc="0409001B" w:tentative="1">
      <w:start w:val="1"/>
      <w:numFmt w:val="lowerRoman"/>
      <w:lvlText w:val="%6."/>
      <w:lvlJc w:val="right"/>
      <w:pPr>
        <w:tabs>
          <w:tab w:val="num" w:pos="2052"/>
        </w:tabs>
        <w:ind w:left="2052" w:hanging="180"/>
      </w:pPr>
    </w:lvl>
    <w:lvl w:ilvl="6" w:tplc="0409000F" w:tentative="1">
      <w:start w:val="1"/>
      <w:numFmt w:val="decimal"/>
      <w:lvlText w:val="%7."/>
      <w:lvlJc w:val="left"/>
      <w:pPr>
        <w:tabs>
          <w:tab w:val="num" w:pos="2772"/>
        </w:tabs>
        <w:ind w:left="2772" w:hanging="360"/>
      </w:pPr>
    </w:lvl>
    <w:lvl w:ilvl="7" w:tplc="04090019" w:tentative="1">
      <w:start w:val="1"/>
      <w:numFmt w:val="lowerLetter"/>
      <w:lvlText w:val="%8."/>
      <w:lvlJc w:val="left"/>
      <w:pPr>
        <w:tabs>
          <w:tab w:val="num" w:pos="3492"/>
        </w:tabs>
        <w:ind w:left="3492" w:hanging="360"/>
      </w:pPr>
    </w:lvl>
    <w:lvl w:ilvl="8" w:tplc="0409001B" w:tentative="1">
      <w:start w:val="1"/>
      <w:numFmt w:val="lowerRoman"/>
      <w:lvlText w:val="%9."/>
      <w:lvlJc w:val="right"/>
      <w:pPr>
        <w:tabs>
          <w:tab w:val="num" w:pos="4212"/>
        </w:tabs>
        <w:ind w:left="4212" w:hanging="180"/>
      </w:pPr>
    </w:lvl>
  </w:abstractNum>
  <w:abstractNum w:abstractNumId="15">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3676EF3"/>
    <w:multiLevelType w:val="multilevel"/>
    <w:tmpl w:val="04190023"/>
    <w:styleLink w:val="ArticleSection"/>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6D911933"/>
    <w:multiLevelType w:val="hybridMultilevel"/>
    <w:tmpl w:val="CBE25292"/>
    <w:lvl w:ilvl="0" w:tplc="5428F71E">
      <w:start w:val="1"/>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18"/>
  </w:num>
  <w:num w:numId="2">
    <w:abstractNumId w:val="15"/>
  </w:num>
  <w:num w:numId="3">
    <w:abstractNumId w:val="17"/>
  </w:num>
  <w:num w:numId="4">
    <w:abstractNumId w:val="19"/>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8"/>
  </w:num>
  <w:num w:numId="18">
    <w:abstractNumId w:val="15"/>
  </w:num>
  <w:num w:numId="19">
    <w:abstractNumId w:val="15"/>
  </w:num>
  <w:num w:numId="20">
    <w:abstractNumId w:val="18"/>
  </w:num>
  <w:num w:numId="21">
    <w:abstractNumId w:val="15"/>
  </w:num>
  <w:num w:numId="22">
    <w:abstractNumId w:val="17"/>
  </w:num>
  <w:num w:numId="23">
    <w:abstractNumId w:val="17"/>
  </w:num>
  <w:num w:numId="24">
    <w:abstractNumId w:val="10"/>
  </w:num>
  <w:num w:numId="25">
    <w:abstractNumId w:val="20"/>
  </w:num>
  <w:num w:numId="26">
    <w:abstractNumId w:val="12"/>
  </w:num>
  <w:num w:numId="27">
    <w:abstractNumId w:val="12"/>
    <w:lvlOverride w:ilvl="0"/>
    <w:lvlOverride w:ilvl="1"/>
    <w:lvlOverride w:ilvl="2"/>
    <w:lvlOverride w:ilvl="3"/>
    <w:lvlOverride w:ilvl="4"/>
    <w:lvlOverride w:ilvl="5"/>
    <w:lvlOverride w:ilvl="6"/>
    <w:lvlOverride w:ilvl="7"/>
    <w:lvlOverride w:ilvl="8"/>
  </w:num>
  <w:num w:numId="28">
    <w:abstractNumId w:val="13"/>
  </w:num>
  <w:num w:numId="29">
    <w:abstractNumId w:val="13"/>
    <w:lvlOverride w:ilvl="0">
      <w:startOverride w:val="1"/>
    </w:lvlOverride>
  </w:num>
  <w:num w:numId="30">
    <w:abstractNumId w:val="14"/>
  </w:num>
  <w:num w:numId="31">
    <w:abstractNumId w:val="2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ttachedTemplate r:id="rId1"/>
  <w:stylePaneFormatFilter w:val="1F01"/>
  <w:doNotTrackMoves/>
  <w:documentProtection w:edit="forms" w:enforcement="0"/>
  <w:defaultTabStop w:val="567"/>
  <w:autoHyphenation/>
  <w:hyphenationZone w:val="357"/>
  <w:doNotHyphenateCaps/>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20CD3"/>
    <w:rsid w:val="00000A4A"/>
    <w:rsid w:val="000033D8"/>
    <w:rsid w:val="00005C1C"/>
    <w:rsid w:val="0001155C"/>
    <w:rsid w:val="00016553"/>
    <w:rsid w:val="000233B3"/>
    <w:rsid w:val="00023E9E"/>
    <w:rsid w:val="00026B0C"/>
    <w:rsid w:val="0003638E"/>
    <w:rsid w:val="00036FF2"/>
    <w:rsid w:val="0004010A"/>
    <w:rsid w:val="00043D88"/>
    <w:rsid w:val="00046E4D"/>
    <w:rsid w:val="00052DF5"/>
    <w:rsid w:val="00053F0C"/>
    <w:rsid w:val="000557E5"/>
    <w:rsid w:val="0006401A"/>
    <w:rsid w:val="00072C27"/>
    <w:rsid w:val="00086182"/>
    <w:rsid w:val="00090891"/>
    <w:rsid w:val="00092E62"/>
    <w:rsid w:val="00097975"/>
    <w:rsid w:val="000A3DDF"/>
    <w:rsid w:val="000A60A0"/>
    <w:rsid w:val="000C3688"/>
    <w:rsid w:val="000D6863"/>
    <w:rsid w:val="000F277B"/>
    <w:rsid w:val="0010204D"/>
    <w:rsid w:val="00117AEE"/>
    <w:rsid w:val="001463F7"/>
    <w:rsid w:val="001465B8"/>
    <w:rsid w:val="0015769C"/>
    <w:rsid w:val="00176048"/>
    <w:rsid w:val="00180752"/>
    <w:rsid w:val="00185076"/>
    <w:rsid w:val="0018543C"/>
    <w:rsid w:val="00186BD7"/>
    <w:rsid w:val="00190231"/>
    <w:rsid w:val="00190FBD"/>
    <w:rsid w:val="00192ABD"/>
    <w:rsid w:val="001A4503"/>
    <w:rsid w:val="001A75D5"/>
    <w:rsid w:val="001A7D40"/>
    <w:rsid w:val="001B5C89"/>
    <w:rsid w:val="001D07F7"/>
    <w:rsid w:val="001D7B8F"/>
    <w:rsid w:val="001E48EE"/>
    <w:rsid w:val="001F2D04"/>
    <w:rsid w:val="0020059C"/>
    <w:rsid w:val="002012F6"/>
    <w:rsid w:val="002019BD"/>
    <w:rsid w:val="00204F33"/>
    <w:rsid w:val="00232D42"/>
    <w:rsid w:val="00237334"/>
    <w:rsid w:val="002444F4"/>
    <w:rsid w:val="002629A0"/>
    <w:rsid w:val="0028492B"/>
    <w:rsid w:val="00291C8F"/>
    <w:rsid w:val="002B43B0"/>
    <w:rsid w:val="002C2CA3"/>
    <w:rsid w:val="002C5036"/>
    <w:rsid w:val="002C6A71"/>
    <w:rsid w:val="002C6D5F"/>
    <w:rsid w:val="002D15EA"/>
    <w:rsid w:val="002D550A"/>
    <w:rsid w:val="002D6C07"/>
    <w:rsid w:val="002E0CE6"/>
    <w:rsid w:val="002E1163"/>
    <w:rsid w:val="002E43F3"/>
    <w:rsid w:val="002E6163"/>
    <w:rsid w:val="002F1881"/>
    <w:rsid w:val="002F7A33"/>
    <w:rsid w:val="00315944"/>
    <w:rsid w:val="003215F5"/>
    <w:rsid w:val="00332891"/>
    <w:rsid w:val="00333E76"/>
    <w:rsid w:val="00356BB2"/>
    <w:rsid w:val="00360477"/>
    <w:rsid w:val="00367FC9"/>
    <w:rsid w:val="00370FD1"/>
    <w:rsid w:val="003711A1"/>
    <w:rsid w:val="00372123"/>
    <w:rsid w:val="0037753E"/>
    <w:rsid w:val="00383E60"/>
    <w:rsid w:val="00386581"/>
    <w:rsid w:val="00387100"/>
    <w:rsid w:val="003951D3"/>
    <w:rsid w:val="003978C6"/>
    <w:rsid w:val="003B40A9"/>
    <w:rsid w:val="003C016E"/>
    <w:rsid w:val="003D5EBD"/>
    <w:rsid w:val="00401CE0"/>
    <w:rsid w:val="00403234"/>
    <w:rsid w:val="00404E5A"/>
    <w:rsid w:val="00407AC3"/>
    <w:rsid w:val="00414586"/>
    <w:rsid w:val="00415059"/>
    <w:rsid w:val="00424FDD"/>
    <w:rsid w:val="0043033D"/>
    <w:rsid w:val="00435FE4"/>
    <w:rsid w:val="00436C18"/>
    <w:rsid w:val="004439DB"/>
    <w:rsid w:val="00457634"/>
    <w:rsid w:val="00474F42"/>
    <w:rsid w:val="0048244D"/>
    <w:rsid w:val="00491FAD"/>
    <w:rsid w:val="004A0DE8"/>
    <w:rsid w:val="004A4CB7"/>
    <w:rsid w:val="004A57B5"/>
    <w:rsid w:val="004B19DA"/>
    <w:rsid w:val="004B77A8"/>
    <w:rsid w:val="004C2A53"/>
    <w:rsid w:val="004C3B35"/>
    <w:rsid w:val="004C43EC"/>
    <w:rsid w:val="004E6729"/>
    <w:rsid w:val="004F0E47"/>
    <w:rsid w:val="00500F7A"/>
    <w:rsid w:val="005015DC"/>
    <w:rsid w:val="0051339C"/>
    <w:rsid w:val="0051412F"/>
    <w:rsid w:val="00522B6F"/>
    <w:rsid w:val="0052430E"/>
    <w:rsid w:val="005276AD"/>
    <w:rsid w:val="00532044"/>
    <w:rsid w:val="00540A9A"/>
    <w:rsid w:val="00543522"/>
    <w:rsid w:val="00545680"/>
    <w:rsid w:val="00565693"/>
    <w:rsid w:val="0056618E"/>
    <w:rsid w:val="00576F59"/>
    <w:rsid w:val="00577A34"/>
    <w:rsid w:val="00580AAD"/>
    <w:rsid w:val="00581786"/>
    <w:rsid w:val="00593A04"/>
    <w:rsid w:val="00596217"/>
    <w:rsid w:val="005A6D5A"/>
    <w:rsid w:val="005B1B28"/>
    <w:rsid w:val="005B7D51"/>
    <w:rsid w:val="005B7F35"/>
    <w:rsid w:val="005C2081"/>
    <w:rsid w:val="005C678A"/>
    <w:rsid w:val="005D346D"/>
    <w:rsid w:val="005D5A8A"/>
    <w:rsid w:val="005E74AB"/>
    <w:rsid w:val="00606A3E"/>
    <w:rsid w:val="006115AA"/>
    <w:rsid w:val="006120AE"/>
    <w:rsid w:val="00635822"/>
    <w:rsid w:val="00635E86"/>
    <w:rsid w:val="00636A37"/>
    <w:rsid w:val="006501A5"/>
    <w:rsid w:val="00653B3C"/>
    <w:rsid w:val="006567B2"/>
    <w:rsid w:val="00662ADE"/>
    <w:rsid w:val="00664106"/>
    <w:rsid w:val="00665BC5"/>
    <w:rsid w:val="006756F1"/>
    <w:rsid w:val="00677773"/>
    <w:rsid w:val="006805FC"/>
    <w:rsid w:val="006926C7"/>
    <w:rsid w:val="00694C37"/>
    <w:rsid w:val="006A1BEB"/>
    <w:rsid w:val="006A401C"/>
    <w:rsid w:val="006A7C6E"/>
    <w:rsid w:val="006B159C"/>
    <w:rsid w:val="006B23D9"/>
    <w:rsid w:val="006C1814"/>
    <w:rsid w:val="006C2F45"/>
    <w:rsid w:val="006C361A"/>
    <w:rsid w:val="006C5657"/>
    <w:rsid w:val="006D2249"/>
    <w:rsid w:val="006D5E4E"/>
    <w:rsid w:val="006E6860"/>
    <w:rsid w:val="006E7183"/>
    <w:rsid w:val="006F5FBF"/>
    <w:rsid w:val="0070327E"/>
    <w:rsid w:val="00707B5F"/>
    <w:rsid w:val="00720CD3"/>
    <w:rsid w:val="00735602"/>
    <w:rsid w:val="00750AFD"/>
    <w:rsid w:val="007511D7"/>
    <w:rsid w:val="0075279B"/>
    <w:rsid w:val="00753748"/>
    <w:rsid w:val="007540B1"/>
    <w:rsid w:val="00762446"/>
    <w:rsid w:val="00781ACB"/>
    <w:rsid w:val="00782842"/>
    <w:rsid w:val="007A6387"/>
    <w:rsid w:val="007A79EB"/>
    <w:rsid w:val="007D4CA0"/>
    <w:rsid w:val="007D4F26"/>
    <w:rsid w:val="007D5047"/>
    <w:rsid w:val="007D7A23"/>
    <w:rsid w:val="007E38C3"/>
    <w:rsid w:val="007E549E"/>
    <w:rsid w:val="007E71C9"/>
    <w:rsid w:val="007F7553"/>
    <w:rsid w:val="0080755E"/>
    <w:rsid w:val="008120D4"/>
    <w:rsid w:val="008139A5"/>
    <w:rsid w:val="00817F73"/>
    <w:rsid w:val="0082228E"/>
    <w:rsid w:val="00830402"/>
    <w:rsid w:val="008305D7"/>
    <w:rsid w:val="00834887"/>
    <w:rsid w:val="00840D11"/>
    <w:rsid w:val="00842FED"/>
    <w:rsid w:val="008455CF"/>
    <w:rsid w:val="00847689"/>
    <w:rsid w:val="00861C52"/>
    <w:rsid w:val="00871D57"/>
    <w:rsid w:val="008727A1"/>
    <w:rsid w:val="00886B0F"/>
    <w:rsid w:val="00891C08"/>
    <w:rsid w:val="008A3879"/>
    <w:rsid w:val="008A5FA8"/>
    <w:rsid w:val="008A7575"/>
    <w:rsid w:val="008A7931"/>
    <w:rsid w:val="008B5F47"/>
    <w:rsid w:val="008C3E9A"/>
    <w:rsid w:val="008C7B87"/>
    <w:rsid w:val="008D6A7A"/>
    <w:rsid w:val="008E2438"/>
    <w:rsid w:val="008E3E87"/>
    <w:rsid w:val="008E7F13"/>
    <w:rsid w:val="008F3185"/>
    <w:rsid w:val="00915B0A"/>
    <w:rsid w:val="00924193"/>
    <w:rsid w:val="00926904"/>
    <w:rsid w:val="009305AA"/>
    <w:rsid w:val="00930F08"/>
    <w:rsid w:val="009372F0"/>
    <w:rsid w:val="00955022"/>
    <w:rsid w:val="00956760"/>
    <w:rsid w:val="00957B4D"/>
    <w:rsid w:val="00964605"/>
    <w:rsid w:val="00964EEA"/>
    <w:rsid w:val="00980C86"/>
    <w:rsid w:val="009A7690"/>
    <w:rsid w:val="009B1D9B"/>
    <w:rsid w:val="009B4074"/>
    <w:rsid w:val="009B5823"/>
    <w:rsid w:val="009C30BB"/>
    <w:rsid w:val="009C60BE"/>
    <w:rsid w:val="009E6279"/>
    <w:rsid w:val="009F00A6"/>
    <w:rsid w:val="009F2ACF"/>
    <w:rsid w:val="009F56A7"/>
    <w:rsid w:val="009F5B05"/>
    <w:rsid w:val="00A026CA"/>
    <w:rsid w:val="00A045A3"/>
    <w:rsid w:val="00A07232"/>
    <w:rsid w:val="00A11D2B"/>
    <w:rsid w:val="00A14800"/>
    <w:rsid w:val="00A156DE"/>
    <w:rsid w:val="00A157ED"/>
    <w:rsid w:val="00A2446A"/>
    <w:rsid w:val="00A317A6"/>
    <w:rsid w:val="00A4025D"/>
    <w:rsid w:val="00A55A82"/>
    <w:rsid w:val="00A800D1"/>
    <w:rsid w:val="00A8215C"/>
    <w:rsid w:val="00A92699"/>
    <w:rsid w:val="00A97F6D"/>
    <w:rsid w:val="00AB2C64"/>
    <w:rsid w:val="00AB5BF0"/>
    <w:rsid w:val="00AC1C95"/>
    <w:rsid w:val="00AC2054"/>
    <w:rsid w:val="00AC2CCB"/>
    <w:rsid w:val="00AC3B8F"/>
    <w:rsid w:val="00AC443A"/>
    <w:rsid w:val="00AD7AB4"/>
    <w:rsid w:val="00AE60E2"/>
    <w:rsid w:val="00AF5593"/>
    <w:rsid w:val="00B0169F"/>
    <w:rsid w:val="00B05F21"/>
    <w:rsid w:val="00B143DD"/>
    <w:rsid w:val="00B14EA9"/>
    <w:rsid w:val="00B25C8F"/>
    <w:rsid w:val="00B30A3C"/>
    <w:rsid w:val="00B62D39"/>
    <w:rsid w:val="00B81305"/>
    <w:rsid w:val="00B813BE"/>
    <w:rsid w:val="00BB17DC"/>
    <w:rsid w:val="00BB1906"/>
    <w:rsid w:val="00BB1AF9"/>
    <w:rsid w:val="00BB4C4A"/>
    <w:rsid w:val="00BD3CAE"/>
    <w:rsid w:val="00BD5974"/>
    <w:rsid w:val="00BD5F3C"/>
    <w:rsid w:val="00BE5959"/>
    <w:rsid w:val="00C07C0F"/>
    <w:rsid w:val="00C13301"/>
    <w:rsid w:val="00C145C4"/>
    <w:rsid w:val="00C20D2F"/>
    <w:rsid w:val="00C2131B"/>
    <w:rsid w:val="00C2200B"/>
    <w:rsid w:val="00C37AF8"/>
    <w:rsid w:val="00C37C79"/>
    <w:rsid w:val="00C41BBC"/>
    <w:rsid w:val="00C41E69"/>
    <w:rsid w:val="00C46A70"/>
    <w:rsid w:val="00C51419"/>
    <w:rsid w:val="00C54056"/>
    <w:rsid w:val="00C65A60"/>
    <w:rsid w:val="00C663A3"/>
    <w:rsid w:val="00C75CB2"/>
    <w:rsid w:val="00C90723"/>
    <w:rsid w:val="00C90D5C"/>
    <w:rsid w:val="00CA436A"/>
    <w:rsid w:val="00CA609E"/>
    <w:rsid w:val="00CA7DA4"/>
    <w:rsid w:val="00CB31FB"/>
    <w:rsid w:val="00CC04FF"/>
    <w:rsid w:val="00CE3D6F"/>
    <w:rsid w:val="00CE79A5"/>
    <w:rsid w:val="00CF0042"/>
    <w:rsid w:val="00CF262F"/>
    <w:rsid w:val="00D025D5"/>
    <w:rsid w:val="00D034F0"/>
    <w:rsid w:val="00D22540"/>
    <w:rsid w:val="00D25846"/>
    <w:rsid w:val="00D26B13"/>
    <w:rsid w:val="00D26CC1"/>
    <w:rsid w:val="00D30662"/>
    <w:rsid w:val="00D32A0B"/>
    <w:rsid w:val="00D47CE9"/>
    <w:rsid w:val="00D6236B"/>
    <w:rsid w:val="00D809D1"/>
    <w:rsid w:val="00D84ECF"/>
    <w:rsid w:val="00DA0B87"/>
    <w:rsid w:val="00DA2851"/>
    <w:rsid w:val="00DA2B7C"/>
    <w:rsid w:val="00DA5686"/>
    <w:rsid w:val="00DB2FC0"/>
    <w:rsid w:val="00DC4F8C"/>
    <w:rsid w:val="00DE5AEB"/>
    <w:rsid w:val="00DF18FA"/>
    <w:rsid w:val="00DF49CA"/>
    <w:rsid w:val="00DF775B"/>
    <w:rsid w:val="00E007F3"/>
    <w:rsid w:val="00E00DEA"/>
    <w:rsid w:val="00E06EF0"/>
    <w:rsid w:val="00E11679"/>
    <w:rsid w:val="00E154CA"/>
    <w:rsid w:val="00E307D1"/>
    <w:rsid w:val="00E46A04"/>
    <w:rsid w:val="00E54AEB"/>
    <w:rsid w:val="00E667DE"/>
    <w:rsid w:val="00E717F3"/>
    <w:rsid w:val="00E72C5E"/>
    <w:rsid w:val="00E73451"/>
    <w:rsid w:val="00E7489F"/>
    <w:rsid w:val="00E75147"/>
    <w:rsid w:val="00E8167D"/>
    <w:rsid w:val="00E907E9"/>
    <w:rsid w:val="00E94EE7"/>
    <w:rsid w:val="00E96BE7"/>
    <w:rsid w:val="00EA2CD0"/>
    <w:rsid w:val="00EC0044"/>
    <w:rsid w:val="00EC6B9F"/>
    <w:rsid w:val="00EE516D"/>
    <w:rsid w:val="00EF4D1B"/>
    <w:rsid w:val="00EF7295"/>
    <w:rsid w:val="00F069D1"/>
    <w:rsid w:val="00F1503D"/>
    <w:rsid w:val="00F16EB7"/>
    <w:rsid w:val="00F22712"/>
    <w:rsid w:val="00F24909"/>
    <w:rsid w:val="00F251D6"/>
    <w:rsid w:val="00F275F5"/>
    <w:rsid w:val="00F33188"/>
    <w:rsid w:val="00F33DE6"/>
    <w:rsid w:val="00F35BDE"/>
    <w:rsid w:val="00F52A0E"/>
    <w:rsid w:val="00F622A8"/>
    <w:rsid w:val="00F650CE"/>
    <w:rsid w:val="00F667D6"/>
    <w:rsid w:val="00F71F63"/>
    <w:rsid w:val="00F762AD"/>
    <w:rsid w:val="00F823E7"/>
    <w:rsid w:val="00F87506"/>
    <w:rsid w:val="00F92C41"/>
    <w:rsid w:val="00FA5522"/>
    <w:rsid w:val="00FA6E4A"/>
    <w:rsid w:val="00FB2B35"/>
    <w:rsid w:val="00FC2BD1"/>
    <w:rsid w:val="00FC4AE1"/>
    <w:rsid w:val="00FD2A0E"/>
    <w:rsid w:val="00FD6BA6"/>
    <w:rsid w:val="00FD78A3"/>
    <w:rsid w:val="00FF6C8A"/>
    <w:rsid w:val="00FF7C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773"/>
    <w:pPr>
      <w:spacing w:line="240" w:lineRule="atLeast"/>
    </w:pPr>
    <w:rPr>
      <w:spacing w:val="4"/>
      <w:w w:val="103"/>
      <w:kern w:val="14"/>
      <w:lang w:val="ru-RU"/>
    </w:rPr>
  </w:style>
  <w:style w:type="paragraph" w:styleId="Heading1">
    <w:name w:val="heading 1"/>
    <w:aliases w:val="Table_GR,Table_G"/>
    <w:basedOn w:val="Normal"/>
    <w:next w:val="Normal"/>
    <w:qFormat/>
    <w:rsid w:val="007E71C9"/>
    <w:pPr>
      <w:keepNext/>
      <w:tabs>
        <w:tab w:val="left" w:pos="567"/>
      </w:tabs>
      <w:spacing w:line="240" w:lineRule="auto"/>
      <w:jc w:val="both"/>
      <w:outlineLvl w:val="0"/>
    </w:pPr>
    <w:rPr>
      <w:rFonts w:cs="Arial"/>
      <w:b/>
      <w:bCs/>
      <w:szCs w:val="32"/>
      <w:lang w:eastAsia="ru-RU"/>
    </w:rPr>
  </w:style>
  <w:style w:type="paragraph" w:styleId="Heading2">
    <w:name w:val="heading 2"/>
    <w:basedOn w:val="Normal"/>
    <w:next w:val="Normal"/>
    <w:qFormat/>
    <w:rsid w:val="007E71C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71C9"/>
    <w:pPr>
      <w:keepNext/>
      <w:spacing w:before="240" w:after="60"/>
      <w:outlineLvl w:val="2"/>
    </w:pPr>
    <w:rPr>
      <w:rFonts w:ascii="Arial" w:hAnsi="Arial" w:cs="Arial"/>
      <w:b/>
      <w:bCs/>
      <w:sz w:val="26"/>
      <w:szCs w:val="26"/>
    </w:rPr>
  </w:style>
  <w:style w:type="paragraph" w:styleId="Heading4">
    <w:name w:val="heading 4"/>
    <w:basedOn w:val="Normal"/>
    <w:next w:val="Normal"/>
    <w:qFormat/>
    <w:rsid w:val="007E71C9"/>
    <w:pPr>
      <w:keepNext/>
      <w:spacing w:before="240" w:after="60"/>
      <w:outlineLvl w:val="3"/>
    </w:pPr>
    <w:rPr>
      <w:b/>
      <w:bCs/>
      <w:sz w:val="28"/>
      <w:szCs w:val="28"/>
    </w:rPr>
  </w:style>
  <w:style w:type="paragraph" w:styleId="Heading5">
    <w:name w:val="heading 5"/>
    <w:basedOn w:val="Normal"/>
    <w:next w:val="Normal"/>
    <w:qFormat/>
    <w:rsid w:val="007E71C9"/>
    <w:pPr>
      <w:spacing w:before="240" w:after="60"/>
      <w:outlineLvl w:val="4"/>
    </w:pPr>
    <w:rPr>
      <w:b/>
      <w:bCs/>
      <w:i/>
      <w:iCs/>
      <w:sz w:val="26"/>
      <w:szCs w:val="26"/>
    </w:rPr>
  </w:style>
  <w:style w:type="paragraph" w:styleId="Heading6">
    <w:name w:val="heading 6"/>
    <w:basedOn w:val="Normal"/>
    <w:next w:val="Normal"/>
    <w:qFormat/>
    <w:rsid w:val="007E71C9"/>
    <w:pPr>
      <w:spacing w:before="240" w:after="60"/>
      <w:outlineLvl w:val="5"/>
    </w:pPr>
    <w:rPr>
      <w:b/>
      <w:bCs/>
      <w:sz w:val="22"/>
      <w:szCs w:val="22"/>
    </w:rPr>
  </w:style>
  <w:style w:type="paragraph" w:styleId="Heading7">
    <w:name w:val="heading 7"/>
    <w:basedOn w:val="Normal"/>
    <w:next w:val="Normal"/>
    <w:qFormat/>
    <w:rsid w:val="007E71C9"/>
    <w:pPr>
      <w:spacing w:before="240" w:after="60"/>
      <w:outlineLvl w:val="6"/>
    </w:pPr>
    <w:rPr>
      <w:sz w:val="24"/>
    </w:rPr>
  </w:style>
  <w:style w:type="paragraph" w:styleId="Heading8">
    <w:name w:val="heading 8"/>
    <w:basedOn w:val="Normal"/>
    <w:next w:val="Normal"/>
    <w:qFormat/>
    <w:rsid w:val="007E71C9"/>
    <w:pPr>
      <w:spacing w:before="240" w:after="60"/>
      <w:outlineLvl w:val="7"/>
    </w:pPr>
    <w:rPr>
      <w:i/>
      <w:iCs/>
      <w:sz w:val="24"/>
    </w:rPr>
  </w:style>
  <w:style w:type="paragraph" w:styleId="Heading9">
    <w:name w:val="heading 9"/>
    <w:basedOn w:val="Normal"/>
    <w:next w:val="Normal"/>
    <w:qFormat/>
    <w:rsid w:val="007E71C9"/>
    <w:pPr>
      <w:spacing w:before="240" w:after="60"/>
      <w:outlineLvl w:val="8"/>
    </w:pPr>
    <w:rPr>
      <w:rFonts w:ascii="Arial" w:hAnsi="Arial" w:cs="Arial"/>
      <w:sz w:val="22"/>
      <w:szCs w:val="22"/>
    </w:rPr>
  </w:style>
  <w:style w:type="character" w:default="1" w:styleId="DefaultParagraphFont">
    <w:name w:val="Default Paragraph Font"/>
    <w:semiHidden/>
    <w:rsid w:val="007E71C9"/>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rsid w:val="007E71C9"/>
  </w:style>
  <w:style w:type="paragraph" w:customStyle="1" w:styleId="SLGR">
    <w:name w:val="__S_L_GR"/>
    <w:basedOn w:val="Normal"/>
    <w:next w:val="Normal"/>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rsid w:val="00BB4C4A"/>
    <w:pPr>
      <w:numPr>
        <w:numId w:val="20"/>
      </w:numPr>
      <w:spacing w:after="120"/>
      <w:ind w:right="1134"/>
      <w:jc w:val="both"/>
    </w:pPr>
    <w:rPr>
      <w:lang w:eastAsia="ru-RU"/>
    </w:rPr>
  </w:style>
  <w:style w:type="paragraph" w:customStyle="1" w:styleId="Bullet2GR">
    <w:name w:val="_Bullet 2_GR"/>
    <w:basedOn w:val="Normal"/>
    <w:rsid w:val="00BB4C4A"/>
    <w:pPr>
      <w:numPr>
        <w:numId w:val="21"/>
      </w:numPr>
      <w:spacing w:after="120"/>
      <w:ind w:right="1134"/>
      <w:jc w:val="both"/>
    </w:pPr>
    <w:rPr>
      <w:lang w:eastAsia="ru-RU"/>
    </w:rPr>
  </w:style>
  <w:style w:type="numbering" w:styleId="111111">
    <w:name w:val="Outline List 2"/>
    <w:basedOn w:val="NoList"/>
    <w:semiHidden/>
    <w:rsid w:val="007E71C9"/>
    <w:pPr>
      <w:numPr>
        <w:numId w:val="4"/>
      </w:numPr>
    </w:pPr>
  </w:style>
  <w:style w:type="numbering" w:styleId="1ai">
    <w:name w:val="Outline List 1"/>
    <w:basedOn w:val="NoList"/>
    <w:semiHidden/>
    <w:rsid w:val="007E71C9"/>
    <w:pPr>
      <w:numPr>
        <w:numId w:val="5"/>
      </w:numPr>
    </w:pPr>
  </w:style>
  <w:style w:type="paragraph" w:styleId="HTMLAddress">
    <w:name w:val="HTML Address"/>
    <w:basedOn w:val="Normal"/>
    <w:semiHidden/>
    <w:rsid w:val="007E71C9"/>
    <w:rPr>
      <w:i/>
      <w:iCs/>
    </w:rPr>
  </w:style>
  <w:style w:type="paragraph" w:styleId="EnvelopeAddress">
    <w:name w:val="envelope address"/>
    <w:basedOn w:val="Normal"/>
    <w:semiHidden/>
    <w:rsid w:val="007E71C9"/>
    <w:pPr>
      <w:framePr w:w="7920" w:h="1980" w:hRule="exact" w:hSpace="180" w:wrap="auto" w:hAnchor="page" w:xAlign="center" w:yAlign="bottom"/>
      <w:ind w:left="2880"/>
    </w:pPr>
    <w:rPr>
      <w:rFonts w:ascii="Arial" w:hAnsi="Arial" w:cs="Arial"/>
      <w:sz w:val="24"/>
    </w:rPr>
  </w:style>
  <w:style w:type="paragraph" w:styleId="Date">
    <w:name w:val="Date"/>
    <w:basedOn w:val="Normal"/>
    <w:next w:val="Normal"/>
    <w:semiHidden/>
    <w:rsid w:val="007E71C9"/>
  </w:style>
  <w:style w:type="paragraph" w:styleId="ListBullet5">
    <w:name w:val="List Bullet 5"/>
    <w:basedOn w:val="Normal"/>
    <w:semiHidden/>
    <w:rsid w:val="007E71C9"/>
    <w:pPr>
      <w:numPr>
        <w:numId w:val="10"/>
      </w:numPr>
    </w:pPr>
  </w:style>
  <w:style w:type="table" w:styleId="TableGrid">
    <w:name w:val="Table Grid"/>
    <w:basedOn w:val="TableNormal"/>
    <w:semiHidden/>
    <w:rsid w:val="007511D7"/>
    <w:pPr>
      <w:spacing w:before="40" w:after="40" w:line="220" w:lineRule="exact"/>
    </w:pPr>
    <w:rPr>
      <w:sz w:val="18"/>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nil"/>
        </w:tcBorders>
      </w:tcPr>
    </w:tblStylePr>
  </w:style>
  <w:style w:type="table" w:styleId="TableSimple1">
    <w:name w:val="Table Simple 1"/>
    <w:basedOn w:val="TableNormal"/>
    <w:semiHidden/>
    <w:rsid w:val="007E71C9"/>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aliases w:val="6_GR,6_G"/>
    <w:basedOn w:val="Normal"/>
    <w:next w:val="Normal"/>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EndnoteReference">
    <w:name w:val="endnote reference"/>
    <w:aliases w:val="1_GR,1_G"/>
    <w:basedOn w:val="FootnoteReference"/>
    <w:rsid w:val="008120D4"/>
  </w:style>
  <w:style w:type="paragraph" w:styleId="Footer">
    <w:name w:val="footer"/>
    <w:aliases w:val="3_GR,3_G"/>
    <w:basedOn w:val="Normal"/>
    <w:rsid w:val="00E8167D"/>
    <w:pPr>
      <w:tabs>
        <w:tab w:val="right" w:pos="9639"/>
      </w:tabs>
      <w:suppressAutoHyphens/>
      <w:spacing w:line="240" w:lineRule="auto"/>
    </w:pPr>
    <w:rPr>
      <w:spacing w:val="0"/>
      <w:w w:val="100"/>
      <w:kern w:val="0"/>
      <w:sz w:val="16"/>
      <w:lang w:val="en-GB" w:eastAsia="ru-RU"/>
    </w:rPr>
  </w:style>
  <w:style w:type="character" w:styleId="PageNumber">
    <w:name w:val="page number"/>
    <w:aliases w:val="7_GR,7_G"/>
    <w:basedOn w:val="DefaultParagraphFont"/>
    <w:rsid w:val="00E72C5E"/>
    <w:rPr>
      <w:rFonts w:ascii="Times New Roman" w:hAnsi="Times New Roman"/>
      <w:b/>
      <w:sz w:val="18"/>
    </w:rPr>
  </w:style>
  <w:style w:type="paragraph" w:styleId="EndnoteText">
    <w:name w:val="endnote text"/>
    <w:aliases w:val="2_GR,2_G"/>
    <w:basedOn w:val="FootnoteText"/>
    <w:rsid w:val="00D84ECF"/>
  </w:style>
  <w:style w:type="paragraph" w:styleId="FootnoteText">
    <w:name w:val="footnote text"/>
    <w:aliases w:val="5_GR,5_G"/>
    <w:basedOn w:val="Normal"/>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Normal"/>
    <w:next w:val="Normal"/>
    <w:rsid w:val="00E72C5E"/>
    <w:pPr>
      <w:numPr>
        <w:numId w:val="23"/>
      </w:numPr>
      <w:tabs>
        <w:tab w:val="left" w:pos="567"/>
      </w:tabs>
      <w:spacing w:after="120"/>
      <w:ind w:right="1134"/>
      <w:jc w:val="both"/>
      <w:outlineLvl w:val="0"/>
    </w:pPr>
    <w:rPr>
      <w:lang w:eastAsia="ru-RU"/>
    </w:rPr>
  </w:style>
  <w:style w:type="character" w:styleId="FootnoteReference">
    <w:name w:val="footnote reference"/>
    <w:aliases w:val="4_GR,4_G"/>
    <w:basedOn w:val="DefaultParagraphFont"/>
    <w:rsid w:val="00BB17DC"/>
    <w:rPr>
      <w:rFonts w:ascii="Times New Roman" w:hAnsi="Times New Roman"/>
      <w:dstrike w:val="0"/>
      <w:sz w:val="18"/>
      <w:vertAlign w:val="superscript"/>
    </w:rPr>
  </w:style>
  <w:style w:type="character" w:styleId="HTMLAcronym">
    <w:name w:val="HTML Acronym"/>
    <w:basedOn w:val="DefaultParagraphFont"/>
    <w:semiHidden/>
    <w:rsid w:val="007E71C9"/>
  </w:style>
  <w:style w:type="table" w:styleId="TableWeb1">
    <w:name w:val="Table Web 1"/>
    <w:basedOn w:val="TableNormal"/>
    <w:semiHidden/>
    <w:rsid w:val="007E71C9"/>
    <w:pPr>
      <w:spacing w:after="120" w:line="2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E71C9"/>
    <w:pPr>
      <w:spacing w:after="120" w:line="2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TxtG">
    <w:name w:val="_ Single Txt_G"/>
    <w:basedOn w:val="Normal"/>
    <w:rsid w:val="00871D57"/>
    <w:pPr>
      <w:suppressAutoHyphens/>
      <w:spacing w:after="120"/>
      <w:ind w:left="1134" w:right="1134"/>
      <w:jc w:val="both"/>
    </w:pPr>
    <w:rPr>
      <w:spacing w:val="0"/>
      <w:w w:val="100"/>
      <w:kern w:val="0"/>
      <w:lang w:val="en-GB"/>
    </w:rPr>
  </w:style>
  <w:style w:type="character" w:styleId="Emphasis">
    <w:name w:val="Emphasis"/>
    <w:basedOn w:val="DefaultParagraphFont"/>
    <w:qFormat/>
    <w:rsid w:val="007E71C9"/>
    <w:rPr>
      <w:i/>
      <w:iCs/>
    </w:rPr>
  </w:style>
  <w:style w:type="paragraph" w:styleId="NoteHeading">
    <w:name w:val="Note Heading"/>
    <w:basedOn w:val="Normal"/>
    <w:next w:val="Normal"/>
    <w:semiHidden/>
    <w:rsid w:val="007E71C9"/>
  </w:style>
  <w:style w:type="table" w:styleId="TableElegant">
    <w:name w:val="Table Elegant"/>
    <w:basedOn w:val="TableNormal"/>
    <w:semiHidden/>
    <w:rsid w:val="007E71C9"/>
    <w:pPr>
      <w:spacing w:after="120" w:line="2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E71C9"/>
    <w:pPr>
      <w:spacing w:after="120" w:line="2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Keyboard">
    <w:name w:val="HTML Keyboard"/>
    <w:basedOn w:val="DefaultParagraphFont"/>
    <w:semiHidden/>
    <w:rsid w:val="007E71C9"/>
    <w:rPr>
      <w:rFonts w:ascii="Courier New" w:hAnsi="Courier New" w:cs="Courier New"/>
      <w:sz w:val="20"/>
      <w:szCs w:val="20"/>
    </w:rPr>
  </w:style>
  <w:style w:type="table" w:styleId="TableClassic1">
    <w:name w:val="Table Classic 1"/>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E71C9"/>
    <w:pPr>
      <w:spacing w:after="120" w:line="2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E71C9"/>
    <w:pPr>
      <w:spacing w:after="120" w:line="2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Code">
    <w:name w:val="HTML Code"/>
    <w:basedOn w:val="DefaultParagraphFont"/>
    <w:semiHidden/>
    <w:rsid w:val="007E71C9"/>
    <w:rPr>
      <w:rFonts w:ascii="Courier New" w:hAnsi="Courier New" w:cs="Courier New"/>
      <w:sz w:val="20"/>
      <w:szCs w:val="20"/>
    </w:rPr>
  </w:style>
  <w:style w:type="paragraph" w:styleId="BodyText">
    <w:name w:val="Body Text"/>
    <w:basedOn w:val="Normal"/>
    <w:semiHidden/>
    <w:rsid w:val="007E71C9"/>
  </w:style>
  <w:style w:type="paragraph" w:styleId="BodyTextFirstIndent">
    <w:name w:val="Body Text First Indent"/>
    <w:basedOn w:val="BodyText"/>
    <w:semiHidden/>
    <w:rsid w:val="007E71C9"/>
    <w:pPr>
      <w:ind w:firstLine="210"/>
    </w:pPr>
  </w:style>
  <w:style w:type="paragraph" w:styleId="BodyTextIndent">
    <w:name w:val="Body Text Indent"/>
    <w:basedOn w:val="Normal"/>
    <w:semiHidden/>
    <w:rsid w:val="007E71C9"/>
    <w:pPr>
      <w:ind w:left="283"/>
    </w:pPr>
  </w:style>
  <w:style w:type="paragraph" w:styleId="BodyTextFirstIndent2">
    <w:name w:val="Body Text First Indent 2"/>
    <w:basedOn w:val="BodyTextIndent"/>
    <w:semiHidden/>
    <w:rsid w:val="007E71C9"/>
    <w:pPr>
      <w:ind w:firstLine="210"/>
    </w:pPr>
  </w:style>
  <w:style w:type="paragraph" w:styleId="ListBullet">
    <w:name w:val="List Bullet"/>
    <w:basedOn w:val="Normal"/>
    <w:semiHidden/>
    <w:rsid w:val="007E71C9"/>
    <w:pPr>
      <w:numPr>
        <w:numId w:val="6"/>
      </w:numPr>
    </w:pPr>
  </w:style>
  <w:style w:type="paragraph" w:styleId="ListBullet2">
    <w:name w:val="List Bullet 2"/>
    <w:basedOn w:val="Normal"/>
    <w:semiHidden/>
    <w:rsid w:val="007E71C9"/>
    <w:pPr>
      <w:numPr>
        <w:numId w:val="7"/>
      </w:numPr>
    </w:pPr>
  </w:style>
  <w:style w:type="paragraph" w:styleId="ListBullet3">
    <w:name w:val="List Bullet 3"/>
    <w:basedOn w:val="Normal"/>
    <w:semiHidden/>
    <w:rsid w:val="007E71C9"/>
    <w:pPr>
      <w:numPr>
        <w:numId w:val="8"/>
      </w:numPr>
    </w:pPr>
  </w:style>
  <w:style w:type="paragraph" w:styleId="ListBullet4">
    <w:name w:val="List Bullet 4"/>
    <w:basedOn w:val="Normal"/>
    <w:semiHidden/>
    <w:rsid w:val="007E71C9"/>
    <w:pPr>
      <w:numPr>
        <w:numId w:val="9"/>
      </w:numPr>
    </w:pPr>
  </w:style>
  <w:style w:type="paragraph" w:styleId="Title">
    <w:name w:val="Title"/>
    <w:basedOn w:val="Normal"/>
    <w:qFormat/>
    <w:rsid w:val="007E71C9"/>
    <w:pPr>
      <w:spacing w:before="240" w:after="60"/>
      <w:jc w:val="center"/>
      <w:outlineLvl w:val="0"/>
    </w:pPr>
    <w:rPr>
      <w:rFonts w:ascii="Arial" w:hAnsi="Arial" w:cs="Arial"/>
      <w:b/>
      <w:bCs/>
      <w:kern w:val="28"/>
      <w:sz w:val="32"/>
      <w:szCs w:val="32"/>
    </w:rPr>
  </w:style>
  <w:style w:type="character" w:styleId="LineNumber">
    <w:name w:val="line number"/>
    <w:basedOn w:val="DefaultParagraphFont"/>
    <w:semiHidden/>
    <w:rsid w:val="007E71C9"/>
  </w:style>
  <w:style w:type="paragraph" w:styleId="ListNumber">
    <w:name w:val="List Number"/>
    <w:basedOn w:val="Normal"/>
    <w:semiHidden/>
    <w:rsid w:val="007E71C9"/>
    <w:pPr>
      <w:numPr>
        <w:numId w:val="11"/>
      </w:numPr>
    </w:pPr>
  </w:style>
  <w:style w:type="paragraph" w:styleId="ListNumber2">
    <w:name w:val="List Number 2"/>
    <w:basedOn w:val="Normal"/>
    <w:semiHidden/>
    <w:rsid w:val="007E71C9"/>
    <w:pPr>
      <w:numPr>
        <w:numId w:val="12"/>
      </w:numPr>
    </w:pPr>
  </w:style>
  <w:style w:type="paragraph" w:styleId="ListNumber3">
    <w:name w:val="List Number 3"/>
    <w:basedOn w:val="Normal"/>
    <w:semiHidden/>
    <w:rsid w:val="007E71C9"/>
    <w:pPr>
      <w:numPr>
        <w:numId w:val="13"/>
      </w:numPr>
    </w:pPr>
  </w:style>
  <w:style w:type="paragraph" w:styleId="ListNumber4">
    <w:name w:val="List Number 4"/>
    <w:basedOn w:val="Normal"/>
    <w:semiHidden/>
    <w:rsid w:val="007E71C9"/>
    <w:pPr>
      <w:numPr>
        <w:numId w:val="14"/>
      </w:numPr>
    </w:pPr>
  </w:style>
  <w:style w:type="paragraph" w:styleId="ListNumber5">
    <w:name w:val="List Number 5"/>
    <w:basedOn w:val="Normal"/>
    <w:semiHidden/>
    <w:rsid w:val="007E71C9"/>
    <w:pPr>
      <w:numPr>
        <w:numId w:val="15"/>
      </w:numPr>
    </w:pPr>
  </w:style>
  <w:style w:type="character" w:styleId="HTMLSample">
    <w:name w:val="HTML Sample"/>
    <w:basedOn w:val="DefaultParagraphFont"/>
    <w:semiHidden/>
    <w:rsid w:val="007E71C9"/>
    <w:rPr>
      <w:rFonts w:ascii="Courier New" w:hAnsi="Courier New" w:cs="Courier New"/>
    </w:rPr>
  </w:style>
  <w:style w:type="paragraph" w:styleId="EnvelopeReturn">
    <w:name w:val="envelope return"/>
    <w:basedOn w:val="Normal"/>
    <w:semiHidden/>
    <w:rsid w:val="007E71C9"/>
    <w:rPr>
      <w:rFonts w:ascii="Arial" w:hAnsi="Arial" w:cs="Arial"/>
    </w:rPr>
  </w:style>
  <w:style w:type="table" w:styleId="Table3Deffects1">
    <w:name w:val="Table 3D effects 1"/>
    <w:basedOn w:val="TableNormal"/>
    <w:semiHidden/>
    <w:rsid w:val="007E71C9"/>
    <w:pPr>
      <w:spacing w:after="120" w:line="20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E71C9"/>
    <w:pPr>
      <w:spacing w:after="120" w:line="20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semiHidden/>
    <w:rsid w:val="007E71C9"/>
    <w:rPr>
      <w:sz w:val="24"/>
    </w:rPr>
  </w:style>
  <w:style w:type="paragraph" w:styleId="NormalIndent">
    <w:name w:val="Normal Indent"/>
    <w:basedOn w:val="Normal"/>
    <w:semiHidden/>
    <w:rsid w:val="007E71C9"/>
    <w:pPr>
      <w:ind w:left="567"/>
    </w:pPr>
  </w:style>
  <w:style w:type="character" w:styleId="HTMLDefinition">
    <w:name w:val="HTML Definition"/>
    <w:basedOn w:val="DefaultParagraphFont"/>
    <w:semiHidden/>
    <w:rsid w:val="007E71C9"/>
    <w:rPr>
      <w:i/>
      <w:iCs/>
    </w:rPr>
  </w:style>
  <w:style w:type="paragraph" w:styleId="BodyText2">
    <w:name w:val="Body Text 2"/>
    <w:basedOn w:val="Normal"/>
    <w:semiHidden/>
    <w:rsid w:val="007E71C9"/>
    <w:pPr>
      <w:spacing w:line="480" w:lineRule="auto"/>
    </w:pPr>
  </w:style>
  <w:style w:type="paragraph" w:styleId="BodyText3">
    <w:name w:val="Body Text 3"/>
    <w:basedOn w:val="Normal"/>
    <w:semiHidden/>
    <w:rsid w:val="007E71C9"/>
    <w:rPr>
      <w:sz w:val="16"/>
      <w:szCs w:val="16"/>
    </w:rPr>
  </w:style>
  <w:style w:type="paragraph" w:styleId="BodyTextIndent2">
    <w:name w:val="Body Text Indent 2"/>
    <w:basedOn w:val="Normal"/>
    <w:semiHidden/>
    <w:rsid w:val="007E71C9"/>
    <w:pPr>
      <w:spacing w:line="480" w:lineRule="auto"/>
      <w:ind w:left="283"/>
    </w:pPr>
  </w:style>
  <w:style w:type="paragraph" w:styleId="BodyTextIndent3">
    <w:name w:val="Body Text Indent 3"/>
    <w:basedOn w:val="Normal"/>
    <w:semiHidden/>
    <w:rsid w:val="007E71C9"/>
    <w:pPr>
      <w:ind w:left="283"/>
    </w:pPr>
    <w:rPr>
      <w:sz w:val="16"/>
      <w:szCs w:val="16"/>
    </w:rPr>
  </w:style>
  <w:style w:type="character" w:styleId="HTMLVariable">
    <w:name w:val="HTML Variable"/>
    <w:basedOn w:val="DefaultParagraphFont"/>
    <w:semiHidden/>
    <w:rsid w:val="007E71C9"/>
    <w:rPr>
      <w:i/>
      <w:iCs/>
    </w:rPr>
  </w:style>
  <w:style w:type="character" w:styleId="HTMLTypewriter">
    <w:name w:val="HTML Typewriter"/>
    <w:basedOn w:val="DefaultParagraphFont"/>
    <w:semiHidden/>
    <w:rsid w:val="007E71C9"/>
    <w:rPr>
      <w:rFonts w:ascii="Courier New" w:hAnsi="Courier New" w:cs="Courier New"/>
      <w:sz w:val="20"/>
      <w:szCs w:val="20"/>
    </w:rPr>
  </w:style>
  <w:style w:type="paragraph" w:styleId="Subtitle">
    <w:name w:val="Subtitle"/>
    <w:basedOn w:val="Normal"/>
    <w:qFormat/>
    <w:rsid w:val="007E71C9"/>
    <w:pPr>
      <w:spacing w:after="60"/>
      <w:jc w:val="center"/>
      <w:outlineLvl w:val="1"/>
    </w:pPr>
    <w:rPr>
      <w:rFonts w:ascii="Arial" w:hAnsi="Arial" w:cs="Arial"/>
      <w:sz w:val="24"/>
    </w:rPr>
  </w:style>
  <w:style w:type="paragraph" w:styleId="Signature">
    <w:name w:val="Signature"/>
    <w:basedOn w:val="Normal"/>
    <w:semiHidden/>
    <w:rsid w:val="007E71C9"/>
    <w:pPr>
      <w:ind w:left="4252"/>
    </w:pPr>
  </w:style>
  <w:style w:type="paragraph" w:styleId="Salutation">
    <w:name w:val="Salutation"/>
    <w:basedOn w:val="Normal"/>
    <w:next w:val="Normal"/>
    <w:semiHidden/>
    <w:rsid w:val="007E71C9"/>
  </w:style>
  <w:style w:type="paragraph" w:styleId="ListContinue">
    <w:name w:val="List Continue"/>
    <w:basedOn w:val="Normal"/>
    <w:semiHidden/>
    <w:rsid w:val="007E71C9"/>
    <w:pPr>
      <w:ind w:left="283"/>
    </w:pPr>
  </w:style>
  <w:style w:type="paragraph" w:styleId="ListContinue2">
    <w:name w:val="List Continue 2"/>
    <w:basedOn w:val="Normal"/>
    <w:semiHidden/>
    <w:rsid w:val="007E71C9"/>
    <w:pPr>
      <w:ind w:left="566"/>
    </w:pPr>
  </w:style>
  <w:style w:type="paragraph" w:styleId="ListContinue3">
    <w:name w:val="List Continue 3"/>
    <w:basedOn w:val="Normal"/>
    <w:semiHidden/>
    <w:rsid w:val="007E71C9"/>
    <w:pPr>
      <w:ind w:left="849"/>
    </w:pPr>
  </w:style>
  <w:style w:type="paragraph" w:styleId="ListContinue4">
    <w:name w:val="List Continue 4"/>
    <w:basedOn w:val="Normal"/>
    <w:semiHidden/>
    <w:rsid w:val="007E71C9"/>
    <w:pPr>
      <w:ind w:left="1132"/>
    </w:pPr>
  </w:style>
  <w:style w:type="paragraph" w:styleId="ListContinue5">
    <w:name w:val="List Continue 5"/>
    <w:basedOn w:val="Normal"/>
    <w:semiHidden/>
    <w:rsid w:val="007E71C9"/>
    <w:pPr>
      <w:ind w:left="1415"/>
    </w:pPr>
  </w:style>
  <w:style w:type="character" w:styleId="FollowedHyperlink">
    <w:name w:val="FollowedHyperlink"/>
    <w:basedOn w:val="DefaultParagraphFont"/>
    <w:semiHidden/>
    <w:rsid w:val="007E71C9"/>
    <w:rPr>
      <w:color w:val="800080"/>
      <w:u w:val="single"/>
    </w:rPr>
  </w:style>
  <w:style w:type="table" w:styleId="TableSimple2">
    <w:name w:val="Table Simple 2"/>
    <w:basedOn w:val="TableNormal"/>
    <w:semiHidden/>
    <w:rsid w:val="007E71C9"/>
    <w:pPr>
      <w:spacing w:after="120" w:line="20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Closing">
    <w:name w:val="Closing"/>
    <w:basedOn w:val="Normal"/>
    <w:semiHidden/>
    <w:rsid w:val="007E71C9"/>
    <w:pPr>
      <w:ind w:left="4252"/>
    </w:pPr>
  </w:style>
  <w:style w:type="table" w:styleId="TableGrid1">
    <w:name w:val="Table Grid 1"/>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E71C9"/>
    <w:pPr>
      <w:spacing w:after="120" w:line="2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E71C9"/>
    <w:pPr>
      <w:spacing w:after="120" w:line="2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E71C9"/>
    <w:pPr>
      <w:spacing w:after="120" w:line="2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E71C9"/>
    <w:pPr>
      <w:spacing w:after="120" w:line="2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E71C9"/>
    <w:pPr>
      <w:spacing w:after="120" w:line="2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7E71C9"/>
    <w:pPr>
      <w:spacing w:after="120" w:line="2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
    <w:name w:val="List"/>
    <w:basedOn w:val="Normal"/>
    <w:semiHidden/>
    <w:rsid w:val="007E71C9"/>
    <w:pPr>
      <w:ind w:left="283" w:hanging="283"/>
    </w:pPr>
  </w:style>
  <w:style w:type="paragraph" w:styleId="List2">
    <w:name w:val="List 2"/>
    <w:basedOn w:val="Normal"/>
    <w:semiHidden/>
    <w:rsid w:val="007E71C9"/>
    <w:pPr>
      <w:ind w:left="566" w:hanging="283"/>
    </w:pPr>
  </w:style>
  <w:style w:type="paragraph" w:styleId="List3">
    <w:name w:val="List 3"/>
    <w:basedOn w:val="Normal"/>
    <w:semiHidden/>
    <w:rsid w:val="007E71C9"/>
    <w:pPr>
      <w:ind w:left="849" w:hanging="283"/>
    </w:pPr>
  </w:style>
  <w:style w:type="paragraph" w:styleId="List4">
    <w:name w:val="List 4"/>
    <w:basedOn w:val="Normal"/>
    <w:semiHidden/>
    <w:rsid w:val="007E71C9"/>
    <w:pPr>
      <w:ind w:left="1132" w:hanging="283"/>
    </w:pPr>
  </w:style>
  <w:style w:type="paragraph" w:styleId="List5">
    <w:name w:val="List 5"/>
    <w:basedOn w:val="Normal"/>
    <w:semiHidden/>
    <w:rsid w:val="007E71C9"/>
    <w:pPr>
      <w:ind w:left="1415" w:hanging="283"/>
    </w:pPr>
  </w:style>
  <w:style w:type="paragraph" w:styleId="HTMLPreformatted">
    <w:name w:val="HTML Preformatted"/>
    <w:basedOn w:val="Normal"/>
    <w:semiHidden/>
    <w:rsid w:val="007E71C9"/>
    <w:rPr>
      <w:rFonts w:ascii="Courier New" w:hAnsi="Courier New" w:cs="Courier New"/>
    </w:rPr>
  </w:style>
  <w:style w:type="numbering" w:styleId="ArticleSection">
    <w:name w:val="Outline List 3"/>
    <w:basedOn w:val="NoList"/>
    <w:semiHidden/>
    <w:rsid w:val="007E71C9"/>
    <w:pPr>
      <w:numPr>
        <w:numId w:val="16"/>
      </w:numPr>
    </w:pPr>
  </w:style>
  <w:style w:type="table" w:styleId="TableColumns1">
    <w:name w:val="Table Columns 1"/>
    <w:basedOn w:val="TableNormal"/>
    <w:semiHidden/>
    <w:rsid w:val="007E71C9"/>
    <w:pPr>
      <w:spacing w:after="120" w:line="2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E71C9"/>
    <w:pPr>
      <w:spacing w:after="120" w:line="20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E71C9"/>
    <w:pPr>
      <w:spacing w:after="120" w:line="2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E71C9"/>
    <w:pPr>
      <w:spacing w:after="120" w:line="20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E71C9"/>
    <w:pPr>
      <w:spacing w:after="120" w:line="2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Strong">
    <w:name w:val="Strong"/>
    <w:basedOn w:val="DefaultParagraphFont"/>
    <w:qFormat/>
    <w:rsid w:val="007E71C9"/>
    <w:rPr>
      <w:b/>
      <w:bCs/>
    </w:rPr>
  </w:style>
  <w:style w:type="table" w:styleId="TableList1">
    <w:name w:val="Table List 1"/>
    <w:basedOn w:val="TableNormal"/>
    <w:semiHidden/>
    <w:rsid w:val="007E71C9"/>
    <w:pPr>
      <w:spacing w:after="120" w:line="2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E71C9"/>
    <w:pPr>
      <w:spacing w:after="120" w:line="2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E71C9"/>
    <w:pPr>
      <w:spacing w:after="120" w:line="2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E71C9"/>
    <w:pPr>
      <w:spacing w:after="120" w:line="2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7E71C9"/>
    <w:pPr>
      <w:spacing w:after="120" w:line="2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semiHidden/>
    <w:rsid w:val="007E71C9"/>
    <w:pPr>
      <w:spacing w:after="120" w:line="2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E71C9"/>
    <w:pPr>
      <w:spacing w:after="120" w:line="2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E71C9"/>
    <w:pPr>
      <w:spacing w:after="120" w:line="2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BlockText">
    <w:name w:val="Block Text"/>
    <w:basedOn w:val="Normal"/>
    <w:semiHidden/>
    <w:rsid w:val="007E71C9"/>
    <w:pPr>
      <w:ind w:left="1440" w:right="1440"/>
    </w:pPr>
  </w:style>
  <w:style w:type="character" w:styleId="HTMLCite">
    <w:name w:val="HTML Cite"/>
    <w:basedOn w:val="DefaultParagraphFont"/>
    <w:semiHidden/>
    <w:rsid w:val="007E71C9"/>
    <w:rPr>
      <w:i/>
      <w:iCs/>
    </w:rPr>
  </w:style>
  <w:style w:type="paragraph" w:styleId="E-mailSignature">
    <w:name w:val="E-mail Signature"/>
    <w:basedOn w:val="Normal"/>
    <w:semiHidden/>
    <w:rsid w:val="007E71C9"/>
  </w:style>
  <w:style w:type="character" w:styleId="Hyperlink">
    <w:name w:val="Hyperlink"/>
    <w:basedOn w:val="DefaultParagraphFont"/>
    <w:semiHidden/>
    <w:rsid w:val="007E71C9"/>
    <w:rPr>
      <w:color w:val="000000"/>
      <w:u w:val="single"/>
    </w:rPr>
  </w:style>
  <w:style w:type="paragraph" w:customStyle="1" w:styleId="HMG">
    <w:name w:val="_ H __M_G"/>
    <w:basedOn w:val="Normal"/>
    <w:next w:val="Normal"/>
    <w:rsid w:val="00871D57"/>
    <w:pPr>
      <w:keepNext/>
      <w:keepLines/>
      <w:tabs>
        <w:tab w:val="right" w:pos="851"/>
      </w:tabs>
      <w:suppressAutoHyphens/>
      <w:spacing w:before="240" w:after="240" w:line="360" w:lineRule="exact"/>
      <w:ind w:left="1134" w:right="1134" w:hanging="1134"/>
    </w:pPr>
    <w:rPr>
      <w:b/>
      <w:spacing w:val="0"/>
      <w:w w:val="100"/>
      <w:kern w:val="0"/>
      <w:sz w:val="34"/>
      <w:lang w:val="en-GB"/>
    </w:rPr>
  </w:style>
  <w:style w:type="paragraph" w:customStyle="1" w:styleId="H1GR">
    <w:name w:val="_ H_1_GR"/>
    <w:basedOn w:val="Normal"/>
    <w:next w:val="Normal"/>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Normal"/>
    <w:next w:val="Normal"/>
    <w:rsid w:val="00E73451"/>
    <w:pPr>
      <w:keepNext/>
      <w:keepLines/>
      <w:tabs>
        <w:tab w:val="right" w:pos="851"/>
      </w:tabs>
      <w:suppressAutoHyphens/>
      <w:spacing w:before="240" w:after="120" w:line="240" w:lineRule="exact"/>
      <w:ind w:left="1134" w:right="1134" w:hanging="1134"/>
    </w:pPr>
    <w:rPr>
      <w:lang w:eastAsia="ru-RU"/>
    </w:rPr>
  </w:style>
  <w:style w:type="table" w:styleId="TableProfessional">
    <w:name w:val="Table Professional"/>
    <w:basedOn w:val="TableNormal"/>
    <w:semiHidden/>
    <w:rsid w:val="007E71C9"/>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Normal"/>
    <w:next w:val="Normal"/>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Normal"/>
    <w:next w:val="Normal"/>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TOAHeading">
    <w:name w:val="toa heading"/>
    <w:basedOn w:val="Normal"/>
    <w:next w:val="Normal"/>
    <w:semiHidden/>
    <w:rsid w:val="007E71C9"/>
    <w:pPr>
      <w:spacing w:before="120"/>
    </w:pPr>
    <w:rPr>
      <w:rFonts w:ascii="Arial" w:hAnsi="Arial" w:cs="Arial"/>
      <w:b/>
      <w:bCs/>
      <w:sz w:val="24"/>
    </w:rPr>
  </w:style>
  <w:style w:type="paragraph" w:customStyle="1" w:styleId="SingleTxtGR">
    <w:name w:val="_ Single Txt_GR"/>
    <w:basedOn w:val="Normal"/>
    <w:rsid w:val="00677773"/>
    <w:pPr>
      <w:tabs>
        <w:tab w:val="left" w:pos="1701"/>
        <w:tab w:val="left" w:pos="2268"/>
        <w:tab w:val="left" w:pos="2835"/>
        <w:tab w:val="left" w:pos="3402"/>
        <w:tab w:val="left" w:pos="3969"/>
      </w:tabs>
      <w:spacing w:after="120"/>
      <w:ind w:left="1134" w:right="1134"/>
      <w:jc w:val="both"/>
    </w:pPr>
  </w:style>
  <w:style w:type="paragraph" w:styleId="PlainText">
    <w:name w:val="Plain Text"/>
    <w:basedOn w:val="Normal"/>
    <w:semiHidden/>
    <w:rsid w:val="007E71C9"/>
    <w:rPr>
      <w:rFonts w:ascii="Courier New" w:hAnsi="Courier New" w:cs="Courier New"/>
    </w:rPr>
  </w:style>
  <w:style w:type="paragraph" w:styleId="MessageHeader">
    <w:name w:val="Message Header"/>
    <w:basedOn w:val="Normal"/>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CommentReference">
    <w:name w:val="annotation reference"/>
    <w:basedOn w:val="DefaultParagraphFont"/>
    <w:semiHidden/>
    <w:rsid w:val="007E71C9"/>
    <w:rPr>
      <w:sz w:val="16"/>
      <w:szCs w:val="16"/>
    </w:rPr>
  </w:style>
  <w:style w:type="paragraph" w:customStyle="1" w:styleId="HChG">
    <w:name w:val="_ H _Ch_G"/>
    <w:basedOn w:val="Normal"/>
    <w:next w:val="Normal"/>
    <w:rsid w:val="00871D57"/>
    <w:pPr>
      <w:keepNext/>
      <w:keepLines/>
      <w:tabs>
        <w:tab w:val="right" w:pos="851"/>
      </w:tabs>
      <w:suppressAutoHyphens/>
      <w:spacing w:before="360" w:after="240" w:line="300" w:lineRule="exact"/>
      <w:ind w:left="1134" w:right="1134" w:hanging="1134"/>
    </w:pPr>
    <w:rPr>
      <w:b/>
      <w:spacing w:val="0"/>
      <w:w w:val="100"/>
      <w:kern w:val="0"/>
      <w:sz w:val="28"/>
      <w:lang w:val="en-GB"/>
    </w:rPr>
  </w:style>
  <w:style w:type="table" w:customStyle="1" w:styleId="TabNum">
    <w:name w:val="_TabNum"/>
    <w:basedOn w:val="TableNormal"/>
    <w:rsid w:val="00086182"/>
    <w:pPr>
      <w:spacing w:before="40" w:after="40" w:line="220" w:lineRule="exact"/>
      <w:jc w:val="right"/>
    </w:pPr>
    <w:rPr>
      <w:sz w:val="18"/>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086182"/>
    <w:pPr>
      <w:spacing w:before="40" w:after="120" w:line="240" w:lineRule="atLeast"/>
    </w:pPr>
    <w:tblPr>
      <w:tblInd w:w="0" w:type="dxa"/>
      <w:tblBorders>
        <w:top w:val="single" w:sz="4" w:space="0" w:color="auto"/>
        <w:bottom w:val="single" w:sz="12" w:space="0" w:color="auto"/>
      </w:tblBorders>
      <w:tblCellMar>
        <w:top w:w="0" w:type="dxa"/>
        <w:left w:w="28" w:type="dxa"/>
        <w:bottom w:w="0"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customStyle="1" w:styleId="SMG">
    <w:name w:val="__S_M_G"/>
    <w:basedOn w:val="Normal"/>
    <w:next w:val="Normal"/>
    <w:rsid w:val="00871D57"/>
    <w:pPr>
      <w:keepNext/>
      <w:keepLines/>
      <w:suppressAutoHyphens/>
      <w:spacing w:before="240" w:after="240" w:line="420" w:lineRule="exact"/>
      <w:ind w:left="1134" w:right="1134"/>
    </w:pPr>
    <w:rPr>
      <w:b/>
      <w:spacing w:val="0"/>
      <w:w w:val="100"/>
      <w:kern w:val="0"/>
      <w:sz w:val="40"/>
      <w:lang w:val="en-GB"/>
    </w:rPr>
  </w:style>
  <w:style w:type="paragraph" w:customStyle="1" w:styleId="SLG">
    <w:name w:val="__S_L_G"/>
    <w:basedOn w:val="Normal"/>
    <w:next w:val="Normal"/>
    <w:rsid w:val="00871D57"/>
    <w:pPr>
      <w:keepNext/>
      <w:keepLines/>
      <w:suppressAutoHyphens/>
      <w:spacing w:before="240" w:after="240" w:line="580" w:lineRule="exact"/>
      <w:ind w:left="1134" w:right="1134"/>
    </w:pPr>
    <w:rPr>
      <w:b/>
      <w:spacing w:val="0"/>
      <w:w w:val="100"/>
      <w:kern w:val="0"/>
      <w:sz w:val="56"/>
      <w:lang w:val="en-GB"/>
    </w:rPr>
  </w:style>
  <w:style w:type="paragraph" w:customStyle="1" w:styleId="SSG">
    <w:name w:val="__S_S_G"/>
    <w:basedOn w:val="Normal"/>
    <w:next w:val="Normal"/>
    <w:rsid w:val="00871D57"/>
    <w:pPr>
      <w:keepNext/>
      <w:keepLines/>
      <w:suppressAutoHyphens/>
      <w:spacing w:before="240" w:after="240" w:line="300" w:lineRule="exact"/>
      <w:ind w:left="1134" w:right="1134"/>
    </w:pPr>
    <w:rPr>
      <w:b/>
      <w:spacing w:val="0"/>
      <w:w w:val="100"/>
      <w:kern w:val="0"/>
      <w:sz w:val="28"/>
      <w:lang w:val="en-GB"/>
    </w:rPr>
  </w:style>
  <w:style w:type="paragraph" w:customStyle="1" w:styleId="XLargeG">
    <w:name w:val="__XLarge_G"/>
    <w:basedOn w:val="Normal"/>
    <w:next w:val="Normal"/>
    <w:rsid w:val="00871D57"/>
    <w:pPr>
      <w:keepNext/>
      <w:keepLines/>
      <w:suppressAutoHyphens/>
      <w:spacing w:before="240" w:after="240" w:line="420" w:lineRule="exact"/>
      <w:ind w:left="1134" w:right="1134"/>
    </w:pPr>
    <w:rPr>
      <w:b/>
      <w:spacing w:val="0"/>
      <w:w w:val="100"/>
      <w:kern w:val="0"/>
      <w:sz w:val="40"/>
      <w:lang w:val="en-GB"/>
    </w:rPr>
  </w:style>
  <w:style w:type="paragraph" w:customStyle="1" w:styleId="Bullet1G">
    <w:name w:val="_Bullet 1_G"/>
    <w:basedOn w:val="Normal"/>
    <w:rsid w:val="00871D57"/>
    <w:pPr>
      <w:tabs>
        <w:tab w:val="num" w:pos="1701"/>
      </w:tabs>
      <w:suppressAutoHyphens/>
      <w:spacing w:after="120"/>
      <w:ind w:left="1701" w:right="1134" w:hanging="170"/>
      <w:jc w:val="both"/>
    </w:pPr>
    <w:rPr>
      <w:spacing w:val="0"/>
      <w:w w:val="100"/>
      <w:kern w:val="0"/>
      <w:lang w:val="en-GB"/>
    </w:rPr>
  </w:style>
  <w:style w:type="paragraph" w:customStyle="1" w:styleId="Bullet2G">
    <w:name w:val="_Bullet 2_G"/>
    <w:basedOn w:val="Normal"/>
    <w:rsid w:val="00871D57"/>
    <w:pPr>
      <w:tabs>
        <w:tab w:val="num" w:pos="2268"/>
      </w:tabs>
      <w:suppressAutoHyphens/>
      <w:spacing w:after="120"/>
      <w:ind w:left="2268" w:right="1134" w:hanging="170"/>
      <w:jc w:val="both"/>
    </w:pPr>
    <w:rPr>
      <w:spacing w:val="0"/>
      <w:w w:val="100"/>
      <w:kern w:val="0"/>
      <w:lang w:val="en-GB"/>
    </w:rPr>
  </w:style>
  <w:style w:type="paragraph" w:customStyle="1" w:styleId="H1G">
    <w:name w:val="_ H_1_G"/>
    <w:basedOn w:val="Normal"/>
    <w:next w:val="Normal"/>
    <w:rsid w:val="00871D57"/>
    <w:pPr>
      <w:keepNext/>
      <w:keepLines/>
      <w:tabs>
        <w:tab w:val="right" w:pos="851"/>
      </w:tabs>
      <w:suppressAutoHyphens/>
      <w:spacing w:before="360" w:after="240" w:line="270" w:lineRule="exact"/>
      <w:ind w:left="1134" w:right="1134" w:hanging="1134"/>
    </w:pPr>
    <w:rPr>
      <w:b/>
      <w:spacing w:val="0"/>
      <w:w w:val="100"/>
      <w:kern w:val="0"/>
      <w:sz w:val="24"/>
      <w:lang w:val="en-GB"/>
    </w:rPr>
  </w:style>
  <w:style w:type="paragraph" w:customStyle="1" w:styleId="H23G">
    <w:name w:val="_ H_2/3_G"/>
    <w:basedOn w:val="Normal"/>
    <w:next w:val="Normal"/>
    <w:rsid w:val="00871D57"/>
    <w:pPr>
      <w:keepNext/>
      <w:keepLines/>
      <w:tabs>
        <w:tab w:val="right" w:pos="851"/>
      </w:tabs>
      <w:suppressAutoHyphens/>
      <w:spacing w:before="240" w:after="120" w:line="240" w:lineRule="exact"/>
      <w:ind w:left="1134" w:right="1134" w:hanging="1134"/>
    </w:pPr>
    <w:rPr>
      <w:b/>
      <w:spacing w:val="0"/>
      <w:w w:val="100"/>
      <w:kern w:val="0"/>
      <w:lang w:val="en-GB"/>
    </w:rPr>
  </w:style>
  <w:style w:type="paragraph" w:customStyle="1" w:styleId="H4G">
    <w:name w:val="_ H_4_G"/>
    <w:basedOn w:val="Normal"/>
    <w:next w:val="Normal"/>
    <w:rsid w:val="00871D57"/>
    <w:pPr>
      <w:keepNext/>
      <w:keepLines/>
      <w:tabs>
        <w:tab w:val="right" w:pos="851"/>
      </w:tabs>
      <w:suppressAutoHyphens/>
      <w:spacing w:before="240" w:after="120" w:line="240" w:lineRule="exact"/>
      <w:ind w:left="1134" w:right="1134" w:hanging="1134"/>
    </w:pPr>
    <w:rPr>
      <w:i/>
      <w:spacing w:val="0"/>
      <w:w w:val="100"/>
      <w:kern w:val="0"/>
      <w:lang w:val="en-GB"/>
    </w:rPr>
  </w:style>
  <w:style w:type="paragraph" w:customStyle="1" w:styleId="H56G">
    <w:name w:val="_ H_5/6_G"/>
    <w:basedOn w:val="Normal"/>
    <w:next w:val="Normal"/>
    <w:rsid w:val="00871D57"/>
    <w:pPr>
      <w:keepNext/>
      <w:keepLines/>
      <w:tabs>
        <w:tab w:val="right" w:pos="851"/>
      </w:tabs>
      <w:suppressAutoHyphens/>
      <w:spacing w:before="240" w:after="120" w:line="240" w:lineRule="exact"/>
      <w:ind w:left="1134" w:right="1134" w:hanging="1134"/>
    </w:pPr>
    <w:rPr>
      <w:spacing w:val="0"/>
      <w:w w:val="100"/>
      <w:kern w:val="0"/>
      <w:lang w:val="en-GB"/>
    </w:rPr>
  </w:style>
  <w:style w:type="character" w:customStyle="1" w:styleId="5G">
    <w:name w:val="5_G Знак Знак"/>
    <w:locked/>
    <w:rsid w:val="00871D57"/>
    <w:rPr>
      <w:sz w:val="18"/>
      <w:lang w:eastAsia="en-US"/>
    </w:rPr>
  </w:style>
  <w:style w:type="character" w:customStyle="1" w:styleId="TableG">
    <w:name w:val="Table_G Знак Знак"/>
    <w:rsid w:val="00871D57"/>
    <w:rPr>
      <w:lang w:eastAsia="en-US"/>
    </w:rPr>
  </w:style>
  <w:style w:type="character" w:customStyle="1" w:styleId="12">
    <w:name w:val=" Знак Знак12"/>
    <w:rsid w:val="00871D57"/>
    <w:rPr>
      <w:lang w:eastAsia="en-US"/>
    </w:rPr>
  </w:style>
  <w:style w:type="character" w:customStyle="1" w:styleId="11">
    <w:name w:val=" Знак Знак11"/>
    <w:rsid w:val="00871D57"/>
    <w:rPr>
      <w:lang w:eastAsia="en-US"/>
    </w:rPr>
  </w:style>
  <w:style w:type="character" w:customStyle="1" w:styleId="10">
    <w:name w:val=" Знак Знак10"/>
    <w:rsid w:val="00871D57"/>
    <w:rPr>
      <w:lang w:eastAsia="en-US"/>
    </w:rPr>
  </w:style>
  <w:style w:type="character" w:customStyle="1" w:styleId="9">
    <w:name w:val=" Знак Знак9"/>
    <w:rsid w:val="00871D57"/>
    <w:rPr>
      <w:lang w:eastAsia="en-US"/>
    </w:rPr>
  </w:style>
  <w:style w:type="character" w:customStyle="1" w:styleId="8">
    <w:name w:val=" Знак Знак8"/>
    <w:rsid w:val="00871D57"/>
    <w:rPr>
      <w:lang w:eastAsia="en-US"/>
    </w:rPr>
  </w:style>
  <w:style w:type="character" w:customStyle="1" w:styleId="7">
    <w:name w:val=" Знак Знак7"/>
    <w:rsid w:val="00871D57"/>
    <w:rPr>
      <w:lang w:eastAsia="en-US"/>
    </w:rPr>
  </w:style>
  <w:style w:type="character" w:customStyle="1" w:styleId="6">
    <w:name w:val=" Знак Знак6"/>
    <w:rsid w:val="00871D57"/>
    <w:rPr>
      <w:lang w:eastAsia="en-US"/>
    </w:rPr>
  </w:style>
  <w:style w:type="character" w:customStyle="1" w:styleId="5">
    <w:name w:val=" Знак Знак5"/>
    <w:rsid w:val="00871D57"/>
    <w:rPr>
      <w:lang w:eastAsia="en-US"/>
    </w:rPr>
  </w:style>
  <w:style w:type="paragraph" w:customStyle="1" w:styleId="RKnormal">
    <w:name w:val="RKnormal"/>
    <w:basedOn w:val="Normal"/>
    <w:rsid w:val="00871D57"/>
    <w:pPr>
      <w:tabs>
        <w:tab w:val="left" w:pos="2835"/>
      </w:tabs>
      <w:overflowPunct w:val="0"/>
      <w:autoSpaceDE w:val="0"/>
      <w:autoSpaceDN w:val="0"/>
      <w:adjustRightInd w:val="0"/>
    </w:pPr>
    <w:rPr>
      <w:rFonts w:ascii="OrigGarmnd BT" w:hAnsi="OrigGarmnd BT"/>
      <w:spacing w:val="0"/>
      <w:w w:val="100"/>
      <w:kern w:val="0"/>
      <w:sz w:val="24"/>
      <w:lang w:val="en-GB"/>
    </w:rPr>
  </w:style>
  <w:style w:type="character" w:customStyle="1" w:styleId="4">
    <w:name w:val=" Знак Знак4"/>
    <w:rsid w:val="00871D57"/>
    <w:rPr>
      <w:rFonts w:ascii="OrigGarmnd BT" w:hAnsi="OrigGarmnd BT"/>
      <w:sz w:val="24"/>
      <w:lang w:eastAsia="en-US"/>
    </w:rPr>
  </w:style>
  <w:style w:type="paragraph" w:styleId="CommentText">
    <w:name w:val="annotation text"/>
    <w:basedOn w:val="Normal"/>
    <w:semiHidden/>
    <w:unhideWhenUsed/>
    <w:rsid w:val="00871D57"/>
    <w:pPr>
      <w:overflowPunct w:val="0"/>
      <w:autoSpaceDE w:val="0"/>
      <w:autoSpaceDN w:val="0"/>
      <w:adjustRightInd w:val="0"/>
      <w:spacing w:line="320" w:lineRule="atLeast"/>
    </w:pPr>
    <w:rPr>
      <w:rFonts w:ascii="OrigGarmnd BT" w:hAnsi="OrigGarmnd BT"/>
      <w:spacing w:val="0"/>
      <w:w w:val="100"/>
      <w:kern w:val="0"/>
      <w:lang w:val="en-GB"/>
    </w:rPr>
  </w:style>
  <w:style w:type="character" w:customStyle="1" w:styleId="3">
    <w:name w:val=" Знак Знак3"/>
    <w:rsid w:val="00871D57"/>
    <w:rPr>
      <w:rFonts w:ascii="OrigGarmnd BT" w:hAnsi="OrigGarmnd BT"/>
      <w:lang w:eastAsia="en-US"/>
    </w:rPr>
  </w:style>
  <w:style w:type="character" w:customStyle="1" w:styleId="6G">
    <w:name w:val="6_G Знак Знак"/>
    <w:rsid w:val="00871D57"/>
    <w:rPr>
      <w:b/>
      <w:sz w:val="18"/>
      <w:lang w:eastAsia="en-US"/>
    </w:rPr>
  </w:style>
  <w:style w:type="character" w:customStyle="1" w:styleId="3G">
    <w:name w:val="3_G Знак Знак"/>
    <w:rsid w:val="00871D57"/>
    <w:rPr>
      <w:sz w:val="16"/>
      <w:lang w:eastAsia="en-US"/>
    </w:rPr>
  </w:style>
  <w:style w:type="character" w:customStyle="1" w:styleId="2">
    <w:name w:val=" Знак Знак2"/>
    <w:rsid w:val="00871D57"/>
    <w:rPr>
      <w:rFonts w:ascii="OrigGarmnd BT" w:hAnsi="OrigGarmnd BT"/>
      <w:spacing w:val="-4"/>
      <w:sz w:val="22"/>
      <w:lang w:eastAsia="en-US"/>
    </w:rPr>
  </w:style>
  <w:style w:type="paragraph" w:styleId="CommentSubject">
    <w:name w:val="annotation subject"/>
    <w:basedOn w:val="CommentText"/>
    <w:next w:val="CommentText"/>
    <w:unhideWhenUsed/>
    <w:rsid w:val="00871D57"/>
    <w:rPr>
      <w:b/>
      <w:bCs/>
    </w:rPr>
  </w:style>
  <w:style w:type="character" w:customStyle="1" w:styleId="1">
    <w:name w:val=" Знак Знак1"/>
    <w:rsid w:val="00871D57"/>
    <w:rPr>
      <w:rFonts w:ascii="OrigGarmnd BT" w:hAnsi="OrigGarmnd BT"/>
      <w:b/>
      <w:bCs/>
      <w:lang w:eastAsia="en-US"/>
    </w:rPr>
  </w:style>
  <w:style w:type="paragraph" w:styleId="BalloonText">
    <w:name w:val="Balloon Text"/>
    <w:basedOn w:val="Normal"/>
    <w:unhideWhenUsed/>
    <w:rsid w:val="00871D57"/>
    <w:pPr>
      <w:overflowPunct w:val="0"/>
      <w:autoSpaceDE w:val="0"/>
      <w:autoSpaceDN w:val="0"/>
      <w:adjustRightInd w:val="0"/>
      <w:spacing w:line="240" w:lineRule="auto"/>
    </w:pPr>
    <w:rPr>
      <w:rFonts w:ascii="Tahoma" w:hAnsi="Tahoma" w:cs="Tahoma"/>
      <w:spacing w:val="0"/>
      <w:w w:val="100"/>
      <w:kern w:val="0"/>
      <w:sz w:val="16"/>
      <w:szCs w:val="16"/>
      <w:lang w:val="en-GB"/>
    </w:rPr>
  </w:style>
  <w:style w:type="character" w:customStyle="1" w:styleId="a">
    <w:name w:val=" Знак Знак"/>
    <w:rsid w:val="00871D57"/>
    <w:rPr>
      <w:rFonts w:ascii="Tahoma" w:hAnsi="Tahoma" w:cs="Tahoma"/>
      <w:sz w:val="16"/>
      <w:szCs w:val="16"/>
      <w:lang w:eastAsia="en-US"/>
    </w:rPr>
  </w:style>
  <w:style w:type="paragraph" w:styleId="Revision">
    <w:name w:val="Revision"/>
    <w:semiHidden/>
    <w:rsid w:val="00871D57"/>
    <w:rPr>
      <w:rFonts w:ascii="OrigGarmnd BT" w:hAnsi="OrigGarmnd BT"/>
      <w:sz w:val="24"/>
      <w:lang w:val="sv-SE"/>
    </w:rPr>
  </w:style>
  <w:style w:type="paragraph" w:styleId="ListParagraph">
    <w:name w:val="List Paragraph"/>
    <w:basedOn w:val="Normal"/>
    <w:qFormat/>
    <w:rsid w:val="00871D57"/>
    <w:pPr>
      <w:spacing w:after="200" w:line="276" w:lineRule="auto"/>
      <w:ind w:left="720"/>
      <w:contextualSpacing/>
    </w:pPr>
    <w:rPr>
      <w:rFonts w:ascii="Calibri" w:eastAsia="Calibri" w:hAnsi="Calibri"/>
      <w:spacing w:val="0"/>
      <w:w w:val="100"/>
      <w:kern w:val="0"/>
      <w:sz w:val="22"/>
      <w:szCs w:val="22"/>
      <w:lang w:val="en-GB"/>
    </w:rPr>
  </w:style>
  <w:style w:type="paragraph" w:customStyle="1" w:styleId="Avsndare">
    <w:name w:val="Avsändare"/>
    <w:basedOn w:val="Normal"/>
    <w:rsid w:val="00871D57"/>
    <w:pPr>
      <w:framePr w:w="4695" w:h="2483" w:hSpace="113" w:wrap="notBeside" w:vAnchor="page" w:hAnchor="page" w:x="1475" w:y="2496"/>
      <w:tabs>
        <w:tab w:val="left" w:pos="3260"/>
      </w:tabs>
      <w:overflowPunct w:val="0"/>
      <w:autoSpaceDE w:val="0"/>
      <w:autoSpaceDN w:val="0"/>
      <w:adjustRightInd w:val="0"/>
      <w:spacing w:line="260" w:lineRule="exact"/>
    </w:pPr>
    <w:rPr>
      <w:rFonts w:ascii="TradeGothic" w:hAnsi="TradeGothic"/>
      <w:i/>
      <w:spacing w:val="0"/>
      <w:w w:val="100"/>
      <w:kern w:val="0"/>
      <w:sz w:val="18"/>
      <w:lang w:val="en-GB"/>
    </w:rPr>
  </w:style>
  <w:style w:type="character" w:customStyle="1" w:styleId="RKnormalChar">
    <w:name w:val="RKnormal Char"/>
    <w:locked/>
    <w:rsid w:val="00871D57"/>
    <w:rPr>
      <w:rFonts w:ascii="OrigGarmnd BT" w:hAnsi="OrigGarmnd BT"/>
      <w:sz w:val="24"/>
      <w:lang w:eastAsia="en-US"/>
    </w:rPr>
  </w:style>
  <w:style w:type="paragraph" w:customStyle="1" w:styleId="RKrubrik">
    <w:name w:val="RKrubrik"/>
    <w:basedOn w:val="RKnormal"/>
    <w:next w:val="RKnormal"/>
    <w:rsid w:val="00871D57"/>
    <w:pPr>
      <w:keepNext/>
      <w:tabs>
        <w:tab w:val="left" w:pos="1134"/>
      </w:tabs>
      <w:spacing w:before="360" w:after="120"/>
    </w:pPr>
    <w:rPr>
      <w:rFonts w:ascii="TradeGothic" w:hAnsi="TradeGothic"/>
      <w:b/>
      <w:sz w:val="22"/>
    </w:rPr>
  </w:style>
  <w:style w:type="paragraph" w:customStyle="1" w:styleId="Rubrik3utannumrering">
    <w:name w:val="Rubrik 3 utan numrering"/>
    <w:basedOn w:val="Heading3"/>
    <w:next w:val="BodyText"/>
    <w:rsid w:val="00871D57"/>
    <w:pPr>
      <w:keepLines/>
      <w:tabs>
        <w:tab w:val="num" w:pos="567"/>
      </w:tabs>
      <w:suppressAutoHyphens/>
      <w:overflowPunct w:val="0"/>
      <w:autoSpaceDE w:val="0"/>
      <w:autoSpaceDN w:val="0"/>
      <w:adjustRightInd w:val="0"/>
      <w:spacing w:before="520" w:after="260" w:line="260" w:lineRule="exact"/>
      <w:outlineLvl w:val="9"/>
    </w:pPr>
    <w:rPr>
      <w:rFonts w:ascii="TradeGothic" w:hAnsi="TradeGothic" w:cs="Times New Roman"/>
      <w:bCs w:val="0"/>
      <w:spacing w:val="0"/>
      <w:w w:val="100"/>
      <w:kern w:val="0"/>
      <w:sz w:val="22"/>
      <w:szCs w:val="20"/>
      <w:lang w:val="en-GB"/>
    </w:rPr>
  </w:style>
  <w:style w:type="paragraph" w:customStyle="1" w:styleId="TabellRader">
    <w:name w:val="Tabell Rader"/>
    <w:basedOn w:val="Normal"/>
    <w:rsid w:val="00871D57"/>
    <w:pPr>
      <w:overflowPunct w:val="0"/>
      <w:autoSpaceDE w:val="0"/>
      <w:autoSpaceDN w:val="0"/>
      <w:adjustRightInd w:val="0"/>
      <w:spacing w:before="60" w:after="20" w:line="200" w:lineRule="exact"/>
      <w:jc w:val="right"/>
    </w:pPr>
    <w:rPr>
      <w:rFonts w:ascii="TradeGothic CondEighteen" w:hAnsi="TradeGothic CondEighteen"/>
      <w:w w:val="100"/>
      <w:kern w:val="0"/>
      <w:sz w:val="16"/>
      <w:lang w:val="en-GB"/>
    </w:rPr>
  </w:style>
  <w:style w:type="paragraph" w:customStyle="1" w:styleId="TabellRubrik">
    <w:name w:val="Tabell Rubrik"/>
    <w:basedOn w:val="Normal"/>
    <w:next w:val="BodyText"/>
    <w:rsid w:val="00871D57"/>
    <w:pPr>
      <w:shd w:val="solid" w:color="auto" w:fill="auto"/>
      <w:overflowPunct w:val="0"/>
      <w:autoSpaceDE w:val="0"/>
      <w:autoSpaceDN w:val="0"/>
      <w:adjustRightInd w:val="0"/>
      <w:spacing w:after="40" w:line="200" w:lineRule="exact"/>
    </w:pPr>
    <w:rPr>
      <w:rFonts w:ascii="TradeGothic" w:hAnsi="TradeGothic"/>
      <w:b/>
      <w:color w:val="FFFFFF"/>
      <w:spacing w:val="2"/>
      <w:w w:val="100"/>
      <w:kern w:val="0"/>
      <w:sz w:val="16"/>
      <w:lang w:val="en-GB"/>
    </w:rPr>
  </w:style>
  <w:style w:type="paragraph" w:customStyle="1" w:styleId="TabellFotnot">
    <w:name w:val="Tabell Fotnot"/>
    <w:basedOn w:val="Normal"/>
    <w:rsid w:val="00871D57"/>
    <w:pPr>
      <w:overflowPunct w:val="0"/>
      <w:autoSpaceDE w:val="0"/>
      <w:autoSpaceDN w:val="0"/>
      <w:adjustRightInd w:val="0"/>
      <w:spacing w:line="160" w:lineRule="exact"/>
    </w:pPr>
    <w:rPr>
      <w:rFonts w:ascii="TradeGothic CondEighteen" w:hAnsi="TradeGothic CondEighteen"/>
      <w:w w:val="100"/>
      <w:kern w:val="0"/>
      <w:sz w:val="14"/>
      <w:lang w:val="en-GB"/>
    </w:rPr>
  </w:style>
  <w:style w:type="paragraph" w:customStyle="1" w:styleId="TabellHuvud">
    <w:name w:val="Tabell Huvud"/>
    <w:basedOn w:val="Normal"/>
    <w:rsid w:val="00871D57"/>
    <w:pPr>
      <w:overflowPunct w:val="0"/>
      <w:autoSpaceDE w:val="0"/>
      <w:autoSpaceDN w:val="0"/>
      <w:adjustRightInd w:val="0"/>
      <w:spacing w:line="160" w:lineRule="exact"/>
      <w:jc w:val="right"/>
    </w:pPr>
    <w:rPr>
      <w:rFonts w:ascii="TradeGothic CondEighteen" w:hAnsi="TradeGothic CondEighteen"/>
      <w:w w:val="100"/>
      <w:kern w:val="0"/>
      <w:sz w:val="14"/>
      <w:lang w:val="en-GB"/>
    </w:rPr>
  </w:style>
  <w:style w:type="paragraph" w:customStyle="1" w:styleId="Rubrik4utannumrering">
    <w:name w:val="Rubrik 4 utan numrering"/>
    <w:basedOn w:val="Heading4"/>
    <w:next w:val="BodyText"/>
    <w:rsid w:val="00871D57"/>
    <w:pPr>
      <w:keepLines/>
      <w:tabs>
        <w:tab w:val="num" w:pos="567"/>
      </w:tabs>
      <w:suppressAutoHyphens/>
      <w:overflowPunct w:val="0"/>
      <w:autoSpaceDE w:val="0"/>
      <w:autoSpaceDN w:val="0"/>
      <w:adjustRightInd w:val="0"/>
      <w:spacing w:before="520" w:after="260" w:line="260" w:lineRule="exact"/>
      <w:outlineLvl w:val="9"/>
    </w:pPr>
    <w:rPr>
      <w:rFonts w:ascii="TradeGothic" w:hAnsi="TradeGothic"/>
      <w:bCs w:val="0"/>
      <w:spacing w:val="0"/>
      <w:w w:val="100"/>
      <w:kern w:val="0"/>
      <w:sz w:val="20"/>
      <w:szCs w:val="20"/>
      <w:lang w:val="en-GB"/>
    </w:rPr>
  </w:style>
  <w:style w:type="paragraph" w:customStyle="1" w:styleId="Proputanindrag">
    <w:name w:val="Prop. utan indrag"/>
    <w:basedOn w:val="Normal"/>
    <w:next w:val="Normal"/>
    <w:rsid w:val="00871D57"/>
    <w:pPr>
      <w:tabs>
        <w:tab w:val="left" w:pos="2835"/>
      </w:tabs>
      <w:overflowPunct w:val="0"/>
      <w:autoSpaceDE w:val="0"/>
      <w:autoSpaceDN w:val="0"/>
      <w:adjustRightInd w:val="0"/>
      <w:spacing w:line="240" w:lineRule="auto"/>
      <w:jc w:val="both"/>
    </w:pPr>
    <w:rPr>
      <w:spacing w:val="0"/>
      <w:w w:val="100"/>
      <w:kern w:val="0"/>
      <w:sz w:val="25"/>
      <w:lang w:val="en-GB"/>
    </w:rPr>
  </w:style>
  <w:style w:type="paragraph" w:customStyle="1" w:styleId="numrerat">
    <w:name w:val="numrerat"/>
    <w:basedOn w:val="Normal"/>
    <w:rsid w:val="00871D57"/>
    <w:pPr>
      <w:tabs>
        <w:tab w:val="num" w:pos="426"/>
      </w:tabs>
      <w:spacing w:line="240" w:lineRule="auto"/>
      <w:ind w:left="426" w:hanging="426"/>
    </w:pPr>
    <w:rPr>
      <w:spacing w:val="0"/>
      <w:w w:val="100"/>
      <w:kern w:val="0"/>
      <w:sz w:val="24"/>
      <w:lang w:val="en-GB"/>
    </w:rPr>
  </w:style>
  <w:style w:type="paragraph" w:customStyle="1" w:styleId="Default">
    <w:name w:val="Default"/>
    <w:rsid w:val="00871D57"/>
    <w:pPr>
      <w:autoSpaceDE w:val="0"/>
      <w:autoSpaceDN w:val="0"/>
      <w:adjustRightInd w:val="0"/>
    </w:pPr>
    <w:rPr>
      <w:rFonts w:ascii="CCDAM N+ T T 34 Bo 00" w:hAnsi="CCDAM N+ T T 34 Bo 00" w:cs="CCDAM N+ T T 34 Bo 00"/>
      <w:color w:val="000000"/>
      <w:sz w:val="24"/>
      <w:szCs w:val="24"/>
      <w:lang w:val="sv-SE" w:eastAsia="sv-SE"/>
    </w:rPr>
  </w:style>
  <w:style w:type="character" w:customStyle="1" w:styleId="normalblacktext1">
    <w:name w:val="normalblacktext1"/>
    <w:rsid w:val="00871D57"/>
    <w:rPr>
      <w:rFonts w:ascii="Verdana" w:hAnsi="Verdana" w:hint="default"/>
      <w:color w:val="000000"/>
      <w:sz w:val="18"/>
      <w:szCs w:val="18"/>
    </w:rPr>
  </w:style>
  <w:style w:type="character" w:customStyle="1" w:styleId="bwfv">
    <w:name w:val="bwfv"/>
    <w:rsid w:val="00871D57"/>
  </w:style>
  <w:style w:type="character" w:customStyle="1" w:styleId="normal2">
    <w:name w:val="normal2"/>
    <w:rsid w:val="00871D57"/>
    <w:rPr>
      <w:rFonts w:ascii="Verdana" w:hAnsi="Verdana" w:hint="default"/>
      <w:b w:val="0"/>
      <w:bCs w:val="0"/>
      <w:i w:val="0"/>
      <w:iCs w:val="0"/>
      <w:strike w:val="0"/>
      <w:dstrike w:val="0"/>
      <w:color w:val="343434"/>
      <w:sz w:val="24"/>
      <w:szCs w:val="24"/>
      <w:u w:val="none"/>
      <w:effect w:val="none"/>
    </w:rPr>
  </w:style>
  <w:style w:type="character" w:customStyle="1" w:styleId="tw4winMark">
    <w:name w:val="tw4winMark"/>
    <w:rsid w:val="00871D57"/>
    <w:rPr>
      <w:rFonts w:ascii="Courier New" w:hAnsi="Courier New" w:cs="Courier New" w:hint="default"/>
      <w:vanish/>
      <w:webHidden w:val="0"/>
      <w:color w:val="800080"/>
      <w:vertAlign w:val="subscript"/>
      <w:specVanish w:val="0"/>
    </w:rPr>
  </w:style>
  <w:style w:type="character" w:customStyle="1" w:styleId="HChGChar">
    <w:name w:val="_ H _Ch_G Char"/>
    <w:rsid w:val="00871D57"/>
    <w:rPr>
      <w:b/>
      <w:sz w:val="28"/>
      <w:lang w:val="en-GB"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mer.se"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FORMATNY\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Template>
  <TotalTime>0</TotalTime>
  <Pages>43</Pages>
  <Words>18384</Words>
  <Characters>104792</Characters>
  <Application>Microsoft Office Outlook</Application>
  <DocSecurity>4</DocSecurity>
  <Lines>873</Lines>
  <Paragraphs>245</Paragraphs>
  <ScaleCrop>false</ScaleCrop>
  <HeadingPairs>
    <vt:vector size="2" baseType="variant">
      <vt:variant>
        <vt:lpstr>Название</vt:lpstr>
      </vt:variant>
      <vt:variant>
        <vt:i4>1</vt:i4>
      </vt:variant>
    </vt:vector>
  </HeadingPairs>
  <TitlesOfParts>
    <vt:vector size="1" baseType="lpstr">
      <vt:lpstr>1247250</vt:lpstr>
    </vt:vector>
  </TitlesOfParts>
  <Company>CSD</Company>
  <LinksUpToDate>false</LinksUpToDate>
  <CharactersWithSpaces>122931</CharactersWithSpaces>
  <SharedDoc>false</SharedDoc>
  <HLinks>
    <vt:vector size="6" baseType="variant">
      <vt:variant>
        <vt:i4>1769503</vt:i4>
      </vt:variant>
      <vt:variant>
        <vt:i4>10</vt:i4>
      </vt:variant>
      <vt:variant>
        <vt:i4>0</vt:i4>
      </vt:variant>
      <vt:variant>
        <vt:i4>5</vt:i4>
      </vt:variant>
      <vt:variant>
        <vt:lpwstr>http://www.samer.se/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1247250</dc:title>
  <dc:subject/>
  <dc:creator>Chvets</dc:creator>
  <cp:keywords/>
  <dc:description/>
  <cp:lastModifiedBy>Chvets</cp:lastModifiedBy>
  <cp:revision>2</cp:revision>
  <cp:lastPrinted>2013-04-15T08:33:00Z</cp:lastPrinted>
  <dcterms:created xsi:type="dcterms:W3CDTF">2013-04-15T13:05:00Z</dcterms:created>
  <dcterms:modified xsi:type="dcterms:W3CDTF">2013-04-15T13:05:00Z</dcterms:modified>
</cp:coreProperties>
</file>