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8B7E35" w:rsidP="008B7E35">
            <w:pPr>
              <w:jc w:val="right"/>
            </w:pPr>
            <w:r w:rsidRPr="008B7E35">
              <w:rPr>
                <w:sz w:val="40"/>
              </w:rPr>
              <w:t>CERD</w:t>
            </w:r>
            <w:r>
              <w:t>/C/MNE/CO/2-3</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646DFA">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8B7E35" w:rsidRDefault="008B7E35" w:rsidP="00593658">
            <w:pPr>
              <w:spacing w:before="240"/>
            </w:pPr>
            <w:r>
              <w:t>Distr. générale</w:t>
            </w:r>
          </w:p>
          <w:p w:rsidR="008B7E35" w:rsidRDefault="008B7E35" w:rsidP="008B7E35">
            <w:pPr>
              <w:spacing w:line="240" w:lineRule="exact"/>
            </w:pPr>
            <w:r>
              <w:t>13 mars 2014</w:t>
            </w:r>
          </w:p>
          <w:p w:rsidR="008B7E35" w:rsidRDefault="008B7E35" w:rsidP="008B7E35">
            <w:pPr>
              <w:spacing w:line="240" w:lineRule="exact"/>
            </w:pPr>
            <w:r>
              <w:t>Français</w:t>
            </w:r>
          </w:p>
          <w:p w:rsidR="002E0D40" w:rsidRPr="00DB58B5" w:rsidRDefault="008B7E35" w:rsidP="008B7E35">
            <w:pPr>
              <w:spacing w:line="240" w:lineRule="exact"/>
            </w:pPr>
            <w:r>
              <w:t>Original: anglais</w:t>
            </w:r>
          </w:p>
        </w:tc>
      </w:tr>
    </w:tbl>
    <w:p w:rsidR="00FF1DBD" w:rsidRDefault="0078670C" w:rsidP="008B7E35">
      <w:pPr>
        <w:spacing w:before="120"/>
        <w:rPr>
          <w:b/>
          <w:sz w:val="24"/>
          <w:szCs w:val="24"/>
        </w:rPr>
      </w:pPr>
      <w:r w:rsidRPr="00C56102">
        <w:rPr>
          <w:b/>
          <w:sz w:val="24"/>
          <w:szCs w:val="24"/>
        </w:rPr>
        <w:t>Comité pour l</w:t>
      </w:r>
      <w:r w:rsidR="00646DFA">
        <w:rPr>
          <w:b/>
          <w:sz w:val="24"/>
          <w:szCs w:val="24"/>
        </w:rPr>
        <w:t>’</w:t>
      </w:r>
      <w:r w:rsidRPr="00C56102">
        <w:rPr>
          <w:b/>
          <w:sz w:val="24"/>
          <w:szCs w:val="24"/>
        </w:rPr>
        <w:t>éliminati</w:t>
      </w:r>
      <w:r w:rsidR="008B7E35">
        <w:rPr>
          <w:b/>
          <w:sz w:val="24"/>
          <w:szCs w:val="24"/>
        </w:rPr>
        <w:t>on de la discrimination raciale</w:t>
      </w:r>
    </w:p>
    <w:p w:rsidR="00053626" w:rsidRDefault="00053626" w:rsidP="00053626">
      <w:pPr>
        <w:pStyle w:val="HChG"/>
        <w:rPr>
          <w:lang w:val="fr-FR"/>
        </w:rPr>
      </w:pPr>
      <w:r w:rsidRPr="00870546">
        <w:rPr>
          <w:lang w:val="fr-FR"/>
        </w:rPr>
        <w:tab/>
      </w:r>
      <w:r w:rsidRPr="00870546">
        <w:rPr>
          <w:lang w:val="fr-FR"/>
        </w:rPr>
        <w:tab/>
      </w:r>
      <w:r>
        <w:rPr>
          <w:lang w:val="fr-FR"/>
        </w:rPr>
        <w:t>Observations finales concernant</w:t>
      </w:r>
      <w:r w:rsidRPr="00870546">
        <w:rPr>
          <w:lang w:val="fr-FR"/>
        </w:rPr>
        <w:t xml:space="preserve"> </w:t>
      </w:r>
      <w:r>
        <w:rPr>
          <w:lang w:val="fr-FR"/>
        </w:rPr>
        <w:t>les deuxième et troisième rapports du Monténégro soumis en un seul document</w:t>
      </w:r>
      <w:r w:rsidRPr="0047348A">
        <w:rPr>
          <w:b w:val="0"/>
          <w:sz w:val="20"/>
          <w:lang w:val="fr-FR"/>
        </w:rPr>
        <w:footnoteReference w:customMarkFollows="1" w:id="2"/>
        <w:t>*</w:t>
      </w:r>
    </w:p>
    <w:p w:rsidR="00053626" w:rsidRPr="00F54016" w:rsidRDefault="00053626" w:rsidP="00646DFA">
      <w:pPr>
        <w:pStyle w:val="ParNoG"/>
        <w:tabs>
          <w:tab w:val="clear" w:pos="1701"/>
        </w:tabs>
        <w:rPr>
          <w:lang w:val="fr-FR"/>
        </w:rPr>
      </w:pPr>
      <w:r w:rsidRPr="001E46ED">
        <w:rPr>
          <w:lang w:val="fr-FR"/>
        </w:rPr>
        <w:t xml:space="preserve">Le Comité a examiné les </w:t>
      </w:r>
      <w:r w:rsidRPr="00F54016">
        <w:rPr>
          <w:lang w:val="fr-FR"/>
        </w:rPr>
        <w:t>deuxième et troisième rapports du Monténégro</w:t>
      </w:r>
      <w:r w:rsidRPr="001E46ED">
        <w:rPr>
          <w:lang w:val="fr-FR"/>
        </w:rPr>
        <w:t>, soumis en un seul document (CERD/C/</w:t>
      </w:r>
      <w:r w:rsidRPr="00F54016">
        <w:rPr>
          <w:lang w:val="fr-FR"/>
        </w:rPr>
        <w:t>MNE/2-3</w:t>
      </w:r>
      <w:r w:rsidRPr="001E46ED">
        <w:rPr>
          <w:lang w:val="fr-FR"/>
        </w:rPr>
        <w:t xml:space="preserve">), à ses </w:t>
      </w:r>
      <w:r w:rsidRPr="00F54016">
        <w:rPr>
          <w:lang w:val="fr-FR"/>
        </w:rPr>
        <w:t>2269</w:t>
      </w:r>
      <w:r w:rsidRPr="00F54016">
        <w:rPr>
          <w:vertAlign w:val="superscript"/>
          <w:lang w:val="fr-FR"/>
        </w:rPr>
        <w:t>e</w:t>
      </w:r>
      <w:r w:rsidRPr="00F54016">
        <w:rPr>
          <w:lang w:val="fr-FR"/>
        </w:rPr>
        <w:t xml:space="preserve"> et 2270</w:t>
      </w:r>
      <w:r w:rsidRPr="00F54016">
        <w:rPr>
          <w:vertAlign w:val="superscript"/>
          <w:lang w:val="fr-FR"/>
        </w:rPr>
        <w:t>e</w:t>
      </w:r>
      <w:r w:rsidRPr="001E46ED">
        <w:rPr>
          <w:lang w:val="fr-FR"/>
        </w:rPr>
        <w:t xml:space="preserve"> séances (CERD/C</w:t>
      </w:r>
      <w:r w:rsidRPr="00F54016">
        <w:rPr>
          <w:lang w:val="fr-FR"/>
        </w:rPr>
        <w:t>/SR.2269 et</w:t>
      </w:r>
      <w:r w:rsidR="00A244EF">
        <w:rPr>
          <w:lang w:val="fr-FR"/>
        </w:rPr>
        <w:t> </w:t>
      </w:r>
      <w:r w:rsidRPr="00F54016">
        <w:rPr>
          <w:lang w:val="fr-FR"/>
        </w:rPr>
        <w:t>2270</w:t>
      </w:r>
      <w:r w:rsidRPr="001E46ED">
        <w:rPr>
          <w:lang w:val="fr-FR"/>
        </w:rPr>
        <w:t xml:space="preserve">), les </w:t>
      </w:r>
      <w:r w:rsidRPr="00F54016">
        <w:rPr>
          <w:lang w:val="fr-FR"/>
        </w:rPr>
        <w:t>5 et 6</w:t>
      </w:r>
      <w:r>
        <w:rPr>
          <w:lang w:val="fr-FR"/>
        </w:rPr>
        <w:t> </w:t>
      </w:r>
      <w:r w:rsidRPr="00F54016">
        <w:rPr>
          <w:lang w:val="fr-FR"/>
        </w:rPr>
        <w:t>février 2014.</w:t>
      </w:r>
      <w:r w:rsidRPr="001E46ED">
        <w:rPr>
          <w:lang w:val="fr-FR"/>
        </w:rPr>
        <w:t xml:space="preserve"> À ses </w:t>
      </w:r>
      <w:r w:rsidRPr="00F54016">
        <w:rPr>
          <w:lang w:val="fr-FR"/>
        </w:rPr>
        <w:t>2285</w:t>
      </w:r>
      <w:r w:rsidRPr="00F54016">
        <w:rPr>
          <w:vertAlign w:val="superscript"/>
          <w:lang w:val="fr-FR"/>
        </w:rPr>
        <w:t>e</w:t>
      </w:r>
      <w:r w:rsidRPr="00F54016">
        <w:rPr>
          <w:lang w:val="fr-FR"/>
        </w:rPr>
        <w:t xml:space="preserve"> et 2286</w:t>
      </w:r>
      <w:r w:rsidRPr="00F54016">
        <w:rPr>
          <w:vertAlign w:val="superscript"/>
          <w:lang w:val="fr-FR"/>
        </w:rPr>
        <w:t>e</w:t>
      </w:r>
      <w:r w:rsidRPr="00F54016">
        <w:rPr>
          <w:lang w:val="fr-FR"/>
        </w:rPr>
        <w:t xml:space="preserve"> séances</w:t>
      </w:r>
      <w:r w:rsidRPr="001E46ED">
        <w:rPr>
          <w:lang w:val="fr-FR"/>
        </w:rPr>
        <w:t xml:space="preserve"> (CERD/C/</w:t>
      </w:r>
      <w:r w:rsidRPr="00F54016">
        <w:rPr>
          <w:lang w:val="fr-FR"/>
        </w:rPr>
        <w:t>SR.2285 et 2286)</w:t>
      </w:r>
      <w:r w:rsidRPr="001E46ED">
        <w:rPr>
          <w:lang w:val="fr-FR"/>
        </w:rPr>
        <w:t>, les</w:t>
      </w:r>
      <w:r>
        <w:rPr>
          <w:lang w:val="fr-FR"/>
        </w:rPr>
        <w:t> </w:t>
      </w:r>
      <w:r w:rsidRPr="00F54016">
        <w:rPr>
          <w:lang w:val="fr-FR"/>
        </w:rPr>
        <w:t>17 et 18</w:t>
      </w:r>
      <w:r>
        <w:rPr>
          <w:lang w:val="fr-FR"/>
        </w:rPr>
        <w:t> </w:t>
      </w:r>
      <w:r w:rsidRPr="00F54016">
        <w:rPr>
          <w:lang w:val="fr-FR"/>
        </w:rPr>
        <w:t>février 2014</w:t>
      </w:r>
      <w:r w:rsidRPr="001E46ED">
        <w:rPr>
          <w:lang w:val="fr-FR"/>
        </w:rPr>
        <w:t xml:space="preserve">, </w:t>
      </w:r>
      <w:r w:rsidRPr="001E46ED">
        <w:rPr>
          <w:szCs w:val="24"/>
        </w:rPr>
        <w:t>il a adopté les observations finales ci-après</w:t>
      </w:r>
      <w:r>
        <w:rPr>
          <w:lang w:val="fr-FR"/>
        </w:rPr>
        <w:t>.</w:t>
      </w:r>
    </w:p>
    <w:p w:rsidR="00053626" w:rsidRDefault="00053626" w:rsidP="00053626">
      <w:pPr>
        <w:pStyle w:val="H1G"/>
        <w:rPr>
          <w:lang w:val="fr-FR"/>
        </w:rPr>
      </w:pPr>
      <w:r w:rsidRPr="00870546">
        <w:rPr>
          <w:lang w:val="fr-FR"/>
        </w:rPr>
        <w:tab/>
        <w:t>A.</w:t>
      </w:r>
      <w:r w:rsidRPr="00870546">
        <w:rPr>
          <w:lang w:val="fr-FR"/>
        </w:rPr>
        <w:tab/>
        <w:t>Introduction</w:t>
      </w:r>
    </w:p>
    <w:p w:rsidR="00053626" w:rsidRPr="00053626" w:rsidRDefault="00053626" w:rsidP="00053626">
      <w:pPr>
        <w:pStyle w:val="ParNoG"/>
        <w:rPr>
          <w:lang w:val="fr-FR"/>
        </w:rPr>
      </w:pPr>
      <w:r>
        <w:rPr>
          <w:lang w:val="fr-FR"/>
        </w:rPr>
        <w:t>Le Comité accueille avec satisfaction les deuxième et troisième rapports de l</w:t>
      </w:r>
      <w:r w:rsidR="00646DFA">
        <w:rPr>
          <w:lang w:val="fr-FR"/>
        </w:rPr>
        <w:t>’</w:t>
      </w:r>
      <w:r>
        <w:rPr>
          <w:lang w:val="fr-FR"/>
        </w:rPr>
        <w:t>État partie soumis en un seul document, qui ont été établis conformément à ses directives pour l</w:t>
      </w:r>
      <w:r w:rsidR="00646DFA">
        <w:rPr>
          <w:lang w:val="fr-FR"/>
        </w:rPr>
        <w:t>’</w:t>
      </w:r>
      <w:r>
        <w:rPr>
          <w:lang w:val="fr-FR"/>
        </w:rPr>
        <w:t>établissement des rapports. Il remercie l</w:t>
      </w:r>
      <w:r w:rsidR="00646DFA">
        <w:rPr>
          <w:lang w:val="fr-FR"/>
        </w:rPr>
        <w:t>’</w:t>
      </w:r>
      <w:r>
        <w:rPr>
          <w:lang w:val="fr-FR"/>
        </w:rPr>
        <w:t>importante délégation multisectorielle de haut niveau de l</w:t>
      </w:r>
      <w:r w:rsidR="00646DFA">
        <w:rPr>
          <w:lang w:val="fr-FR"/>
        </w:rPr>
        <w:t>’</w:t>
      </w:r>
      <w:r>
        <w:rPr>
          <w:lang w:val="fr-FR"/>
        </w:rPr>
        <w:t>État partie, composée de représentants des deux sexes,</w:t>
      </w:r>
      <w:r w:rsidRPr="00870546">
        <w:rPr>
          <w:lang w:val="fr-FR"/>
        </w:rPr>
        <w:t xml:space="preserve"> </w:t>
      </w:r>
      <w:r>
        <w:rPr>
          <w:lang w:val="fr-FR"/>
        </w:rPr>
        <w:t>pour sa présentation orale et pour les réponses qu</w:t>
      </w:r>
      <w:r w:rsidR="00646DFA">
        <w:rPr>
          <w:lang w:val="fr-FR"/>
        </w:rPr>
        <w:t>’</w:t>
      </w:r>
      <w:r>
        <w:rPr>
          <w:lang w:val="fr-FR"/>
        </w:rPr>
        <w:t>elle a apportées à ses questions et observations.</w:t>
      </w:r>
    </w:p>
    <w:p w:rsidR="00053626" w:rsidRDefault="00053626" w:rsidP="00053626">
      <w:pPr>
        <w:pStyle w:val="H1G"/>
        <w:rPr>
          <w:lang w:val="fr-FR"/>
        </w:rPr>
      </w:pPr>
      <w:r w:rsidRPr="00870546">
        <w:rPr>
          <w:lang w:val="fr-FR"/>
        </w:rPr>
        <w:tab/>
        <w:t>B.</w:t>
      </w:r>
      <w:r w:rsidRPr="00870546">
        <w:rPr>
          <w:lang w:val="fr-FR"/>
        </w:rPr>
        <w:tab/>
      </w:r>
      <w:r>
        <w:rPr>
          <w:lang w:val="fr-FR"/>
        </w:rPr>
        <w:t>Aspects positifs</w:t>
      </w:r>
    </w:p>
    <w:p w:rsidR="00053626" w:rsidRPr="00053626" w:rsidRDefault="00053626" w:rsidP="00053626">
      <w:pPr>
        <w:pStyle w:val="ParNoG"/>
        <w:keepNext/>
        <w:rPr>
          <w:lang w:val="fr-FR"/>
        </w:rPr>
      </w:pPr>
      <w:r w:rsidRPr="004B2D93">
        <w:rPr>
          <w:bCs/>
          <w:lang w:val="fr-FR"/>
        </w:rPr>
        <w:t>Le Comité p</w:t>
      </w:r>
      <w:r>
        <w:rPr>
          <w:bCs/>
          <w:lang w:val="fr-FR"/>
        </w:rPr>
        <w:t>rend note avec intérêt de plusieurs mesures d</w:t>
      </w:r>
      <w:r w:rsidR="00646DFA">
        <w:rPr>
          <w:bCs/>
          <w:lang w:val="fr-FR"/>
        </w:rPr>
        <w:t>’</w:t>
      </w:r>
      <w:r>
        <w:rPr>
          <w:bCs/>
          <w:lang w:val="fr-FR"/>
        </w:rPr>
        <w:t>ordre législatif et politique prises par l</w:t>
      </w:r>
      <w:r w:rsidR="00646DFA">
        <w:rPr>
          <w:bCs/>
          <w:lang w:val="fr-FR"/>
        </w:rPr>
        <w:t>’</w:t>
      </w:r>
      <w:r>
        <w:rPr>
          <w:bCs/>
          <w:lang w:val="fr-FR"/>
        </w:rPr>
        <w:t>État partie afin d</w:t>
      </w:r>
      <w:r w:rsidR="00646DFA">
        <w:rPr>
          <w:bCs/>
          <w:lang w:val="fr-FR"/>
        </w:rPr>
        <w:t>’</w:t>
      </w:r>
      <w:r>
        <w:rPr>
          <w:bCs/>
          <w:lang w:val="fr-FR"/>
        </w:rPr>
        <w:t>éliminer la discrimination raciale, dont:</w:t>
      </w:r>
    </w:p>
    <w:p w:rsidR="00053626" w:rsidRPr="00053626" w:rsidRDefault="00053626" w:rsidP="00053626">
      <w:pPr>
        <w:pStyle w:val="SingleTxtG"/>
        <w:ind w:firstLine="567"/>
        <w:rPr>
          <w:spacing w:val="-5"/>
          <w:lang w:val="fr-FR"/>
        </w:rPr>
      </w:pPr>
      <w:r w:rsidRPr="00053626">
        <w:rPr>
          <w:spacing w:val="-5"/>
          <w:lang w:val="fr-FR"/>
        </w:rPr>
        <w:t>a)</w:t>
      </w:r>
      <w:r w:rsidRPr="00053626">
        <w:rPr>
          <w:spacing w:val="-5"/>
          <w:lang w:val="fr-FR"/>
        </w:rPr>
        <w:tab/>
        <w:t>L</w:t>
      </w:r>
      <w:r w:rsidR="00646DFA">
        <w:rPr>
          <w:spacing w:val="-5"/>
          <w:lang w:val="fr-FR"/>
        </w:rPr>
        <w:t>’</w:t>
      </w:r>
      <w:r w:rsidRPr="00053626">
        <w:rPr>
          <w:spacing w:val="-5"/>
          <w:lang w:val="fr-FR"/>
        </w:rPr>
        <w:t>adoption de la loi relative à l</w:t>
      </w:r>
      <w:r w:rsidR="00646DFA">
        <w:rPr>
          <w:spacing w:val="-5"/>
          <w:lang w:val="fr-FR"/>
        </w:rPr>
        <w:t>’</w:t>
      </w:r>
      <w:r w:rsidRPr="00053626">
        <w:rPr>
          <w:spacing w:val="-5"/>
          <w:lang w:val="fr-FR"/>
        </w:rPr>
        <w:t>interdiction de la discrimination, le 27 juillet 2010;</w:t>
      </w:r>
    </w:p>
    <w:p w:rsidR="00053626" w:rsidRPr="00870546" w:rsidRDefault="00053626" w:rsidP="00053626">
      <w:pPr>
        <w:pStyle w:val="SingleTxtG"/>
        <w:ind w:firstLine="567"/>
        <w:rPr>
          <w:lang w:val="fr-FR"/>
        </w:rPr>
      </w:pPr>
      <w:r>
        <w:rPr>
          <w:lang w:val="fr-FR"/>
        </w:rPr>
        <w:t>b)</w:t>
      </w:r>
      <w:r>
        <w:rPr>
          <w:lang w:val="fr-FR"/>
        </w:rPr>
        <w:tab/>
        <w:t>L</w:t>
      </w:r>
      <w:r w:rsidR="00646DFA">
        <w:rPr>
          <w:lang w:val="fr-FR"/>
        </w:rPr>
        <w:t>’</w:t>
      </w:r>
      <w:r>
        <w:rPr>
          <w:lang w:val="fr-FR"/>
        </w:rPr>
        <w:t>a</w:t>
      </w:r>
      <w:r w:rsidRPr="00870546">
        <w:rPr>
          <w:lang w:val="fr-FR"/>
        </w:rPr>
        <w:t xml:space="preserve">doption </w:t>
      </w:r>
      <w:r>
        <w:rPr>
          <w:lang w:val="fr-FR"/>
        </w:rPr>
        <w:t xml:space="preserve">de la </w:t>
      </w:r>
      <w:r w:rsidRPr="001E46ED">
        <w:rPr>
          <w:lang w:val="fr-FR"/>
        </w:rPr>
        <w:t>loi relative à l</w:t>
      </w:r>
      <w:r w:rsidR="00646DFA">
        <w:rPr>
          <w:lang w:val="fr-FR"/>
        </w:rPr>
        <w:t>’</w:t>
      </w:r>
      <w:r w:rsidRPr="001E46ED">
        <w:rPr>
          <w:lang w:val="fr-FR"/>
        </w:rPr>
        <w:t>aide juridictionnelle gratuite</w:t>
      </w:r>
      <w:r>
        <w:rPr>
          <w:lang w:val="fr-FR"/>
        </w:rPr>
        <w:t>, le 6 avril 2011</w:t>
      </w:r>
      <w:r w:rsidRPr="00870546">
        <w:rPr>
          <w:lang w:val="fr-FR"/>
        </w:rPr>
        <w:t>;</w:t>
      </w:r>
    </w:p>
    <w:p w:rsidR="00053626" w:rsidRPr="00870546" w:rsidRDefault="00053626" w:rsidP="00053626">
      <w:pPr>
        <w:pStyle w:val="SingleTxtG"/>
        <w:ind w:firstLine="567"/>
        <w:rPr>
          <w:lang w:val="fr-FR"/>
        </w:rPr>
      </w:pPr>
      <w:r>
        <w:rPr>
          <w:lang w:val="fr-FR"/>
        </w:rPr>
        <w:t>c)</w:t>
      </w:r>
      <w:r>
        <w:rPr>
          <w:lang w:val="fr-FR"/>
        </w:rPr>
        <w:tab/>
        <w:t>L</w:t>
      </w:r>
      <w:r w:rsidR="00646DFA">
        <w:rPr>
          <w:lang w:val="fr-FR"/>
        </w:rPr>
        <w:t>’</w:t>
      </w:r>
      <w:r>
        <w:rPr>
          <w:lang w:val="fr-FR"/>
        </w:rPr>
        <w:t>a</w:t>
      </w:r>
      <w:r w:rsidRPr="00870546">
        <w:rPr>
          <w:lang w:val="fr-FR"/>
        </w:rPr>
        <w:t xml:space="preserve">doption </w:t>
      </w:r>
      <w:r>
        <w:rPr>
          <w:lang w:val="fr-FR"/>
        </w:rPr>
        <w:t xml:space="preserve">de la loi </w:t>
      </w:r>
      <w:r w:rsidRPr="001E46ED">
        <w:rPr>
          <w:lang w:val="fr-FR"/>
        </w:rPr>
        <w:t>relative au Protecteur des droits de l</w:t>
      </w:r>
      <w:r w:rsidR="00646DFA">
        <w:rPr>
          <w:lang w:val="fr-FR"/>
        </w:rPr>
        <w:t>’</w:t>
      </w:r>
      <w:r w:rsidRPr="001E46ED">
        <w:rPr>
          <w:lang w:val="fr-FR"/>
        </w:rPr>
        <w:t>homme et des libertés</w:t>
      </w:r>
      <w:r>
        <w:rPr>
          <w:lang w:val="fr-FR"/>
        </w:rPr>
        <w:t>, le 29 juillet 2011;</w:t>
      </w:r>
    </w:p>
    <w:p w:rsidR="00053626" w:rsidRPr="00870546" w:rsidRDefault="00053626" w:rsidP="00222750">
      <w:pPr>
        <w:pStyle w:val="SingleTxtG"/>
        <w:ind w:firstLine="567"/>
        <w:rPr>
          <w:lang w:val="fr-FR"/>
        </w:rPr>
      </w:pPr>
      <w:r>
        <w:rPr>
          <w:lang w:val="fr-FR"/>
        </w:rPr>
        <w:t>d)</w:t>
      </w:r>
      <w:r>
        <w:rPr>
          <w:lang w:val="fr-FR"/>
        </w:rPr>
        <w:tab/>
        <w:t>L</w:t>
      </w:r>
      <w:r w:rsidR="00646DFA">
        <w:rPr>
          <w:lang w:val="fr-FR"/>
        </w:rPr>
        <w:t>’</w:t>
      </w:r>
      <w:r>
        <w:rPr>
          <w:lang w:val="fr-FR"/>
        </w:rPr>
        <w:t xml:space="preserve">entrée en vigueur de </w:t>
      </w:r>
      <w:r w:rsidRPr="00850748">
        <w:rPr>
          <w:lang w:val="fr-FR"/>
        </w:rPr>
        <w:t>la loi portant modification de</w:t>
      </w:r>
      <w:r w:rsidRPr="001E46ED">
        <w:rPr>
          <w:lang w:val="fr-FR"/>
        </w:rPr>
        <w:t xml:space="preserve"> la loi sur les étrangers,</w:t>
      </w:r>
      <w:r>
        <w:rPr>
          <w:lang w:val="fr-FR"/>
        </w:rPr>
        <w:t xml:space="preserve"> le 7</w:t>
      </w:r>
      <w:r w:rsidR="00222750">
        <w:rPr>
          <w:lang w:val="fr-FR"/>
        </w:rPr>
        <w:t> </w:t>
      </w:r>
      <w:r>
        <w:rPr>
          <w:lang w:val="fr-FR"/>
        </w:rPr>
        <w:t>novembre 2009;</w:t>
      </w:r>
    </w:p>
    <w:p w:rsidR="00053626" w:rsidRPr="00870546" w:rsidRDefault="00053626" w:rsidP="00222750">
      <w:pPr>
        <w:pStyle w:val="SingleTxtG"/>
        <w:ind w:firstLine="567"/>
        <w:rPr>
          <w:lang w:val="fr-FR"/>
        </w:rPr>
      </w:pPr>
      <w:r>
        <w:rPr>
          <w:lang w:val="fr-FR"/>
        </w:rPr>
        <w:t>e)</w:t>
      </w:r>
      <w:r>
        <w:rPr>
          <w:lang w:val="fr-FR"/>
        </w:rPr>
        <w:tab/>
        <w:t>L</w:t>
      </w:r>
      <w:r w:rsidR="00646DFA">
        <w:rPr>
          <w:lang w:val="fr-FR"/>
        </w:rPr>
        <w:t>’</w:t>
      </w:r>
      <w:r>
        <w:rPr>
          <w:lang w:val="fr-FR"/>
        </w:rPr>
        <w:t>a</w:t>
      </w:r>
      <w:r w:rsidRPr="00870546">
        <w:rPr>
          <w:lang w:val="fr-FR"/>
        </w:rPr>
        <w:t xml:space="preserve">doption </w:t>
      </w:r>
      <w:r>
        <w:rPr>
          <w:lang w:val="fr-FR"/>
        </w:rPr>
        <w:t xml:space="preserve">de la </w:t>
      </w:r>
      <w:r w:rsidRPr="001E46ED">
        <w:rPr>
          <w:lang w:val="fr-FR"/>
        </w:rPr>
        <w:t>loi portant modification de la loi sur les droits et libertés des minorités</w:t>
      </w:r>
      <w:r>
        <w:rPr>
          <w:lang w:val="fr-FR"/>
        </w:rPr>
        <w:t>, le 9</w:t>
      </w:r>
      <w:r w:rsidR="00222750">
        <w:rPr>
          <w:lang w:val="fr-FR"/>
        </w:rPr>
        <w:t> </w:t>
      </w:r>
      <w:r>
        <w:rPr>
          <w:lang w:val="fr-FR"/>
        </w:rPr>
        <w:t>décembre</w:t>
      </w:r>
      <w:r w:rsidRPr="00870546">
        <w:rPr>
          <w:lang w:val="fr-FR"/>
        </w:rPr>
        <w:t xml:space="preserve"> 2010;</w:t>
      </w:r>
    </w:p>
    <w:p w:rsidR="00053626" w:rsidRPr="00870546" w:rsidRDefault="00053626" w:rsidP="00222750">
      <w:pPr>
        <w:pStyle w:val="SingleTxtG"/>
        <w:ind w:firstLine="567"/>
        <w:rPr>
          <w:lang w:val="fr-FR"/>
        </w:rPr>
      </w:pPr>
      <w:r>
        <w:rPr>
          <w:lang w:val="fr-FR"/>
        </w:rPr>
        <w:t>f)</w:t>
      </w:r>
      <w:r>
        <w:rPr>
          <w:lang w:val="fr-FR"/>
        </w:rPr>
        <w:tab/>
        <w:t>L</w:t>
      </w:r>
      <w:r w:rsidR="00646DFA">
        <w:rPr>
          <w:lang w:val="fr-FR"/>
        </w:rPr>
        <w:t>’</w:t>
      </w:r>
      <w:r>
        <w:rPr>
          <w:lang w:val="fr-FR"/>
        </w:rPr>
        <w:t>a</w:t>
      </w:r>
      <w:r w:rsidRPr="00870546">
        <w:rPr>
          <w:lang w:val="fr-FR"/>
        </w:rPr>
        <w:t xml:space="preserve">doption </w:t>
      </w:r>
      <w:r>
        <w:rPr>
          <w:lang w:val="fr-FR"/>
        </w:rPr>
        <w:t xml:space="preserve">de la loi portant modification du Code pénal, qui érige en infraction les crimes et les discours </w:t>
      </w:r>
      <w:r w:rsidR="00222750">
        <w:rPr>
          <w:lang w:val="fr-FR"/>
        </w:rPr>
        <w:t xml:space="preserve">de </w:t>
      </w:r>
      <w:r>
        <w:rPr>
          <w:lang w:val="fr-FR"/>
        </w:rPr>
        <w:t>haine</w:t>
      </w:r>
      <w:r w:rsidR="00222750">
        <w:rPr>
          <w:lang w:val="fr-FR"/>
        </w:rPr>
        <w:t>,</w:t>
      </w:r>
      <w:r>
        <w:rPr>
          <w:lang w:val="fr-FR"/>
        </w:rPr>
        <w:t xml:space="preserve"> le 30</w:t>
      </w:r>
      <w:r w:rsidR="00222750">
        <w:rPr>
          <w:lang w:val="fr-FR"/>
        </w:rPr>
        <w:t> </w:t>
      </w:r>
      <w:r>
        <w:rPr>
          <w:lang w:val="fr-FR"/>
        </w:rPr>
        <w:t>juillet 2013;</w:t>
      </w:r>
    </w:p>
    <w:p w:rsidR="00053626" w:rsidRPr="007351FB" w:rsidRDefault="00053626" w:rsidP="005D5E3B">
      <w:pPr>
        <w:pStyle w:val="SingleTxtG"/>
        <w:spacing w:line="230" w:lineRule="atLeast"/>
        <w:ind w:firstLine="567"/>
        <w:rPr>
          <w:spacing w:val="-2"/>
          <w:lang w:val="fr-FR"/>
        </w:rPr>
      </w:pPr>
      <w:r>
        <w:rPr>
          <w:lang w:val="fr-FR"/>
        </w:rPr>
        <w:t>g)</w:t>
      </w:r>
      <w:r>
        <w:rPr>
          <w:lang w:val="fr-FR"/>
        </w:rPr>
        <w:tab/>
      </w:r>
      <w:r w:rsidRPr="007351FB">
        <w:rPr>
          <w:spacing w:val="-2"/>
          <w:lang w:val="fr-FR"/>
        </w:rPr>
        <w:t>L</w:t>
      </w:r>
      <w:r w:rsidR="00646DFA">
        <w:rPr>
          <w:spacing w:val="-2"/>
          <w:lang w:val="fr-FR"/>
        </w:rPr>
        <w:t>’</w:t>
      </w:r>
      <w:r w:rsidRPr="007351FB">
        <w:rPr>
          <w:spacing w:val="-2"/>
          <w:lang w:val="fr-FR"/>
        </w:rPr>
        <w:t>adoption du plan d</w:t>
      </w:r>
      <w:r w:rsidR="00646DFA">
        <w:rPr>
          <w:spacing w:val="-2"/>
          <w:lang w:val="fr-FR"/>
        </w:rPr>
        <w:t>’</w:t>
      </w:r>
      <w:r w:rsidRPr="007351FB">
        <w:rPr>
          <w:spacing w:val="-2"/>
          <w:lang w:val="fr-FR"/>
        </w:rPr>
        <w:t>action pour le règlement de la situation des personnes déplacées originaires des républiques de l</w:t>
      </w:r>
      <w:r w:rsidR="00646DFA">
        <w:rPr>
          <w:spacing w:val="-2"/>
          <w:lang w:val="fr-FR"/>
        </w:rPr>
        <w:t>’</w:t>
      </w:r>
      <w:r w:rsidRPr="007351FB">
        <w:rPr>
          <w:spacing w:val="-2"/>
          <w:lang w:val="fr-FR"/>
        </w:rPr>
        <w:t>ex-Yougoslavie et des personnes déplacées à</w:t>
      </w:r>
      <w:r w:rsidR="007351FB" w:rsidRPr="007351FB">
        <w:rPr>
          <w:spacing w:val="-2"/>
          <w:lang w:val="fr-FR"/>
        </w:rPr>
        <w:t xml:space="preserve"> </w:t>
      </w:r>
      <w:r w:rsidRPr="007351FB">
        <w:rPr>
          <w:spacing w:val="-2"/>
          <w:lang w:val="fr-FR"/>
        </w:rPr>
        <w:t>l</w:t>
      </w:r>
      <w:r w:rsidR="00646DFA">
        <w:rPr>
          <w:spacing w:val="-2"/>
          <w:lang w:val="fr-FR"/>
        </w:rPr>
        <w:t>’</w:t>
      </w:r>
      <w:r w:rsidRPr="007351FB">
        <w:rPr>
          <w:spacing w:val="-2"/>
          <w:lang w:val="fr-FR"/>
        </w:rPr>
        <w:t>intérieur du territoire originaires du Kosovo qui résident au Monténégro, le 29</w:t>
      </w:r>
      <w:r w:rsidR="007351FB" w:rsidRPr="007351FB">
        <w:rPr>
          <w:spacing w:val="-2"/>
          <w:lang w:val="fr-FR"/>
        </w:rPr>
        <w:t> </w:t>
      </w:r>
      <w:r w:rsidRPr="007351FB">
        <w:rPr>
          <w:spacing w:val="-2"/>
          <w:lang w:val="fr-FR"/>
        </w:rPr>
        <w:t>octobre 2009;</w:t>
      </w:r>
    </w:p>
    <w:p w:rsidR="00053626" w:rsidRPr="00870546" w:rsidRDefault="00053626" w:rsidP="005D5E3B">
      <w:pPr>
        <w:pStyle w:val="SingleTxtG"/>
        <w:spacing w:line="230" w:lineRule="atLeast"/>
        <w:ind w:firstLine="567"/>
        <w:rPr>
          <w:lang w:val="fr-FR"/>
        </w:rPr>
      </w:pPr>
      <w:r>
        <w:rPr>
          <w:lang w:val="fr-FR"/>
        </w:rPr>
        <w:t>h)</w:t>
      </w:r>
      <w:r>
        <w:rPr>
          <w:lang w:val="fr-FR"/>
        </w:rPr>
        <w:tab/>
        <w:t>L</w:t>
      </w:r>
      <w:r w:rsidR="00646DFA">
        <w:rPr>
          <w:lang w:val="fr-FR"/>
        </w:rPr>
        <w:t>’</w:t>
      </w:r>
      <w:r>
        <w:rPr>
          <w:lang w:val="fr-FR"/>
        </w:rPr>
        <w:t>a</w:t>
      </w:r>
      <w:r w:rsidRPr="00870546">
        <w:rPr>
          <w:lang w:val="fr-FR"/>
        </w:rPr>
        <w:t xml:space="preserve">doption </w:t>
      </w:r>
      <w:r>
        <w:rPr>
          <w:lang w:val="fr-FR"/>
        </w:rPr>
        <w:t>de la</w:t>
      </w:r>
      <w:r>
        <w:t xml:space="preserve"> </w:t>
      </w:r>
      <w:r w:rsidRPr="001E46ED">
        <w:t xml:space="preserve">stratégie 2011-2015 visant à élaborer des solutions durables aux problèmes concernant les personnes déplacées et les personnes déplacées </w:t>
      </w:r>
      <w:r w:rsidRPr="00211981">
        <w:t>à l</w:t>
      </w:r>
      <w:r w:rsidR="00646DFA">
        <w:t>’</w:t>
      </w:r>
      <w:r w:rsidRPr="00211981">
        <w:t>intérieur du territoire vivant</w:t>
      </w:r>
      <w:r w:rsidRPr="001E46ED">
        <w:t xml:space="preserve"> au Monténégro, plus particulièrement dans la zone de Konik</w:t>
      </w:r>
      <w:r w:rsidRPr="001E46ED">
        <w:rPr>
          <w:lang w:val="fr-FR"/>
        </w:rPr>
        <w:t xml:space="preserve">, </w:t>
      </w:r>
      <w:r>
        <w:rPr>
          <w:lang w:val="fr-FR"/>
        </w:rPr>
        <w:t>le</w:t>
      </w:r>
      <w:r w:rsidR="007351FB">
        <w:rPr>
          <w:lang w:val="fr-FR"/>
        </w:rPr>
        <w:t> </w:t>
      </w:r>
      <w:r>
        <w:rPr>
          <w:lang w:val="fr-FR"/>
        </w:rPr>
        <w:t>28</w:t>
      </w:r>
      <w:r w:rsidR="007351FB">
        <w:rPr>
          <w:lang w:val="fr-FR"/>
        </w:rPr>
        <w:t> </w:t>
      </w:r>
      <w:r>
        <w:rPr>
          <w:lang w:val="fr-FR"/>
        </w:rPr>
        <w:t>juillet</w:t>
      </w:r>
      <w:r w:rsidRPr="00870546">
        <w:rPr>
          <w:lang w:val="fr-FR"/>
        </w:rPr>
        <w:t xml:space="preserve"> 2011;</w:t>
      </w:r>
    </w:p>
    <w:p w:rsidR="00053626" w:rsidRPr="00870546" w:rsidRDefault="00053626" w:rsidP="005D5E3B">
      <w:pPr>
        <w:pStyle w:val="SingleTxtG"/>
        <w:spacing w:line="230" w:lineRule="atLeast"/>
        <w:ind w:firstLine="567"/>
        <w:rPr>
          <w:lang w:val="fr-FR"/>
        </w:rPr>
      </w:pPr>
      <w:r w:rsidRPr="00870546">
        <w:rPr>
          <w:lang w:val="fr-FR"/>
        </w:rPr>
        <w:t>i)</w:t>
      </w:r>
      <w:r w:rsidRPr="00870546">
        <w:rPr>
          <w:lang w:val="fr-FR"/>
        </w:rPr>
        <w:tab/>
      </w:r>
      <w:r>
        <w:rPr>
          <w:lang w:val="fr-FR"/>
        </w:rPr>
        <w:t>L</w:t>
      </w:r>
      <w:r w:rsidR="00646DFA">
        <w:rPr>
          <w:lang w:val="fr-FR"/>
        </w:rPr>
        <w:t>’</w:t>
      </w:r>
      <w:r>
        <w:rPr>
          <w:lang w:val="fr-FR"/>
        </w:rPr>
        <w:t>a</w:t>
      </w:r>
      <w:r w:rsidRPr="00870546">
        <w:rPr>
          <w:lang w:val="fr-FR"/>
        </w:rPr>
        <w:t xml:space="preserve">doption </w:t>
      </w:r>
      <w:r>
        <w:rPr>
          <w:lang w:val="fr-FR"/>
        </w:rPr>
        <w:t xml:space="preserve">de la </w:t>
      </w:r>
      <w:r w:rsidRPr="001E46ED">
        <w:rPr>
          <w:lang w:val="fr-FR"/>
        </w:rPr>
        <w:t>stratégie pour l</w:t>
      </w:r>
      <w:r w:rsidR="00646DFA">
        <w:rPr>
          <w:lang w:val="fr-FR"/>
        </w:rPr>
        <w:t>’</w:t>
      </w:r>
      <w:r w:rsidRPr="001E46ED">
        <w:rPr>
          <w:lang w:val="fr-FR"/>
        </w:rPr>
        <w:t xml:space="preserve">amélioration de la situation des Roms </w:t>
      </w:r>
      <w:r>
        <w:rPr>
          <w:lang w:val="fr-FR"/>
        </w:rPr>
        <w:t xml:space="preserve">et des Tziganes au </w:t>
      </w:r>
      <w:r w:rsidRPr="00870546">
        <w:rPr>
          <w:lang w:val="fr-FR"/>
        </w:rPr>
        <w:t xml:space="preserve">Monténégro (2012-2016), </w:t>
      </w:r>
      <w:r>
        <w:rPr>
          <w:lang w:val="fr-FR"/>
        </w:rPr>
        <w:t xml:space="preserve">en mars </w:t>
      </w:r>
      <w:r w:rsidRPr="00870546">
        <w:rPr>
          <w:lang w:val="fr-FR"/>
        </w:rPr>
        <w:t>2012;</w:t>
      </w:r>
    </w:p>
    <w:p w:rsidR="00053626" w:rsidRPr="00870546" w:rsidRDefault="00053626" w:rsidP="005D5E3B">
      <w:pPr>
        <w:pStyle w:val="SingleTxtG"/>
        <w:spacing w:line="230" w:lineRule="atLeast"/>
        <w:ind w:firstLine="567"/>
        <w:rPr>
          <w:lang w:val="fr-FR"/>
        </w:rPr>
      </w:pPr>
      <w:r>
        <w:rPr>
          <w:lang w:val="fr-FR"/>
        </w:rPr>
        <w:t>j)</w:t>
      </w:r>
      <w:r>
        <w:rPr>
          <w:lang w:val="fr-FR"/>
        </w:rPr>
        <w:tab/>
        <w:t xml:space="preserve">La création du </w:t>
      </w:r>
      <w:r w:rsidRPr="001E46ED">
        <w:rPr>
          <w:lang w:val="fr-FR"/>
        </w:rPr>
        <w:t>Conseil de contrôle civil du travail de la police</w:t>
      </w:r>
      <w:r w:rsidR="00B91713">
        <w:rPr>
          <w:lang w:val="fr-FR"/>
        </w:rPr>
        <w:t>;</w:t>
      </w:r>
    </w:p>
    <w:p w:rsidR="00053626" w:rsidRDefault="00053626" w:rsidP="005D5E3B">
      <w:pPr>
        <w:pStyle w:val="SingleTxtG"/>
        <w:spacing w:line="230" w:lineRule="atLeast"/>
        <w:ind w:firstLine="567"/>
        <w:rPr>
          <w:lang w:val="fr-FR"/>
        </w:rPr>
      </w:pPr>
      <w:r w:rsidRPr="00870546">
        <w:rPr>
          <w:lang w:val="fr-FR"/>
        </w:rPr>
        <w:t>k)</w:t>
      </w:r>
      <w:r w:rsidRPr="00870546">
        <w:rPr>
          <w:lang w:val="fr-FR"/>
        </w:rPr>
        <w:tab/>
      </w:r>
      <w:r w:rsidRPr="002E3C8A">
        <w:rPr>
          <w:lang w:val="fr-FR"/>
        </w:rPr>
        <w:t>Le report au 31</w:t>
      </w:r>
      <w:r w:rsidR="007351FB">
        <w:rPr>
          <w:lang w:val="fr-FR"/>
        </w:rPr>
        <w:t> </w:t>
      </w:r>
      <w:r w:rsidRPr="002E3C8A">
        <w:rPr>
          <w:lang w:val="fr-FR"/>
        </w:rPr>
        <w:t xml:space="preserve">décembre 2014 de la date limite pour </w:t>
      </w:r>
      <w:r>
        <w:rPr>
          <w:lang w:val="fr-FR"/>
        </w:rPr>
        <w:t>la soumission des</w:t>
      </w:r>
      <w:r w:rsidRPr="002E3C8A">
        <w:rPr>
          <w:lang w:val="fr-FR"/>
        </w:rPr>
        <w:t xml:space="preserve"> demandes </w:t>
      </w:r>
      <w:r>
        <w:rPr>
          <w:lang w:val="fr-FR"/>
        </w:rPr>
        <w:t xml:space="preserve">déposées par les </w:t>
      </w:r>
      <w:r w:rsidRPr="002E3C8A">
        <w:rPr>
          <w:lang w:val="fr-FR"/>
        </w:rPr>
        <w:t xml:space="preserve">personnes </w:t>
      </w:r>
      <w:r w:rsidR="007351FB">
        <w:rPr>
          <w:lang w:val="fr-FR"/>
        </w:rPr>
        <w:t>«</w:t>
      </w:r>
      <w:r w:rsidRPr="002E3C8A">
        <w:rPr>
          <w:lang w:val="fr-FR"/>
        </w:rPr>
        <w:t>déplacées</w:t>
      </w:r>
      <w:r w:rsidR="007351FB">
        <w:rPr>
          <w:lang w:val="fr-FR"/>
        </w:rPr>
        <w:t>»</w:t>
      </w:r>
      <w:r w:rsidRPr="002E3C8A">
        <w:rPr>
          <w:lang w:val="fr-FR"/>
        </w:rPr>
        <w:t xml:space="preserve"> et les </w:t>
      </w:r>
      <w:r w:rsidR="007351FB">
        <w:rPr>
          <w:lang w:val="fr-FR"/>
        </w:rPr>
        <w:t>«</w:t>
      </w:r>
      <w:r w:rsidRPr="002E3C8A">
        <w:rPr>
          <w:lang w:val="fr-FR"/>
        </w:rPr>
        <w:t xml:space="preserve">personnes déplacées </w:t>
      </w:r>
      <w:r>
        <w:rPr>
          <w:lang w:val="fr-FR"/>
        </w:rPr>
        <w:t>à l</w:t>
      </w:r>
      <w:r w:rsidR="00646DFA">
        <w:rPr>
          <w:lang w:val="fr-FR"/>
        </w:rPr>
        <w:t>’</w:t>
      </w:r>
      <w:r>
        <w:rPr>
          <w:lang w:val="fr-FR"/>
        </w:rPr>
        <w:t>intérieur du territoire</w:t>
      </w:r>
      <w:r w:rsidR="007351FB">
        <w:rPr>
          <w:lang w:val="fr-FR"/>
        </w:rPr>
        <w:t>»</w:t>
      </w:r>
      <w:r>
        <w:rPr>
          <w:lang w:val="fr-FR"/>
        </w:rPr>
        <w:t xml:space="preserve"> </w:t>
      </w:r>
      <w:r w:rsidR="007351FB">
        <w:rPr>
          <w:lang w:val="fr-FR"/>
        </w:rPr>
        <w:t>en vue d</w:t>
      </w:r>
      <w:r w:rsidR="00646DFA">
        <w:rPr>
          <w:lang w:val="fr-FR"/>
        </w:rPr>
        <w:t>’</w:t>
      </w:r>
      <w:r>
        <w:rPr>
          <w:lang w:val="fr-FR"/>
        </w:rPr>
        <w:t xml:space="preserve">obtenir le </w:t>
      </w:r>
      <w:r w:rsidRPr="002E3C8A">
        <w:rPr>
          <w:lang w:val="fr-FR"/>
        </w:rPr>
        <w:t>statut d</w:t>
      </w:r>
      <w:r w:rsidR="00646DFA">
        <w:rPr>
          <w:lang w:val="fr-FR"/>
        </w:rPr>
        <w:t>’</w:t>
      </w:r>
      <w:r w:rsidRPr="002E3C8A">
        <w:rPr>
          <w:lang w:val="fr-FR"/>
        </w:rPr>
        <w:t>étranger r</w:t>
      </w:r>
      <w:r>
        <w:rPr>
          <w:lang w:val="fr-FR"/>
        </w:rPr>
        <w:t>ésiden</w:t>
      </w:r>
      <w:r w:rsidRPr="002E3C8A">
        <w:rPr>
          <w:lang w:val="fr-FR"/>
        </w:rPr>
        <w:t xml:space="preserve">t permanent au Monténégro </w:t>
      </w:r>
      <w:r>
        <w:rPr>
          <w:lang w:val="fr-FR"/>
        </w:rPr>
        <w:t xml:space="preserve">au titre de la </w:t>
      </w:r>
      <w:r w:rsidRPr="00850748">
        <w:rPr>
          <w:lang w:val="fr-FR"/>
        </w:rPr>
        <w:t>loi portant modification de</w:t>
      </w:r>
      <w:r w:rsidRPr="001E46ED">
        <w:rPr>
          <w:lang w:val="fr-FR"/>
        </w:rPr>
        <w:t xml:space="preserve"> la loi sur les étrangers</w:t>
      </w:r>
      <w:r w:rsidRPr="002E3C8A">
        <w:rPr>
          <w:lang w:val="fr-FR"/>
        </w:rPr>
        <w:t>.</w:t>
      </w:r>
    </w:p>
    <w:p w:rsidR="00053626" w:rsidRPr="00870546" w:rsidRDefault="00053626" w:rsidP="005D5E3B">
      <w:pPr>
        <w:pStyle w:val="ParNoG"/>
        <w:keepNext/>
        <w:spacing w:line="230" w:lineRule="atLeast"/>
        <w:rPr>
          <w:lang w:val="fr-FR"/>
        </w:rPr>
      </w:pPr>
      <w:r>
        <w:rPr>
          <w:lang w:val="fr-FR"/>
        </w:rPr>
        <w:t>Le Comité relève avec intérêt que, pendant la période considérée, les instruments internationaux ci-après ont été ratifiés:</w:t>
      </w:r>
    </w:p>
    <w:p w:rsidR="00053626" w:rsidRPr="00870546" w:rsidRDefault="00053626" w:rsidP="005D5E3B">
      <w:pPr>
        <w:pStyle w:val="SingleTxtG"/>
        <w:spacing w:line="230" w:lineRule="atLeast"/>
        <w:ind w:firstLine="567"/>
        <w:rPr>
          <w:lang w:val="fr-FR"/>
        </w:rPr>
      </w:pPr>
      <w:r w:rsidRPr="00870546">
        <w:rPr>
          <w:lang w:val="fr-FR"/>
        </w:rPr>
        <w:t>a)</w:t>
      </w:r>
      <w:r w:rsidRPr="00870546">
        <w:rPr>
          <w:lang w:val="fr-FR"/>
        </w:rPr>
        <w:tab/>
      </w:r>
      <w:r w:rsidR="00B91713">
        <w:rPr>
          <w:lang w:val="fr-FR"/>
        </w:rPr>
        <w:t xml:space="preserve">Le </w:t>
      </w:r>
      <w:r w:rsidRPr="001E46ED">
        <w:t>Protocole facultatif se rapportant à la Convention contre la torture et autres peines ou traitements cruels, inhumains ou dégradants</w:t>
      </w:r>
      <w:r w:rsidRPr="001E46ED">
        <w:rPr>
          <w:lang w:val="fr-FR"/>
        </w:rPr>
        <w:t>,</w:t>
      </w:r>
      <w:r>
        <w:rPr>
          <w:lang w:val="fr-FR"/>
        </w:rPr>
        <w:t xml:space="preserve"> le 6</w:t>
      </w:r>
      <w:r w:rsidR="00B91713">
        <w:rPr>
          <w:lang w:val="fr-FR"/>
        </w:rPr>
        <w:t> </w:t>
      </w:r>
      <w:r>
        <w:rPr>
          <w:lang w:val="fr-FR"/>
        </w:rPr>
        <w:t xml:space="preserve">mars </w:t>
      </w:r>
      <w:r w:rsidRPr="00870546">
        <w:rPr>
          <w:lang w:val="fr-FR"/>
        </w:rPr>
        <w:t>2009;</w:t>
      </w:r>
    </w:p>
    <w:p w:rsidR="00053626" w:rsidRPr="00B91713" w:rsidRDefault="00053626" w:rsidP="005D5E3B">
      <w:pPr>
        <w:pStyle w:val="SingleTxtG"/>
        <w:spacing w:line="230" w:lineRule="atLeast"/>
        <w:ind w:firstLine="567"/>
        <w:rPr>
          <w:spacing w:val="-5"/>
          <w:lang w:val="fr-FR"/>
        </w:rPr>
      </w:pPr>
      <w:r w:rsidRPr="00870546">
        <w:rPr>
          <w:lang w:val="fr-FR"/>
        </w:rPr>
        <w:t>b)</w:t>
      </w:r>
      <w:r w:rsidRPr="00870546">
        <w:rPr>
          <w:lang w:val="fr-FR"/>
        </w:rPr>
        <w:tab/>
      </w:r>
      <w:r w:rsidR="00B91713" w:rsidRPr="00B91713">
        <w:rPr>
          <w:spacing w:val="-5"/>
          <w:lang w:val="fr-FR"/>
        </w:rPr>
        <w:t xml:space="preserve">La </w:t>
      </w:r>
      <w:r w:rsidRPr="00B91713">
        <w:rPr>
          <w:spacing w:val="-5"/>
          <w:lang w:val="fr-FR"/>
        </w:rPr>
        <w:t>Convention relative aux droits des personnes handicapées, le 2</w:t>
      </w:r>
      <w:r w:rsidR="00B91713" w:rsidRPr="00B91713">
        <w:rPr>
          <w:spacing w:val="-5"/>
          <w:lang w:val="fr-FR"/>
        </w:rPr>
        <w:t> </w:t>
      </w:r>
      <w:r w:rsidRPr="00B91713">
        <w:rPr>
          <w:spacing w:val="-5"/>
          <w:lang w:val="fr-FR"/>
        </w:rPr>
        <w:t>novembre 2009;</w:t>
      </w:r>
    </w:p>
    <w:p w:rsidR="00053626" w:rsidRPr="00870546" w:rsidRDefault="00053626" w:rsidP="005D5E3B">
      <w:pPr>
        <w:pStyle w:val="SingleTxtG"/>
        <w:spacing w:line="230" w:lineRule="atLeast"/>
        <w:ind w:firstLine="567"/>
        <w:rPr>
          <w:lang w:val="fr-FR"/>
        </w:rPr>
      </w:pPr>
      <w:r w:rsidRPr="00870546">
        <w:rPr>
          <w:lang w:val="fr-FR"/>
        </w:rPr>
        <w:t>c)</w:t>
      </w:r>
      <w:r w:rsidRPr="00870546">
        <w:rPr>
          <w:lang w:val="fr-FR"/>
        </w:rPr>
        <w:tab/>
      </w:r>
      <w:r w:rsidR="00B91713">
        <w:rPr>
          <w:lang w:val="fr-FR"/>
        </w:rPr>
        <w:t xml:space="preserve">Le </w:t>
      </w:r>
      <w:r w:rsidRPr="001E46ED">
        <w:rPr>
          <w:lang w:val="fr-FR"/>
        </w:rPr>
        <w:t xml:space="preserve">Protocole facultatif se rapportant à la Convention relative aux droits des personnes handicapées, </w:t>
      </w:r>
      <w:r>
        <w:rPr>
          <w:lang w:val="fr-FR"/>
        </w:rPr>
        <w:t>le</w:t>
      </w:r>
      <w:r w:rsidRPr="00870546">
        <w:rPr>
          <w:lang w:val="fr-FR"/>
        </w:rPr>
        <w:t xml:space="preserve"> 2</w:t>
      </w:r>
      <w:r w:rsidR="00B91713">
        <w:rPr>
          <w:lang w:val="fr-FR"/>
        </w:rPr>
        <w:t> </w:t>
      </w:r>
      <w:r>
        <w:rPr>
          <w:lang w:val="fr-FR"/>
        </w:rPr>
        <w:t>novembre</w:t>
      </w:r>
      <w:r w:rsidRPr="00870546">
        <w:rPr>
          <w:lang w:val="fr-FR"/>
        </w:rPr>
        <w:t xml:space="preserve"> 2009;</w:t>
      </w:r>
    </w:p>
    <w:p w:rsidR="00053626" w:rsidRPr="00870546" w:rsidRDefault="00053626" w:rsidP="005D5E3B">
      <w:pPr>
        <w:pStyle w:val="SingleTxtG"/>
        <w:spacing w:line="230" w:lineRule="atLeast"/>
        <w:ind w:firstLine="567"/>
        <w:rPr>
          <w:lang w:val="fr-FR"/>
        </w:rPr>
      </w:pPr>
      <w:r w:rsidRPr="00870546">
        <w:rPr>
          <w:lang w:val="fr-FR"/>
        </w:rPr>
        <w:t>d)</w:t>
      </w:r>
      <w:r w:rsidRPr="00870546">
        <w:rPr>
          <w:lang w:val="fr-FR"/>
        </w:rPr>
        <w:tab/>
      </w:r>
      <w:r w:rsidR="00B91713">
        <w:rPr>
          <w:lang w:val="fr-FR"/>
        </w:rPr>
        <w:t xml:space="preserve">La </w:t>
      </w:r>
      <w:r w:rsidRPr="001E46ED">
        <w:t>Convention internationale pour la protection de toutes les personnes contre les disparitions forcées</w:t>
      </w:r>
      <w:r w:rsidRPr="001E46ED">
        <w:rPr>
          <w:lang w:val="fr-FR"/>
        </w:rPr>
        <w:t xml:space="preserve">, </w:t>
      </w:r>
      <w:r>
        <w:rPr>
          <w:lang w:val="fr-FR"/>
        </w:rPr>
        <w:t>le 20</w:t>
      </w:r>
      <w:r w:rsidR="00B91713">
        <w:rPr>
          <w:lang w:val="fr-FR"/>
        </w:rPr>
        <w:t> </w:t>
      </w:r>
      <w:r>
        <w:rPr>
          <w:lang w:val="fr-FR"/>
        </w:rPr>
        <w:t>septemb</w:t>
      </w:r>
      <w:r w:rsidRPr="00870546">
        <w:rPr>
          <w:lang w:val="fr-FR"/>
        </w:rPr>
        <w:t>r</w:t>
      </w:r>
      <w:r>
        <w:rPr>
          <w:lang w:val="fr-FR"/>
        </w:rPr>
        <w:t>e</w:t>
      </w:r>
      <w:r w:rsidRPr="00870546">
        <w:rPr>
          <w:lang w:val="fr-FR"/>
        </w:rPr>
        <w:t xml:space="preserve"> 2011;</w:t>
      </w:r>
    </w:p>
    <w:p w:rsidR="00053626" w:rsidRPr="00870546" w:rsidRDefault="00053626" w:rsidP="005D5E3B">
      <w:pPr>
        <w:pStyle w:val="SingleTxtG"/>
        <w:spacing w:line="230" w:lineRule="atLeast"/>
        <w:ind w:firstLine="567"/>
        <w:rPr>
          <w:lang w:val="fr-FR"/>
        </w:rPr>
      </w:pPr>
      <w:r w:rsidRPr="00870546">
        <w:rPr>
          <w:lang w:val="fr-FR"/>
        </w:rPr>
        <w:t>e)</w:t>
      </w:r>
      <w:r w:rsidRPr="00870546">
        <w:rPr>
          <w:lang w:val="fr-FR"/>
        </w:rPr>
        <w:tab/>
      </w:r>
      <w:r w:rsidR="00B91713">
        <w:rPr>
          <w:lang w:val="fr-FR"/>
        </w:rPr>
        <w:t xml:space="preserve">Le </w:t>
      </w:r>
      <w:r w:rsidRPr="001E46ED">
        <w:t xml:space="preserve">Protocole facultatif se rapportant au Pacte international relatif aux droits économiques, sociaux et culturels, </w:t>
      </w:r>
      <w:r>
        <w:t xml:space="preserve">le </w:t>
      </w:r>
      <w:r>
        <w:rPr>
          <w:lang w:val="fr-FR"/>
        </w:rPr>
        <w:t>24</w:t>
      </w:r>
      <w:r w:rsidR="00B91713">
        <w:rPr>
          <w:lang w:val="fr-FR"/>
        </w:rPr>
        <w:t> </w:t>
      </w:r>
      <w:r>
        <w:rPr>
          <w:lang w:val="fr-FR"/>
        </w:rPr>
        <w:t>septemb</w:t>
      </w:r>
      <w:r w:rsidRPr="00870546">
        <w:rPr>
          <w:lang w:val="fr-FR"/>
        </w:rPr>
        <w:t>r</w:t>
      </w:r>
      <w:r>
        <w:rPr>
          <w:lang w:val="fr-FR"/>
        </w:rPr>
        <w:t>e</w:t>
      </w:r>
      <w:r w:rsidRPr="00870546">
        <w:rPr>
          <w:lang w:val="fr-FR"/>
        </w:rPr>
        <w:t xml:space="preserve"> 2013;</w:t>
      </w:r>
    </w:p>
    <w:p w:rsidR="00053626" w:rsidRPr="00870546" w:rsidRDefault="00053626" w:rsidP="005D5E3B">
      <w:pPr>
        <w:pStyle w:val="SingleTxtG"/>
        <w:spacing w:line="230" w:lineRule="atLeast"/>
        <w:ind w:firstLine="567"/>
        <w:rPr>
          <w:lang w:val="fr-FR"/>
        </w:rPr>
      </w:pPr>
      <w:r w:rsidRPr="00870546">
        <w:rPr>
          <w:lang w:val="fr-FR"/>
        </w:rPr>
        <w:t>f)</w:t>
      </w:r>
      <w:r w:rsidRPr="00870546">
        <w:rPr>
          <w:lang w:val="fr-FR"/>
        </w:rPr>
        <w:tab/>
      </w:r>
      <w:r w:rsidR="00B91713">
        <w:rPr>
          <w:lang w:val="fr-FR"/>
        </w:rPr>
        <w:t xml:space="preserve">La </w:t>
      </w:r>
      <w:r w:rsidRPr="001E46ED">
        <w:t>Convention sur la réduction des cas d</w:t>
      </w:r>
      <w:r w:rsidR="00646DFA">
        <w:t>’</w:t>
      </w:r>
      <w:r w:rsidRPr="001E46ED">
        <w:t>apatridie</w:t>
      </w:r>
      <w:r w:rsidRPr="001E46ED">
        <w:rPr>
          <w:lang w:val="fr-FR"/>
        </w:rPr>
        <w:t>,</w:t>
      </w:r>
      <w:r>
        <w:rPr>
          <w:lang w:val="fr-FR"/>
        </w:rPr>
        <w:t xml:space="preserve"> le 5</w:t>
      </w:r>
      <w:r w:rsidR="00B91713">
        <w:rPr>
          <w:lang w:val="fr-FR"/>
        </w:rPr>
        <w:t> </w:t>
      </w:r>
      <w:r>
        <w:rPr>
          <w:lang w:val="fr-FR"/>
        </w:rPr>
        <w:t>décemb</w:t>
      </w:r>
      <w:r w:rsidRPr="00870546">
        <w:rPr>
          <w:lang w:val="fr-FR"/>
        </w:rPr>
        <w:t>r</w:t>
      </w:r>
      <w:r>
        <w:rPr>
          <w:lang w:val="fr-FR"/>
        </w:rPr>
        <w:t>e</w:t>
      </w:r>
      <w:r w:rsidRPr="00870546">
        <w:rPr>
          <w:lang w:val="fr-FR"/>
        </w:rPr>
        <w:t xml:space="preserve"> 2013.</w:t>
      </w:r>
    </w:p>
    <w:p w:rsidR="00053626" w:rsidRPr="00870546" w:rsidRDefault="00053626" w:rsidP="008B2D70">
      <w:pPr>
        <w:pStyle w:val="H1G"/>
        <w:rPr>
          <w:lang w:val="fr-FR"/>
        </w:rPr>
      </w:pPr>
      <w:r w:rsidRPr="00870546">
        <w:rPr>
          <w:lang w:val="fr-FR"/>
        </w:rPr>
        <w:tab/>
        <w:t>C.</w:t>
      </w:r>
      <w:r w:rsidRPr="00870546">
        <w:rPr>
          <w:lang w:val="fr-FR"/>
        </w:rPr>
        <w:tab/>
      </w:r>
      <w:r w:rsidRPr="00770F3A">
        <w:t>Sujets de préoccupation et recommandations</w:t>
      </w:r>
    </w:p>
    <w:p w:rsidR="00053626" w:rsidRDefault="00053626" w:rsidP="008B2D70">
      <w:pPr>
        <w:pStyle w:val="H23G"/>
        <w:rPr>
          <w:lang w:val="fr-FR"/>
        </w:rPr>
      </w:pPr>
      <w:r w:rsidRPr="00870546">
        <w:rPr>
          <w:lang w:val="fr-FR"/>
        </w:rPr>
        <w:tab/>
      </w:r>
      <w:r w:rsidRPr="00870546">
        <w:rPr>
          <w:lang w:val="fr-FR"/>
        </w:rPr>
        <w:tab/>
      </w:r>
      <w:r>
        <w:rPr>
          <w:lang w:val="fr-FR"/>
        </w:rPr>
        <w:t>Données statistiques utiles</w:t>
      </w:r>
      <w:r w:rsidRPr="00870546">
        <w:rPr>
          <w:lang w:val="fr-FR"/>
        </w:rPr>
        <w:t xml:space="preserve"> </w:t>
      </w:r>
    </w:p>
    <w:p w:rsidR="00053626" w:rsidRPr="00770F3A" w:rsidRDefault="00053626" w:rsidP="008B2D70">
      <w:pPr>
        <w:pStyle w:val="ParNoG"/>
        <w:rPr>
          <w:b/>
          <w:lang w:val="fr-FR"/>
        </w:rPr>
      </w:pPr>
      <w:r>
        <w:rPr>
          <w:lang w:val="fr-FR"/>
        </w:rPr>
        <w:t>Le Comité prend note des données statistiques tirées du recensement d</w:t>
      </w:r>
      <w:r w:rsidR="00646DFA">
        <w:rPr>
          <w:lang w:val="fr-FR"/>
        </w:rPr>
        <w:t>’</w:t>
      </w:r>
      <w:r>
        <w:rPr>
          <w:lang w:val="fr-FR"/>
        </w:rPr>
        <w:t>avril 2011 que lui a fournies oralement la délégation de l</w:t>
      </w:r>
      <w:r w:rsidR="00646DFA">
        <w:rPr>
          <w:lang w:val="fr-FR"/>
        </w:rPr>
        <w:t>’</w:t>
      </w:r>
      <w:r>
        <w:rPr>
          <w:lang w:val="fr-FR"/>
        </w:rPr>
        <w:t>État partie</w:t>
      </w:r>
      <w:r w:rsidRPr="00870546">
        <w:rPr>
          <w:lang w:val="fr-FR"/>
        </w:rPr>
        <w:t>,</w:t>
      </w:r>
      <w:r>
        <w:rPr>
          <w:lang w:val="fr-FR"/>
        </w:rPr>
        <w:t xml:space="preserve"> mais regrette </w:t>
      </w:r>
      <w:r w:rsidR="008B2D70">
        <w:rPr>
          <w:lang w:val="fr-FR"/>
        </w:rPr>
        <w:t xml:space="preserve">que </w:t>
      </w:r>
      <w:r>
        <w:rPr>
          <w:lang w:val="fr-FR"/>
        </w:rPr>
        <w:t>le traitement des données tirées du recensement</w:t>
      </w:r>
      <w:r w:rsidR="008B2D70">
        <w:rPr>
          <w:lang w:val="fr-FR"/>
        </w:rPr>
        <w:t xml:space="preserve"> ait pris du retard</w:t>
      </w:r>
      <w:r>
        <w:rPr>
          <w:lang w:val="fr-FR"/>
        </w:rPr>
        <w:t xml:space="preserve">, </w:t>
      </w:r>
      <w:r w:rsidR="008B2D70">
        <w:rPr>
          <w:lang w:val="fr-FR"/>
        </w:rPr>
        <w:t xml:space="preserve">et que </w:t>
      </w:r>
      <w:r>
        <w:rPr>
          <w:lang w:val="fr-FR"/>
        </w:rPr>
        <w:t>l</w:t>
      </w:r>
      <w:r w:rsidR="00646DFA">
        <w:rPr>
          <w:lang w:val="fr-FR"/>
        </w:rPr>
        <w:t>’</w:t>
      </w:r>
      <w:r>
        <w:rPr>
          <w:lang w:val="fr-FR"/>
        </w:rPr>
        <w:t xml:space="preserve">État </w:t>
      </w:r>
      <w:r w:rsidRPr="006A766E">
        <w:rPr>
          <w:lang w:val="fr-FR"/>
        </w:rPr>
        <w:t xml:space="preserve">partie </w:t>
      </w:r>
      <w:r w:rsidR="008B2D70">
        <w:rPr>
          <w:lang w:val="fr-FR"/>
        </w:rPr>
        <w:t>n</w:t>
      </w:r>
      <w:r w:rsidR="00646DFA">
        <w:rPr>
          <w:lang w:val="fr-FR"/>
        </w:rPr>
        <w:t>’</w:t>
      </w:r>
      <w:r w:rsidR="008B2D70">
        <w:rPr>
          <w:lang w:val="fr-FR"/>
        </w:rPr>
        <w:t xml:space="preserve">ait pas </w:t>
      </w:r>
      <w:r w:rsidRPr="006A766E">
        <w:rPr>
          <w:lang w:val="fr-FR"/>
        </w:rPr>
        <w:t>fourni</w:t>
      </w:r>
      <w:r w:rsidR="008B2D70">
        <w:rPr>
          <w:lang w:val="fr-FR"/>
        </w:rPr>
        <w:t xml:space="preserve"> les données ventilées demandées </w:t>
      </w:r>
      <w:r w:rsidRPr="006A766E">
        <w:rPr>
          <w:lang w:val="fr-FR"/>
        </w:rPr>
        <w:t xml:space="preserve">sur la situation socioéconomique, en particulier sur la situation des </w:t>
      </w:r>
      <w:r>
        <w:rPr>
          <w:lang w:val="fr-FR"/>
        </w:rPr>
        <w:t xml:space="preserve">différentes minorités ethniques </w:t>
      </w:r>
      <w:r w:rsidRPr="006A766E">
        <w:rPr>
          <w:lang w:val="fr-FR"/>
        </w:rPr>
        <w:t>(art. 2).</w:t>
      </w:r>
    </w:p>
    <w:p w:rsidR="00053626" w:rsidRPr="00305AC9" w:rsidRDefault="00053626" w:rsidP="008B2D70">
      <w:pPr>
        <w:pStyle w:val="SingleTxtG"/>
        <w:rPr>
          <w:b/>
          <w:bCs/>
          <w:lang w:val="fr-FR"/>
        </w:rPr>
      </w:pPr>
      <w:r w:rsidRPr="00305AC9">
        <w:rPr>
          <w:b/>
        </w:rPr>
        <w:t>Rappelant ses directives révisées pour l</w:t>
      </w:r>
      <w:r w:rsidR="00646DFA" w:rsidRPr="00305AC9">
        <w:rPr>
          <w:b/>
        </w:rPr>
        <w:t>’</w:t>
      </w:r>
      <w:r w:rsidRPr="00305AC9">
        <w:rPr>
          <w:b/>
        </w:rPr>
        <w:t xml:space="preserve">établissement du document se rapportant spécifiquement à la Convention </w:t>
      </w:r>
      <w:r w:rsidRPr="00305AC9">
        <w:rPr>
          <w:b/>
          <w:lang w:val="fr-FR"/>
        </w:rPr>
        <w:t>(CERD/C/2007/1), le Comité souligne à nouveau que les données ventilées par origine ethnique ou nationale et par statut socioéconomique et culturel des différents groupes de population sont utiles pour évaluer la représentation des différents groupes minoritaires dans les institutions et organismes publics et permettr</w:t>
      </w:r>
      <w:r w:rsidR="008B2D70" w:rsidRPr="00305AC9">
        <w:rPr>
          <w:b/>
          <w:lang w:val="fr-FR"/>
        </w:rPr>
        <w:t>e</w:t>
      </w:r>
      <w:r w:rsidRPr="00305AC9">
        <w:rPr>
          <w:b/>
          <w:lang w:val="fr-FR"/>
        </w:rPr>
        <w:t xml:space="preserve"> </w:t>
      </w:r>
      <w:r w:rsidR="008B2D70" w:rsidRPr="00305AC9">
        <w:rPr>
          <w:b/>
          <w:lang w:val="fr-FR"/>
        </w:rPr>
        <w:t xml:space="preserve">ainsi </w:t>
      </w:r>
      <w:r w:rsidRPr="00305AC9">
        <w:rPr>
          <w:b/>
          <w:lang w:val="fr-FR"/>
        </w:rPr>
        <w:t>à l</w:t>
      </w:r>
      <w:r w:rsidR="00646DFA" w:rsidRPr="00305AC9">
        <w:rPr>
          <w:b/>
          <w:lang w:val="fr-FR"/>
        </w:rPr>
        <w:t>’</w:t>
      </w:r>
      <w:r w:rsidRPr="00305AC9">
        <w:rPr>
          <w:b/>
          <w:lang w:val="fr-FR"/>
        </w:rPr>
        <w:t xml:space="preserve">État partie de mieux </w:t>
      </w:r>
      <w:r w:rsidRPr="00305AC9">
        <w:rPr>
          <w:b/>
        </w:rPr>
        <w:t>garantir l</w:t>
      </w:r>
      <w:r w:rsidR="00646DFA" w:rsidRPr="00305AC9">
        <w:rPr>
          <w:b/>
        </w:rPr>
        <w:t>’</w:t>
      </w:r>
      <w:r w:rsidRPr="00305AC9">
        <w:rPr>
          <w:b/>
        </w:rPr>
        <w:t>exercice, dans des conditions d</w:t>
      </w:r>
      <w:r w:rsidR="00646DFA" w:rsidRPr="00305AC9">
        <w:rPr>
          <w:b/>
        </w:rPr>
        <w:t>’</w:t>
      </w:r>
      <w:r w:rsidRPr="00305AC9">
        <w:rPr>
          <w:b/>
        </w:rPr>
        <w:t>égalité, de l</w:t>
      </w:r>
      <w:r w:rsidR="00646DFA" w:rsidRPr="00305AC9">
        <w:rPr>
          <w:b/>
        </w:rPr>
        <w:t>’</w:t>
      </w:r>
      <w:r w:rsidRPr="00305AC9">
        <w:rPr>
          <w:b/>
        </w:rPr>
        <w:t>ensemble des droits consacrés par la Convention. Le Comité recommande à l</w:t>
      </w:r>
      <w:r w:rsidR="00646DFA" w:rsidRPr="00305AC9">
        <w:rPr>
          <w:b/>
        </w:rPr>
        <w:t>’</w:t>
      </w:r>
      <w:r w:rsidRPr="00305AC9">
        <w:rPr>
          <w:b/>
        </w:rPr>
        <w:t>État partie d</w:t>
      </w:r>
      <w:r w:rsidR="00646DFA" w:rsidRPr="00305AC9">
        <w:rPr>
          <w:b/>
        </w:rPr>
        <w:t>’</w:t>
      </w:r>
      <w:r w:rsidRPr="00305AC9">
        <w:rPr>
          <w:b/>
        </w:rPr>
        <w:t>analyser les données recueillies dans le cadre du recensement de 2011 et de lui fournir des informations sur la composition ethnique de la population</w:t>
      </w:r>
      <w:r w:rsidRPr="00305AC9">
        <w:rPr>
          <w:b/>
          <w:lang w:val="fr-FR"/>
        </w:rPr>
        <w:t xml:space="preserve"> et des données ventilées sur la situation socioéconomique de la population de l</w:t>
      </w:r>
      <w:r w:rsidR="00646DFA" w:rsidRPr="00305AC9">
        <w:rPr>
          <w:b/>
          <w:lang w:val="fr-FR"/>
        </w:rPr>
        <w:t>’</w:t>
      </w:r>
      <w:r w:rsidRPr="00305AC9">
        <w:rPr>
          <w:b/>
          <w:lang w:val="fr-FR"/>
        </w:rPr>
        <w:t>État partie, en particulier sur celle des différents groupes ethniques, notamment concernant les personnes d</w:t>
      </w:r>
      <w:r w:rsidR="00646DFA" w:rsidRPr="00305AC9">
        <w:rPr>
          <w:b/>
          <w:lang w:val="fr-FR"/>
        </w:rPr>
        <w:t>’</w:t>
      </w:r>
      <w:r w:rsidRPr="00305AC9">
        <w:rPr>
          <w:b/>
          <w:lang w:val="fr-FR"/>
        </w:rPr>
        <w:t>origine rom, ashkali et tzigane.</w:t>
      </w:r>
    </w:p>
    <w:p w:rsidR="00053626" w:rsidRDefault="00053626" w:rsidP="008B2D70">
      <w:pPr>
        <w:pStyle w:val="H23G"/>
        <w:rPr>
          <w:lang w:val="fr-FR"/>
        </w:rPr>
      </w:pPr>
      <w:r w:rsidRPr="00870546">
        <w:rPr>
          <w:lang w:val="fr-FR"/>
        </w:rPr>
        <w:tab/>
      </w:r>
      <w:r w:rsidRPr="00870546">
        <w:rPr>
          <w:lang w:val="fr-FR"/>
        </w:rPr>
        <w:tab/>
      </w:r>
      <w:r>
        <w:rPr>
          <w:lang w:val="fr-FR"/>
        </w:rPr>
        <w:t>Mise en conformité de la législation nationale avec la Convention</w:t>
      </w:r>
      <w:r w:rsidR="008B2D70">
        <w:rPr>
          <w:lang w:val="fr-FR"/>
        </w:rPr>
        <w:br/>
      </w:r>
      <w:r>
        <w:rPr>
          <w:lang w:val="fr-FR"/>
        </w:rPr>
        <w:t>et le droit international</w:t>
      </w:r>
    </w:p>
    <w:p w:rsidR="00053626" w:rsidRPr="008B2D70" w:rsidRDefault="00053626" w:rsidP="008B2D70">
      <w:pPr>
        <w:pStyle w:val="ParNoG"/>
        <w:rPr>
          <w:lang w:val="fr-FR"/>
        </w:rPr>
      </w:pPr>
      <w:r w:rsidRPr="00A07D3C">
        <w:rPr>
          <w:bCs/>
          <w:lang w:val="fr-FR"/>
        </w:rPr>
        <w:t xml:space="preserve">Le Comité note que le droit international prime </w:t>
      </w:r>
      <w:r>
        <w:rPr>
          <w:bCs/>
          <w:lang w:val="fr-FR"/>
        </w:rPr>
        <w:t>le droit national</w:t>
      </w:r>
      <w:r w:rsidRPr="00A07D3C">
        <w:rPr>
          <w:bCs/>
          <w:lang w:val="fr-FR"/>
        </w:rPr>
        <w:t>, mais relève avec préoccupation que le Parlement</w:t>
      </w:r>
      <w:r>
        <w:rPr>
          <w:b/>
          <w:lang w:val="fr-FR"/>
        </w:rPr>
        <w:t xml:space="preserve"> </w:t>
      </w:r>
      <w:r>
        <w:rPr>
          <w:lang w:val="fr-FR"/>
        </w:rPr>
        <w:t>monténégrin n</w:t>
      </w:r>
      <w:r w:rsidR="00646DFA">
        <w:rPr>
          <w:lang w:val="fr-FR"/>
        </w:rPr>
        <w:t>’</w:t>
      </w:r>
      <w:r>
        <w:rPr>
          <w:lang w:val="fr-FR"/>
        </w:rPr>
        <w:t>a pas mis la législation nationale en</w:t>
      </w:r>
      <w:r w:rsidR="00021BE0">
        <w:rPr>
          <w:lang w:val="fr-FR"/>
        </w:rPr>
        <w:t> </w:t>
      </w:r>
      <w:r>
        <w:rPr>
          <w:lang w:val="fr-FR"/>
        </w:rPr>
        <w:t xml:space="preserve">conformité avec la Convention </w:t>
      </w:r>
      <w:r w:rsidRPr="00870546">
        <w:rPr>
          <w:lang w:val="fr-FR"/>
        </w:rPr>
        <w:t>(art. 2).</w:t>
      </w:r>
    </w:p>
    <w:p w:rsidR="00053626" w:rsidRPr="00870546" w:rsidRDefault="00053626" w:rsidP="008B2D70">
      <w:pPr>
        <w:pStyle w:val="SingleTxtG"/>
        <w:rPr>
          <w:b/>
          <w:lang w:val="fr-FR"/>
        </w:rPr>
      </w:pPr>
      <w:r>
        <w:rPr>
          <w:b/>
          <w:lang w:val="fr-FR"/>
        </w:rPr>
        <w:t>Le Comité encourage l</w:t>
      </w:r>
      <w:r w:rsidR="00646DFA">
        <w:rPr>
          <w:b/>
          <w:lang w:val="fr-FR"/>
        </w:rPr>
        <w:t>’</w:t>
      </w:r>
      <w:r>
        <w:rPr>
          <w:b/>
          <w:lang w:val="fr-FR"/>
        </w:rPr>
        <w:t>État partie à mettre sa législation nationale en conformité avec les normes internationales, en particulier avec les dispositions de la Convention.</w:t>
      </w:r>
      <w:r w:rsidRPr="00870546">
        <w:rPr>
          <w:b/>
          <w:lang w:val="fr-FR"/>
        </w:rPr>
        <w:t xml:space="preserve"> </w:t>
      </w:r>
      <w:r>
        <w:rPr>
          <w:b/>
          <w:lang w:val="fr-FR"/>
        </w:rPr>
        <w:t>Il</w:t>
      </w:r>
      <w:r w:rsidR="008B2D70">
        <w:rPr>
          <w:b/>
          <w:lang w:val="fr-FR"/>
        </w:rPr>
        <w:t> </w:t>
      </w:r>
      <w:r>
        <w:rPr>
          <w:b/>
          <w:lang w:val="fr-FR"/>
        </w:rPr>
        <w:t>demande à l</w:t>
      </w:r>
      <w:r w:rsidR="00646DFA">
        <w:rPr>
          <w:b/>
          <w:lang w:val="fr-FR"/>
        </w:rPr>
        <w:t>’</w:t>
      </w:r>
      <w:r>
        <w:rPr>
          <w:b/>
          <w:lang w:val="fr-FR"/>
        </w:rPr>
        <w:t>État partie de lui fournir des renseignements sur les cas dans lesquels la Convention a été directement invoquée devant les tribunaux nationaux.</w:t>
      </w:r>
    </w:p>
    <w:p w:rsidR="00053626" w:rsidRDefault="00053626" w:rsidP="008B2D70">
      <w:pPr>
        <w:pStyle w:val="H23G"/>
        <w:rPr>
          <w:lang w:val="fr-FR"/>
        </w:rPr>
      </w:pPr>
      <w:r w:rsidRPr="00870546">
        <w:rPr>
          <w:lang w:val="fr-FR"/>
        </w:rPr>
        <w:tab/>
      </w:r>
      <w:r w:rsidRPr="00870546">
        <w:rPr>
          <w:lang w:val="fr-FR"/>
        </w:rPr>
        <w:tab/>
      </w:r>
      <w:r>
        <w:rPr>
          <w:lang w:val="fr-FR"/>
        </w:rPr>
        <w:t xml:space="preserve">Législation </w:t>
      </w:r>
      <w:r w:rsidR="008B2D70">
        <w:rPr>
          <w:lang w:val="fr-FR"/>
        </w:rPr>
        <w:t xml:space="preserve">portant </w:t>
      </w:r>
      <w:r>
        <w:rPr>
          <w:lang w:val="fr-FR"/>
        </w:rPr>
        <w:t>l</w:t>
      </w:r>
      <w:r w:rsidR="00646DFA">
        <w:rPr>
          <w:lang w:val="fr-FR"/>
        </w:rPr>
        <w:t>’</w:t>
      </w:r>
      <w:r>
        <w:rPr>
          <w:lang w:val="fr-FR"/>
        </w:rPr>
        <w:t>interdiction des organisations racistes</w:t>
      </w:r>
    </w:p>
    <w:p w:rsidR="00053626" w:rsidRPr="008B2D70" w:rsidRDefault="00053626" w:rsidP="008B2D70">
      <w:pPr>
        <w:pStyle w:val="ParNoG"/>
        <w:rPr>
          <w:lang w:val="fr-FR"/>
        </w:rPr>
      </w:pPr>
      <w:r>
        <w:rPr>
          <w:lang w:val="fr-FR"/>
        </w:rPr>
        <w:t>Le Comité note que la législation de l</w:t>
      </w:r>
      <w:r w:rsidR="00646DFA">
        <w:rPr>
          <w:lang w:val="fr-FR"/>
        </w:rPr>
        <w:t>’</w:t>
      </w:r>
      <w:r>
        <w:rPr>
          <w:lang w:val="fr-FR"/>
        </w:rPr>
        <w:t xml:space="preserve">État partie ne </w:t>
      </w:r>
      <w:r w:rsidRPr="001E46ED">
        <w:rPr>
          <w:lang w:val="fr-FR"/>
        </w:rPr>
        <w:t xml:space="preserve">déclare </w:t>
      </w:r>
      <w:r w:rsidRPr="005E0DBC">
        <w:rPr>
          <w:lang w:val="fr-FR"/>
        </w:rPr>
        <w:t xml:space="preserve">pas </w:t>
      </w:r>
      <w:r w:rsidRPr="001E46ED">
        <w:rPr>
          <w:lang w:val="fr-FR"/>
        </w:rPr>
        <w:t>illégales les organisations qui incitent à la discrimination raciale et l</w:t>
      </w:r>
      <w:r w:rsidR="00646DFA">
        <w:rPr>
          <w:lang w:val="fr-FR"/>
        </w:rPr>
        <w:t>’</w:t>
      </w:r>
      <w:r w:rsidRPr="001E46ED">
        <w:rPr>
          <w:lang w:val="fr-FR"/>
        </w:rPr>
        <w:t>encouragent</w:t>
      </w:r>
      <w:r>
        <w:rPr>
          <w:lang w:val="fr-FR"/>
        </w:rPr>
        <w:t xml:space="preserve"> (art.</w:t>
      </w:r>
      <w:r w:rsidR="008B2D70">
        <w:rPr>
          <w:lang w:val="fr-FR"/>
        </w:rPr>
        <w:t> </w:t>
      </w:r>
      <w:r>
        <w:rPr>
          <w:lang w:val="fr-FR"/>
        </w:rPr>
        <w:t>2 et 4</w:t>
      </w:r>
      <w:r w:rsidR="008B2D70">
        <w:rPr>
          <w:lang w:val="fr-FR"/>
        </w:rPr>
        <w:t> </w:t>
      </w:r>
      <w:r w:rsidRPr="00870546">
        <w:rPr>
          <w:lang w:val="fr-FR"/>
        </w:rPr>
        <w:t>b)).</w:t>
      </w:r>
    </w:p>
    <w:p w:rsidR="00053626" w:rsidRPr="00870546" w:rsidRDefault="00053626" w:rsidP="008B2D70">
      <w:pPr>
        <w:pStyle w:val="SingleTxtG"/>
        <w:rPr>
          <w:b/>
          <w:lang w:val="fr-FR"/>
        </w:rPr>
      </w:pPr>
      <w:r>
        <w:rPr>
          <w:b/>
          <w:lang w:val="fr-FR"/>
        </w:rPr>
        <w:t>Le Comité recommande à l</w:t>
      </w:r>
      <w:r w:rsidR="00646DFA">
        <w:rPr>
          <w:b/>
          <w:lang w:val="fr-FR"/>
        </w:rPr>
        <w:t>’</w:t>
      </w:r>
      <w:r>
        <w:rPr>
          <w:b/>
          <w:lang w:val="fr-FR"/>
        </w:rPr>
        <w:t>État partie de modifier sa législation afin de déclarer illégales les organisations qui incitent à la discrimination raciale et l</w:t>
      </w:r>
      <w:r w:rsidR="00646DFA">
        <w:rPr>
          <w:b/>
          <w:lang w:val="fr-FR"/>
        </w:rPr>
        <w:t>’</w:t>
      </w:r>
      <w:r>
        <w:rPr>
          <w:b/>
          <w:lang w:val="fr-FR"/>
        </w:rPr>
        <w:t>encouragent.</w:t>
      </w:r>
    </w:p>
    <w:p w:rsidR="00053626" w:rsidRDefault="00053626" w:rsidP="008B2D70">
      <w:pPr>
        <w:pStyle w:val="H23G"/>
        <w:rPr>
          <w:lang w:val="fr-FR"/>
        </w:rPr>
      </w:pPr>
      <w:r w:rsidRPr="00870546">
        <w:rPr>
          <w:lang w:val="fr-FR"/>
        </w:rPr>
        <w:tab/>
      </w:r>
      <w:r w:rsidRPr="00870546">
        <w:rPr>
          <w:lang w:val="fr-FR"/>
        </w:rPr>
        <w:tab/>
      </w:r>
      <w:r>
        <w:rPr>
          <w:lang w:val="fr-FR"/>
        </w:rPr>
        <w:t>Motivation racist</w:t>
      </w:r>
      <w:r w:rsidR="008B2D70">
        <w:rPr>
          <w:lang w:val="fr-FR"/>
        </w:rPr>
        <w:t>e comme circonstance aggravante</w:t>
      </w:r>
    </w:p>
    <w:p w:rsidR="00053626" w:rsidRPr="008B2D70" w:rsidRDefault="00053626" w:rsidP="008B2D70">
      <w:pPr>
        <w:pStyle w:val="ParNoG"/>
        <w:rPr>
          <w:lang w:val="fr-FR"/>
        </w:rPr>
      </w:pPr>
      <w:r>
        <w:rPr>
          <w:lang w:val="fr-FR"/>
        </w:rPr>
        <w:t>Le Comité note avec préoccupation que les motivations fondées sur la race, la</w:t>
      </w:r>
      <w:r w:rsidR="00A90A58">
        <w:rPr>
          <w:lang w:val="fr-FR"/>
        </w:rPr>
        <w:t> </w:t>
      </w:r>
      <w:r>
        <w:rPr>
          <w:lang w:val="fr-FR"/>
        </w:rPr>
        <w:t>nationalité et l</w:t>
      </w:r>
      <w:r w:rsidR="00646DFA">
        <w:rPr>
          <w:lang w:val="fr-FR"/>
        </w:rPr>
        <w:t>’</w:t>
      </w:r>
      <w:r>
        <w:rPr>
          <w:lang w:val="fr-FR"/>
        </w:rPr>
        <w:t>appartenance ethnique ou ethnoreligieuse ne sont pas considérées comme des circonstances aggravantes</w:t>
      </w:r>
      <w:r w:rsidRPr="00870546">
        <w:rPr>
          <w:lang w:val="fr-FR"/>
        </w:rPr>
        <w:t xml:space="preserve"> </w:t>
      </w:r>
      <w:r>
        <w:rPr>
          <w:lang w:val="fr-FR"/>
        </w:rPr>
        <w:t>dans la détermination des peines</w:t>
      </w:r>
      <w:r w:rsidRPr="00870546">
        <w:rPr>
          <w:lang w:val="fr-FR"/>
        </w:rPr>
        <w:t xml:space="preserve"> (art.</w:t>
      </w:r>
      <w:r w:rsidR="008B2D70">
        <w:rPr>
          <w:lang w:val="fr-FR"/>
        </w:rPr>
        <w:t> </w:t>
      </w:r>
      <w:r w:rsidRPr="00870546">
        <w:rPr>
          <w:lang w:val="fr-FR"/>
        </w:rPr>
        <w:t>4).</w:t>
      </w:r>
    </w:p>
    <w:p w:rsidR="00053626" w:rsidRPr="00870546" w:rsidRDefault="00053626" w:rsidP="008B2D70">
      <w:pPr>
        <w:pStyle w:val="SingleTxtG"/>
        <w:rPr>
          <w:b/>
          <w:lang w:val="fr-FR"/>
        </w:rPr>
      </w:pPr>
      <w:r>
        <w:rPr>
          <w:b/>
          <w:lang w:val="fr-FR"/>
        </w:rPr>
        <w:t>Le Comité recommande à l</w:t>
      </w:r>
      <w:r w:rsidR="00646DFA">
        <w:rPr>
          <w:b/>
          <w:lang w:val="fr-FR"/>
        </w:rPr>
        <w:t>’</w:t>
      </w:r>
      <w:r>
        <w:rPr>
          <w:b/>
          <w:lang w:val="fr-FR"/>
        </w:rPr>
        <w:t>État partie de modifier son Code pénal afin que les motivations fondées sur la race, la nationalité et l</w:t>
      </w:r>
      <w:r w:rsidR="00646DFA">
        <w:rPr>
          <w:b/>
          <w:lang w:val="fr-FR"/>
        </w:rPr>
        <w:t>’</w:t>
      </w:r>
      <w:r>
        <w:rPr>
          <w:b/>
          <w:lang w:val="fr-FR"/>
        </w:rPr>
        <w:t>appartenance ethnique ou ethnoreligieuse soient considérées comme des circonstances aggravantes dans la détermination des peines.</w:t>
      </w:r>
    </w:p>
    <w:p w:rsidR="00053626" w:rsidRDefault="00053626" w:rsidP="008B2D70">
      <w:pPr>
        <w:pStyle w:val="H23G"/>
        <w:rPr>
          <w:lang w:val="fr-FR"/>
        </w:rPr>
      </w:pPr>
      <w:r w:rsidRPr="00870546">
        <w:rPr>
          <w:lang w:val="fr-FR"/>
        </w:rPr>
        <w:tab/>
      </w:r>
      <w:r w:rsidRPr="00870546">
        <w:rPr>
          <w:lang w:val="fr-FR"/>
        </w:rPr>
        <w:tab/>
      </w:r>
      <w:r>
        <w:rPr>
          <w:lang w:val="fr-FR"/>
        </w:rPr>
        <w:t>Application de la loi relative à l</w:t>
      </w:r>
      <w:r w:rsidR="00646DFA">
        <w:rPr>
          <w:lang w:val="fr-FR"/>
        </w:rPr>
        <w:t>’</w:t>
      </w:r>
      <w:r>
        <w:rPr>
          <w:lang w:val="fr-FR"/>
        </w:rPr>
        <w:t xml:space="preserve">interdiction de la discrimination </w:t>
      </w:r>
    </w:p>
    <w:p w:rsidR="00053626" w:rsidRPr="008B2D70" w:rsidRDefault="00053626" w:rsidP="008B2D70">
      <w:pPr>
        <w:pStyle w:val="ParNoG"/>
        <w:rPr>
          <w:lang w:val="fr-FR"/>
        </w:rPr>
      </w:pPr>
      <w:r>
        <w:rPr>
          <w:lang w:val="fr-FR"/>
        </w:rPr>
        <w:t>Le Comité s</w:t>
      </w:r>
      <w:r w:rsidR="00646DFA">
        <w:rPr>
          <w:lang w:val="fr-FR"/>
        </w:rPr>
        <w:t>’</w:t>
      </w:r>
      <w:r>
        <w:rPr>
          <w:lang w:val="fr-FR"/>
        </w:rPr>
        <w:t>inquiète du faible nombre d</w:t>
      </w:r>
      <w:r w:rsidR="00646DFA">
        <w:rPr>
          <w:lang w:val="fr-FR"/>
        </w:rPr>
        <w:t>’</w:t>
      </w:r>
      <w:r>
        <w:rPr>
          <w:lang w:val="fr-FR"/>
        </w:rPr>
        <w:t>affaires de discrimination raciale portées devant les tribunaux, ainsi que du nombre restreint de condamnations prononcées dans le cadre de ces affaires. Il est également préoccupé par les informations selon lesquelles même dans des cas très graves, l</w:t>
      </w:r>
      <w:r w:rsidR="00646DFA">
        <w:rPr>
          <w:lang w:val="fr-FR"/>
        </w:rPr>
        <w:t>’</w:t>
      </w:r>
      <w:r>
        <w:rPr>
          <w:lang w:val="fr-FR"/>
        </w:rPr>
        <w:t>incitation à la haine raciale est considérée comme un simple délit et donne rarement lieu à une condamnation (art</w:t>
      </w:r>
      <w:r w:rsidRPr="00870546">
        <w:rPr>
          <w:lang w:val="fr-FR"/>
        </w:rPr>
        <w:t>.</w:t>
      </w:r>
      <w:r w:rsidR="008B2D70">
        <w:rPr>
          <w:lang w:val="fr-FR"/>
        </w:rPr>
        <w:t> </w:t>
      </w:r>
      <w:r w:rsidRPr="00870546">
        <w:rPr>
          <w:lang w:val="fr-FR"/>
        </w:rPr>
        <w:t xml:space="preserve">2, 4, 5, 6 </w:t>
      </w:r>
      <w:r>
        <w:rPr>
          <w:lang w:val="fr-FR"/>
        </w:rPr>
        <w:t>et</w:t>
      </w:r>
      <w:r w:rsidR="008B2D70">
        <w:rPr>
          <w:lang w:val="fr-FR"/>
        </w:rPr>
        <w:t> 7).</w:t>
      </w:r>
    </w:p>
    <w:p w:rsidR="00053626" w:rsidRPr="00870546" w:rsidRDefault="00053626" w:rsidP="00101DDF">
      <w:pPr>
        <w:pStyle w:val="SingleTxtG"/>
        <w:keepNext/>
        <w:rPr>
          <w:lang w:val="fr-FR"/>
        </w:rPr>
      </w:pPr>
      <w:r>
        <w:rPr>
          <w:b/>
          <w:lang w:val="fr-FR"/>
        </w:rPr>
        <w:t xml:space="preserve">Rappelant sa Recommandation générale </w:t>
      </w:r>
      <w:r w:rsidR="00101DDF" w:rsidRPr="00101DDF">
        <w:rPr>
          <w:b/>
          <w:lang w:val="fr-FR"/>
        </w:rPr>
        <w:t>n</w:t>
      </w:r>
      <w:r w:rsidR="00101DDF" w:rsidRPr="00101DDF">
        <w:rPr>
          <w:b/>
          <w:vertAlign w:val="superscript"/>
          <w:lang w:val="fr-FR"/>
        </w:rPr>
        <w:t>o</w:t>
      </w:r>
      <w:r w:rsidR="00101DDF">
        <w:rPr>
          <w:b/>
          <w:lang w:val="fr-FR"/>
        </w:rPr>
        <w:t> </w:t>
      </w:r>
      <w:r w:rsidRPr="00870546">
        <w:rPr>
          <w:b/>
          <w:lang w:val="fr-FR"/>
        </w:rPr>
        <w:t>31 (2005</w:t>
      </w:r>
      <w:r>
        <w:rPr>
          <w:b/>
          <w:lang w:val="fr-FR"/>
        </w:rPr>
        <w:t xml:space="preserve">) </w:t>
      </w:r>
      <w:r w:rsidR="00A90A58">
        <w:rPr>
          <w:b/>
          <w:lang w:val="fr-FR"/>
        </w:rPr>
        <w:t>sur</w:t>
      </w:r>
      <w:r w:rsidRPr="001E46ED">
        <w:rPr>
          <w:b/>
          <w:lang w:val="fr-FR"/>
        </w:rPr>
        <w:t xml:space="preserve"> la</w:t>
      </w:r>
      <w:r w:rsidRPr="001E46ED">
        <w:rPr>
          <w:b/>
          <w:bCs/>
        </w:rPr>
        <w:t xml:space="preserve"> discrimination raciale dans l</w:t>
      </w:r>
      <w:r w:rsidR="00646DFA">
        <w:rPr>
          <w:b/>
          <w:bCs/>
        </w:rPr>
        <w:t>’</w:t>
      </w:r>
      <w:r w:rsidRPr="001E46ED">
        <w:rPr>
          <w:b/>
          <w:bCs/>
        </w:rPr>
        <w:t>administration et le fonctionnement du système de justice pénale</w:t>
      </w:r>
      <w:r w:rsidRPr="001E46ED">
        <w:rPr>
          <w:b/>
          <w:lang w:val="fr-FR"/>
        </w:rPr>
        <w:t>,</w:t>
      </w:r>
      <w:r w:rsidRPr="00870546">
        <w:rPr>
          <w:b/>
          <w:lang w:val="fr-FR"/>
        </w:rPr>
        <w:t xml:space="preserve"> </w:t>
      </w:r>
      <w:r>
        <w:rPr>
          <w:b/>
          <w:lang w:val="fr-FR"/>
        </w:rPr>
        <w:t>le</w:t>
      </w:r>
      <w:r w:rsidR="00101DDF">
        <w:rPr>
          <w:b/>
          <w:lang w:val="fr-FR"/>
        </w:rPr>
        <w:t> </w:t>
      </w:r>
      <w:r>
        <w:rPr>
          <w:b/>
          <w:lang w:val="fr-FR"/>
        </w:rPr>
        <w:t>Comité recommande à l</w:t>
      </w:r>
      <w:r w:rsidR="00646DFA">
        <w:rPr>
          <w:b/>
          <w:lang w:val="fr-FR"/>
        </w:rPr>
        <w:t>’</w:t>
      </w:r>
      <w:r>
        <w:rPr>
          <w:b/>
          <w:lang w:val="fr-FR"/>
        </w:rPr>
        <w:t>État partie</w:t>
      </w:r>
      <w:r w:rsidRPr="00870546">
        <w:rPr>
          <w:b/>
          <w:lang w:val="fr-FR"/>
        </w:rPr>
        <w:t>:</w:t>
      </w:r>
    </w:p>
    <w:p w:rsidR="00053626" w:rsidRPr="00101DDF" w:rsidRDefault="00053626" w:rsidP="00101DDF">
      <w:pPr>
        <w:pStyle w:val="SingleTxtG"/>
        <w:ind w:firstLine="567"/>
        <w:rPr>
          <w:b/>
          <w:lang w:val="fr-FR"/>
        </w:rPr>
      </w:pPr>
      <w:r w:rsidRPr="00101DDF">
        <w:rPr>
          <w:b/>
          <w:lang w:val="fr-FR"/>
        </w:rPr>
        <w:t>a)</w:t>
      </w:r>
      <w:r w:rsidRPr="00101DDF">
        <w:rPr>
          <w:b/>
          <w:lang w:val="fr-FR"/>
        </w:rPr>
        <w:tab/>
        <w:t>De mener, aux niveaux local et national, de vastes campagnes d</w:t>
      </w:r>
      <w:r w:rsidR="00646DFA">
        <w:rPr>
          <w:b/>
          <w:lang w:val="fr-FR"/>
        </w:rPr>
        <w:t>’</w:t>
      </w:r>
      <w:r w:rsidRPr="00101DDF">
        <w:rPr>
          <w:b/>
          <w:lang w:val="fr-FR"/>
        </w:rPr>
        <w:t xml:space="preserve">information sur la marche à suivre pour dénoncer </w:t>
      </w:r>
      <w:r w:rsidR="00A90A58">
        <w:rPr>
          <w:b/>
          <w:lang w:val="fr-FR"/>
        </w:rPr>
        <w:t>d</w:t>
      </w:r>
      <w:r w:rsidRPr="00101DDF">
        <w:rPr>
          <w:b/>
          <w:lang w:val="fr-FR"/>
        </w:rPr>
        <w:t>es cas de discrimination raciale et d</w:t>
      </w:r>
      <w:r w:rsidR="00646DFA">
        <w:rPr>
          <w:b/>
          <w:lang w:val="fr-FR"/>
        </w:rPr>
        <w:t>’</w:t>
      </w:r>
      <w:r w:rsidRPr="00101DDF">
        <w:rPr>
          <w:b/>
          <w:lang w:val="fr-FR"/>
        </w:rPr>
        <w:t>incitation à la haine auprès de l</w:t>
      </w:r>
      <w:r w:rsidR="00646DFA">
        <w:rPr>
          <w:b/>
          <w:lang w:val="fr-FR"/>
        </w:rPr>
        <w:t>’</w:t>
      </w:r>
      <w:r w:rsidRPr="00101DDF">
        <w:rPr>
          <w:b/>
          <w:lang w:val="fr-FR"/>
        </w:rPr>
        <w:t>Ombudsman et des autres autorités compétentes et pour les porter devant les tribunaux;</w:t>
      </w:r>
    </w:p>
    <w:p w:rsidR="00053626" w:rsidRPr="00870546" w:rsidRDefault="00053626" w:rsidP="00A90A58">
      <w:pPr>
        <w:pStyle w:val="SingleTxtG"/>
        <w:ind w:firstLine="567"/>
        <w:rPr>
          <w:b/>
          <w:lang w:val="fr-FR"/>
        </w:rPr>
      </w:pPr>
      <w:r w:rsidRPr="00870546">
        <w:rPr>
          <w:b/>
          <w:lang w:val="fr-FR"/>
        </w:rPr>
        <w:t>b)</w:t>
      </w:r>
      <w:r w:rsidRPr="00870546">
        <w:rPr>
          <w:b/>
          <w:lang w:val="fr-FR"/>
        </w:rPr>
        <w:tab/>
      </w:r>
      <w:r>
        <w:rPr>
          <w:b/>
          <w:lang w:val="fr-FR"/>
        </w:rPr>
        <w:t>De renforcer la formation initiale et continue des juges, des procureurs, des avocats et des forces de police afin de leur permettre de déceler et de réprimer les infractions à motivation raciste</w:t>
      </w:r>
      <w:r w:rsidRPr="00870546">
        <w:rPr>
          <w:b/>
          <w:lang w:val="fr-FR"/>
        </w:rPr>
        <w:t>;</w:t>
      </w:r>
    </w:p>
    <w:p w:rsidR="00053626" w:rsidRPr="00870546" w:rsidRDefault="00053626" w:rsidP="00A90A58">
      <w:pPr>
        <w:pStyle w:val="SingleTxtG"/>
        <w:ind w:firstLine="567"/>
        <w:rPr>
          <w:b/>
          <w:lang w:val="fr-FR"/>
        </w:rPr>
      </w:pPr>
      <w:r w:rsidRPr="00870546">
        <w:rPr>
          <w:b/>
          <w:lang w:val="fr-FR"/>
        </w:rPr>
        <w:t>c)</w:t>
      </w:r>
      <w:r w:rsidRPr="00870546">
        <w:rPr>
          <w:b/>
          <w:lang w:val="fr-FR"/>
        </w:rPr>
        <w:tab/>
      </w:r>
      <w:r>
        <w:rPr>
          <w:b/>
          <w:lang w:val="fr-FR"/>
        </w:rPr>
        <w:t>De dispenser aux juges, aux procureurs, aux avocats et aux forces de police une formation sur les dispositions pénales relatives au racisme, à l</w:t>
      </w:r>
      <w:r w:rsidR="00646DFA">
        <w:rPr>
          <w:b/>
          <w:lang w:val="fr-FR"/>
        </w:rPr>
        <w:t>’</w:t>
      </w:r>
      <w:r>
        <w:rPr>
          <w:b/>
          <w:lang w:val="fr-FR"/>
        </w:rPr>
        <w:t xml:space="preserve">égalité de traitement et à la </w:t>
      </w:r>
      <w:r w:rsidRPr="00870546">
        <w:rPr>
          <w:b/>
          <w:lang w:val="fr-FR"/>
        </w:rPr>
        <w:t>non</w:t>
      </w:r>
      <w:r w:rsidR="00DA7175">
        <w:rPr>
          <w:b/>
          <w:lang w:val="fr-FR"/>
        </w:rPr>
        <w:noBreakHyphen/>
      </w:r>
      <w:r w:rsidRPr="00870546">
        <w:rPr>
          <w:b/>
          <w:lang w:val="fr-FR"/>
        </w:rPr>
        <w:t>discrimination</w:t>
      </w:r>
      <w:r>
        <w:rPr>
          <w:b/>
          <w:lang w:val="fr-FR"/>
        </w:rPr>
        <w:t xml:space="preserve"> et de faire figurer une évaluation de cette formation dans le prochain rapport périodique</w:t>
      </w:r>
      <w:r w:rsidRPr="00870546">
        <w:rPr>
          <w:b/>
          <w:lang w:val="fr-FR"/>
        </w:rPr>
        <w:t>;</w:t>
      </w:r>
    </w:p>
    <w:p w:rsidR="00053626" w:rsidRPr="00870546" w:rsidRDefault="00053626" w:rsidP="00250DF6">
      <w:pPr>
        <w:pStyle w:val="SingleTxtG"/>
        <w:keepLines/>
        <w:spacing w:line="220" w:lineRule="atLeast"/>
        <w:ind w:firstLine="567"/>
        <w:rPr>
          <w:b/>
          <w:lang w:val="fr-FR"/>
        </w:rPr>
      </w:pPr>
      <w:r w:rsidRPr="00870546">
        <w:rPr>
          <w:b/>
          <w:lang w:val="fr-FR"/>
        </w:rPr>
        <w:t>d)</w:t>
      </w:r>
      <w:r w:rsidRPr="00870546">
        <w:rPr>
          <w:b/>
          <w:lang w:val="fr-FR"/>
        </w:rPr>
        <w:tab/>
      </w:r>
      <w:r>
        <w:rPr>
          <w:b/>
          <w:lang w:val="fr-FR"/>
        </w:rPr>
        <w:t xml:space="preserve">De veiller à ce que les auteurs </w:t>
      </w:r>
      <w:r w:rsidR="00A90A58">
        <w:rPr>
          <w:b/>
          <w:lang w:val="fr-FR"/>
        </w:rPr>
        <w:t>d</w:t>
      </w:r>
      <w:r w:rsidR="00646DFA">
        <w:rPr>
          <w:b/>
          <w:lang w:val="fr-FR"/>
        </w:rPr>
        <w:t>’</w:t>
      </w:r>
      <w:r w:rsidR="00A90A58">
        <w:rPr>
          <w:b/>
          <w:lang w:val="fr-FR"/>
        </w:rPr>
        <w:t xml:space="preserve">actes </w:t>
      </w:r>
      <w:r>
        <w:rPr>
          <w:b/>
          <w:lang w:val="fr-FR"/>
        </w:rPr>
        <w:t>de discrimination raciale</w:t>
      </w:r>
      <w:r w:rsidR="00A90A58">
        <w:rPr>
          <w:b/>
          <w:lang w:val="fr-FR"/>
        </w:rPr>
        <w:t xml:space="preserve"> et</w:t>
      </w:r>
      <w:r>
        <w:rPr>
          <w:b/>
          <w:lang w:val="fr-FR"/>
        </w:rPr>
        <w:t xml:space="preserve"> d</w:t>
      </w:r>
      <w:r w:rsidR="00646DFA">
        <w:rPr>
          <w:b/>
          <w:lang w:val="fr-FR"/>
        </w:rPr>
        <w:t>’</w:t>
      </w:r>
      <w:r>
        <w:rPr>
          <w:b/>
          <w:lang w:val="fr-FR"/>
        </w:rPr>
        <w:t>incitation à la haine et d</w:t>
      </w:r>
      <w:r w:rsidR="00646DFA">
        <w:rPr>
          <w:b/>
          <w:lang w:val="fr-FR"/>
        </w:rPr>
        <w:t>’</w:t>
      </w:r>
      <w:r>
        <w:rPr>
          <w:b/>
          <w:lang w:val="fr-FR"/>
        </w:rPr>
        <w:t>infractions motivées par la haine raciale se voient infliger des peines proportionnelles à la gravité de leurs actes, et d</w:t>
      </w:r>
      <w:r w:rsidR="00646DFA">
        <w:rPr>
          <w:b/>
          <w:lang w:val="fr-FR"/>
        </w:rPr>
        <w:t>’</w:t>
      </w:r>
      <w:r>
        <w:rPr>
          <w:b/>
          <w:lang w:val="fr-FR"/>
        </w:rPr>
        <w:t>accélérer le tr</w:t>
      </w:r>
      <w:r w:rsidR="00A90A58">
        <w:rPr>
          <w:b/>
          <w:lang w:val="fr-FR"/>
        </w:rPr>
        <w:t>aitement de ce type d</w:t>
      </w:r>
      <w:r w:rsidR="00646DFA">
        <w:rPr>
          <w:b/>
          <w:lang w:val="fr-FR"/>
        </w:rPr>
        <w:t>’</w:t>
      </w:r>
      <w:r w:rsidR="00A90A58">
        <w:rPr>
          <w:b/>
          <w:lang w:val="fr-FR"/>
        </w:rPr>
        <w:t>affaires;</w:t>
      </w:r>
    </w:p>
    <w:p w:rsidR="00053626" w:rsidRPr="00870546" w:rsidRDefault="00053626" w:rsidP="00250DF6">
      <w:pPr>
        <w:pStyle w:val="SingleTxtG"/>
        <w:spacing w:line="220" w:lineRule="atLeast"/>
        <w:ind w:firstLine="567"/>
        <w:rPr>
          <w:b/>
          <w:lang w:val="fr-FR"/>
        </w:rPr>
      </w:pPr>
      <w:r w:rsidRPr="00870546">
        <w:rPr>
          <w:b/>
          <w:lang w:val="fr-FR"/>
        </w:rPr>
        <w:t>e)</w:t>
      </w:r>
      <w:r w:rsidRPr="00870546">
        <w:rPr>
          <w:b/>
          <w:lang w:val="fr-FR"/>
        </w:rPr>
        <w:tab/>
      </w:r>
      <w:r>
        <w:rPr>
          <w:b/>
          <w:lang w:val="fr-FR"/>
        </w:rPr>
        <w:t xml:space="preserve">De créer un mécanisme permettant de </w:t>
      </w:r>
      <w:r w:rsidR="00A90A58">
        <w:rPr>
          <w:b/>
          <w:lang w:val="fr-FR"/>
        </w:rPr>
        <w:t>reconnaître</w:t>
      </w:r>
      <w:r>
        <w:rPr>
          <w:b/>
          <w:lang w:val="fr-FR"/>
        </w:rPr>
        <w:t>, d</w:t>
      </w:r>
      <w:r w:rsidR="00646DFA">
        <w:rPr>
          <w:b/>
          <w:lang w:val="fr-FR"/>
        </w:rPr>
        <w:t>’</w:t>
      </w:r>
      <w:r>
        <w:rPr>
          <w:b/>
          <w:lang w:val="fr-FR"/>
        </w:rPr>
        <w:t>enregistrer et d</w:t>
      </w:r>
      <w:r w:rsidR="00646DFA">
        <w:rPr>
          <w:b/>
          <w:lang w:val="fr-FR"/>
        </w:rPr>
        <w:t>’</w:t>
      </w:r>
      <w:r>
        <w:rPr>
          <w:b/>
          <w:lang w:val="fr-FR"/>
        </w:rPr>
        <w:t xml:space="preserve">analyser ces cas et de fournir des informations </w:t>
      </w:r>
      <w:r w:rsidRPr="00BA1873">
        <w:rPr>
          <w:b/>
          <w:lang w:val="fr-FR"/>
        </w:rPr>
        <w:t xml:space="preserve">sur </w:t>
      </w:r>
      <w:r w:rsidR="00A90A58">
        <w:rPr>
          <w:b/>
          <w:lang w:val="fr-FR"/>
        </w:rPr>
        <w:t>leur</w:t>
      </w:r>
      <w:r>
        <w:rPr>
          <w:b/>
          <w:lang w:val="fr-FR"/>
        </w:rPr>
        <w:t xml:space="preserve"> fréquence </w:t>
      </w:r>
      <w:r w:rsidRPr="00BA1873">
        <w:rPr>
          <w:b/>
          <w:lang w:val="fr-FR"/>
        </w:rPr>
        <w:t>dans son</w:t>
      </w:r>
      <w:r>
        <w:rPr>
          <w:b/>
          <w:lang w:val="fr-FR"/>
        </w:rPr>
        <w:t xml:space="preserve"> prochain rapport périodique</w:t>
      </w:r>
      <w:r w:rsidRPr="00870546">
        <w:rPr>
          <w:b/>
          <w:lang w:val="fr-FR"/>
        </w:rPr>
        <w:t>.</w:t>
      </w:r>
    </w:p>
    <w:p w:rsidR="00053626" w:rsidRDefault="00053626" w:rsidP="00250DF6">
      <w:pPr>
        <w:pStyle w:val="H23G"/>
        <w:spacing w:line="220" w:lineRule="atLeast"/>
        <w:rPr>
          <w:lang w:val="fr-FR"/>
        </w:rPr>
      </w:pPr>
      <w:r w:rsidRPr="00870546">
        <w:rPr>
          <w:lang w:val="fr-FR"/>
        </w:rPr>
        <w:tab/>
      </w:r>
      <w:r w:rsidRPr="00870546">
        <w:rPr>
          <w:lang w:val="fr-FR"/>
        </w:rPr>
        <w:tab/>
      </w:r>
      <w:r w:rsidRPr="001E46ED">
        <w:rPr>
          <w:lang w:val="fr-FR"/>
        </w:rPr>
        <w:t>Protecteur des droits de l</w:t>
      </w:r>
      <w:r w:rsidR="00646DFA">
        <w:rPr>
          <w:lang w:val="fr-FR"/>
        </w:rPr>
        <w:t>’</w:t>
      </w:r>
      <w:r w:rsidRPr="001E46ED">
        <w:rPr>
          <w:lang w:val="fr-FR"/>
        </w:rPr>
        <w:t>homme et des libertés</w:t>
      </w:r>
      <w:r w:rsidRPr="00870546">
        <w:rPr>
          <w:lang w:val="fr-FR"/>
        </w:rPr>
        <w:t xml:space="preserve"> (Ombudsman)</w:t>
      </w:r>
    </w:p>
    <w:p w:rsidR="00053626" w:rsidRPr="00B40B17" w:rsidRDefault="00053626" w:rsidP="00250DF6">
      <w:pPr>
        <w:pStyle w:val="ParNoG"/>
        <w:spacing w:line="220" w:lineRule="atLeast"/>
        <w:rPr>
          <w:lang w:val="fr-FR"/>
        </w:rPr>
      </w:pPr>
      <w:r w:rsidRPr="00EE39EC">
        <w:rPr>
          <w:bCs/>
          <w:lang w:val="fr-FR"/>
        </w:rPr>
        <w:t>Le Comité</w:t>
      </w:r>
      <w:r>
        <w:rPr>
          <w:b/>
          <w:lang w:val="fr-FR"/>
        </w:rPr>
        <w:t xml:space="preserve"> </w:t>
      </w:r>
      <w:r>
        <w:rPr>
          <w:lang w:val="fr-FR"/>
        </w:rPr>
        <w:t>relève avec intérêt l</w:t>
      </w:r>
      <w:r w:rsidR="00646DFA">
        <w:rPr>
          <w:lang w:val="fr-FR"/>
        </w:rPr>
        <w:t>’</w:t>
      </w:r>
      <w:r>
        <w:rPr>
          <w:lang w:val="fr-FR"/>
        </w:rPr>
        <w:t xml:space="preserve">accroissement des ressources humaines et financières </w:t>
      </w:r>
      <w:r w:rsidR="00DA7175">
        <w:rPr>
          <w:lang w:val="fr-FR"/>
        </w:rPr>
        <w:t>allouées</w:t>
      </w:r>
      <w:r>
        <w:rPr>
          <w:lang w:val="fr-FR"/>
        </w:rPr>
        <w:t xml:space="preserve"> au bureau du Protecteur des droits de l</w:t>
      </w:r>
      <w:r w:rsidR="00646DFA">
        <w:rPr>
          <w:lang w:val="fr-FR"/>
        </w:rPr>
        <w:t>’</w:t>
      </w:r>
      <w:r>
        <w:rPr>
          <w:lang w:val="fr-FR"/>
        </w:rPr>
        <w:t xml:space="preserve">homme et des libertés </w:t>
      </w:r>
      <w:r w:rsidRPr="00870546">
        <w:rPr>
          <w:lang w:val="fr-FR"/>
        </w:rPr>
        <w:t>(Ombudsman)</w:t>
      </w:r>
      <w:r>
        <w:rPr>
          <w:lang w:val="fr-FR"/>
        </w:rPr>
        <w:t xml:space="preserve"> et note que ce dernier a déjà traité un certain nombre de cas de discrimination, mais constate avec préoccupation que l</w:t>
      </w:r>
      <w:r w:rsidR="00646DFA">
        <w:rPr>
          <w:lang w:val="fr-FR"/>
        </w:rPr>
        <w:t>’</w:t>
      </w:r>
      <w:r>
        <w:rPr>
          <w:lang w:val="fr-FR"/>
        </w:rPr>
        <w:t xml:space="preserve">Ombudsman ne dispose toujours pas des ressources humaines, techniques et financières nécessaires à la réalisation de son mandat, compte tenu de sa récente désignation comme mécanisme institutionnel de protection contre la discrimination et comme mécanisme national de prévention au titre du </w:t>
      </w:r>
      <w:r>
        <w:t>Protocole facultatif se rapportant à la Convention contre la torture et autres peines ou traitements cruels, inhumains ou dégradants</w:t>
      </w:r>
      <w:r w:rsidRPr="00870546">
        <w:rPr>
          <w:lang w:val="fr-FR"/>
        </w:rPr>
        <w:t>. I</w:t>
      </w:r>
      <w:r>
        <w:rPr>
          <w:lang w:val="fr-FR"/>
        </w:rPr>
        <w:t>l relève aussi avec préoccupation que l</w:t>
      </w:r>
      <w:r w:rsidR="00646DFA">
        <w:rPr>
          <w:lang w:val="fr-FR"/>
        </w:rPr>
        <w:t>’</w:t>
      </w:r>
      <w:r w:rsidRPr="00870546">
        <w:rPr>
          <w:lang w:val="fr-FR"/>
        </w:rPr>
        <w:t>Ombudsman</w:t>
      </w:r>
      <w:r>
        <w:rPr>
          <w:lang w:val="fr-FR"/>
        </w:rPr>
        <w:t xml:space="preserve"> n</w:t>
      </w:r>
      <w:r w:rsidR="00646DFA">
        <w:rPr>
          <w:lang w:val="fr-FR"/>
        </w:rPr>
        <w:t>’</w:t>
      </w:r>
      <w:r>
        <w:rPr>
          <w:lang w:val="fr-FR"/>
        </w:rPr>
        <w:t xml:space="preserve">est pas habilité à mener des enquêtes ni à engager des procédures judiciaires en cas de discrimination ou à y participer </w:t>
      </w:r>
      <w:r w:rsidRPr="00870546">
        <w:rPr>
          <w:lang w:val="fr-FR"/>
        </w:rPr>
        <w:t>(art. 2).</w:t>
      </w:r>
    </w:p>
    <w:p w:rsidR="00053626" w:rsidRPr="00250DF6" w:rsidRDefault="00053626" w:rsidP="00250DF6">
      <w:pPr>
        <w:pStyle w:val="SingleTxtG"/>
        <w:keepNext/>
        <w:spacing w:line="220" w:lineRule="atLeast"/>
        <w:rPr>
          <w:b/>
          <w:spacing w:val="-2"/>
          <w:lang w:val="fr-FR"/>
        </w:rPr>
      </w:pPr>
      <w:r w:rsidRPr="00250DF6">
        <w:rPr>
          <w:b/>
          <w:spacing w:val="-2"/>
          <w:lang w:val="fr-FR"/>
        </w:rPr>
        <w:t xml:space="preserve">À la lumière de sa Recommandation générale </w:t>
      </w:r>
      <w:r w:rsidR="00A90A58" w:rsidRPr="00250DF6">
        <w:rPr>
          <w:b/>
          <w:spacing w:val="-2"/>
          <w:lang w:val="fr-FR"/>
        </w:rPr>
        <w:t>n</w:t>
      </w:r>
      <w:r w:rsidR="00A90A58" w:rsidRPr="00250DF6">
        <w:rPr>
          <w:b/>
          <w:spacing w:val="-2"/>
          <w:vertAlign w:val="superscript"/>
          <w:lang w:val="fr-FR"/>
        </w:rPr>
        <w:t>o</w:t>
      </w:r>
      <w:r w:rsidR="00A90A58" w:rsidRPr="00250DF6">
        <w:rPr>
          <w:b/>
          <w:spacing w:val="-2"/>
          <w:lang w:val="fr-FR"/>
        </w:rPr>
        <w:t> </w:t>
      </w:r>
      <w:r w:rsidRPr="00250DF6">
        <w:rPr>
          <w:b/>
          <w:spacing w:val="-2"/>
          <w:lang w:val="fr-FR"/>
        </w:rPr>
        <w:t xml:space="preserve">17 (1993) </w:t>
      </w:r>
      <w:r w:rsidR="00A90A58" w:rsidRPr="00250DF6">
        <w:rPr>
          <w:b/>
          <w:spacing w:val="-2"/>
          <w:lang w:val="fr-FR"/>
        </w:rPr>
        <w:t>sur</w:t>
      </w:r>
      <w:r w:rsidRPr="00250DF6">
        <w:rPr>
          <w:b/>
          <w:spacing w:val="-2"/>
          <w:lang w:val="fr-FR"/>
        </w:rPr>
        <w:t xml:space="preserve"> la création d</w:t>
      </w:r>
      <w:r w:rsidR="00646DFA" w:rsidRPr="00250DF6">
        <w:rPr>
          <w:b/>
          <w:spacing w:val="-2"/>
          <w:lang w:val="fr-FR"/>
        </w:rPr>
        <w:t>’</w:t>
      </w:r>
      <w:r w:rsidRPr="00250DF6">
        <w:rPr>
          <w:b/>
          <w:spacing w:val="-2"/>
          <w:lang w:val="fr-FR"/>
        </w:rPr>
        <w:t>organismes nationaux pour faciliter l</w:t>
      </w:r>
      <w:r w:rsidR="00646DFA" w:rsidRPr="00250DF6">
        <w:rPr>
          <w:b/>
          <w:spacing w:val="-2"/>
          <w:lang w:val="fr-FR"/>
        </w:rPr>
        <w:t>’</w:t>
      </w:r>
      <w:r w:rsidRPr="00250DF6">
        <w:rPr>
          <w:b/>
          <w:spacing w:val="-2"/>
          <w:lang w:val="fr-FR"/>
        </w:rPr>
        <w:t>application de la Convention, le Com</w:t>
      </w:r>
      <w:r w:rsidR="00A90A58" w:rsidRPr="00250DF6">
        <w:rPr>
          <w:b/>
          <w:spacing w:val="-2"/>
          <w:lang w:val="fr-FR"/>
        </w:rPr>
        <w:t>ité prie l</w:t>
      </w:r>
      <w:r w:rsidR="00646DFA" w:rsidRPr="00250DF6">
        <w:rPr>
          <w:b/>
          <w:spacing w:val="-2"/>
          <w:lang w:val="fr-FR"/>
        </w:rPr>
        <w:t>’</w:t>
      </w:r>
      <w:r w:rsidR="00A90A58" w:rsidRPr="00250DF6">
        <w:rPr>
          <w:b/>
          <w:spacing w:val="-2"/>
          <w:lang w:val="fr-FR"/>
        </w:rPr>
        <w:t>État partie:</w:t>
      </w:r>
    </w:p>
    <w:p w:rsidR="00053626" w:rsidRPr="00870546" w:rsidRDefault="00053626" w:rsidP="00250DF6">
      <w:pPr>
        <w:pStyle w:val="SingleTxtG"/>
        <w:spacing w:line="220" w:lineRule="atLeast"/>
        <w:ind w:firstLine="567"/>
        <w:rPr>
          <w:b/>
          <w:lang w:val="fr-FR"/>
        </w:rPr>
      </w:pPr>
      <w:r w:rsidRPr="00870546">
        <w:rPr>
          <w:b/>
          <w:lang w:val="fr-FR"/>
        </w:rPr>
        <w:t>a)</w:t>
      </w:r>
      <w:r w:rsidRPr="00870546">
        <w:rPr>
          <w:b/>
          <w:lang w:val="fr-FR"/>
        </w:rPr>
        <w:tab/>
      </w:r>
      <w:r>
        <w:rPr>
          <w:b/>
          <w:lang w:val="fr-FR"/>
        </w:rPr>
        <w:t>De fournir à l</w:t>
      </w:r>
      <w:r w:rsidR="00646DFA">
        <w:rPr>
          <w:b/>
          <w:lang w:val="fr-FR"/>
        </w:rPr>
        <w:t>’</w:t>
      </w:r>
      <w:r w:rsidRPr="00870546">
        <w:rPr>
          <w:b/>
          <w:lang w:val="fr-FR"/>
        </w:rPr>
        <w:t xml:space="preserve">Ombudsman </w:t>
      </w:r>
      <w:r>
        <w:rPr>
          <w:b/>
          <w:lang w:val="fr-FR"/>
        </w:rPr>
        <w:t xml:space="preserve">les ressources humaines, techniques et financières nécessaires à la réalisation du mandat récemment élargi de son bureau; </w:t>
      </w:r>
    </w:p>
    <w:p w:rsidR="00053626" w:rsidRPr="00870546" w:rsidRDefault="00053626" w:rsidP="00250DF6">
      <w:pPr>
        <w:pStyle w:val="SingleTxtG"/>
        <w:spacing w:line="220" w:lineRule="atLeast"/>
        <w:ind w:firstLine="567"/>
        <w:rPr>
          <w:b/>
          <w:lang w:val="fr-FR"/>
        </w:rPr>
      </w:pPr>
      <w:r w:rsidRPr="00870546">
        <w:rPr>
          <w:b/>
          <w:lang w:val="fr-FR"/>
        </w:rPr>
        <w:t>b)</w:t>
      </w:r>
      <w:r w:rsidRPr="00870546">
        <w:rPr>
          <w:b/>
          <w:lang w:val="fr-FR"/>
        </w:rPr>
        <w:tab/>
      </w:r>
      <w:r>
        <w:rPr>
          <w:b/>
          <w:lang w:val="fr-FR"/>
        </w:rPr>
        <w:t>De mener, aux niveaux national et local, une vaste campagne d</w:t>
      </w:r>
      <w:r w:rsidR="00646DFA">
        <w:rPr>
          <w:b/>
          <w:lang w:val="fr-FR"/>
        </w:rPr>
        <w:t>’</w:t>
      </w:r>
      <w:r>
        <w:rPr>
          <w:b/>
          <w:lang w:val="fr-FR"/>
        </w:rPr>
        <w:t>information sur le mandat et les compétences de l</w:t>
      </w:r>
      <w:r w:rsidR="00646DFA">
        <w:rPr>
          <w:b/>
          <w:lang w:val="fr-FR"/>
        </w:rPr>
        <w:t>’</w:t>
      </w:r>
      <w:r w:rsidRPr="00870546">
        <w:rPr>
          <w:b/>
          <w:lang w:val="fr-FR"/>
        </w:rPr>
        <w:t>Ombudsman;</w:t>
      </w:r>
    </w:p>
    <w:p w:rsidR="00053626" w:rsidRPr="00870546" w:rsidRDefault="00053626" w:rsidP="00250DF6">
      <w:pPr>
        <w:pStyle w:val="SingleTxtG"/>
        <w:spacing w:line="220" w:lineRule="atLeast"/>
        <w:ind w:firstLine="567"/>
        <w:rPr>
          <w:b/>
          <w:lang w:val="fr-FR"/>
        </w:rPr>
      </w:pPr>
      <w:r w:rsidRPr="00870546">
        <w:rPr>
          <w:b/>
          <w:lang w:val="fr-FR"/>
        </w:rPr>
        <w:t>c)</w:t>
      </w:r>
      <w:r w:rsidRPr="00870546">
        <w:rPr>
          <w:b/>
          <w:lang w:val="fr-FR"/>
        </w:rPr>
        <w:tab/>
      </w:r>
      <w:r>
        <w:rPr>
          <w:b/>
          <w:lang w:val="fr-FR"/>
        </w:rPr>
        <w:t>D</w:t>
      </w:r>
      <w:r w:rsidR="00646DFA">
        <w:rPr>
          <w:b/>
          <w:lang w:val="fr-FR"/>
        </w:rPr>
        <w:t>’</w:t>
      </w:r>
      <w:r>
        <w:rPr>
          <w:b/>
          <w:lang w:val="fr-FR"/>
        </w:rPr>
        <w:t>évaluer l</w:t>
      </w:r>
      <w:r w:rsidR="00646DFA">
        <w:rPr>
          <w:b/>
          <w:lang w:val="fr-FR"/>
        </w:rPr>
        <w:t>’</w:t>
      </w:r>
      <w:r>
        <w:rPr>
          <w:b/>
          <w:lang w:val="fr-FR"/>
        </w:rPr>
        <w:t>efficacité des activités de l</w:t>
      </w:r>
      <w:r w:rsidR="00646DFA">
        <w:rPr>
          <w:b/>
          <w:lang w:val="fr-FR"/>
        </w:rPr>
        <w:t>’</w:t>
      </w:r>
      <w:r>
        <w:rPr>
          <w:b/>
          <w:lang w:val="fr-FR"/>
        </w:rPr>
        <w:t>Ombudsman et de faire figurer les conclusions de cette évaluation dans son prochain rapport périodique</w:t>
      </w:r>
      <w:r w:rsidRPr="00870546">
        <w:rPr>
          <w:b/>
          <w:lang w:val="fr-FR"/>
        </w:rPr>
        <w:t>;</w:t>
      </w:r>
    </w:p>
    <w:p w:rsidR="00053626" w:rsidRPr="00870546" w:rsidRDefault="00053626" w:rsidP="00250DF6">
      <w:pPr>
        <w:pStyle w:val="SingleTxtG"/>
        <w:spacing w:line="220" w:lineRule="atLeast"/>
        <w:ind w:firstLine="567"/>
        <w:rPr>
          <w:b/>
          <w:lang w:val="fr-FR"/>
        </w:rPr>
      </w:pPr>
      <w:r w:rsidRPr="00870546">
        <w:rPr>
          <w:b/>
          <w:lang w:val="fr-FR"/>
        </w:rPr>
        <w:t>d)</w:t>
      </w:r>
      <w:r w:rsidRPr="00870546">
        <w:rPr>
          <w:b/>
          <w:lang w:val="fr-FR"/>
        </w:rPr>
        <w:tab/>
      </w:r>
      <w:r>
        <w:rPr>
          <w:b/>
          <w:lang w:val="fr-FR"/>
        </w:rPr>
        <w:t>D</w:t>
      </w:r>
      <w:r w:rsidR="00646DFA">
        <w:rPr>
          <w:b/>
          <w:lang w:val="fr-FR"/>
        </w:rPr>
        <w:t>’</w:t>
      </w:r>
      <w:r>
        <w:rPr>
          <w:b/>
          <w:lang w:val="fr-FR"/>
        </w:rPr>
        <w:t>examiner la possibilité d</w:t>
      </w:r>
      <w:r w:rsidR="00646DFA">
        <w:rPr>
          <w:b/>
          <w:lang w:val="fr-FR"/>
        </w:rPr>
        <w:t>’</w:t>
      </w:r>
      <w:r>
        <w:rPr>
          <w:b/>
          <w:lang w:val="fr-FR"/>
        </w:rPr>
        <w:t>élargir le mandat de l</w:t>
      </w:r>
      <w:r w:rsidR="00646DFA">
        <w:rPr>
          <w:b/>
          <w:lang w:val="fr-FR"/>
        </w:rPr>
        <w:t>’</w:t>
      </w:r>
      <w:r>
        <w:rPr>
          <w:b/>
          <w:lang w:val="fr-FR"/>
        </w:rPr>
        <w:t>Ombudsman de manière à habiliter ce dernier</w:t>
      </w:r>
      <w:r>
        <w:rPr>
          <w:lang w:val="fr-FR"/>
        </w:rPr>
        <w:t xml:space="preserve"> </w:t>
      </w:r>
      <w:r w:rsidRPr="0089223A">
        <w:rPr>
          <w:b/>
          <w:bCs/>
          <w:lang w:val="fr-FR"/>
        </w:rPr>
        <w:t>à mener des enquêtes et à engager des procédures judiciaires en cas de discrimination et à y participer</w:t>
      </w:r>
      <w:r w:rsidRPr="00870546">
        <w:rPr>
          <w:b/>
          <w:lang w:val="fr-FR"/>
        </w:rPr>
        <w:t>;</w:t>
      </w:r>
    </w:p>
    <w:p w:rsidR="00053626" w:rsidRPr="00870546" w:rsidRDefault="00053626" w:rsidP="00250DF6">
      <w:pPr>
        <w:pStyle w:val="SingleTxtG"/>
        <w:spacing w:line="220" w:lineRule="atLeast"/>
        <w:ind w:firstLine="567"/>
        <w:rPr>
          <w:b/>
          <w:lang w:val="fr-FR"/>
        </w:rPr>
      </w:pPr>
      <w:r>
        <w:rPr>
          <w:b/>
          <w:lang w:val="fr-FR"/>
        </w:rPr>
        <w:t>e)</w:t>
      </w:r>
      <w:r>
        <w:rPr>
          <w:b/>
          <w:lang w:val="fr-FR"/>
        </w:rPr>
        <w:tab/>
        <w:t>D</w:t>
      </w:r>
      <w:r w:rsidR="00646DFA">
        <w:rPr>
          <w:b/>
          <w:lang w:val="fr-FR"/>
        </w:rPr>
        <w:t>’</w:t>
      </w:r>
      <w:r>
        <w:rPr>
          <w:b/>
          <w:lang w:val="fr-FR"/>
        </w:rPr>
        <w:t>e</w:t>
      </w:r>
      <w:r w:rsidRPr="00870546">
        <w:rPr>
          <w:b/>
          <w:lang w:val="fr-FR"/>
        </w:rPr>
        <w:t>ncourage</w:t>
      </w:r>
      <w:r>
        <w:rPr>
          <w:b/>
          <w:lang w:val="fr-FR"/>
        </w:rPr>
        <w:t>r l</w:t>
      </w:r>
      <w:r w:rsidR="00646DFA">
        <w:rPr>
          <w:b/>
          <w:lang w:val="fr-FR"/>
        </w:rPr>
        <w:t>’</w:t>
      </w:r>
      <w:r>
        <w:rPr>
          <w:b/>
          <w:lang w:val="fr-FR"/>
        </w:rPr>
        <w:t>Ombudsman à déposer, auprès du Comité international de coordination des institutions nationales des droits de l</w:t>
      </w:r>
      <w:r w:rsidR="00646DFA">
        <w:rPr>
          <w:b/>
          <w:lang w:val="fr-FR"/>
        </w:rPr>
        <w:t>’</w:t>
      </w:r>
      <w:r>
        <w:rPr>
          <w:b/>
          <w:lang w:val="fr-FR"/>
        </w:rPr>
        <w:t>homme, une demande d</w:t>
      </w:r>
      <w:r w:rsidR="00646DFA">
        <w:rPr>
          <w:b/>
          <w:lang w:val="fr-FR"/>
        </w:rPr>
        <w:t>’</w:t>
      </w:r>
      <w:r>
        <w:rPr>
          <w:b/>
          <w:lang w:val="fr-FR"/>
        </w:rPr>
        <w:t>accréditation en tant qu</w:t>
      </w:r>
      <w:r w:rsidR="00646DFA">
        <w:rPr>
          <w:b/>
          <w:lang w:val="fr-FR"/>
        </w:rPr>
        <w:t>’</w:t>
      </w:r>
      <w:r>
        <w:rPr>
          <w:b/>
          <w:lang w:val="fr-FR"/>
        </w:rPr>
        <w:t>institution nationale pour la promotion et la protection des droits de l</w:t>
      </w:r>
      <w:r w:rsidR="00646DFA">
        <w:rPr>
          <w:b/>
          <w:lang w:val="fr-FR"/>
        </w:rPr>
        <w:t>’</w:t>
      </w:r>
      <w:r>
        <w:rPr>
          <w:b/>
          <w:lang w:val="fr-FR"/>
        </w:rPr>
        <w:t>homme conforme aux Principes</w:t>
      </w:r>
      <w:r w:rsidRPr="0089223A">
        <w:rPr>
          <w:b/>
        </w:rPr>
        <w:t xml:space="preserve"> concernant le statut des institutions nationales</w:t>
      </w:r>
      <w:r>
        <w:rPr>
          <w:b/>
        </w:rPr>
        <w:t xml:space="preserve"> des droits de l</w:t>
      </w:r>
      <w:r w:rsidR="00646DFA">
        <w:rPr>
          <w:b/>
        </w:rPr>
        <w:t>’</w:t>
      </w:r>
      <w:r>
        <w:rPr>
          <w:b/>
        </w:rPr>
        <w:t xml:space="preserve">homme </w:t>
      </w:r>
      <w:r w:rsidRPr="00870546">
        <w:rPr>
          <w:b/>
          <w:lang w:val="fr-FR"/>
        </w:rPr>
        <w:t>(</w:t>
      </w:r>
      <w:r>
        <w:rPr>
          <w:b/>
          <w:lang w:val="fr-FR"/>
        </w:rPr>
        <w:t>Principes de Paris).</w:t>
      </w:r>
    </w:p>
    <w:p w:rsidR="00053626" w:rsidRDefault="00053626" w:rsidP="00250DF6">
      <w:pPr>
        <w:pStyle w:val="H23G"/>
        <w:spacing w:line="220" w:lineRule="atLeast"/>
        <w:rPr>
          <w:lang w:val="fr-FR"/>
        </w:rPr>
      </w:pPr>
      <w:r>
        <w:rPr>
          <w:lang w:val="fr-FR"/>
        </w:rPr>
        <w:tab/>
      </w:r>
      <w:r>
        <w:rPr>
          <w:lang w:val="fr-FR"/>
        </w:rPr>
        <w:tab/>
        <w:t>Stigmatis</w:t>
      </w:r>
      <w:r w:rsidRPr="00870546">
        <w:rPr>
          <w:lang w:val="fr-FR"/>
        </w:rPr>
        <w:t>ation</w:t>
      </w:r>
      <w:r>
        <w:rPr>
          <w:lang w:val="fr-FR"/>
        </w:rPr>
        <w:t xml:space="preserve"> des personnes d</w:t>
      </w:r>
      <w:r w:rsidR="00646DFA">
        <w:rPr>
          <w:lang w:val="fr-FR"/>
        </w:rPr>
        <w:t>’</w:t>
      </w:r>
      <w:r>
        <w:rPr>
          <w:lang w:val="fr-FR"/>
        </w:rPr>
        <w:t>origine rom, ashkali et tzigane</w:t>
      </w:r>
      <w:r w:rsidR="00DA7175">
        <w:rPr>
          <w:lang w:val="fr-FR"/>
        </w:rPr>
        <w:br/>
      </w:r>
      <w:r>
        <w:rPr>
          <w:lang w:val="fr-FR"/>
        </w:rPr>
        <w:t>et discrimination</w:t>
      </w:r>
      <w:r w:rsidR="00DA7175">
        <w:rPr>
          <w:lang w:val="fr-FR"/>
        </w:rPr>
        <w:t xml:space="preserve"> </w:t>
      </w:r>
      <w:r>
        <w:rPr>
          <w:lang w:val="fr-FR"/>
        </w:rPr>
        <w:t>à leur égard</w:t>
      </w:r>
    </w:p>
    <w:p w:rsidR="00053626" w:rsidRPr="00B40B17" w:rsidRDefault="00053626" w:rsidP="00250DF6">
      <w:pPr>
        <w:pStyle w:val="ParNoG"/>
        <w:spacing w:line="220" w:lineRule="atLeast"/>
        <w:rPr>
          <w:lang w:val="fr-FR"/>
        </w:rPr>
      </w:pPr>
      <w:r>
        <w:rPr>
          <w:lang w:val="fr-FR"/>
        </w:rPr>
        <w:t>Le Comité</w:t>
      </w:r>
      <w:r w:rsidRPr="00870546">
        <w:rPr>
          <w:lang w:val="fr-FR"/>
        </w:rPr>
        <w:t xml:space="preserve"> </w:t>
      </w:r>
      <w:r>
        <w:rPr>
          <w:lang w:val="fr-FR"/>
        </w:rPr>
        <w:t>est préoccupé par la stigmatisation des personnes d</w:t>
      </w:r>
      <w:r w:rsidR="00646DFA">
        <w:rPr>
          <w:lang w:val="fr-FR"/>
        </w:rPr>
        <w:t>’</w:t>
      </w:r>
      <w:r>
        <w:rPr>
          <w:lang w:val="fr-FR"/>
        </w:rPr>
        <w:t>origines rom, ashkali et tzigane, en particulier des personnes originaires du Kosovo, ainsi que par les attitudes négatives et la discrimination à leur égard (art. 2, 5 et</w:t>
      </w:r>
      <w:r w:rsidRPr="00870546">
        <w:rPr>
          <w:lang w:val="fr-FR"/>
        </w:rPr>
        <w:t> 7).</w:t>
      </w:r>
    </w:p>
    <w:p w:rsidR="00053626" w:rsidRPr="00870546" w:rsidRDefault="00053626" w:rsidP="00250DF6">
      <w:pPr>
        <w:pStyle w:val="SingleTxtG"/>
        <w:spacing w:line="220" w:lineRule="atLeast"/>
        <w:rPr>
          <w:b/>
          <w:bCs/>
          <w:lang w:val="fr-FR"/>
        </w:rPr>
      </w:pPr>
      <w:r>
        <w:rPr>
          <w:b/>
          <w:lang w:val="fr-FR"/>
        </w:rPr>
        <w:t xml:space="preserve">Conformément à ses </w:t>
      </w:r>
      <w:r w:rsidR="00003810">
        <w:rPr>
          <w:b/>
          <w:lang w:val="fr-FR"/>
        </w:rPr>
        <w:t>R</w:t>
      </w:r>
      <w:r>
        <w:rPr>
          <w:b/>
          <w:lang w:val="fr-FR"/>
        </w:rPr>
        <w:t>ecommandations générales</w:t>
      </w:r>
      <w:r w:rsidRPr="00870546">
        <w:rPr>
          <w:b/>
          <w:lang w:val="fr-FR"/>
        </w:rPr>
        <w:t xml:space="preserve"> </w:t>
      </w:r>
      <w:r w:rsidR="00B40B17" w:rsidRPr="00B40B17">
        <w:rPr>
          <w:b/>
          <w:lang w:val="fr-FR"/>
        </w:rPr>
        <w:t>n</w:t>
      </w:r>
      <w:r w:rsidR="00B40B17" w:rsidRPr="00B40B17">
        <w:rPr>
          <w:b/>
          <w:vertAlign w:val="superscript"/>
          <w:lang w:val="fr-FR"/>
        </w:rPr>
        <w:t>o</w:t>
      </w:r>
      <w:r w:rsidR="00B40B17">
        <w:rPr>
          <w:b/>
          <w:lang w:val="fr-FR"/>
        </w:rPr>
        <w:t> 7</w:t>
      </w:r>
      <w:r w:rsidRPr="00870546">
        <w:rPr>
          <w:b/>
          <w:lang w:val="fr-FR"/>
        </w:rPr>
        <w:t xml:space="preserve"> (1985)</w:t>
      </w:r>
      <w:r>
        <w:rPr>
          <w:b/>
          <w:lang w:val="fr-FR"/>
        </w:rPr>
        <w:t xml:space="preserve"> </w:t>
      </w:r>
      <w:r w:rsidR="00003810">
        <w:rPr>
          <w:b/>
          <w:lang w:val="fr-FR"/>
        </w:rPr>
        <w:t>sur</w:t>
      </w:r>
      <w:r w:rsidRPr="001E46ED">
        <w:rPr>
          <w:b/>
          <w:lang w:val="fr-FR"/>
        </w:rPr>
        <w:t xml:space="preserve"> la législation visant à</w:t>
      </w:r>
      <w:r w:rsidR="00AE640B">
        <w:rPr>
          <w:b/>
          <w:lang w:val="fr-FR"/>
        </w:rPr>
        <w:t> </w:t>
      </w:r>
      <w:r w:rsidRPr="001E46ED">
        <w:rPr>
          <w:b/>
          <w:lang w:val="fr-FR"/>
        </w:rPr>
        <w:t>éliminer la discrimination raciale</w:t>
      </w:r>
      <w:r>
        <w:rPr>
          <w:b/>
          <w:lang w:val="fr-FR"/>
        </w:rPr>
        <w:t xml:space="preserve"> (art.</w:t>
      </w:r>
      <w:r w:rsidR="00B40B17">
        <w:rPr>
          <w:b/>
          <w:lang w:val="fr-FR"/>
        </w:rPr>
        <w:t> </w:t>
      </w:r>
      <w:r>
        <w:rPr>
          <w:b/>
          <w:lang w:val="fr-FR"/>
        </w:rPr>
        <w:t xml:space="preserve">4), </w:t>
      </w:r>
      <w:r w:rsidR="00B40B17" w:rsidRPr="00B40B17">
        <w:rPr>
          <w:b/>
          <w:lang w:val="fr-FR"/>
        </w:rPr>
        <w:t>n</w:t>
      </w:r>
      <w:r w:rsidR="00B40B17" w:rsidRPr="00B40B17">
        <w:rPr>
          <w:b/>
          <w:vertAlign w:val="superscript"/>
          <w:lang w:val="fr-FR"/>
        </w:rPr>
        <w:t>o</w:t>
      </w:r>
      <w:r w:rsidR="00B40B17">
        <w:rPr>
          <w:b/>
          <w:lang w:val="fr-FR"/>
        </w:rPr>
        <w:t> </w:t>
      </w:r>
      <w:r w:rsidRPr="00870546">
        <w:rPr>
          <w:b/>
          <w:lang w:val="fr-FR"/>
        </w:rPr>
        <w:t xml:space="preserve">15 (1993) </w:t>
      </w:r>
      <w:r w:rsidR="00003810">
        <w:rPr>
          <w:b/>
          <w:lang w:val="fr-FR"/>
        </w:rPr>
        <w:t>sur</w:t>
      </w:r>
      <w:r w:rsidRPr="001E46ED">
        <w:rPr>
          <w:b/>
          <w:lang w:val="fr-FR"/>
        </w:rPr>
        <w:t xml:space="preserve"> les violences organisées fondées sur l</w:t>
      </w:r>
      <w:r w:rsidR="00646DFA">
        <w:rPr>
          <w:b/>
          <w:lang w:val="fr-FR"/>
        </w:rPr>
        <w:t>’</w:t>
      </w:r>
      <w:r w:rsidRPr="001E46ED">
        <w:rPr>
          <w:b/>
          <w:lang w:val="fr-FR"/>
        </w:rPr>
        <w:t xml:space="preserve">origine ethnique </w:t>
      </w:r>
      <w:r w:rsidRPr="00870546">
        <w:rPr>
          <w:b/>
          <w:lang w:val="fr-FR"/>
        </w:rPr>
        <w:t>(art.</w:t>
      </w:r>
      <w:r w:rsidR="00B40B17">
        <w:rPr>
          <w:b/>
          <w:lang w:val="fr-FR"/>
        </w:rPr>
        <w:t> </w:t>
      </w:r>
      <w:r w:rsidRPr="00870546">
        <w:rPr>
          <w:b/>
          <w:lang w:val="fr-FR"/>
        </w:rPr>
        <w:t xml:space="preserve">4), </w:t>
      </w:r>
      <w:r w:rsidR="00B40B17" w:rsidRPr="00B40B17">
        <w:rPr>
          <w:b/>
          <w:lang w:val="fr-FR"/>
        </w:rPr>
        <w:t>n</w:t>
      </w:r>
      <w:r w:rsidR="00B40B17" w:rsidRPr="00B40B17">
        <w:rPr>
          <w:b/>
          <w:vertAlign w:val="superscript"/>
          <w:lang w:val="fr-FR"/>
        </w:rPr>
        <w:t>o</w:t>
      </w:r>
      <w:r w:rsidR="00B40B17">
        <w:rPr>
          <w:b/>
          <w:lang w:val="fr-FR"/>
        </w:rPr>
        <w:t> </w:t>
      </w:r>
      <w:r w:rsidRPr="00870546">
        <w:rPr>
          <w:b/>
          <w:bCs/>
          <w:lang w:val="fr-FR"/>
        </w:rPr>
        <w:t xml:space="preserve">27 (2000) </w:t>
      </w:r>
      <w:r w:rsidR="00003810">
        <w:rPr>
          <w:b/>
          <w:bCs/>
          <w:lang w:val="fr-FR"/>
        </w:rPr>
        <w:t>sur</w:t>
      </w:r>
      <w:r w:rsidRPr="001E46ED">
        <w:rPr>
          <w:b/>
          <w:bCs/>
          <w:lang w:val="fr-FR"/>
        </w:rPr>
        <w:t xml:space="preserve"> la discrimination à l</w:t>
      </w:r>
      <w:r w:rsidR="00646DFA">
        <w:rPr>
          <w:b/>
          <w:bCs/>
          <w:lang w:val="fr-FR"/>
        </w:rPr>
        <w:t>’</w:t>
      </w:r>
      <w:r w:rsidRPr="001E46ED">
        <w:rPr>
          <w:b/>
          <w:bCs/>
          <w:lang w:val="fr-FR"/>
        </w:rPr>
        <w:t xml:space="preserve">égard des Roms </w:t>
      </w:r>
      <w:r>
        <w:rPr>
          <w:b/>
          <w:bCs/>
          <w:lang w:val="fr-FR"/>
        </w:rPr>
        <w:t xml:space="preserve">et </w:t>
      </w:r>
      <w:r w:rsidR="00B40B17" w:rsidRPr="00B40B17">
        <w:rPr>
          <w:b/>
          <w:lang w:val="fr-FR"/>
        </w:rPr>
        <w:t>n</w:t>
      </w:r>
      <w:r w:rsidR="00B40B17" w:rsidRPr="00B40B17">
        <w:rPr>
          <w:b/>
          <w:vertAlign w:val="superscript"/>
          <w:lang w:val="fr-FR"/>
        </w:rPr>
        <w:t>o</w:t>
      </w:r>
      <w:r w:rsidR="00B40B17">
        <w:rPr>
          <w:b/>
          <w:lang w:val="fr-FR"/>
        </w:rPr>
        <w:t> </w:t>
      </w:r>
      <w:r w:rsidRPr="00870546">
        <w:rPr>
          <w:b/>
          <w:lang w:val="fr-FR"/>
        </w:rPr>
        <w:t xml:space="preserve">30 (2005) </w:t>
      </w:r>
      <w:r w:rsidR="00003810">
        <w:rPr>
          <w:b/>
          <w:lang w:val="fr-FR"/>
        </w:rPr>
        <w:t>sur</w:t>
      </w:r>
      <w:r w:rsidRPr="001E46ED">
        <w:rPr>
          <w:b/>
          <w:lang w:val="fr-FR"/>
        </w:rPr>
        <w:t xml:space="preserve"> la discrimination contre les non-ressortissants,</w:t>
      </w:r>
      <w:r>
        <w:rPr>
          <w:b/>
          <w:lang w:val="fr-FR"/>
        </w:rPr>
        <w:t xml:space="preserve"> le Comité recommande à l</w:t>
      </w:r>
      <w:r w:rsidR="00646DFA">
        <w:rPr>
          <w:b/>
          <w:lang w:val="fr-FR"/>
        </w:rPr>
        <w:t>’</w:t>
      </w:r>
      <w:r>
        <w:rPr>
          <w:b/>
          <w:lang w:val="fr-FR"/>
        </w:rPr>
        <w:t>État partie</w:t>
      </w:r>
      <w:r w:rsidRPr="00870546">
        <w:rPr>
          <w:b/>
          <w:bCs/>
          <w:lang w:val="fr-FR"/>
        </w:rPr>
        <w:t>:</w:t>
      </w:r>
    </w:p>
    <w:p w:rsidR="00053626" w:rsidRPr="00870546" w:rsidRDefault="00053626" w:rsidP="00B40B17">
      <w:pPr>
        <w:pStyle w:val="SingleTxtG"/>
        <w:ind w:firstLine="567"/>
        <w:rPr>
          <w:b/>
          <w:lang w:val="fr-FR"/>
        </w:rPr>
      </w:pPr>
      <w:r w:rsidRPr="00870546">
        <w:rPr>
          <w:b/>
          <w:lang w:val="fr-FR"/>
        </w:rPr>
        <w:t>a)</w:t>
      </w:r>
      <w:r w:rsidRPr="00870546">
        <w:rPr>
          <w:b/>
          <w:lang w:val="fr-FR"/>
        </w:rPr>
        <w:tab/>
      </w:r>
      <w:r>
        <w:rPr>
          <w:b/>
          <w:lang w:val="fr-FR"/>
        </w:rPr>
        <w:t>D</w:t>
      </w:r>
      <w:r w:rsidR="00646DFA">
        <w:rPr>
          <w:b/>
          <w:lang w:val="fr-FR"/>
        </w:rPr>
        <w:t>’</w:t>
      </w:r>
      <w:r>
        <w:rPr>
          <w:b/>
          <w:lang w:val="fr-FR"/>
        </w:rPr>
        <w:t>organiser une formation aux droits de l</w:t>
      </w:r>
      <w:r w:rsidR="00646DFA">
        <w:rPr>
          <w:b/>
          <w:lang w:val="fr-FR"/>
        </w:rPr>
        <w:t>’</w:t>
      </w:r>
      <w:r>
        <w:rPr>
          <w:b/>
          <w:lang w:val="fr-FR"/>
        </w:rPr>
        <w:t>homme à l</w:t>
      </w:r>
      <w:r w:rsidR="00646DFA">
        <w:rPr>
          <w:b/>
          <w:lang w:val="fr-FR"/>
        </w:rPr>
        <w:t>’</w:t>
      </w:r>
      <w:r>
        <w:rPr>
          <w:b/>
          <w:lang w:val="fr-FR"/>
        </w:rPr>
        <w:t>intention des membres des forces de l</w:t>
      </w:r>
      <w:r w:rsidR="00646DFA">
        <w:rPr>
          <w:b/>
          <w:lang w:val="fr-FR"/>
        </w:rPr>
        <w:t>’</w:t>
      </w:r>
      <w:r>
        <w:rPr>
          <w:b/>
          <w:lang w:val="fr-FR"/>
        </w:rPr>
        <w:t>ordre, des juges, des enseignants, du personnel médical et des travailleurs sociaux afin de promouvoir la tolérance, le dialogue interethnique et l</w:t>
      </w:r>
      <w:r w:rsidR="00646DFA">
        <w:rPr>
          <w:b/>
          <w:lang w:val="fr-FR"/>
        </w:rPr>
        <w:t>’</w:t>
      </w:r>
      <w:r>
        <w:rPr>
          <w:b/>
          <w:lang w:val="fr-FR"/>
        </w:rPr>
        <w:t>harmonie</w:t>
      </w:r>
      <w:r w:rsidR="00003810">
        <w:rPr>
          <w:b/>
          <w:lang w:val="fr-FR"/>
        </w:rPr>
        <w:t>, en se fondant sur la Convention et la législation nationale pertinente</w:t>
      </w:r>
      <w:r>
        <w:rPr>
          <w:b/>
          <w:lang w:val="fr-FR"/>
        </w:rPr>
        <w:t>;</w:t>
      </w:r>
    </w:p>
    <w:p w:rsidR="00053626" w:rsidRPr="00870546" w:rsidRDefault="00053626" w:rsidP="00B40B17">
      <w:pPr>
        <w:pStyle w:val="SingleTxtG"/>
        <w:ind w:firstLine="567"/>
        <w:rPr>
          <w:b/>
          <w:lang w:val="fr-FR"/>
        </w:rPr>
      </w:pPr>
      <w:r w:rsidRPr="00870546">
        <w:rPr>
          <w:b/>
          <w:lang w:val="fr-FR"/>
        </w:rPr>
        <w:t>b)</w:t>
      </w:r>
      <w:r w:rsidRPr="00870546">
        <w:rPr>
          <w:b/>
          <w:lang w:val="fr-FR"/>
        </w:rPr>
        <w:tab/>
      </w:r>
      <w:r>
        <w:rPr>
          <w:b/>
          <w:lang w:val="fr-FR"/>
        </w:rPr>
        <w:t>D</w:t>
      </w:r>
      <w:r w:rsidRPr="004572F1">
        <w:rPr>
          <w:b/>
          <w:lang w:val="fr-FR"/>
        </w:rPr>
        <w:t>e mener, auprès de la population, des campagnes d</w:t>
      </w:r>
      <w:r>
        <w:rPr>
          <w:b/>
          <w:lang w:val="fr-FR"/>
        </w:rPr>
        <w:t>e sensibilisation</w:t>
      </w:r>
      <w:r w:rsidRPr="004572F1">
        <w:rPr>
          <w:b/>
          <w:lang w:val="fr-FR"/>
        </w:rPr>
        <w:t xml:space="preserve"> axées sur la prévention de la discrimination à l</w:t>
      </w:r>
      <w:r w:rsidR="00646DFA">
        <w:rPr>
          <w:b/>
          <w:lang w:val="fr-FR"/>
        </w:rPr>
        <w:t>’</w:t>
      </w:r>
      <w:r w:rsidRPr="004572F1">
        <w:rPr>
          <w:b/>
          <w:lang w:val="fr-FR"/>
        </w:rPr>
        <w:t>égard des p</w:t>
      </w:r>
      <w:r>
        <w:rPr>
          <w:b/>
          <w:lang w:val="fr-FR"/>
        </w:rPr>
        <w:t>ersonnes d</w:t>
      </w:r>
      <w:r w:rsidR="00646DFA">
        <w:rPr>
          <w:b/>
          <w:lang w:val="fr-FR"/>
        </w:rPr>
        <w:t>’</w:t>
      </w:r>
      <w:r>
        <w:rPr>
          <w:b/>
          <w:lang w:val="fr-FR"/>
        </w:rPr>
        <w:t>origine rom, ashkali</w:t>
      </w:r>
      <w:r w:rsidRPr="004572F1">
        <w:rPr>
          <w:b/>
          <w:lang w:val="fr-FR"/>
        </w:rPr>
        <w:t xml:space="preserve"> et tzigane</w:t>
      </w:r>
      <w:r w:rsidRPr="00870546">
        <w:rPr>
          <w:b/>
          <w:lang w:val="fr-FR"/>
        </w:rPr>
        <w:t>;</w:t>
      </w:r>
    </w:p>
    <w:p w:rsidR="00053626" w:rsidRPr="00870546" w:rsidRDefault="00053626" w:rsidP="00B40B17">
      <w:pPr>
        <w:pStyle w:val="SingleTxtG"/>
        <w:ind w:firstLine="567"/>
        <w:rPr>
          <w:b/>
          <w:bCs/>
          <w:lang w:val="fr-FR"/>
        </w:rPr>
      </w:pPr>
      <w:r w:rsidRPr="00870546">
        <w:rPr>
          <w:b/>
          <w:bCs/>
          <w:lang w:val="fr-FR"/>
        </w:rPr>
        <w:t>c)</w:t>
      </w:r>
      <w:r w:rsidRPr="00870546">
        <w:rPr>
          <w:b/>
          <w:bCs/>
          <w:lang w:val="fr-FR"/>
        </w:rPr>
        <w:tab/>
      </w:r>
      <w:r>
        <w:rPr>
          <w:b/>
          <w:bCs/>
          <w:lang w:val="fr-FR"/>
        </w:rPr>
        <w:t>D</w:t>
      </w:r>
      <w:r w:rsidRPr="004572F1">
        <w:rPr>
          <w:b/>
          <w:bCs/>
          <w:lang w:val="fr-FR"/>
        </w:rPr>
        <w:t>e redoubler d</w:t>
      </w:r>
      <w:r w:rsidR="00646DFA">
        <w:rPr>
          <w:b/>
          <w:bCs/>
          <w:lang w:val="fr-FR"/>
        </w:rPr>
        <w:t>’</w:t>
      </w:r>
      <w:r w:rsidRPr="004572F1">
        <w:rPr>
          <w:b/>
          <w:bCs/>
          <w:lang w:val="fr-FR"/>
        </w:rPr>
        <w:t>efforts pour éliminer la discrimination à l</w:t>
      </w:r>
      <w:r w:rsidR="00646DFA">
        <w:rPr>
          <w:b/>
          <w:bCs/>
          <w:lang w:val="fr-FR"/>
        </w:rPr>
        <w:t>’</w:t>
      </w:r>
      <w:r w:rsidRPr="004572F1">
        <w:rPr>
          <w:b/>
          <w:bCs/>
          <w:lang w:val="fr-FR"/>
        </w:rPr>
        <w:t>égard des personnes d</w:t>
      </w:r>
      <w:r w:rsidR="00646DFA">
        <w:rPr>
          <w:b/>
          <w:bCs/>
          <w:lang w:val="fr-FR"/>
        </w:rPr>
        <w:t>’</w:t>
      </w:r>
      <w:r w:rsidRPr="004572F1">
        <w:rPr>
          <w:b/>
          <w:bCs/>
          <w:lang w:val="fr-FR"/>
        </w:rPr>
        <w:t>origine rom, ashkali et tzigane, en particulier des person</w:t>
      </w:r>
      <w:r>
        <w:rPr>
          <w:b/>
          <w:bCs/>
          <w:lang w:val="fr-FR"/>
        </w:rPr>
        <w:t>nes venant du Kosovo, dans tous les domaines</w:t>
      </w:r>
      <w:r w:rsidRPr="004572F1">
        <w:rPr>
          <w:b/>
          <w:bCs/>
          <w:lang w:val="fr-FR"/>
        </w:rPr>
        <w:t xml:space="preserve"> de la vie publique</w:t>
      </w:r>
      <w:r w:rsidRPr="00870546">
        <w:rPr>
          <w:b/>
          <w:bCs/>
          <w:lang w:val="fr-FR"/>
        </w:rPr>
        <w:t>.</w:t>
      </w:r>
    </w:p>
    <w:p w:rsidR="00053626" w:rsidRDefault="00053626" w:rsidP="00FE2092">
      <w:pPr>
        <w:pStyle w:val="H23G"/>
        <w:rPr>
          <w:lang w:val="fr-FR"/>
        </w:rPr>
      </w:pPr>
      <w:r w:rsidRPr="00870546">
        <w:rPr>
          <w:lang w:val="fr-FR"/>
        </w:rPr>
        <w:tab/>
      </w:r>
      <w:r w:rsidRPr="00870546">
        <w:rPr>
          <w:lang w:val="fr-FR"/>
        </w:rPr>
        <w:tab/>
      </w:r>
      <w:r>
        <w:rPr>
          <w:lang w:val="fr-FR"/>
        </w:rPr>
        <w:t>Statut juridique des personnes «déplacées» et des personnes «</w:t>
      </w:r>
      <w:r w:rsidRPr="004572F1">
        <w:rPr>
          <w:lang w:val="fr-FR"/>
        </w:rPr>
        <w:t xml:space="preserve">déplacées </w:t>
      </w:r>
      <w:r>
        <w:rPr>
          <w:lang w:val="fr-FR"/>
        </w:rPr>
        <w:t>à l</w:t>
      </w:r>
      <w:r w:rsidR="00646DFA">
        <w:rPr>
          <w:lang w:val="fr-FR"/>
        </w:rPr>
        <w:t>’</w:t>
      </w:r>
      <w:r>
        <w:rPr>
          <w:lang w:val="fr-FR"/>
        </w:rPr>
        <w:t>intérieur du territoire»</w:t>
      </w:r>
    </w:p>
    <w:p w:rsidR="00053626" w:rsidRPr="00A45713" w:rsidRDefault="00053626" w:rsidP="00A45713">
      <w:pPr>
        <w:pStyle w:val="ParNoG"/>
        <w:rPr>
          <w:lang w:val="fr-FR"/>
        </w:rPr>
      </w:pPr>
      <w:r>
        <w:t>Le Comité prend note des stratégies et des plans d</w:t>
      </w:r>
      <w:r w:rsidR="00646DFA">
        <w:t>’</w:t>
      </w:r>
      <w:r>
        <w:t>action adoptés par l</w:t>
      </w:r>
      <w:r w:rsidR="00646DFA">
        <w:t>’</w:t>
      </w:r>
      <w:r>
        <w:t>État partie pour régler définitivement la question du statut juridique incertain des personnes «déplacées» (originaires des républiques d</w:t>
      </w:r>
      <w:r w:rsidR="00A45713">
        <w:t>e l</w:t>
      </w:r>
      <w:r w:rsidR="00646DFA">
        <w:t>’</w:t>
      </w:r>
      <w:r>
        <w:t>ex-Yougoslavie) et des personnes «déplacées à l</w:t>
      </w:r>
      <w:r w:rsidR="00646DFA">
        <w:t>’</w:t>
      </w:r>
      <w:r>
        <w:t xml:space="preserve">intérieur du territoire» (originaires du Kosovo) vivant au Monténégro, mais note avec préoccupation que beaucoup </w:t>
      </w:r>
      <w:r w:rsidR="00A45713">
        <w:t>d</w:t>
      </w:r>
      <w:r w:rsidR="00646DFA">
        <w:t>’</w:t>
      </w:r>
      <w:r w:rsidR="00A45713">
        <w:t xml:space="preserve">entre elles </w:t>
      </w:r>
      <w:r>
        <w:t>risquent de devenir apatrides. Il note avec inquiétude qu</w:t>
      </w:r>
      <w:r w:rsidR="00646DFA">
        <w:t>’</w:t>
      </w:r>
      <w:r>
        <w:t>un certain nombre de «personnes déplacées à l</w:t>
      </w:r>
      <w:r w:rsidR="00646DFA">
        <w:t>’</w:t>
      </w:r>
      <w:r>
        <w:t>intérieur du territoire» d</w:t>
      </w:r>
      <w:r w:rsidR="00646DFA">
        <w:t>’</w:t>
      </w:r>
      <w:r>
        <w:t xml:space="preserve">origine rom, ashkali et tzigane </w:t>
      </w:r>
      <w:r w:rsidR="00A45713">
        <w:t>ont</w:t>
      </w:r>
      <w:r>
        <w:t xml:space="preserve"> des difficultés </w:t>
      </w:r>
      <w:r w:rsidR="00A45713">
        <w:t>à</w:t>
      </w:r>
      <w:r>
        <w:t xml:space="preserve"> obtenir certains documents personnels dont elles ont besoin pour demander le statut d</w:t>
      </w:r>
      <w:r w:rsidR="00646DFA">
        <w:t>’</w:t>
      </w:r>
      <w:r>
        <w:t>étranger au titre de la loi portant modification de la loi sur les étrangers (art.</w:t>
      </w:r>
      <w:r w:rsidR="00A45713">
        <w:t> </w:t>
      </w:r>
      <w:r>
        <w:t>2, 4, 5, 6 et 7).</w:t>
      </w:r>
    </w:p>
    <w:p w:rsidR="00053626" w:rsidRPr="004572F1" w:rsidRDefault="00A45713" w:rsidP="00A45713">
      <w:pPr>
        <w:pStyle w:val="H23G"/>
        <w:rPr>
          <w:lang w:val="fr-FR"/>
        </w:rPr>
      </w:pPr>
      <w:r>
        <w:rPr>
          <w:lang w:val="fr-FR"/>
        </w:rPr>
        <w:tab/>
      </w:r>
      <w:r>
        <w:rPr>
          <w:lang w:val="fr-FR"/>
        </w:rPr>
        <w:tab/>
      </w:r>
      <w:r w:rsidR="00053626" w:rsidRPr="004572F1">
        <w:rPr>
          <w:lang w:val="fr-FR"/>
        </w:rPr>
        <w:t>Rappelant sa R</w:t>
      </w:r>
      <w:r w:rsidR="00053626">
        <w:rPr>
          <w:lang w:val="fr-FR"/>
        </w:rPr>
        <w:t xml:space="preserve">ecommandation générale </w:t>
      </w:r>
      <w:r w:rsidRPr="00A45713">
        <w:rPr>
          <w:lang w:val="fr-FR"/>
        </w:rPr>
        <w:t>n</w:t>
      </w:r>
      <w:r w:rsidRPr="00A45713">
        <w:rPr>
          <w:vertAlign w:val="superscript"/>
          <w:lang w:val="fr-FR"/>
        </w:rPr>
        <w:t>o</w:t>
      </w:r>
      <w:r>
        <w:rPr>
          <w:lang w:val="fr-FR"/>
        </w:rPr>
        <w:t> </w:t>
      </w:r>
      <w:r w:rsidR="00053626">
        <w:rPr>
          <w:lang w:val="fr-FR"/>
        </w:rPr>
        <w:t xml:space="preserve">30 </w:t>
      </w:r>
      <w:r w:rsidR="003B62D8">
        <w:rPr>
          <w:lang w:val="fr-FR"/>
        </w:rPr>
        <w:t>sur</w:t>
      </w:r>
      <w:r w:rsidR="00053626" w:rsidRPr="004572F1">
        <w:rPr>
          <w:lang w:val="fr-FR"/>
        </w:rPr>
        <w:t xml:space="preserve"> la discrimination</w:t>
      </w:r>
      <w:r w:rsidR="003B62D8">
        <w:rPr>
          <w:lang w:val="fr-FR"/>
        </w:rPr>
        <w:br/>
      </w:r>
      <w:r w:rsidR="00053626" w:rsidRPr="004572F1">
        <w:rPr>
          <w:lang w:val="fr-FR"/>
        </w:rPr>
        <w:t>contre les non</w:t>
      </w:r>
      <w:r w:rsidR="00053626">
        <w:rPr>
          <w:lang w:val="fr-FR"/>
        </w:rPr>
        <w:t>-</w:t>
      </w:r>
      <w:r w:rsidR="00053626" w:rsidRPr="004572F1">
        <w:rPr>
          <w:lang w:val="fr-FR"/>
        </w:rPr>
        <w:t xml:space="preserve">ressortissants, le Comité </w:t>
      </w:r>
      <w:r w:rsidR="00053626">
        <w:rPr>
          <w:lang w:val="fr-FR"/>
        </w:rPr>
        <w:t>recommande à l</w:t>
      </w:r>
      <w:r w:rsidR="00646DFA">
        <w:rPr>
          <w:lang w:val="fr-FR"/>
        </w:rPr>
        <w:t>’</w:t>
      </w:r>
      <w:r w:rsidR="00053626">
        <w:rPr>
          <w:lang w:val="fr-FR"/>
        </w:rPr>
        <w:t>État partie</w:t>
      </w:r>
      <w:r w:rsidR="00053626" w:rsidRPr="004572F1">
        <w:rPr>
          <w:lang w:val="fr-FR"/>
        </w:rPr>
        <w:t>:</w:t>
      </w:r>
    </w:p>
    <w:p w:rsidR="00053626" w:rsidRPr="00870546" w:rsidRDefault="00053626" w:rsidP="001A471C">
      <w:pPr>
        <w:pStyle w:val="SingleTxtG"/>
        <w:ind w:firstLine="567"/>
        <w:rPr>
          <w:b/>
          <w:lang w:val="fr-FR"/>
        </w:rPr>
      </w:pPr>
      <w:r w:rsidRPr="00870546">
        <w:rPr>
          <w:b/>
          <w:lang w:val="fr-FR"/>
        </w:rPr>
        <w:t>a)</w:t>
      </w:r>
      <w:r w:rsidRPr="00870546">
        <w:rPr>
          <w:b/>
          <w:lang w:val="fr-FR"/>
        </w:rPr>
        <w:tab/>
      </w:r>
      <w:r w:rsidRPr="00727165">
        <w:rPr>
          <w:b/>
        </w:rPr>
        <w:t xml:space="preserve">De simplifier la procédure </w:t>
      </w:r>
      <w:r>
        <w:rPr>
          <w:b/>
        </w:rPr>
        <w:t>de demande</w:t>
      </w:r>
      <w:r w:rsidRPr="00727165">
        <w:rPr>
          <w:b/>
        </w:rPr>
        <w:t xml:space="preserve"> du statut d</w:t>
      </w:r>
      <w:r w:rsidR="00646DFA">
        <w:rPr>
          <w:b/>
        </w:rPr>
        <w:t>’</w:t>
      </w:r>
      <w:r w:rsidRPr="00727165">
        <w:rPr>
          <w:b/>
        </w:rPr>
        <w:t xml:space="preserve">étranger au titre de la loi portant modification de la loi sur les étrangers pour les personnes </w:t>
      </w:r>
      <w:r>
        <w:rPr>
          <w:b/>
        </w:rPr>
        <w:t>«déplacées» et les personnes «</w:t>
      </w:r>
      <w:r w:rsidRPr="00727165">
        <w:rPr>
          <w:b/>
        </w:rPr>
        <w:t xml:space="preserve">déplacées </w:t>
      </w:r>
      <w:r>
        <w:rPr>
          <w:b/>
        </w:rPr>
        <w:t>à l</w:t>
      </w:r>
      <w:r w:rsidR="00646DFA">
        <w:rPr>
          <w:b/>
        </w:rPr>
        <w:t>’</w:t>
      </w:r>
      <w:r>
        <w:rPr>
          <w:b/>
        </w:rPr>
        <w:t>intérieur du territoire»</w:t>
      </w:r>
      <w:r w:rsidRPr="00870546">
        <w:rPr>
          <w:b/>
          <w:lang w:val="fr-FR"/>
        </w:rPr>
        <w:t>;</w:t>
      </w:r>
    </w:p>
    <w:p w:rsidR="00053626" w:rsidRPr="00870546" w:rsidRDefault="00053626" w:rsidP="001A471C">
      <w:pPr>
        <w:pStyle w:val="SingleTxtG"/>
        <w:ind w:firstLine="567"/>
        <w:rPr>
          <w:b/>
          <w:lang w:val="fr-FR"/>
        </w:rPr>
      </w:pPr>
      <w:r w:rsidRPr="00870546">
        <w:rPr>
          <w:b/>
          <w:lang w:val="fr-FR"/>
        </w:rPr>
        <w:t>b)</w:t>
      </w:r>
      <w:r w:rsidRPr="00870546">
        <w:rPr>
          <w:b/>
          <w:lang w:val="fr-FR"/>
        </w:rPr>
        <w:tab/>
      </w:r>
      <w:r>
        <w:rPr>
          <w:b/>
        </w:rPr>
        <w:t xml:space="preserve">De </w:t>
      </w:r>
      <w:r w:rsidR="003B62D8">
        <w:rPr>
          <w:b/>
        </w:rPr>
        <w:t>sensibiliser</w:t>
      </w:r>
      <w:r>
        <w:rPr>
          <w:b/>
        </w:rPr>
        <w:t xml:space="preserve">, de manière simple et accessible, </w:t>
      </w:r>
      <w:r w:rsidR="003B62D8">
        <w:rPr>
          <w:b/>
        </w:rPr>
        <w:t xml:space="preserve">les </w:t>
      </w:r>
      <w:r>
        <w:rPr>
          <w:b/>
        </w:rPr>
        <w:t>personnes concernées</w:t>
      </w:r>
      <w:r w:rsidRPr="00727165">
        <w:rPr>
          <w:b/>
        </w:rPr>
        <w:t xml:space="preserve"> </w:t>
      </w:r>
      <w:r>
        <w:rPr>
          <w:b/>
        </w:rPr>
        <w:t>à l</w:t>
      </w:r>
      <w:r w:rsidR="00646DFA">
        <w:rPr>
          <w:b/>
        </w:rPr>
        <w:t>’</w:t>
      </w:r>
      <w:r>
        <w:rPr>
          <w:b/>
        </w:rPr>
        <w:t>importance</w:t>
      </w:r>
      <w:r w:rsidRPr="00727165">
        <w:rPr>
          <w:b/>
        </w:rPr>
        <w:t xml:space="preserve"> de s</w:t>
      </w:r>
      <w:r w:rsidR="00646DFA">
        <w:rPr>
          <w:b/>
        </w:rPr>
        <w:t>’</w:t>
      </w:r>
      <w:r w:rsidRPr="00727165">
        <w:rPr>
          <w:b/>
        </w:rPr>
        <w:t>enregistrer</w:t>
      </w:r>
      <w:r>
        <w:rPr>
          <w:b/>
        </w:rPr>
        <w:t>,</w:t>
      </w:r>
      <w:r w:rsidRPr="00727165">
        <w:rPr>
          <w:b/>
        </w:rPr>
        <w:t xml:space="preserve"> d</w:t>
      </w:r>
      <w:r>
        <w:rPr>
          <w:b/>
        </w:rPr>
        <w:t>e posséder</w:t>
      </w:r>
      <w:r w:rsidRPr="00727165">
        <w:rPr>
          <w:b/>
        </w:rPr>
        <w:t xml:space="preserve"> une preuve d</w:t>
      </w:r>
      <w:r w:rsidR="00646DFA">
        <w:rPr>
          <w:b/>
        </w:rPr>
        <w:t>’</w:t>
      </w:r>
      <w:r w:rsidRPr="00727165">
        <w:rPr>
          <w:b/>
        </w:rPr>
        <w:t>enregistrement ou d</w:t>
      </w:r>
      <w:r w:rsidR="00646DFA">
        <w:rPr>
          <w:b/>
        </w:rPr>
        <w:t>’</w:t>
      </w:r>
      <w:r w:rsidRPr="00727165">
        <w:rPr>
          <w:b/>
        </w:rPr>
        <w:t>obtenir des documents pour elles-mêmes et pour leur</w:t>
      </w:r>
      <w:r>
        <w:rPr>
          <w:b/>
        </w:rPr>
        <w:t>s enfants</w:t>
      </w:r>
      <w:r w:rsidRPr="00727165">
        <w:rPr>
          <w:b/>
        </w:rPr>
        <w:t>;</w:t>
      </w:r>
    </w:p>
    <w:p w:rsidR="00053626" w:rsidRPr="00870546" w:rsidRDefault="00053626" w:rsidP="001A471C">
      <w:pPr>
        <w:pStyle w:val="SingleTxtG"/>
        <w:ind w:firstLine="567"/>
        <w:rPr>
          <w:b/>
          <w:lang w:val="fr-FR"/>
        </w:rPr>
      </w:pPr>
      <w:r>
        <w:rPr>
          <w:b/>
          <w:lang w:val="fr-FR"/>
        </w:rPr>
        <w:t>c)</w:t>
      </w:r>
      <w:r w:rsidR="001A471C">
        <w:rPr>
          <w:b/>
          <w:lang w:val="fr-FR"/>
        </w:rPr>
        <w:tab/>
      </w:r>
      <w:r w:rsidRPr="00727165">
        <w:rPr>
          <w:b/>
        </w:rPr>
        <w:t>D</w:t>
      </w:r>
      <w:r w:rsidR="00646DFA">
        <w:rPr>
          <w:b/>
        </w:rPr>
        <w:t>’</w:t>
      </w:r>
      <w:r w:rsidRPr="00727165">
        <w:rPr>
          <w:b/>
        </w:rPr>
        <w:t>améliorer l</w:t>
      </w:r>
      <w:r w:rsidR="00646DFA">
        <w:rPr>
          <w:b/>
        </w:rPr>
        <w:t>’</w:t>
      </w:r>
      <w:r w:rsidRPr="00727165">
        <w:rPr>
          <w:b/>
        </w:rPr>
        <w:t xml:space="preserve">assistance apportée aux personnes qui ont des difficultés à </w:t>
      </w:r>
      <w:r>
        <w:rPr>
          <w:b/>
        </w:rPr>
        <w:t>s</w:t>
      </w:r>
      <w:r w:rsidR="00646DFA">
        <w:rPr>
          <w:b/>
        </w:rPr>
        <w:t>’</w:t>
      </w:r>
      <w:r>
        <w:rPr>
          <w:b/>
        </w:rPr>
        <w:t>acquitter des</w:t>
      </w:r>
      <w:r w:rsidRPr="00727165">
        <w:rPr>
          <w:b/>
        </w:rPr>
        <w:t xml:space="preserve"> frais administratifs et </w:t>
      </w:r>
      <w:r>
        <w:rPr>
          <w:b/>
        </w:rPr>
        <w:t xml:space="preserve">de </w:t>
      </w:r>
      <w:r w:rsidRPr="00727165">
        <w:rPr>
          <w:b/>
        </w:rPr>
        <w:t xml:space="preserve">continuer </w:t>
      </w:r>
      <w:r w:rsidR="003B62D8">
        <w:rPr>
          <w:b/>
        </w:rPr>
        <w:t>à prévoir</w:t>
      </w:r>
      <w:r w:rsidRPr="00727165">
        <w:rPr>
          <w:b/>
        </w:rPr>
        <w:t xml:space="preserve"> des transports en commun afin de les aider à obtenir les documents dont elles ont besoin pour demander le statu</w:t>
      </w:r>
      <w:r>
        <w:rPr>
          <w:b/>
        </w:rPr>
        <w:t>t d</w:t>
      </w:r>
      <w:r w:rsidR="00646DFA">
        <w:rPr>
          <w:b/>
        </w:rPr>
        <w:t>’</w:t>
      </w:r>
      <w:r>
        <w:rPr>
          <w:b/>
        </w:rPr>
        <w:t>étranger au Monténégro</w:t>
      </w:r>
      <w:r w:rsidRPr="00727165">
        <w:rPr>
          <w:b/>
        </w:rPr>
        <w:t>;</w:t>
      </w:r>
    </w:p>
    <w:p w:rsidR="00053626" w:rsidRPr="00870546" w:rsidRDefault="00053626" w:rsidP="001A471C">
      <w:pPr>
        <w:pStyle w:val="SingleTxtG"/>
        <w:ind w:firstLine="567"/>
        <w:rPr>
          <w:b/>
          <w:lang w:val="fr-FR"/>
        </w:rPr>
      </w:pPr>
      <w:r>
        <w:rPr>
          <w:b/>
          <w:lang w:val="fr-FR"/>
        </w:rPr>
        <w:t>d)</w:t>
      </w:r>
      <w:r w:rsidR="001A471C">
        <w:rPr>
          <w:b/>
          <w:lang w:val="fr-FR"/>
        </w:rPr>
        <w:tab/>
      </w:r>
      <w:r w:rsidRPr="00727165">
        <w:rPr>
          <w:b/>
        </w:rPr>
        <w:t>De mettre en place une procédure simplifiée d</w:t>
      </w:r>
      <w:r w:rsidR="00646DFA">
        <w:rPr>
          <w:b/>
        </w:rPr>
        <w:t>’</w:t>
      </w:r>
      <w:r w:rsidRPr="00727165">
        <w:rPr>
          <w:b/>
        </w:rPr>
        <w:t>enregistrement des naissances et de délivrer des documents à toutes les personnes nées sur</w:t>
      </w:r>
      <w:r>
        <w:rPr>
          <w:b/>
        </w:rPr>
        <w:t xml:space="preserve"> le territoire de l</w:t>
      </w:r>
      <w:r w:rsidR="00646DFA">
        <w:rPr>
          <w:b/>
        </w:rPr>
        <w:t>’</w:t>
      </w:r>
      <w:r>
        <w:rPr>
          <w:b/>
        </w:rPr>
        <w:t>État partie</w:t>
      </w:r>
      <w:r w:rsidRPr="00727165">
        <w:rPr>
          <w:b/>
        </w:rPr>
        <w:t>;</w:t>
      </w:r>
    </w:p>
    <w:p w:rsidR="00053626" w:rsidRPr="00870546" w:rsidRDefault="00053626" w:rsidP="001A471C">
      <w:pPr>
        <w:pStyle w:val="SingleTxtG"/>
        <w:ind w:firstLine="567"/>
        <w:rPr>
          <w:b/>
          <w:lang w:val="fr-FR"/>
        </w:rPr>
      </w:pPr>
      <w:r w:rsidRPr="00870546">
        <w:rPr>
          <w:b/>
          <w:lang w:val="fr-FR"/>
        </w:rPr>
        <w:t>e)</w:t>
      </w:r>
      <w:r w:rsidRPr="00870546">
        <w:rPr>
          <w:b/>
          <w:lang w:val="fr-FR"/>
        </w:rPr>
        <w:tab/>
      </w:r>
      <w:r>
        <w:rPr>
          <w:b/>
        </w:rPr>
        <w:t>D</w:t>
      </w:r>
      <w:r w:rsidR="00646DFA">
        <w:rPr>
          <w:b/>
        </w:rPr>
        <w:t>’</w:t>
      </w:r>
      <w:r w:rsidRPr="00727165">
        <w:rPr>
          <w:b/>
        </w:rPr>
        <w:t xml:space="preserve">élaborer une stratégie et de prendre des mesures administratives et judiciaires pour enregistrer ou enregistrer rétroactivement les enfants nés en dehors des établissements </w:t>
      </w:r>
      <w:r w:rsidR="003B62D8">
        <w:rPr>
          <w:b/>
        </w:rPr>
        <w:t>de santé</w:t>
      </w:r>
      <w:r w:rsidRPr="00727165">
        <w:rPr>
          <w:b/>
        </w:rPr>
        <w:t>.</w:t>
      </w:r>
    </w:p>
    <w:p w:rsidR="00053626" w:rsidRDefault="00053626" w:rsidP="003B62D8">
      <w:pPr>
        <w:pStyle w:val="H23G"/>
        <w:rPr>
          <w:lang w:val="fr-FR"/>
        </w:rPr>
      </w:pPr>
      <w:r w:rsidRPr="00870546">
        <w:rPr>
          <w:lang w:val="fr-FR"/>
        </w:rPr>
        <w:tab/>
      </w:r>
      <w:r w:rsidRPr="00870546">
        <w:rPr>
          <w:lang w:val="fr-FR"/>
        </w:rPr>
        <w:tab/>
      </w:r>
      <w:r w:rsidRPr="009E4784">
        <w:rPr>
          <w:lang w:val="fr-FR"/>
        </w:rPr>
        <w:t>Situation des personnes d</w:t>
      </w:r>
      <w:r w:rsidR="00646DFA">
        <w:rPr>
          <w:lang w:val="fr-FR"/>
        </w:rPr>
        <w:t>’</w:t>
      </w:r>
      <w:r w:rsidRPr="009E4784">
        <w:rPr>
          <w:lang w:val="fr-FR"/>
        </w:rPr>
        <w:t>origine rom, ashkali et tzigane vivant dans le camp</w:t>
      </w:r>
      <w:r w:rsidR="003B62D8">
        <w:rPr>
          <w:lang w:val="fr-FR"/>
        </w:rPr>
        <w:br/>
      </w:r>
      <w:r w:rsidRPr="009E4784">
        <w:rPr>
          <w:lang w:val="fr-FR"/>
        </w:rPr>
        <w:t xml:space="preserve">de Konik </w:t>
      </w:r>
      <w:r>
        <w:rPr>
          <w:lang w:val="fr-FR"/>
        </w:rPr>
        <w:t>en matière de</w:t>
      </w:r>
      <w:r w:rsidRPr="009E4784">
        <w:rPr>
          <w:lang w:val="fr-FR"/>
        </w:rPr>
        <w:t xml:space="preserve"> logement</w:t>
      </w:r>
    </w:p>
    <w:p w:rsidR="00053626" w:rsidRPr="009E4784" w:rsidRDefault="00053626" w:rsidP="003B62D8">
      <w:pPr>
        <w:pStyle w:val="ParNoG"/>
      </w:pPr>
      <w:r>
        <w:t xml:space="preserve">Le Comité constate avec une grande </w:t>
      </w:r>
      <w:r w:rsidR="003B62D8">
        <w:t>inquiétude</w:t>
      </w:r>
      <w:r>
        <w:t xml:space="preserve"> que les personnes d</w:t>
      </w:r>
      <w:r w:rsidR="00646DFA">
        <w:t>’</w:t>
      </w:r>
      <w:r>
        <w:t xml:space="preserve">origine rom, ashkali et tzigane originaires du Kosovo </w:t>
      </w:r>
      <w:r w:rsidR="003B62D8">
        <w:t>«</w:t>
      </w:r>
      <w:r>
        <w:t>déplacées à l</w:t>
      </w:r>
      <w:r w:rsidR="00646DFA">
        <w:t>’</w:t>
      </w:r>
      <w:r>
        <w:t>intérieur du territoire</w:t>
      </w:r>
      <w:r w:rsidR="003B62D8">
        <w:t>»</w:t>
      </w:r>
      <w:r>
        <w:t xml:space="preserve"> continuent de vivre dans des conditions déplorables dans le camp de Konik proche de Podgorica, </w:t>
      </w:r>
      <w:r w:rsidR="003B62D8">
        <w:t>qui se trouve sur le site d</w:t>
      </w:r>
      <w:r w:rsidR="00646DFA">
        <w:t>’</w:t>
      </w:r>
      <w:r w:rsidR="003B62D8">
        <w:t xml:space="preserve">une décharge et qui </w:t>
      </w:r>
      <w:r>
        <w:t>a récemment été touché par des inondations et des incendies. Le Comité note avec une profonde préoccupation que malgré l</w:t>
      </w:r>
      <w:r w:rsidR="00646DFA">
        <w:t>’</w:t>
      </w:r>
      <w:r>
        <w:t>adoption de la stratégie de 2011 visant à élaborer des solutions durables, le camp ne dispose toujours pas des équipements et des services de base, comme l</w:t>
      </w:r>
      <w:r w:rsidR="00646DFA">
        <w:t>’</w:t>
      </w:r>
      <w:r>
        <w:t>électricité, l</w:t>
      </w:r>
      <w:r w:rsidR="00646DFA">
        <w:t>’</w:t>
      </w:r>
      <w:r>
        <w:t>eau courante et l</w:t>
      </w:r>
      <w:r w:rsidR="00646DFA">
        <w:t>’</w:t>
      </w:r>
      <w:r>
        <w:t>assainissement, et que la construction de logements destinés aux habitants du camp de Konik n</w:t>
      </w:r>
      <w:r w:rsidR="00646DFA">
        <w:t>’</w:t>
      </w:r>
      <w:r>
        <w:t>a toujours pas commencé. Le Comité constate également avec préoccupation que les habitants du camp subissent une ségrégation de fait (art.</w:t>
      </w:r>
      <w:r w:rsidR="003B62D8">
        <w:t> </w:t>
      </w:r>
      <w:r>
        <w:t>2, 3 et 5).</w:t>
      </w:r>
    </w:p>
    <w:p w:rsidR="00053626" w:rsidRPr="009E4784" w:rsidRDefault="00053626" w:rsidP="006B40BF">
      <w:pPr>
        <w:pStyle w:val="SingleTxtG"/>
        <w:keepNext/>
        <w:rPr>
          <w:b/>
          <w:lang w:val="fr-FR"/>
        </w:rPr>
      </w:pPr>
      <w:r w:rsidRPr="009E4784">
        <w:rPr>
          <w:b/>
          <w:lang w:val="fr-FR"/>
        </w:rPr>
        <w:t xml:space="preserve">Rappelant ses </w:t>
      </w:r>
      <w:r w:rsidR="006B40BF">
        <w:rPr>
          <w:b/>
          <w:lang w:val="fr-FR"/>
        </w:rPr>
        <w:t>R</w:t>
      </w:r>
      <w:r w:rsidRPr="009E4784">
        <w:rPr>
          <w:b/>
          <w:lang w:val="fr-FR"/>
        </w:rPr>
        <w:t xml:space="preserve">ecommandations générales </w:t>
      </w:r>
      <w:r w:rsidR="006B40BF" w:rsidRPr="006B40BF">
        <w:rPr>
          <w:b/>
          <w:lang w:val="fr-FR"/>
        </w:rPr>
        <w:t>n</w:t>
      </w:r>
      <w:r w:rsidR="006B40BF" w:rsidRPr="006B40BF">
        <w:rPr>
          <w:b/>
          <w:vertAlign w:val="superscript"/>
          <w:lang w:val="fr-FR"/>
        </w:rPr>
        <w:t>o</w:t>
      </w:r>
      <w:r w:rsidR="006B40BF">
        <w:rPr>
          <w:b/>
          <w:lang w:val="fr-FR"/>
        </w:rPr>
        <w:t> </w:t>
      </w:r>
      <w:r w:rsidRPr="009E4784">
        <w:rPr>
          <w:b/>
          <w:lang w:val="fr-FR"/>
        </w:rPr>
        <w:t xml:space="preserve">3 (1972) </w:t>
      </w:r>
      <w:r w:rsidR="006B40BF">
        <w:rPr>
          <w:b/>
          <w:lang w:val="fr-FR"/>
        </w:rPr>
        <w:t>sur</w:t>
      </w:r>
      <w:r w:rsidRPr="001E46ED">
        <w:rPr>
          <w:b/>
          <w:lang w:val="fr-FR"/>
        </w:rPr>
        <w:t xml:space="preserve"> les rapports des États parties,</w:t>
      </w:r>
      <w:r w:rsidRPr="009E4784">
        <w:rPr>
          <w:b/>
          <w:lang w:val="fr-FR"/>
        </w:rPr>
        <w:t xml:space="preserve"> </w:t>
      </w:r>
      <w:r w:rsidR="006B40BF" w:rsidRPr="006B40BF">
        <w:rPr>
          <w:b/>
          <w:lang w:val="fr-FR"/>
        </w:rPr>
        <w:t>n</w:t>
      </w:r>
      <w:r w:rsidR="006B40BF" w:rsidRPr="006B40BF">
        <w:rPr>
          <w:b/>
          <w:vertAlign w:val="superscript"/>
          <w:lang w:val="fr-FR"/>
        </w:rPr>
        <w:t>o</w:t>
      </w:r>
      <w:r w:rsidR="006B40BF">
        <w:rPr>
          <w:b/>
          <w:lang w:val="fr-FR"/>
        </w:rPr>
        <w:t> </w:t>
      </w:r>
      <w:r w:rsidRPr="009E4784">
        <w:rPr>
          <w:b/>
          <w:lang w:val="fr-FR"/>
        </w:rPr>
        <w:t xml:space="preserve">27 (2000) </w:t>
      </w:r>
      <w:r w:rsidR="006B40BF">
        <w:rPr>
          <w:b/>
          <w:lang w:val="fr-FR"/>
        </w:rPr>
        <w:t>sur</w:t>
      </w:r>
      <w:r w:rsidRPr="009E4784">
        <w:rPr>
          <w:b/>
          <w:lang w:val="fr-FR"/>
        </w:rPr>
        <w:t xml:space="preserve"> la discrimination à l</w:t>
      </w:r>
      <w:r w:rsidR="00646DFA">
        <w:rPr>
          <w:b/>
          <w:lang w:val="fr-FR"/>
        </w:rPr>
        <w:t>’</w:t>
      </w:r>
      <w:r w:rsidRPr="009E4784">
        <w:rPr>
          <w:b/>
          <w:lang w:val="fr-FR"/>
        </w:rPr>
        <w:t>ég</w:t>
      </w:r>
      <w:r>
        <w:rPr>
          <w:b/>
          <w:lang w:val="fr-FR"/>
        </w:rPr>
        <w:t xml:space="preserve">ard des Roms et </w:t>
      </w:r>
      <w:r w:rsidR="006B40BF" w:rsidRPr="006B40BF">
        <w:rPr>
          <w:b/>
          <w:lang w:val="fr-FR"/>
        </w:rPr>
        <w:t>n</w:t>
      </w:r>
      <w:r w:rsidR="006B40BF" w:rsidRPr="006B40BF">
        <w:rPr>
          <w:b/>
          <w:vertAlign w:val="superscript"/>
          <w:lang w:val="fr-FR"/>
        </w:rPr>
        <w:t>o</w:t>
      </w:r>
      <w:r w:rsidR="006B40BF">
        <w:rPr>
          <w:b/>
          <w:lang w:val="fr-FR"/>
        </w:rPr>
        <w:t> </w:t>
      </w:r>
      <w:r>
        <w:rPr>
          <w:b/>
          <w:lang w:val="fr-FR"/>
        </w:rPr>
        <w:t xml:space="preserve">30 (2004) </w:t>
      </w:r>
      <w:r w:rsidR="006B40BF">
        <w:rPr>
          <w:b/>
          <w:lang w:val="fr-FR"/>
        </w:rPr>
        <w:t>sur</w:t>
      </w:r>
      <w:r w:rsidRPr="009E4784">
        <w:rPr>
          <w:b/>
          <w:lang w:val="fr-FR"/>
        </w:rPr>
        <w:t xml:space="preserve"> la discrimination contre les non</w:t>
      </w:r>
      <w:r w:rsidR="00AE640B">
        <w:rPr>
          <w:b/>
          <w:lang w:val="fr-FR"/>
        </w:rPr>
        <w:t>-</w:t>
      </w:r>
      <w:r w:rsidRPr="009E4784">
        <w:rPr>
          <w:b/>
          <w:lang w:val="fr-FR"/>
        </w:rPr>
        <w:t>ressortissants, le Comité</w:t>
      </w:r>
      <w:r>
        <w:rPr>
          <w:b/>
          <w:lang w:val="fr-FR"/>
        </w:rPr>
        <w:t xml:space="preserve"> recommande à l</w:t>
      </w:r>
      <w:r w:rsidR="00646DFA">
        <w:rPr>
          <w:b/>
          <w:lang w:val="fr-FR"/>
        </w:rPr>
        <w:t>’</w:t>
      </w:r>
      <w:r>
        <w:rPr>
          <w:b/>
          <w:lang w:val="fr-FR"/>
        </w:rPr>
        <w:t>État partie</w:t>
      </w:r>
      <w:r w:rsidR="006B40BF">
        <w:rPr>
          <w:b/>
          <w:lang w:val="fr-FR"/>
        </w:rPr>
        <w:t>:</w:t>
      </w:r>
    </w:p>
    <w:p w:rsidR="00053626" w:rsidRPr="00870546" w:rsidRDefault="00053626" w:rsidP="006B40BF">
      <w:pPr>
        <w:pStyle w:val="SingleTxtG"/>
        <w:ind w:firstLine="567"/>
        <w:rPr>
          <w:b/>
          <w:lang w:val="fr-FR"/>
        </w:rPr>
      </w:pPr>
      <w:r w:rsidRPr="00870546">
        <w:rPr>
          <w:b/>
          <w:lang w:val="fr-FR"/>
        </w:rPr>
        <w:t>a)</w:t>
      </w:r>
      <w:r w:rsidRPr="00870546">
        <w:rPr>
          <w:b/>
          <w:lang w:val="fr-FR"/>
        </w:rPr>
        <w:tab/>
      </w:r>
      <w:r>
        <w:rPr>
          <w:b/>
        </w:rPr>
        <w:t>D</w:t>
      </w:r>
      <w:r w:rsidRPr="00727165">
        <w:rPr>
          <w:b/>
        </w:rPr>
        <w:t>e prendre des mesures urgentes pour améliorer les conditions de vie des habitants du camp de Konik et de</w:t>
      </w:r>
      <w:r>
        <w:rPr>
          <w:b/>
        </w:rPr>
        <w:t xml:space="preserve"> mettre en œuvre une stratégie viable </w:t>
      </w:r>
      <w:r w:rsidRPr="00727165">
        <w:rPr>
          <w:b/>
        </w:rPr>
        <w:t>vis</w:t>
      </w:r>
      <w:r>
        <w:rPr>
          <w:b/>
        </w:rPr>
        <w:t>ant à</w:t>
      </w:r>
      <w:r w:rsidR="00AE640B">
        <w:rPr>
          <w:b/>
        </w:rPr>
        <w:t> </w:t>
      </w:r>
      <w:r>
        <w:rPr>
          <w:b/>
        </w:rPr>
        <w:t>fermer rapidement ce camp</w:t>
      </w:r>
      <w:r w:rsidRPr="00727165">
        <w:rPr>
          <w:b/>
        </w:rPr>
        <w:t>;</w:t>
      </w:r>
    </w:p>
    <w:p w:rsidR="00053626" w:rsidRPr="00870546" w:rsidRDefault="00053626" w:rsidP="006B40BF">
      <w:pPr>
        <w:pStyle w:val="SingleTxtG"/>
        <w:ind w:firstLine="567"/>
        <w:rPr>
          <w:b/>
          <w:lang w:val="fr-FR"/>
        </w:rPr>
      </w:pPr>
      <w:r w:rsidRPr="00870546">
        <w:rPr>
          <w:b/>
          <w:lang w:val="fr-FR"/>
        </w:rPr>
        <w:t>b)</w:t>
      </w:r>
      <w:r w:rsidRPr="00870546">
        <w:rPr>
          <w:b/>
          <w:lang w:val="fr-FR"/>
        </w:rPr>
        <w:tab/>
      </w:r>
      <w:r>
        <w:rPr>
          <w:b/>
        </w:rPr>
        <w:t>D</w:t>
      </w:r>
      <w:r w:rsidR="00646DFA">
        <w:rPr>
          <w:b/>
        </w:rPr>
        <w:t>’</w:t>
      </w:r>
      <w:r w:rsidRPr="00727165">
        <w:rPr>
          <w:b/>
        </w:rPr>
        <w:t>entamer d</w:t>
      </w:r>
      <w:r w:rsidR="00646DFA">
        <w:rPr>
          <w:b/>
        </w:rPr>
        <w:t>’</w:t>
      </w:r>
      <w:r w:rsidRPr="00727165">
        <w:rPr>
          <w:b/>
        </w:rPr>
        <w:t>urgence la construction des 60</w:t>
      </w:r>
      <w:r w:rsidR="00731985">
        <w:rPr>
          <w:b/>
        </w:rPr>
        <w:t> </w:t>
      </w:r>
      <w:r w:rsidRPr="00727165">
        <w:rPr>
          <w:b/>
        </w:rPr>
        <w:t>uni</w:t>
      </w:r>
      <w:r>
        <w:rPr>
          <w:b/>
        </w:rPr>
        <w:t>tés de logement destinées aux habitants</w:t>
      </w:r>
      <w:r w:rsidRPr="00727165">
        <w:rPr>
          <w:b/>
        </w:rPr>
        <w:t xml:space="preserve"> du camp de Konik </w:t>
      </w:r>
      <w:r>
        <w:rPr>
          <w:b/>
        </w:rPr>
        <w:t>que la délégation de l</w:t>
      </w:r>
      <w:r w:rsidR="00646DFA">
        <w:rPr>
          <w:b/>
        </w:rPr>
        <w:t>’</w:t>
      </w:r>
      <w:r>
        <w:rPr>
          <w:b/>
        </w:rPr>
        <w:t>État partie avait annoncées pour 2014,</w:t>
      </w:r>
      <w:r w:rsidRPr="00727165">
        <w:rPr>
          <w:b/>
        </w:rPr>
        <w:t xml:space="preserve"> d</w:t>
      </w:r>
      <w:r w:rsidR="00646DFA">
        <w:rPr>
          <w:b/>
        </w:rPr>
        <w:t>’</w:t>
      </w:r>
      <w:r w:rsidRPr="00727165">
        <w:rPr>
          <w:b/>
        </w:rPr>
        <w:t>engager sans tarder la construction des autres centaines d</w:t>
      </w:r>
      <w:r w:rsidR="00646DFA">
        <w:rPr>
          <w:b/>
        </w:rPr>
        <w:t>’</w:t>
      </w:r>
      <w:r w:rsidRPr="00727165">
        <w:rPr>
          <w:b/>
        </w:rPr>
        <w:t>unités</w:t>
      </w:r>
      <w:r>
        <w:rPr>
          <w:b/>
        </w:rPr>
        <w:t xml:space="preserve"> de logement, et de continuer à</w:t>
      </w:r>
      <w:r w:rsidRPr="00727165">
        <w:rPr>
          <w:b/>
        </w:rPr>
        <w:t xml:space="preserve"> garantir la mise à disposition des fonds, notamment en </w:t>
      </w:r>
      <w:r w:rsidR="00FC5E39">
        <w:rPr>
          <w:b/>
        </w:rPr>
        <w:t xml:space="preserve">en </w:t>
      </w:r>
      <w:r w:rsidRPr="00727165">
        <w:rPr>
          <w:b/>
        </w:rPr>
        <w:t xml:space="preserve">collectant </w:t>
      </w:r>
      <w:r>
        <w:rPr>
          <w:b/>
        </w:rPr>
        <w:t>auprès des donateurs</w:t>
      </w:r>
      <w:r w:rsidRPr="00870546">
        <w:rPr>
          <w:b/>
          <w:lang w:val="fr-FR"/>
        </w:rPr>
        <w:t>;</w:t>
      </w:r>
    </w:p>
    <w:p w:rsidR="00053626" w:rsidRPr="00870546" w:rsidRDefault="00053626" w:rsidP="006B40BF">
      <w:pPr>
        <w:pStyle w:val="SingleTxtG"/>
        <w:ind w:firstLine="567"/>
        <w:rPr>
          <w:b/>
          <w:lang w:val="fr-FR"/>
        </w:rPr>
      </w:pPr>
      <w:r w:rsidRPr="00870546">
        <w:rPr>
          <w:b/>
          <w:lang w:val="fr-FR"/>
        </w:rPr>
        <w:t>c)</w:t>
      </w:r>
      <w:r w:rsidRPr="00870546">
        <w:rPr>
          <w:b/>
          <w:lang w:val="fr-FR"/>
        </w:rPr>
        <w:tab/>
      </w:r>
      <w:r>
        <w:rPr>
          <w:b/>
        </w:rPr>
        <w:t>De</w:t>
      </w:r>
      <w:r w:rsidRPr="00727165">
        <w:rPr>
          <w:b/>
        </w:rPr>
        <w:t xml:space="preserve"> favoriser l</w:t>
      </w:r>
      <w:r w:rsidR="00646DFA">
        <w:rPr>
          <w:b/>
        </w:rPr>
        <w:t>’</w:t>
      </w:r>
      <w:r w:rsidRPr="00727165">
        <w:rPr>
          <w:b/>
        </w:rPr>
        <w:t>intégration locale des personnes d</w:t>
      </w:r>
      <w:r w:rsidR="00646DFA">
        <w:rPr>
          <w:b/>
        </w:rPr>
        <w:t>’</w:t>
      </w:r>
      <w:r w:rsidRPr="00727165">
        <w:rPr>
          <w:b/>
        </w:rPr>
        <w:t xml:space="preserve">origine rom, ashkali et tzigane, notamment des habitants du camp de Konik, dans les communautés du pays et de veiller à ce </w:t>
      </w:r>
      <w:r>
        <w:rPr>
          <w:b/>
        </w:rPr>
        <w:t>que ces personnes</w:t>
      </w:r>
      <w:r w:rsidRPr="00727165">
        <w:rPr>
          <w:b/>
        </w:rPr>
        <w:t xml:space="preserve"> bénéficient de conditions de vie et de logement adéquate</w:t>
      </w:r>
      <w:r>
        <w:rPr>
          <w:b/>
        </w:rPr>
        <w:t>s, afin d</w:t>
      </w:r>
      <w:r w:rsidR="00646DFA">
        <w:rPr>
          <w:b/>
        </w:rPr>
        <w:t>’</w:t>
      </w:r>
      <w:r>
        <w:rPr>
          <w:b/>
        </w:rPr>
        <w:t>éviter la ségrégation</w:t>
      </w:r>
      <w:r w:rsidRPr="00870546">
        <w:rPr>
          <w:b/>
          <w:lang w:val="fr-FR"/>
        </w:rPr>
        <w:t>.</w:t>
      </w:r>
    </w:p>
    <w:p w:rsidR="00053626" w:rsidRPr="009E4784" w:rsidRDefault="00053626" w:rsidP="006B40BF">
      <w:pPr>
        <w:pStyle w:val="H23G"/>
        <w:rPr>
          <w:lang w:val="fr-FR"/>
        </w:rPr>
      </w:pPr>
      <w:r w:rsidRPr="00870546">
        <w:rPr>
          <w:lang w:val="fr-FR"/>
        </w:rPr>
        <w:tab/>
      </w:r>
      <w:r w:rsidRPr="00870546">
        <w:rPr>
          <w:lang w:val="fr-FR"/>
        </w:rPr>
        <w:tab/>
      </w:r>
      <w:r w:rsidRPr="009E4784">
        <w:rPr>
          <w:lang w:val="fr-FR"/>
        </w:rPr>
        <w:t>Enfants d</w:t>
      </w:r>
      <w:r w:rsidR="00646DFA">
        <w:rPr>
          <w:lang w:val="fr-FR"/>
        </w:rPr>
        <w:t>’</w:t>
      </w:r>
      <w:r w:rsidRPr="009E4784">
        <w:rPr>
          <w:lang w:val="fr-FR"/>
        </w:rPr>
        <w:t>origine rom, ashkali et tzigane dans le système éducatif</w:t>
      </w:r>
    </w:p>
    <w:p w:rsidR="00053626" w:rsidRPr="008B10BE" w:rsidRDefault="00053626" w:rsidP="00FC5E39">
      <w:pPr>
        <w:pStyle w:val="ParNoG"/>
      </w:pPr>
      <w:r>
        <w:t>Le Comité est préoccupé par les faibles taux de scolarisation et de fréquentation scolaire et par le taux élevé d</w:t>
      </w:r>
      <w:r w:rsidR="00646DFA">
        <w:t>’</w:t>
      </w:r>
      <w:r>
        <w:t>abandon scolaire chez les enfants d</w:t>
      </w:r>
      <w:r w:rsidR="00646DFA">
        <w:t>’</w:t>
      </w:r>
      <w:r>
        <w:t>origine rom, ashkali et tzigane, en particulier chez les enfants de plus de 11</w:t>
      </w:r>
      <w:r w:rsidR="00A638C8">
        <w:t> </w:t>
      </w:r>
      <w:r>
        <w:t xml:space="preserve">ans, notamment en raison du travail des enfants, du mariage des enfants et du mariage forcé des filles. Le Comité note également avec </w:t>
      </w:r>
      <w:r w:rsidR="00A638C8">
        <w:t>inquiétude</w:t>
      </w:r>
      <w:r>
        <w:t xml:space="preserve"> que de nombreux enfants roms vivent et travaillent dans la rue et sont donc exposés à la traite et à l</w:t>
      </w:r>
      <w:r w:rsidR="00646DFA">
        <w:t>’</w:t>
      </w:r>
      <w:r>
        <w:t>exploitation économique et sexuelle. En outre, le Comité s</w:t>
      </w:r>
      <w:r w:rsidR="00646DFA">
        <w:t>’</w:t>
      </w:r>
      <w:r>
        <w:t>inquiète du manque de cours dispensés en langue rom et de la ségrégation de fait dont font l</w:t>
      </w:r>
      <w:r w:rsidR="00646DFA">
        <w:t>’</w:t>
      </w:r>
      <w:r>
        <w:t>objet les enfants d</w:t>
      </w:r>
      <w:r w:rsidR="00646DFA">
        <w:t>’</w:t>
      </w:r>
      <w:r>
        <w:t xml:space="preserve">origine rom, ashkali et tzigane </w:t>
      </w:r>
      <w:r w:rsidRPr="00CE2320">
        <w:t xml:space="preserve">scolarisés dans </w:t>
      </w:r>
      <w:r w:rsidR="00A638C8">
        <w:t>l</w:t>
      </w:r>
      <w:r w:rsidR="00646DFA">
        <w:t>’</w:t>
      </w:r>
      <w:r w:rsidR="00A638C8">
        <w:t xml:space="preserve">antenne </w:t>
      </w:r>
      <w:r w:rsidRPr="00CE2320">
        <w:t>de l</w:t>
      </w:r>
      <w:r w:rsidR="00646DFA">
        <w:t>’</w:t>
      </w:r>
      <w:r w:rsidRPr="00CE2320">
        <w:t xml:space="preserve">école </w:t>
      </w:r>
      <w:r w:rsidR="00A638C8">
        <w:rPr>
          <w:bCs/>
          <w:lang w:val="fr-FR"/>
        </w:rPr>
        <w:t>«</w:t>
      </w:r>
      <w:r w:rsidRPr="00CE2320">
        <w:rPr>
          <w:bCs/>
        </w:rPr>
        <w:t>Bo</w:t>
      </w:r>
      <w:r w:rsidR="00731985">
        <w:rPr>
          <w:bCs/>
        </w:rPr>
        <w:t>ž</w:t>
      </w:r>
      <w:r w:rsidRPr="00CE2320">
        <w:rPr>
          <w:bCs/>
        </w:rPr>
        <w:t>idar</w:t>
      </w:r>
      <w:r w:rsidRPr="0066256A">
        <w:rPr>
          <w:bCs/>
        </w:rPr>
        <w:t xml:space="preserve"> Vukovi</w:t>
      </w:r>
      <w:r w:rsidR="00731985">
        <w:rPr>
          <w:bCs/>
        </w:rPr>
        <w:t>ć</w:t>
      </w:r>
      <w:r w:rsidRPr="0066256A">
        <w:rPr>
          <w:bCs/>
        </w:rPr>
        <w:t xml:space="preserve"> Podgoričanin</w:t>
      </w:r>
      <w:r w:rsidR="00A638C8">
        <w:rPr>
          <w:bCs/>
        </w:rPr>
        <w:t>»</w:t>
      </w:r>
      <w:r w:rsidR="00711760">
        <w:rPr>
          <w:bCs/>
        </w:rPr>
        <w:t xml:space="preserve"> à </w:t>
      </w:r>
      <w:r w:rsidR="00711760" w:rsidRPr="00711760">
        <w:t>Konik</w:t>
      </w:r>
      <w:r>
        <w:t xml:space="preserve"> (art.</w:t>
      </w:r>
      <w:r w:rsidR="00A638C8">
        <w:t> </w:t>
      </w:r>
      <w:r>
        <w:t>2, 3,</w:t>
      </w:r>
      <w:r w:rsidR="00AE640B">
        <w:t xml:space="preserve"> </w:t>
      </w:r>
      <w:r>
        <w:t>5 et 7).</w:t>
      </w:r>
    </w:p>
    <w:p w:rsidR="00053626" w:rsidRPr="008B10BE" w:rsidRDefault="00053626" w:rsidP="00711760">
      <w:pPr>
        <w:pStyle w:val="SingleTxtG"/>
        <w:keepNext/>
        <w:rPr>
          <w:b/>
          <w:lang w:val="fr-FR"/>
        </w:rPr>
      </w:pPr>
      <w:r w:rsidRPr="008B10BE">
        <w:rPr>
          <w:b/>
          <w:lang w:val="fr-FR"/>
        </w:rPr>
        <w:t xml:space="preserve">À la lumière de ses </w:t>
      </w:r>
      <w:r w:rsidR="00711760">
        <w:rPr>
          <w:b/>
          <w:lang w:val="fr-FR"/>
        </w:rPr>
        <w:t>R</w:t>
      </w:r>
      <w:r w:rsidRPr="008B10BE">
        <w:rPr>
          <w:b/>
          <w:lang w:val="fr-FR"/>
        </w:rPr>
        <w:t xml:space="preserve">ecommandations générales </w:t>
      </w:r>
      <w:r w:rsidR="00711760" w:rsidRPr="006B40BF">
        <w:rPr>
          <w:b/>
          <w:lang w:val="fr-FR"/>
        </w:rPr>
        <w:t>n</w:t>
      </w:r>
      <w:r w:rsidR="00711760" w:rsidRPr="006B40BF">
        <w:rPr>
          <w:b/>
          <w:vertAlign w:val="superscript"/>
          <w:lang w:val="fr-FR"/>
        </w:rPr>
        <w:t>o</w:t>
      </w:r>
      <w:r w:rsidR="00711760">
        <w:rPr>
          <w:b/>
          <w:lang w:val="fr-FR"/>
        </w:rPr>
        <w:t> </w:t>
      </w:r>
      <w:r w:rsidRPr="008B10BE">
        <w:rPr>
          <w:b/>
          <w:lang w:val="fr-FR"/>
        </w:rPr>
        <w:t xml:space="preserve">19 (1995) </w:t>
      </w:r>
      <w:r w:rsidR="00711760">
        <w:rPr>
          <w:b/>
          <w:lang w:val="fr-FR"/>
        </w:rPr>
        <w:t>sur</w:t>
      </w:r>
      <w:r w:rsidRPr="008B10BE">
        <w:rPr>
          <w:b/>
          <w:lang w:val="fr-FR"/>
        </w:rPr>
        <w:t xml:space="preserve"> la ségrégation raciale et l</w:t>
      </w:r>
      <w:r w:rsidR="00646DFA">
        <w:rPr>
          <w:b/>
          <w:lang w:val="fr-FR"/>
        </w:rPr>
        <w:t>’</w:t>
      </w:r>
      <w:r w:rsidRPr="008B10BE">
        <w:rPr>
          <w:b/>
          <w:lang w:val="fr-FR"/>
        </w:rPr>
        <w:t xml:space="preserve">apartheid et </w:t>
      </w:r>
      <w:r w:rsidR="00711760" w:rsidRPr="006B40BF">
        <w:rPr>
          <w:b/>
          <w:lang w:val="fr-FR"/>
        </w:rPr>
        <w:t>n</w:t>
      </w:r>
      <w:r w:rsidR="00711760" w:rsidRPr="006B40BF">
        <w:rPr>
          <w:b/>
          <w:vertAlign w:val="superscript"/>
          <w:lang w:val="fr-FR"/>
        </w:rPr>
        <w:t>o</w:t>
      </w:r>
      <w:r w:rsidR="00711760">
        <w:rPr>
          <w:b/>
          <w:lang w:val="fr-FR"/>
        </w:rPr>
        <w:t> </w:t>
      </w:r>
      <w:r w:rsidRPr="008B10BE">
        <w:rPr>
          <w:b/>
          <w:lang w:val="fr-FR"/>
        </w:rPr>
        <w:t xml:space="preserve">27 (2000) </w:t>
      </w:r>
      <w:r w:rsidR="00711760">
        <w:rPr>
          <w:b/>
          <w:lang w:val="fr-FR"/>
        </w:rPr>
        <w:t>sur</w:t>
      </w:r>
      <w:r w:rsidRPr="008B10BE">
        <w:rPr>
          <w:b/>
          <w:lang w:val="fr-FR"/>
        </w:rPr>
        <w:t xml:space="preserve"> la discrimination à l</w:t>
      </w:r>
      <w:r w:rsidR="00646DFA">
        <w:rPr>
          <w:b/>
          <w:lang w:val="fr-FR"/>
        </w:rPr>
        <w:t>’</w:t>
      </w:r>
      <w:r w:rsidRPr="008B10BE">
        <w:rPr>
          <w:b/>
          <w:lang w:val="fr-FR"/>
        </w:rPr>
        <w:t>égard des Roms, le Comité recommande à l</w:t>
      </w:r>
      <w:r w:rsidR="00646DFA">
        <w:rPr>
          <w:b/>
          <w:lang w:val="fr-FR"/>
        </w:rPr>
        <w:t>’</w:t>
      </w:r>
      <w:r w:rsidRPr="008B10BE">
        <w:rPr>
          <w:b/>
          <w:lang w:val="fr-FR"/>
        </w:rPr>
        <w:t>État partie:</w:t>
      </w:r>
    </w:p>
    <w:p w:rsidR="00053626" w:rsidRPr="0052353C" w:rsidRDefault="00053626" w:rsidP="00711760">
      <w:pPr>
        <w:pStyle w:val="SingleTxtG"/>
        <w:ind w:firstLine="567"/>
        <w:rPr>
          <w:bCs/>
          <w:lang w:val="fr-FR"/>
        </w:rPr>
      </w:pPr>
      <w:r w:rsidRPr="00870546">
        <w:rPr>
          <w:b/>
          <w:lang w:val="fr-FR"/>
        </w:rPr>
        <w:t>a)</w:t>
      </w:r>
      <w:r w:rsidRPr="00870546">
        <w:rPr>
          <w:b/>
          <w:lang w:val="fr-FR"/>
        </w:rPr>
        <w:tab/>
      </w:r>
      <w:r>
        <w:rPr>
          <w:b/>
          <w:lang w:val="fr-FR"/>
        </w:rPr>
        <w:t>De scolariser gratuitement les</w:t>
      </w:r>
      <w:r w:rsidRPr="008B10BE">
        <w:rPr>
          <w:b/>
          <w:lang w:val="fr-FR"/>
        </w:rPr>
        <w:t xml:space="preserve"> enfants d</w:t>
      </w:r>
      <w:r w:rsidR="00646DFA">
        <w:rPr>
          <w:b/>
          <w:lang w:val="fr-FR"/>
        </w:rPr>
        <w:t>’</w:t>
      </w:r>
      <w:r w:rsidRPr="008B10BE">
        <w:rPr>
          <w:b/>
          <w:lang w:val="fr-FR"/>
        </w:rPr>
        <w:t xml:space="preserve">origine rom, ashkali et tzigane </w:t>
      </w:r>
      <w:r>
        <w:rPr>
          <w:b/>
          <w:lang w:val="fr-FR"/>
        </w:rPr>
        <w:t>et de leur fournir des manuels scolaires et des</w:t>
      </w:r>
      <w:r w:rsidRPr="008B10BE">
        <w:rPr>
          <w:b/>
          <w:lang w:val="fr-FR"/>
        </w:rPr>
        <w:t xml:space="preserve"> moyens de transport</w:t>
      </w:r>
      <w:r>
        <w:rPr>
          <w:b/>
          <w:lang w:val="fr-FR"/>
        </w:rPr>
        <w:t xml:space="preserve"> à titre gracieux</w:t>
      </w:r>
      <w:r w:rsidRPr="008B10BE">
        <w:rPr>
          <w:b/>
          <w:lang w:val="fr-FR"/>
        </w:rPr>
        <w:t>, afin de prévenir la ségrégation et de garantir leur intég</w:t>
      </w:r>
      <w:r>
        <w:rPr>
          <w:b/>
          <w:lang w:val="fr-FR"/>
        </w:rPr>
        <w:t xml:space="preserve">ration dans </w:t>
      </w:r>
      <w:r w:rsidR="00711760">
        <w:rPr>
          <w:b/>
          <w:lang w:val="fr-FR"/>
        </w:rPr>
        <w:t>d</w:t>
      </w:r>
      <w:r>
        <w:rPr>
          <w:b/>
          <w:lang w:val="fr-FR"/>
        </w:rPr>
        <w:t>es établissements scolaires</w:t>
      </w:r>
      <w:r w:rsidRPr="008B10BE">
        <w:rPr>
          <w:b/>
          <w:lang w:val="fr-FR"/>
        </w:rPr>
        <w:t xml:space="preserve"> locaux, et de fermer </w:t>
      </w:r>
      <w:r w:rsidR="00711760">
        <w:rPr>
          <w:b/>
          <w:lang w:val="fr-FR"/>
        </w:rPr>
        <w:t>l</w:t>
      </w:r>
      <w:r w:rsidR="00646DFA">
        <w:rPr>
          <w:b/>
          <w:lang w:val="fr-FR"/>
        </w:rPr>
        <w:t>’</w:t>
      </w:r>
      <w:r w:rsidR="00711760">
        <w:rPr>
          <w:b/>
          <w:lang w:val="fr-FR"/>
        </w:rPr>
        <w:t xml:space="preserve">antenne </w:t>
      </w:r>
      <w:r w:rsidRPr="0066256A">
        <w:rPr>
          <w:b/>
          <w:lang w:val="fr-FR"/>
        </w:rPr>
        <w:t>de l</w:t>
      </w:r>
      <w:r w:rsidR="00646DFA">
        <w:rPr>
          <w:b/>
          <w:lang w:val="fr-FR"/>
        </w:rPr>
        <w:t>’</w:t>
      </w:r>
      <w:r w:rsidRPr="0066256A">
        <w:rPr>
          <w:b/>
          <w:lang w:val="fr-FR"/>
        </w:rPr>
        <w:t xml:space="preserve">école </w:t>
      </w:r>
      <w:r w:rsidR="00711760">
        <w:rPr>
          <w:b/>
          <w:lang w:val="fr-FR"/>
        </w:rPr>
        <w:t>«</w:t>
      </w:r>
      <w:r w:rsidR="00731985" w:rsidRPr="00731985">
        <w:rPr>
          <w:b/>
          <w:bCs/>
        </w:rPr>
        <w:t>Božidar Vuković Podgoričanin</w:t>
      </w:r>
      <w:r w:rsidR="00711760">
        <w:rPr>
          <w:b/>
        </w:rPr>
        <w:t>» à </w:t>
      </w:r>
      <w:r w:rsidR="00711760" w:rsidRPr="0066256A">
        <w:rPr>
          <w:b/>
          <w:lang w:val="fr-FR"/>
        </w:rPr>
        <w:t>Konik</w:t>
      </w:r>
      <w:r w:rsidR="00646DFA">
        <w:rPr>
          <w:b/>
          <w:lang w:val="fr-FR"/>
        </w:rPr>
        <w:t>;</w:t>
      </w:r>
    </w:p>
    <w:p w:rsidR="00053626" w:rsidRPr="00870546" w:rsidRDefault="00053626" w:rsidP="00711760">
      <w:pPr>
        <w:pStyle w:val="SingleTxtG"/>
        <w:ind w:firstLine="567"/>
        <w:rPr>
          <w:b/>
          <w:lang w:val="fr-FR"/>
        </w:rPr>
      </w:pPr>
      <w:r w:rsidRPr="00870546">
        <w:rPr>
          <w:b/>
          <w:lang w:val="fr-FR"/>
        </w:rPr>
        <w:t>b)</w:t>
      </w:r>
      <w:r w:rsidRPr="00870546">
        <w:rPr>
          <w:b/>
          <w:lang w:val="fr-FR"/>
        </w:rPr>
        <w:tab/>
      </w:r>
      <w:r>
        <w:rPr>
          <w:b/>
        </w:rPr>
        <w:t>D</w:t>
      </w:r>
      <w:r w:rsidRPr="00727165">
        <w:rPr>
          <w:b/>
        </w:rPr>
        <w:t>e veiller à ce que les enfants d</w:t>
      </w:r>
      <w:r w:rsidR="00646DFA">
        <w:rPr>
          <w:b/>
        </w:rPr>
        <w:t>’</w:t>
      </w:r>
      <w:r w:rsidRPr="00727165">
        <w:rPr>
          <w:b/>
        </w:rPr>
        <w:t xml:space="preserve">origine rom, ashkali et tzigane </w:t>
      </w:r>
      <w:r>
        <w:rPr>
          <w:b/>
        </w:rPr>
        <w:t>qui n</w:t>
      </w:r>
      <w:r w:rsidR="00646DFA">
        <w:rPr>
          <w:b/>
        </w:rPr>
        <w:t>’</w:t>
      </w:r>
      <w:r>
        <w:rPr>
          <w:b/>
        </w:rPr>
        <w:t xml:space="preserve">ont </w:t>
      </w:r>
      <w:r w:rsidR="00711760">
        <w:rPr>
          <w:b/>
        </w:rPr>
        <w:t xml:space="preserve">ni </w:t>
      </w:r>
      <w:r>
        <w:rPr>
          <w:b/>
        </w:rPr>
        <w:t xml:space="preserve">acte de naissance </w:t>
      </w:r>
      <w:r w:rsidR="00711760">
        <w:rPr>
          <w:b/>
        </w:rPr>
        <w:t>ni</w:t>
      </w:r>
      <w:r>
        <w:rPr>
          <w:b/>
        </w:rPr>
        <w:t xml:space="preserve"> document</w:t>
      </w:r>
      <w:r w:rsidRPr="00727165">
        <w:rPr>
          <w:b/>
        </w:rPr>
        <w:t xml:space="preserve"> d</w:t>
      </w:r>
      <w:r w:rsidR="00646DFA">
        <w:rPr>
          <w:b/>
        </w:rPr>
        <w:t>’</w:t>
      </w:r>
      <w:r w:rsidRPr="00727165">
        <w:rPr>
          <w:b/>
        </w:rPr>
        <w:t>identité ne fassent pas l</w:t>
      </w:r>
      <w:r w:rsidR="00646DFA">
        <w:rPr>
          <w:b/>
        </w:rPr>
        <w:t>’</w:t>
      </w:r>
      <w:r w:rsidRPr="00727165">
        <w:rPr>
          <w:b/>
        </w:rPr>
        <w:t>objet de discrimination dans l</w:t>
      </w:r>
      <w:r w:rsidR="00646DFA">
        <w:rPr>
          <w:b/>
        </w:rPr>
        <w:t>’</w:t>
      </w:r>
      <w:r w:rsidRPr="00727165">
        <w:rPr>
          <w:b/>
        </w:rPr>
        <w:t>accès à l</w:t>
      </w:r>
      <w:r w:rsidR="00646DFA">
        <w:rPr>
          <w:b/>
        </w:rPr>
        <w:t>’</w:t>
      </w:r>
      <w:r w:rsidRPr="00727165">
        <w:rPr>
          <w:b/>
        </w:rPr>
        <w:t xml:space="preserve">éducation et </w:t>
      </w:r>
      <w:r w:rsidR="00652A36">
        <w:rPr>
          <w:b/>
        </w:rPr>
        <w:t>à l</w:t>
      </w:r>
      <w:r w:rsidR="00646DFA">
        <w:rPr>
          <w:b/>
        </w:rPr>
        <w:t>’</w:t>
      </w:r>
      <w:r w:rsidR="00652A36">
        <w:rPr>
          <w:b/>
        </w:rPr>
        <w:t>école</w:t>
      </w:r>
      <w:r w:rsidRPr="00727165">
        <w:rPr>
          <w:b/>
        </w:rPr>
        <w:t>;</w:t>
      </w:r>
    </w:p>
    <w:p w:rsidR="00053626" w:rsidRPr="00870546" w:rsidRDefault="00053626" w:rsidP="00711760">
      <w:pPr>
        <w:pStyle w:val="SingleTxtG"/>
        <w:ind w:firstLine="567"/>
        <w:rPr>
          <w:b/>
          <w:lang w:val="fr-FR"/>
        </w:rPr>
      </w:pPr>
      <w:r w:rsidRPr="00870546">
        <w:rPr>
          <w:b/>
          <w:lang w:val="fr-FR"/>
        </w:rPr>
        <w:t>c)</w:t>
      </w:r>
      <w:r w:rsidRPr="00870546">
        <w:rPr>
          <w:b/>
          <w:lang w:val="fr-FR"/>
        </w:rPr>
        <w:tab/>
      </w:r>
      <w:r>
        <w:rPr>
          <w:b/>
        </w:rPr>
        <w:t>D</w:t>
      </w:r>
      <w:r w:rsidRPr="00727165">
        <w:rPr>
          <w:b/>
        </w:rPr>
        <w:t>e redoubler d</w:t>
      </w:r>
      <w:r w:rsidR="00646DFA">
        <w:rPr>
          <w:b/>
        </w:rPr>
        <w:t>’</w:t>
      </w:r>
      <w:r w:rsidRPr="00727165">
        <w:rPr>
          <w:b/>
        </w:rPr>
        <w:t>efforts pour augmenter le taux de scolarisation et réduire le taux d</w:t>
      </w:r>
      <w:r w:rsidR="00646DFA">
        <w:rPr>
          <w:b/>
        </w:rPr>
        <w:t>’</w:t>
      </w:r>
      <w:r w:rsidRPr="00727165">
        <w:rPr>
          <w:b/>
        </w:rPr>
        <w:t>abandon scolaire chez les enfants d</w:t>
      </w:r>
      <w:r w:rsidR="00646DFA">
        <w:rPr>
          <w:b/>
        </w:rPr>
        <w:t>’</w:t>
      </w:r>
      <w:r w:rsidRPr="00727165">
        <w:rPr>
          <w:b/>
        </w:rPr>
        <w:t>origine rom, ashkali et tzigane, en</w:t>
      </w:r>
      <w:r w:rsidR="00652A36">
        <w:rPr>
          <w:b/>
        </w:rPr>
        <w:t> </w:t>
      </w:r>
      <w:r w:rsidRPr="00727165">
        <w:rPr>
          <w:b/>
        </w:rPr>
        <w:t>expliquant aux parents que la scolarisation continue de leurs enfants permettra d</w:t>
      </w:r>
      <w:r w:rsidR="00646DFA">
        <w:rPr>
          <w:b/>
        </w:rPr>
        <w:t>’</w:t>
      </w:r>
      <w:r w:rsidRPr="00727165">
        <w:rPr>
          <w:b/>
        </w:rPr>
        <w:t xml:space="preserve">améliorer </w:t>
      </w:r>
      <w:r w:rsidR="00652A36">
        <w:rPr>
          <w:b/>
        </w:rPr>
        <w:t>leur</w:t>
      </w:r>
      <w:r w:rsidRPr="00727165">
        <w:rPr>
          <w:b/>
        </w:rPr>
        <w:t xml:space="preserve"> situat</w:t>
      </w:r>
      <w:r>
        <w:rPr>
          <w:b/>
        </w:rPr>
        <w:t>ion socio</w:t>
      </w:r>
      <w:r w:rsidRPr="00727165">
        <w:rPr>
          <w:b/>
        </w:rPr>
        <w:t xml:space="preserve">économique sur le long terme et en les sensibilisant aux conséquences néfastes du travail des enfants, du mariage des enfants et du mariage forcé sur la santé et </w:t>
      </w:r>
      <w:r>
        <w:rPr>
          <w:b/>
        </w:rPr>
        <w:t>l</w:t>
      </w:r>
      <w:r w:rsidR="00646DFA">
        <w:rPr>
          <w:b/>
        </w:rPr>
        <w:t>’</w:t>
      </w:r>
      <w:r>
        <w:rPr>
          <w:b/>
        </w:rPr>
        <w:t>avenir de leurs enfants</w:t>
      </w:r>
      <w:r w:rsidRPr="00727165">
        <w:rPr>
          <w:b/>
        </w:rPr>
        <w:t>;</w:t>
      </w:r>
    </w:p>
    <w:p w:rsidR="00053626" w:rsidRPr="00870546" w:rsidRDefault="00053626" w:rsidP="00711760">
      <w:pPr>
        <w:pStyle w:val="SingleTxtG"/>
        <w:ind w:firstLine="567"/>
        <w:rPr>
          <w:b/>
          <w:lang w:val="fr-FR"/>
        </w:rPr>
      </w:pPr>
      <w:r w:rsidRPr="00870546">
        <w:rPr>
          <w:b/>
          <w:lang w:val="fr-FR"/>
        </w:rPr>
        <w:t>d)</w:t>
      </w:r>
      <w:r w:rsidRPr="00870546">
        <w:rPr>
          <w:b/>
          <w:lang w:val="fr-FR"/>
        </w:rPr>
        <w:tab/>
      </w:r>
      <w:r>
        <w:rPr>
          <w:b/>
        </w:rPr>
        <w:t>D</w:t>
      </w:r>
      <w:r w:rsidR="00646DFA">
        <w:rPr>
          <w:b/>
        </w:rPr>
        <w:t>’</w:t>
      </w:r>
      <w:r w:rsidRPr="00727165">
        <w:rPr>
          <w:b/>
        </w:rPr>
        <w:t>améliorer le taux de scolarisation des enfants d</w:t>
      </w:r>
      <w:r w:rsidR="00646DFA">
        <w:rPr>
          <w:b/>
        </w:rPr>
        <w:t>’</w:t>
      </w:r>
      <w:r w:rsidRPr="00727165">
        <w:rPr>
          <w:b/>
        </w:rPr>
        <w:t>origine rom, ashkali et tzigane dans les écoles maternelles et les autres établissements préscolaires afin d</w:t>
      </w:r>
      <w:r w:rsidR="00646DFA">
        <w:rPr>
          <w:b/>
        </w:rPr>
        <w:t>’</w:t>
      </w:r>
      <w:r w:rsidRPr="00727165">
        <w:rPr>
          <w:b/>
        </w:rPr>
        <w:t>approfondir leur connaissance de la langue monténégrine;</w:t>
      </w:r>
    </w:p>
    <w:p w:rsidR="00053626" w:rsidRPr="00870546" w:rsidRDefault="00053626" w:rsidP="00711760">
      <w:pPr>
        <w:pStyle w:val="SingleTxtG"/>
        <w:ind w:firstLine="567"/>
        <w:rPr>
          <w:b/>
          <w:lang w:val="fr-FR"/>
        </w:rPr>
      </w:pPr>
      <w:r w:rsidRPr="00870546">
        <w:rPr>
          <w:b/>
          <w:lang w:val="fr-FR"/>
        </w:rPr>
        <w:t>e)</w:t>
      </w:r>
      <w:r w:rsidRPr="00870546">
        <w:rPr>
          <w:b/>
          <w:lang w:val="fr-FR"/>
        </w:rPr>
        <w:tab/>
      </w:r>
      <w:r>
        <w:rPr>
          <w:b/>
        </w:rPr>
        <w:t>D</w:t>
      </w:r>
      <w:r w:rsidR="00646DFA">
        <w:rPr>
          <w:b/>
        </w:rPr>
        <w:t>’</w:t>
      </w:r>
      <w:r w:rsidRPr="00727165">
        <w:rPr>
          <w:b/>
        </w:rPr>
        <w:t>engager davantage d</w:t>
      </w:r>
      <w:r w:rsidR="00646DFA">
        <w:rPr>
          <w:b/>
        </w:rPr>
        <w:t>’</w:t>
      </w:r>
      <w:r w:rsidRPr="00727165">
        <w:rPr>
          <w:b/>
        </w:rPr>
        <w:t xml:space="preserve">assistants </w:t>
      </w:r>
      <w:r>
        <w:rPr>
          <w:b/>
        </w:rPr>
        <w:t xml:space="preserve">pédagogiques </w:t>
      </w:r>
      <w:r w:rsidRPr="00727165">
        <w:rPr>
          <w:b/>
        </w:rPr>
        <w:t>et de médiateur</w:t>
      </w:r>
      <w:r>
        <w:rPr>
          <w:b/>
        </w:rPr>
        <w:t xml:space="preserve">s </w:t>
      </w:r>
      <w:r w:rsidRPr="00727165">
        <w:rPr>
          <w:b/>
        </w:rPr>
        <w:t>rom</w:t>
      </w:r>
      <w:r>
        <w:rPr>
          <w:b/>
        </w:rPr>
        <w:t>s</w:t>
      </w:r>
      <w:r w:rsidRPr="00727165">
        <w:rPr>
          <w:b/>
        </w:rPr>
        <w:t xml:space="preserve"> dans les écoles et d</w:t>
      </w:r>
      <w:r w:rsidR="00646DFA">
        <w:rPr>
          <w:b/>
        </w:rPr>
        <w:t>’</w:t>
      </w:r>
      <w:r w:rsidRPr="00727165">
        <w:rPr>
          <w:b/>
        </w:rPr>
        <w:t>encourager les enseignants à examiner la possibilité de consacrer une partie du programme</w:t>
      </w:r>
      <w:r>
        <w:rPr>
          <w:b/>
        </w:rPr>
        <w:t xml:space="preserve"> scolaire</w:t>
      </w:r>
      <w:r w:rsidRPr="00727165">
        <w:rPr>
          <w:b/>
        </w:rPr>
        <w:t xml:space="preserve"> à </w:t>
      </w:r>
      <w:r w:rsidRPr="00BB7831">
        <w:rPr>
          <w:b/>
        </w:rPr>
        <w:t>la langue rom;</w:t>
      </w:r>
    </w:p>
    <w:p w:rsidR="00053626" w:rsidRPr="00F409A1" w:rsidRDefault="00053626" w:rsidP="00711760">
      <w:pPr>
        <w:pStyle w:val="SingleTxtG"/>
        <w:ind w:firstLine="567"/>
        <w:rPr>
          <w:b/>
        </w:rPr>
      </w:pPr>
      <w:r w:rsidRPr="00870546">
        <w:rPr>
          <w:b/>
          <w:lang w:val="fr-FR"/>
        </w:rPr>
        <w:t>f)</w:t>
      </w:r>
      <w:r w:rsidRPr="00870546">
        <w:rPr>
          <w:b/>
          <w:lang w:val="fr-FR"/>
        </w:rPr>
        <w:tab/>
      </w:r>
      <w:r>
        <w:rPr>
          <w:b/>
        </w:rPr>
        <w:t>D</w:t>
      </w:r>
      <w:r w:rsidRPr="00727165">
        <w:rPr>
          <w:b/>
        </w:rPr>
        <w:t xml:space="preserve">e surveiller le travail des enfants, en particulier dans le secteur informel et </w:t>
      </w:r>
      <w:r w:rsidR="00652A36">
        <w:rPr>
          <w:b/>
        </w:rPr>
        <w:t>celui de la domesticité</w:t>
      </w:r>
      <w:r w:rsidRPr="00727165">
        <w:rPr>
          <w:b/>
        </w:rPr>
        <w:t>, et de protéger et d</w:t>
      </w:r>
      <w:r w:rsidR="00646DFA">
        <w:rPr>
          <w:b/>
        </w:rPr>
        <w:t>’</w:t>
      </w:r>
      <w:r w:rsidRPr="00727165">
        <w:rPr>
          <w:b/>
        </w:rPr>
        <w:t>informer les enfants d</w:t>
      </w:r>
      <w:r w:rsidR="00646DFA">
        <w:rPr>
          <w:b/>
        </w:rPr>
        <w:t>’</w:t>
      </w:r>
      <w:r w:rsidRPr="00727165">
        <w:rPr>
          <w:b/>
        </w:rPr>
        <w:t>origine rom, ashkali et tzigane q</w:t>
      </w:r>
      <w:r>
        <w:rPr>
          <w:b/>
        </w:rPr>
        <w:t>ui vivent dans la rue, pour éviter qu</w:t>
      </w:r>
      <w:r w:rsidR="00646DFA">
        <w:rPr>
          <w:b/>
        </w:rPr>
        <w:t>’</w:t>
      </w:r>
      <w:r>
        <w:rPr>
          <w:b/>
        </w:rPr>
        <w:t>ils soient victimes de traite et d</w:t>
      </w:r>
      <w:r w:rsidR="00646DFA">
        <w:rPr>
          <w:b/>
        </w:rPr>
        <w:t>’</w:t>
      </w:r>
      <w:r>
        <w:rPr>
          <w:b/>
        </w:rPr>
        <w:t>exploitation économique et sexuelle</w:t>
      </w:r>
      <w:r w:rsidR="00652A36">
        <w:rPr>
          <w:b/>
        </w:rPr>
        <w:t>.</w:t>
      </w:r>
    </w:p>
    <w:p w:rsidR="00053626" w:rsidRPr="001D3E98" w:rsidRDefault="00053626" w:rsidP="00652A36">
      <w:pPr>
        <w:pStyle w:val="H23G"/>
        <w:rPr>
          <w:lang w:val="fr-FR"/>
        </w:rPr>
      </w:pPr>
      <w:r w:rsidRPr="00870546">
        <w:rPr>
          <w:lang w:val="fr-FR"/>
        </w:rPr>
        <w:tab/>
      </w:r>
      <w:r w:rsidRPr="00870546">
        <w:rPr>
          <w:lang w:val="fr-FR"/>
        </w:rPr>
        <w:tab/>
      </w:r>
      <w:r>
        <w:rPr>
          <w:lang w:val="fr-FR"/>
        </w:rPr>
        <w:t>Situation socio</w:t>
      </w:r>
      <w:r w:rsidRPr="001D3E98">
        <w:rPr>
          <w:lang w:val="fr-FR"/>
        </w:rPr>
        <w:t>économique des personnes d</w:t>
      </w:r>
      <w:r w:rsidR="00646DFA">
        <w:rPr>
          <w:lang w:val="fr-FR"/>
        </w:rPr>
        <w:t>’</w:t>
      </w:r>
      <w:r w:rsidRPr="001D3E98">
        <w:rPr>
          <w:lang w:val="fr-FR"/>
        </w:rPr>
        <w:t>origine rom, ashkali et tzigane</w:t>
      </w:r>
    </w:p>
    <w:p w:rsidR="00053626" w:rsidRPr="001D3E98" w:rsidRDefault="00053626" w:rsidP="00652A36">
      <w:pPr>
        <w:pStyle w:val="ParNoG"/>
      </w:pPr>
      <w:r>
        <w:t>Le Comité note avec préoccupation que les personnes d</w:t>
      </w:r>
      <w:r w:rsidR="00646DFA">
        <w:t>’</w:t>
      </w:r>
      <w:r>
        <w:t>origine rom, ashkali et tzigane pâtissent d</w:t>
      </w:r>
      <w:r w:rsidR="00646DFA">
        <w:t>’</w:t>
      </w:r>
      <w:r>
        <w:t>une situation économique difficile et d</w:t>
      </w:r>
      <w:r w:rsidR="00646DFA">
        <w:t>’</w:t>
      </w:r>
      <w:r>
        <w:t>un taux de chômage élevé dans l</w:t>
      </w:r>
      <w:r w:rsidR="00646DFA">
        <w:t>’</w:t>
      </w:r>
      <w:r>
        <w:t>État partie en raison de leur manque de qualifications et de leur taux élevé d</w:t>
      </w:r>
      <w:r w:rsidR="00646DFA">
        <w:t>’</w:t>
      </w:r>
      <w:r>
        <w:t>analphabétisme, mais également de la discrimination directe et indirecte dont ils font l</w:t>
      </w:r>
      <w:r w:rsidR="00646DFA">
        <w:t>’</w:t>
      </w:r>
      <w:r>
        <w:t xml:space="preserve">objet. Tout en notant que les membres de ces groupes minoritaires sont considérés comme </w:t>
      </w:r>
      <w:r w:rsidRPr="001E46ED">
        <w:t xml:space="preserve">«difficilement employables» </w:t>
      </w:r>
      <w:r>
        <w:t>en raison de leur manque de qualifications et de leur taux élevé d</w:t>
      </w:r>
      <w:r w:rsidR="00646DFA">
        <w:t>’</w:t>
      </w:r>
      <w:r>
        <w:t>analphabétisme, il constate avec préoccupation qu</w:t>
      </w:r>
      <w:r w:rsidR="00646DFA">
        <w:t>’</w:t>
      </w:r>
      <w:r>
        <w:t>ils sont également victimes de discrimination directe et indirecte (art.</w:t>
      </w:r>
      <w:r w:rsidR="00652A36">
        <w:t> </w:t>
      </w:r>
      <w:r>
        <w:t>5).</w:t>
      </w:r>
    </w:p>
    <w:p w:rsidR="00053626" w:rsidRPr="001D3E98" w:rsidRDefault="00053626" w:rsidP="00927A58">
      <w:pPr>
        <w:pStyle w:val="SingleTxtG"/>
        <w:keepNext/>
        <w:rPr>
          <w:b/>
          <w:lang w:val="fr-FR"/>
        </w:rPr>
      </w:pPr>
      <w:r w:rsidRPr="001D3E98">
        <w:rPr>
          <w:b/>
          <w:lang w:val="fr-FR"/>
        </w:rPr>
        <w:t xml:space="preserve">Rappelant sa Recommandation générale </w:t>
      </w:r>
      <w:r w:rsidR="00927A58" w:rsidRPr="00927A58">
        <w:rPr>
          <w:b/>
          <w:lang w:val="fr-FR"/>
        </w:rPr>
        <w:t>n</w:t>
      </w:r>
      <w:r w:rsidR="00927A58" w:rsidRPr="00927A58">
        <w:rPr>
          <w:b/>
          <w:vertAlign w:val="superscript"/>
          <w:lang w:val="fr-FR"/>
        </w:rPr>
        <w:t>o</w:t>
      </w:r>
      <w:r w:rsidR="00927A58">
        <w:rPr>
          <w:b/>
          <w:lang w:val="fr-FR"/>
        </w:rPr>
        <w:t> </w:t>
      </w:r>
      <w:r w:rsidRPr="001D3E98">
        <w:rPr>
          <w:b/>
          <w:lang w:val="fr-FR"/>
        </w:rPr>
        <w:t xml:space="preserve">27 (2000) </w:t>
      </w:r>
      <w:r w:rsidR="00927A58">
        <w:rPr>
          <w:b/>
          <w:lang w:val="fr-FR"/>
        </w:rPr>
        <w:t>sur</w:t>
      </w:r>
      <w:r w:rsidRPr="001D3E98">
        <w:rPr>
          <w:b/>
          <w:lang w:val="fr-FR"/>
        </w:rPr>
        <w:t xml:space="preserve"> la discrimination à l</w:t>
      </w:r>
      <w:r w:rsidR="00646DFA">
        <w:rPr>
          <w:b/>
          <w:lang w:val="fr-FR"/>
        </w:rPr>
        <w:t>’</w:t>
      </w:r>
      <w:r w:rsidRPr="001D3E98">
        <w:rPr>
          <w:b/>
          <w:lang w:val="fr-FR"/>
        </w:rPr>
        <w:t>égard des Roms, le Comité recommande à l</w:t>
      </w:r>
      <w:r w:rsidR="00646DFA">
        <w:rPr>
          <w:b/>
          <w:lang w:val="fr-FR"/>
        </w:rPr>
        <w:t>’</w:t>
      </w:r>
      <w:r w:rsidRPr="001D3E98">
        <w:rPr>
          <w:b/>
          <w:lang w:val="fr-FR"/>
        </w:rPr>
        <w:t>État partie:</w:t>
      </w:r>
    </w:p>
    <w:p w:rsidR="00053626" w:rsidRPr="00870546" w:rsidRDefault="00053626" w:rsidP="00927A58">
      <w:pPr>
        <w:pStyle w:val="SingleTxtG"/>
        <w:ind w:firstLine="567"/>
        <w:rPr>
          <w:b/>
          <w:lang w:val="fr-FR"/>
        </w:rPr>
      </w:pPr>
      <w:r w:rsidRPr="00870546">
        <w:rPr>
          <w:b/>
          <w:lang w:val="fr-FR"/>
        </w:rPr>
        <w:t>a)</w:t>
      </w:r>
      <w:r w:rsidRPr="00870546">
        <w:rPr>
          <w:b/>
          <w:lang w:val="fr-FR"/>
        </w:rPr>
        <w:tab/>
      </w:r>
      <w:r>
        <w:rPr>
          <w:b/>
          <w:bCs/>
        </w:rPr>
        <w:t>D</w:t>
      </w:r>
      <w:r w:rsidRPr="00643D62">
        <w:rPr>
          <w:b/>
          <w:bCs/>
        </w:rPr>
        <w:t>e détecter les cas de discrimination directe ou indirecte à l</w:t>
      </w:r>
      <w:r w:rsidR="00646DFA">
        <w:rPr>
          <w:b/>
          <w:bCs/>
        </w:rPr>
        <w:t>’</w:t>
      </w:r>
      <w:r w:rsidRPr="00643D62">
        <w:rPr>
          <w:b/>
          <w:bCs/>
        </w:rPr>
        <w:t>égard des personnes d</w:t>
      </w:r>
      <w:r w:rsidR="00646DFA">
        <w:rPr>
          <w:b/>
          <w:bCs/>
        </w:rPr>
        <w:t>’</w:t>
      </w:r>
      <w:r w:rsidRPr="00643D62">
        <w:rPr>
          <w:b/>
          <w:bCs/>
        </w:rPr>
        <w:t xml:space="preserve">origine rom, ashkali et tzigane et </w:t>
      </w:r>
      <w:r>
        <w:rPr>
          <w:b/>
          <w:bCs/>
        </w:rPr>
        <w:t>de les résoudre</w:t>
      </w:r>
      <w:r w:rsidRPr="00643D62">
        <w:rPr>
          <w:b/>
          <w:bCs/>
        </w:rPr>
        <w:t>, ainsi que de prendre des mesures spéciales pour faire en sorte que ces personnes soient traitées de la même manière que le reste de la population, conform</w:t>
      </w:r>
      <w:r>
        <w:rPr>
          <w:b/>
          <w:bCs/>
        </w:rPr>
        <w:t>ément à l</w:t>
      </w:r>
      <w:r w:rsidR="00646DFA">
        <w:rPr>
          <w:b/>
          <w:bCs/>
        </w:rPr>
        <w:t>’</w:t>
      </w:r>
      <w:r>
        <w:rPr>
          <w:b/>
          <w:bCs/>
        </w:rPr>
        <w:t>article</w:t>
      </w:r>
      <w:r w:rsidR="004F4E32">
        <w:rPr>
          <w:b/>
          <w:bCs/>
        </w:rPr>
        <w:t> </w:t>
      </w:r>
      <w:r>
        <w:rPr>
          <w:b/>
          <w:bCs/>
        </w:rPr>
        <w:t>5 de la loi relative à</w:t>
      </w:r>
      <w:r w:rsidR="00DD6D51">
        <w:rPr>
          <w:b/>
          <w:bCs/>
        </w:rPr>
        <w:t> </w:t>
      </w:r>
      <w:r w:rsidRPr="00643D62">
        <w:rPr>
          <w:b/>
          <w:bCs/>
        </w:rPr>
        <w:t>l</w:t>
      </w:r>
      <w:r w:rsidR="00646DFA">
        <w:rPr>
          <w:b/>
          <w:bCs/>
        </w:rPr>
        <w:t>’</w:t>
      </w:r>
      <w:r w:rsidRPr="00643D62">
        <w:rPr>
          <w:b/>
          <w:bCs/>
        </w:rPr>
        <w:t>interdiction de la discrimination</w:t>
      </w:r>
      <w:r w:rsidRPr="00643D62">
        <w:rPr>
          <w:b/>
          <w:bCs/>
          <w:lang w:val="fr-FR"/>
        </w:rPr>
        <w:t>;</w:t>
      </w:r>
    </w:p>
    <w:p w:rsidR="00053626" w:rsidRPr="00870546" w:rsidRDefault="00053626" w:rsidP="00927A58">
      <w:pPr>
        <w:pStyle w:val="SingleTxtG"/>
        <w:ind w:firstLine="567"/>
        <w:rPr>
          <w:b/>
          <w:lang w:val="fr-FR"/>
        </w:rPr>
      </w:pPr>
      <w:r w:rsidRPr="00870546">
        <w:rPr>
          <w:b/>
          <w:lang w:val="fr-FR"/>
        </w:rPr>
        <w:t>b)</w:t>
      </w:r>
      <w:r w:rsidRPr="00870546">
        <w:rPr>
          <w:b/>
          <w:lang w:val="fr-FR"/>
        </w:rPr>
        <w:tab/>
      </w:r>
      <w:r>
        <w:rPr>
          <w:b/>
          <w:lang w:val="fr-FR"/>
        </w:rPr>
        <w:t>D</w:t>
      </w:r>
      <w:r w:rsidRPr="00643D62">
        <w:rPr>
          <w:b/>
          <w:lang w:val="fr-FR"/>
        </w:rPr>
        <w:t>e redoubler d</w:t>
      </w:r>
      <w:r w:rsidR="00646DFA">
        <w:rPr>
          <w:b/>
          <w:lang w:val="fr-FR"/>
        </w:rPr>
        <w:t>’</w:t>
      </w:r>
      <w:r w:rsidRPr="00643D62">
        <w:rPr>
          <w:b/>
          <w:lang w:val="fr-FR"/>
        </w:rPr>
        <w:t>efforts pour améliorer les aptitudes à l</w:t>
      </w:r>
      <w:r w:rsidR="00646DFA">
        <w:rPr>
          <w:b/>
          <w:lang w:val="fr-FR"/>
        </w:rPr>
        <w:t>’</w:t>
      </w:r>
      <w:r w:rsidRPr="00643D62">
        <w:rPr>
          <w:b/>
          <w:lang w:val="fr-FR"/>
        </w:rPr>
        <w:t xml:space="preserve">emploi et </w:t>
      </w:r>
      <w:r>
        <w:rPr>
          <w:b/>
          <w:lang w:val="fr-FR"/>
        </w:rPr>
        <w:t xml:space="preserve">favoriser </w:t>
      </w:r>
      <w:r w:rsidRPr="00643D62">
        <w:rPr>
          <w:b/>
          <w:lang w:val="fr-FR"/>
        </w:rPr>
        <w:t>l</w:t>
      </w:r>
      <w:r w:rsidR="00646DFA">
        <w:rPr>
          <w:b/>
          <w:lang w:val="fr-FR"/>
        </w:rPr>
        <w:t>’</w:t>
      </w:r>
      <w:r w:rsidRPr="00643D62">
        <w:rPr>
          <w:b/>
          <w:lang w:val="fr-FR"/>
        </w:rPr>
        <w:t>emploi des personnes d</w:t>
      </w:r>
      <w:r w:rsidR="00646DFA">
        <w:rPr>
          <w:b/>
          <w:lang w:val="fr-FR"/>
        </w:rPr>
        <w:t>’</w:t>
      </w:r>
      <w:r w:rsidRPr="00643D62">
        <w:rPr>
          <w:b/>
          <w:lang w:val="fr-FR"/>
        </w:rPr>
        <w:t>origine rom, ashkali et tzigane en mettant en œuvre des programmes d</w:t>
      </w:r>
      <w:r w:rsidR="00646DFA">
        <w:rPr>
          <w:b/>
          <w:lang w:val="fr-FR"/>
        </w:rPr>
        <w:t>’</w:t>
      </w:r>
      <w:r w:rsidRPr="00643D62">
        <w:rPr>
          <w:b/>
          <w:lang w:val="fr-FR"/>
        </w:rPr>
        <w:t xml:space="preserve">alphabétisation et de formation professionnelle destinés aux adultes, et </w:t>
      </w:r>
      <w:r>
        <w:rPr>
          <w:b/>
          <w:lang w:val="fr-FR"/>
        </w:rPr>
        <w:t xml:space="preserve">de </w:t>
      </w:r>
      <w:r w:rsidRPr="00643D62">
        <w:rPr>
          <w:b/>
          <w:lang w:val="fr-FR"/>
        </w:rPr>
        <w:t xml:space="preserve">renforcer la discrimination positive en mettant en œuvre la </w:t>
      </w:r>
      <w:r w:rsidRPr="001E46ED">
        <w:rPr>
          <w:b/>
          <w:lang w:val="fr-FR"/>
        </w:rPr>
        <w:t>politique dynamique de l</w:t>
      </w:r>
      <w:r w:rsidR="00646DFA">
        <w:rPr>
          <w:b/>
          <w:lang w:val="fr-FR"/>
        </w:rPr>
        <w:t>’</w:t>
      </w:r>
      <w:r w:rsidRPr="001E46ED">
        <w:rPr>
          <w:b/>
          <w:lang w:val="fr-FR"/>
        </w:rPr>
        <w:t>emploi</w:t>
      </w:r>
      <w:r w:rsidR="00927A58">
        <w:rPr>
          <w:b/>
          <w:lang w:val="fr-FR"/>
        </w:rPr>
        <w:t>,</w:t>
      </w:r>
      <w:r w:rsidRPr="008F1912">
        <w:rPr>
          <w:b/>
          <w:bCs/>
          <w:lang w:val="fr-FR"/>
        </w:rPr>
        <w:t xml:space="preserve"> </w:t>
      </w:r>
      <w:r w:rsidRPr="00643D62">
        <w:rPr>
          <w:b/>
          <w:lang w:val="fr-FR"/>
        </w:rPr>
        <w:t>ainsi qu</w:t>
      </w:r>
      <w:r w:rsidR="00646DFA">
        <w:rPr>
          <w:b/>
          <w:lang w:val="fr-FR"/>
        </w:rPr>
        <w:t>’</w:t>
      </w:r>
      <w:r w:rsidRPr="00643D62">
        <w:rPr>
          <w:b/>
          <w:lang w:val="fr-FR"/>
        </w:rPr>
        <w:t xml:space="preserve">en </w:t>
      </w:r>
      <w:r>
        <w:rPr>
          <w:b/>
          <w:lang w:val="fr-FR"/>
        </w:rPr>
        <w:t>accordant à ces personnes</w:t>
      </w:r>
      <w:r w:rsidRPr="00643D62">
        <w:rPr>
          <w:b/>
          <w:lang w:val="fr-FR"/>
        </w:rPr>
        <w:t xml:space="preserve"> des exonérations fiscales, des aides et des prêts à taux zéro</w:t>
      </w:r>
      <w:r w:rsidRPr="00870546">
        <w:rPr>
          <w:b/>
          <w:lang w:val="fr-FR"/>
        </w:rPr>
        <w:t>;</w:t>
      </w:r>
    </w:p>
    <w:p w:rsidR="00053626" w:rsidRPr="00870546" w:rsidRDefault="00053626" w:rsidP="00927A58">
      <w:pPr>
        <w:pStyle w:val="SingleTxtG"/>
        <w:ind w:firstLine="567"/>
        <w:rPr>
          <w:b/>
          <w:lang w:val="fr-FR"/>
        </w:rPr>
      </w:pPr>
      <w:r w:rsidRPr="00870546">
        <w:rPr>
          <w:b/>
          <w:lang w:val="fr-FR"/>
        </w:rPr>
        <w:t>c)</w:t>
      </w:r>
      <w:r w:rsidRPr="00870546">
        <w:rPr>
          <w:b/>
          <w:lang w:val="fr-FR"/>
        </w:rPr>
        <w:tab/>
      </w:r>
      <w:r>
        <w:rPr>
          <w:b/>
          <w:lang w:val="fr-FR"/>
        </w:rPr>
        <w:t>D</w:t>
      </w:r>
      <w:r w:rsidRPr="00643D62">
        <w:rPr>
          <w:b/>
          <w:lang w:val="fr-FR"/>
        </w:rPr>
        <w:t xml:space="preserve">e sensibiliser la population à la double discrimination dont </w:t>
      </w:r>
      <w:r>
        <w:rPr>
          <w:b/>
          <w:lang w:val="fr-FR"/>
        </w:rPr>
        <w:t>sont victimes</w:t>
      </w:r>
      <w:r w:rsidRPr="00643D62">
        <w:rPr>
          <w:b/>
          <w:lang w:val="fr-FR"/>
        </w:rPr>
        <w:t xml:space="preserve"> les femmes d</w:t>
      </w:r>
      <w:r w:rsidR="00646DFA">
        <w:rPr>
          <w:b/>
          <w:lang w:val="fr-FR"/>
        </w:rPr>
        <w:t>’</w:t>
      </w:r>
      <w:r w:rsidRPr="00643D62">
        <w:rPr>
          <w:b/>
          <w:lang w:val="fr-FR"/>
        </w:rPr>
        <w:t>origine rom, ashkali et tzigane dans les domaines de l</w:t>
      </w:r>
      <w:r w:rsidR="00646DFA">
        <w:rPr>
          <w:b/>
          <w:lang w:val="fr-FR"/>
        </w:rPr>
        <w:t>’</w:t>
      </w:r>
      <w:r w:rsidRPr="00643D62">
        <w:rPr>
          <w:b/>
          <w:lang w:val="fr-FR"/>
        </w:rPr>
        <w:t>éducation, de l</w:t>
      </w:r>
      <w:r w:rsidR="00646DFA">
        <w:rPr>
          <w:b/>
          <w:lang w:val="fr-FR"/>
        </w:rPr>
        <w:t>’</w:t>
      </w:r>
      <w:r w:rsidRPr="00643D62">
        <w:rPr>
          <w:b/>
          <w:lang w:val="fr-FR"/>
        </w:rPr>
        <w:t xml:space="preserve">emploi et </w:t>
      </w:r>
      <w:r>
        <w:rPr>
          <w:b/>
          <w:lang w:val="fr-FR"/>
        </w:rPr>
        <w:t>des soins de</w:t>
      </w:r>
      <w:r w:rsidRPr="00643D62">
        <w:rPr>
          <w:b/>
          <w:lang w:val="fr-FR"/>
        </w:rPr>
        <w:t xml:space="preserve"> santé, et de prendre des mesures spécifiques pour combattre cette forme de discrimination et y mettre fin</w:t>
      </w:r>
      <w:r w:rsidRPr="00870546">
        <w:rPr>
          <w:b/>
          <w:lang w:val="fr-FR"/>
        </w:rPr>
        <w:t>.</w:t>
      </w:r>
    </w:p>
    <w:p w:rsidR="00053626" w:rsidRPr="00643D62" w:rsidRDefault="00053626" w:rsidP="00927A58">
      <w:pPr>
        <w:pStyle w:val="H23G"/>
        <w:rPr>
          <w:lang w:val="fr-FR"/>
        </w:rPr>
      </w:pPr>
      <w:r w:rsidRPr="00870546">
        <w:rPr>
          <w:lang w:val="fr-FR"/>
        </w:rPr>
        <w:tab/>
      </w:r>
      <w:r w:rsidRPr="00870546">
        <w:rPr>
          <w:lang w:val="fr-FR"/>
        </w:rPr>
        <w:tab/>
      </w:r>
      <w:r w:rsidRPr="00643D62">
        <w:rPr>
          <w:lang w:val="fr-FR"/>
        </w:rPr>
        <w:t>Situation des demandeurs d</w:t>
      </w:r>
      <w:r w:rsidR="00646DFA">
        <w:rPr>
          <w:lang w:val="fr-FR"/>
        </w:rPr>
        <w:t>’</w:t>
      </w:r>
      <w:r w:rsidRPr="00643D62">
        <w:rPr>
          <w:lang w:val="fr-FR"/>
        </w:rPr>
        <w:t>asile</w:t>
      </w:r>
    </w:p>
    <w:p w:rsidR="00053626" w:rsidRPr="00870546" w:rsidRDefault="00053626" w:rsidP="00927A58">
      <w:pPr>
        <w:pStyle w:val="ParNoG"/>
        <w:rPr>
          <w:lang w:val="fr-FR"/>
        </w:rPr>
      </w:pPr>
      <w:r w:rsidRPr="00643D62">
        <w:rPr>
          <w:lang w:val="fr-FR"/>
        </w:rPr>
        <w:t xml:space="preserve">Le Comité est préoccupé par le retard pris dans </w:t>
      </w:r>
      <w:r>
        <w:rPr>
          <w:lang w:val="fr-FR"/>
        </w:rPr>
        <w:t>la construction</w:t>
      </w:r>
      <w:r w:rsidRPr="00643D62">
        <w:rPr>
          <w:lang w:val="fr-FR"/>
        </w:rPr>
        <w:t xml:space="preserve"> du centre d</w:t>
      </w:r>
      <w:r w:rsidR="00646DFA">
        <w:rPr>
          <w:lang w:val="fr-FR"/>
        </w:rPr>
        <w:t>’</w:t>
      </w:r>
      <w:r w:rsidRPr="00643D62">
        <w:rPr>
          <w:lang w:val="fr-FR"/>
        </w:rPr>
        <w:t xml:space="preserve">accueil </w:t>
      </w:r>
      <w:r w:rsidR="005D37AD">
        <w:rPr>
          <w:lang w:val="fr-FR"/>
        </w:rPr>
        <w:t xml:space="preserve">des </w:t>
      </w:r>
      <w:r w:rsidR="005D37AD" w:rsidRPr="00643D62">
        <w:rPr>
          <w:lang w:val="fr-FR"/>
        </w:rPr>
        <w:t>demandeur</w:t>
      </w:r>
      <w:r w:rsidR="005D37AD">
        <w:rPr>
          <w:lang w:val="fr-FR"/>
        </w:rPr>
        <w:t>s d</w:t>
      </w:r>
      <w:r w:rsidR="00646DFA">
        <w:rPr>
          <w:lang w:val="fr-FR"/>
        </w:rPr>
        <w:t>’</w:t>
      </w:r>
      <w:r w:rsidR="005D37AD">
        <w:rPr>
          <w:lang w:val="fr-FR"/>
        </w:rPr>
        <w:t xml:space="preserve">asile </w:t>
      </w:r>
      <w:r w:rsidRPr="00643D62">
        <w:rPr>
          <w:lang w:val="fr-FR"/>
        </w:rPr>
        <w:t>pr</w:t>
      </w:r>
      <w:r w:rsidR="005D37AD">
        <w:rPr>
          <w:lang w:val="fr-FR"/>
        </w:rPr>
        <w:t xml:space="preserve">ès </w:t>
      </w:r>
      <w:r w:rsidRPr="00643D62">
        <w:rPr>
          <w:lang w:val="fr-FR"/>
        </w:rPr>
        <w:t xml:space="preserve">de Podgorica, qui </w:t>
      </w:r>
      <w:r>
        <w:rPr>
          <w:lang w:val="fr-FR"/>
        </w:rPr>
        <w:t xml:space="preserve">aurait dû </w:t>
      </w:r>
      <w:r w:rsidRPr="001E46ED">
        <w:rPr>
          <w:lang w:val="fr-FR"/>
        </w:rPr>
        <w:t>ouvrir ses portes à la fin de l</w:t>
      </w:r>
      <w:r w:rsidR="00646DFA">
        <w:rPr>
          <w:lang w:val="fr-FR"/>
        </w:rPr>
        <w:t>’</w:t>
      </w:r>
      <w:r w:rsidRPr="001E46ED">
        <w:rPr>
          <w:lang w:val="fr-FR"/>
        </w:rPr>
        <w:t xml:space="preserve">année 2011 </w:t>
      </w:r>
      <w:r>
        <w:rPr>
          <w:lang w:val="fr-FR"/>
        </w:rPr>
        <w:t>(a</w:t>
      </w:r>
      <w:r w:rsidRPr="00643D62">
        <w:rPr>
          <w:lang w:val="fr-FR"/>
        </w:rPr>
        <w:t>rt.</w:t>
      </w:r>
      <w:r w:rsidR="00927A58">
        <w:rPr>
          <w:lang w:val="fr-FR"/>
        </w:rPr>
        <w:t> </w:t>
      </w:r>
      <w:r w:rsidRPr="00643D62">
        <w:rPr>
          <w:lang w:val="fr-FR"/>
        </w:rPr>
        <w:t>5 et 6).</w:t>
      </w:r>
    </w:p>
    <w:p w:rsidR="00053626" w:rsidRPr="00643D62" w:rsidRDefault="00053626" w:rsidP="005D37AD">
      <w:pPr>
        <w:pStyle w:val="SingleTxtG"/>
        <w:keepNext/>
        <w:rPr>
          <w:b/>
          <w:lang w:val="fr-FR"/>
        </w:rPr>
      </w:pPr>
      <w:r w:rsidRPr="00643D62">
        <w:rPr>
          <w:b/>
          <w:lang w:val="fr-FR"/>
        </w:rPr>
        <w:t xml:space="preserve">À la lumière de sa Recommandation générale </w:t>
      </w:r>
      <w:r w:rsidR="005D37AD" w:rsidRPr="005D37AD">
        <w:rPr>
          <w:b/>
          <w:lang w:val="fr-FR"/>
        </w:rPr>
        <w:t>n</w:t>
      </w:r>
      <w:r w:rsidR="005D37AD" w:rsidRPr="005D37AD">
        <w:rPr>
          <w:b/>
          <w:vertAlign w:val="superscript"/>
          <w:lang w:val="fr-FR"/>
        </w:rPr>
        <w:t>o</w:t>
      </w:r>
      <w:r w:rsidR="005D37AD">
        <w:t> </w:t>
      </w:r>
      <w:r w:rsidRPr="00643D62">
        <w:rPr>
          <w:b/>
          <w:lang w:val="fr-FR"/>
        </w:rPr>
        <w:t xml:space="preserve">22 (1996) </w:t>
      </w:r>
      <w:r w:rsidR="005D37AD">
        <w:rPr>
          <w:b/>
          <w:lang w:val="fr-FR"/>
        </w:rPr>
        <w:t>sur</w:t>
      </w:r>
      <w:r w:rsidRPr="001E46ED">
        <w:rPr>
          <w:b/>
          <w:lang w:val="fr-FR"/>
        </w:rPr>
        <w:t xml:space="preserve"> l</w:t>
      </w:r>
      <w:r w:rsidR="00646DFA">
        <w:rPr>
          <w:b/>
          <w:lang w:val="fr-FR"/>
        </w:rPr>
        <w:t>’</w:t>
      </w:r>
      <w:r w:rsidRPr="001E46ED">
        <w:rPr>
          <w:b/>
          <w:lang w:val="fr-FR"/>
        </w:rPr>
        <w:t>article</w:t>
      </w:r>
      <w:r w:rsidR="005D37AD">
        <w:rPr>
          <w:b/>
          <w:lang w:val="fr-FR"/>
        </w:rPr>
        <w:t> </w:t>
      </w:r>
      <w:r w:rsidRPr="001E46ED">
        <w:rPr>
          <w:b/>
          <w:lang w:val="fr-FR"/>
        </w:rPr>
        <w:t xml:space="preserve">5 et les réfugiés et personnes déplacées, </w:t>
      </w:r>
      <w:r w:rsidRPr="00643D62">
        <w:rPr>
          <w:b/>
          <w:lang w:val="fr-FR"/>
        </w:rPr>
        <w:t>le Comité recommande à l</w:t>
      </w:r>
      <w:r w:rsidR="00646DFA">
        <w:rPr>
          <w:b/>
          <w:lang w:val="fr-FR"/>
        </w:rPr>
        <w:t>’</w:t>
      </w:r>
      <w:r w:rsidRPr="00643D62">
        <w:rPr>
          <w:b/>
          <w:lang w:val="fr-FR"/>
        </w:rPr>
        <w:t>État partie:</w:t>
      </w:r>
    </w:p>
    <w:p w:rsidR="00053626" w:rsidRPr="00870546" w:rsidRDefault="00053626" w:rsidP="005D37AD">
      <w:pPr>
        <w:pStyle w:val="SingleTxtG"/>
        <w:ind w:firstLine="567"/>
        <w:rPr>
          <w:b/>
          <w:lang w:val="fr-FR"/>
        </w:rPr>
      </w:pPr>
      <w:r w:rsidRPr="00870546">
        <w:rPr>
          <w:b/>
          <w:lang w:val="fr-FR"/>
        </w:rPr>
        <w:t>a)</w:t>
      </w:r>
      <w:r w:rsidRPr="00870546">
        <w:rPr>
          <w:b/>
          <w:lang w:val="fr-FR"/>
        </w:rPr>
        <w:tab/>
      </w:r>
      <w:r>
        <w:rPr>
          <w:b/>
          <w:lang w:val="fr-FR"/>
        </w:rPr>
        <w:t xml:space="preserve">De fournir </w:t>
      </w:r>
      <w:r w:rsidRPr="00D1471B">
        <w:rPr>
          <w:b/>
          <w:lang w:val="fr-FR"/>
        </w:rPr>
        <w:t>aux demandeurs d</w:t>
      </w:r>
      <w:r w:rsidR="00646DFA">
        <w:rPr>
          <w:b/>
          <w:lang w:val="fr-FR"/>
        </w:rPr>
        <w:t>’</w:t>
      </w:r>
      <w:r w:rsidRPr="00D1471B">
        <w:rPr>
          <w:b/>
          <w:lang w:val="fr-FR"/>
        </w:rPr>
        <w:t>asile actuellement logé</w:t>
      </w:r>
      <w:r>
        <w:rPr>
          <w:b/>
          <w:lang w:val="fr-FR"/>
        </w:rPr>
        <w:t>s</w:t>
      </w:r>
      <w:r w:rsidRPr="00D1471B">
        <w:rPr>
          <w:b/>
          <w:lang w:val="fr-FR"/>
        </w:rPr>
        <w:t xml:space="preserve"> dans des établissements privés une alimentation suffisante et des soins de santé de base;</w:t>
      </w:r>
    </w:p>
    <w:p w:rsidR="00053626" w:rsidRPr="004E2754" w:rsidRDefault="00053626" w:rsidP="00A244EF">
      <w:pPr>
        <w:pStyle w:val="SingleTxtG"/>
        <w:keepLines/>
        <w:ind w:firstLine="567"/>
        <w:rPr>
          <w:b/>
          <w:lang w:val="fr-FR"/>
        </w:rPr>
      </w:pPr>
      <w:r w:rsidRPr="00870546">
        <w:rPr>
          <w:b/>
          <w:lang w:val="fr-FR"/>
        </w:rPr>
        <w:t>b)</w:t>
      </w:r>
      <w:r w:rsidRPr="00870546">
        <w:rPr>
          <w:b/>
          <w:lang w:val="fr-FR"/>
        </w:rPr>
        <w:tab/>
      </w:r>
      <w:r>
        <w:rPr>
          <w:b/>
          <w:lang w:val="fr-FR"/>
        </w:rPr>
        <w:t>D</w:t>
      </w:r>
      <w:r w:rsidR="00646DFA">
        <w:rPr>
          <w:b/>
          <w:lang w:val="fr-FR"/>
        </w:rPr>
        <w:t>’</w:t>
      </w:r>
      <w:r w:rsidRPr="004E2754">
        <w:rPr>
          <w:b/>
          <w:lang w:val="fr-FR"/>
        </w:rPr>
        <w:t xml:space="preserve">achever sans </w:t>
      </w:r>
      <w:r>
        <w:rPr>
          <w:b/>
          <w:lang w:val="fr-FR"/>
        </w:rPr>
        <w:t>tarder</w:t>
      </w:r>
      <w:r w:rsidRPr="004E2754">
        <w:rPr>
          <w:b/>
          <w:lang w:val="fr-FR"/>
        </w:rPr>
        <w:t xml:space="preserve"> la construction du centre d</w:t>
      </w:r>
      <w:r w:rsidR="00646DFA">
        <w:rPr>
          <w:b/>
          <w:lang w:val="fr-FR"/>
        </w:rPr>
        <w:t>’</w:t>
      </w:r>
      <w:r w:rsidRPr="004E2754">
        <w:rPr>
          <w:b/>
          <w:lang w:val="fr-FR"/>
        </w:rPr>
        <w:t xml:space="preserve">accueil </w:t>
      </w:r>
      <w:r w:rsidR="005D37AD">
        <w:rPr>
          <w:b/>
          <w:lang w:val="fr-FR"/>
        </w:rPr>
        <w:t xml:space="preserve">des </w:t>
      </w:r>
      <w:r w:rsidRPr="004E2754">
        <w:rPr>
          <w:b/>
          <w:lang w:val="fr-FR"/>
        </w:rPr>
        <w:t>demandeurs d</w:t>
      </w:r>
      <w:r w:rsidR="00646DFA">
        <w:rPr>
          <w:b/>
          <w:lang w:val="fr-FR"/>
        </w:rPr>
        <w:t>’</w:t>
      </w:r>
      <w:r w:rsidRPr="004E2754">
        <w:rPr>
          <w:b/>
          <w:lang w:val="fr-FR"/>
        </w:rPr>
        <w:t xml:space="preserve">asile </w:t>
      </w:r>
      <w:r>
        <w:rPr>
          <w:b/>
          <w:lang w:val="fr-FR"/>
        </w:rPr>
        <w:t xml:space="preserve">situé </w:t>
      </w:r>
      <w:r w:rsidR="005D37AD">
        <w:rPr>
          <w:b/>
          <w:lang w:val="fr-FR"/>
        </w:rPr>
        <w:t xml:space="preserve">près </w:t>
      </w:r>
      <w:r>
        <w:rPr>
          <w:b/>
          <w:lang w:val="fr-FR"/>
        </w:rPr>
        <w:t>de</w:t>
      </w:r>
      <w:r w:rsidRPr="004E2754">
        <w:rPr>
          <w:b/>
          <w:lang w:val="fr-FR"/>
        </w:rPr>
        <w:t xml:space="preserve"> Podgorica, en tenant compte du nombre actuel d</w:t>
      </w:r>
      <w:r>
        <w:rPr>
          <w:b/>
          <w:lang w:val="fr-FR"/>
        </w:rPr>
        <w:t>e demandeurs d</w:t>
      </w:r>
      <w:r w:rsidR="00646DFA">
        <w:rPr>
          <w:b/>
          <w:lang w:val="fr-FR"/>
        </w:rPr>
        <w:t>’</w:t>
      </w:r>
      <w:r>
        <w:rPr>
          <w:b/>
          <w:lang w:val="fr-FR"/>
        </w:rPr>
        <w:t>asile, et de le doter de</w:t>
      </w:r>
      <w:r w:rsidR="005D37AD">
        <w:rPr>
          <w:b/>
          <w:lang w:val="fr-FR"/>
        </w:rPr>
        <w:t>s</w:t>
      </w:r>
      <w:r>
        <w:rPr>
          <w:b/>
          <w:lang w:val="fr-FR"/>
        </w:rPr>
        <w:t xml:space="preserve"> ressources humaines et matérielles </w:t>
      </w:r>
      <w:r w:rsidR="005D37AD">
        <w:rPr>
          <w:b/>
          <w:lang w:val="fr-FR"/>
        </w:rPr>
        <w:t>nécessaires pour qu</w:t>
      </w:r>
      <w:r w:rsidR="00646DFA">
        <w:rPr>
          <w:b/>
          <w:lang w:val="fr-FR"/>
        </w:rPr>
        <w:t>’</w:t>
      </w:r>
      <w:r w:rsidR="005D37AD">
        <w:rPr>
          <w:b/>
          <w:lang w:val="fr-FR"/>
        </w:rPr>
        <w:t>il puisse fonctionner correctement</w:t>
      </w:r>
      <w:r w:rsidRPr="004E2754">
        <w:rPr>
          <w:b/>
          <w:lang w:val="fr-FR"/>
        </w:rPr>
        <w:t>.</w:t>
      </w:r>
    </w:p>
    <w:p w:rsidR="00053626" w:rsidRPr="00870546" w:rsidRDefault="00053626" w:rsidP="003740B0">
      <w:pPr>
        <w:pStyle w:val="H1G"/>
        <w:rPr>
          <w:lang w:val="fr-FR"/>
        </w:rPr>
      </w:pPr>
      <w:r w:rsidRPr="00870546">
        <w:rPr>
          <w:lang w:val="fr-FR"/>
        </w:rPr>
        <w:tab/>
        <w:t>D.</w:t>
      </w:r>
      <w:r w:rsidRPr="00870546">
        <w:rPr>
          <w:lang w:val="fr-FR"/>
        </w:rPr>
        <w:tab/>
      </w:r>
      <w:r>
        <w:rPr>
          <w:lang w:val="fr-FR"/>
        </w:rPr>
        <w:t>Autres recommandations</w:t>
      </w:r>
    </w:p>
    <w:p w:rsidR="00053626" w:rsidRPr="001E46ED" w:rsidRDefault="00053626" w:rsidP="003740B0">
      <w:pPr>
        <w:pStyle w:val="H23G"/>
      </w:pPr>
      <w:r w:rsidRPr="00870546">
        <w:rPr>
          <w:lang w:val="fr-FR"/>
        </w:rPr>
        <w:tab/>
      </w:r>
      <w:r w:rsidRPr="00870546">
        <w:rPr>
          <w:lang w:val="fr-FR"/>
        </w:rPr>
        <w:tab/>
      </w:r>
      <w:r w:rsidRPr="001E46ED">
        <w:t>Ratification d</w:t>
      </w:r>
      <w:r w:rsidR="00646DFA">
        <w:t>’</w:t>
      </w:r>
      <w:r w:rsidRPr="001E46ED">
        <w:t>autres instruments</w:t>
      </w:r>
    </w:p>
    <w:p w:rsidR="00053626" w:rsidRPr="003740B0" w:rsidRDefault="00053626" w:rsidP="003740B0">
      <w:pPr>
        <w:pStyle w:val="ParNoG"/>
        <w:rPr>
          <w:szCs w:val="24"/>
        </w:rPr>
      </w:pPr>
      <w:r w:rsidRPr="001E46ED">
        <w:rPr>
          <w:szCs w:val="24"/>
        </w:rPr>
        <w:t>Compte tenu du caractère indivisible de tous les droits de l</w:t>
      </w:r>
      <w:r w:rsidR="00646DFA">
        <w:rPr>
          <w:szCs w:val="24"/>
        </w:rPr>
        <w:t>’</w:t>
      </w:r>
      <w:r w:rsidRPr="001E46ED">
        <w:rPr>
          <w:szCs w:val="24"/>
        </w:rPr>
        <w:t>homme, le Comité encourage l</w:t>
      </w:r>
      <w:r w:rsidR="00646DFA">
        <w:rPr>
          <w:szCs w:val="24"/>
        </w:rPr>
        <w:t>’</w:t>
      </w:r>
      <w:r w:rsidRPr="001E46ED">
        <w:rPr>
          <w:szCs w:val="24"/>
        </w:rPr>
        <w:t>État partie à envisager de ratifier les instruments internationaux relatifs aux droits de l</w:t>
      </w:r>
      <w:r w:rsidR="00646DFA">
        <w:rPr>
          <w:szCs w:val="24"/>
        </w:rPr>
        <w:t>’</w:t>
      </w:r>
      <w:r w:rsidRPr="001E46ED">
        <w:rPr>
          <w:szCs w:val="24"/>
        </w:rPr>
        <w:t>homme auxquels il n</w:t>
      </w:r>
      <w:r w:rsidR="00646DFA">
        <w:rPr>
          <w:szCs w:val="24"/>
        </w:rPr>
        <w:t>’</w:t>
      </w:r>
      <w:r w:rsidRPr="001E46ED">
        <w:rPr>
          <w:szCs w:val="24"/>
        </w:rPr>
        <w:t xml:space="preserve">est pas encore partie, en particulier ceux dont les dispositions se rapportent directement </w:t>
      </w:r>
      <w:r w:rsidRPr="00E00B7F">
        <w:rPr>
          <w:szCs w:val="24"/>
        </w:rPr>
        <w:t>aux communautés pouvant faire l</w:t>
      </w:r>
      <w:r w:rsidR="00646DFA">
        <w:rPr>
          <w:szCs w:val="24"/>
        </w:rPr>
        <w:t>’</w:t>
      </w:r>
      <w:r w:rsidRPr="00E00B7F">
        <w:rPr>
          <w:szCs w:val="24"/>
        </w:rPr>
        <w:t xml:space="preserve">objet de discrimination </w:t>
      </w:r>
      <w:r w:rsidRPr="001E46ED">
        <w:rPr>
          <w:szCs w:val="24"/>
        </w:rPr>
        <w:t>raciale, tels que la Convention internationale sur la protection des droits de tous les travailleurs migrants et des membres de leur famille.</w:t>
      </w:r>
    </w:p>
    <w:p w:rsidR="00053626" w:rsidRPr="001E46ED" w:rsidRDefault="00053626" w:rsidP="003740B0">
      <w:pPr>
        <w:pStyle w:val="H23G"/>
      </w:pPr>
      <w:r w:rsidRPr="00870546">
        <w:rPr>
          <w:lang w:val="fr-FR"/>
        </w:rPr>
        <w:tab/>
      </w:r>
      <w:r w:rsidRPr="00870546">
        <w:rPr>
          <w:lang w:val="fr-FR"/>
        </w:rPr>
        <w:tab/>
      </w:r>
      <w:r w:rsidRPr="001E46ED">
        <w:t>Suite donnée à la Déclaration et au Programme d</w:t>
      </w:r>
      <w:r w:rsidR="00646DFA">
        <w:t>’</w:t>
      </w:r>
      <w:r w:rsidRPr="001E46ED">
        <w:t>action de Durban</w:t>
      </w:r>
    </w:p>
    <w:p w:rsidR="00053626" w:rsidRPr="001E46ED" w:rsidRDefault="00053626" w:rsidP="003740B0">
      <w:pPr>
        <w:pStyle w:val="ParNoG"/>
        <w:rPr>
          <w:szCs w:val="24"/>
        </w:rPr>
      </w:pPr>
      <w:r w:rsidRPr="001E46ED">
        <w:rPr>
          <w:szCs w:val="24"/>
        </w:rPr>
        <w:t>À la lumière de sa Recommandation générale</w:t>
      </w:r>
      <w:r w:rsidR="003740B0">
        <w:rPr>
          <w:szCs w:val="24"/>
        </w:rPr>
        <w:t xml:space="preserve"> </w:t>
      </w:r>
      <w:r w:rsidR="003740B0" w:rsidRPr="003740B0">
        <w:rPr>
          <w:szCs w:val="24"/>
        </w:rPr>
        <w:t>n</w:t>
      </w:r>
      <w:r w:rsidR="003740B0" w:rsidRPr="003740B0">
        <w:rPr>
          <w:szCs w:val="24"/>
          <w:vertAlign w:val="superscript"/>
        </w:rPr>
        <w:t>o</w:t>
      </w:r>
      <w:r w:rsidR="003740B0">
        <w:rPr>
          <w:szCs w:val="24"/>
        </w:rPr>
        <w:t> </w:t>
      </w:r>
      <w:r w:rsidRPr="001E46ED">
        <w:rPr>
          <w:szCs w:val="24"/>
        </w:rPr>
        <w:t>33 (2009) sur le suivi de la Conférence d</w:t>
      </w:r>
      <w:r w:rsidR="00646DFA">
        <w:rPr>
          <w:szCs w:val="24"/>
        </w:rPr>
        <w:t>’</w:t>
      </w:r>
      <w:r w:rsidRPr="001E46ED">
        <w:rPr>
          <w:szCs w:val="24"/>
        </w:rPr>
        <w:t>examen de Durban, le Comité recommande à l</w:t>
      </w:r>
      <w:r w:rsidR="00646DFA">
        <w:rPr>
          <w:szCs w:val="24"/>
        </w:rPr>
        <w:t>’</w:t>
      </w:r>
      <w:r w:rsidRPr="001E46ED">
        <w:rPr>
          <w:szCs w:val="24"/>
        </w:rPr>
        <w:t>État partie de donner effet à la Déclaration et au Programme d</w:t>
      </w:r>
      <w:r w:rsidR="00646DFA">
        <w:rPr>
          <w:szCs w:val="24"/>
        </w:rPr>
        <w:t>’</w:t>
      </w:r>
      <w:r w:rsidRPr="001E46ED">
        <w:rPr>
          <w:szCs w:val="24"/>
        </w:rPr>
        <w:t>action de Durban, adoptés en septembre 2001 par la Conférence mondiale contre le racisme, la discrimination raciale, la xénophobie et l</w:t>
      </w:r>
      <w:r w:rsidR="00646DFA">
        <w:rPr>
          <w:szCs w:val="24"/>
        </w:rPr>
        <w:t>’</w:t>
      </w:r>
      <w:r w:rsidRPr="001E46ED">
        <w:rPr>
          <w:szCs w:val="24"/>
        </w:rPr>
        <w:t>intolérance qui y est associée, en tenant compte du Document final de la Conférence d</w:t>
      </w:r>
      <w:r w:rsidR="00646DFA">
        <w:rPr>
          <w:szCs w:val="24"/>
        </w:rPr>
        <w:t>’</w:t>
      </w:r>
      <w:r w:rsidRPr="001E46ED">
        <w:rPr>
          <w:szCs w:val="24"/>
        </w:rPr>
        <w:t>examen de Durban, tenue à Genève en avril 2009, quand il applique la Convention. Il le prie de faire figurer dans son prochain rapport périodique des renseignements précis sur les plans d</w:t>
      </w:r>
      <w:r w:rsidR="00646DFA">
        <w:rPr>
          <w:szCs w:val="24"/>
        </w:rPr>
        <w:t>’</w:t>
      </w:r>
      <w:r w:rsidRPr="001E46ED">
        <w:rPr>
          <w:szCs w:val="24"/>
        </w:rPr>
        <w:t>action qu</w:t>
      </w:r>
      <w:r w:rsidR="00646DFA">
        <w:rPr>
          <w:szCs w:val="24"/>
        </w:rPr>
        <w:t>’</w:t>
      </w:r>
      <w:r w:rsidRPr="001E46ED">
        <w:rPr>
          <w:szCs w:val="24"/>
        </w:rPr>
        <w:t>il aura adoptés et les autres mesures qu</w:t>
      </w:r>
      <w:r w:rsidR="00646DFA">
        <w:rPr>
          <w:szCs w:val="24"/>
        </w:rPr>
        <w:t>’</w:t>
      </w:r>
      <w:r w:rsidRPr="001E46ED">
        <w:rPr>
          <w:szCs w:val="24"/>
        </w:rPr>
        <w:t>il aura prises pour mettre en œuvre la Déclaration et le Programme d</w:t>
      </w:r>
      <w:r w:rsidR="00646DFA">
        <w:rPr>
          <w:szCs w:val="24"/>
        </w:rPr>
        <w:t>’</w:t>
      </w:r>
      <w:r w:rsidRPr="001E46ED">
        <w:rPr>
          <w:szCs w:val="24"/>
        </w:rPr>
        <w:t>action de Durban au niveau national.</w:t>
      </w:r>
    </w:p>
    <w:p w:rsidR="00053626" w:rsidRDefault="00053626" w:rsidP="00005EE8">
      <w:pPr>
        <w:pStyle w:val="H23G"/>
        <w:rPr>
          <w:lang w:val="fr-FR"/>
        </w:rPr>
      </w:pPr>
      <w:r w:rsidRPr="00870546">
        <w:rPr>
          <w:lang w:val="fr-FR"/>
        </w:rPr>
        <w:tab/>
      </w:r>
      <w:r w:rsidRPr="00870546">
        <w:rPr>
          <w:lang w:val="fr-FR"/>
        </w:rPr>
        <w:tab/>
      </w:r>
      <w:r w:rsidR="00A62D0A">
        <w:rPr>
          <w:lang w:val="fr-FR"/>
        </w:rPr>
        <w:t>Amendement à</w:t>
      </w:r>
      <w:r w:rsidRPr="00870546">
        <w:rPr>
          <w:lang w:val="fr-FR"/>
        </w:rPr>
        <w:t xml:space="preserve"> </w:t>
      </w:r>
      <w:r>
        <w:rPr>
          <w:lang w:val="fr-FR"/>
        </w:rPr>
        <w:t>l</w:t>
      </w:r>
      <w:r w:rsidR="00646DFA">
        <w:rPr>
          <w:lang w:val="fr-FR"/>
        </w:rPr>
        <w:t>’</w:t>
      </w:r>
      <w:r w:rsidRPr="00870546">
        <w:rPr>
          <w:lang w:val="fr-FR"/>
        </w:rPr>
        <w:t xml:space="preserve">article 8 </w:t>
      </w:r>
      <w:r>
        <w:rPr>
          <w:lang w:val="fr-FR"/>
        </w:rPr>
        <w:t>de la</w:t>
      </w:r>
      <w:r w:rsidRPr="00870546">
        <w:rPr>
          <w:lang w:val="fr-FR"/>
        </w:rPr>
        <w:t xml:space="preserve"> Convention</w:t>
      </w:r>
    </w:p>
    <w:p w:rsidR="00053626" w:rsidRPr="001A5402" w:rsidRDefault="00053626" w:rsidP="00005EE8">
      <w:pPr>
        <w:pStyle w:val="ParNoG"/>
        <w:rPr>
          <w:lang w:val="fr-FR"/>
        </w:rPr>
      </w:pPr>
      <w:r w:rsidRPr="004E2754">
        <w:rPr>
          <w:lang w:val="fr-FR"/>
        </w:rPr>
        <w:t>Le Comité recommande à nouveau à l</w:t>
      </w:r>
      <w:r w:rsidR="00646DFA">
        <w:rPr>
          <w:lang w:val="fr-FR"/>
        </w:rPr>
        <w:t>’</w:t>
      </w:r>
      <w:r w:rsidRPr="004E2754">
        <w:rPr>
          <w:lang w:val="fr-FR"/>
        </w:rPr>
        <w:t xml:space="preserve">État partie </w:t>
      </w:r>
      <w:r w:rsidRPr="001E46ED">
        <w:rPr>
          <w:lang w:val="fr-FR"/>
        </w:rPr>
        <w:t xml:space="preserve">de ratifier </w:t>
      </w:r>
      <w:r w:rsidR="00A62D0A">
        <w:rPr>
          <w:lang w:val="fr-FR"/>
        </w:rPr>
        <w:t>l</w:t>
      </w:r>
      <w:r w:rsidR="00646DFA">
        <w:rPr>
          <w:lang w:val="fr-FR"/>
        </w:rPr>
        <w:t>’</w:t>
      </w:r>
      <w:r w:rsidR="00A62D0A">
        <w:rPr>
          <w:lang w:val="fr-FR"/>
        </w:rPr>
        <w:t xml:space="preserve">amendement au </w:t>
      </w:r>
      <w:r w:rsidRPr="001E46ED">
        <w:rPr>
          <w:lang w:val="fr-FR"/>
        </w:rPr>
        <w:t>paragraphe</w:t>
      </w:r>
      <w:r w:rsidR="00005EE8">
        <w:rPr>
          <w:lang w:val="fr-FR"/>
        </w:rPr>
        <w:t> </w:t>
      </w:r>
      <w:r w:rsidRPr="001E46ED">
        <w:rPr>
          <w:lang w:val="fr-FR"/>
        </w:rPr>
        <w:t>6 de l</w:t>
      </w:r>
      <w:r w:rsidR="00646DFA">
        <w:rPr>
          <w:lang w:val="fr-FR"/>
        </w:rPr>
        <w:t>’</w:t>
      </w:r>
      <w:r w:rsidRPr="001E46ED">
        <w:rPr>
          <w:lang w:val="fr-FR"/>
        </w:rPr>
        <w:t>article</w:t>
      </w:r>
      <w:r w:rsidR="00005EE8">
        <w:rPr>
          <w:lang w:val="fr-FR"/>
        </w:rPr>
        <w:t> </w:t>
      </w:r>
      <w:r w:rsidRPr="001E46ED">
        <w:rPr>
          <w:lang w:val="fr-FR"/>
        </w:rPr>
        <w:t>8 de la Convention, adopté le 15</w:t>
      </w:r>
      <w:r w:rsidR="00005EE8">
        <w:rPr>
          <w:lang w:val="fr-FR"/>
        </w:rPr>
        <w:t> </w:t>
      </w:r>
      <w:r w:rsidRPr="001E46ED">
        <w:rPr>
          <w:lang w:val="fr-FR"/>
        </w:rPr>
        <w:t>janvier 1992 à la quatorzième</w:t>
      </w:r>
      <w:r w:rsidR="00B20A2C">
        <w:rPr>
          <w:lang w:val="fr-FR"/>
        </w:rPr>
        <w:t> </w:t>
      </w:r>
      <w:r w:rsidR="00A62D0A">
        <w:rPr>
          <w:lang w:val="fr-FR"/>
        </w:rPr>
        <w:t>R</w:t>
      </w:r>
      <w:r w:rsidRPr="001E46ED">
        <w:rPr>
          <w:lang w:val="fr-FR"/>
        </w:rPr>
        <w:t>éunion des États parties à la Convention et approuvée par l</w:t>
      </w:r>
      <w:r w:rsidR="00646DFA">
        <w:rPr>
          <w:lang w:val="fr-FR"/>
        </w:rPr>
        <w:t>’</w:t>
      </w:r>
      <w:r w:rsidRPr="001E46ED">
        <w:rPr>
          <w:lang w:val="fr-FR"/>
        </w:rPr>
        <w:t>Assemblée générale dans sa résolution</w:t>
      </w:r>
      <w:r w:rsidR="00005EE8">
        <w:rPr>
          <w:lang w:val="fr-FR"/>
        </w:rPr>
        <w:t> </w:t>
      </w:r>
      <w:r w:rsidRPr="001E46ED">
        <w:rPr>
          <w:lang w:val="fr-FR"/>
        </w:rPr>
        <w:t xml:space="preserve">47/111. </w:t>
      </w:r>
      <w:r w:rsidRPr="004E2754">
        <w:rPr>
          <w:lang w:val="fr-FR"/>
        </w:rPr>
        <w:t>À cet égard, le Comité renvoie aux résolutions</w:t>
      </w:r>
      <w:r w:rsidR="00005EE8">
        <w:rPr>
          <w:lang w:val="fr-FR"/>
        </w:rPr>
        <w:t> </w:t>
      </w:r>
      <w:r w:rsidRPr="004E2754">
        <w:rPr>
          <w:lang w:val="fr-FR"/>
        </w:rPr>
        <w:t>61/148, 63/243, 65/200 et 67/156</w:t>
      </w:r>
      <w:r>
        <w:rPr>
          <w:lang w:val="fr-FR"/>
        </w:rPr>
        <w:t xml:space="preserve"> de</w:t>
      </w:r>
      <w:r w:rsidRPr="004E2754">
        <w:rPr>
          <w:lang w:val="fr-FR"/>
        </w:rPr>
        <w:t xml:space="preserve"> l</w:t>
      </w:r>
      <w:r w:rsidR="00646DFA">
        <w:rPr>
          <w:lang w:val="fr-FR"/>
        </w:rPr>
        <w:t>’</w:t>
      </w:r>
      <w:r w:rsidRPr="004E2754">
        <w:rPr>
          <w:lang w:val="fr-FR"/>
        </w:rPr>
        <w:t>Assemblée générale</w:t>
      </w:r>
      <w:r>
        <w:rPr>
          <w:lang w:val="fr-FR"/>
        </w:rPr>
        <w:t>, dans lesquelles celle-ci</w:t>
      </w:r>
      <w:r w:rsidRPr="004E2754">
        <w:rPr>
          <w:lang w:val="fr-FR"/>
        </w:rPr>
        <w:t xml:space="preserve"> a prié instamment les États parties </w:t>
      </w:r>
      <w:r w:rsidRPr="001E46ED">
        <w:rPr>
          <w:lang w:val="fr-FR"/>
        </w:rPr>
        <w:t>d</w:t>
      </w:r>
      <w:r w:rsidR="00646DFA">
        <w:rPr>
          <w:lang w:val="fr-FR"/>
        </w:rPr>
        <w:t>’</w:t>
      </w:r>
      <w:r w:rsidRPr="001E46ED">
        <w:rPr>
          <w:lang w:val="fr-FR"/>
        </w:rPr>
        <w:t>accélérer leurs procédures internes de ratification de la modification et d</w:t>
      </w:r>
      <w:r w:rsidR="00646DFA">
        <w:rPr>
          <w:lang w:val="fr-FR"/>
        </w:rPr>
        <w:t>’</w:t>
      </w:r>
      <w:r w:rsidRPr="001E46ED">
        <w:rPr>
          <w:lang w:val="fr-FR"/>
        </w:rPr>
        <w:t>informer par écrit le Secrétaire général dans les meilleurs délais de leur acc</w:t>
      </w:r>
      <w:r w:rsidR="00B20A2C">
        <w:rPr>
          <w:lang w:val="fr-FR"/>
        </w:rPr>
        <w:t>eptation de cette modification.</w:t>
      </w:r>
    </w:p>
    <w:p w:rsidR="00053626" w:rsidRDefault="00053626" w:rsidP="00B2450C">
      <w:pPr>
        <w:pStyle w:val="H23G"/>
        <w:rPr>
          <w:lang w:val="fr-FR"/>
        </w:rPr>
      </w:pPr>
      <w:r w:rsidRPr="00870546">
        <w:rPr>
          <w:lang w:val="fr-FR"/>
        </w:rPr>
        <w:tab/>
      </w:r>
      <w:r w:rsidRPr="00870546">
        <w:rPr>
          <w:lang w:val="fr-FR"/>
        </w:rPr>
        <w:tab/>
      </w:r>
      <w:r w:rsidRPr="004E2754">
        <w:rPr>
          <w:lang w:val="fr-FR"/>
        </w:rPr>
        <w:t>Consultation avec les organisations de la société civile</w:t>
      </w:r>
    </w:p>
    <w:p w:rsidR="00053626" w:rsidRPr="00B2450C" w:rsidRDefault="00053626" w:rsidP="00B2450C">
      <w:pPr>
        <w:pStyle w:val="ParNoG"/>
        <w:rPr>
          <w:lang w:val="fr-FR"/>
        </w:rPr>
      </w:pPr>
      <w:r w:rsidRPr="001E46ED">
        <w:t>Le Comité recommande à l</w:t>
      </w:r>
      <w:r w:rsidR="00646DFA">
        <w:t>’</w:t>
      </w:r>
      <w:r w:rsidRPr="001E46ED">
        <w:t>État partie de poursuivre et resserrer son dialogue avec les organisations de la société civile œuvrant dans le domaine de la protection des droits de l</w:t>
      </w:r>
      <w:r w:rsidR="00646DFA">
        <w:t>’</w:t>
      </w:r>
      <w:r w:rsidRPr="001E46ED">
        <w:t>homme, en particulier de la lutte contre la discrimination raciale, lors de l</w:t>
      </w:r>
      <w:r w:rsidR="00646DFA">
        <w:t>’</w:t>
      </w:r>
      <w:r w:rsidRPr="001E46ED">
        <w:t>élaboration du prochain rapport périodique et du suivi des p</w:t>
      </w:r>
      <w:r w:rsidR="00B2450C">
        <w:t>résentes observations finales.</w:t>
      </w:r>
    </w:p>
    <w:p w:rsidR="00053626" w:rsidRPr="001E46ED" w:rsidRDefault="00053626" w:rsidP="00DD6D51">
      <w:pPr>
        <w:pStyle w:val="H23G"/>
        <w:rPr>
          <w:lang w:val="fr-FR"/>
        </w:rPr>
      </w:pPr>
      <w:r w:rsidRPr="00870546">
        <w:rPr>
          <w:lang w:val="fr-FR"/>
        </w:rPr>
        <w:tab/>
      </w:r>
      <w:r w:rsidRPr="00870546">
        <w:rPr>
          <w:lang w:val="fr-FR"/>
        </w:rPr>
        <w:tab/>
      </w:r>
      <w:r w:rsidRPr="001E46ED">
        <w:rPr>
          <w:lang w:val="fr-FR"/>
        </w:rPr>
        <w:t>Diffusion</w:t>
      </w:r>
    </w:p>
    <w:p w:rsidR="00053626" w:rsidRPr="001E46ED" w:rsidRDefault="00053626" w:rsidP="00DD6D51">
      <w:pPr>
        <w:pStyle w:val="ParNoG"/>
        <w:keepLines/>
        <w:rPr>
          <w:szCs w:val="24"/>
        </w:rPr>
      </w:pPr>
      <w:r w:rsidRPr="001E46ED">
        <w:rPr>
          <w:szCs w:val="24"/>
        </w:rPr>
        <w:t>Le Comité recommande à l</w:t>
      </w:r>
      <w:r w:rsidR="00646DFA">
        <w:rPr>
          <w:szCs w:val="24"/>
        </w:rPr>
        <w:t>’</w:t>
      </w:r>
      <w:r w:rsidRPr="001E46ED">
        <w:rPr>
          <w:szCs w:val="24"/>
        </w:rPr>
        <w:t>État partie de faire en sorte que ses rapports périodiques soient rendus publics et soient accessibles au moment de leur soumission, et de diffuser de la même manière les observations finales du Comité qui s</w:t>
      </w:r>
      <w:r w:rsidR="00646DFA">
        <w:rPr>
          <w:szCs w:val="24"/>
        </w:rPr>
        <w:t>’</w:t>
      </w:r>
      <w:r w:rsidRPr="001E46ED">
        <w:rPr>
          <w:szCs w:val="24"/>
        </w:rPr>
        <w:t>y rapportent dans les langues officielles et les autres langues couramment utilisées, selon qu</w:t>
      </w:r>
      <w:r w:rsidR="00646DFA">
        <w:rPr>
          <w:szCs w:val="24"/>
        </w:rPr>
        <w:t>’</w:t>
      </w:r>
      <w:r w:rsidR="00B2450C">
        <w:rPr>
          <w:szCs w:val="24"/>
        </w:rPr>
        <w:t>il convient.</w:t>
      </w:r>
    </w:p>
    <w:p w:rsidR="00053626" w:rsidRDefault="00053626" w:rsidP="00B2450C">
      <w:pPr>
        <w:pStyle w:val="H23G"/>
      </w:pPr>
      <w:r w:rsidRPr="00870546">
        <w:rPr>
          <w:lang w:val="fr-FR"/>
        </w:rPr>
        <w:tab/>
      </w:r>
      <w:r w:rsidRPr="00870546">
        <w:rPr>
          <w:lang w:val="fr-FR"/>
        </w:rPr>
        <w:tab/>
      </w:r>
      <w:r w:rsidRPr="00CC568F">
        <w:t>Suite donnée aux observations finales</w:t>
      </w:r>
    </w:p>
    <w:p w:rsidR="00053626" w:rsidRPr="00B2450C" w:rsidRDefault="00053626" w:rsidP="00B2450C">
      <w:pPr>
        <w:pStyle w:val="ParNoG"/>
        <w:rPr>
          <w:szCs w:val="24"/>
        </w:rPr>
      </w:pPr>
      <w:r w:rsidRPr="001E46ED">
        <w:rPr>
          <w:szCs w:val="24"/>
        </w:rPr>
        <w:t>Conformément au paragraphe 1 de l</w:t>
      </w:r>
      <w:r w:rsidR="00646DFA">
        <w:rPr>
          <w:szCs w:val="24"/>
        </w:rPr>
        <w:t>’</w:t>
      </w:r>
      <w:r w:rsidRPr="001E46ED">
        <w:rPr>
          <w:szCs w:val="24"/>
        </w:rPr>
        <w:t>article 9 de la Convention et à l</w:t>
      </w:r>
      <w:r w:rsidR="00646DFA">
        <w:rPr>
          <w:szCs w:val="24"/>
        </w:rPr>
        <w:t>’</w:t>
      </w:r>
      <w:r w:rsidRPr="001E46ED">
        <w:rPr>
          <w:szCs w:val="24"/>
        </w:rPr>
        <w:t>article 65 de son Règlement intérieur modifié, le Comité demande à l</w:t>
      </w:r>
      <w:r w:rsidR="00646DFA">
        <w:rPr>
          <w:szCs w:val="24"/>
        </w:rPr>
        <w:t>’</w:t>
      </w:r>
      <w:r w:rsidRPr="001E46ED">
        <w:rPr>
          <w:szCs w:val="24"/>
        </w:rPr>
        <w:t>État partie de fournir, dans un délai d</w:t>
      </w:r>
      <w:r w:rsidR="00646DFA">
        <w:rPr>
          <w:szCs w:val="24"/>
        </w:rPr>
        <w:t>’</w:t>
      </w:r>
      <w:r w:rsidRPr="001E46ED">
        <w:rPr>
          <w:szCs w:val="24"/>
        </w:rPr>
        <w:t>un an à compter de l</w:t>
      </w:r>
      <w:r w:rsidR="00646DFA">
        <w:rPr>
          <w:szCs w:val="24"/>
        </w:rPr>
        <w:t>’</w:t>
      </w:r>
      <w:r w:rsidRPr="001E46ED">
        <w:rPr>
          <w:szCs w:val="24"/>
        </w:rPr>
        <w:t>adoption des présentes observations finales, des</w:t>
      </w:r>
      <w:r w:rsidR="00B2450C">
        <w:rPr>
          <w:szCs w:val="24"/>
        </w:rPr>
        <w:t> </w:t>
      </w:r>
      <w:r w:rsidRPr="001E46ED">
        <w:rPr>
          <w:szCs w:val="24"/>
        </w:rPr>
        <w:t>renseignements sur la suite qu</w:t>
      </w:r>
      <w:r w:rsidR="00646DFA">
        <w:rPr>
          <w:szCs w:val="24"/>
        </w:rPr>
        <w:t>’</w:t>
      </w:r>
      <w:r w:rsidRPr="001E46ED">
        <w:rPr>
          <w:szCs w:val="24"/>
        </w:rPr>
        <w:t>il aura donnée aux recommandations figurant dans les paragraphes</w:t>
      </w:r>
      <w:r w:rsidRPr="00CC568F">
        <w:rPr>
          <w:szCs w:val="24"/>
        </w:rPr>
        <w:t> </w:t>
      </w:r>
      <w:r>
        <w:rPr>
          <w:lang w:val="fr-FR"/>
        </w:rPr>
        <w:t xml:space="preserve">9, 12 </w:t>
      </w:r>
      <w:r w:rsidR="00B2450C">
        <w:rPr>
          <w:lang w:val="fr-FR"/>
        </w:rPr>
        <w:t>et</w:t>
      </w:r>
      <w:r>
        <w:rPr>
          <w:lang w:val="fr-FR"/>
        </w:rPr>
        <w:t xml:space="preserve"> 14 b).</w:t>
      </w:r>
    </w:p>
    <w:p w:rsidR="00053626" w:rsidRPr="001E46ED" w:rsidRDefault="00053626" w:rsidP="00B2450C">
      <w:pPr>
        <w:pStyle w:val="H23G"/>
      </w:pPr>
      <w:r w:rsidRPr="00870546">
        <w:rPr>
          <w:lang w:val="fr-FR"/>
        </w:rPr>
        <w:tab/>
      </w:r>
      <w:r w:rsidRPr="00870546">
        <w:rPr>
          <w:lang w:val="fr-FR"/>
        </w:rPr>
        <w:tab/>
      </w:r>
      <w:r w:rsidRPr="001E46ED">
        <w:t>Recommandations d</w:t>
      </w:r>
      <w:r w:rsidR="00646DFA">
        <w:t>’</w:t>
      </w:r>
      <w:r w:rsidRPr="001E46ED">
        <w:t>importance particulière</w:t>
      </w:r>
    </w:p>
    <w:p w:rsidR="00053626" w:rsidRPr="00B2450C" w:rsidRDefault="00053626" w:rsidP="00B2450C">
      <w:pPr>
        <w:pStyle w:val="ParNoG"/>
        <w:rPr>
          <w:szCs w:val="24"/>
        </w:rPr>
      </w:pPr>
      <w:r w:rsidRPr="001E46ED">
        <w:rPr>
          <w:szCs w:val="24"/>
        </w:rPr>
        <w:t>Le Comité souhaite aussi appeler l</w:t>
      </w:r>
      <w:r w:rsidR="00646DFA">
        <w:rPr>
          <w:szCs w:val="24"/>
        </w:rPr>
        <w:t>’</w:t>
      </w:r>
      <w:r w:rsidRPr="001E46ED">
        <w:rPr>
          <w:szCs w:val="24"/>
        </w:rPr>
        <w:t>attention de l</w:t>
      </w:r>
      <w:r w:rsidR="00646DFA">
        <w:rPr>
          <w:szCs w:val="24"/>
        </w:rPr>
        <w:t>’</w:t>
      </w:r>
      <w:r w:rsidRPr="001E46ED">
        <w:rPr>
          <w:szCs w:val="24"/>
        </w:rPr>
        <w:t>État partie sur l</w:t>
      </w:r>
      <w:r w:rsidR="00646DFA">
        <w:rPr>
          <w:szCs w:val="24"/>
        </w:rPr>
        <w:t>’</w:t>
      </w:r>
      <w:r w:rsidRPr="001E46ED">
        <w:rPr>
          <w:szCs w:val="24"/>
        </w:rPr>
        <w:t>importance particulière des recommandations figurant dans les paragraphes </w:t>
      </w:r>
      <w:r w:rsidRPr="002D0826">
        <w:rPr>
          <w:lang w:val="fr-FR"/>
        </w:rPr>
        <w:t xml:space="preserve">13, 14, 15 et 16 </w:t>
      </w:r>
      <w:r w:rsidRPr="002D0826">
        <w:rPr>
          <w:szCs w:val="24"/>
        </w:rPr>
        <w:t>et</w:t>
      </w:r>
      <w:r w:rsidRPr="001E46ED">
        <w:rPr>
          <w:szCs w:val="24"/>
        </w:rPr>
        <w:t xml:space="preserve"> demande à l</w:t>
      </w:r>
      <w:r w:rsidR="00646DFA">
        <w:rPr>
          <w:szCs w:val="24"/>
        </w:rPr>
        <w:t>’</w:t>
      </w:r>
      <w:r w:rsidRPr="001E46ED">
        <w:rPr>
          <w:szCs w:val="24"/>
        </w:rPr>
        <w:t>État partie de faire figurer dans son prochain rapport périodique des renseignements détaillés sur les mesures concrètes qu</w:t>
      </w:r>
      <w:r w:rsidR="00646DFA">
        <w:rPr>
          <w:szCs w:val="24"/>
        </w:rPr>
        <w:t>’</w:t>
      </w:r>
      <w:r w:rsidRPr="001E46ED">
        <w:rPr>
          <w:szCs w:val="24"/>
        </w:rPr>
        <w:t>il aura prises pour y donner suite.</w:t>
      </w:r>
    </w:p>
    <w:p w:rsidR="00053626" w:rsidRPr="001E46ED" w:rsidRDefault="00053626" w:rsidP="008F383B">
      <w:pPr>
        <w:pStyle w:val="H23G"/>
      </w:pPr>
      <w:r w:rsidRPr="00870546">
        <w:rPr>
          <w:lang w:val="fr-FR"/>
        </w:rPr>
        <w:tab/>
      </w:r>
      <w:r w:rsidRPr="00870546">
        <w:rPr>
          <w:lang w:val="fr-FR"/>
        </w:rPr>
        <w:tab/>
      </w:r>
      <w:r w:rsidRPr="001E46ED">
        <w:t>Élaboration du prochain rapport périodique</w:t>
      </w:r>
    </w:p>
    <w:p w:rsidR="00053626" w:rsidRDefault="00053626" w:rsidP="008F383B">
      <w:pPr>
        <w:pStyle w:val="ParNoG"/>
        <w:rPr>
          <w:szCs w:val="24"/>
        </w:rPr>
      </w:pPr>
      <w:r w:rsidRPr="001E46ED">
        <w:rPr>
          <w:szCs w:val="24"/>
        </w:rPr>
        <w:t>Le Comité recommande à l</w:t>
      </w:r>
      <w:r w:rsidR="00646DFA">
        <w:rPr>
          <w:szCs w:val="24"/>
        </w:rPr>
        <w:t>’</w:t>
      </w:r>
      <w:r w:rsidRPr="001E46ED">
        <w:rPr>
          <w:szCs w:val="24"/>
        </w:rPr>
        <w:t xml:space="preserve">État partie de soumettre ses </w:t>
      </w:r>
      <w:r w:rsidRPr="002D4DDA">
        <w:rPr>
          <w:szCs w:val="24"/>
        </w:rPr>
        <w:t>quatrième à sixième rapports</w:t>
      </w:r>
      <w:r w:rsidRPr="001E46ED">
        <w:rPr>
          <w:szCs w:val="24"/>
        </w:rPr>
        <w:t xml:space="preserve"> en un seul document, d</w:t>
      </w:r>
      <w:r w:rsidR="00646DFA">
        <w:rPr>
          <w:szCs w:val="24"/>
        </w:rPr>
        <w:t>’</w:t>
      </w:r>
      <w:r w:rsidRPr="001E46ED">
        <w:rPr>
          <w:szCs w:val="24"/>
        </w:rPr>
        <w:t xml:space="preserve">ici </w:t>
      </w:r>
      <w:r w:rsidRPr="002D4DDA">
        <w:rPr>
          <w:szCs w:val="24"/>
        </w:rPr>
        <w:t>au 3</w:t>
      </w:r>
      <w:r w:rsidR="00831276">
        <w:rPr>
          <w:szCs w:val="24"/>
        </w:rPr>
        <w:t> </w:t>
      </w:r>
      <w:r w:rsidRPr="002D4DDA">
        <w:rPr>
          <w:szCs w:val="24"/>
        </w:rPr>
        <w:t>juin 2017</w:t>
      </w:r>
      <w:r w:rsidRPr="001E46ED">
        <w:rPr>
          <w:szCs w:val="24"/>
        </w:rPr>
        <w:t>, en tenant compte des directives pour l</w:t>
      </w:r>
      <w:r w:rsidR="00646DFA">
        <w:rPr>
          <w:szCs w:val="24"/>
        </w:rPr>
        <w:t>’</w:t>
      </w:r>
      <w:r w:rsidRPr="001E46ED">
        <w:rPr>
          <w:szCs w:val="24"/>
        </w:rPr>
        <w:t>établissement du document se rapportant spécifiquement à la Convention internationale sur l</w:t>
      </w:r>
      <w:r w:rsidR="00646DFA">
        <w:rPr>
          <w:szCs w:val="24"/>
        </w:rPr>
        <w:t>’</w:t>
      </w:r>
      <w:r w:rsidRPr="001E46ED">
        <w:rPr>
          <w:szCs w:val="24"/>
        </w:rPr>
        <w:t>élimination de toutes les formes de discrimination raciale adoptées par le Comité à sa soixante et onzième session</w:t>
      </w:r>
      <w:r w:rsidRPr="001E46ED">
        <w:rPr>
          <w:lang w:val="fr-FR"/>
        </w:rPr>
        <w:t xml:space="preserve"> (CERD/C/2007/1) </w:t>
      </w:r>
      <w:r w:rsidRPr="001E46ED">
        <w:rPr>
          <w:szCs w:val="24"/>
        </w:rPr>
        <w:t>et en traitant de tous les points soulevés dans les présentes observations finales</w:t>
      </w:r>
      <w:r w:rsidRPr="001E46ED">
        <w:rPr>
          <w:lang w:val="fr-FR"/>
        </w:rPr>
        <w:t xml:space="preserve">. </w:t>
      </w:r>
      <w:r w:rsidRPr="001E46ED">
        <w:rPr>
          <w:szCs w:val="24"/>
        </w:rPr>
        <w:t>Le Comité demande instamment à l</w:t>
      </w:r>
      <w:r w:rsidR="00646DFA">
        <w:rPr>
          <w:szCs w:val="24"/>
        </w:rPr>
        <w:t>’</w:t>
      </w:r>
      <w:r w:rsidRPr="001E46ED">
        <w:rPr>
          <w:szCs w:val="24"/>
        </w:rPr>
        <w:t xml:space="preserve">État partie de respecter la limite de 40 pages fixée pour les rapports propres au Comité et la limite de 60 à 80 pages fixée pour le document de base commun </w:t>
      </w:r>
      <w:r w:rsidRPr="00CC568F">
        <w:rPr>
          <w:szCs w:val="24"/>
        </w:rPr>
        <w:t>(HRI/GEN.2/Rev.6, chap. I, par. 19).</w:t>
      </w:r>
    </w:p>
    <w:p w:rsidR="008F383B" w:rsidRPr="008F383B" w:rsidRDefault="008F383B" w:rsidP="008F383B">
      <w:pPr>
        <w:pStyle w:val="SingleTxtG"/>
        <w:spacing w:before="240" w:after="0"/>
        <w:jc w:val="center"/>
        <w:rPr>
          <w:u w:val="single"/>
        </w:rPr>
      </w:pPr>
      <w:r>
        <w:rPr>
          <w:u w:val="single"/>
        </w:rPr>
        <w:tab/>
      </w:r>
      <w:r>
        <w:rPr>
          <w:u w:val="single"/>
        </w:rPr>
        <w:tab/>
      </w:r>
      <w:r>
        <w:rPr>
          <w:u w:val="single"/>
        </w:rPr>
        <w:tab/>
      </w:r>
    </w:p>
    <w:sectPr w:rsidR="008F383B" w:rsidRPr="008F383B" w:rsidSect="008B7E3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4A" w:rsidRDefault="0023564A"/>
  </w:endnote>
  <w:endnote w:type="continuationSeparator" w:id="0">
    <w:p w:rsidR="0023564A" w:rsidRDefault="0023564A"/>
  </w:endnote>
  <w:endnote w:type="continuationNotice" w:id="1">
    <w:p w:rsidR="0023564A" w:rsidRPr="00201F68" w:rsidRDefault="0023564A"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C7" w:rsidRPr="008B7E35" w:rsidRDefault="008702C7" w:rsidP="008B7E35">
    <w:pPr>
      <w:pStyle w:val="Footer"/>
      <w:tabs>
        <w:tab w:val="right" w:pos="9638"/>
      </w:tabs>
    </w:pPr>
    <w:r w:rsidRPr="008B7E35">
      <w:rPr>
        <w:b/>
        <w:sz w:val="18"/>
      </w:rPr>
      <w:fldChar w:fldCharType="begin"/>
    </w:r>
    <w:r w:rsidRPr="008B7E35">
      <w:rPr>
        <w:b/>
        <w:sz w:val="18"/>
      </w:rPr>
      <w:instrText xml:space="preserve"> PAGE  \* MERGEFORMAT </w:instrText>
    </w:r>
    <w:r w:rsidRPr="008B7E35">
      <w:rPr>
        <w:b/>
        <w:sz w:val="18"/>
      </w:rPr>
      <w:fldChar w:fldCharType="separate"/>
    </w:r>
    <w:r w:rsidR="00831276">
      <w:rPr>
        <w:b/>
        <w:noProof/>
        <w:sz w:val="18"/>
      </w:rPr>
      <w:t>8</w:t>
    </w:r>
    <w:r w:rsidRPr="008B7E35">
      <w:rPr>
        <w:b/>
        <w:sz w:val="18"/>
      </w:rPr>
      <w:fldChar w:fldCharType="end"/>
    </w:r>
    <w:r>
      <w:rPr>
        <w:b/>
        <w:sz w:val="18"/>
      </w:rPr>
      <w:tab/>
    </w:r>
    <w:r>
      <w:t>GE.14-41596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C7" w:rsidRPr="008B7E35" w:rsidRDefault="008702C7" w:rsidP="008B7E35">
    <w:pPr>
      <w:pStyle w:val="Footer"/>
      <w:tabs>
        <w:tab w:val="right" w:pos="9638"/>
      </w:tabs>
      <w:rPr>
        <w:b/>
        <w:sz w:val="18"/>
      </w:rPr>
    </w:pPr>
    <w:r>
      <w:t>GE.14-41596</w:t>
    </w:r>
    <w:r>
      <w:tab/>
    </w:r>
    <w:r w:rsidRPr="008B7E35">
      <w:rPr>
        <w:b/>
        <w:sz w:val="18"/>
      </w:rPr>
      <w:fldChar w:fldCharType="begin"/>
    </w:r>
    <w:r w:rsidRPr="008B7E35">
      <w:rPr>
        <w:b/>
        <w:sz w:val="18"/>
      </w:rPr>
      <w:instrText xml:space="preserve"> PAGE  \* MERGEFORMAT </w:instrText>
    </w:r>
    <w:r w:rsidRPr="008B7E35">
      <w:rPr>
        <w:b/>
        <w:sz w:val="18"/>
      </w:rPr>
      <w:fldChar w:fldCharType="separate"/>
    </w:r>
    <w:r w:rsidR="00831276">
      <w:rPr>
        <w:b/>
        <w:noProof/>
        <w:sz w:val="18"/>
      </w:rPr>
      <w:t>9</w:t>
    </w:r>
    <w:r w:rsidRPr="008B7E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C7" w:rsidRPr="008B7E35" w:rsidRDefault="008702C7" w:rsidP="008B7E35">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14-41596  (F)    270314    280314</w:t>
    </w:r>
    <w:r>
      <w:rPr>
        <w:sz w:val="20"/>
      </w:rPr>
      <w:br/>
    </w:r>
    <w:r w:rsidRPr="008B7E35">
      <w:rPr>
        <w:rFonts w:ascii="C39T30Lfz" w:hAnsi="C39T30Lfz"/>
        <w:sz w:val="56"/>
      </w:rPr>
      <w:t></w:t>
    </w:r>
    <w:r w:rsidRPr="008B7E35">
      <w:rPr>
        <w:rFonts w:ascii="C39T30Lfz" w:hAnsi="C39T30Lfz"/>
        <w:sz w:val="56"/>
      </w:rPr>
      <w:t></w:t>
    </w:r>
    <w:r w:rsidRPr="008B7E35">
      <w:rPr>
        <w:rFonts w:ascii="C39T30Lfz" w:hAnsi="C39T30Lfz"/>
        <w:sz w:val="56"/>
      </w:rPr>
      <w:t></w:t>
    </w:r>
    <w:r w:rsidRPr="008B7E35">
      <w:rPr>
        <w:rFonts w:ascii="C39T30Lfz" w:hAnsi="C39T30Lfz"/>
        <w:sz w:val="56"/>
      </w:rPr>
      <w:t></w:t>
    </w:r>
    <w:r w:rsidRPr="008B7E35">
      <w:rPr>
        <w:rFonts w:ascii="C39T30Lfz" w:hAnsi="C39T30Lfz"/>
        <w:sz w:val="56"/>
      </w:rPr>
      <w:t></w:t>
    </w:r>
    <w:r w:rsidRPr="008B7E35">
      <w:rPr>
        <w:rFonts w:ascii="C39T30Lfz" w:hAnsi="C39T30Lfz"/>
        <w:sz w:val="56"/>
      </w:rPr>
      <w:t></w:t>
    </w:r>
    <w:r w:rsidRPr="008B7E35">
      <w:rPr>
        <w:rFonts w:ascii="C39T30Lfz" w:hAnsi="C39T30Lfz"/>
        <w:sz w:val="56"/>
      </w:rPr>
      <w:t></w:t>
    </w:r>
    <w:r w:rsidRPr="008B7E35">
      <w:rPr>
        <w:rFonts w:ascii="C39T30Lfz" w:hAnsi="C39T30Lfz"/>
        <w:sz w:val="56"/>
      </w:rPr>
      <w:t></w:t>
    </w:r>
    <w:r w:rsidRPr="008B7E35">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3&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4A" w:rsidRPr="00D27D5E" w:rsidRDefault="0023564A" w:rsidP="00D27D5E">
      <w:pPr>
        <w:tabs>
          <w:tab w:val="right" w:pos="2155"/>
        </w:tabs>
        <w:spacing w:after="80"/>
        <w:ind w:left="680"/>
        <w:rPr>
          <w:u w:val="single"/>
        </w:rPr>
      </w:pPr>
      <w:r>
        <w:rPr>
          <w:u w:val="single"/>
        </w:rPr>
        <w:tab/>
      </w:r>
    </w:p>
  </w:footnote>
  <w:footnote w:type="continuationSeparator" w:id="0">
    <w:p w:rsidR="0023564A" w:rsidRPr="00AA7FE7" w:rsidRDefault="0023564A" w:rsidP="00AA7FE7">
      <w:pPr>
        <w:tabs>
          <w:tab w:val="right" w:pos="2155"/>
        </w:tabs>
        <w:spacing w:after="80"/>
        <w:ind w:left="680"/>
        <w:rPr>
          <w:u w:val="single"/>
        </w:rPr>
      </w:pPr>
      <w:r w:rsidRPr="00AA7FE7">
        <w:rPr>
          <w:u w:val="single"/>
        </w:rPr>
        <w:tab/>
      </w:r>
    </w:p>
  </w:footnote>
  <w:footnote w:type="continuationNotice" w:id="1">
    <w:p w:rsidR="0023564A" w:rsidRPr="00201F68" w:rsidRDefault="0023564A" w:rsidP="00201F68">
      <w:pPr>
        <w:spacing w:line="240" w:lineRule="auto"/>
        <w:rPr>
          <w:sz w:val="2"/>
          <w:szCs w:val="2"/>
        </w:rPr>
      </w:pPr>
    </w:p>
  </w:footnote>
  <w:footnote w:id="2">
    <w:p w:rsidR="008702C7" w:rsidRPr="00E057FE" w:rsidRDefault="008702C7" w:rsidP="00053626">
      <w:pPr>
        <w:pStyle w:val="FootnoteText"/>
      </w:pPr>
      <w:r>
        <w:tab/>
      </w:r>
      <w:r w:rsidRPr="00053626">
        <w:rPr>
          <w:rStyle w:val="FootnoteReference"/>
          <w:sz w:val="20"/>
          <w:vertAlign w:val="baseline"/>
        </w:rPr>
        <w:t>*</w:t>
      </w:r>
      <w:r w:rsidRPr="00E057FE">
        <w:tab/>
        <w:t>Ad</w:t>
      </w:r>
      <w:r>
        <w:t>optées par le Comité à sa</w:t>
      </w:r>
      <w:r w:rsidRPr="00E057FE">
        <w:t xml:space="preserve"> </w:t>
      </w:r>
      <w:r>
        <w:t>quatre-vingt-quatrième session (3</w:t>
      </w:r>
      <w:r>
        <w:noBreakHyphen/>
        <w:t>21 février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C7" w:rsidRPr="008B7E35" w:rsidRDefault="008702C7">
    <w:pPr>
      <w:pStyle w:val="Header"/>
    </w:pPr>
    <w:r>
      <w:t>CERD/C/MNE/CO/2-3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C7" w:rsidRPr="008B7E35" w:rsidRDefault="008702C7" w:rsidP="008B7E35">
    <w:pPr>
      <w:pStyle w:val="Header"/>
      <w:jc w:val="right"/>
    </w:pPr>
    <w:r>
      <w:t>CERD/C/MNE/CO/2-3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0A6A90"/>
    <w:lvl w:ilvl="0">
      <w:start w:val="1"/>
      <w:numFmt w:val="decimal"/>
      <w:lvlText w:val="%1."/>
      <w:lvlJc w:val="left"/>
      <w:pPr>
        <w:tabs>
          <w:tab w:val="num" w:pos="1492"/>
        </w:tabs>
        <w:ind w:left="1492" w:hanging="360"/>
      </w:pPr>
    </w:lvl>
  </w:abstractNum>
  <w:abstractNum w:abstractNumId="1">
    <w:nsid w:val="FFFFFF7D"/>
    <w:multiLevelType w:val="singleLevel"/>
    <w:tmpl w:val="2C869E76"/>
    <w:lvl w:ilvl="0">
      <w:start w:val="1"/>
      <w:numFmt w:val="decimal"/>
      <w:lvlText w:val="%1."/>
      <w:lvlJc w:val="left"/>
      <w:pPr>
        <w:tabs>
          <w:tab w:val="num" w:pos="1209"/>
        </w:tabs>
        <w:ind w:left="1209" w:hanging="360"/>
      </w:pPr>
    </w:lvl>
  </w:abstractNum>
  <w:abstractNum w:abstractNumId="2">
    <w:nsid w:val="FFFFFF7E"/>
    <w:multiLevelType w:val="singleLevel"/>
    <w:tmpl w:val="AF0C0AD0"/>
    <w:lvl w:ilvl="0">
      <w:start w:val="1"/>
      <w:numFmt w:val="decimal"/>
      <w:lvlText w:val="%1."/>
      <w:lvlJc w:val="left"/>
      <w:pPr>
        <w:tabs>
          <w:tab w:val="num" w:pos="926"/>
        </w:tabs>
        <w:ind w:left="926" w:hanging="360"/>
      </w:pPr>
    </w:lvl>
  </w:abstractNum>
  <w:abstractNum w:abstractNumId="3">
    <w:nsid w:val="FFFFFF7F"/>
    <w:multiLevelType w:val="singleLevel"/>
    <w:tmpl w:val="5B949E2C"/>
    <w:lvl w:ilvl="0">
      <w:start w:val="1"/>
      <w:numFmt w:val="decimal"/>
      <w:lvlText w:val="%1."/>
      <w:lvlJc w:val="left"/>
      <w:pPr>
        <w:tabs>
          <w:tab w:val="num" w:pos="643"/>
        </w:tabs>
        <w:ind w:left="643" w:hanging="360"/>
      </w:pPr>
    </w:lvl>
  </w:abstractNum>
  <w:abstractNum w:abstractNumId="4">
    <w:nsid w:val="FFFFFF80"/>
    <w:multiLevelType w:val="singleLevel"/>
    <w:tmpl w:val="9C0CE3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9E4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904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A448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4C7F40"/>
    <w:lvl w:ilvl="0">
      <w:start w:val="1"/>
      <w:numFmt w:val="decimal"/>
      <w:lvlText w:val="%1."/>
      <w:lvlJc w:val="left"/>
      <w:pPr>
        <w:tabs>
          <w:tab w:val="num" w:pos="360"/>
        </w:tabs>
        <w:ind w:left="360" w:hanging="360"/>
      </w:pPr>
    </w:lvl>
  </w:abstractNum>
  <w:abstractNum w:abstractNumId="9">
    <w:nsid w:val="FFFFFF89"/>
    <w:multiLevelType w:val="singleLevel"/>
    <w:tmpl w:val="814A685A"/>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75B"/>
    <w:rsid w:val="00003810"/>
    <w:rsid w:val="00005EE8"/>
    <w:rsid w:val="00016AC5"/>
    <w:rsid w:val="00021BE0"/>
    <w:rsid w:val="00053626"/>
    <w:rsid w:val="00054609"/>
    <w:rsid w:val="000A6F55"/>
    <w:rsid w:val="000E7579"/>
    <w:rsid w:val="000F41F2"/>
    <w:rsid w:val="00101DDF"/>
    <w:rsid w:val="001231AD"/>
    <w:rsid w:val="001450E6"/>
    <w:rsid w:val="00150465"/>
    <w:rsid w:val="00160540"/>
    <w:rsid w:val="00192EEB"/>
    <w:rsid w:val="00197832"/>
    <w:rsid w:val="001A20FB"/>
    <w:rsid w:val="001A471C"/>
    <w:rsid w:val="001B3867"/>
    <w:rsid w:val="001D72C5"/>
    <w:rsid w:val="001D7F8A"/>
    <w:rsid w:val="001E3FEB"/>
    <w:rsid w:val="001E4A02"/>
    <w:rsid w:val="00201F68"/>
    <w:rsid w:val="00222750"/>
    <w:rsid w:val="00225A8C"/>
    <w:rsid w:val="0023564A"/>
    <w:rsid w:val="00250DF6"/>
    <w:rsid w:val="00255DD7"/>
    <w:rsid w:val="002626D4"/>
    <w:rsid w:val="002659F1"/>
    <w:rsid w:val="00265CD7"/>
    <w:rsid w:val="00287E79"/>
    <w:rsid w:val="002928F9"/>
    <w:rsid w:val="002A5D07"/>
    <w:rsid w:val="002D3F03"/>
    <w:rsid w:val="002E0D40"/>
    <w:rsid w:val="002E5B0C"/>
    <w:rsid w:val="00300D06"/>
    <w:rsid w:val="003016B7"/>
    <w:rsid w:val="00305AC9"/>
    <w:rsid w:val="003272F0"/>
    <w:rsid w:val="003515AA"/>
    <w:rsid w:val="003740B0"/>
    <w:rsid w:val="00374106"/>
    <w:rsid w:val="00393B23"/>
    <w:rsid w:val="003976D5"/>
    <w:rsid w:val="003B62D8"/>
    <w:rsid w:val="003D6C68"/>
    <w:rsid w:val="004159D0"/>
    <w:rsid w:val="00455093"/>
    <w:rsid w:val="00472145"/>
    <w:rsid w:val="0047348A"/>
    <w:rsid w:val="00497A7F"/>
    <w:rsid w:val="004F4E32"/>
    <w:rsid w:val="00540389"/>
    <w:rsid w:val="00543D5E"/>
    <w:rsid w:val="00571F41"/>
    <w:rsid w:val="0057347A"/>
    <w:rsid w:val="00593658"/>
    <w:rsid w:val="005D37AD"/>
    <w:rsid w:val="005D575B"/>
    <w:rsid w:val="005D5E3B"/>
    <w:rsid w:val="005E5D1F"/>
    <w:rsid w:val="006034FC"/>
    <w:rsid w:val="00611D43"/>
    <w:rsid w:val="00612D48"/>
    <w:rsid w:val="00616B45"/>
    <w:rsid w:val="00630D9B"/>
    <w:rsid w:val="00631953"/>
    <w:rsid w:val="006439EC"/>
    <w:rsid w:val="00646DFA"/>
    <w:rsid w:val="0065167E"/>
    <w:rsid w:val="00652A36"/>
    <w:rsid w:val="00657120"/>
    <w:rsid w:val="00693E16"/>
    <w:rsid w:val="006B40BF"/>
    <w:rsid w:val="006B4590"/>
    <w:rsid w:val="006C340C"/>
    <w:rsid w:val="006D7B0B"/>
    <w:rsid w:val="006E6AE5"/>
    <w:rsid w:val="006F39E4"/>
    <w:rsid w:val="0070347C"/>
    <w:rsid w:val="00711760"/>
    <w:rsid w:val="007176C1"/>
    <w:rsid w:val="007231EF"/>
    <w:rsid w:val="00731985"/>
    <w:rsid w:val="007351FB"/>
    <w:rsid w:val="0078670C"/>
    <w:rsid w:val="007F55CB"/>
    <w:rsid w:val="00831276"/>
    <w:rsid w:val="00844750"/>
    <w:rsid w:val="008702C7"/>
    <w:rsid w:val="008B2D70"/>
    <w:rsid w:val="008B44C4"/>
    <w:rsid w:val="008B7E35"/>
    <w:rsid w:val="008D2259"/>
    <w:rsid w:val="008E7FAE"/>
    <w:rsid w:val="008F383B"/>
    <w:rsid w:val="00911BF7"/>
    <w:rsid w:val="00925FAD"/>
    <w:rsid w:val="00927A58"/>
    <w:rsid w:val="00977EC8"/>
    <w:rsid w:val="009C17F5"/>
    <w:rsid w:val="009D3A8C"/>
    <w:rsid w:val="009D6F78"/>
    <w:rsid w:val="009E7956"/>
    <w:rsid w:val="00A244EF"/>
    <w:rsid w:val="00A2492E"/>
    <w:rsid w:val="00A353A7"/>
    <w:rsid w:val="00A45713"/>
    <w:rsid w:val="00A62D0A"/>
    <w:rsid w:val="00A638C8"/>
    <w:rsid w:val="00A82B6C"/>
    <w:rsid w:val="00A90A58"/>
    <w:rsid w:val="00AA7FE7"/>
    <w:rsid w:val="00AB3173"/>
    <w:rsid w:val="00AC01AA"/>
    <w:rsid w:val="00AC67A1"/>
    <w:rsid w:val="00AC7977"/>
    <w:rsid w:val="00AE352C"/>
    <w:rsid w:val="00AE640B"/>
    <w:rsid w:val="00B20A2C"/>
    <w:rsid w:val="00B2450C"/>
    <w:rsid w:val="00B32E2D"/>
    <w:rsid w:val="00B40B17"/>
    <w:rsid w:val="00B61990"/>
    <w:rsid w:val="00B91713"/>
    <w:rsid w:val="00BF0556"/>
    <w:rsid w:val="00C03431"/>
    <w:rsid w:val="00C261F8"/>
    <w:rsid w:val="00C33100"/>
    <w:rsid w:val="00CD1A71"/>
    <w:rsid w:val="00CD1FBB"/>
    <w:rsid w:val="00D016B5"/>
    <w:rsid w:val="00D034F1"/>
    <w:rsid w:val="00D27D5E"/>
    <w:rsid w:val="00D37345"/>
    <w:rsid w:val="00DA7175"/>
    <w:rsid w:val="00DC156C"/>
    <w:rsid w:val="00DD6D51"/>
    <w:rsid w:val="00DE6D90"/>
    <w:rsid w:val="00DF002F"/>
    <w:rsid w:val="00E0244D"/>
    <w:rsid w:val="00E1753A"/>
    <w:rsid w:val="00E41729"/>
    <w:rsid w:val="00E42D5E"/>
    <w:rsid w:val="00E75ABA"/>
    <w:rsid w:val="00E81E94"/>
    <w:rsid w:val="00E82607"/>
    <w:rsid w:val="00EC5A42"/>
    <w:rsid w:val="00F63BC6"/>
    <w:rsid w:val="00FA5A79"/>
    <w:rsid w:val="00FB0BFE"/>
    <w:rsid w:val="00FB4C51"/>
    <w:rsid w:val="00FC5E39"/>
    <w:rsid w:val="00FE2092"/>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rsid w:val="009D6F78"/>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1</Pages>
  <Words>4049</Words>
  <Characters>22275</Characters>
  <Application>Microsoft Office Outlook</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CERD/C/MNE/CO/2-3</vt:lpstr>
    </vt:vector>
  </TitlesOfParts>
  <Company>CSD</Company>
  <LinksUpToDate>false</LinksUpToDate>
  <CharactersWithSpaces>26272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CERD/C/MNE/CO/2-3</dc:title>
  <dc:subject>FINAL</dc:subject>
  <dc:creator>C. ROBERT</dc:creator>
  <cp:keywords/>
  <dc:description/>
  <cp:lastModifiedBy>C. ROBERT</cp:lastModifiedBy>
  <cp:revision>3</cp:revision>
  <cp:lastPrinted>2014-03-28T09:51:00Z</cp:lastPrinted>
  <dcterms:created xsi:type="dcterms:W3CDTF">2014-03-28T12:08:00Z</dcterms:created>
  <dcterms:modified xsi:type="dcterms:W3CDTF">2014-03-28T12:08:00Z</dcterms:modified>
</cp:coreProperties>
</file>